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E5A4DD">
      <w:pPr>
        <w:jc w:val="right"/>
        <w:rPr>
          <w:rFonts w:hint="default" w:ascii="仿宋" w:hAnsi="仿宋" w:eastAsia="仿宋" w:cs="仿宋"/>
          <w:b/>
          <w:sz w:val="44"/>
          <w:szCs w:val="44"/>
          <w:lang w:val="en-US" w:eastAsia="zh-CN"/>
        </w:rPr>
      </w:pPr>
      <w:bookmarkStart w:id="0" w:name="_Toc520356143"/>
      <w:bookmarkStart w:id="1" w:name="_Toc216582805"/>
      <w:bookmarkStart w:id="2" w:name="_Toc515647757"/>
      <w:bookmarkStart w:id="3" w:name="_Toc21215"/>
      <w:bookmarkStart w:id="4" w:name="_Toc21015"/>
      <w:r>
        <w:rPr>
          <w:rFonts w:hint="eastAsia" w:ascii="仿宋" w:hAnsi="仿宋" w:eastAsia="仿宋" w:cs="仿宋"/>
        </w:rPr>
        <w:drawing>
          <wp:anchor distT="0" distB="0" distL="0" distR="0" simplePos="0" relativeHeight="251662336" behindDoc="0" locked="0" layoutInCell="0" allowOverlap="1">
            <wp:simplePos x="0" y="0"/>
            <wp:positionH relativeFrom="page">
              <wp:posOffset>1141095</wp:posOffset>
            </wp:positionH>
            <wp:positionV relativeFrom="page">
              <wp:posOffset>935355</wp:posOffset>
            </wp:positionV>
            <wp:extent cx="1315085" cy="890270"/>
            <wp:effectExtent l="0" t="0" r="18415" b="5080"/>
            <wp:wrapNone/>
            <wp:docPr id="1" name="IM 2"/>
            <wp:cNvGraphicFramePr/>
            <a:graphic xmlns:a="http://schemas.openxmlformats.org/drawingml/2006/main">
              <a:graphicData uri="http://schemas.openxmlformats.org/drawingml/2006/picture">
                <pic:pic xmlns:pic="http://schemas.openxmlformats.org/drawingml/2006/picture">
                  <pic:nvPicPr>
                    <pic:cNvPr id="1" name="IM 2"/>
                    <pic:cNvPicPr/>
                  </pic:nvPicPr>
                  <pic:blipFill>
                    <a:blip r:embed="rId17"/>
                    <a:stretch>
                      <a:fillRect/>
                    </a:stretch>
                  </pic:blipFill>
                  <pic:spPr>
                    <a:xfrm>
                      <a:off x="0" y="0"/>
                      <a:ext cx="1315085" cy="890270"/>
                    </a:xfrm>
                    <a:prstGeom prst="rect">
                      <a:avLst/>
                    </a:prstGeom>
                    <a:noFill/>
                    <a:ln>
                      <a:noFill/>
                    </a:ln>
                  </pic:spPr>
                </pic:pic>
              </a:graphicData>
            </a:graphic>
          </wp:anchor>
        </w:drawing>
      </w:r>
      <w:r>
        <w:rPr>
          <w:rFonts w:hint="eastAsia" w:ascii="仿宋" w:hAnsi="仿宋" w:eastAsia="仿宋" w:cs="仿宋"/>
          <w:b/>
          <w:bCs/>
          <w:kern w:val="0"/>
          <w:sz w:val="28"/>
          <w:szCs w:val="28"/>
          <w:lang w:eastAsia="zh-CN"/>
        </w:rPr>
        <w:t>公开</w:t>
      </w:r>
      <w:r>
        <w:rPr>
          <w:rFonts w:hint="eastAsia" w:ascii="仿宋" w:hAnsi="仿宋" w:eastAsia="仿宋" w:cs="仿宋"/>
          <w:b/>
          <w:bCs/>
          <w:kern w:val="0"/>
          <w:sz w:val="28"/>
          <w:szCs w:val="28"/>
          <w:lang w:val="en-US" w:eastAsia="zh-CN"/>
        </w:rPr>
        <w:t xml:space="preserve">                         </w:t>
      </w:r>
      <w:r>
        <w:rPr>
          <w:rFonts w:hint="eastAsia" w:ascii="仿宋" w:hAnsi="仿宋" w:eastAsia="仿宋" w:cs="仿宋"/>
          <w:b/>
          <w:bCs/>
          <w:kern w:val="0"/>
          <w:sz w:val="28"/>
          <w:szCs w:val="28"/>
        </w:rPr>
        <w:t>项目编号：</w:t>
      </w:r>
      <w:r>
        <w:rPr>
          <w:rFonts w:hint="eastAsia" w:ascii="仿宋" w:hAnsi="仿宋" w:eastAsia="仿宋" w:cs="仿宋"/>
          <w:b/>
          <w:bCs/>
          <w:color w:val="auto"/>
          <w:kern w:val="0"/>
          <w:sz w:val="28"/>
          <w:szCs w:val="28"/>
          <w:highlight w:val="none"/>
          <w:lang w:eastAsia="zh-CN"/>
        </w:rPr>
        <w:t>XHYJ(SCCGGK)2025-</w:t>
      </w:r>
      <w:r>
        <w:rPr>
          <w:rFonts w:hint="eastAsia" w:ascii="仿宋" w:hAnsi="仿宋" w:eastAsia="仿宋" w:cs="仿宋"/>
          <w:b/>
          <w:bCs/>
          <w:color w:val="auto"/>
          <w:kern w:val="0"/>
          <w:sz w:val="28"/>
          <w:szCs w:val="28"/>
          <w:highlight w:val="none"/>
          <w:lang w:val="en-US" w:eastAsia="zh-CN"/>
        </w:rPr>
        <w:t>11</w:t>
      </w:r>
    </w:p>
    <w:p w14:paraId="022D45EC">
      <w:pPr>
        <w:spacing w:line="240" w:lineRule="auto"/>
        <w:jc w:val="right"/>
        <w:rPr>
          <w:rFonts w:hint="eastAsia" w:ascii="仿宋" w:hAnsi="仿宋" w:eastAsia="仿宋" w:cs="仿宋"/>
          <w:b/>
          <w:bCs/>
          <w:color w:val="auto"/>
          <w:kern w:val="0"/>
          <w:sz w:val="44"/>
          <w:szCs w:val="44"/>
          <w:highlight w:val="none"/>
          <w:lang w:val="en-US" w:eastAsia="zh-CN"/>
        </w:rPr>
      </w:pPr>
      <w:r>
        <w:rPr>
          <w:rFonts w:hint="eastAsia" w:ascii="仿宋" w:hAnsi="仿宋" w:eastAsia="仿宋" w:cs="仿宋"/>
          <w:b/>
          <w:color w:val="auto"/>
          <w:szCs w:val="21"/>
          <w:highlight w:val="none"/>
          <w:lang w:val="en-US" w:eastAsia="zh-CN"/>
        </w:rPr>
        <w:t xml:space="preserve">                </w:t>
      </w:r>
    </w:p>
    <w:p w14:paraId="2767A433">
      <w:pPr>
        <w:spacing w:line="240" w:lineRule="auto"/>
        <w:ind w:left="0" w:leftChars="0" w:firstLine="0"/>
        <w:jc w:val="left"/>
        <w:rPr>
          <w:rFonts w:hint="eastAsia" w:ascii="仿宋" w:hAnsi="仿宋" w:eastAsia="仿宋" w:cs="仿宋"/>
          <w:b/>
          <w:color w:val="auto"/>
          <w:szCs w:val="21"/>
          <w:highlight w:val="none"/>
          <w:lang w:val="en-US" w:eastAsia="zh-CN"/>
        </w:rPr>
      </w:pPr>
    </w:p>
    <w:p w14:paraId="36197246">
      <w:pPr>
        <w:spacing w:line="240" w:lineRule="atLeast"/>
        <w:jc w:val="center"/>
        <w:rPr>
          <w:rFonts w:hint="eastAsia" w:ascii="仿宋" w:hAnsi="仿宋" w:eastAsia="仿宋" w:cs="仿宋"/>
          <w:b/>
          <w:bCs/>
          <w:color w:val="auto"/>
          <w:kern w:val="0"/>
          <w:sz w:val="56"/>
          <w:szCs w:val="56"/>
          <w:highlight w:val="none"/>
          <w:lang w:eastAsia="zh-CN"/>
        </w:rPr>
      </w:pPr>
    </w:p>
    <w:p w14:paraId="2F016B20">
      <w:pPr>
        <w:spacing w:line="240" w:lineRule="atLeast"/>
        <w:jc w:val="center"/>
        <w:rPr>
          <w:rFonts w:hint="eastAsia" w:ascii="仿宋" w:hAnsi="仿宋" w:eastAsia="仿宋" w:cs="仿宋"/>
          <w:b/>
          <w:color w:val="auto"/>
          <w:sz w:val="22"/>
          <w:szCs w:val="28"/>
          <w:highlight w:val="none"/>
          <w:lang w:eastAsia="zh-CN"/>
        </w:rPr>
      </w:pPr>
      <w:r>
        <w:rPr>
          <w:rFonts w:hint="eastAsia" w:ascii="仿宋" w:hAnsi="仿宋" w:eastAsia="仿宋" w:cs="仿宋"/>
          <w:b/>
          <w:bCs/>
          <w:color w:val="auto"/>
          <w:kern w:val="0"/>
          <w:sz w:val="56"/>
          <w:szCs w:val="56"/>
          <w:highlight w:val="none"/>
          <w:lang w:eastAsia="zh-CN"/>
        </w:rPr>
        <w:t>莎车县教育设施设备购置（中小学护眼灯改造）项目（二次）</w:t>
      </w:r>
    </w:p>
    <w:p w14:paraId="4ABD108B">
      <w:pPr>
        <w:spacing w:line="240" w:lineRule="atLeast"/>
        <w:ind w:left="1079" w:leftChars="257" w:hanging="540"/>
        <w:jc w:val="center"/>
        <w:rPr>
          <w:rFonts w:hint="eastAsia" w:ascii="仿宋" w:hAnsi="仿宋" w:eastAsia="仿宋" w:cs="仿宋"/>
          <w:b/>
          <w:bCs/>
          <w:color w:val="auto"/>
          <w:kern w:val="0"/>
          <w:sz w:val="72"/>
          <w:szCs w:val="72"/>
          <w:highlight w:val="none"/>
        </w:rPr>
      </w:pPr>
    </w:p>
    <w:p w14:paraId="056C4694">
      <w:pPr>
        <w:spacing w:line="240" w:lineRule="atLeast"/>
        <w:jc w:val="center"/>
        <w:rPr>
          <w:rFonts w:hint="eastAsia" w:ascii="仿宋" w:hAnsi="仿宋" w:eastAsia="仿宋" w:cs="仿宋"/>
          <w:b/>
          <w:bCs/>
          <w:color w:val="auto"/>
          <w:kern w:val="0"/>
          <w:sz w:val="72"/>
          <w:szCs w:val="72"/>
          <w:highlight w:val="none"/>
        </w:rPr>
      </w:pPr>
      <w:r>
        <w:rPr>
          <w:rFonts w:hint="eastAsia" w:ascii="仿宋" w:hAnsi="仿宋" w:eastAsia="仿宋" w:cs="仿宋"/>
          <w:b/>
          <w:bCs/>
          <w:color w:val="auto"/>
          <w:kern w:val="0"/>
          <w:sz w:val="72"/>
          <w:szCs w:val="72"/>
          <w:highlight w:val="none"/>
        </w:rPr>
        <w:t>招</w:t>
      </w:r>
      <w:r>
        <w:rPr>
          <w:rFonts w:hint="eastAsia" w:ascii="仿宋" w:hAnsi="仿宋" w:eastAsia="仿宋" w:cs="仿宋"/>
          <w:b/>
          <w:bCs/>
          <w:color w:val="auto"/>
          <w:kern w:val="0"/>
          <w:sz w:val="72"/>
          <w:szCs w:val="72"/>
          <w:highlight w:val="none"/>
          <w:lang w:val="en-US" w:eastAsia="zh-CN"/>
        </w:rPr>
        <w:t xml:space="preserve"> </w:t>
      </w:r>
      <w:r>
        <w:rPr>
          <w:rFonts w:hint="eastAsia" w:ascii="仿宋" w:hAnsi="仿宋" w:eastAsia="仿宋" w:cs="仿宋"/>
          <w:b/>
          <w:bCs/>
          <w:color w:val="auto"/>
          <w:kern w:val="0"/>
          <w:sz w:val="72"/>
          <w:szCs w:val="72"/>
          <w:highlight w:val="none"/>
        </w:rPr>
        <w:t>标</w:t>
      </w:r>
      <w:r>
        <w:rPr>
          <w:rFonts w:hint="eastAsia" w:ascii="仿宋" w:hAnsi="仿宋" w:eastAsia="仿宋" w:cs="仿宋"/>
          <w:b/>
          <w:bCs/>
          <w:color w:val="auto"/>
          <w:kern w:val="0"/>
          <w:sz w:val="72"/>
          <w:szCs w:val="72"/>
          <w:highlight w:val="none"/>
          <w:lang w:val="en-US" w:eastAsia="zh-CN"/>
        </w:rPr>
        <w:t xml:space="preserve"> </w:t>
      </w:r>
      <w:r>
        <w:rPr>
          <w:rFonts w:hint="eastAsia" w:ascii="仿宋" w:hAnsi="仿宋" w:eastAsia="仿宋" w:cs="仿宋"/>
          <w:b/>
          <w:bCs/>
          <w:color w:val="auto"/>
          <w:kern w:val="0"/>
          <w:sz w:val="72"/>
          <w:szCs w:val="72"/>
          <w:highlight w:val="none"/>
        </w:rPr>
        <w:t>文</w:t>
      </w:r>
      <w:r>
        <w:rPr>
          <w:rFonts w:hint="eastAsia" w:ascii="仿宋" w:hAnsi="仿宋" w:eastAsia="仿宋" w:cs="仿宋"/>
          <w:b/>
          <w:bCs/>
          <w:color w:val="auto"/>
          <w:kern w:val="0"/>
          <w:sz w:val="72"/>
          <w:szCs w:val="72"/>
          <w:highlight w:val="none"/>
          <w:lang w:val="en-US" w:eastAsia="zh-CN"/>
        </w:rPr>
        <w:t xml:space="preserve"> </w:t>
      </w:r>
      <w:r>
        <w:rPr>
          <w:rFonts w:hint="eastAsia" w:ascii="仿宋" w:hAnsi="仿宋" w:eastAsia="仿宋" w:cs="仿宋"/>
          <w:b/>
          <w:bCs/>
          <w:color w:val="auto"/>
          <w:kern w:val="0"/>
          <w:sz w:val="72"/>
          <w:szCs w:val="72"/>
          <w:highlight w:val="none"/>
        </w:rPr>
        <w:t>件</w:t>
      </w:r>
    </w:p>
    <w:p w14:paraId="3ACED093">
      <w:pPr>
        <w:spacing w:line="240" w:lineRule="atLeast"/>
        <w:ind w:left="1079" w:leftChars="257" w:hanging="540"/>
        <w:jc w:val="center"/>
        <w:rPr>
          <w:rFonts w:hint="eastAsia" w:ascii="仿宋" w:hAnsi="仿宋" w:eastAsia="仿宋" w:cs="仿宋"/>
          <w:b/>
          <w:bCs/>
          <w:color w:val="auto"/>
          <w:kern w:val="0"/>
          <w:sz w:val="72"/>
          <w:szCs w:val="72"/>
          <w:highlight w:val="none"/>
        </w:rPr>
      </w:pPr>
    </w:p>
    <w:p w14:paraId="092A5486">
      <w:pPr>
        <w:pStyle w:val="13"/>
        <w:rPr>
          <w:rFonts w:hint="eastAsia" w:ascii="仿宋" w:hAnsi="仿宋" w:eastAsia="仿宋" w:cs="仿宋"/>
        </w:rPr>
      </w:pPr>
    </w:p>
    <w:tbl>
      <w:tblPr>
        <w:tblStyle w:val="40"/>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610"/>
        <w:gridCol w:w="5916"/>
      </w:tblGrid>
      <w:tr w14:paraId="53B29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421" w:type="pct"/>
            <w:noWrap w:val="0"/>
            <w:vAlign w:val="top"/>
          </w:tcPr>
          <w:p w14:paraId="1521E65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hanging="204" w:hangingChars="73"/>
              <w:jc w:val="distribute"/>
              <w:textAlignment w:val="auto"/>
              <w:rPr>
                <w:rFonts w:hint="eastAsia" w:ascii="仿宋" w:hAnsi="仿宋" w:eastAsia="仿宋" w:cs="仿宋"/>
                <w:b/>
                <w:bCs/>
                <w:sz w:val="28"/>
                <w:szCs w:val="28"/>
              </w:rPr>
            </w:pPr>
            <w:r>
              <w:rPr>
                <w:rFonts w:hint="eastAsia" w:ascii="仿宋" w:hAnsi="仿宋" w:eastAsia="仿宋" w:cs="仿宋"/>
                <w:b/>
                <w:bCs/>
                <w:sz w:val="28"/>
                <w:szCs w:val="28"/>
              </w:rPr>
              <w:t>采购人：</w:t>
            </w:r>
          </w:p>
        </w:tc>
        <w:tc>
          <w:tcPr>
            <w:tcW w:w="3578" w:type="pct"/>
            <w:noWrap w:val="0"/>
            <w:vAlign w:val="top"/>
          </w:tcPr>
          <w:p w14:paraId="406D48C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hanging="204" w:hangingChars="73"/>
              <w:jc w:val="left"/>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莎车县教育局</w:t>
            </w:r>
          </w:p>
        </w:tc>
      </w:tr>
      <w:tr w14:paraId="18F517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 w:hRule="atLeast"/>
        </w:trPr>
        <w:tc>
          <w:tcPr>
            <w:tcW w:w="1421" w:type="pct"/>
            <w:noWrap w:val="0"/>
            <w:vAlign w:val="top"/>
          </w:tcPr>
          <w:p w14:paraId="6C19311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hanging="204" w:hangingChars="73"/>
              <w:jc w:val="distribute"/>
              <w:textAlignment w:val="auto"/>
              <w:rPr>
                <w:rFonts w:hint="eastAsia" w:ascii="仿宋" w:hAnsi="仿宋" w:eastAsia="仿宋" w:cs="仿宋"/>
                <w:b/>
                <w:bCs/>
                <w:sz w:val="28"/>
                <w:szCs w:val="28"/>
              </w:rPr>
            </w:pPr>
            <w:r>
              <w:rPr>
                <w:rFonts w:hint="eastAsia" w:ascii="仿宋" w:hAnsi="仿宋" w:eastAsia="仿宋" w:cs="仿宋"/>
                <w:b/>
                <w:bCs/>
                <w:sz w:val="28"/>
                <w:szCs w:val="28"/>
              </w:rPr>
              <w:t>联系人：</w:t>
            </w:r>
          </w:p>
        </w:tc>
        <w:tc>
          <w:tcPr>
            <w:tcW w:w="3578" w:type="pct"/>
            <w:noWrap w:val="0"/>
            <w:vAlign w:val="top"/>
          </w:tcPr>
          <w:p w14:paraId="12345C1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hanging="204" w:hangingChars="73"/>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张老师</w:t>
            </w:r>
          </w:p>
        </w:tc>
      </w:tr>
      <w:tr w14:paraId="6D043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421" w:type="pct"/>
            <w:noWrap w:val="0"/>
            <w:vAlign w:val="top"/>
          </w:tcPr>
          <w:p w14:paraId="19772C7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hanging="204" w:hangingChars="73"/>
              <w:jc w:val="distribute"/>
              <w:textAlignment w:val="auto"/>
              <w:rPr>
                <w:rFonts w:hint="eastAsia" w:ascii="仿宋" w:hAnsi="仿宋" w:eastAsia="仿宋" w:cs="仿宋"/>
                <w:b/>
                <w:bCs/>
                <w:sz w:val="28"/>
                <w:szCs w:val="28"/>
              </w:rPr>
            </w:pPr>
            <w:r>
              <w:rPr>
                <w:rFonts w:hint="eastAsia" w:ascii="仿宋" w:hAnsi="仿宋" w:eastAsia="仿宋" w:cs="仿宋"/>
                <w:b/>
                <w:bCs/>
                <w:sz w:val="28"/>
                <w:szCs w:val="28"/>
              </w:rPr>
              <w:t>联系电话：</w:t>
            </w:r>
          </w:p>
        </w:tc>
        <w:tc>
          <w:tcPr>
            <w:tcW w:w="3578" w:type="pct"/>
            <w:noWrap w:val="0"/>
            <w:vAlign w:val="top"/>
          </w:tcPr>
          <w:p w14:paraId="7847B4F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hanging="204" w:hangingChars="73"/>
              <w:jc w:val="left"/>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highlight w:val="none"/>
                <w:lang w:val="en-US" w:eastAsia="zh-CN"/>
              </w:rPr>
              <w:t>0998-8511397</w:t>
            </w:r>
          </w:p>
        </w:tc>
      </w:tr>
      <w:tr w14:paraId="6F4FF3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421" w:type="pct"/>
            <w:noWrap w:val="0"/>
            <w:vAlign w:val="top"/>
          </w:tcPr>
          <w:p w14:paraId="50FCC3A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20" w:right="0" w:hanging="204" w:hangingChars="73"/>
              <w:jc w:val="left"/>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地</w:t>
            </w:r>
            <w:r>
              <w:rPr>
                <w:rFonts w:hint="eastAsia" w:ascii="仿宋" w:hAnsi="仿宋" w:eastAsia="仿宋" w:cs="仿宋"/>
                <w:b/>
                <w:bCs/>
                <w:sz w:val="28"/>
                <w:szCs w:val="28"/>
                <w:lang w:val="en-US" w:eastAsia="zh-CN"/>
              </w:rPr>
              <w:t xml:space="preserve">      </w:t>
            </w:r>
            <w:r>
              <w:rPr>
                <w:rFonts w:hint="eastAsia" w:ascii="仿宋" w:hAnsi="仿宋" w:eastAsia="仿宋" w:cs="仿宋"/>
                <w:b/>
                <w:bCs/>
                <w:sz w:val="28"/>
                <w:szCs w:val="28"/>
                <w:lang w:eastAsia="zh-CN"/>
              </w:rPr>
              <w:t>址</w:t>
            </w:r>
            <w:r>
              <w:rPr>
                <w:rFonts w:hint="eastAsia" w:ascii="仿宋" w:hAnsi="仿宋" w:eastAsia="仿宋" w:cs="仿宋"/>
                <w:b/>
                <w:bCs/>
                <w:sz w:val="28"/>
                <w:szCs w:val="28"/>
                <w:lang w:val="en-US" w:eastAsia="zh-CN"/>
              </w:rPr>
              <w:t xml:space="preserve">     </w:t>
            </w:r>
            <w:r>
              <w:rPr>
                <w:rFonts w:hint="eastAsia" w:ascii="仿宋" w:hAnsi="仿宋" w:eastAsia="仿宋" w:cs="仿宋"/>
                <w:b/>
                <w:bCs/>
                <w:sz w:val="28"/>
                <w:szCs w:val="28"/>
                <w:lang w:eastAsia="zh-CN"/>
              </w:rPr>
              <w:t>：</w:t>
            </w:r>
          </w:p>
        </w:tc>
        <w:tc>
          <w:tcPr>
            <w:tcW w:w="3578" w:type="pct"/>
            <w:noWrap w:val="0"/>
            <w:vAlign w:val="top"/>
          </w:tcPr>
          <w:p w14:paraId="000E2EB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20" w:right="0" w:hanging="204" w:hangingChars="73"/>
              <w:jc w:val="left"/>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highlight w:val="none"/>
                <w:lang w:val="en-US" w:eastAsia="zh-CN"/>
              </w:rPr>
              <w:t>莎车县齐乃巴格路8号</w:t>
            </w:r>
          </w:p>
        </w:tc>
      </w:tr>
      <w:tr w14:paraId="48972C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421" w:type="pct"/>
            <w:noWrap w:val="0"/>
            <w:vAlign w:val="top"/>
          </w:tcPr>
          <w:p w14:paraId="66B60DE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20" w:right="0" w:hanging="204" w:hangingChars="73"/>
              <w:jc w:val="distribute"/>
              <w:textAlignment w:val="auto"/>
              <w:rPr>
                <w:rFonts w:hint="eastAsia" w:ascii="仿宋" w:hAnsi="仿宋" w:eastAsia="仿宋" w:cs="仿宋"/>
                <w:b/>
                <w:bCs/>
                <w:sz w:val="28"/>
                <w:szCs w:val="28"/>
              </w:rPr>
            </w:pPr>
          </w:p>
          <w:p w14:paraId="763FE9E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20" w:right="0" w:hanging="204" w:hangingChars="73"/>
              <w:jc w:val="distribute"/>
              <w:textAlignment w:val="auto"/>
              <w:rPr>
                <w:rFonts w:hint="eastAsia" w:ascii="仿宋" w:hAnsi="仿宋" w:eastAsia="仿宋" w:cs="仿宋"/>
                <w:b/>
                <w:bCs/>
                <w:sz w:val="20"/>
                <w:szCs w:val="22"/>
              </w:rPr>
            </w:pPr>
            <w:r>
              <w:rPr>
                <w:rFonts w:hint="eastAsia" w:ascii="仿宋" w:hAnsi="仿宋" w:eastAsia="仿宋" w:cs="仿宋"/>
                <w:b/>
                <w:bCs/>
                <w:sz w:val="28"/>
                <w:szCs w:val="28"/>
              </w:rPr>
              <w:t>代理机构：</w:t>
            </w:r>
          </w:p>
        </w:tc>
        <w:tc>
          <w:tcPr>
            <w:tcW w:w="3578" w:type="pct"/>
            <w:noWrap w:val="0"/>
            <w:vAlign w:val="top"/>
          </w:tcPr>
          <w:p w14:paraId="5D3548A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20" w:right="0" w:hanging="204" w:hangingChars="73"/>
              <w:jc w:val="left"/>
              <w:textAlignment w:val="auto"/>
              <w:rPr>
                <w:rFonts w:hint="eastAsia" w:ascii="仿宋" w:hAnsi="仿宋" w:eastAsia="仿宋" w:cs="仿宋"/>
                <w:b/>
                <w:bCs/>
                <w:sz w:val="28"/>
                <w:szCs w:val="28"/>
                <w:lang w:eastAsia="zh-CN"/>
              </w:rPr>
            </w:pPr>
          </w:p>
          <w:p w14:paraId="77003AA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20" w:right="0" w:hanging="204" w:hangingChars="73"/>
              <w:jc w:val="left"/>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新疆新华远景工程造价咨询有限公司</w:t>
            </w:r>
          </w:p>
        </w:tc>
      </w:tr>
      <w:tr w14:paraId="609408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421" w:type="pct"/>
            <w:noWrap w:val="0"/>
            <w:vAlign w:val="top"/>
          </w:tcPr>
          <w:p w14:paraId="7CCE2DC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441" w:leftChars="0" w:right="0" w:hanging="2441" w:hangingChars="872"/>
              <w:jc w:val="distribute"/>
              <w:textAlignment w:val="auto"/>
              <w:rPr>
                <w:rFonts w:hint="eastAsia" w:ascii="仿宋" w:hAnsi="仿宋" w:eastAsia="仿宋" w:cs="仿宋"/>
                <w:b/>
                <w:bCs/>
                <w:kern w:val="2"/>
                <w:sz w:val="20"/>
                <w:szCs w:val="22"/>
                <w:lang w:val="en-US" w:eastAsia="zh-CN" w:bidi="ar-SA"/>
              </w:rPr>
            </w:pPr>
            <w:r>
              <w:rPr>
                <w:rFonts w:hint="eastAsia" w:ascii="仿宋" w:hAnsi="仿宋" w:eastAsia="仿宋" w:cs="仿宋"/>
                <w:b/>
                <w:bCs/>
                <w:sz w:val="28"/>
                <w:szCs w:val="28"/>
              </w:rPr>
              <w:t>联系人：</w:t>
            </w:r>
          </w:p>
        </w:tc>
        <w:tc>
          <w:tcPr>
            <w:tcW w:w="3578" w:type="pct"/>
            <w:noWrap w:val="0"/>
            <w:vAlign w:val="top"/>
          </w:tcPr>
          <w:p w14:paraId="170DA22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04" w:leftChars="0" w:right="0" w:hanging="204" w:hangingChars="73"/>
              <w:jc w:val="left"/>
              <w:textAlignment w:val="auto"/>
              <w:rPr>
                <w:rFonts w:hint="eastAsia" w:ascii="仿宋" w:hAnsi="仿宋" w:eastAsia="仿宋" w:cs="仿宋"/>
                <w:b/>
                <w:bCs/>
                <w:kern w:val="2"/>
                <w:sz w:val="28"/>
                <w:szCs w:val="28"/>
                <w:lang w:val="en-US" w:eastAsia="zh-CN" w:bidi="ar-SA"/>
              </w:rPr>
            </w:pPr>
            <w:r>
              <w:rPr>
                <w:rFonts w:hint="eastAsia" w:ascii="仿宋" w:hAnsi="仿宋" w:eastAsia="仿宋" w:cs="仿宋"/>
                <w:b/>
                <w:bCs/>
                <w:sz w:val="28"/>
                <w:szCs w:val="28"/>
                <w:lang w:eastAsia="zh-CN"/>
              </w:rPr>
              <w:t>赵睿</w:t>
            </w:r>
          </w:p>
        </w:tc>
      </w:tr>
      <w:tr w14:paraId="12294C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421" w:type="pct"/>
            <w:noWrap w:val="0"/>
            <w:vAlign w:val="top"/>
          </w:tcPr>
          <w:p w14:paraId="2B72F83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04" w:leftChars="0" w:right="0" w:hanging="204" w:hangingChars="73"/>
              <w:jc w:val="distribute"/>
              <w:textAlignment w:val="auto"/>
              <w:rPr>
                <w:rFonts w:hint="eastAsia" w:ascii="仿宋" w:hAnsi="仿宋" w:eastAsia="仿宋" w:cs="仿宋"/>
                <w:b/>
                <w:bCs/>
                <w:kern w:val="2"/>
                <w:sz w:val="28"/>
                <w:szCs w:val="28"/>
                <w:lang w:val="en-US" w:eastAsia="zh-CN" w:bidi="ar-SA"/>
              </w:rPr>
            </w:pPr>
            <w:r>
              <w:rPr>
                <w:rFonts w:hint="eastAsia" w:ascii="仿宋" w:hAnsi="仿宋" w:eastAsia="仿宋" w:cs="仿宋"/>
                <w:b/>
                <w:bCs/>
                <w:sz w:val="28"/>
                <w:szCs w:val="28"/>
              </w:rPr>
              <w:t>联系电话：</w:t>
            </w:r>
          </w:p>
        </w:tc>
        <w:tc>
          <w:tcPr>
            <w:tcW w:w="3578" w:type="pct"/>
            <w:noWrap w:val="0"/>
            <w:vAlign w:val="top"/>
          </w:tcPr>
          <w:p w14:paraId="11AFD47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04" w:leftChars="0" w:right="0" w:hanging="204" w:hangingChars="73"/>
              <w:jc w:val="left"/>
              <w:textAlignment w:val="auto"/>
              <w:rPr>
                <w:rFonts w:hint="eastAsia" w:ascii="仿宋" w:hAnsi="仿宋" w:eastAsia="仿宋" w:cs="仿宋"/>
                <w:b/>
                <w:bCs/>
                <w:kern w:val="2"/>
                <w:sz w:val="28"/>
                <w:szCs w:val="28"/>
                <w:lang w:val="en-US" w:eastAsia="zh-CN" w:bidi="ar-SA"/>
              </w:rPr>
            </w:pPr>
            <w:r>
              <w:rPr>
                <w:rFonts w:hint="eastAsia" w:ascii="仿宋" w:hAnsi="仿宋" w:eastAsia="仿宋" w:cs="仿宋"/>
                <w:b/>
                <w:bCs/>
                <w:sz w:val="28"/>
                <w:szCs w:val="28"/>
                <w:lang w:val="en-US" w:eastAsia="zh-CN"/>
              </w:rPr>
              <w:t>19999458925</w:t>
            </w:r>
          </w:p>
        </w:tc>
      </w:tr>
      <w:tr w14:paraId="663B35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421" w:type="pct"/>
            <w:noWrap w:val="0"/>
            <w:vAlign w:val="top"/>
          </w:tcPr>
          <w:p w14:paraId="4F0E6AC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20" w:right="0" w:hanging="204" w:hangingChars="73"/>
              <w:jc w:val="distribute"/>
              <w:textAlignment w:val="auto"/>
              <w:rPr>
                <w:rFonts w:hint="eastAsia" w:ascii="仿宋" w:hAnsi="仿宋" w:eastAsia="仿宋" w:cs="仿宋"/>
                <w:b/>
                <w:bCs/>
                <w:sz w:val="20"/>
                <w:szCs w:val="22"/>
              </w:rPr>
            </w:pPr>
            <w:r>
              <w:rPr>
                <w:rFonts w:hint="eastAsia" w:ascii="仿宋" w:hAnsi="仿宋" w:eastAsia="仿宋" w:cs="仿宋"/>
                <w:b/>
                <w:bCs/>
                <w:sz w:val="28"/>
                <w:szCs w:val="28"/>
              </w:rPr>
              <w:t>代理机构地址：</w:t>
            </w:r>
          </w:p>
        </w:tc>
        <w:tc>
          <w:tcPr>
            <w:tcW w:w="3578" w:type="pct"/>
            <w:noWrap w:val="0"/>
            <w:vAlign w:val="top"/>
          </w:tcPr>
          <w:p w14:paraId="48F7AE5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220" w:right="0" w:hanging="204" w:hangingChars="73"/>
              <w:jc w:val="left"/>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喀什地区莎车县团结路浙商大酒店</w:t>
            </w:r>
            <w:r>
              <w:rPr>
                <w:rFonts w:hint="eastAsia" w:ascii="仿宋" w:hAnsi="仿宋" w:eastAsia="仿宋" w:cs="仿宋"/>
                <w:b/>
                <w:bCs/>
                <w:sz w:val="28"/>
                <w:szCs w:val="28"/>
                <w:lang w:val="en-US" w:eastAsia="zh-CN"/>
              </w:rPr>
              <w:t>5楼</w:t>
            </w:r>
            <w:r>
              <w:rPr>
                <w:rFonts w:hint="eastAsia" w:ascii="仿宋" w:hAnsi="仿宋" w:eastAsia="仿宋" w:cs="仿宋"/>
                <w:b/>
                <w:bCs/>
                <w:sz w:val="28"/>
                <w:szCs w:val="28"/>
                <w:lang w:eastAsia="zh-CN"/>
              </w:rPr>
              <w:t>50</w:t>
            </w:r>
            <w:r>
              <w:rPr>
                <w:rFonts w:hint="eastAsia" w:ascii="仿宋" w:hAnsi="仿宋" w:eastAsia="仿宋" w:cs="仿宋"/>
                <w:b/>
                <w:bCs/>
                <w:sz w:val="28"/>
                <w:szCs w:val="28"/>
                <w:lang w:val="en-US" w:eastAsia="zh-CN"/>
              </w:rPr>
              <w:t>7</w:t>
            </w:r>
            <w:r>
              <w:rPr>
                <w:rFonts w:hint="eastAsia" w:ascii="仿宋" w:hAnsi="仿宋" w:eastAsia="仿宋" w:cs="仿宋"/>
                <w:b/>
                <w:bCs/>
                <w:sz w:val="28"/>
                <w:szCs w:val="28"/>
                <w:lang w:eastAsia="zh-CN"/>
              </w:rPr>
              <w:t xml:space="preserve"> 室</w:t>
            </w:r>
          </w:p>
        </w:tc>
      </w:tr>
      <w:tr w14:paraId="4B06E0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421" w:type="pct"/>
            <w:noWrap w:val="0"/>
            <w:vAlign w:val="top"/>
          </w:tcPr>
          <w:p w14:paraId="43F05F0B">
            <w:pPr>
              <w:keepNext w:val="0"/>
              <w:keepLines w:val="0"/>
              <w:suppressLineNumbers w:val="0"/>
              <w:spacing w:before="0" w:beforeAutospacing="0" w:after="0" w:afterAutospacing="0"/>
              <w:ind w:left="220" w:right="0" w:hanging="204" w:hangingChars="73"/>
              <w:jc w:val="distribute"/>
              <w:rPr>
                <w:rFonts w:hint="eastAsia" w:ascii="仿宋" w:hAnsi="仿宋" w:eastAsia="仿宋" w:cs="仿宋"/>
                <w:b/>
                <w:bCs/>
                <w:sz w:val="28"/>
                <w:szCs w:val="28"/>
              </w:rPr>
            </w:pPr>
          </w:p>
        </w:tc>
        <w:tc>
          <w:tcPr>
            <w:tcW w:w="3578" w:type="pct"/>
            <w:noWrap w:val="0"/>
            <w:vAlign w:val="top"/>
          </w:tcPr>
          <w:p w14:paraId="113159E8">
            <w:pPr>
              <w:keepNext w:val="0"/>
              <w:keepLines w:val="0"/>
              <w:suppressLineNumbers w:val="0"/>
              <w:spacing w:before="0" w:beforeAutospacing="0" w:after="0" w:afterAutospacing="0"/>
              <w:ind w:left="220" w:right="0" w:hanging="204" w:hangingChars="73"/>
              <w:jc w:val="left"/>
              <w:rPr>
                <w:rFonts w:hint="eastAsia" w:ascii="仿宋" w:hAnsi="仿宋" w:eastAsia="仿宋" w:cs="仿宋"/>
                <w:b/>
                <w:bCs/>
                <w:sz w:val="28"/>
                <w:szCs w:val="28"/>
              </w:rPr>
            </w:pPr>
          </w:p>
        </w:tc>
      </w:tr>
      <w:tr w14:paraId="084EDF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421" w:type="pct"/>
            <w:noWrap w:val="0"/>
            <w:vAlign w:val="top"/>
          </w:tcPr>
          <w:p w14:paraId="4778D5D1">
            <w:pPr>
              <w:keepNext w:val="0"/>
              <w:keepLines w:val="0"/>
              <w:suppressLineNumbers w:val="0"/>
              <w:spacing w:before="0" w:beforeAutospacing="0" w:after="0" w:afterAutospacing="0"/>
              <w:ind w:left="2626" w:right="0" w:hanging="2441" w:hangingChars="872"/>
              <w:jc w:val="distribute"/>
              <w:rPr>
                <w:rFonts w:hint="eastAsia" w:ascii="仿宋" w:hAnsi="仿宋" w:eastAsia="仿宋" w:cs="仿宋"/>
                <w:sz w:val="20"/>
                <w:szCs w:val="22"/>
              </w:rPr>
            </w:pPr>
            <w:r>
              <w:rPr>
                <w:rFonts w:hint="eastAsia" w:ascii="仿宋" w:hAnsi="仿宋" w:eastAsia="仿宋" w:cs="仿宋"/>
                <w:b/>
                <w:bCs/>
                <w:sz w:val="28"/>
                <w:szCs w:val="28"/>
                <w:lang w:eastAsia="zh-CN"/>
              </w:rPr>
              <w:t>发出日期</w:t>
            </w:r>
            <w:r>
              <w:rPr>
                <w:rFonts w:hint="eastAsia" w:ascii="仿宋" w:hAnsi="仿宋" w:eastAsia="仿宋" w:cs="仿宋"/>
                <w:b/>
                <w:bCs/>
                <w:sz w:val="28"/>
                <w:szCs w:val="28"/>
              </w:rPr>
              <w:t>：</w:t>
            </w:r>
          </w:p>
        </w:tc>
        <w:tc>
          <w:tcPr>
            <w:tcW w:w="3578" w:type="pct"/>
            <w:noWrap w:val="0"/>
            <w:vAlign w:val="top"/>
          </w:tcPr>
          <w:p w14:paraId="4519A4F7">
            <w:pPr>
              <w:keepNext w:val="0"/>
              <w:keepLines w:val="0"/>
              <w:suppressLineNumbers w:val="0"/>
              <w:spacing w:before="0" w:beforeAutospacing="0" w:after="0" w:afterAutospacing="0"/>
              <w:ind w:left="220" w:right="0" w:hanging="204" w:hangingChars="73"/>
              <w:jc w:val="left"/>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二〇二五年四月</w:t>
            </w:r>
          </w:p>
        </w:tc>
      </w:tr>
    </w:tbl>
    <w:p w14:paraId="190F27EE">
      <w:pPr>
        <w:spacing w:line="240" w:lineRule="atLeast"/>
        <w:ind w:left="1079" w:leftChars="257" w:hanging="540"/>
        <w:jc w:val="center"/>
        <w:rPr>
          <w:rFonts w:hint="eastAsia" w:ascii="仿宋" w:hAnsi="仿宋" w:eastAsia="仿宋" w:cs="仿宋"/>
          <w:b/>
          <w:color w:val="auto"/>
          <w:sz w:val="32"/>
          <w:highlight w:val="none"/>
        </w:rPr>
        <w:sectPr>
          <w:headerReference r:id="rId3" w:type="default"/>
          <w:footerReference r:id="rId4"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p>
    <w:p w14:paraId="29577A73">
      <w:pPr>
        <w:spacing w:line="240" w:lineRule="atLeast"/>
        <w:ind w:left="1079" w:leftChars="257" w:hanging="54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目  录</w:t>
      </w:r>
    </w:p>
    <w:p w14:paraId="38FBE537">
      <w:pPr>
        <w:spacing w:line="240" w:lineRule="atLeast"/>
        <w:ind w:left="1079" w:leftChars="257" w:hanging="540"/>
        <w:jc w:val="center"/>
        <w:rPr>
          <w:rFonts w:hint="eastAsia" w:ascii="仿宋" w:hAnsi="仿宋" w:eastAsia="仿宋" w:cs="仿宋"/>
          <w:b/>
          <w:color w:val="auto"/>
          <w:sz w:val="32"/>
          <w:highlight w:val="none"/>
        </w:rPr>
      </w:pPr>
    </w:p>
    <w:p w14:paraId="57D631C7">
      <w:pPr>
        <w:pStyle w:val="24"/>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color w:val="auto"/>
          <w:kern w:val="0"/>
          <w:szCs w:val="21"/>
          <w:highlight w:val="none"/>
        </w:rPr>
        <w:instrText xml:space="preserve"> TOC \o "1-3" \h \z \u </w:instrText>
      </w:r>
      <w:r>
        <w:rPr>
          <w:rFonts w:hint="eastAsia" w:ascii="仿宋" w:hAnsi="仿宋" w:eastAsia="仿宋" w:cs="仿宋"/>
          <w:color w:val="auto"/>
          <w:kern w:val="0"/>
          <w:szCs w:val="21"/>
          <w:highlight w:val="none"/>
        </w:rPr>
        <w:fldChar w:fldCharType="separate"/>
      </w: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_Toc1229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eastAsia="zh-CN"/>
        </w:rPr>
        <w:t>第一章</w:t>
      </w:r>
      <w:r>
        <w:rPr>
          <w:rFonts w:hint="eastAsia" w:ascii="仿宋" w:hAnsi="仿宋" w:eastAsia="仿宋" w:cs="仿宋"/>
          <w:highlight w:val="none"/>
          <w:lang w:val="en-US" w:eastAsia="zh-CN"/>
        </w:rPr>
        <w:t xml:space="preserve">  </w:t>
      </w:r>
      <w:r>
        <w:rPr>
          <w:rFonts w:hint="eastAsia" w:ascii="仿宋" w:hAnsi="仿宋" w:eastAsia="仿宋" w:cs="仿宋"/>
          <w:highlight w:val="none"/>
        </w:rPr>
        <w:t>投标人须知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_Toc1229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300D52CB">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_Toc17933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一   总 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_Toc17933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4A7CC2D">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_Toc31366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1.采购人、采购代理机构及投标人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_Toc31366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5703746D">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_Toc12958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2.资金来源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_Toc12958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E8FE33D">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_Toc3902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3.投标费用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_Toc3902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067561E2">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_Toc6740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4.适用法律</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_Toc6740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77D0868F">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_Toc18204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二   招标文件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_Toc18204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567ACBB3">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_Toc985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5.招标文件构成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_Toc985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0E1DB798">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_Toc15577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6.招标文件的澄清与修改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_Toc15577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7D15C6E2">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_Toc23271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7.投标截止时间的顺延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_Toc23271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0E7254D">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_Toc8578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三   投标文件的编制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_Toc8578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F31CEF9">
      <w:pPr>
        <w:pStyle w:val="16"/>
        <w:tabs>
          <w:tab w:val="right" w:pos="3600"/>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_Toc14224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8.</w:t>
      </w:r>
      <w:r>
        <w:rPr>
          <w:rFonts w:hint="eastAsia" w:ascii="仿宋" w:hAnsi="仿宋" w:eastAsia="仿宋" w:cs="仿宋"/>
          <w:highlight w:val="none"/>
        </w:rPr>
        <w:tab/>
      </w:r>
      <w:r>
        <w:rPr>
          <w:rFonts w:hint="eastAsia" w:ascii="仿宋" w:hAnsi="仿宋" w:eastAsia="仿宋" w:cs="仿宋"/>
          <w:highlight w:val="none"/>
        </w:rPr>
        <w:t>投标范围及投标文件中标准和计量单位的使用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_Toc14224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0199CA0D">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_Toc4918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9.</w:t>
      </w:r>
      <w:r>
        <w:rPr>
          <w:rFonts w:hint="eastAsia" w:ascii="仿宋" w:hAnsi="仿宋" w:eastAsia="仿宋" w:cs="仿宋"/>
          <w:highlight w:val="none"/>
          <w:lang w:val="en-US" w:eastAsia="zh-CN"/>
        </w:rPr>
        <w:t xml:space="preserve"> </w:t>
      </w:r>
      <w:r>
        <w:rPr>
          <w:rFonts w:hint="eastAsia" w:ascii="仿宋" w:hAnsi="仿宋" w:eastAsia="仿宋" w:cs="仿宋"/>
          <w:highlight w:val="none"/>
        </w:rPr>
        <w:t>投标文件构成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_Toc4918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AEF3AE2">
      <w:pPr>
        <w:pStyle w:val="16"/>
        <w:tabs>
          <w:tab w:val="right" w:pos="3600"/>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_Toc21637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10.</w:t>
      </w:r>
      <w:r>
        <w:rPr>
          <w:rFonts w:hint="eastAsia" w:ascii="仿宋" w:hAnsi="仿宋" w:eastAsia="仿宋" w:cs="仿宋"/>
          <w:highlight w:val="none"/>
        </w:rPr>
        <w:tab/>
      </w:r>
      <w:r>
        <w:rPr>
          <w:rFonts w:hint="eastAsia" w:ascii="仿宋" w:hAnsi="仿宋" w:eastAsia="仿宋" w:cs="仿宋"/>
          <w:highlight w:val="none"/>
        </w:rPr>
        <w:t>证明投标标的的合格性和符合招标文件规定的技术文件</w:t>
      </w:r>
      <w:r>
        <w:rPr>
          <w:rFonts w:hint="eastAsia" w:ascii="仿宋" w:hAnsi="仿宋" w:eastAsia="仿宋" w:cs="仿宋"/>
          <w:highlight w:val="none"/>
          <w:lang w:eastAsia="zh-CN"/>
        </w:rPr>
        <w:t>。</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_Toc21637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5460245">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_Toc19139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11.投标报价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_Toc19139 \h </w:instrText>
      </w:r>
      <w:r>
        <w:rPr>
          <w:rFonts w:hint="eastAsia" w:ascii="仿宋" w:hAnsi="仿宋" w:eastAsia="仿宋" w:cs="仿宋"/>
        </w:rPr>
        <w:fldChar w:fldCharType="separate"/>
      </w:r>
      <w:r>
        <w:rPr>
          <w:rFonts w:hint="eastAsia" w:ascii="仿宋" w:hAnsi="仿宋" w:eastAsia="仿宋" w:cs="仿宋"/>
        </w:rPr>
        <w:t>7</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522606E9">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_Toc21682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12.投标保证金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_Toc21682 \h </w:instrText>
      </w:r>
      <w:r>
        <w:rPr>
          <w:rFonts w:hint="eastAsia" w:ascii="仿宋" w:hAnsi="仿宋" w:eastAsia="仿宋" w:cs="仿宋"/>
        </w:rPr>
        <w:fldChar w:fldCharType="separate"/>
      </w:r>
      <w:r>
        <w:rPr>
          <w:rFonts w:hint="eastAsia" w:ascii="仿宋" w:hAnsi="仿宋" w:eastAsia="仿宋" w:cs="仿宋"/>
        </w:rPr>
        <w:t>7</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1EF3A7E">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_Toc24411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13.投标有效期</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_Toc24411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0E2FDE18">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_Toc15025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14.投标文件的签署及规定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_Toc15025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C4974A0">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_Toc6321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四   投标文件的递交</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_Toc6321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8A33320">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_Toc18654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15.投标文件的密封和标记</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_Toc18654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FAB638C">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_Toc19261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16.投标截止</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_Toc19261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5D55345">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_Toc30490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17.投标文件的接收、修改与撤回</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_Toc30490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135BA0A">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_Toc22404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五   开标及评标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_Toc22404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BB132F6">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_Toc21366 </w:instrText>
      </w:r>
      <w:r>
        <w:rPr>
          <w:rFonts w:hint="eastAsia" w:ascii="仿宋" w:hAnsi="仿宋" w:eastAsia="仿宋" w:cs="仿宋"/>
          <w:kern w:val="0"/>
          <w:szCs w:val="21"/>
          <w:highlight w:val="none"/>
        </w:rPr>
        <w:fldChar w:fldCharType="separate"/>
      </w:r>
      <w:r>
        <w:rPr>
          <w:rFonts w:hint="eastAsia" w:ascii="仿宋" w:hAnsi="仿宋" w:eastAsia="仿宋" w:cs="仿宋"/>
        </w:rPr>
        <w:t xml:space="preserve">18. </w:t>
      </w:r>
      <w:r>
        <w:rPr>
          <w:rFonts w:hint="eastAsia" w:ascii="仿宋" w:hAnsi="仿宋" w:eastAsia="仿宋" w:cs="仿宋"/>
          <w:highlight w:val="none"/>
        </w:rPr>
        <w:t>开标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_Toc21366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3373F741">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_Toc27780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19.资格审查及组建评标委员会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_Toc27780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63FB405">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_Toc3419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20.投标文件符合性审查与澄清</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_Toc3419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E11C47D">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_Toc28355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21.投标偏离</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_Toc28355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972C48D">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_Toc9973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22.投标无效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_Toc9973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466B1B6">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_Toc12431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23.比较与评价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_Toc12431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06DC3ED3">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_Toc26340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24.废标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_Toc26340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34BB9B49">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_Toc19816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25.保密原则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_Toc19816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58F800BB">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_Toc13442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六   确定中标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_Toc13442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0AC6D2CE">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_Toc18872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26.中标候选人的确定原则及标准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_Toc18872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749723C">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_Toc6968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27.确定中标候选人和中标人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_Toc6968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46501474">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_Toc24895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28.采购任务取消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_Toc24895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5590445C">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_Toc21957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29.中标通知书和招标结果通知书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_Toc21957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3F30FA49">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_Toc473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30.签订合同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_Toc473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99915AC">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_Toc2138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32.中标服务费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_Toc2138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B94E71F">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_Toc7567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33.政府采购信用担保</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_Toc7567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4FDFF70">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_Toc18681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34.廉洁自律规定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_Toc18681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010FFA2">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_Toc5647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35.人员回避</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_Toc5647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4217BAAA">
      <w:pPr>
        <w:pStyle w:val="16"/>
        <w:tabs>
          <w:tab w:val="right" w:leader="dot" w:pos="8312"/>
          <w:tab w:val="clear" w:pos="1260"/>
          <w:tab w:val="clear" w:pos="8630"/>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_Toc20353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36.质疑与</w:t>
      </w:r>
      <w:r>
        <w:rPr>
          <w:rFonts w:hint="eastAsia" w:ascii="仿宋" w:hAnsi="仿宋" w:eastAsia="仿宋" w:cs="仿宋"/>
          <w:highlight w:val="none"/>
          <w:lang w:eastAsia="zh-CN"/>
        </w:rPr>
        <w:t>投诉</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_Toc20353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35E00FE">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_Toc21756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附件1：履约保证金保函（格式）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_Toc21756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5FD60340">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_Toc13122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附件2：履约担保函格式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_Toc13122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6D52A08">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_Toc32701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（采用政府采购信用担保形式时使用）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_Toc32701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819CA88">
      <w:pPr>
        <w:pStyle w:val="24"/>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_Toc2579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eastAsia="zh-CN"/>
        </w:rPr>
        <w:t>第</w:t>
      </w:r>
      <w:r>
        <w:rPr>
          <w:rFonts w:hint="eastAsia" w:ascii="仿宋" w:hAnsi="仿宋" w:eastAsia="仿宋" w:cs="仿宋"/>
          <w:highlight w:val="none"/>
          <w:lang w:val="en-US" w:eastAsia="zh-CN"/>
        </w:rPr>
        <w:t xml:space="preserve">2章    </w:t>
      </w:r>
      <w:r>
        <w:rPr>
          <w:rFonts w:hint="eastAsia" w:ascii="仿宋" w:hAnsi="仿宋" w:eastAsia="仿宋" w:cs="仿宋"/>
          <w:highlight w:val="none"/>
        </w:rPr>
        <w:t>投标文件格式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_Toc2579 \h </w:instrText>
      </w:r>
      <w:r>
        <w:rPr>
          <w:rFonts w:hint="eastAsia" w:ascii="仿宋" w:hAnsi="仿宋" w:eastAsia="仿宋" w:cs="仿宋"/>
        </w:rPr>
        <w:fldChar w:fldCharType="separate"/>
      </w:r>
      <w:r>
        <w:rPr>
          <w:rFonts w:hint="eastAsia" w:ascii="仿宋" w:hAnsi="仿宋" w:eastAsia="仿宋" w:cs="仿宋"/>
        </w:rPr>
        <w:t>22</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0FF2619">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_Toc27308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第一部分 开标一览表及资格证明文件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_Toc27308 \h </w:instrText>
      </w:r>
      <w:r>
        <w:rPr>
          <w:rFonts w:hint="eastAsia" w:ascii="仿宋" w:hAnsi="仿宋" w:eastAsia="仿宋" w:cs="仿宋"/>
        </w:rPr>
        <w:fldChar w:fldCharType="separate"/>
      </w:r>
      <w:r>
        <w:rPr>
          <w:rFonts w:hint="eastAsia" w:ascii="仿宋" w:hAnsi="仿宋" w:eastAsia="仿宋" w:cs="仿宋"/>
        </w:rPr>
        <w:t>22</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C444F77">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_Toc7489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1  开标一览表（投标文件格式一）</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_Toc7489 \h </w:instrText>
      </w:r>
      <w:r>
        <w:rPr>
          <w:rFonts w:hint="eastAsia" w:ascii="仿宋" w:hAnsi="仿宋" w:eastAsia="仿宋" w:cs="仿宋"/>
        </w:rPr>
        <w:fldChar w:fldCharType="separate"/>
      </w:r>
      <w:r>
        <w:rPr>
          <w:rFonts w:hint="eastAsia" w:ascii="仿宋" w:hAnsi="仿宋" w:eastAsia="仿宋" w:cs="仿宋"/>
        </w:rPr>
        <w:t>23</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3022E965">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_Toc20180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 xml:space="preserve">2  </w:t>
      </w:r>
      <w:r>
        <w:rPr>
          <w:rFonts w:hint="eastAsia" w:ascii="仿宋" w:hAnsi="仿宋" w:eastAsia="仿宋" w:cs="仿宋"/>
          <w:highlight w:val="none"/>
          <w:lang w:eastAsia="zh-CN"/>
        </w:rPr>
        <w:t>法人或者非法人组织的营业执照等证明文件或自然人的身份证明</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_Toc20180 \h </w:instrText>
      </w:r>
      <w:r>
        <w:rPr>
          <w:rFonts w:hint="eastAsia" w:ascii="仿宋" w:hAnsi="仿宋" w:eastAsia="仿宋" w:cs="仿宋"/>
        </w:rPr>
        <w:fldChar w:fldCharType="separate"/>
      </w:r>
      <w:r>
        <w:rPr>
          <w:rFonts w:hint="eastAsia" w:ascii="仿宋" w:hAnsi="仿宋" w:eastAsia="仿宋" w:cs="仿宋"/>
        </w:rPr>
        <w:t>24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4A97D46E">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_Toc19153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 xml:space="preserve">3  </w:t>
      </w:r>
      <w:r>
        <w:rPr>
          <w:rFonts w:hint="eastAsia" w:ascii="仿宋" w:hAnsi="仿宋" w:eastAsia="仿宋" w:cs="仿宋"/>
          <w:szCs w:val="24"/>
        </w:rPr>
        <w:t>法定代表人资格证明书或法人授权委托书及被授权人身份证</w:t>
      </w:r>
      <w:r>
        <w:rPr>
          <w:rFonts w:hint="eastAsia" w:ascii="仿宋" w:hAnsi="仿宋" w:eastAsia="仿宋" w:cs="仿宋"/>
          <w:highlight w:val="none"/>
        </w:rPr>
        <w:t>(投标文件格式二，自然人投标的无需提供)</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_Toc19153 \h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A4774BA">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_Toc7849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3.1法定代表人身份证明</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_Toc7849 \h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EE399CC">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_Toc7654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3.2法定代表人授权委托书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_Toc7654 \h </w:instrText>
      </w:r>
      <w:r>
        <w:rPr>
          <w:rFonts w:hint="eastAsia" w:ascii="仿宋" w:hAnsi="仿宋" w:eastAsia="仿宋" w:cs="仿宋"/>
        </w:rPr>
        <w:fldChar w:fldCharType="separate"/>
      </w:r>
      <w:r>
        <w:rPr>
          <w:rFonts w:hint="eastAsia" w:ascii="仿宋" w:hAnsi="仿宋" w:eastAsia="仿宋" w:cs="仿宋"/>
        </w:rPr>
        <w:t>26</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E050A71">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_Toc31058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 xml:space="preserve">4  </w:t>
      </w:r>
      <w:r>
        <w:rPr>
          <w:rFonts w:hint="eastAsia" w:ascii="仿宋" w:hAnsi="仿宋" w:eastAsia="仿宋" w:cs="仿宋"/>
          <w:highlight w:val="none"/>
        </w:rPr>
        <w:t>社会保障资金的缴纳记录</w:t>
      </w:r>
      <w:r>
        <w:rPr>
          <w:rFonts w:hint="eastAsia" w:ascii="仿宋" w:hAnsi="仿宋" w:eastAsia="仿宋" w:cs="仿宋"/>
          <w:highlight w:val="none"/>
          <w:lang w:val="en-US" w:eastAsia="zh-CN"/>
        </w:rPr>
        <w:t>及依法缴纳税收良好记录证明</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_Toc31058 \h </w:instrText>
      </w:r>
      <w:r>
        <w:rPr>
          <w:rFonts w:hint="eastAsia" w:ascii="仿宋" w:hAnsi="仿宋" w:eastAsia="仿宋" w:cs="仿宋"/>
        </w:rPr>
        <w:fldChar w:fldCharType="separate"/>
      </w:r>
      <w:r>
        <w:rPr>
          <w:rFonts w:hint="eastAsia" w:ascii="仿宋" w:hAnsi="仿宋" w:eastAsia="仿宋" w:cs="仿宋"/>
        </w:rPr>
        <w:t>27</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4D2B5B43">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_Toc16207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5  具有良好的商业信誉和健全的财务会计制度的证明文件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_Toc16207 \h </w:instrText>
      </w:r>
      <w:r>
        <w:rPr>
          <w:rFonts w:hint="eastAsia" w:ascii="仿宋" w:hAnsi="仿宋" w:eastAsia="仿宋" w:cs="仿宋"/>
        </w:rPr>
        <w:fldChar w:fldCharType="separate"/>
      </w:r>
      <w:r>
        <w:rPr>
          <w:rFonts w:hint="eastAsia" w:ascii="仿宋" w:hAnsi="仿宋" w:eastAsia="仿宋" w:cs="仿宋"/>
        </w:rPr>
        <w:t>28</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4C006DF4">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_Toc31110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6</w:t>
      </w:r>
      <w:r>
        <w:rPr>
          <w:rFonts w:hint="eastAsia" w:ascii="仿宋" w:hAnsi="仿宋" w:eastAsia="仿宋" w:cs="仿宋"/>
          <w:highlight w:val="none"/>
        </w:rPr>
        <w:t xml:space="preserve">  投标保证金缴纳凭证或投标担保函</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_Toc31110 \h </w:instrText>
      </w:r>
      <w:r>
        <w:rPr>
          <w:rFonts w:hint="eastAsia" w:ascii="仿宋" w:hAnsi="仿宋" w:eastAsia="仿宋" w:cs="仿宋"/>
        </w:rPr>
        <w:fldChar w:fldCharType="separate"/>
      </w:r>
      <w:r>
        <w:rPr>
          <w:rFonts w:hint="eastAsia" w:ascii="仿宋" w:hAnsi="仿宋" w:eastAsia="仿宋" w:cs="仿宋"/>
        </w:rPr>
        <w:t>29</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EA5F7C9">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_Toc10118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7  参加政府采购活动前3年内在经营活动中没有重大违法记录的书面声明</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_Toc10118 \h </w:instrText>
      </w:r>
      <w:r>
        <w:rPr>
          <w:rFonts w:hint="eastAsia" w:ascii="仿宋" w:hAnsi="仿宋" w:eastAsia="仿宋" w:cs="仿宋"/>
        </w:rPr>
        <w:fldChar w:fldCharType="separate"/>
      </w:r>
      <w:r>
        <w:rPr>
          <w:rFonts w:hint="eastAsia" w:ascii="仿宋" w:hAnsi="仿宋" w:eastAsia="仿宋" w:cs="仿宋"/>
        </w:rPr>
        <w:t>31</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7560896C">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_Toc17417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9  针对本次项目《反商业贿赂承诺书》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_Toc17417 \h </w:instrText>
      </w:r>
      <w:r>
        <w:rPr>
          <w:rFonts w:hint="eastAsia" w:ascii="仿宋" w:hAnsi="仿宋" w:eastAsia="仿宋" w:cs="仿宋"/>
        </w:rPr>
        <w:fldChar w:fldCharType="separate"/>
      </w:r>
      <w:r>
        <w:rPr>
          <w:rFonts w:hint="eastAsia" w:ascii="仿宋" w:hAnsi="仿宋" w:eastAsia="仿宋" w:cs="仿宋"/>
        </w:rPr>
        <w:t>35</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A2C2D6B">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_Toc1448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 xml:space="preserve">10  </w:t>
      </w:r>
      <w:r>
        <w:rPr>
          <w:rFonts w:hint="eastAsia" w:ascii="仿宋" w:hAnsi="仿宋" w:eastAsia="仿宋" w:cs="仿宋"/>
          <w:highlight w:val="none"/>
        </w:rPr>
        <w:t>投标人须知资料表要求的其他资格证明文件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_Toc1448 \h </w:instrText>
      </w:r>
      <w:r>
        <w:rPr>
          <w:rFonts w:hint="eastAsia" w:ascii="仿宋" w:hAnsi="仿宋" w:eastAsia="仿宋" w:cs="仿宋"/>
        </w:rPr>
        <w:fldChar w:fldCharType="separate"/>
      </w:r>
      <w:r>
        <w:rPr>
          <w:rFonts w:hint="eastAsia" w:ascii="仿宋" w:hAnsi="仿宋" w:eastAsia="仿宋" w:cs="仿宋"/>
        </w:rPr>
        <w:t>35</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321FA26F">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_Toc6982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rPr>
        <w:t>第二部分  商务及技术文件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_Toc6982 \h </w:instrText>
      </w:r>
      <w:r>
        <w:rPr>
          <w:rFonts w:hint="eastAsia" w:ascii="仿宋" w:hAnsi="仿宋" w:eastAsia="仿宋" w:cs="仿宋"/>
        </w:rPr>
        <w:fldChar w:fldCharType="separate"/>
      </w:r>
      <w:r>
        <w:rPr>
          <w:rFonts w:hint="eastAsia" w:ascii="仿宋" w:hAnsi="仿宋" w:eastAsia="仿宋" w:cs="仿宋"/>
        </w:rPr>
        <w:t>36</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59CC2AAD">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_Toc11054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1   投标书（投标文件格式</w:t>
      </w:r>
      <w:r>
        <w:rPr>
          <w:rFonts w:hint="eastAsia" w:ascii="仿宋" w:hAnsi="仿宋" w:eastAsia="仿宋" w:cs="仿宋"/>
          <w:szCs w:val="24"/>
          <w:lang w:eastAsia="zh-CN"/>
        </w:rPr>
        <w:t>五</w:t>
      </w:r>
      <w:r>
        <w:rPr>
          <w:rFonts w:hint="eastAsia" w:ascii="仿宋" w:hAnsi="仿宋" w:eastAsia="仿宋" w:cs="仿宋"/>
          <w:szCs w:val="24"/>
        </w:rPr>
        <w:t>）</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_Toc11054 \h </w:instrText>
      </w:r>
      <w:r>
        <w:rPr>
          <w:rFonts w:hint="eastAsia" w:ascii="仿宋" w:hAnsi="仿宋" w:eastAsia="仿宋" w:cs="仿宋"/>
        </w:rPr>
        <w:fldChar w:fldCharType="separate"/>
      </w:r>
      <w:r>
        <w:rPr>
          <w:rFonts w:hint="eastAsia" w:ascii="仿宋" w:hAnsi="仿宋" w:eastAsia="仿宋" w:cs="仿宋"/>
        </w:rPr>
        <w:t>37</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E2C9950">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_Toc10402 </w:instrText>
      </w:r>
      <w:r>
        <w:rPr>
          <w:rFonts w:hint="eastAsia" w:ascii="仿宋" w:hAnsi="仿宋" w:eastAsia="仿宋" w:cs="仿宋"/>
          <w:kern w:val="0"/>
          <w:szCs w:val="21"/>
          <w:highlight w:val="none"/>
        </w:rPr>
        <w:fldChar w:fldCharType="separate"/>
      </w:r>
      <w:r>
        <w:rPr>
          <w:rFonts w:hint="eastAsia" w:ascii="仿宋" w:hAnsi="仿宋" w:eastAsia="仿宋" w:cs="仿宋"/>
        </w:rPr>
        <w:t>2   投标保证金缴纳凭证或投标担保函</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_Toc10402 \h </w:instrText>
      </w:r>
      <w:r>
        <w:rPr>
          <w:rFonts w:hint="eastAsia" w:ascii="仿宋" w:hAnsi="仿宋" w:eastAsia="仿宋" w:cs="仿宋"/>
        </w:rPr>
        <w:fldChar w:fldCharType="separate"/>
      </w:r>
      <w:r>
        <w:rPr>
          <w:rFonts w:hint="eastAsia" w:ascii="仿宋" w:hAnsi="仿宋" w:eastAsia="仿宋" w:cs="仿宋"/>
        </w:rPr>
        <w:t>38</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0E67F4EA">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_Toc2671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3   投标分项报价表（投标文件格式七）</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_Toc2671 \h </w:instrText>
      </w:r>
      <w:r>
        <w:rPr>
          <w:rFonts w:hint="eastAsia" w:ascii="仿宋" w:hAnsi="仿宋" w:eastAsia="仿宋" w:cs="仿宋"/>
        </w:rPr>
        <w:fldChar w:fldCharType="separate"/>
      </w:r>
      <w:r>
        <w:rPr>
          <w:rFonts w:hint="eastAsia" w:ascii="仿宋" w:hAnsi="仿宋" w:eastAsia="仿宋" w:cs="仿宋"/>
        </w:rPr>
        <w:t>40</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4B024BA4">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_Toc29049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4   货物说明一览表（投标文件格式八）</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_Toc29049 \h </w:instrText>
      </w:r>
      <w:r>
        <w:rPr>
          <w:rFonts w:hint="eastAsia" w:ascii="仿宋" w:hAnsi="仿宋" w:eastAsia="仿宋" w:cs="仿宋"/>
        </w:rPr>
        <w:fldChar w:fldCharType="separate"/>
      </w:r>
      <w:r>
        <w:rPr>
          <w:rFonts w:hint="eastAsia" w:ascii="仿宋" w:hAnsi="仿宋" w:eastAsia="仿宋" w:cs="仿宋"/>
        </w:rPr>
        <w:t>41</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40A1D45A">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_Toc1590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5   技术规格偏离表（投标文件格式九）</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_Toc1590 \h </w:instrText>
      </w:r>
      <w:r>
        <w:rPr>
          <w:rFonts w:hint="eastAsia" w:ascii="仿宋" w:hAnsi="仿宋" w:eastAsia="仿宋" w:cs="仿宋"/>
        </w:rPr>
        <w:fldChar w:fldCharType="separate"/>
      </w:r>
      <w:r>
        <w:rPr>
          <w:rFonts w:hint="eastAsia" w:ascii="仿宋" w:hAnsi="仿宋" w:eastAsia="仿宋" w:cs="仿宋"/>
        </w:rPr>
        <w:t>42</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30573EF">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_Toc23777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6   商务条款偏离表（投标文件格式十）</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_Toc23777 \h </w:instrText>
      </w:r>
      <w:r>
        <w:rPr>
          <w:rFonts w:hint="eastAsia" w:ascii="仿宋" w:hAnsi="仿宋" w:eastAsia="仿宋" w:cs="仿宋"/>
        </w:rPr>
        <w:fldChar w:fldCharType="separate"/>
      </w:r>
      <w:r>
        <w:rPr>
          <w:rFonts w:hint="eastAsia" w:ascii="仿宋" w:hAnsi="仿宋" w:eastAsia="仿宋" w:cs="仿宋"/>
        </w:rPr>
        <w:t>43</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01C010F0">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_Toc745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7-1  《投标人企业（单位）类型声明函》（投标文件格式十二）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_Toc745 \h </w:instrText>
      </w:r>
      <w:r>
        <w:rPr>
          <w:rFonts w:hint="eastAsia" w:ascii="仿宋" w:hAnsi="仿宋" w:eastAsia="仿宋" w:cs="仿宋"/>
        </w:rPr>
        <w:fldChar w:fldCharType="separate"/>
      </w:r>
      <w:r>
        <w:rPr>
          <w:rFonts w:hint="eastAsia" w:ascii="仿宋" w:hAnsi="仿宋" w:eastAsia="仿宋" w:cs="仿宋"/>
        </w:rPr>
        <w:t>44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D9363E9">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_Toc6312 </w:instrText>
      </w:r>
      <w:r>
        <w:rPr>
          <w:rFonts w:hint="eastAsia" w:ascii="仿宋" w:hAnsi="仿宋" w:eastAsia="仿宋" w:cs="仿宋"/>
          <w:kern w:val="0"/>
          <w:szCs w:val="21"/>
          <w:highlight w:val="none"/>
        </w:rPr>
        <w:fldChar w:fldCharType="separate"/>
      </w:r>
      <w:r>
        <w:rPr>
          <w:rFonts w:hint="eastAsia" w:ascii="仿宋" w:hAnsi="仿宋" w:eastAsia="仿宋" w:cs="仿宋"/>
        </w:rPr>
        <w:t>中小企业声明函（货物）</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_Toc6312 \h </w:instrText>
      </w:r>
      <w:r>
        <w:rPr>
          <w:rFonts w:hint="eastAsia" w:ascii="仿宋" w:hAnsi="仿宋" w:eastAsia="仿宋" w:cs="仿宋"/>
        </w:rPr>
        <w:fldChar w:fldCharType="separate"/>
      </w:r>
      <w:r>
        <w:rPr>
          <w:rFonts w:hint="eastAsia" w:ascii="仿宋" w:hAnsi="仿宋" w:eastAsia="仿宋" w:cs="仿宋"/>
        </w:rPr>
        <w:t>44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5AC5340">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_Toc28185 </w:instrText>
      </w:r>
      <w:r>
        <w:rPr>
          <w:rFonts w:hint="eastAsia" w:ascii="仿宋" w:hAnsi="仿宋" w:eastAsia="仿宋" w:cs="仿宋"/>
          <w:kern w:val="0"/>
          <w:szCs w:val="21"/>
          <w:highlight w:val="none"/>
        </w:rPr>
        <w:fldChar w:fldCharType="separate"/>
      </w:r>
      <w:r>
        <w:rPr>
          <w:rFonts w:hint="eastAsia" w:ascii="仿宋" w:hAnsi="仿宋" w:eastAsia="仿宋" w:cs="仿宋"/>
        </w:rPr>
        <w:t>7-</w:t>
      </w:r>
      <w:r>
        <w:rPr>
          <w:rFonts w:hint="eastAsia" w:ascii="仿宋" w:hAnsi="仿宋" w:eastAsia="仿宋" w:cs="仿宋"/>
          <w:lang w:val="en-US" w:eastAsia="zh-CN"/>
        </w:rPr>
        <w:t>2</w:t>
      </w:r>
      <w:r>
        <w:rPr>
          <w:rFonts w:hint="eastAsia" w:ascii="仿宋" w:hAnsi="仿宋" w:eastAsia="仿宋" w:cs="仿宋"/>
        </w:rPr>
        <w:t xml:space="preserve">  残疾人福利性单位声明函（投标文件格式十三）</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_Toc28185 \h </w:instrText>
      </w:r>
      <w:r>
        <w:rPr>
          <w:rFonts w:hint="eastAsia" w:ascii="仿宋" w:hAnsi="仿宋" w:eastAsia="仿宋" w:cs="仿宋"/>
        </w:rPr>
        <w:fldChar w:fldCharType="separate"/>
      </w:r>
      <w:r>
        <w:rPr>
          <w:rFonts w:hint="eastAsia" w:ascii="仿宋" w:hAnsi="仿宋" w:eastAsia="仿宋" w:cs="仿宋"/>
        </w:rPr>
        <w:t>45</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4AE87C8">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_Toc24363 </w:instrText>
      </w:r>
      <w:r>
        <w:rPr>
          <w:rFonts w:hint="eastAsia" w:ascii="仿宋" w:hAnsi="仿宋" w:eastAsia="仿宋" w:cs="仿宋"/>
          <w:kern w:val="0"/>
          <w:szCs w:val="21"/>
          <w:highlight w:val="none"/>
        </w:rPr>
        <w:fldChar w:fldCharType="separate"/>
      </w:r>
      <w:r>
        <w:rPr>
          <w:rFonts w:hint="eastAsia" w:ascii="仿宋" w:hAnsi="仿宋" w:eastAsia="仿宋" w:cs="仿宋"/>
        </w:rPr>
        <w:t>8   投标人关联单位的说明</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_Toc24363 \h </w:instrText>
      </w:r>
      <w:r>
        <w:rPr>
          <w:rFonts w:hint="eastAsia" w:ascii="仿宋" w:hAnsi="仿宋" w:eastAsia="仿宋" w:cs="仿宋"/>
        </w:rPr>
        <w:fldChar w:fldCharType="separate"/>
      </w:r>
      <w:r>
        <w:rPr>
          <w:rFonts w:hint="eastAsia" w:ascii="仿宋" w:hAnsi="仿宋" w:eastAsia="仿宋" w:cs="仿宋"/>
        </w:rPr>
        <w:t>46</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58AC2625">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_Toc22393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9  投标文件还应包括投标人须知第10条的所有技术文件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_Toc22393 \h </w:instrText>
      </w:r>
      <w:r>
        <w:rPr>
          <w:rFonts w:hint="eastAsia" w:ascii="仿宋" w:hAnsi="仿宋" w:eastAsia="仿宋" w:cs="仿宋"/>
        </w:rPr>
        <w:fldChar w:fldCharType="separate"/>
      </w:r>
      <w:r>
        <w:rPr>
          <w:rFonts w:hint="eastAsia" w:ascii="仿宋" w:hAnsi="仿宋" w:eastAsia="仿宋" w:cs="仿宋"/>
        </w:rPr>
        <w:t>47</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31B59DB3">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_Toc27891 </w:instrText>
      </w:r>
      <w:r>
        <w:rPr>
          <w:rFonts w:hint="eastAsia" w:ascii="仿宋" w:hAnsi="仿宋" w:eastAsia="仿宋" w:cs="仿宋"/>
          <w:kern w:val="0"/>
          <w:szCs w:val="21"/>
          <w:highlight w:val="none"/>
        </w:rPr>
        <w:fldChar w:fldCharType="separate"/>
      </w:r>
      <w:r>
        <w:rPr>
          <w:rFonts w:hint="eastAsia" w:ascii="仿宋" w:hAnsi="仿宋" w:eastAsia="仿宋" w:cs="仿宋"/>
          <w:szCs w:val="24"/>
          <w:lang w:val="en-US" w:eastAsia="zh-CN"/>
        </w:rPr>
        <w:t>10 投标人需编制评分索引表，放置于目录后（格式自拟）</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_Toc27891 \h </w:instrText>
      </w:r>
      <w:r>
        <w:rPr>
          <w:rFonts w:hint="eastAsia" w:ascii="仿宋" w:hAnsi="仿宋" w:eastAsia="仿宋" w:cs="仿宋"/>
        </w:rPr>
        <w:fldChar w:fldCharType="separate"/>
      </w:r>
      <w:r>
        <w:rPr>
          <w:rFonts w:hint="eastAsia" w:ascii="仿宋" w:hAnsi="仿宋" w:eastAsia="仿宋" w:cs="仿宋"/>
        </w:rPr>
        <w:t>47</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32A5FDD7">
      <w:pPr>
        <w:pStyle w:val="24"/>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_Toc20100 </w:instrText>
      </w:r>
      <w:r>
        <w:rPr>
          <w:rFonts w:hint="eastAsia" w:ascii="仿宋" w:hAnsi="仿宋" w:eastAsia="仿宋" w:cs="仿宋"/>
          <w:kern w:val="0"/>
          <w:szCs w:val="21"/>
          <w:highlight w:val="none"/>
        </w:rPr>
        <w:fldChar w:fldCharType="separate"/>
      </w:r>
      <w:r>
        <w:rPr>
          <w:rFonts w:hint="eastAsia" w:ascii="仿宋" w:hAnsi="仿宋" w:eastAsia="仿宋" w:cs="仿宋"/>
          <w:bCs/>
          <w:szCs w:val="32"/>
          <w:lang w:eastAsia="zh-CN"/>
        </w:rPr>
        <w:t>第</w:t>
      </w:r>
      <w:r>
        <w:rPr>
          <w:rFonts w:hint="eastAsia" w:ascii="仿宋" w:hAnsi="仿宋" w:eastAsia="仿宋" w:cs="仿宋"/>
          <w:bCs/>
          <w:szCs w:val="32"/>
          <w:lang w:val="en-US" w:eastAsia="zh-CN"/>
        </w:rPr>
        <w:t xml:space="preserve">3章  </w:t>
      </w:r>
      <w:r>
        <w:rPr>
          <w:rFonts w:hint="eastAsia" w:ascii="仿宋" w:hAnsi="仿宋" w:eastAsia="仿宋" w:cs="仿宋"/>
          <w:bCs/>
          <w:szCs w:val="32"/>
        </w:rPr>
        <w:t>投标邀请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_Toc20100 \h </w:instrText>
      </w:r>
      <w:r>
        <w:rPr>
          <w:rFonts w:hint="eastAsia" w:ascii="仿宋" w:hAnsi="仿宋" w:eastAsia="仿宋" w:cs="仿宋"/>
        </w:rPr>
        <w:fldChar w:fldCharType="separate"/>
      </w:r>
      <w:r>
        <w:rPr>
          <w:rFonts w:hint="eastAsia" w:ascii="仿宋" w:hAnsi="仿宋" w:eastAsia="仿宋" w:cs="仿宋"/>
        </w:rPr>
        <w:t>49</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1058E5A">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_Toc4699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一、项目基本情况</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_Toc4699 \h </w:instrText>
      </w:r>
      <w:r>
        <w:rPr>
          <w:rFonts w:hint="eastAsia" w:ascii="仿宋" w:hAnsi="仿宋" w:eastAsia="仿宋" w:cs="仿宋"/>
        </w:rPr>
        <w:fldChar w:fldCharType="separate"/>
      </w:r>
      <w:r>
        <w:rPr>
          <w:rFonts w:hint="eastAsia" w:ascii="仿宋" w:hAnsi="仿宋" w:eastAsia="仿宋" w:cs="仿宋"/>
        </w:rPr>
        <w:t>49</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4E0DE976">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_Toc3577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二、申请人的资格要求：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_Toc3577 \h </w:instrText>
      </w:r>
      <w:r>
        <w:rPr>
          <w:rFonts w:hint="eastAsia" w:ascii="仿宋" w:hAnsi="仿宋" w:eastAsia="仿宋" w:cs="仿宋"/>
        </w:rPr>
        <w:fldChar w:fldCharType="separate"/>
      </w:r>
      <w:r>
        <w:rPr>
          <w:rFonts w:hint="eastAsia" w:ascii="仿宋" w:hAnsi="仿宋" w:eastAsia="仿宋" w:cs="仿宋"/>
        </w:rPr>
        <w:t>49</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7B4D5DD5">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_Toc19884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三、获取招标文件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_Toc19884 \h </w:instrText>
      </w:r>
      <w:r>
        <w:rPr>
          <w:rFonts w:hint="eastAsia" w:ascii="仿宋" w:hAnsi="仿宋" w:eastAsia="仿宋" w:cs="仿宋"/>
        </w:rPr>
        <w:fldChar w:fldCharType="separate"/>
      </w:r>
      <w:r>
        <w:rPr>
          <w:rFonts w:hint="eastAsia" w:ascii="仿宋" w:hAnsi="仿宋" w:eastAsia="仿宋" w:cs="仿宋"/>
        </w:rPr>
        <w:t>51</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586AE0C2">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_Toc606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rPr>
        <w:t>四、提交投标文件截止时间、开标时间和地点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_Toc606 \h </w:instrText>
      </w:r>
      <w:r>
        <w:rPr>
          <w:rFonts w:hint="eastAsia" w:ascii="仿宋" w:hAnsi="仿宋" w:eastAsia="仿宋" w:cs="仿宋"/>
        </w:rPr>
        <w:fldChar w:fldCharType="separate"/>
      </w:r>
      <w:r>
        <w:rPr>
          <w:rFonts w:hint="eastAsia" w:ascii="仿宋" w:hAnsi="仿宋" w:eastAsia="仿宋" w:cs="仿宋"/>
        </w:rPr>
        <w:t>51</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9A97FF7">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_Toc9877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lang w:val="en-US" w:eastAsia="zh-CN"/>
        </w:rPr>
        <w:t>五、公告期限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_Toc9877 \h </w:instrText>
      </w:r>
      <w:r>
        <w:rPr>
          <w:rFonts w:hint="eastAsia" w:ascii="仿宋" w:hAnsi="仿宋" w:eastAsia="仿宋" w:cs="仿宋"/>
        </w:rPr>
        <w:fldChar w:fldCharType="separate"/>
      </w:r>
      <w:r>
        <w:rPr>
          <w:rFonts w:hint="eastAsia" w:ascii="仿宋" w:hAnsi="仿宋" w:eastAsia="仿宋" w:cs="仿宋"/>
        </w:rPr>
        <w:t>51</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3A2C42F">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_Toc23032 </w:instrText>
      </w:r>
      <w:r>
        <w:rPr>
          <w:rFonts w:hint="eastAsia" w:ascii="仿宋" w:hAnsi="仿宋" w:eastAsia="仿宋" w:cs="仿宋"/>
          <w:kern w:val="0"/>
          <w:szCs w:val="21"/>
          <w:highlight w:val="none"/>
        </w:rPr>
        <w:fldChar w:fldCharType="separate"/>
      </w:r>
      <w:r>
        <w:rPr>
          <w:rFonts w:hint="eastAsia" w:ascii="仿宋" w:hAnsi="仿宋" w:eastAsia="仿宋" w:cs="仿宋"/>
          <w:szCs w:val="24"/>
        </w:rPr>
        <w:t xml:space="preserve">六、 </w:t>
      </w:r>
      <w:r>
        <w:rPr>
          <w:rFonts w:hint="eastAsia" w:ascii="仿宋" w:hAnsi="仿宋" w:eastAsia="仿宋" w:cs="仿宋"/>
          <w:szCs w:val="24"/>
          <w:highlight w:val="none"/>
        </w:rPr>
        <w:t>其他补充事宜</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_Toc23032 \h </w:instrText>
      </w:r>
      <w:r>
        <w:rPr>
          <w:rFonts w:hint="eastAsia" w:ascii="仿宋" w:hAnsi="仿宋" w:eastAsia="仿宋" w:cs="仿宋"/>
        </w:rPr>
        <w:fldChar w:fldCharType="separate"/>
      </w:r>
      <w:r>
        <w:rPr>
          <w:rFonts w:hint="eastAsia" w:ascii="仿宋" w:hAnsi="仿宋" w:eastAsia="仿宋" w:cs="仿宋"/>
        </w:rPr>
        <w:t>51</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1A306FD">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_Toc27365 </w:instrText>
      </w:r>
      <w:r>
        <w:rPr>
          <w:rFonts w:hint="eastAsia" w:ascii="仿宋" w:hAnsi="仿宋" w:eastAsia="仿宋" w:cs="仿宋"/>
          <w:kern w:val="0"/>
          <w:szCs w:val="21"/>
          <w:highlight w:val="none"/>
        </w:rPr>
        <w:fldChar w:fldCharType="separate"/>
      </w:r>
      <w:r>
        <w:rPr>
          <w:rFonts w:hint="eastAsia" w:ascii="仿宋" w:hAnsi="仿宋" w:eastAsia="仿宋" w:cs="仿宋"/>
          <w:szCs w:val="24"/>
          <w:highlight w:val="none"/>
          <w:lang w:val="en-US" w:eastAsia="zh-CN"/>
        </w:rPr>
        <w:t>七、对本次招标提出询问，请按以下方式联系。</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_Toc27365 \h </w:instrText>
      </w:r>
      <w:r>
        <w:rPr>
          <w:rFonts w:hint="eastAsia" w:ascii="仿宋" w:hAnsi="仿宋" w:eastAsia="仿宋" w:cs="仿宋"/>
        </w:rPr>
        <w:fldChar w:fldCharType="separate"/>
      </w:r>
      <w:r>
        <w:rPr>
          <w:rFonts w:hint="eastAsia" w:ascii="仿宋" w:hAnsi="仿宋" w:eastAsia="仿宋" w:cs="仿宋"/>
        </w:rPr>
        <w:t>52</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374DD570">
      <w:pPr>
        <w:pStyle w:val="24"/>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_Toc21840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第4章  投标人须知资料表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_Toc21840 \h </w:instrText>
      </w:r>
      <w:r>
        <w:rPr>
          <w:rFonts w:hint="eastAsia" w:ascii="仿宋" w:hAnsi="仿宋" w:eastAsia="仿宋" w:cs="仿宋"/>
        </w:rPr>
        <w:fldChar w:fldCharType="separate"/>
      </w:r>
      <w:r>
        <w:rPr>
          <w:rFonts w:hint="eastAsia" w:ascii="仿宋" w:hAnsi="仿宋" w:eastAsia="仿宋" w:cs="仿宋"/>
        </w:rPr>
        <w:t>54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318ED99E">
      <w:pPr>
        <w:pStyle w:val="24"/>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_Toc9003 </w:instrText>
      </w:r>
      <w:r>
        <w:rPr>
          <w:rFonts w:hint="eastAsia" w:ascii="仿宋" w:hAnsi="仿宋" w:eastAsia="仿宋" w:cs="仿宋"/>
          <w:kern w:val="0"/>
          <w:szCs w:val="21"/>
          <w:highlight w:val="none"/>
        </w:rPr>
        <w:fldChar w:fldCharType="separate"/>
      </w:r>
      <w:r>
        <w:rPr>
          <w:rFonts w:hint="eastAsia" w:ascii="仿宋" w:hAnsi="仿宋" w:eastAsia="仿宋" w:cs="仿宋"/>
          <w:highlight w:val="none"/>
          <w:lang w:val="en-US" w:eastAsia="zh-CN"/>
        </w:rPr>
        <w:t>第5章  货物需求一览表及技术规格</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_Toc9003 \h </w:instrText>
      </w:r>
      <w:r>
        <w:rPr>
          <w:rFonts w:hint="eastAsia" w:ascii="仿宋" w:hAnsi="仿宋" w:eastAsia="仿宋" w:cs="仿宋"/>
        </w:rPr>
        <w:fldChar w:fldCharType="separate"/>
      </w:r>
      <w:r>
        <w:rPr>
          <w:rFonts w:hint="eastAsia" w:ascii="仿宋" w:hAnsi="仿宋" w:eastAsia="仿宋" w:cs="仿宋"/>
        </w:rPr>
        <w:t>64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F6AABBC">
      <w:pPr>
        <w:pStyle w:val="24"/>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_Toc9269 </w:instrText>
      </w:r>
      <w:r>
        <w:rPr>
          <w:rFonts w:hint="eastAsia" w:ascii="仿宋" w:hAnsi="仿宋" w:eastAsia="仿宋" w:cs="仿宋"/>
          <w:kern w:val="0"/>
          <w:szCs w:val="21"/>
          <w:highlight w:val="none"/>
        </w:rPr>
        <w:fldChar w:fldCharType="separate"/>
      </w:r>
      <w:r>
        <w:rPr>
          <w:rFonts w:hint="eastAsia" w:ascii="仿宋" w:hAnsi="仿宋" w:eastAsia="仿宋" w:cs="仿宋"/>
          <w:lang w:val="en-US" w:eastAsia="zh-CN"/>
        </w:rPr>
        <w:t>第6章  评标方法和标准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_Toc9269 \h </w:instrText>
      </w:r>
      <w:r>
        <w:rPr>
          <w:rFonts w:hint="eastAsia" w:ascii="仿宋" w:hAnsi="仿宋" w:eastAsia="仿宋" w:cs="仿宋"/>
        </w:rPr>
        <w:fldChar w:fldCharType="separate"/>
      </w:r>
      <w:r>
        <w:rPr>
          <w:rFonts w:hint="eastAsia" w:ascii="仿宋" w:hAnsi="仿宋" w:eastAsia="仿宋" w:cs="仿宋"/>
        </w:rPr>
        <w:t>73</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4150294">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_Toc27505 </w:instrText>
      </w:r>
      <w:r>
        <w:rPr>
          <w:rFonts w:hint="eastAsia" w:ascii="仿宋" w:hAnsi="仿宋" w:eastAsia="仿宋" w:cs="仿宋"/>
          <w:kern w:val="0"/>
          <w:szCs w:val="21"/>
          <w:highlight w:val="none"/>
        </w:rPr>
        <w:fldChar w:fldCharType="separate"/>
      </w:r>
      <w:r>
        <w:rPr>
          <w:rFonts w:hint="eastAsia" w:ascii="仿宋" w:hAnsi="仿宋" w:eastAsia="仿宋" w:cs="仿宋"/>
          <w:bCs/>
          <w:spacing w:val="0"/>
          <w:w w:val="99"/>
          <w:szCs w:val="22"/>
        </w:rPr>
        <w:t xml:space="preserve">1. </w:t>
      </w:r>
      <w:r>
        <w:rPr>
          <w:rFonts w:hint="eastAsia" w:ascii="仿宋" w:hAnsi="仿宋" w:eastAsia="仿宋" w:cs="仿宋"/>
          <w:szCs w:val="24"/>
          <w:highlight w:val="none"/>
        </w:rPr>
        <w:t>总则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_Toc27505 \h </w:instrText>
      </w:r>
      <w:r>
        <w:rPr>
          <w:rFonts w:hint="eastAsia" w:ascii="仿宋" w:hAnsi="仿宋" w:eastAsia="仿宋" w:cs="仿宋"/>
        </w:rPr>
        <w:fldChar w:fldCharType="separate"/>
      </w:r>
      <w:r>
        <w:rPr>
          <w:rFonts w:hint="eastAsia" w:ascii="仿宋" w:hAnsi="仿宋" w:eastAsia="仿宋" w:cs="仿宋"/>
        </w:rPr>
        <w:t>74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30622F11">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_Toc9875 </w:instrText>
      </w:r>
      <w:r>
        <w:rPr>
          <w:rFonts w:hint="eastAsia" w:ascii="仿宋" w:hAnsi="仿宋" w:eastAsia="仿宋" w:cs="仿宋"/>
          <w:kern w:val="0"/>
          <w:szCs w:val="21"/>
          <w:highlight w:val="none"/>
        </w:rPr>
        <w:fldChar w:fldCharType="separate"/>
      </w:r>
      <w:r>
        <w:rPr>
          <w:rFonts w:hint="eastAsia" w:ascii="仿宋" w:hAnsi="仿宋" w:eastAsia="仿宋" w:cs="仿宋"/>
          <w:bCs/>
          <w:spacing w:val="0"/>
          <w:w w:val="99"/>
          <w:szCs w:val="22"/>
          <w:lang w:val="en-US" w:eastAsia="zh-CN"/>
        </w:rPr>
        <w:t xml:space="preserve">2. </w:t>
      </w:r>
      <w:r>
        <w:rPr>
          <w:rFonts w:hint="eastAsia" w:ascii="仿宋" w:hAnsi="仿宋" w:eastAsia="仿宋" w:cs="仿宋"/>
          <w:szCs w:val="24"/>
          <w:highlight w:val="none"/>
          <w:lang w:val="en-US" w:eastAsia="zh-CN"/>
        </w:rPr>
        <w:t>开标程序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_Toc9875 \h </w:instrText>
      </w:r>
      <w:r>
        <w:rPr>
          <w:rFonts w:hint="eastAsia" w:ascii="仿宋" w:hAnsi="仿宋" w:eastAsia="仿宋" w:cs="仿宋"/>
        </w:rPr>
        <w:fldChar w:fldCharType="separate"/>
      </w:r>
      <w:r>
        <w:rPr>
          <w:rFonts w:hint="eastAsia" w:ascii="仿宋" w:hAnsi="仿宋" w:eastAsia="仿宋" w:cs="仿宋"/>
        </w:rPr>
        <w:t>74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4B7D433">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_Toc10911 </w:instrText>
      </w:r>
      <w:r>
        <w:rPr>
          <w:rFonts w:hint="eastAsia" w:ascii="仿宋" w:hAnsi="仿宋" w:eastAsia="仿宋" w:cs="仿宋"/>
          <w:kern w:val="0"/>
          <w:szCs w:val="21"/>
          <w:highlight w:val="none"/>
        </w:rPr>
        <w:fldChar w:fldCharType="separate"/>
      </w:r>
      <w:r>
        <w:rPr>
          <w:rFonts w:hint="eastAsia" w:ascii="仿宋" w:hAnsi="仿宋" w:eastAsia="仿宋" w:cs="仿宋"/>
          <w:bCs/>
          <w:spacing w:val="0"/>
          <w:w w:val="99"/>
          <w:szCs w:val="22"/>
        </w:rPr>
        <w:t xml:space="preserve">3. </w:t>
      </w:r>
      <w:r>
        <w:rPr>
          <w:rFonts w:hint="eastAsia" w:ascii="仿宋" w:hAnsi="仿宋" w:eastAsia="仿宋" w:cs="仿宋"/>
          <w:szCs w:val="24"/>
          <w:highlight w:val="none"/>
        </w:rPr>
        <w:t>评标</w:t>
      </w:r>
      <w:r>
        <w:rPr>
          <w:rFonts w:hint="eastAsia" w:ascii="仿宋" w:hAnsi="仿宋" w:eastAsia="仿宋" w:cs="仿宋"/>
          <w:szCs w:val="24"/>
          <w:highlight w:val="none"/>
          <w:lang w:eastAsia="zh-CN"/>
        </w:rPr>
        <w:t>程序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_Toc10911 \h </w:instrText>
      </w:r>
      <w:r>
        <w:rPr>
          <w:rFonts w:hint="eastAsia" w:ascii="仿宋" w:hAnsi="仿宋" w:eastAsia="仿宋" w:cs="仿宋"/>
        </w:rPr>
        <w:fldChar w:fldCharType="separate"/>
      </w:r>
      <w:r>
        <w:rPr>
          <w:rFonts w:hint="eastAsia" w:ascii="仿宋" w:hAnsi="仿宋" w:eastAsia="仿宋" w:cs="仿宋"/>
        </w:rPr>
        <w:t>74</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16BFB40B">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_Toc2453 </w:instrText>
      </w:r>
      <w:r>
        <w:rPr>
          <w:rFonts w:hint="eastAsia" w:ascii="仿宋" w:hAnsi="仿宋" w:eastAsia="仿宋" w:cs="仿宋"/>
          <w:kern w:val="0"/>
          <w:szCs w:val="21"/>
          <w:highlight w:val="none"/>
        </w:rPr>
        <w:fldChar w:fldCharType="separate"/>
      </w:r>
      <w:r>
        <w:rPr>
          <w:rFonts w:hint="eastAsia" w:ascii="仿宋" w:hAnsi="仿宋" w:eastAsia="仿宋" w:cs="仿宋"/>
          <w:bCs/>
          <w:spacing w:val="0"/>
          <w:w w:val="99"/>
          <w:szCs w:val="22"/>
        </w:rPr>
        <w:t xml:space="preserve">4. </w:t>
      </w:r>
      <w:r>
        <w:rPr>
          <w:rFonts w:hint="eastAsia" w:ascii="仿宋" w:hAnsi="仿宋" w:eastAsia="仿宋" w:cs="仿宋"/>
          <w:szCs w:val="24"/>
          <w:highlight w:val="none"/>
        </w:rPr>
        <w:t>定标程序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_Toc2453 \h </w:instrText>
      </w:r>
      <w:r>
        <w:rPr>
          <w:rFonts w:hint="eastAsia" w:ascii="仿宋" w:hAnsi="仿宋" w:eastAsia="仿宋" w:cs="仿宋"/>
        </w:rPr>
        <w:fldChar w:fldCharType="separate"/>
      </w:r>
      <w:r>
        <w:rPr>
          <w:rFonts w:hint="eastAsia" w:ascii="仿宋" w:hAnsi="仿宋" w:eastAsia="仿宋" w:cs="仿宋"/>
        </w:rPr>
        <w:t>77</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4607D9C9">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_Toc16338 </w:instrText>
      </w:r>
      <w:r>
        <w:rPr>
          <w:rFonts w:hint="eastAsia" w:ascii="仿宋" w:hAnsi="仿宋" w:eastAsia="仿宋" w:cs="仿宋"/>
          <w:kern w:val="0"/>
          <w:szCs w:val="21"/>
          <w:highlight w:val="none"/>
        </w:rPr>
        <w:fldChar w:fldCharType="separate"/>
      </w:r>
      <w:r>
        <w:rPr>
          <w:rFonts w:hint="eastAsia" w:ascii="仿宋" w:hAnsi="仿宋" w:eastAsia="仿宋" w:cs="仿宋"/>
          <w:bCs/>
          <w:spacing w:val="0"/>
          <w:w w:val="99"/>
          <w:szCs w:val="22"/>
        </w:rPr>
        <w:t xml:space="preserve">5. </w:t>
      </w:r>
      <w:r>
        <w:rPr>
          <w:rFonts w:hint="eastAsia" w:ascii="仿宋" w:hAnsi="仿宋" w:eastAsia="仿宋" w:cs="仿宋"/>
          <w:szCs w:val="24"/>
          <w:highlight w:val="none"/>
        </w:rPr>
        <w:t>评标细则及标准（综合评分法）</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_Toc16338 \h </w:instrText>
      </w:r>
      <w:r>
        <w:rPr>
          <w:rFonts w:hint="eastAsia" w:ascii="仿宋" w:hAnsi="仿宋" w:eastAsia="仿宋" w:cs="仿宋"/>
        </w:rPr>
        <w:fldChar w:fldCharType="separate"/>
      </w:r>
      <w:r>
        <w:rPr>
          <w:rFonts w:hint="eastAsia" w:ascii="仿宋" w:hAnsi="仿宋" w:eastAsia="仿宋" w:cs="仿宋"/>
        </w:rPr>
        <w:t>77</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6E3E73EA">
      <w:pPr>
        <w:pStyle w:val="30"/>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_Toc9832 </w:instrText>
      </w:r>
      <w:r>
        <w:rPr>
          <w:rFonts w:hint="eastAsia" w:ascii="仿宋" w:hAnsi="仿宋" w:eastAsia="仿宋" w:cs="仿宋"/>
          <w:kern w:val="0"/>
          <w:szCs w:val="21"/>
          <w:highlight w:val="none"/>
        </w:rPr>
        <w:fldChar w:fldCharType="separate"/>
      </w:r>
      <w:r>
        <w:rPr>
          <w:rFonts w:hint="eastAsia" w:ascii="仿宋" w:hAnsi="仿宋" w:eastAsia="仿宋" w:cs="仿宋"/>
          <w:bCs/>
          <w:spacing w:val="0"/>
          <w:w w:val="99"/>
          <w:szCs w:val="22"/>
        </w:rPr>
        <w:t xml:space="preserve">6. </w:t>
      </w:r>
      <w:r>
        <w:rPr>
          <w:rFonts w:hint="eastAsia" w:ascii="仿宋" w:hAnsi="仿宋" w:eastAsia="仿宋" w:cs="仿宋"/>
          <w:szCs w:val="24"/>
          <w:highlight w:val="none"/>
          <w:lang w:val="en-US" w:eastAsia="zh-CN"/>
        </w:rPr>
        <w:t>投标无效的情形：</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_Toc9832 \h </w:instrText>
      </w:r>
      <w:r>
        <w:rPr>
          <w:rFonts w:hint="eastAsia" w:ascii="仿宋" w:hAnsi="仿宋" w:eastAsia="仿宋" w:cs="仿宋"/>
        </w:rPr>
        <w:fldChar w:fldCharType="separate"/>
      </w:r>
      <w:r>
        <w:rPr>
          <w:rFonts w:hint="eastAsia" w:ascii="仿宋" w:hAnsi="仿宋" w:eastAsia="仿宋" w:cs="仿宋"/>
        </w:rPr>
        <w:t>78</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75C47B11">
      <w:pPr>
        <w:pStyle w:val="24"/>
        <w:tabs>
          <w:tab w:val="right" w:leader="dot" w:pos="8312"/>
        </w:tabs>
        <w:rPr>
          <w:rFonts w:hint="eastAsia" w:ascii="仿宋" w:hAnsi="仿宋" w:eastAsia="仿宋" w:cs="仿宋"/>
        </w:rPr>
      </w:pPr>
      <w:r>
        <w:rPr>
          <w:rFonts w:hint="eastAsia" w:ascii="仿宋" w:hAnsi="仿宋" w:eastAsia="仿宋" w:cs="仿宋"/>
          <w:color w:val="auto"/>
          <w:kern w:val="0"/>
          <w:szCs w:val="21"/>
          <w:highlight w:val="none"/>
        </w:rPr>
        <w:fldChar w:fldCharType="begin"/>
      </w:r>
      <w:r>
        <w:rPr>
          <w:rFonts w:hint="eastAsia" w:ascii="仿宋" w:hAnsi="仿宋" w:eastAsia="仿宋" w:cs="仿宋"/>
          <w:kern w:val="0"/>
          <w:szCs w:val="21"/>
          <w:highlight w:val="none"/>
        </w:rPr>
        <w:instrText xml:space="preserve"> HYPERLINK \l _Toc6642 </w:instrText>
      </w:r>
      <w:r>
        <w:rPr>
          <w:rFonts w:hint="eastAsia" w:ascii="仿宋" w:hAnsi="仿宋" w:eastAsia="仿宋" w:cs="仿宋"/>
          <w:kern w:val="0"/>
          <w:szCs w:val="21"/>
          <w:highlight w:val="none"/>
        </w:rPr>
        <w:fldChar w:fldCharType="separate"/>
      </w:r>
      <w:r>
        <w:rPr>
          <w:rFonts w:hint="eastAsia" w:ascii="仿宋" w:hAnsi="仿宋" w:eastAsia="仿宋" w:cs="仿宋"/>
          <w:kern w:val="44"/>
          <w:szCs w:val="20"/>
          <w:highlight w:val="none"/>
          <w:lang w:val="en-US" w:eastAsia="zh-CN" w:bidi="ar-SA"/>
        </w:rPr>
        <w:t>第7章  政府采购合同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_Toc6642 \h </w:instrText>
      </w:r>
      <w:r>
        <w:rPr>
          <w:rFonts w:hint="eastAsia" w:ascii="仿宋" w:hAnsi="仿宋" w:eastAsia="仿宋" w:cs="仿宋"/>
        </w:rPr>
        <w:fldChar w:fldCharType="separate"/>
      </w:r>
      <w:r>
        <w:rPr>
          <w:rFonts w:hint="eastAsia" w:ascii="仿宋" w:hAnsi="仿宋" w:eastAsia="仿宋" w:cs="仿宋"/>
        </w:rPr>
        <w:t>88</w:t>
      </w:r>
      <w:r>
        <w:rPr>
          <w:rFonts w:hint="eastAsia" w:ascii="仿宋" w:hAnsi="仿宋" w:eastAsia="仿宋" w:cs="仿宋"/>
        </w:rPr>
        <w:fldChar w:fldCharType="end"/>
      </w:r>
      <w:r>
        <w:rPr>
          <w:rFonts w:hint="eastAsia" w:ascii="仿宋" w:hAnsi="仿宋" w:eastAsia="仿宋" w:cs="仿宋"/>
          <w:color w:val="auto"/>
          <w:kern w:val="0"/>
          <w:szCs w:val="21"/>
          <w:highlight w:val="none"/>
        </w:rPr>
        <w:fldChar w:fldCharType="end"/>
      </w:r>
    </w:p>
    <w:p w14:paraId="2ECFAA55">
      <w:pPr>
        <w:numPr>
          <w:ilvl w:val="0"/>
          <w:numId w:val="0"/>
        </w:numPr>
        <w:tabs>
          <w:tab w:val="left" w:pos="0"/>
        </w:tabs>
        <w:spacing w:before="0" w:after="0" w:line="240" w:lineRule="atLeast"/>
        <w:ind w:leftChars="0"/>
        <w:jc w:val="both"/>
        <w:outlineLvl w:val="9"/>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rPr>
        <w:fldChar w:fldCharType="end"/>
      </w:r>
      <w:r>
        <w:rPr>
          <w:rFonts w:hint="eastAsia" w:ascii="仿宋" w:hAnsi="仿宋" w:eastAsia="仿宋" w:cs="仿宋"/>
          <w:color w:val="auto"/>
          <w:kern w:val="0"/>
          <w:szCs w:val="21"/>
          <w:highlight w:val="none"/>
          <w:lang w:val="en-US" w:eastAsia="zh-CN"/>
        </w:rPr>
        <w:t xml:space="preserve">                        </w:t>
      </w:r>
    </w:p>
    <w:p w14:paraId="24F46153">
      <w:pPr>
        <w:numPr>
          <w:ilvl w:val="0"/>
          <w:numId w:val="0"/>
        </w:numPr>
        <w:tabs>
          <w:tab w:val="left" w:pos="0"/>
        </w:tabs>
        <w:spacing w:before="0" w:after="0" w:line="240" w:lineRule="atLeast"/>
        <w:ind w:firstLine="1890" w:firstLineChars="900"/>
        <w:jc w:val="both"/>
        <w:outlineLvl w:val="9"/>
        <w:rPr>
          <w:rFonts w:hint="eastAsia" w:ascii="仿宋" w:hAnsi="仿宋" w:eastAsia="仿宋" w:cs="仿宋"/>
          <w:color w:val="auto"/>
          <w:highlight w:val="none"/>
          <w:lang w:eastAsia="zh-CN"/>
        </w:rPr>
      </w:pPr>
    </w:p>
    <w:p w14:paraId="5A043CEB">
      <w:pPr>
        <w:numPr>
          <w:ilvl w:val="0"/>
          <w:numId w:val="0"/>
        </w:numPr>
        <w:tabs>
          <w:tab w:val="left" w:pos="0"/>
        </w:tabs>
        <w:spacing w:before="0" w:after="0" w:line="240" w:lineRule="atLeast"/>
        <w:jc w:val="both"/>
        <w:outlineLvl w:val="9"/>
        <w:rPr>
          <w:rFonts w:hint="eastAsia" w:ascii="仿宋" w:hAnsi="仿宋" w:eastAsia="仿宋" w:cs="仿宋"/>
          <w:color w:val="auto"/>
          <w:highlight w:val="none"/>
          <w:lang w:eastAsia="zh-CN"/>
        </w:rPr>
      </w:pPr>
    </w:p>
    <w:bookmarkEnd w:id="0"/>
    <w:bookmarkEnd w:id="1"/>
    <w:bookmarkEnd w:id="2"/>
    <w:bookmarkEnd w:id="3"/>
    <w:bookmarkEnd w:id="4"/>
    <w:p w14:paraId="4BA10DEA">
      <w:pPr>
        <w:pStyle w:val="3"/>
        <w:numPr>
          <w:ilvl w:val="0"/>
          <w:numId w:val="0"/>
        </w:numPr>
        <w:tabs>
          <w:tab w:val="left" w:pos="0"/>
        </w:tabs>
        <w:spacing w:before="0" w:after="0" w:line="240" w:lineRule="atLeast"/>
        <w:ind w:firstLine="2880" w:firstLineChars="900"/>
        <w:jc w:val="both"/>
        <w:rPr>
          <w:rFonts w:hint="eastAsia" w:ascii="仿宋" w:hAnsi="仿宋" w:eastAsia="仿宋" w:cs="仿宋"/>
          <w:color w:val="auto"/>
          <w:highlight w:val="none"/>
          <w:lang w:eastAsia="zh-CN"/>
        </w:rPr>
        <w:sectPr>
          <w:footerReference r:id="rId5"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bookmarkStart w:id="5" w:name="_Toc520356144"/>
      <w:bookmarkStart w:id="6" w:name="_Toc32623"/>
      <w:bookmarkStart w:id="7" w:name="_Toc32189"/>
      <w:bookmarkStart w:id="8" w:name="_Toc515647758"/>
    </w:p>
    <w:p w14:paraId="699C4532">
      <w:pPr>
        <w:pStyle w:val="3"/>
        <w:numPr>
          <w:ilvl w:val="0"/>
          <w:numId w:val="0"/>
        </w:numPr>
        <w:tabs>
          <w:tab w:val="left" w:pos="0"/>
        </w:tabs>
        <w:spacing w:before="0" w:after="0" w:line="240" w:lineRule="atLeast"/>
        <w:ind w:firstLine="2880" w:firstLineChars="900"/>
        <w:jc w:val="both"/>
        <w:rPr>
          <w:rFonts w:hint="eastAsia" w:ascii="仿宋" w:hAnsi="仿宋" w:eastAsia="仿宋" w:cs="仿宋"/>
          <w:color w:val="auto"/>
          <w:highlight w:val="none"/>
        </w:rPr>
      </w:pPr>
      <w:bookmarkStart w:id="9" w:name="_Toc1229"/>
      <w:r>
        <w:rPr>
          <w:rFonts w:hint="eastAsia" w:ascii="仿宋" w:hAnsi="仿宋" w:eastAsia="仿宋" w:cs="仿宋"/>
          <w:color w:val="auto"/>
          <w:highlight w:val="none"/>
          <w:lang w:eastAsia="zh-CN"/>
        </w:rPr>
        <w:t>第一章</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highlight w:val="none"/>
        </w:rPr>
        <w:t>投标人须知</w:t>
      </w:r>
      <w:bookmarkEnd w:id="9"/>
    </w:p>
    <w:p w14:paraId="3DE2AF6D">
      <w:pPr>
        <w:pStyle w:val="4"/>
        <w:spacing w:before="0" w:line="240" w:lineRule="atLeast"/>
        <w:ind w:firstLine="3640" w:firstLineChars="1300"/>
        <w:jc w:val="both"/>
        <w:rPr>
          <w:rFonts w:hint="eastAsia" w:ascii="仿宋" w:hAnsi="仿宋" w:eastAsia="仿宋" w:cs="仿宋"/>
          <w:color w:val="auto"/>
          <w:sz w:val="28"/>
          <w:highlight w:val="none"/>
        </w:rPr>
      </w:pPr>
      <w:bookmarkStart w:id="10" w:name="_Toc17933"/>
      <w:r>
        <w:rPr>
          <w:rFonts w:hint="eastAsia" w:ascii="仿宋" w:hAnsi="仿宋" w:eastAsia="仿宋" w:cs="仿宋"/>
          <w:color w:val="auto"/>
          <w:sz w:val="28"/>
          <w:highlight w:val="none"/>
        </w:rPr>
        <w:t>一   总 则</w:t>
      </w:r>
      <w:bookmarkEnd w:id="10"/>
    </w:p>
    <w:p w14:paraId="6EEF99C6">
      <w:pPr>
        <w:pStyle w:val="5"/>
        <w:spacing w:before="0" w:after="0" w:line="240" w:lineRule="atLeast"/>
        <w:rPr>
          <w:rFonts w:hint="eastAsia" w:ascii="仿宋" w:hAnsi="仿宋" w:eastAsia="仿宋" w:cs="仿宋"/>
          <w:color w:val="auto"/>
          <w:highlight w:val="none"/>
          <w:u w:val="none"/>
        </w:rPr>
      </w:pPr>
      <w:bookmarkStart w:id="11" w:name="_Toc31366"/>
      <w:r>
        <w:rPr>
          <w:rFonts w:hint="eastAsia" w:ascii="仿宋" w:hAnsi="仿宋" w:eastAsia="仿宋" w:cs="仿宋"/>
          <w:color w:val="auto"/>
          <w:highlight w:val="none"/>
          <w:u w:val="none"/>
        </w:rPr>
        <w:t>1.采购人、采购代理机构及</w:t>
      </w:r>
      <w:bookmarkEnd w:id="5"/>
      <w:r>
        <w:rPr>
          <w:rFonts w:hint="eastAsia" w:ascii="仿宋" w:hAnsi="仿宋" w:eastAsia="仿宋" w:cs="仿宋"/>
          <w:color w:val="auto"/>
          <w:highlight w:val="none"/>
          <w:u w:val="none"/>
        </w:rPr>
        <w:t>投标人</w:t>
      </w:r>
      <w:bookmarkEnd w:id="6"/>
      <w:bookmarkEnd w:id="7"/>
      <w:bookmarkEnd w:id="8"/>
      <w:bookmarkEnd w:id="11"/>
    </w:p>
    <w:p w14:paraId="50997AC9">
      <w:pPr>
        <w:numPr>
          <w:ilvl w:val="1"/>
          <w:numId w:val="2"/>
        </w:numPr>
        <w:tabs>
          <w:tab w:val="left" w:pos="0"/>
          <w:tab w:val="clear" w:pos="900"/>
        </w:tabs>
        <w:spacing w:line="240" w:lineRule="atLeast"/>
        <w:ind w:hanging="898"/>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采购人：是指依法开展政府采购活动的国家机关、事业单位、团体组织。</w:t>
      </w:r>
    </w:p>
    <w:p w14:paraId="6CEA43B7">
      <w:pPr>
        <w:tabs>
          <w:tab w:val="left" w:pos="0"/>
        </w:tabs>
        <w:spacing w:line="240" w:lineRule="atLeast"/>
        <w:ind w:left="9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本项目的采购人见</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w:t>
      </w:r>
    </w:p>
    <w:p w14:paraId="395A536F">
      <w:pPr>
        <w:numPr>
          <w:ilvl w:val="1"/>
          <w:numId w:val="2"/>
        </w:numPr>
        <w:tabs>
          <w:tab w:val="left" w:pos="0"/>
          <w:tab w:val="clear" w:pos="900"/>
        </w:tabs>
        <w:spacing w:line="240" w:lineRule="atLeast"/>
        <w:ind w:hanging="898"/>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采购代理机构：是指在集中采购机构或从事采购代理业务的社会中介机构。本项目的采购代理机构见</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w:t>
      </w:r>
    </w:p>
    <w:p w14:paraId="54475CC8">
      <w:pPr>
        <w:numPr>
          <w:ilvl w:val="1"/>
          <w:numId w:val="2"/>
        </w:numPr>
        <w:spacing w:line="240" w:lineRule="atLeast"/>
        <w:ind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投标人：是指向采购人提供货物、工程或者服务的法人、非法人组织或者自然人。本项目的投标人及其投标货物须满足以下条件：</w:t>
      </w:r>
    </w:p>
    <w:p w14:paraId="5575C3B1">
      <w:pPr>
        <w:spacing w:line="240" w:lineRule="atLeast"/>
        <w:ind w:left="850" w:hanging="849" w:hangingChars="354"/>
        <w:rPr>
          <w:rFonts w:hint="eastAsia" w:ascii="仿宋" w:hAnsi="仿宋" w:eastAsia="仿宋" w:cs="仿宋"/>
          <w:color w:val="auto"/>
          <w:sz w:val="24"/>
          <w:highlight w:val="none"/>
        </w:rPr>
      </w:pPr>
      <w:r>
        <w:rPr>
          <w:rFonts w:hint="eastAsia" w:ascii="仿宋" w:hAnsi="仿宋" w:eastAsia="仿宋" w:cs="仿宋"/>
          <w:color w:val="auto"/>
          <w:sz w:val="24"/>
          <w:highlight w:val="none"/>
        </w:rPr>
        <w:t>1.3.1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在中华人民共和国境内注册，能够独立承担民事责任，有生产或供应能力的本国供应商。</w:t>
      </w:r>
    </w:p>
    <w:p w14:paraId="2BCFE74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1.3.2  具备《中华人民共和国政府采购法》第二十二条关于供应商条件的规定，遵守本项目采购人本级和上级财政部门政府采购的有关规定。</w:t>
      </w:r>
    </w:p>
    <w:p w14:paraId="5220588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1.3.3   以采购代理机构认可的方式获得了本项目的招标文件。</w:t>
      </w:r>
    </w:p>
    <w:p w14:paraId="43CA211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1.3.4   符合</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中规定的其他要求。</w:t>
      </w:r>
    </w:p>
    <w:p w14:paraId="56AC0CA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1.3.5   若</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中写明允许采购进口产品，投标人应保证所投产品可履行合法报通关手续进入中国关境内。</w:t>
      </w:r>
    </w:p>
    <w:p w14:paraId="4C3E636A">
      <w:pPr>
        <w:spacing w:line="240" w:lineRule="atLeast"/>
        <w:ind w:left="898" w:leftChars="428"/>
        <w:rPr>
          <w:rFonts w:hint="eastAsia" w:ascii="仿宋" w:hAnsi="仿宋" w:eastAsia="仿宋" w:cs="仿宋"/>
          <w:color w:val="auto"/>
          <w:sz w:val="24"/>
          <w:highlight w:val="none"/>
        </w:rPr>
      </w:pPr>
      <w:r>
        <w:rPr>
          <w:rFonts w:hint="eastAsia" w:ascii="仿宋" w:hAnsi="仿宋" w:eastAsia="仿宋" w:cs="仿宋"/>
          <w:color w:val="auto"/>
          <w:sz w:val="24"/>
          <w:highlight w:val="none"/>
        </w:rPr>
        <w:t>若</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中未写明允许采购进口产品，如投标人所投产品为进口产品，其投标将被认定为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432A9AE6">
      <w:pPr>
        <w:spacing w:line="240" w:lineRule="atLeast"/>
        <w:ind w:left="840" w:hanging="840" w:hangingChars="350"/>
        <w:rPr>
          <w:rFonts w:hint="eastAsia" w:ascii="仿宋" w:hAnsi="仿宋" w:eastAsia="仿宋" w:cs="仿宋"/>
          <w:color w:val="auto"/>
          <w:sz w:val="24"/>
          <w:highlight w:val="none"/>
        </w:rPr>
      </w:pPr>
      <w:r>
        <w:rPr>
          <w:rFonts w:hint="eastAsia" w:ascii="仿宋" w:hAnsi="仿宋" w:eastAsia="仿宋" w:cs="仿宋"/>
          <w:color w:val="auto"/>
          <w:sz w:val="24"/>
          <w:highlight w:val="none"/>
        </w:rPr>
        <w:t>1.3.6  若</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中写明专门面向中小企业采购的，如投标人为非中小企业</w:t>
      </w:r>
      <w:r>
        <w:rPr>
          <w:rFonts w:hint="eastAsia" w:ascii="仿宋" w:hAnsi="仿宋" w:eastAsia="仿宋" w:cs="仿宋"/>
          <w:color w:val="auto"/>
          <w:sz w:val="24"/>
          <w:highlight w:val="none"/>
          <w:lang w:eastAsia="zh-CN"/>
        </w:rPr>
        <w:t>（工程、服务）或</w:t>
      </w:r>
      <w:r>
        <w:rPr>
          <w:rFonts w:hint="eastAsia" w:ascii="仿宋" w:hAnsi="仿宋" w:eastAsia="仿宋" w:cs="仿宋"/>
          <w:color w:val="auto"/>
          <w:sz w:val="24"/>
          <w:highlight w:val="none"/>
        </w:rPr>
        <w:t>所投产品为非中小企业产品</w:t>
      </w:r>
      <w:r>
        <w:rPr>
          <w:rFonts w:hint="eastAsia" w:ascii="仿宋" w:hAnsi="仿宋" w:eastAsia="仿宋" w:cs="仿宋"/>
          <w:color w:val="auto"/>
          <w:sz w:val="24"/>
          <w:highlight w:val="none"/>
          <w:lang w:eastAsia="zh-CN"/>
        </w:rPr>
        <w:t>（货物）</w:t>
      </w:r>
      <w:r>
        <w:rPr>
          <w:rFonts w:hint="eastAsia" w:ascii="仿宋" w:hAnsi="仿宋" w:eastAsia="仿宋" w:cs="仿宋"/>
          <w:color w:val="auto"/>
          <w:sz w:val="24"/>
          <w:highlight w:val="none"/>
        </w:rPr>
        <w:t>，其投标将被认定为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5DCD8A2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     如</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中允许联合体投标，对联合体规定如下：</w:t>
      </w:r>
    </w:p>
    <w:p w14:paraId="675EFA5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1.4.1   两个以上供应商可以组成一个投标联合体，以一个投标人的身份投标。</w:t>
      </w:r>
    </w:p>
    <w:p w14:paraId="77EEB3C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1.4.2   联合体各方均应符合《中华人民共和国政府采购法》第二十二条规定的条件。</w:t>
      </w:r>
    </w:p>
    <w:p w14:paraId="45F6D7E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1.4.3   采购人根据采购项目对投标人的特殊要求，联合体中至少应当有一方符合相关规定。</w:t>
      </w:r>
    </w:p>
    <w:p w14:paraId="7C8E8F6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1.4.4   联合体各方应签订共同投标协议，明确约定联合体各方承担的工作和相应的责任，并将共同投标协议连同作为投标文件第一部分的内容提交。</w:t>
      </w:r>
    </w:p>
    <w:p w14:paraId="13CC328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1.4.5   大中型企业、其他自然人、法人或者非法人组织与小型、微型企业组成联合体共同参加投标，共同投标协议中应写明小型、微型企业的协议合同金额占到共同投标协议投标总金额的比例。</w:t>
      </w:r>
    </w:p>
    <w:p w14:paraId="5F0C557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1.4.6  联合体中有同类资质的供应商按照联合体分工承担相同工作的，按照较低的资质等级确定联合体的资质等级。</w:t>
      </w:r>
    </w:p>
    <w:p w14:paraId="24C83F2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1.4.7  以联合体形式参加政府采购活动的，联合体各方不得再单独参加或者与其他供应商另外组成联合体参加本项目投标，否则相关投标将被认定为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0EF04FA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1.4.8   对联合体投标的其他资格要求见</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w:t>
      </w:r>
    </w:p>
    <w:p w14:paraId="61A59EB4">
      <w:pPr>
        <w:spacing w:line="240" w:lineRule="atLeast"/>
        <w:ind w:left="900" w:hanging="900" w:hangingChars="375"/>
        <w:rPr>
          <w:rFonts w:hint="eastAsia" w:ascii="仿宋" w:hAnsi="仿宋" w:eastAsia="仿宋" w:cs="仿宋"/>
          <w:color w:val="auto"/>
          <w:sz w:val="24"/>
          <w:highlight w:val="none"/>
        </w:rPr>
        <w:sectPr>
          <w:footerReference r:id="rId6"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r>
        <w:rPr>
          <w:rFonts w:hint="eastAsia" w:ascii="仿宋" w:hAnsi="仿宋" w:eastAsia="仿宋" w:cs="仿宋"/>
          <w:color w:val="auto"/>
          <w:sz w:val="24"/>
          <w:highlight w:val="none"/>
        </w:rPr>
        <w:t>1.5    单位负责人为同一人或者存在直接控股、管理关系的不同供应商，其相</w:t>
      </w:r>
    </w:p>
    <w:p w14:paraId="1435379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关投标将被认定为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4A34956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    为本项目提供过整体设计、规范编制或者项目管理、监理、检测等服务的供应商，不得再参加本项目上述服务以外的其他采购活动。否则其投标将被认定为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6F6CFB1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投标人在投标过程中不得向采购人提供、给予任何有价值的物品，影响其正常决策行为。一经发现，其将被认定为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30BB6CD3">
      <w:pPr>
        <w:pStyle w:val="5"/>
        <w:spacing w:before="0" w:after="0" w:line="240" w:lineRule="atLeast"/>
        <w:rPr>
          <w:rFonts w:hint="eastAsia" w:ascii="仿宋" w:hAnsi="仿宋" w:eastAsia="仿宋" w:cs="仿宋"/>
          <w:color w:val="auto"/>
          <w:highlight w:val="none"/>
          <w:u w:val="none"/>
        </w:rPr>
      </w:pPr>
      <w:bookmarkStart w:id="12" w:name="_Toc515647759"/>
      <w:bookmarkStart w:id="13" w:name="_Toc12139"/>
      <w:bookmarkStart w:id="14" w:name="_Toc5286"/>
      <w:bookmarkStart w:id="15" w:name="_Toc12958"/>
      <w:r>
        <w:rPr>
          <w:rFonts w:hint="eastAsia" w:ascii="仿宋" w:hAnsi="仿宋" w:eastAsia="仿宋" w:cs="仿宋"/>
          <w:color w:val="auto"/>
          <w:highlight w:val="none"/>
          <w:u w:val="none"/>
        </w:rPr>
        <w:t>2.资金来源</w:t>
      </w:r>
      <w:bookmarkEnd w:id="12"/>
      <w:bookmarkEnd w:id="13"/>
      <w:bookmarkEnd w:id="14"/>
      <w:bookmarkEnd w:id="15"/>
    </w:p>
    <w:p w14:paraId="218B927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本项目的采购人已获得足以支付本次招标后所签订的合同项下的资金（包括财政性资金和本项目采购中无法与财政性资金分割的非财政性资金）。</w:t>
      </w:r>
    </w:p>
    <w:p w14:paraId="2881A2E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2.2    项目预算金额和分项或分包最高限价</w:t>
      </w:r>
      <w:r>
        <w:rPr>
          <w:rFonts w:hint="eastAsia" w:ascii="仿宋" w:hAnsi="仿宋" w:eastAsia="仿宋" w:cs="仿宋"/>
          <w:color w:val="auto"/>
          <w:sz w:val="24"/>
          <w:highlight w:val="none"/>
          <w:u w:val="single"/>
        </w:rPr>
        <w:t>见投标人须知资料表</w:t>
      </w:r>
      <w:r>
        <w:rPr>
          <w:rFonts w:hint="eastAsia" w:ascii="仿宋" w:hAnsi="仿宋" w:eastAsia="仿宋" w:cs="仿宋"/>
          <w:color w:val="auto"/>
          <w:sz w:val="24"/>
          <w:highlight w:val="none"/>
        </w:rPr>
        <w:t>。</w:t>
      </w:r>
    </w:p>
    <w:p w14:paraId="58E21FD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投标人报价超过招标文件规定的预算金额或者分项、分包最高限价的，其投标将被认定为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6B5BE9DF">
      <w:pPr>
        <w:pStyle w:val="5"/>
        <w:spacing w:before="0" w:after="0" w:line="240" w:lineRule="atLeast"/>
        <w:rPr>
          <w:rFonts w:hint="eastAsia" w:ascii="仿宋" w:hAnsi="仿宋" w:eastAsia="仿宋" w:cs="仿宋"/>
          <w:color w:val="auto"/>
          <w:highlight w:val="none"/>
          <w:u w:val="none"/>
        </w:rPr>
      </w:pPr>
      <w:bookmarkStart w:id="16" w:name="_Toc20526"/>
      <w:bookmarkStart w:id="17" w:name="_Toc15936"/>
      <w:bookmarkStart w:id="18" w:name="_Toc515647760"/>
      <w:bookmarkStart w:id="19" w:name="_Toc3902"/>
      <w:bookmarkStart w:id="20" w:name="_Toc520356145"/>
      <w:r>
        <w:rPr>
          <w:rFonts w:hint="eastAsia" w:ascii="仿宋" w:hAnsi="仿宋" w:eastAsia="仿宋" w:cs="仿宋"/>
          <w:color w:val="auto"/>
          <w:highlight w:val="none"/>
          <w:u w:val="none"/>
        </w:rPr>
        <w:t>3.投标费用</w:t>
      </w:r>
      <w:bookmarkEnd w:id="16"/>
      <w:bookmarkEnd w:id="17"/>
      <w:bookmarkEnd w:id="18"/>
      <w:bookmarkEnd w:id="19"/>
      <w:bookmarkEnd w:id="20"/>
    </w:p>
    <w:p w14:paraId="08663A5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不论投标的结果如何，投标人应承担所有与准备和参加投标有关的费用。</w:t>
      </w:r>
    </w:p>
    <w:p w14:paraId="3539E5C2">
      <w:pPr>
        <w:pStyle w:val="5"/>
        <w:spacing w:before="0" w:after="0" w:line="240" w:lineRule="atLeast"/>
        <w:rPr>
          <w:rFonts w:hint="eastAsia" w:ascii="仿宋" w:hAnsi="仿宋" w:eastAsia="仿宋" w:cs="仿宋"/>
          <w:color w:val="auto"/>
          <w:highlight w:val="none"/>
          <w:u w:val="none"/>
        </w:rPr>
      </w:pPr>
      <w:bookmarkStart w:id="21" w:name="_Toc6116"/>
      <w:bookmarkStart w:id="22" w:name="_Toc6740"/>
      <w:bookmarkStart w:id="23" w:name="_Toc4463"/>
      <w:bookmarkStart w:id="24" w:name="_Toc515647761"/>
      <w:r>
        <w:rPr>
          <w:rFonts w:hint="eastAsia" w:ascii="仿宋" w:hAnsi="仿宋" w:eastAsia="仿宋" w:cs="仿宋"/>
          <w:color w:val="auto"/>
          <w:highlight w:val="none"/>
          <w:u w:val="none"/>
        </w:rPr>
        <w:t>4.适用法律</w:t>
      </w:r>
      <w:bookmarkEnd w:id="21"/>
      <w:bookmarkEnd w:id="22"/>
      <w:bookmarkEnd w:id="23"/>
      <w:bookmarkEnd w:id="24"/>
    </w:p>
    <w:p w14:paraId="4D57F92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本项目采购人、采购代理机构、投标人、评标委员会的相关行为均受《中华人民共和国政府采购法》、《中华人民共和国政府采购法实施条例》</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《政府采购货物和服务招标投标管理办法》（财政部第 </w:t>
      </w:r>
      <w:r>
        <w:rPr>
          <w:rFonts w:hint="eastAsia" w:ascii="仿宋" w:hAnsi="仿宋" w:eastAsia="仿宋" w:cs="仿宋"/>
          <w:color w:val="auto"/>
          <w:sz w:val="24"/>
          <w:highlight w:val="none"/>
          <w:lang w:val="en-US" w:eastAsia="zh-CN"/>
        </w:rPr>
        <w:t>87</w:t>
      </w:r>
      <w:r>
        <w:rPr>
          <w:rFonts w:hint="eastAsia" w:ascii="仿宋" w:hAnsi="仿宋" w:eastAsia="仿宋" w:cs="仿宋"/>
          <w:color w:val="auto"/>
          <w:sz w:val="24"/>
          <w:highlight w:val="none"/>
        </w:rPr>
        <w:t xml:space="preserve"> 号令）等及本项目本级和上级财政部门政府采购有关规定的约束，其权利受到上述法律法规的保护。</w:t>
      </w:r>
    </w:p>
    <w:p w14:paraId="1B3ED43B">
      <w:pPr>
        <w:spacing w:line="240" w:lineRule="atLeast"/>
        <w:rPr>
          <w:rFonts w:hint="eastAsia" w:ascii="仿宋" w:hAnsi="仿宋" w:eastAsia="仿宋" w:cs="仿宋"/>
          <w:color w:val="auto"/>
          <w:sz w:val="24"/>
          <w:highlight w:val="none"/>
        </w:rPr>
      </w:pPr>
    </w:p>
    <w:p w14:paraId="49403286">
      <w:pPr>
        <w:pStyle w:val="4"/>
        <w:spacing w:before="0" w:line="240" w:lineRule="atLeast"/>
        <w:ind w:left="1079" w:leftChars="257" w:hanging="540"/>
        <w:rPr>
          <w:rFonts w:hint="eastAsia" w:ascii="仿宋" w:hAnsi="仿宋" w:eastAsia="仿宋" w:cs="仿宋"/>
          <w:color w:val="auto"/>
          <w:sz w:val="28"/>
          <w:highlight w:val="none"/>
        </w:rPr>
      </w:pPr>
      <w:bookmarkStart w:id="25" w:name="_Toc520356146"/>
      <w:bookmarkStart w:id="26" w:name="_Toc515647762"/>
      <w:bookmarkStart w:id="27" w:name="_Toc21566"/>
      <w:bookmarkStart w:id="28" w:name="_Toc18204"/>
      <w:bookmarkStart w:id="29" w:name="_Toc216582806"/>
      <w:bookmarkStart w:id="30" w:name="_Toc4365"/>
      <w:r>
        <w:rPr>
          <w:rFonts w:hint="eastAsia" w:ascii="仿宋" w:hAnsi="仿宋" w:eastAsia="仿宋" w:cs="仿宋"/>
          <w:color w:val="auto"/>
          <w:sz w:val="28"/>
          <w:highlight w:val="none"/>
        </w:rPr>
        <w:t>二   招标文件</w:t>
      </w:r>
      <w:bookmarkEnd w:id="25"/>
      <w:bookmarkEnd w:id="26"/>
      <w:bookmarkEnd w:id="27"/>
      <w:bookmarkEnd w:id="28"/>
      <w:bookmarkEnd w:id="29"/>
      <w:bookmarkEnd w:id="30"/>
    </w:p>
    <w:p w14:paraId="635BA06A">
      <w:pPr>
        <w:pStyle w:val="9"/>
        <w:rPr>
          <w:rFonts w:hint="eastAsia" w:ascii="仿宋" w:hAnsi="仿宋" w:eastAsia="仿宋" w:cs="仿宋"/>
          <w:color w:val="auto"/>
          <w:highlight w:val="none"/>
        </w:rPr>
      </w:pPr>
    </w:p>
    <w:p w14:paraId="7025148D">
      <w:pPr>
        <w:pStyle w:val="5"/>
        <w:spacing w:before="0" w:after="0" w:line="240" w:lineRule="atLeast"/>
        <w:rPr>
          <w:rFonts w:hint="eastAsia" w:ascii="仿宋" w:hAnsi="仿宋" w:eastAsia="仿宋" w:cs="仿宋"/>
          <w:color w:val="auto"/>
          <w:highlight w:val="none"/>
          <w:u w:val="none"/>
        </w:rPr>
      </w:pPr>
      <w:bookmarkStart w:id="31" w:name="_Toc985"/>
      <w:bookmarkStart w:id="32" w:name="_Toc25743"/>
      <w:bookmarkStart w:id="33" w:name="_Toc520356147"/>
      <w:bookmarkStart w:id="34" w:name="_Toc14084"/>
      <w:bookmarkStart w:id="35" w:name="_Toc515647763"/>
      <w:r>
        <w:rPr>
          <w:rFonts w:hint="eastAsia" w:ascii="仿宋" w:hAnsi="仿宋" w:eastAsia="仿宋" w:cs="仿宋"/>
          <w:color w:val="auto"/>
          <w:highlight w:val="none"/>
          <w:u w:val="none"/>
        </w:rPr>
        <w:t>5.招标文件构成</w:t>
      </w:r>
      <w:bookmarkEnd w:id="31"/>
      <w:bookmarkEnd w:id="32"/>
      <w:bookmarkEnd w:id="33"/>
      <w:bookmarkEnd w:id="34"/>
      <w:bookmarkEnd w:id="35"/>
    </w:p>
    <w:p w14:paraId="67626DB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5.1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招标文件分为三册共7章，内容如下：</w:t>
      </w:r>
    </w:p>
    <w:p w14:paraId="74657F9D">
      <w:pPr>
        <w:spacing w:line="240" w:lineRule="atLeast"/>
        <w:ind w:left="1078" w:leftChars="428" w:hanging="180" w:hangingChars="75"/>
        <w:rPr>
          <w:rFonts w:hint="eastAsia" w:ascii="仿宋" w:hAnsi="仿宋" w:eastAsia="仿宋" w:cs="仿宋"/>
          <w:color w:val="auto"/>
          <w:sz w:val="24"/>
          <w:highlight w:val="none"/>
        </w:rPr>
      </w:pPr>
      <w:r>
        <w:rPr>
          <w:rFonts w:hint="eastAsia" w:ascii="仿宋" w:hAnsi="仿宋" w:eastAsia="仿宋" w:cs="仿宋"/>
          <w:color w:val="auto"/>
          <w:sz w:val="24"/>
          <w:highlight w:val="none"/>
        </w:rPr>
        <w:t>第一册</w:t>
      </w:r>
    </w:p>
    <w:p w14:paraId="0F9E7E39">
      <w:pPr>
        <w:numPr>
          <w:ilvl w:val="0"/>
          <w:numId w:val="3"/>
        </w:numPr>
        <w:tabs>
          <w:tab w:val="left" w:pos="0"/>
        </w:tabs>
        <w:spacing w:line="240" w:lineRule="atLeast"/>
        <w:ind w:hanging="82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投标人须知</w:t>
      </w:r>
    </w:p>
    <w:p w14:paraId="7815C04C">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投标文件格式</w:t>
      </w:r>
    </w:p>
    <w:p w14:paraId="5FB59DE6">
      <w:p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第二册</w:t>
      </w:r>
    </w:p>
    <w:p w14:paraId="0A650F81">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投标邀请</w:t>
      </w:r>
    </w:p>
    <w:p w14:paraId="4684B330">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投标人须知资料表</w:t>
      </w:r>
    </w:p>
    <w:p w14:paraId="7EE773C5">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货物需求一览表及技术规格</w:t>
      </w:r>
    </w:p>
    <w:p w14:paraId="48CFA6D0">
      <w:pPr>
        <w:numPr>
          <w:ilvl w:val="0"/>
          <w:numId w:val="3"/>
        </w:numPr>
        <w:spacing w:line="240" w:lineRule="atLeast"/>
        <w:ind w:left="1080" w:leftChars="429" w:hanging="1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评标方法和标准</w:t>
      </w:r>
    </w:p>
    <w:p w14:paraId="35A5C8A4">
      <w:pPr>
        <w:spacing w:line="240" w:lineRule="atLeast"/>
        <w:ind w:left="901"/>
        <w:rPr>
          <w:rFonts w:hint="eastAsia" w:ascii="仿宋" w:hAnsi="仿宋" w:eastAsia="仿宋" w:cs="仿宋"/>
          <w:color w:val="auto"/>
          <w:sz w:val="24"/>
          <w:highlight w:val="none"/>
        </w:rPr>
      </w:pPr>
      <w:r>
        <w:rPr>
          <w:rFonts w:hint="eastAsia" w:ascii="仿宋" w:hAnsi="仿宋" w:eastAsia="仿宋" w:cs="仿宋"/>
          <w:color w:val="auto"/>
          <w:sz w:val="24"/>
          <w:highlight w:val="none"/>
        </w:rPr>
        <w:t>第三册</w:t>
      </w:r>
    </w:p>
    <w:p w14:paraId="12C434F1">
      <w:pPr>
        <w:numPr>
          <w:ilvl w:val="0"/>
          <w:numId w:val="3"/>
        </w:numPr>
        <w:spacing w:line="240" w:lineRule="atLeast"/>
        <w:ind w:left="718" w:leftChars="342"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政府采购合同格式</w:t>
      </w:r>
    </w:p>
    <w:p w14:paraId="05A3C9C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5.2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如本文件的前后内容不一致，以最后描述为准。</w:t>
      </w:r>
    </w:p>
    <w:p w14:paraId="3C4EEC6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5.3    投标人应认真阅读招标文件所有的事项、格式、条款和技术规范等。如投标人没有按照招标文件要求提交全部资料，或者投标文件没有对招标文件在各方面都做出实质性响应，可能导致其投标将被认定为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70DB9F3D">
      <w:pPr>
        <w:pStyle w:val="5"/>
        <w:spacing w:before="0" w:after="0" w:line="240" w:lineRule="atLeast"/>
        <w:rPr>
          <w:rFonts w:hint="eastAsia" w:ascii="仿宋" w:hAnsi="仿宋" w:eastAsia="仿宋" w:cs="仿宋"/>
          <w:color w:val="auto"/>
          <w:highlight w:val="none"/>
          <w:u w:val="none"/>
        </w:rPr>
      </w:pPr>
      <w:bookmarkStart w:id="36" w:name="_Toc520356148"/>
      <w:bookmarkStart w:id="37" w:name="_Toc515904805"/>
      <w:bookmarkStart w:id="38" w:name="_Toc15577"/>
      <w:bookmarkStart w:id="39" w:name="_Toc9232"/>
      <w:bookmarkStart w:id="40" w:name="_Toc26044"/>
      <w:r>
        <w:rPr>
          <w:rFonts w:hint="eastAsia" w:ascii="仿宋" w:hAnsi="仿宋" w:eastAsia="仿宋" w:cs="仿宋"/>
          <w:color w:val="auto"/>
          <w:highlight w:val="none"/>
          <w:u w:val="none"/>
        </w:rPr>
        <w:t>6.招标文件的澄清</w:t>
      </w:r>
      <w:bookmarkEnd w:id="36"/>
      <w:bookmarkEnd w:id="37"/>
      <w:r>
        <w:rPr>
          <w:rFonts w:hint="eastAsia" w:ascii="仿宋" w:hAnsi="仿宋" w:eastAsia="仿宋" w:cs="仿宋"/>
          <w:color w:val="auto"/>
          <w:highlight w:val="none"/>
          <w:u w:val="none"/>
        </w:rPr>
        <w:t>与修改</w:t>
      </w:r>
      <w:bookmarkEnd w:id="38"/>
      <w:bookmarkEnd w:id="39"/>
      <w:bookmarkEnd w:id="40"/>
    </w:p>
    <w:p w14:paraId="55CEFD9E">
      <w:pPr>
        <w:pStyle w:val="9"/>
        <w:ind w:left="840" w:hanging="840" w:hangingChars="350"/>
        <w:rPr>
          <w:rFonts w:hint="eastAsia" w:ascii="仿宋" w:hAnsi="仿宋" w:eastAsia="仿宋" w:cs="仿宋"/>
          <w:color w:val="auto"/>
          <w:szCs w:val="24"/>
          <w:highlight w:val="none"/>
        </w:rPr>
      </w:pPr>
      <w:r>
        <w:rPr>
          <w:rFonts w:hint="eastAsia" w:ascii="仿宋" w:hAnsi="仿宋" w:eastAsia="仿宋" w:cs="仿宋"/>
          <w:color w:val="auto"/>
          <w:szCs w:val="24"/>
          <w:highlight w:val="none"/>
        </w:rPr>
        <w:t>6.1    为了保证对招标文件的澄清和修改满足法律的时限要求，任何要求对招标文件进行澄清的投标人，均应在投标截止期十五日前，以书面形式将澄清要求通知采购人或采购代理机构。</w:t>
      </w:r>
    </w:p>
    <w:p w14:paraId="3375D3E1">
      <w:pPr>
        <w:pStyle w:val="9"/>
        <w:ind w:left="840" w:hanging="840" w:hangingChars="350"/>
        <w:rPr>
          <w:rFonts w:hint="eastAsia" w:ascii="仿宋" w:hAnsi="仿宋" w:eastAsia="仿宋" w:cs="仿宋"/>
          <w:color w:val="auto"/>
          <w:szCs w:val="24"/>
          <w:highlight w:val="none"/>
        </w:rPr>
      </w:pPr>
      <w:bookmarkStart w:id="41" w:name="_Ref467378678"/>
      <w:bookmarkStart w:id="42" w:name="_Toc520356149"/>
      <w:bookmarkStart w:id="43" w:name="_Toc515904806"/>
      <w:r>
        <w:rPr>
          <w:rFonts w:hint="eastAsia" w:ascii="仿宋" w:hAnsi="仿宋" w:eastAsia="仿宋" w:cs="仿宋"/>
          <w:color w:val="auto"/>
          <w:szCs w:val="24"/>
          <w:highlight w:val="none"/>
        </w:rPr>
        <w:t>6.2</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t>采购人可主动地或在解答投标人提出的澄清问题时对招标文件进行澄清或修改。采购代理机构将以发布澄清（更正）公告的方式，澄清或修改招标文件，澄清或修改内容作为招标文件的组成部分。</w:t>
      </w:r>
    </w:p>
    <w:p w14:paraId="24F3F41E">
      <w:pPr>
        <w:pStyle w:val="9"/>
        <w:ind w:left="840" w:hanging="840" w:hangingChars="350"/>
        <w:rPr>
          <w:rFonts w:hint="eastAsia" w:ascii="仿宋" w:hAnsi="仿宋" w:eastAsia="仿宋" w:cs="仿宋"/>
          <w:color w:val="auto"/>
          <w:szCs w:val="24"/>
          <w:highlight w:val="none"/>
        </w:rPr>
      </w:pPr>
      <w:r>
        <w:rPr>
          <w:rFonts w:hint="eastAsia" w:ascii="仿宋" w:hAnsi="仿宋" w:eastAsia="仿宋" w:cs="仿宋"/>
          <w:color w:val="auto"/>
          <w:szCs w:val="24"/>
          <w:highlight w:val="none"/>
        </w:rPr>
        <w:t>6.3</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t>澄清或者修改的内容可能影响投标文件编制的，采购代理机构将以书面形式通知所有购买招标文件的潜在投标人，并对其具有约束力。投标人在收到上述通知后，应及时向采购代理机构回函确认。</w:t>
      </w:r>
    </w:p>
    <w:p w14:paraId="55AD3226">
      <w:pPr>
        <w:pStyle w:val="5"/>
        <w:tabs>
          <w:tab w:val="left" w:pos="900"/>
        </w:tabs>
        <w:spacing w:before="0" w:after="0" w:line="240" w:lineRule="atLeast"/>
        <w:rPr>
          <w:rFonts w:hint="eastAsia" w:ascii="仿宋" w:hAnsi="仿宋" w:eastAsia="仿宋" w:cs="仿宋"/>
          <w:color w:val="auto"/>
          <w:highlight w:val="none"/>
          <w:u w:val="none"/>
        </w:rPr>
      </w:pPr>
      <w:bookmarkStart w:id="44" w:name="_Toc25635"/>
      <w:bookmarkStart w:id="45" w:name="_Toc14569"/>
      <w:bookmarkStart w:id="46" w:name="_Toc23271"/>
      <w:r>
        <w:rPr>
          <w:rFonts w:hint="eastAsia" w:ascii="仿宋" w:hAnsi="仿宋" w:eastAsia="仿宋" w:cs="仿宋"/>
          <w:color w:val="auto"/>
          <w:highlight w:val="none"/>
          <w:u w:val="none"/>
        </w:rPr>
        <w:t>7</w:t>
      </w:r>
      <w:bookmarkEnd w:id="41"/>
      <w:bookmarkEnd w:id="42"/>
      <w:bookmarkEnd w:id="43"/>
      <w:r>
        <w:rPr>
          <w:rFonts w:hint="eastAsia" w:ascii="仿宋" w:hAnsi="仿宋" w:eastAsia="仿宋" w:cs="仿宋"/>
          <w:color w:val="auto"/>
          <w:highlight w:val="none"/>
          <w:u w:val="none"/>
        </w:rPr>
        <w:t>.投标截止时间的顺延</w:t>
      </w:r>
      <w:bookmarkEnd w:id="44"/>
      <w:bookmarkEnd w:id="45"/>
      <w:bookmarkEnd w:id="46"/>
    </w:p>
    <w:p w14:paraId="2F0417C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为使投标人准备投标时有足够的时间对招标文件的澄清或者修改部分进行研究，采购人将依法决定是否顺延投标截止时间。</w:t>
      </w:r>
    </w:p>
    <w:p w14:paraId="5A9A1C82">
      <w:pPr>
        <w:spacing w:line="240" w:lineRule="atLeast"/>
        <w:ind w:left="900" w:hanging="900" w:hangingChars="375"/>
        <w:rPr>
          <w:rFonts w:hint="eastAsia" w:ascii="仿宋" w:hAnsi="仿宋" w:eastAsia="仿宋" w:cs="仿宋"/>
          <w:color w:val="auto"/>
          <w:sz w:val="24"/>
          <w:highlight w:val="none"/>
        </w:rPr>
      </w:pPr>
    </w:p>
    <w:p w14:paraId="3283F29C">
      <w:pPr>
        <w:pStyle w:val="4"/>
        <w:tabs>
          <w:tab w:val="left" w:pos="900"/>
        </w:tabs>
        <w:spacing w:before="0" w:line="240" w:lineRule="atLeast"/>
        <w:ind w:left="1079" w:leftChars="257" w:hanging="540"/>
        <w:rPr>
          <w:rFonts w:hint="eastAsia" w:ascii="仿宋" w:hAnsi="仿宋" w:eastAsia="仿宋" w:cs="仿宋"/>
          <w:color w:val="auto"/>
          <w:sz w:val="28"/>
          <w:highlight w:val="none"/>
        </w:rPr>
      </w:pPr>
      <w:bookmarkStart w:id="47" w:name="_Toc516367020"/>
      <w:bookmarkStart w:id="48" w:name="_Toc7636"/>
      <w:bookmarkStart w:id="49" w:name="_Toc216582807"/>
      <w:bookmarkStart w:id="50" w:name="_Toc515647766"/>
      <w:bookmarkStart w:id="51" w:name="_Toc520356150"/>
      <w:bookmarkStart w:id="52" w:name="_Toc8578"/>
      <w:bookmarkStart w:id="53" w:name="_Toc30808"/>
      <w:r>
        <w:rPr>
          <w:rFonts w:hint="eastAsia" w:ascii="仿宋" w:hAnsi="仿宋" w:eastAsia="仿宋" w:cs="仿宋"/>
          <w:color w:val="auto"/>
          <w:sz w:val="28"/>
          <w:highlight w:val="none"/>
        </w:rPr>
        <w:t>三   投标文件</w:t>
      </w:r>
      <w:bookmarkEnd w:id="47"/>
      <w:r>
        <w:rPr>
          <w:rFonts w:hint="eastAsia" w:ascii="仿宋" w:hAnsi="仿宋" w:eastAsia="仿宋" w:cs="仿宋"/>
          <w:color w:val="auto"/>
          <w:sz w:val="28"/>
          <w:highlight w:val="none"/>
        </w:rPr>
        <w:t>的编制</w:t>
      </w:r>
      <w:bookmarkEnd w:id="48"/>
      <w:bookmarkEnd w:id="49"/>
      <w:bookmarkEnd w:id="50"/>
      <w:bookmarkEnd w:id="51"/>
      <w:bookmarkEnd w:id="52"/>
      <w:bookmarkEnd w:id="53"/>
    </w:p>
    <w:p w14:paraId="4BB0124D">
      <w:pPr>
        <w:pStyle w:val="9"/>
        <w:rPr>
          <w:rFonts w:hint="eastAsia" w:ascii="仿宋" w:hAnsi="仿宋" w:eastAsia="仿宋" w:cs="仿宋"/>
          <w:color w:val="auto"/>
          <w:highlight w:val="none"/>
        </w:rPr>
      </w:pPr>
    </w:p>
    <w:p w14:paraId="74DECC16">
      <w:pPr>
        <w:pStyle w:val="5"/>
        <w:tabs>
          <w:tab w:val="left" w:pos="900"/>
        </w:tabs>
        <w:spacing w:before="0" w:after="0" w:line="240" w:lineRule="atLeast"/>
        <w:rPr>
          <w:rFonts w:hint="eastAsia" w:ascii="仿宋" w:hAnsi="仿宋" w:eastAsia="仿宋" w:cs="仿宋"/>
          <w:color w:val="auto"/>
          <w:highlight w:val="none"/>
          <w:u w:val="none"/>
        </w:rPr>
      </w:pPr>
      <w:bookmarkStart w:id="54" w:name="_Toc520356151"/>
      <w:bookmarkStart w:id="55" w:name="_Toc14224"/>
      <w:bookmarkStart w:id="56" w:name="_Toc3553"/>
      <w:bookmarkStart w:id="57" w:name="_Toc516367021"/>
      <w:bookmarkStart w:id="58" w:name="_Toc515647767"/>
      <w:bookmarkStart w:id="59" w:name="_Toc7786"/>
      <w:r>
        <w:rPr>
          <w:rFonts w:hint="eastAsia" w:ascii="仿宋" w:hAnsi="仿宋" w:eastAsia="仿宋" w:cs="仿宋"/>
          <w:color w:val="auto"/>
          <w:highlight w:val="none"/>
          <w:u w:val="none"/>
        </w:rPr>
        <w:t>8.</w:t>
      </w:r>
      <w:r>
        <w:rPr>
          <w:rFonts w:hint="eastAsia" w:ascii="仿宋" w:hAnsi="仿宋" w:eastAsia="仿宋" w:cs="仿宋"/>
          <w:color w:val="auto"/>
          <w:highlight w:val="none"/>
          <w:u w:val="none"/>
        </w:rPr>
        <w:tab/>
      </w:r>
      <w:r>
        <w:rPr>
          <w:rFonts w:hint="eastAsia" w:ascii="仿宋" w:hAnsi="仿宋" w:eastAsia="仿宋" w:cs="仿宋"/>
          <w:color w:val="auto"/>
          <w:highlight w:val="none"/>
          <w:u w:val="none"/>
        </w:rPr>
        <w:t>投标范围及投标文件中标准和计量单位的使用</w:t>
      </w:r>
      <w:bookmarkEnd w:id="54"/>
      <w:bookmarkEnd w:id="55"/>
      <w:bookmarkEnd w:id="56"/>
      <w:bookmarkEnd w:id="57"/>
      <w:bookmarkEnd w:id="58"/>
      <w:bookmarkEnd w:id="59"/>
    </w:p>
    <w:p w14:paraId="44CE132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项目有分包的，投标人可对招标文件其中某一个或几个分包货物进行投标，除非在</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中另有规定。</w:t>
      </w:r>
    </w:p>
    <w:p w14:paraId="03F094C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8.2     投标人应当对所投分包招标文件中“服务需求”所列的所有内容进行投标，如仅响应某一包中的部分内容，其该包投标将被认定为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371DB40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8.3     无论招标文件第5章货物需求一览表及技术规格中是否要求，投标人所投货物均应符合国家强制性标准。</w:t>
      </w:r>
    </w:p>
    <w:p w14:paraId="7591B7B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8.4     除招标文件中有特殊要求外，投标文件中所使用的计量单位，应采用中华人民共和国法定计量单位。</w:t>
      </w:r>
    </w:p>
    <w:p w14:paraId="36B5D9F0">
      <w:pPr>
        <w:pStyle w:val="5"/>
        <w:tabs>
          <w:tab w:val="left" w:pos="900"/>
        </w:tabs>
        <w:spacing w:before="0" w:after="0" w:line="240" w:lineRule="atLeast"/>
        <w:rPr>
          <w:rFonts w:hint="eastAsia" w:ascii="仿宋" w:hAnsi="仿宋" w:eastAsia="仿宋" w:cs="仿宋"/>
          <w:color w:val="auto"/>
          <w:highlight w:val="none"/>
          <w:u w:val="none"/>
        </w:rPr>
      </w:pPr>
      <w:bookmarkStart w:id="60" w:name="_Ref467306195"/>
      <w:bookmarkStart w:id="61" w:name="_Toc516367022"/>
      <w:bookmarkStart w:id="62" w:name="_Ref467306676"/>
      <w:bookmarkStart w:id="63" w:name="_Toc4918"/>
      <w:bookmarkStart w:id="64" w:name="_Toc515647768"/>
      <w:bookmarkStart w:id="65" w:name="_Toc520356152"/>
      <w:bookmarkStart w:id="66" w:name="_Toc10364"/>
      <w:bookmarkStart w:id="67" w:name="_Toc28307"/>
      <w:r>
        <w:rPr>
          <w:rFonts w:hint="eastAsia" w:ascii="仿宋" w:hAnsi="仿宋" w:eastAsia="仿宋" w:cs="仿宋"/>
          <w:color w:val="auto"/>
          <w:highlight w:val="none"/>
          <w:u w:val="none"/>
        </w:rPr>
        <w:t>9.</w:t>
      </w:r>
      <w:r>
        <w:rPr>
          <w:rFonts w:hint="eastAsia" w:ascii="仿宋" w:hAnsi="仿宋" w:eastAsia="仿宋" w:cs="仿宋"/>
          <w:color w:val="auto"/>
          <w:highlight w:val="none"/>
          <w:u w:val="none"/>
          <w:lang w:val="en-US" w:eastAsia="zh-CN"/>
        </w:rPr>
        <w:t xml:space="preserve"> </w:t>
      </w:r>
      <w:r>
        <w:rPr>
          <w:rFonts w:hint="eastAsia" w:ascii="仿宋" w:hAnsi="仿宋" w:eastAsia="仿宋" w:cs="仿宋"/>
          <w:color w:val="auto"/>
          <w:highlight w:val="none"/>
          <w:u w:val="none"/>
        </w:rPr>
        <w:t>投标文件</w:t>
      </w:r>
      <w:bookmarkEnd w:id="60"/>
      <w:bookmarkEnd w:id="61"/>
      <w:bookmarkEnd w:id="62"/>
      <w:r>
        <w:rPr>
          <w:rFonts w:hint="eastAsia" w:ascii="仿宋" w:hAnsi="仿宋" w:eastAsia="仿宋" w:cs="仿宋"/>
          <w:color w:val="auto"/>
          <w:highlight w:val="none"/>
          <w:u w:val="none"/>
        </w:rPr>
        <w:t>构成</w:t>
      </w:r>
      <w:bookmarkEnd w:id="63"/>
      <w:bookmarkEnd w:id="64"/>
      <w:bookmarkEnd w:id="65"/>
      <w:bookmarkEnd w:id="66"/>
      <w:bookmarkEnd w:id="67"/>
    </w:p>
    <w:p w14:paraId="2911BD2B">
      <w:pPr>
        <w:tabs>
          <w:tab w:val="left" w:pos="900"/>
          <w:tab w:val="left" w:pos="5580"/>
        </w:tabs>
        <w:spacing w:line="240" w:lineRule="atLeast"/>
        <w:ind w:left="960" w:hanging="960" w:hangingChars="400"/>
        <w:jc w:val="left"/>
        <w:rPr>
          <w:rFonts w:hint="eastAsia" w:ascii="仿宋" w:hAnsi="仿宋" w:eastAsia="仿宋" w:cs="仿宋"/>
          <w:color w:val="auto"/>
          <w:sz w:val="24"/>
          <w:highlight w:val="none"/>
          <w:u w:val="single"/>
        </w:rPr>
      </w:pPr>
      <w:bookmarkStart w:id="68" w:name="_Ref467052588"/>
      <w:r>
        <w:rPr>
          <w:rFonts w:hint="eastAsia" w:ascii="仿宋" w:hAnsi="仿宋" w:eastAsia="仿宋" w:cs="仿宋"/>
          <w:color w:val="auto"/>
          <w:sz w:val="24"/>
          <w:highlight w:val="none"/>
        </w:rPr>
        <w:t xml:space="preserve">9.1     </w:t>
      </w:r>
      <w:r>
        <w:rPr>
          <w:rFonts w:hint="eastAsia" w:ascii="仿宋" w:hAnsi="仿宋" w:eastAsia="仿宋" w:cs="仿宋"/>
          <w:color w:val="auto"/>
          <w:sz w:val="24"/>
          <w:highlight w:val="none"/>
          <w:u w:val="single"/>
        </w:rPr>
        <w:t>投标人应完整地按招标文件提供的投标文件格式及要求</w:t>
      </w:r>
      <w:r>
        <w:rPr>
          <w:rFonts w:hint="eastAsia" w:ascii="仿宋" w:hAnsi="仿宋" w:eastAsia="仿宋" w:cs="仿宋"/>
          <w:color w:val="auto"/>
          <w:sz w:val="24"/>
          <w:highlight w:val="none"/>
          <w:u w:val="single"/>
          <w:lang w:eastAsia="zh-CN"/>
        </w:rPr>
        <w:t>编</w:t>
      </w:r>
      <w:r>
        <w:rPr>
          <w:rFonts w:hint="eastAsia" w:ascii="仿宋" w:hAnsi="仿宋" w:eastAsia="仿宋" w:cs="仿宋"/>
          <w:color w:val="auto"/>
          <w:sz w:val="24"/>
          <w:highlight w:val="none"/>
          <w:u w:val="single"/>
        </w:rPr>
        <w:t>写投标文件</w:t>
      </w:r>
      <w:r>
        <w:rPr>
          <w:rFonts w:hint="eastAsia" w:ascii="仿宋" w:hAnsi="仿宋" w:eastAsia="仿宋" w:cs="仿宋"/>
          <w:color w:val="auto"/>
          <w:sz w:val="24"/>
          <w:highlight w:val="none"/>
          <w:u w:val="single"/>
          <w:lang w:eastAsia="zh-CN"/>
        </w:rPr>
        <w:t>（未提供格式的，格式自拟）</w:t>
      </w:r>
      <w:r>
        <w:rPr>
          <w:rFonts w:hint="eastAsia" w:ascii="仿宋" w:hAnsi="仿宋" w:eastAsia="仿宋" w:cs="仿宋"/>
          <w:color w:val="auto"/>
          <w:sz w:val="24"/>
          <w:highlight w:val="none"/>
          <w:u w:val="single"/>
        </w:rPr>
        <w:t>，投标文件应包括“开标一览表</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资格证明文件”和“商务及技术文件”</w:t>
      </w:r>
      <w:r>
        <w:rPr>
          <w:rFonts w:hint="eastAsia" w:ascii="仿宋" w:hAnsi="仿宋" w:eastAsia="仿宋" w:cs="仿宋"/>
          <w:color w:val="auto"/>
          <w:sz w:val="24"/>
          <w:highlight w:val="none"/>
          <w:u w:val="single"/>
          <w:lang w:eastAsia="zh-CN"/>
        </w:rPr>
        <w:t>三</w:t>
      </w:r>
      <w:r>
        <w:rPr>
          <w:rFonts w:hint="eastAsia" w:ascii="仿宋" w:hAnsi="仿宋" w:eastAsia="仿宋" w:cs="仿宋"/>
          <w:color w:val="auto"/>
          <w:sz w:val="24"/>
          <w:highlight w:val="none"/>
          <w:u w:val="single"/>
        </w:rPr>
        <w:t>部分</w:t>
      </w:r>
      <w:r>
        <w:rPr>
          <w:rFonts w:hint="eastAsia" w:ascii="仿宋" w:hAnsi="仿宋" w:eastAsia="仿宋" w:cs="仿宋"/>
          <w:color w:val="auto"/>
          <w:sz w:val="24"/>
          <w:highlight w:val="none"/>
          <w:u w:val="single"/>
          <w:lang w:eastAsia="zh-CN"/>
        </w:rPr>
        <w:t>，分别在政采云系统相应模块上传</w:t>
      </w:r>
      <w:r>
        <w:rPr>
          <w:rFonts w:hint="eastAsia" w:ascii="仿宋" w:hAnsi="仿宋" w:eastAsia="仿宋" w:cs="仿宋"/>
          <w:color w:val="auto"/>
          <w:sz w:val="24"/>
          <w:highlight w:val="none"/>
          <w:u w:val="single"/>
        </w:rPr>
        <w:t>。</w:t>
      </w:r>
    </w:p>
    <w:p w14:paraId="690BBE5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9.2    上述文件应按照招标文件规定的格式填写、签署和盖章。</w:t>
      </w:r>
    </w:p>
    <w:bookmarkEnd w:id="68"/>
    <w:p w14:paraId="470A360A">
      <w:pPr>
        <w:pStyle w:val="5"/>
        <w:tabs>
          <w:tab w:val="left" w:pos="900"/>
        </w:tabs>
        <w:spacing w:before="0" w:after="0" w:line="240" w:lineRule="atLeast"/>
        <w:rPr>
          <w:rFonts w:hint="eastAsia" w:ascii="仿宋" w:hAnsi="仿宋" w:eastAsia="仿宋" w:cs="仿宋"/>
          <w:color w:val="auto"/>
          <w:highlight w:val="none"/>
          <w:u w:val="none"/>
          <w:lang w:eastAsia="zh-CN"/>
        </w:rPr>
      </w:pPr>
      <w:bookmarkStart w:id="69" w:name="_Toc520356153"/>
      <w:bookmarkStart w:id="70" w:name="_Toc515647769"/>
      <w:bookmarkStart w:id="71" w:name="_Toc10379"/>
      <w:bookmarkStart w:id="72" w:name="_Toc4601"/>
      <w:bookmarkStart w:id="73" w:name="_Toc516367023"/>
      <w:bookmarkStart w:id="74" w:name="_Toc21637"/>
      <w:r>
        <w:rPr>
          <w:rFonts w:hint="eastAsia" w:ascii="仿宋" w:hAnsi="仿宋" w:eastAsia="仿宋" w:cs="仿宋"/>
          <w:color w:val="auto"/>
          <w:highlight w:val="none"/>
          <w:u w:val="none"/>
        </w:rPr>
        <w:t>10.</w:t>
      </w:r>
      <w:r>
        <w:rPr>
          <w:rFonts w:hint="eastAsia" w:ascii="仿宋" w:hAnsi="仿宋" w:eastAsia="仿宋" w:cs="仿宋"/>
          <w:color w:val="auto"/>
          <w:highlight w:val="none"/>
          <w:u w:val="none"/>
        </w:rPr>
        <w:tab/>
      </w:r>
      <w:r>
        <w:rPr>
          <w:rFonts w:hint="eastAsia" w:ascii="仿宋" w:hAnsi="仿宋" w:eastAsia="仿宋" w:cs="仿宋"/>
          <w:color w:val="auto"/>
          <w:highlight w:val="none"/>
          <w:u w:val="none"/>
        </w:rPr>
        <w:t>证明投标标的的合格性和符合招标文件规定的技术文件</w:t>
      </w:r>
      <w:bookmarkEnd w:id="69"/>
      <w:bookmarkEnd w:id="70"/>
      <w:bookmarkEnd w:id="71"/>
      <w:bookmarkEnd w:id="72"/>
      <w:bookmarkEnd w:id="73"/>
      <w:r>
        <w:rPr>
          <w:rFonts w:hint="eastAsia" w:ascii="仿宋" w:hAnsi="仿宋" w:eastAsia="仿宋" w:cs="仿宋"/>
          <w:color w:val="auto"/>
          <w:highlight w:val="none"/>
          <w:u w:val="none"/>
          <w:lang w:eastAsia="zh-CN"/>
        </w:rPr>
        <w:t>。</w:t>
      </w:r>
      <w:bookmarkEnd w:id="74"/>
    </w:p>
    <w:p w14:paraId="682F7FD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投标人应提交证明文件，证明其投标内容符合招标文件规定。该证明文件是投标文件的一部分。</w:t>
      </w:r>
    </w:p>
    <w:p w14:paraId="738A45F8">
      <w:pPr>
        <w:spacing w:line="240" w:lineRule="atLeast"/>
        <w:ind w:left="900" w:hanging="900" w:hangingChars="375"/>
        <w:rPr>
          <w:rFonts w:hint="eastAsia" w:ascii="仿宋" w:hAnsi="仿宋" w:eastAsia="仿宋" w:cs="仿宋"/>
          <w:color w:val="auto"/>
          <w:sz w:val="24"/>
          <w:highlight w:val="none"/>
        </w:rPr>
      </w:pPr>
      <w:bookmarkStart w:id="75" w:name="_Ref467306244"/>
      <w:r>
        <w:rPr>
          <w:rFonts w:hint="eastAsia" w:ascii="仿宋" w:hAnsi="仿宋" w:eastAsia="仿宋" w:cs="仿宋"/>
          <w:color w:val="auto"/>
          <w:sz w:val="24"/>
          <w:highlight w:val="none"/>
        </w:rPr>
        <w:t>10.2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上款所述的证明文件，可以是文字资料、图纸和数据，</w:t>
      </w:r>
      <w:bookmarkEnd w:id="75"/>
      <w:r>
        <w:rPr>
          <w:rFonts w:hint="eastAsia" w:ascii="仿宋" w:hAnsi="仿宋" w:eastAsia="仿宋" w:cs="仿宋"/>
          <w:color w:val="auto"/>
          <w:sz w:val="24"/>
          <w:highlight w:val="none"/>
        </w:rPr>
        <w:t>它包括：</w:t>
      </w:r>
    </w:p>
    <w:p w14:paraId="0A67A55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10.2.1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货物主要技术指标和性能的详细说明；</w:t>
      </w:r>
    </w:p>
    <w:p w14:paraId="033DEF4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10.2.2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货物从买方开始使用至招标文件规定的保质期内正常、连续地使用所必须的备件和专用工具清单，包括备件和专用工具的货源及现行价格；</w:t>
      </w:r>
    </w:p>
    <w:p w14:paraId="7C9B2EC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10.2.3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对照招标文件技术规格，逐条说明所提供货物及伴随的工程和服务已对招标文件的技术规格做出了实质性的响应，或申明与技术规格条文的偏差和例外。</w:t>
      </w:r>
    </w:p>
    <w:p w14:paraId="1544319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10.3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注意采购人在技术规格中指出的工艺、材料和设备的参照品牌型号或分类号仅起说明作用，并没有任何限制性。投标人在投标中可以选用替代牌号或分类号，但这些替代要实质上相当于技术规格的要求。采购人、采购代理机构承诺不以上述参照品牌型号或分类号作为评标时判定其投标是否有效的标准。</w:t>
      </w:r>
    </w:p>
    <w:p w14:paraId="36D4D8A0">
      <w:pPr>
        <w:pStyle w:val="5"/>
        <w:spacing w:before="0" w:after="0" w:line="240" w:lineRule="atLeast"/>
        <w:rPr>
          <w:rFonts w:hint="eastAsia" w:ascii="仿宋" w:hAnsi="仿宋" w:eastAsia="仿宋" w:cs="仿宋"/>
          <w:color w:val="auto"/>
          <w:highlight w:val="none"/>
          <w:u w:val="none"/>
        </w:rPr>
      </w:pPr>
      <w:bookmarkStart w:id="76" w:name="_Toc515647770"/>
      <w:bookmarkStart w:id="77" w:name="_Toc2248"/>
      <w:bookmarkStart w:id="78" w:name="_Toc520356155"/>
      <w:bookmarkStart w:id="79" w:name="_Toc19139"/>
      <w:bookmarkStart w:id="80" w:name="_Toc23231"/>
      <w:r>
        <w:rPr>
          <w:rFonts w:hint="eastAsia" w:ascii="仿宋" w:hAnsi="仿宋" w:eastAsia="仿宋" w:cs="仿宋"/>
          <w:color w:val="auto"/>
          <w:highlight w:val="none"/>
          <w:u w:val="none"/>
        </w:rPr>
        <w:t>11.投标报价</w:t>
      </w:r>
      <w:bookmarkEnd w:id="76"/>
      <w:bookmarkEnd w:id="77"/>
      <w:bookmarkEnd w:id="78"/>
      <w:bookmarkEnd w:id="79"/>
      <w:bookmarkEnd w:id="80"/>
    </w:p>
    <w:p w14:paraId="2C6DFA3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所有投标均以人民币报价。投标人的投标报价应遵守《中华人民共和国价格法》。同时，根据《中华人民共和国政府采购法》第二条的规定，为保证公平竞争，如有货物主体部分的赠与行为，其投标将被认定为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282D8B5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投标人应在投标分项报价表上标明投标货物及相关服务的单价（如适用）和总价，并由法定代表人或其授权代表签署。</w:t>
      </w:r>
    </w:p>
    <w:p w14:paraId="58F9F83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投标分项报价表上的价格应按下列方式填写：</w:t>
      </w:r>
    </w:p>
    <w:p w14:paraId="21FC993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11.3.1  投标货物（包括备品备件、专用工具等）的出厂价（包括已在中国国内的进口货物完税后的仓库交货价、展室交货价或货架交货价），投标货物安装、调试、检验、技术服务和培训等费用；</w:t>
      </w:r>
    </w:p>
    <w:p w14:paraId="4F99F13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11.3.2  货物运至最终目的地的运输费和保险费用。</w:t>
      </w:r>
    </w:p>
    <w:p w14:paraId="6B32601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11.4</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投标人所报的各分项投标单价在合同履行过程中是固定不变的，不得以任何理由予以变更。任何包含价格调整要求的投标，其投标将被认定为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0A4997C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11.5</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每种货物只能有一个投标报价。采购人不接受具有附加条件的报价。</w:t>
      </w:r>
    </w:p>
    <w:p w14:paraId="5DD3C068">
      <w:pPr>
        <w:pStyle w:val="5"/>
        <w:spacing w:before="0" w:after="0" w:line="240" w:lineRule="atLeast"/>
        <w:rPr>
          <w:rFonts w:hint="eastAsia" w:ascii="仿宋" w:hAnsi="仿宋" w:eastAsia="仿宋" w:cs="仿宋"/>
          <w:color w:val="auto"/>
          <w:highlight w:val="none"/>
          <w:u w:val="none"/>
        </w:rPr>
      </w:pPr>
      <w:bookmarkStart w:id="81" w:name="_Toc11514"/>
      <w:bookmarkStart w:id="82" w:name="_Toc17788"/>
      <w:bookmarkStart w:id="83" w:name="_Ref467306513"/>
      <w:bookmarkStart w:id="84" w:name="_Toc21682"/>
      <w:bookmarkStart w:id="85" w:name="_Toc515647771"/>
      <w:bookmarkStart w:id="86" w:name="_Toc520356156"/>
      <w:r>
        <w:rPr>
          <w:rFonts w:hint="eastAsia" w:ascii="仿宋" w:hAnsi="仿宋" w:eastAsia="仿宋" w:cs="仿宋"/>
          <w:color w:val="auto"/>
          <w:highlight w:val="none"/>
          <w:u w:val="none"/>
        </w:rPr>
        <w:t>12.投标保证金</w:t>
      </w:r>
      <w:bookmarkEnd w:id="81"/>
      <w:bookmarkEnd w:id="82"/>
      <w:bookmarkEnd w:id="83"/>
      <w:bookmarkEnd w:id="84"/>
      <w:bookmarkEnd w:id="85"/>
      <w:bookmarkEnd w:id="86"/>
    </w:p>
    <w:p w14:paraId="6037AB23">
      <w:pPr>
        <w:spacing w:line="240" w:lineRule="atLeast"/>
        <w:ind w:left="900" w:hanging="900" w:hangingChars="375"/>
        <w:rPr>
          <w:rFonts w:hint="eastAsia" w:ascii="仿宋" w:hAnsi="仿宋" w:eastAsia="仿宋" w:cs="仿宋"/>
          <w:color w:val="auto"/>
          <w:sz w:val="24"/>
          <w:highlight w:val="none"/>
        </w:rPr>
      </w:pPr>
      <w:bookmarkStart w:id="87" w:name="_Ref467306302"/>
      <w:r>
        <w:rPr>
          <w:rFonts w:hint="eastAsia" w:ascii="仿宋" w:hAnsi="仿宋" w:eastAsia="仿宋" w:cs="仿宋"/>
          <w:color w:val="auto"/>
          <w:sz w:val="24"/>
          <w:highlight w:val="none"/>
        </w:rPr>
        <w:t>12.1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投标人应提交</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中规定的投标保证金</w:t>
      </w:r>
      <w:bookmarkEnd w:id="87"/>
      <w:r>
        <w:rPr>
          <w:rFonts w:hint="eastAsia" w:ascii="仿宋" w:hAnsi="仿宋" w:eastAsia="仿宋" w:cs="仿宋"/>
          <w:color w:val="auto"/>
          <w:sz w:val="24"/>
          <w:highlight w:val="none"/>
        </w:rPr>
        <w:t>，并作为其投标的一部分。</w:t>
      </w:r>
    </w:p>
    <w:p w14:paraId="4C1A7C3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投标人存在下列情形的，投标保证金不予退还：</w:t>
      </w:r>
    </w:p>
    <w:p w14:paraId="3047A749">
      <w:pPr>
        <w:pStyle w:val="17"/>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（1）在投标有效期内，撤销投标的；</w:t>
      </w:r>
    </w:p>
    <w:p w14:paraId="60453556">
      <w:pPr>
        <w:pStyle w:val="17"/>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（2）中标后不按本须知第30条的规定与采购人签订合同的；</w:t>
      </w:r>
    </w:p>
    <w:p w14:paraId="52738201">
      <w:pPr>
        <w:pStyle w:val="17"/>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（3）中标后不按本须知第31条的规定提交履约保证金的；</w:t>
      </w:r>
    </w:p>
    <w:p w14:paraId="2C4CC649">
      <w:pPr>
        <w:pStyle w:val="17"/>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（4）中标后不按本须知第32条的规定缴纳中标服务费的；</w:t>
      </w:r>
    </w:p>
    <w:p w14:paraId="718BC0C6">
      <w:pPr>
        <w:pStyle w:val="17"/>
        <w:tabs>
          <w:tab w:val="left" w:pos="2240"/>
        </w:tabs>
        <w:spacing w:line="240" w:lineRule="atLeast"/>
        <w:ind w:left="1079" w:leftChars="371" w:hanging="300" w:hangingChars="125"/>
        <w:rPr>
          <w:rFonts w:hint="eastAsia" w:ascii="仿宋" w:hAnsi="仿宋" w:eastAsia="仿宋" w:cs="仿宋"/>
          <w:color w:val="auto"/>
          <w:sz w:val="24"/>
          <w:highlight w:val="none"/>
        </w:rPr>
      </w:pPr>
      <w:r>
        <w:rPr>
          <w:rFonts w:hint="eastAsia" w:ascii="仿宋" w:hAnsi="仿宋" w:eastAsia="仿宋" w:cs="仿宋"/>
          <w:color w:val="auto"/>
          <w:sz w:val="24"/>
          <w:highlight w:val="none"/>
        </w:rPr>
        <w:t>（5）存在其他违法违规行为的。</w:t>
      </w:r>
    </w:p>
    <w:p w14:paraId="5F21D0CD">
      <w:pPr>
        <w:spacing w:line="240" w:lineRule="atLeast"/>
        <w:ind w:left="900" w:hanging="900" w:hangingChars="375"/>
        <w:rPr>
          <w:rFonts w:hint="eastAsia" w:ascii="仿宋" w:hAnsi="仿宋" w:eastAsia="仿宋" w:cs="仿宋"/>
          <w:color w:val="auto"/>
          <w:sz w:val="24"/>
          <w:highlight w:val="none"/>
        </w:rPr>
      </w:pPr>
      <w:bookmarkStart w:id="88" w:name="_Ref467306336"/>
      <w:r>
        <w:rPr>
          <w:rFonts w:hint="eastAsia" w:ascii="仿宋" w:hAnsi="仿宋" w:eastAsia="仿宋" w:cs="仿宋"/>
          <w:color w:val="auto"/>
          <w:sz w:val="24"/>
          <w:highlight w:val="none"/>
        </w:rPr>
        <w:t>12.3</w:t>
      </w:r>
      <w:r>
        <w:rPr>
          <w:rFonts w:hint="eastAsia" w:ascii="仿宋" w:hAnsi="仿宋" w:eastAsia="仿宋" w:cs="仿宋"/>
          <w:color w:val="auto"/>
          <w:sz w:val="24"/>
          <w:highlight w:val="none"/>
        </w:rPr>
        <w:tab/>
      </w:r>
      <w:bookmarkEnd w:id="88"/>
      <w:r>
        <w:rPr>
          <w:rFonts w:hint="eastAsia" w:ascii="仿宋" w:hAnsi="仿宋" w:eastAsia="仿宋" w:cs="仿宋"/>
          <w:color w:val="auto"/>
          <w:sz w:val="24"/>
          <w:highlight w:val="none"/>
        </w:rPr>
        <w:t>政府采购信用担保试点范围内的项目，接受符合财政部门规定的政府采购投标担保函原件。</w:t>
      </w:r>
    </w:p>
    <w:p w14:paraId="48E4BBA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12.4</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投标人未按本须知第12.1和12.3条规定提交投标保证金的，其投标将被认定为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00C5C989">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12.4.1  采用电汇形式的，一般可以实时入账。</w:t>
      </w:r>
    </w:p>
    <w:p w14:paraId="2DFB3934">
      <w:pPr>
        <w:spacing w:line="240" w:lineRule="atLeast"/>
        <w:ind w:left="960" w:hanging="960" w:hangingChars="4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14:paraId="67AEE7B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12.5   联合体投标的，可以由联合体中的一方或者共同提交投标保证金。以一方名义提交投标保证金的，对联合体各方均具有约束力。</w:t>
      </w:r>
    </w:p>
    <w:p w14:paraId="19EFB4D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12.6</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投标保证金的退还</w:t>
      </w:r>
    </w:p>
    <w:p w14:paraId="5C289A3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12.6.1  中标人应在与采购人签订合同之日起5个工作日内，及时联系保证金收受机构办理投标保证金无息退还手续。</w:t>
      </w:r>
    </w:p>
    <w:p w14:paraId="5F91AF08">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12.6.2  未中标投标人的投标保证金将在中标通知书发出之日暨中标结果公告公布之日起5个工作日内无息退还。投标人应及时联系保证金收受机构办理退还投标保证金手续。</w:t>
      </w:r>
    </w:p>
    <w:p w14:paraId="62144C90">
      <w:pPr>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12.6.3  政府采购投标担保函不予退回。</w:t>
      </w:r>
    </w:p>
    <w:p w14:paraId="75C4B861">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12.7    因投标人自身原因导致无法及时退还的，采购人或采购代理机构将不承担相应责任。</w:t>
      </w:r>
    </w:p>
    <w:p w14:paraId="71E0FBDD">
      <w:pPr>
        <w:pStyle w:val="5"/>
        <w:spacing w:before="0" w:after="0" w:line="240" w:lineRule="atLeast"/>
        <w:rPr>
          <w:rFonts w:hint="eastAsia" w:ascii="仿宋" w:hAnsi="仿宋" w:eastAsia="仿宋" w:cs="仿宋"/>
          <w:color w:val="auto"/>
          <w:highlight w:val="none"/>
          <w:u w:val="none"/>
        </w:rPr>
      </w:pPr>
      <w:bookmarkStart w:id="89" w:name="_Toc520356157"/>
      <w:bookmarkStart w:id="90" w:name="_Toc23590"/>
      <w:bookmarkStart w:id="91" w:name="_Toc32569"/>
      <w:bookmarkStart w:id="92" w:name="_Toc24411"/>
      <w:bookmarkStart w:id="93" w:name="_Toc515647772"/>
      <w:r>
        <w:rPr>
          <w:rFonts w:hint="eastAsia" w:ascii="仿宋" w:hAnsi="仿宋" w:eastAsia="仿宋" w:cs="仿宋"/>
          <w:color w:val="auto"/>
          <w:highlight w:val="none"/>
          <w:u w:val="none"/>
        </w:rPr>
        <w:t>13.投标有效期</w:t>
      </w:r>
      <w:bookmarkEnd w:id="89"/>
      <w:bookmarkEnd w:id="90"/>
      <w:bookmarkEnd w:id="91"/>
      <w:bookmarkEnd w:id="92"/>
      <w:bookmarkEnd w:id="93"/>
    </w:p>
    <w:p w14:paraId="5C6443F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投标应在</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中规定时间内保持有效。投标有效期不满足要求的投标，其投标将被认定为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3881F0E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13.2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无息退还。上述要求和答复都应以书面形式提交。</w:t>
      </w:r>
    </w:p>
    <w:p w14:paraId="370FEA69">
      <w:pPr>
        <w:pStyle w:val="5"/>
        <w:spacing w:before="0" w:after="0" w:line="240" w:lineRule="atLeast"/>
        <w:rPr>
          <w:rFonts w:hint="eastAsia" w:ascii="仿宋" w:hAnsi="仿宋" w:eastAsia="仿宋" w:cs="仿宋"/>
          <w:color w:val="auto"/>
          <w:highlight w:val="none"/>
          <w:u w:val="none"/>
        </w:rPr>
      </w:pPr>
      <w:bookmarkStart w:id="94" w:name="_Toc520356158"/>
      <w:bookmarkStart w:id="95" w:name="_Toc17074"/>
      <w:bookmarkStart w:id="96" w:name="_Toc493"/>
      <w:bookmarkStart w:id="97" w:name="_Toc515647773"/>
      <w:bookmarkStart w:id="98" w:name="_Toc15025"/>
      <w:r>
        <w:rPr>
          <w:rFonts w:hint="eastAsia" w:ascii="仿宋" w:hAnsi="仿宋" w:eastAsia="仿宋" w:cs="仿宋"/>
          <w:color w:val="auto"/>
          <w:highlight w:val="none"/>
          <w:u w:val="none"/>
        </w:rPr>
        <w:t>14.投标文件的签署</w:t>
      </w:r>
      <w:bookmarkEnd w:id="94"/>
      <w:r>
        <w:rPr>
          <w:rFonts w:hint="eastAsia" w:ascii="仿宋" w:hAnsi="仿宋" w:eastAsia="仿宋" w:cs="仿宋"/>
          <w:color w:val="auto"/>
          <w:highlight w:val="none"/>
          <w:u w:val="none"/>
        </w:rPr>
        <w:t>及规定</w:t>
      </w:r>
      <w:bookmarkEnd w:id="95"/>
      <w:bookmarkEnd w:id="96"/>
      <w:bookmarkEnd w:id="97"/>
      <w:bookmarkEnd w:id="98"/>
    </w:p>
    <w:p w14:paraId="621C491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投标人应按投标人须知资料表中的规定，准备和上传投标文件资格证明文件、商务和技术文件加密电子投标文件。</w:t>
      </w:r>
    </w:p>
    <w:p w14:paraId="61BFADC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文件需使用CA加密设备通过政采云电子投标客户端制作投标文件，并由投标人的法定代表人或经其正式委托代理人按招标文件规定在投标文件上电子签章。委托代理人须持有书面的“法定代表人授权委托书”（投标文件格式二），并将其附在投标文件中。</w:t>
      </w:r>
    </w:p>
    <w:p w14:paraId="09C3028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14.3   开标完成后，如采购人需要提供纸质版投标文件，投标人应按照招标人要求提供相应份数的纸质投标文件，纸质版投标文件应与电子版投标文件一致，纸质投标文件采用双面打印、不可拆装的胶订方式装订。</w:t>
      </w:r>
    </w:p>
    <w:p w14:paraId="3E756324">
      <w:pPr>
        <w:spacing w:line="240" w:lineRule="atLeast"/>
        <w:ind w:left="900" w:hanging="900" w:hangingChars="375"/>
        <w:rPr>
          <w:rFonts w:hint="eastAsia" w:ascii="仿宋" w:hAnsi="仿宋" w:eastAsia="仿宋" w:cs="仿宋"/>
          <w:color w:val="auto"/>
          <w:sz w:val="24"/>
          <w:highlight w:val="none"/>
        </w:rPr>
      </w:pPr>
    </w:p>
    <w:p w14:paraId="3981208A">
      <w:pPr>
        <w:pStyle w:val="4"/>
        <w:spacing w:before="0" w:line="240" w:lineRule="atLeast"/>
        <w:ind w:left="1079" w:leftChars="257" w:hanging="540"/>
        <w:rPr>
          <w:rFonts w:hint="eastAsia" w:ascii="仿宋" w:hAnsi="仿宋" w:eastAsia="仿宋" w:cs="仿宋"/>
          <w:color w:val="auto"/>
          <w:sz w:val="24"/>
          <w:highlight w:val="none"/>
        </w:rPr>
      </w:pPr>
      <w:bookmarkStart w:id="99" w:name="_Toc520356159"/>
      <w:bookmarkStart w:id="100" w:name="_Toc216582808"/>
      <w:bookmarkStart w:id="101" w:name="_Toc11179"/>
      <w:bookmarkStart w:id="102" w:name="_Toc6321"/>
      <w:bookmarkStart w:id="103" w:name="_Toc16865"/>
      <w:bookmarkStart w:id="104" w:name="_Toc515647774"/>
      <w:r>
        <w:rPr>
          <w:rFonts w:hint="eastAsia" w:ascii="仿宋" w:hAnsi="仿宋" w:eastAsia="仿宋" w:cs="仿宋"/>
          <w:color w:val="auto"/>
          <w:sz w:val="24"/>
          <w:highlight w:val="none"/>
        </w:rPr>
        <w:t>四   投标文件的递交</w:t>
      </w:r>
      <w:bookmarkEnd w:id="99"/>
      <w:bookmarkEnd w:id="100"/>
      <w:bookmarkEnd w:id="101"/>
      <w:bookmarkEnd w:id="102"/>
      <w:bookmarkEnd w:id="103"/>
      <w:bookmarkEnd w:id="104"/>
    </w:p>
    <w:p w14:paraId="7932D1CA">
      <w:pPr>
        <w:pStyle w:val="9"/>
        <w:rPr>
          <w:rFonts w:hint="eastAsia" w:ascii="仿宋" w:hAnsi="仿宋" w:eastAsia="仿宋" w:cs="仿宋"/>
          <w:color w:val="auto"/>
          <w:highlight w:val="none"/>
        </w:rPr>
      </w:pPr>
    </w:p>
    <w:p w14:paraId="2033A41D">
      <w:pPr>
        <w:pStyle w:val="5"/>
        <w:spacing w:before="0" w:after="0" w:line="240" w:lineRule="atLeast"/>
        <w:rPr>
          <w:rFonts w:hint="eastAsia" w:ascii="仿宋" w:hAnsi="仿宋" w:eastAsia="仿宋" w:cs="仿宋"/>
          <w:color w:val="auto"/>
          <w:highlight w:val="none"/>
          <w:u w:val="none"/>
        </w:rPr>
      </w:pPr>
      <w:bookmarkStart w:id="105" w:name="_Toc515647775"/>
      <w:bookmarkStart w:id="106" w:name="_Toc21645"/>
      <w:bookmarkStart w:id="107" w:name="_Toc520356160"/>
      <w:bookmarkStart w:id="108" w:name="_Toc32337"/>
      <w:bookmarkStart w:id="109" w:name="_Toc18654"/>
      <w:r>
        <w:rPr>
          <w:rFonts w:hint="eastAsia" w:ascii="仿宋" w:hAnsi="仿宋" w:eastAsia="仿宋" w:cs="仿宋"/>
          <w:color w:val="auto"/>
          <w:highlight w:val="none"/>
          <w:u w:val="none"/>
        </w:rPr>
        <w:t>15.投标文件的密封和标记</w:t>
      </w:r>
      <w:bookmarkEnd w:id="105"/>
      <w:bookmarkEnd w:id="106"/>
      <w:bookmarkEnd w:id="107"/>
      <w:bookmarkEnd w:id="108"/>
      <w:bookmarkEnd w:id="109"/>
    </w:p>
    <w:p w14:paraId="1EFB578A">
      <w:pPr>
        <w:spacing w:line="240" w:lineRule="atLeas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15.1 </w:t>
      </w:r>
      <w:r>
        <w:rPr>
          <w:rFonts w:hint="eastAsia" w:ascii="仿宋" w:hAnsi="仿宋" w:eastAsia="仿宋" w:cs="仿宋"/>
          <w:b/>
          <w:bCs/>
          <w:color w:val="auto"/>
          <w:sz w:val="24"/>
          <w:u w:val="single"/>
        </w:rPr>
        <w:t>为方便</w:t>
      </w:r>
      <w:r>
        <w:rPr>
          <w:rFonts w:hint="eastAsia" w:ascii="仿宋" w:hAnsi="仿宋" w:eastAsia="仿宋" w:cs="仿宋"/>
          <w:b/>
          <w:bCs/>
          <w:color w:val="auto"/>
          <w:sz w:val="24"/>
          <w:u w:val="single"/>
          <w:lang w:val="en-US" w:eastAsia="zh-CN"/>
        </w:rPr>
        <w:t>评审</w:t>
      </w:r>
      <w:r>
        <w:rPr>
          <w:rFonts w:hint="eastAsia" w:ascii="仿宋" w:hAnsi="仿宋" w:eastAsia="仿宋" w:cs="仿宋"/>
          <w:b/>
          <w:bCs/>
          <w:color w:val="auto"/>
          <w:sz w:val="24"/>
          <w:u w:val="single"/>
        </w:rPr>
        <w:t>及进行资格审查，</w:t>
      </w:r>
      <w:r>
        <w:rPr>
          <w:rFonts w:hint="eastAsia" w:ascii="仿宋" w:hAnsi="仿宋" w:eastAsia="仿宋" w:cs="仿宋"/>
          <w:b/>
          <w:bCs/>
          <w:color w:val="auto"/>
          <w:sz w:val="24"/>
          <w:u w:val="single"/>
          <w:lang w:val="en-US" w:eastAsia="zh-CN"/>
        </w:rPr>
        <w:t>供应商须在响应截止时间前完成在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r>
        <w:rPr>
          <w:rFonts w:hint="eastAsia" w:ascii="仿宋" w:hAnsi="仿宋" w:eastAsia="仿宋" w:cs="仿宋"/>
          <w:b/>
          <w:bCs/>
          <w:color w:val="auto"/>
          <w:sz w:val="24"/>
        </w:rPr>
        <w:t>。</w:t>
      </w:r>
    </w:p>
    <w:p w14:paraId="149D68A1">
      <w:pPr>
        <w:pStyle w:val="5"/>
        <w:spacing w:before="0" w:after="0" w:line="240" w:lineRule="atLeast"/>
        <w:rPr>
          <w:rFonts w:hint="eastAsia" w:ascii="仿宋" w:hAnsi="仿宋" w:eastAsia="仿宋" w:cs="仿宋"/>
          <w:color w:val="auto"/>
          <w:highlight w:val="none"/>
          <w:u w:val="none"/>
        </w:rPr>
      </w:pPr>
      <w:bookmarkStart w:id="110" w:name="_Toc520356161"/>
      <w:bookmarkStart w:id="111" w:name="_Toc9840"/>
      <w:bookmarkStart w:id="112" w:name="_Toc515647776"/>
      <w:bookmarkStart w:id="113" w:name="_Toc19261"/>
      <w:bookmarkStart w:id="114" w:name="_Toc12751"/>
      <w:r>
        <w:rPr>
          <w:rFonts w:hint="eastAsia" w:ascii="仿宋" w:hAnsi="仿宋" w:eastAsia="仿宋" w:cs="仿宋"/>
          <w:color w:val="auto"/>
          <w:highlight w:val="none"/>
          <w:u w:val="none"/>
        </w:rPr>
        <w:t>16.投标截止</w:t>
      </w:r>
      <w:bookmarkEnd w:id="110"/>
      <w:bookmarkEnd w:id="111"/>
      <w:bookmarkEnd w:id="112"/>
      <w:bookmarkEnd w:id="113"/>
      <w:bookmarkEnd w:id="114"/>
    </w:p>
    <w:p w14:paraId="7695C3E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投标人应在</w:t>
      </w:r>
      <w:r>
        <w:rPr>
          <w:rFonts w:hint="eastAsia" w:ascii="仿宋" w:hAnsi="仿宋" w:eastAsia="仿宋" w:cs="仿宋"/>
          <w:color w:val="auto"/>
          <w:sz w:val="24"/>
          <w:highlight w:val="none"/>
          <w:u w:val="single"/>
        </w:rPr>
        <w:t>投标人须知资料表中</w:t>
      </w:r>
      <w:r>
        <w:rPr>
          <w:rFonts w:hint="eastAsia" w:ascii="仿宋" w:hAnsi="仿宋" w:eastAsia="仿宋" w:cs="仿宋"/>
          <w:color w:val="auto"/>
          <w:sz w:val="24"/>
          <w:highlight w:val="none"/>
        </w:rPr>
        <w:t>规定的截止时间前，将投标文件上传至新疆维吾尔自治区政府采购网。</w:t>
      </w:r>
    </w:p>
    <w:p w14:paraId="3599993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采购人和采购代理机构有权按本须知的规定，延迟投标截止时间。在此情况下，采购人、采购代理机构和投标人受投标截止时间制约的所有权利和义务均应延长至新的截止时间。</w:t>
      </w:r>
    </w:p>
    <w:p w14:paraId="605EC00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采购人和采购代理机构将拒绝接收在投标截止时间后送达的投标文件。</w:t>
      </w:r>
    </w:p>
    <w:p w14:paraId="2281CC66">
      <w:pPr>
        <w:pStyle w:val="5"/>
        <w:spacing w:before="0" w:after="0" w:line="240" w:lineRule="atLeast"/>
        <w:rPr>
          <w:rFonts w:hint="eastAsia" w:ascii="仿宋" w:hAnsi="仿宋" w:eastAsia="仿宋" w:cs="仿宋"/>
          <w:color w:val="auto"/>
          <w:highlight w:val="none"/>
          <w:u w:val="none"/>
        </w:rPr>
      </w:pPr>
      <w:bookmarkStart w:id="115" w:name="_Toc24275"/>
      <w:bookmarkStart w:id="116" w:name="_Toc18537"/>
      <w:bookmarkStart w:id="117" w:name="_Toc515647777"/>
      <w:bookmarkStart w:id="118" w:name="_Toc520356162"/>
      <w:bookmarkStart w:id="119" w:name="_Toc30490"/>
      <w:r>
        <w:rPr>
          <w:rFonts w:hint="eastAsia" w:ascii="仿宋" w:hAnsi="仿宋" w:eastAsia="仿宋" w:cs="仿宋"/>
          <w:color w:val="auto"/>
          <w:highlight w:val="none"/>
          <w:u w:val="none"/>
        </w:rPr>
        <w:t>17.投标文件的接收、修改与撤回</w:t>
      </w:r>
      <w:bookmarkEnd w:id="115"/>
      <w:bookmarkEnd w:id="116"/>
      <w:bookmarkEnd w:id="117"/>
      <w:bookmarkEnd w:id="118"/>
      <w:bookmarkEnd w:id="119"/>
    </w:p>
    <w:p w14:paraId="78F2FCD2">
      <w:pPr>
        <w:spacing w:line="240" w:lineRule="atLeast"/>
        <w:ind w:left="900" w:hanging="900" w:hangingChars="375"/>
        <w:rPr>
          <w:rFonts w:hint="eastAsia" w:ascii="仿宋" w:hAnsi="仿宋" w:eastAsia="仿宋" w:cs="仿宋"/>
          <w:color w:val="auto"/>
          <w:sz w:val="24"/>
          <w:highlight w:val="none"/>
        </w:rPr>
      </w:pPr>
      <w:bookmarkStart w:id="120" w:name="_Toc12436"/>
      <w:bookmarkStart w:id="121" w:name="_Toc28398"/>
      <w:bookmarkStart w:id="122" w:name="_Toc520356163"/>
      <w:bookmarkStart w:id="123" w:name="_Toc515647778"/>
      <w:bookmarkStart w:id="124" w:name="_Toc216582809"/>
      <w:r>
        <w:rPr>
          <w:rFonts w:hint="eastAsia" w:ascii="仿宋" w:hAnsi="仿宋" w:eastAsia="仿宋" w:cs="仿宋"/>
          <w:color w:val="auto"/>
          <w:sz w:val="24"/>
          <w:highlight w:val="none"/>
        </w:rPr>
        <w:t>17.1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在投标截止时间后投标人将无法上传投标文件。</w:t>
      </w:r>
    </w:p>
    <w:p w14:paraId="2759CBD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上传投标文件以后，在投标截止时间前投标人可随时进行修改或撤回投标文件。</w:t>
      </w:r>
    </w:p>
    <w:p w14:paraId="449A20F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在投标截止时间之后，采购人和采购代理机构不接受投标人主动对其投标文件做任何修改。</w:t>
      </w:r>
    </w:p>
    <w:p w14:paraId="14333B0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17.4</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采购人和采购代理机构对所接收电子投标文件概不退回。</w:t>
      </w:r>
    </w:p>
    <w:p w14:paraId="4C63E34C">
      <w:pPr>
        <w:pStyle w:val="27"/>
        <w:rPr>
          <w:rFonts w:hint="eastAsia" w:ascii="仿宋" w:hAnsi="仿宋" w:eastAsia="仿宋" w:cs="仿宋"/>
          <w:color w:val="auto"/>
          <w:highlight w:val="none"/>
        </w:rPr>
      </w:pPr>
    </w:p>
    <w:p w14:paraId="5499951E">
      <w:pPr>
        <w:pStyle w:val="4"/>
        <w:spacing w:before="0" w:line="240" w:lineRule="atLeast"/>
        <w:ind w:left="1079" w:leftChars="257" w:hanging="540"/>
        <w:rPr>
          <w:rFonts w:hint="eastAsia" w:ascii="仿宋" w:hAnsi="仿宋" w:eastAsia="仿宋" w:cs="仿宋"/>
          <w:color w:val="auto"/>
          <w:sz w:val="24"/>
          <w:highlight w:val="none"/>
        </w:rPr>
      </w:pPr>
      <w:bookmarkStart w:id="125" w:name="_Toc22404"/>
      <w:r>
        <w:rPr>
          <w:rFonts w:hint="eastAsia" w:ascii="仿宋" w:hAnsi="仿宋" w:eastAsia="仿宋" w:cs="仿宋"/>
          <w:color w:val="auto"/>
          <w:sz w:val="24"/>
          <w:highlight w:val="none"/>
        </w:rPr>
        <w:t>五   开标及评标</w:t>
      </w:r>
      <w:bookmarkEnd w:id="120"/>
      <w:bookmarkEnd w:id="121"/>
      <w:bookmarkEnd w:id="122"/>
      <w:bookmarkEnd w:id="123"/>
      <w:bookmarkEnd w:id="124"/>
      <w:bookmarkEnd w:id="125"/>
    </w:p>
    <w:p w14:paraId="77AFF52D">
      <w:pPr>
        <w:pStyle w:val="5"/>
        <w:numPr>
          <w:ilvl w:val="0"/>
          <w:numId w:val="4"/>
        </w:numPr>
        <w:spacing w:line="240" w:lineRule="atLeast"/>
        <w:rPr>
          <w:rFonts w:hint="eastAsia" w:ascii="仿宋" w:hAnsi="仿宋" w:eastAsia="仿宋" w:cs="仿宋"/>
          <w:color w:val="auto"/>
          <w:highlight w:val="none"/>
        </w:rPr>
      </w:pPr>
      <w:bookmarkStart w:id="126" w:name="_Toc21366"/>
      <w:bookmarkStart w:id="127" w:name="_Toc7186"/>
      <w:bookmarkStart w:id="128" w:name="_Toc515647779"/>
      <w:bookmarkStart w:id="129" w:name="_Toc25345"/>
      <w:bookmarkStart w:id="130" w:name="_Toc520356164"/>
      <w:r>
        <w:rPr>
          <w:rFonts w:hint="eastAsia" w:ascii="仿宋" w:hAnsi="仿宋" w:eastAsia="仿宋" w:cs="仿宋"/>
          <w:color w:val="auto"/>
          <w:highlight w:val="none"/>
          <w:u w:val="none"/>
        </w:rPr>
        <w:t>开标</w:t>
      </w:r>
      <w:bookmarkEnd w:id="126"/>
      <w:bookmarkEnd w:id="127"/>
      <w:bookmarkEnd w:id="128"/>
      <w:bookmarkEnd w:id="129"/>
      <w:bookmarkEnd w:id="130"/>
    </w:p>
    <w:p w14:paraId="06F0A7C0">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18.1  </w:t>
      </w:r>
      <w:r>
        <w:rPr>
          <w:rFonts w:hint="eastAsia" w:ascii="仿宋" w:hAnsi="仿宋" w:eastAsia="仿宋" w:cs="仿宋"/>
          <w:color w:val="auto"/>
          <w:sz w:val="24"/>
          <w:highlight w:val="none"/>
        </w:rPr>
        <w:t>采购人和采购代理机构将按投标人须知资料表中规定的开标时间和地点组织公开开标。</w:t>
      </w:r>
    </w:p>
    <w:p w14:paraId="46C5BEBC">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18.2  </w:t>
      </w:r>
      <w:r>
        <w:rPr>
          <w:rFonts w:hint="eastAsia" w:ascii="仿宋" w:hAnsi="仿宋" w:eastAsia="仿宋" w:cs="仿宋"/>
          <w:color w:val="auto"/>
          <w:sz w:val="24"/>
          <w:highlight w:val="none"/>
        </w:rPr>
        <w:t>在线签收投标文件，投标人不足3家的，不得开标。</w:t>
      </w:r>
    </w:p>
    <w:p w14:paraId="073D9AE7">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投标人解密投标文件，解密时长为30分钟，供应商应使用与加密时使用的同一把CA锁进行解密操作，如出现非供应商自身原因造成的无法解密，</w:t>
      </w:r>
      <w:r>
        <w:rPr>
          <w:rFonts w:hint="eastAsia" w:ascii="仿宋" w:hAnsi="仿宋" w:eastAsia="仿宋" w:cs="仿宋"/>
          <w:color w:val="auto"/>
          <w:sz w:val="24"/>
          <w:highlight w:val="none"/>
          <w:lang w:eastAsia="zh-CN"/>
        </w:rPr>
        <w:t>由</w:t>
      </w:r>
      <w:r>
        <w:rPr>
          <w:rFonts w:hint="eastAsia" w:ascii="仿宋" w:hAnsi="仿宋" w:eastAsia="仿宋" w:cs="仿宋"/>
          <w:color w:val="auto"/>
          <w:sz w:val="24"/>
          <w:highlight w:val="none"/>
        </w:rPr>
        <w:t>采购代理机构使用备用投标文件进行解密操作。</w:t>
      </w:r>
    </w:p>
    <w:p w14:paraId="470A3A0F">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  </w:t>
      </w:r>
      <w:bookmarkStart w:id="131" w:name="_Toc520356165"/>
      <w:r>
        <w:rPr>
          <w:rFonts w:hint="eastAsia" w:ascii="仿宋" w:hAnsi="仿宋" w:eastAsia="仿宋" w:cs="仿宋"/>
          <w:color w:val="auto"/>
          <w:sz w:val="24"/>
          <w:highlight w:val="none"/>
        </w:rPr>
        <w:t>组织评审委员会以不记名投票的形式选定评审委员会主任，并宣读评标会纪律，对评标委员会进行通讯工具管制及宣读相关法律法规。</w:t>
      </w:r>
    </w:p>
    <w:p w14:paraId="5654B9B3">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由代理公司工作人员开启报价文件并由供应商代表在线CA签字确认，报价确认时段限制为10分钟，由评审委员会进行报价评审及政策价格认定。</w:t>
      </w:r>
    </w:p>
    <w:p w14:paraId="2C1DB8F3">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18.6  采购代理机构将对开标过程进行记录，由参加开标的相关工作人员签字确认，并存档备查。</w:t>
      </w:r>
    </w:p>
    <w:p w14:paraId="34C460C9">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18.7  投标人代表对开标过程和开标记录有疑义，以及认为采购人、采购代理机构相关工作人员有需要回避的情形的，应当场提出询问或者回避申请。</w:t>
      </w:r>
    </w:p>
    <w:p w14:paraId="70AF1408">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电子开标的相关注意事项：</w:t>
      </w:r>
    </w:p>
    <w:p w14:paraId="505D4A9A">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18.8.1本项目为电子招投标，供应商需要使用CA加密设备，凡参加本项目可自主通过新疆CA申领渠道“新疆政务通”申请政采云平台可使用的CA设备，如原有兵团或公共资源使用的CA，可与新疆CA联系，申请增加电子证书即可，无需重复申领。</w:t>
      </w:r>
    </w:p>
    <w:p w14:paraId="1D883659">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18.8.2本项目实行网上投标，采用电子投标文件(供应商须使用CA加密设备通过政采云电子投标客户端制作投标文件)。若供应商参与投标，自行承担投标一切费用。</w:t>
      </w:r>
    </w:p>
    <w:p w14:paraId="1299DE56">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18.8.3各供应商应在开标前确保成为新疆维吾尔自治区政府采购网正式注册入库供应商，并完成CA数字证书申领。因未注册入库、未办理CA数字证书等原因造成无法投标或投标失败等后果由供应商自行承担。</w:t>
      </w:r>
    </w:p>
    <w:p w14:paraId="63CB03C4">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color w:val="auto"/>
          <w:sz w:val="24"/>
          <w:highlight w:val="none"/>
          <w:lang w:eastAsia="zh-CN"/>
        </w:rPr>
        <w:t>95763</w:t>
      </w:r>
      <w:r>
        <w:rPr>
          <w:rFonts w:hint="eastAsia" w:ascii="仿宋" w:hAnsi="仿宋" w:eastAsia="仿宋" w:cs="仿宋"/>
          <w:color w:val="auto"/>
          <w:sz w:val="24"/>
          <w:highlight w:val="none"/>
        </w:rPr>
        <w:t>进行咨询。</w:t>
      </w:r>
    </w:p>
    <w:p w14:paraId="649B621B">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18.8.5供应商在开标时须使用制作加密电子投标文件所使用的CA锁及电脑，电脑须提前配置好浏览器（建议使用谷歌浏览器），以便开标时解锁。</w:t>
      </w:r>
    </w:p>
    <w:p w14:paraId="1A7596DD">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18.8.6投标保证金缴纳及确认时间：凡拟参加本次招标项目的供应商，必须在开标前将投标保证金汇入指定账户。投标保证金汇款凭证上用途栏应注明:招标项目名称+标项号+投标保证金。</w:t>
      </w:r>
    </w:p>
    <w:p w14:paraId="2AE594D9">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077152BE">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18.8.8政采云线上获取招标文件方法：供应商登陆政采云平台http://www.zcygov.cn/，在线申请获取采购文件（登录政府采购云平台 → 项目采购 → 获取采购文件 → 申请，如有操作性问题，可与政采云在线客服进行咨询，咨询电话：</w:t>
      </w:r>
      <w:r>
        <w:rPr>
          <w:rFonts w:hint="eastAsia" w:ascii="仿宋" w:hAnsi="仿宋" w:eastAsia="仿宋" w:cs="仿宋"/>
          <w:color w:val="auto"/>
          <w:sz w:val="24"/>
          <w:highlight w:val="none"/>
          <w:lang w:eastAsia="zh-CN"/>
        </w:rPr>
        <w:t>95763</w:t>
      </w:r>
      <w:r>
        <w:rPr>
          <w:rFonts w:hint="eastAsia" w:ascii="仿宋" w:hAnsi="仿宋" w:eastAsia="仿宋" w:cs="仿宋"/>
          <w:color w:val="auto"/>
          <w:sz w:val="24"/>
          <w:highlight w:val="none"/>
        </w:rPr>
        <w:t>）</w:t>
      </w:r>
    </w:p>
    <w:p w14:paraId="5FB33871">
      <w:pPr>
        <w:pStyle w:val="27"/>
        <w:rPr>
          <w:rFonts w:hint="eastAsia" w:ascii="仿宋" w:hAnsi="仿宋" w:eastAsia="仿宋" w:cs="仿宋"/>
          <w:color w:val="auto"/>
          <w:highlight w:val="none"/>
        </w:rPr>
      </w:pPr>
    </w:p>
    <w:p w14:paraId="57541A32">
      <w:pPr>
        <w:pStyle w:val="5"/>
        <w:spacing w:before="0" w:after="0" w:line="240" w:lineRule="atLeast"/>
        <w:rPr>
          <w:rFonts w:hint="eastAsia" w:ascii="仿宋" w:hAnsi="仿宋" w:eastAsia="仿宋" w:cs="仿宋"/>
          <w:color w:val="auto"/>
          <w:highlight w:val="none"/>
          <w:u w:val="none"/>
        </w:rPr>
      </w:pPr>
      <w:bookmarkStart w:id="132" w:name="_Toc515647780"/>
      <w:bookmarkStart w:id="133" w:name="_Toc27780"/>
      <w:bookmarkStart w:id="134" w:name="_Toc19296"/>
      <w:bookmarkStart w:id="135" w:name="_Toc21372"/>
      <w:r>
        <w:rPr>
          <w:rFonts w:hint="eastAsia" w:ascii="仿宋" w:hAnsi="仿宋" w:eastAsia="仿宋" w:cs="仿宋"/>
          <w:color w:val="auto"/>
          <w:highlight w:val="none"/>
          <w:u w:val="none"/>
        </w:rPr>
        <w:t>19.</w:t>
      </w:r>
      <w:bookmarkEnd w:id="131"/>
      <w:r>
        <w:rPr>
          <w:rFonts w:hint="eastAsia" w:ascii="仿宋" w:hAnsi="仿宋" w:eastAsia="仿宋" w:cs="仿宋"/>
          <w:color w:val="auto"/>
          <w:highlight w:val="none"/>
          <w:u w:val="none"/>
        </w:rPr>
        <w:t>资格审查及组建评标委员会</w:t>
      </w:r>
      <w:bookmarkEnd w:id="132"/>
      <w:bookmarkEnd w:id="133"/>
      <w:bookmarkEnd w:id="134"/>
      <w:bookmarkEnd w:id="135"/>
    </w:p>
    <w:p w14:paraId="778368AE">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19.1    采购人或采购代理机构依据法律法规和招标文件中规定的内容，对投标人及其货物的资格进行审查，未通过资格审查的投标人不进入评标；通过资格审查的投标人少于不足三家的，不得评标。</w:t>
      </w:r>
    </w:p>
    <w:p w14:paraId="5BBBC823">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19.2   采购人或采购代理机构将在开标前1个工作日至投标截止后1小时的期间内查询投标人的信用记录。投标人存在不良信用记录的，其投标将被认定为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50DF822B">
      <w:pPr>
        <w:spacing w:line="240" w:lineRule="atLeast"/>
        <w:ind w:left="857" w:leftChars="2" w:hanging="853"/>
        <w:rPr>
          <w:rFonts w:hint="eastAsia" w:ascii="仿宋" w:hAnsi="仿宋" w:eastAsia="仿宋" w:cs="仿宋"/>
          <w:color w:val="auto"/>
          <w:sz w:val="24"/>
          <w:highlight w:val="none"/>
        </w:rPr>
      </w:pPr>
      <w:r>
        <w:rPr>
          <w:rFonts w:hint="eastAsia" w:ascii="仿宋" w:hAnsi="仿宋" w:eastAsia="仿宋" w:cs="仿宋"/>
          <w:color w:val="auto"/>
          <w:sz w:val="24"/>
          <w:highlight w:val="none"/>
        </w:rPr>
        <w:t>19.2.1 不良信用记录指：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联合体形式参加投标的，联合体任何成员存在以上不良信用记录的，联合体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6A49DEDF">
      <w:pPr>
        <w:pStyle w:val="9"/>
        <w:ind w:left="850" w:hanging="849" w:hangingChars="354"/>
        <w:jc w:val="both"/>
        <w:rPr>
          <w:rFonts w:hint="eastAsia" w:ascii="仿宋" w:hAnsi="仿宋" w:eastAsia="仿宋" w:cs="仿宋"/>
          <w:color w:val="auto"/>
          <w:highlight w:val="none"/>
        </w:rPr>
      </w:pPr>
      <w:r>
        <w:rPr>
          <w:rFonts w:hint="eastAsia" w:ascii="仿宋" w:hAnsi="仿宋" w:eastAsia="仿宋" w:cs="仿宋"/>
          <w:color w:val="auto"/>
          <w:highlight w:val="none"/>
        </w:rPr>
        <w:t>19.2.2 查询及记录方式：采购人或采购代理机构经办人将查询网页打印、签字并存档备查。投标人不良信用记录以采购人或采购代理机构查询结果为准。</w:t>
      </w:r>
    </w:p>
    <w:p w14:paraId="707164BB">
      <w:pPr>
        <w:pStyle w:val="9"/>
        <w:ind w:left="850" w:leftChars="405" w:firstLine="0"/>
        <w:jc w:val="both"/>
        <w:rPr>
          <w:rFonts w:hint="eastAsia" w:ascii="仿宋" w:hAnsi="仿宋" w:eastAsia="仿宋" w:cs="仿宋"/>
          <w:color w:val="auto"/>
          <w:highlight w:val="none"/>
        </w:rPr>
      </w:pPr>
      <w:r>
        <w:rPr>
          <w:rFonts w:hint="eastAsia" w:ascii="仿宋" w:hAnsi="仿宋" w:eastAsia="仿宋" w:cs="仿宋"/>
          <w:color w:val="auto"/>
          <w:highlight w:val="none"/>
        </w:rPr>
        <w:t>在本招标文件规定的查询时间之后，网站信息发生的任何变更均不再作为评标依据。</w:t>
      </w:r>
    </w:p>
    <w:p w14:paraId="45376A4F">
      <w:pPr>
        <w:pStyle w:val="9"/>
        <w:ind w:left="850" w:leftChars="405" w:firstLine="0"/>
        <w:jc w:val="both"/>
        <w:rPr>
          <w:rFonts w:hint="eastAsia" w:ascii="仿宋" w:hAnsi="仿宋" w:eastAsia="仿宋" w:cs="仿宋"/>
          <w:color w:val="auto"/>
          <w:highlight w:val="none"/>
        </w:rPr>
      </w:pPr>
      <w:r>
        <w:rPr>
          <w:rFonts w:hint="eastAsia" w:ascii="仿宋" w:hAnsi="仿宋" w:eastAsia="仿宋" w:cs="仿宋"/>
          <w:color w:val="auto"/>
          <w:highlight w:val="none"/>
        </w:rPr>
        <w:t>投标人自行提供的与网站信息不一致的其他证明材料亦不作为资格审查依据。</w:t>
      </w:r>
    </w:p>
    <w:p w14:paraId="6ADF3BD0">
      <w:pPr>
        <w:spacing w:line="240" w:lineRule="atLeast"/>
        <w:ind w:left="850" w:hanging="849" w:hangingChars="354"/>
        <w:rPr>
          <w:rFonts w:hint="eastAsia" w:ascii="仿宋" w:hAnsi="仿宋" w:eastAsia="仿宋" w:cs="仿宋"/>
          <w:b/>
          <w:bCs/>
          <w:color w:val="auto"/>
          <w:sz w:val="24"/>
          <w:highlight w:val="none"/>
          <w:lang w:val="en-US" w:eastAsia="zh-CN"/>
        </w:rPr>
      </w:pPr>
      <w:r>
        <w:rPr>
          <w:rFonts w:hint="eastAsia" w:ascii="仿宋" w:hAnsi="仿宋" w:eastAsia="仿宋" w:cs="仿宋"/>
          <w:color w:val="auto"/>
          <w:sz w:val="24"/>
          <w:highlight w:val="none"/>
        </w:rPr>
        <w:t>19.3   按照《中华人民共和国政府采购法》、《中华人民共和国政府采购法实施条例》及本项目本级和上级财政部门的有关规定依法组建的评标委员会，负责评标工作。</w:t>
      </w:r>
      <w:bookmarkStart w:id="136" w:name="_Toc520356166"/>
    </w:p>
    <w:p w14:paraId="5A648454">
      <w:pPr>
        <w:pStyle w:val="5"/>
        <w:spacing w:before="0" w:after="0" w:line="240" w:lineRule="atLeast"/>
        <w:rPr>
          <w:rFonts w:hint="eastAsia" w:ascii="仿宋" w:hAnsi="仿宋" w:eastAsia="仿宋" w:cs="仿宋"/>
          <w:b w:val="0"/>
          <w:bCs/>
          <w:color w:val="auto"/>
          <w:highlight w:val="none"/>
          <w:bdr w:val="single" w:color="auto" w:sz="4" w:space="0"/>
        </w:rPr>
      </w:pPr>
      <w:bookmarkStart w:id="137" w:name="_Toc515647781"/>
      <w:bookmarkStart w:id="138" w:name="_Toc28479"/>
      <w:bookmarkStart w:id="139" w:name="_Toc19949"/>
      <w:bookmarkStart w:id="140" w:name="_Toc3419"/>
      <w:r>
        <w:rPr>
          <w:rFonts w:hint="eastAsia" w:ascii="仿宋" w:hAnsi="仿宋" w:eastAsia="仿宋" w:cs="仿宋"/>
          <w:color w:val="auto"/>
          <w:highlight w:val="none"/>
          <w:u w:val="none"/>
        </w:rPr>
        <w:t>20.投标文件</w:t>
      </w:r>
      <w:bookmarkEnd w:id="136"/>
      <w:r>
        <w:rPr>
          <w:rFonts w:hint="eastAsia" w:ascii="仿宋" w:hAnsi="仿宋" w:eastAsia="仿宋" w:cs="仿宋"/>
          <w:color w:val="auto"/>
          <w:highlight w:val="none"/>
          <w:u w:val="none"/>
        </w:rPr>
        <w:t>符合性审查与澄清</w:t>
      </w:r>
      <w:bookmarkEnd w:id="137"/>
      <w:bookmarkEnd w:id="138"/>
      <w:bookmarkEnd w:id="139"/>
      <w:bookmarkEnd w:id="140"/>
    </w:p>
    <w:p w14:paraId="7BA3F75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20.1   符合性审查是指依据招标文件的规定，从投标文件的有效性和完整性对招标文件的响应程度进行审查，以确定是否对招标文件的实质性要求做出响应。</w:t>
      </w:r>
      <w:bookmarkStart w:id="141" w:name="_Hlt522424701"/>
      <w:bookmarkEnd w:id="141"/>
      <w:bookmarkStart w:id="142" w:name="_Toc520356167"/>
    </w:p>
    <w:p w14:paraId="2E4E15F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投标文件的澄清</w:t>
      </w:r>
    </w:p>
    <w:p w14:paraId="6AB9164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的澄清、说明或补正应在评标委员会规定的时间内以书面方式进行，需进行CA签字确认，并不得超出投标文件范围或者改变投标文件的实质性内容。</w:t>
      </w:r>
    </w:p>
    <w:p w14:paraId="0BBC4F7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20.2.2  投标人的的澄清、说明或补正将作为投标文件的一部分。</w:t>
      </w:r>
    </w:p>
    <w:p w14:paraId="004FDCB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20.3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投标文件报价出现前后不一致的，按照下列规定修正：</w:t>
      </w:r>
    </w:p>
    <w:p w14:paraId="30CFD100">
      <w:pPr>
        <w:spacing w:line="240" w:lineRule="atLeast"/>
        <w:ind w:left="1020" w:hanging="1020" w:hangingChars="425"/>
        <w:rPr>
          <w:rFonts w:hint="eastAsia" w:ascii="仿宋" w:hAnsi="仿宋" w:eastAsia="仿宋" w:cs="仿宋"/>
          <w:color w:val="auto"/>
          <w:sz w:val="24"/>
          <w:highlight w:val="none"/>
        </w:rPr>
      </w:pPr>
      <w:r>
        <w:rPr>
          <w:rFonts w:hint="eastAsia" w:ascii="仿宋" w:hAnsi="仿宋" w:eastAsia="仿宋" w:cs="仿宋"/>
          <w:color w:val="auto"/>
          <w:sz w:val="24"/>
          <w:highlight w:val="none"/>
        </w:rPr>
        <w:t>　　   （一）投标文件中开标一览表（报价表）内容与投标文件中相应内容不一致的，以开标一览表（报价表）为准；</w:t>
      </w:r>
    </w:p>
    <w:p w14:paraId="1F864B2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（二）大写金额和小写金额不一致的，以大写金额为准；</w:t>
      </w:r>
    </w:p>
    <w:p w14:paraId="63A13A55">
      <w:pPr>
        <w:spacing w:line="240" w:lineRule="atLeast"/>
        <w:ind w:left="1020" w:hanging="1020" w:hangingChars="425"/>
        <w:rPr>
          <w:rFonts w:hint="eastAsia" w:ascii="仿宋" w:hAnsi="仿宋" w:eastAsia="仿宋" w:cs="仿宋"/>
          <w:color w:val="auto"/>
          <w:sz w:val="24"/>
          <w:highlight w:val="none"/>
        </w:rPr>
      </w:pPr>
      <w:r>
        <w:rPr>
          <w:rFonts w:hint="eastAsia" w:ascii="仿宋" w:hAnsi="仿宋" w:eastAsia="仿宋" w:cs="仿宋"/>
          <w:color w:val="auto"/>
          <w:sz w:val="24"/>
          <w:highlight w:val="none"/>
        </w:rPr>
        <w:t>　   　（三）单价金额小数点或者百分比有明显错位的，以开标一览表的总价为准，并修改单价；</w:t>
      </w:r>
    </w:p>
    <w:p w14:paraId="5BF04AC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（四）总价金额与按单价汇总金额不一致的，以单价金额计算结果为准。</w:t>
      </w:r>
    </w:p>
    <w:p w14:paraId="1362CF3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同时出现两种以上不一致的，按照前款规定的顺序修正。修正后的报价按照第20.2条的规定经投标人确认后产生约束力，投标人不确认的，其投标将被认定为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7C99299C">
      <w:pPr>
        <w:spacing w:line="240" w:lineRule="atLeast"/>
        <w:ind w:left="735" w:leftChars="350" w:firstLine="120" w:firstLineChars="50"/>
        <w:rPr>
          <w:rFonts w:hint="eastAsia" w:ascii="仿宋" w:hAnsi="仿宋" w:eastAsia="仿宋" w:cs="仿宋"/>
          <w:color w:val="auto"/>
          <w:sz w:val="24"/>
          <w:highlight w:val="none"/>
        </w:rPr>
      </w:pPr>
      <w:r>
        <w:rPr>
          <w:rFonts w:hint="eastAsia" w:ascii="仿宋" w:hAnsi="仿宋" w:eastAsia="仿宋" w:cs="仿宋"/>
          <w:color w:val="auto"/>
          <w:sz w:val="24"/>
          <w:highlight w:val="none"/>
        </w:rPr>
        <w:t>对不同文字文本投标文件的解释发生异议的，以中文文本为准。</w:t>
      </w:r>
    </w:p>
    <w:p w14:paraId="4978772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20.4   如一个分包内只有一种产品，不同投标人所投产品为同一品牌的，按如下方式处理：</w:t>
      </w:r>
    </w:p>
    <w:p w14:paraId="225A148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20.4.1  如本项目使用最低评标价法，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 xml:space="preserve">。 </w:t>
      </w:r>
    </w:p>
    <w:p w14:paraId="23EBAE3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20.4.2  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1C93B7D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20.5   如一个分包内包含多种产品的，采购人或采购代理机构将在</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中载明核心产品，多家投标人提供的核心产品品牌相同的，按第20.4条规定处理。</w:t>
      </w:r>
    </w:p>
    <w:p w14:paraId="249DB63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20.6   投标人所投产品如被列入财政部与国家主管部门颁发的节能产品目录或环境标志产品目录或无线局域网产品目录，应提供相关证明，在评标时予以优先采购，具体优先采购办法见第六章评标方法和标准。</w:t>
      </w:r>
    </w:p>
    <w:p w14:paraId="051E695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如采购人所采购产品为政府强制采购的节能产品，投标人所投产品的品牌及型号必须为清单中有效期内产品并提供证明文件，否则其投标将被认定为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p>
    <w:p w14:paraId="37D54CD4">
      <w:pPr>
        <w:pStyle w:val="5"/>
        <w:spacing w:before="0" w:after="0" w:line="240" w:lineRule="atLeast"/>
        <w:rPr>
          <w:rFonts w:hint="eastAsia" w:ascii="仿宋" w:hAnsi="仿宋" w:eastAsia="仿宋" w:cs="仿宋"/>
          <w:color w:val="auto"/>
          <w:highlight w:val="none"/>
          <w:u w:val="none"/>
        </w:rPr>
      </w:pPr>
      <w:bookmarkStart w:id="143" w:name="_Toc9469"/>
      <w:bookmarkStart w:id="144" w:name="_Toc515647782"/>
      <w:bookmarkStart w:id="145" w:name="_Toc6364"/>
      <w:bookmarkStart w:id="146" w:name="_Toc28355"/>
      <w:r>
        <w:rPr>
          <w:rFonts w:hint="eastAsia" w:ascii="仿宋" w:hAnsi="仿宋" w:eastAsia="仿宋" w:cs="仿宋"/>
          <w:color w:val="auto"/>
          <w:highlight w:val="none"/>
          <w:u w:val="none"/>
        </w:rPr>
        <w:t>21.投标偏离</w:t>
      </w:r>
      <w:bookmarkEnd w:id="143"/>
      <w:bookmarkEnd w:id="144"/>
      <w:bookmarkEnd w:id="145"/>
      <w:bookmarkEnd w:id="146"/>
    </w:p>
    <w:p w14:paraId="5230DED1">
      <w:pPr>
        <w:spacing w:line="240" w:lineRule="atLeast"/>
        <w:ind w:left="847" w:leftChars="99" w:hanging="640" w:hangingChars="267"/>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评标委员会可以接受投标文件中不构成实质性偏离的不正规或不一致。</w:t>
      </w:r>
    </w:p>
    <w:p w14:paraId="0CEDEF85">
      <w:pPr>
        <w:pStyle w:val="5"/>
        <w:spacing w:before="0" w:after="0" w:line="240" w:lineRule="atLeast"/>
        <w:rPr>
          <w:rFonts w:hint="eastAsia" w:ascii="仿宋" w:hAnsi="仿宋" w:eastAsia="仿宋" w:cs="仿宋"/>
          <w:color w:val="auto"/>
          <w:highlight w:val="none"/>
          <w:u w:val="none"/>
        </w:rPr>
      </w:pPr>
      <w:bookmarkStart w:id="147" w:name="_Toc515647783"/>
      <w:bookmarkStart w:id="148" w:name="_Toc4950"/>
      <w:bookmarkStart w:id="149" w:name="_Toc9973"/>
      <w:bookmarkStart w:id="150" w:name="_Toc6092"/>
      <w:r>
        <w:rPr>
          <w:rFonts w:hint="eastAsia" w:ascii="仿宋" w:hAnsi="仿宋" w:eastAsia="仿宋" w:cs="仿宋"/>
          <w:color w:val="auto"/>
          <w:highlight w:val="none"/>
          <w:u w:val="none"/>
        </w:rPr>
        <w:t>22.投标</w:t>
      </w:r>
      <w:bookmarkEnd w:id="147"/>
      <w:r>
        <w:rPr>
          <w:rFonts w:hint="eastAsia" w:ascii="仿宋" w:hAnsi="仿宋" w:eastAsia="仿宋" w:cs="仿宋"/>
          <w:color w:val="auto"/>
          <w:highlight w:val="none"/>
          <w:u w:val="none"/>
        </w:rPr>
        <w:t>无效</w:t>
      </w:r>
      <w:bookmarkEnd w:id="148"/>
      <w:bookmarkEnd w:id="149"/>
      <w:bookmarkEnd w:id="150"/>
    </w:p>
    <w:p w14:paraId="0F2ADF70">
      <w:pPr>
        <w:spacing w:line="240" w:lineRule="atLeast"/>
        <w:ind w:left="852" w:leftChars="-23"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。投标人不得通过修正或撤销不符合要求的偏离，从而使其投标成为实质上响应的投标。</w:t>
      </w:r>
    </w:p>
    <w:p w14:paraId="35DA186C">
      <w:pPr>
        <w:spacing w:line="240" w:lineRule="atLeast"/>
        <w:ind w:left="791" w:leftChars="377"/>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评标委员会决定投标的响应性只根据招标文件要求、投标文件内容及财政主管部门指定相关信息发布媒体。</w:t>
      </w:r>
    </w:p>
    <w:p w14:paraId="5848F95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22.2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如发现下列情况之一的，其投标将被认定为</w:t>
      </w:r>
      <w:r>
        <w:rPr>
          <w:rFonts w:hint="eastAsia" w:ascii="仿宋" w:hAnsi="仿宋" w:eastAsia="仿宋" w:cs="仿宋"/>
          <w:b/>
          <w:bCs/>
          <w:color w:val="auto"/>
          <w:sz w:val="24"/>
          <w:highlight w:val="none"/>
        </w:rPr>
        <w:t>投标无效</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以下情形应当在招标文件中规定，并以醒目的方式标明</w:t>
      </w:r>
      <w:r>
        <w:rPr>
          <w:rFonts w:hint="eastAsia" w:ascii="仿宋" w:hAnsi="仿宋" w:eastAsia="仿宋" w:cs="仿宋"/>
          <w:color w:val="auto"/>
          <w:sz w:val="24"/>
          <w:highlight w:val="none"/>
        </w:rPr>
        <w:t>）</w:t>
      </w:r>
    </w:p>
    <w:p w14:paraId="092C9382">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未按招标文件规定的形式和金额提交投标保证金的；</w:t>
      </w:r>
    </w:p>
    <w:p w14:paraId="2BB0B7C9">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未按照招标文件规定要求签署、盖章的；</w:t>
      </w:r>
    </w:p>
    <w:p w14:paraId="13C15244">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未满足招标文件中技术条款的实质性要求；</w:t>
      </w:r>
    </w:p>
    <w:p w14:paraId="670ED5C3">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与其他投标人串通投标，或者与招标人串通投标；</w:t>
      </w:r>
    </w:p>
    <w:p w14:paraId="1E5C793A">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属于招标文件规定的其他投标无效情形；</w:t>
      </w:r>
    </w:p>
    <w:p w14:paraId="0C8A174B">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评标委员会认为投标人的报价明显低于其他通过符合性检查投标人的报价，有可能影响履约的，且投标人未按照规定证明其报价合理性的；</w:t>
      </w:r>
    </w:p>
    <w:p w14:paraId="777F1D5F">
      <w:pPr>
        <w:numPr>
          <w:ilvl w:val="0"/>
          <w:numId w:val="5"/>
        </w:numPr>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投标文件含有采购人不能接受的附加条件的；</w:t>
      </w:r>
    </w:p>
    <w:p w14:paraId="7D0EE8D2">
      <w:pPr>
        <w:numPr>
          <w:ilvl w:val="0"/>
          <w:numId w:val="5"/>
        </w:numPr>
        <w:tabs>
          <w:tab w:val="left" w:pos="0"/>
        </w:tabs>
        <w:spacing w:line="240" w:lineRule="atLeast"/>
        <w:ind w:left="1080" w:leftChars="429" w:hanging="18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不符合法规和招标文件中规定的其他实质性要求的。</w:t>
      </w:r>
    </w:p>
    <w:p w14:paraId="665B0E7D">
      <w:pPr>
        <w:pStyle w:val="5"/>
        <w:spacing w:before="0" w:after="0" w:line="240" w:lineRule="atLeast"/>
        <w:rPr>
          <w:rFonts w:hint="eastAsia" w:ascii="仿宋" w:hAnsi="仿宋" w:eastAsia="仿宋" w:cs="仿宋"/>
          <w:b/>
          <w:color w:val="auto"/>
          <w:highlight w:val="none"/>
          <w:u w:val="none"/>
        </w:rPr>
      </w:pPr>
      <w:bookmarkStart w:id="151" w:name="_Toc22941"/>
      <w:bookmarkStart w:id="152" w:name="_Toc12431"/>
      <w:bookmarkStart w:id="153" w:name="_Toc515647784"/>
      <w:bookmarkStart w:id="154" w:name="_Toc13652"/>
      <w:r>
        <w:rPr>
          <w:rFonts w:hint="eastAsia" w:ascii="仿宋" w:hAnsi="仿宋" w:eastAsia="仿宋" w:cs="仿宋"/>
          <w:b/>
          <w:color w:val="auto"/>
          <w:highlight w:val="none"/>
          <w:u w:val="none"/>
          <w:lang w:val="en-US" w:eastAsia="zh-CN"/>
        </w:rPr>
        <w:t>23.</w:t>
      </w:r>
      <w:bookmarkEnd w:id="142"/>
      <w:r>
        <w:rPr>
          <w:rFonts w:hint="eastAsia" w:ascii="仿宋" w:hAnsi="仿宋" w:eastAsia="仿宋" w:cs="仿宋"/>
          <w:b/>
          <w:color w:val="auto"/>
          <w:highlight w:val="none"/>
          <w:u w:val="none"/>
          <w:lang w:val="en-US" w:eastAsia="zh-CN"/>
        </w:rPr>
        <w:t>比较与评价</w:t>
      </w:r>
      <w:bookmarkEnd w:id="151"/>
      <w:bookmarkEnd w:id="152"/>
      <w:bookmarkEnd w:id="153"/>
      <w:bookmarkEnd w:id="154"/>
    </w:p>
    <w:p w14:paraId="71DBDA6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23.1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经符合性审查合格的投标文件，评标委员会将根据招标文件确定的评标方法和标准，对其技术部分和商务部分作进一步的比较和评价。</w:t>
      </w:r>
    </w:p>
    <w:p w14:paraId="2628CBA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23.2  </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评标严格按照招标文件的要求和条件进行。根据实际情况，在</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中规定采用下列一种评标方法，详细评标标准见招标文件第六章：</w:t>
      </w:r>
    </w:p>
    <w:p w14:paraId="1CBAABAD">
      <w:pPr>
        <w:pStyle w:val="17"/>
        <w:spacing w:line="240" w:lineRule="atLeast"/>
        <w:ind w:left="899" w:leftChars="342" w:hanging="18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最低评标价法，是指投标文件满足招标文件全部实质性要求，且投标报价最低的投标人为中标候选人的评标方法。</w:t>
      </w:r>
    </w:p>
    <w:p w14:paraId="6E9B34AD">
      <w:pPr>
        <w:spacing w:line="240" w:lineRule="atLeast"/>
        <w:ind w:left="901"/>
        <w:rPr>
          <w:rFonts w:hint="eastAsia" w:ascii="仿宋" w:hAnsi="仿宋" w:eastAsia="仿宋" w:cs="仿宋"/>
          <w:b/>
          <w:bCs/>
          <w:color w:val="auto"/>
          <w:sz w:val="24"/>
          <w:highlight w:val="yellow"/>
        </w:rPr>
      </w:pPr>
      <w:r>
        <w:rPr>
          <w:rFonts w:hint="eastAsia" w:ascii="仿宋" w:hAnsi="仿宋" w:eastAsia="仿宋" w:cs="仿宋"/>
          <w:color w:val="auto"/>
          <w:sz w:val="24"/>
          <w:szCs w:val="24"/>
          <w:highlight w:val="none"/>
        </w:rPr>
        <w:t>（2） 综合评分法，是指投标文件满足招标文件全部实质性要求，且按照评审因素的量化指标评审得分最高的投标人为中标候选人的评标方法。</w:t>
      </w:r>
    </w:p>
    <w:p w14:paraId="6A1C16DA">
      <w:pPr>
        <w:pStyle w:val="17"/>
        <w:spacing w:line="240" w:lineRule="atLeast"/>
        <w:ind w:left="900" w:hanging="900" w:hangingChars="375"/>
        <w:rPr>
          <w:rFonts w:hint="eastAsia" w:ascii="仿宋" w:hAnsi="仿宋" w:eastAsia="仿宋" w:cs="仿宋"/>
          <w:b/>
          <w:bCs/>
          <w:color w:val="auto"/>
          <w:sz w:val="24"/>
          <w:szCs w:val="24"/>
          <w:highlight w:val="none"/>
          <w:lang w:eastAsia="zh-CN"/>
        </w:rPr>
      </w:pPr>
      <w:r>
        <w:rPr>
          <w:rFonts w:hint="eastAsia" w:ascii="仿宋" w:hAnsi="仿宋" w:eastAsia="仿宋" w:cs="仿宋"/>
          <w:color w:val="auto"/>
          <w:sz w:val="24"/>
          <w:szCs w:val="24"/>
          <w:highlight w:val="none"/>
        </w:rPr>
        <w:t>23.3   根据《政府采购促进中小企业发展</w:t>
      </w:r>
      <w:r>
        <w:rPr>
          <w:rFonts w:hint="eastAsia" w:ascii="仿宋" w:hAnsi="仿宋" w:eastAsia="仿宋" w:cs="仿宋"/>
          <w:color w:val="auto"/>
          <w:sz w:val="24"/>
          <w:szCs w:val="24"/>
          <w:highlight w:val="none"/>
          <w:lang w:eastAsia="zh-CN"/>
        </w:rPr>
        <w:t>管理</w:t>
      </w:r>
      <w:r>
        <w:rPr>
          <w:rFonts w:hint="eastAsia" w:ascii="仿宋" w:hAnsi="仿宋" w:eastAsia="仿宋" w:cs="仿宋"/>
          <w:color w:val="auto"/>
          <w:sz w:val="24"/>
          <w:szCs w:val="24"/>
          <w:highlight w:val="none"/>
        </w:rPr>
        <w:t>办法》（财库[20</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46</w:t>
      </w:r>
      <w:r>
        <w:rPr>
          <w:rFonts w:hint="eastAsia" w:ascii="仿宋" w:hAnsi="仿宋" w:eastAsia="仿宋" w:cs="仿宋"/>
          <w:color w:val="auto"/>
          <w:sz w:val="24"/>
          <w:szCs w:val="24"/>
          <w:highlight w:val="none"/>
        </w:rPr>
        <w:t>号）、</w:t>
      </w:r>
      <w:r>
        <w:rPr>
          <w:rFonts w:hint="eastAsia" w:ascii="仿宋" w:hAnsi="仿宋" w:eastAsia="仿宋" w:cs="仿宋"/>
          <w:color w:val="auto"/>
          <w:sz w:val="24"/>
          <w:szCs w:val="24"/>
          <w:highlight w:val="none"/>
          <w:lang w:eastAsia="zh-CN"/>
        </w:rPr>
        <w:t>《关于进一步加大政府采购支持中小企业力度的通知》</w:t>
      </w:r>
      <w:r>
        <w:rPr>
          <w:rFonts w:hint="eastAsia" w:ascii="仿宋" w:hAnsi="仿宋" w:eastAsia="仿宋" w:cs="仿宋"/>
          <w:color w:val="auto"/>
          <w:sz w:val="24"/>
          <w:szCs w:val="24"/>
          <w:highlight w:val="none"/>
        </w:rPr>
        <w:t>（财库[20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号）、《财政部 司法部关于政府采购支持监狱企业发展有关问题的通知》（财库〔2014〕68号）和《三部门联合发布关于促进残疾人就业政府采购政策的通知》（</w:t>
      </w:r>
      <w:bookmarkStart w:id="155" w:name="sendNo"/>
      <w:r>
        <w:rPr>
          <w:rFonts w:hint="eastAsia" w:ascii="仿宋" w:hAnsi="仿宋" w:eastAsia="仿宋" w:cs="仿宋"/>
          <w:bCs/>
          <w:color w:val="auto"/>
          <w:sz w:val="24"/>
          <w:szCs w:val="24"/>
          <w:highlight w:val="none"/>
        </w:rPr>
        <w:t>财库〔</w:t>
      </w:r>
      <w:bookmarkEnd w:id="155"/>
      <w:r>
        <w:rPr>
          <w:rFonts w:hint="eastAsia" w:ascii="仿宋" w:hAnsi="仿宋" w:eastAsia="仿宋" w:cs="仿宋"/>
          <w:bCs/>
          <w:color w:val="auto"/>
          <w:sz w:val="24"/>
          <w:szCs w:val="24"/>
          <w:highlight w:val="none"/>
        </w:rPr>
        <w:t>2017〕141号</w:t>
      </w:r>
      <w:r>
        <w:rPr>
          <w:rFonts w:hint="eastAsia" w:ascii="仿宋" w:hAnsi="仿宋" w:eastAsia="仿宋" w:cs="仿宋"/>
          <w:color w:val="auto"/>
          <w:sz w:val="24"/>
          <w:szCs w:val="24"/>
          <w:highlight w:val="none"/>
        </w:rPr>
        <w:t>）的规定，对满足价格扣除条件且在投标文件中提交了《</w:t>
      </w:r>
      <w:r>
        <w:rPr>
          <w:rFonts w:hint="eastAsia" w:ascii="仿宋" w:hAnsi="仿宋" w:eastAsia="仿宋" w:cs="仿宋"/>
          <w:color w:val="auto"/>
          <w:sz w:val="24"/>
          <w:szCs w:val="24"/>
          <w:highlight w:val="none"/>
          <w:lang w:eastAsia="zh-CN"/>
        </w:rPr>
        <w:t>中小企业声明函</w:t>
      </w:r>
      <w:r>
        <w:rPr>
          <w:rFonts w:hint="eastAsia" w:ascii="仿宋" w:hAnsi="仿宋" w:eastAsia="仿宋" w:cs="仿宋"/>
          <w:color w:val="auto"/>
          <w:sz w:val="24"/>
          <w:szCs w:val="24"/>
          <w:highlight w:val="none"/>
        </w:rPr>
        <w:t>》或省级以上监狱管理局、戒毒管理局（含新疆生产建设兵团）出具的属于监狱企业的证明文件的投标人，其投标报价扣除</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%后参与评审。具体办法详见招标文件第6章。</w:t>
      </w:r>
    </w:p>
    <w:p w14:paraId="7D845935">
      <w:pPr>
        <w:pStyle w:val="5"/>
        <w:spacing w:before="0" w:after="0" w:line="240" w:lineRule="atLeast"/>
        <w:rPr>
          <w:rFonts w:hint="eastAsia" w:ascii="仿宋" w:hAnsi="仿宋" w:eastAsia="仿宋" w:cs="仿宋"/>
          <w:color w:val="auto"/>
          <w:highlight w:val="none"/>
          <w:u w:val="none"/>
        </w:rPr>
      </w:pPr>
      <w:bookmarkStart w:id="156" w:name="_Toc520356168"/>
      <w:bookmarkStart w:id="157" w:name="_Toc20227"/>
      <w:bookmarkStart w:id="158" w:name="_Toc26340"/>
      <w:bookmarkStart w:id="159" w:name="_Toc515647785"/>
      <w:bookmarkStart w:id="160" w:name="_Toc9378"/>
      <w:r>
        <w:rPr>
          <w:rFonts w:hint="eastAsia" w:ascii="仿宋" w:hAnsi="仿宋" w:eastAsia="仿宋" w:cs="仿宋"/>
          <w:color w:val="auto"/>
          <w:highlight w:val="none"/>
          <w:u w:val="none"/>
        </w:rPr>
        <w:t>24</w:t>
      </w:r>
      <w:bookmarkEnd w:id="156"/>
      <w:r>
        <w:rPr>
          <w:rFonts w:hint="eastAsia" w:ascii="仿宋" w:hAnsi="仿宋" w:eastAsia="仿宋" w:cs="仿宋"/>
          <w:color w:val="auto"/>
          <w:highlight w:val="none"/>
          <w:u w:val="none"/>
        </w:rPr>
        <w:t>.废标</w:t>
      </w:r>
      <w:bookmarkEnd w:id="157"/>
      <w:bookmarkEnd w:id="158"/>
      <w:bookmarkEnd w:id="159"/>
      <w:bookmarkEnd w:id="160"/>
    </w:p>
    <w:p w14:paraId="7ED0C090">
      <w:pPr>
        <w:spacing w:line="240" w:lineRule="atLeast"/>
        <w:ind w:left="897" w:leftChars="399" w:hanging="60" w:hangingChars="2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出现下列情形之一，将导致项目废标： </w:t>
      </w:r>
    </w:p>
    <w:p w14:paraId="4AAE3C3E">
      <w:pPr>
        <w:spacing w:line="240" w:lineRule="atLeast"/>
        <w:ind w:left="900" w:hanging="900" w:hangingChars="375"/>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b/>
          <w:bCs/>
          <w:color w:val="auto"/>
          <w:sz w:val="24"/>
          <w:highlight w:val="none"/>
        </w:rPr>
        <w:t>（1）符合专业条件的供应商或者对招标文件做实质性响应的供应商不足三家；</w:t>
      </w:r>
    </w:p>
    <w:p w14:paraId="102F64BF">
      <w:pPr>
        <w:spacing w:line="240" w:lineRule="atLeast"/>
        <w:ind w:left="900" w:hanging="900" w:hangingChars="375"/>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ab/>
      </w:r>
      <w:r>
        <w:rPr>
          <w:rFonts w:hint="eastAsia" w:ascii="仿宋" w:hAnsi="仿宋" w:eastAsia="仿宋" w:cs="仿宋"/>
          <w:b/>
          <w:bCs/>
          <w:color w:val="auto"/>
          <w:sz w:val="24"/>
          <w:highlight w:val="none"/>
        </w:rPr>
        <w:t>（2）出现影响采购公正的违法、违规行为的；</w:t>
      </w:r>
    </w:p>
    <w:p w14:paraId="3B2D3162">
      <w:pPr>
        <w:spacing w:line="240" w:lineRule="atLeast"/>
        <w:ind w:firstLine="840" w:firstLineChars="35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（3）投标人的报价均超过了采购预算，采购人不能支付的；</w:t>
      </w:r>
    </w:p>
    <w:p w14:paraId="1DA155D7">
      <w:pPr>
        <w:spacing w:line="240" w:lineRule="atLeast"/>
        <w:ind w:firstLine="840" w:firstLineChars="35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（4）因重大变故，采购任务取消的。</w:t>
      </w:r>
      <w:r>
        <w:rPr>
          <w:rFonts w:hint="eastAsia" w:ascii="仿宋" w:hAnsi="仿宋" w:eastAsia="仿宋" w:cs="仿宋"/>
          <w:color w:val="auto"/>
          <w:sz w:val="24"/>
          <w:highlight w:val="none"/>
        </w:rPr>
        <w:t xml:space="preserve">   </w:t>
      </w:r>
    </w:p>
    <w:p w14:paraId="251ACB23">
      <w:pPr>
        <w:pStyle w:val="5"/>
        <w:spacing w:before="0" w:after="0" w:line="240" w:lineRule="atLeast"/>
        <w:rPr>
          <w:rFonts w:hint="eastAsia" w:ascii="仿宋" w:hAnsi="仿宋" w:eastAsia="仿宋" w:cs="仿宋"/>
          <w:color w:val="auto"/>
          <w:highlight w:val="none"/>
          <w:u w:val="none"/>
        </w:rPr>
      </w:pPr>
      <w:bookmarkStart w:id="161" w:name="_Toc515647786"/>
      <w:bookmarkStart w:id="162" w:name="_Toc24972"/>
      <w:bookmarkStart w:id="163" w:name="_Toc19816"/>
      <w:bookmarkStart w:id="164" w:name="_Toc31289"/>
      <w:bookmarkStart w:id="165" w:name="_Toc520356169"/>
      <w:r>
        <w:rPr>
          <w:rFonts w:hint="eastAsia" w:ascii="仿宋" w:hAnsi="仿宋" w:eastAsia="仿宋" w:cs="仿宋"/>
          <w:color w:val="auto"/>
          <w:highlight w:val="none"/>
          <w:u w:val="none"/>
        </w:rPr>
        <w:t>25.保密原则</w:t>
      </w:r>
      <w:bookmarkEnd w:id="161"/>
      <w:bookmarkEnd w:id="162"/>
      <w:bookmarkEnd w:id="163"/>
      <w:bookmarkEnd w:id="164"/>
    </w:p>
    <w:p w14:paraId="657908A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评标将在严格保密的情况下进行。</w:t>
      </w:r>
    </w:p>
    <w:p w14:paraId="26DC57C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25.2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政府采购评审专家应当遵守评审工作纪律，不得泄露评审文件、评审情况和评审中获悉的商业秘密。</w:t>
      </w:r>
    </w:p>
    <w:p w14:paraId="7ECFB99C">
      <w:pPr>
        <w:pStyle w:val="9"/>
        <w:rPr>
          <w:rFonts w:hint="eastAsia" w:ascii="仿宋" w:hAnsi="仿宋" w:eastAsia="仿宋" w:cs="仿宋"/>
          <w:color w:val="auto"/>
          <w:highlight w:val="none"/>
        </w:rPr>
      </w:pPr>
    </w:p>
    <w:p w14:paraId="3F3B63FD">
      <w:pPr>
        <w:pStyle w:val="4"/>
        <w:spacing w:before="0" w:line="240" w:lineRule="atLeast"/>
        <w:ind w:left="1079" w:leftChars="257" w:hanging="540"/>
        <w:rPr>
          <w:rFonts w:hint="eastAsia" w:ascii="仿宋" w:hAnsi="仿宋" w:eastAsia="仿宋" w:cs="仿宋"/>
          <w:color w:val="auto"/>
          <w:sz w:val="24"/>
          <w:highlight w:val="none"/>
        </w:rPr>
      </w:pPr>
      <w:bookmarkStart w:id="166" w:name="_Toc13442"/>
      <w:bookmarkStart w:id="167" w:name="_Toc12143"/>
      <w:bookmarkStart w:id="168" w:name="_Toc216582810"/>
      <w:bookmarkStart w:id="169" w:name="_Toc515647787"/>
      <w:bookmarkStart w:id="170" w:name="_Toc23904"/>
      <w:r>
        <w:rPr>
          <w:rFonts w:hint="eastAsia" w:ascii="仿宋" w:hAnsi="仿宋" w:eastAsia="仿宋" w:cs="仿宋"/>
          <w:color w:val="auto"/>
          <w:sz w:val="24"/>
          <w:highlight w:val="none"/>
        </w:rPr>
        <w:t xml:space="preserve">六   </w:t>
      </w:r>
      <w:bookmarkEnd w:id="165"/>
      <w:r>
        <w:rPr>
          <w:rFonts w:hint="eastAsia" w:ascii="仿宋" w:hAnsi="仿宋" w:eastAsia="仿宋" w:cs="仿宋"/>
          <w:color w:val="auto"/>
          <w:sz w:val="24"/>
          <w:highlight w:val="none"/>
        </w:rPr>
        <w:t>确定中标</w:t>
      </w:r>
      <w:bookmarkEnd w:id="166"/>
      <w:bookmarkEnd w:id="167"/>
      <w:bookmarkEnd w:id="168"/>
      <w:bookmarkEnd w:id="169"/>
      <w:bookmarkEnd w:id="170"/>
    </w:p>
    <w:p w14:paraId="6D8B09DE">
      <w:pPr>
        <w:pStyle w:val="9"/>
        <w:rPr>
          <w:rFonts w:hint="eastAsia" w:ascii="仿宋" w:hAnsi="仿宋" w:eastAsia="仿宋" w:cs="仿宋"/>
          <w:color w:val="auto"/>
          <w:highlight w:val="none"/>
        </w:rPr>
      </w:pPr>
    </w:p>
    <w:p w14:paraId="3F38CFDB">
      <w:pPr>
        <w:pStyle w:val="5"/>
        <w:spacing w:before="0" w:after="0" w:line="240" w:lineRule="atLeast"/>
        <w:rPr>
          <w:rFonts w:hint="eastAsia" w:ascii="仿宋" w:hAnsi="仿宋" w:eastAsia="仿宋" w:cs="仿宋"/>
          <w:color w:val="auto"/>
          <w:highlight w:val="none"/>
          <w:u w:val="none"/>
        </w:rPr>
      </w:pPr>
      <w:bookmarkStart w:id="171" w:name="_Toc515647788"/>
      <w:bookmarkStart w:id="172" w:name="_Toc23762"/>
      <w:bookmarkStart w:id="173" w:name="_Toc18872"/>
      <w:bookmarkStart w:id="174" w:name="_Toc520356170"/>
      <w:bookmarkStart w:id="175" w:name="_Toc23617"/>
      <w:bookmarkStart w:id="176" w:name="_Ref467307010"/>
      <w:r>
        <w:rPr>
          <w:rFonts w:hint="eastAsia" w:ascii="仿宋" w:hAnsi="仿宋" w:eastAsia="仿宋" w:cs="仿宋"/>
          <w:color w:val="auto"/>
          <w:highlight w:val="none"/>
          <w:u w:val="none"/>
        </w:rPr>
        <w:t>26.中标候选人的确定原则及标准</w:t>
      </w:r>
      <w:bookmarkEnd w:id="171"/>
      <w:bookmarkEnd w:id="172"/>
      <w:bookmarkEnd w:id="173"/>
      <w:bookmarkEnd w:id="174"/>
      <w:bookmarkEnd w:id="175"/>
      <w:bookmarkEnd w:id="176"/>
    </w:p>
    <w:p w14:paraId="6020070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除第28条规定外，对实质上响应招标文件的投标人按下列方法进行排序，确定投标候选人：</w:t>
      </w:r>
    </w:p>
    <w:p w14:paraId="169EF949">
      <w:pPr>
        <w:spacing w:line="240" w:lineRule="atLeast"/>
        <w:ind w:left="901"/>
        <w:rPr>
          <w:rFonts w:hint="eastAsia" w:ascii="仿宋" w:hAnsi="仿宋" w:eastAsia="仿宋" w:cs="仿宋"/>
          <w:color w:val="auto"/>
          <w:sz w:val="24"/>
          <w:highlight w:val="none"/>
        </w:rPr>
      </w:pPr>
      <w:bookmarkStart w:id="177" w:name="_Toc520356171"/>
      <w:bookmarkStart w:id="178" w:name="_Toc515647789"/>
      <w:r>
        <w:rPr>
          <w:rFonts w:hint="eastAsia" w:ascii="仿宋" w:hAnsi="仿宋" w:eastAsia="仿宋" w:cs="仿宋"/>
          <w:color w:val="auto"/>
          <w:sz w:val="24"/>
          <w:highlight w:val="none"/>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14:paraId="132A8E75">
      <w:pPr>
        <w:spacing w:line="240" w:lineRule="atLeast"/>
        <w:ind w:left="901"/>
        <w:rPr>
          <w:rFonts w:hint="eastAsia" w:ascii="仿宋" w:hAnsi="仿宋" w:eastAsia="仿宋" w:cs="仿宋"/>
          <w:color w:val="auto"/>
          <w:sz w:val="24"/>
          <w:highlight w:val="none"/>
        </w:rPr>
      </w:pPr>
      <w:r>
        <w:rPr>
          <w:rFonts w:hint="eastAsia" w:ascii="仿宋" w:hAnsi="仿宋" w:eastAsia="仿宋" w:cs="仿宋"/>
          <w:color w:val="auto"/>
          <w:sz w:val="24"/>
          <w:highlight w:val="none"/>
        </w:rPr>
        <w:t>（2）采用综合评分法的，评标结果按评审后得分由高到低顺序排列。得分相同的，按修正和扣除后的投标报价由低到高顺序排列。得分与投标报价均相同的处理方式详见招标文件第6章。</w:t>
      </w:r>
    </w:p>
    <w:p w14:paraId="0D1F1071">
      <w:pPr>
        <w:pStyle w:val="5"/>
        <w:tabs>
          <w:tab w:val="left" w:pos="900"/>
        </w:tabs>
        <w:spacing w:before="0" w:after="0" w:line="240" w:lineRule="atLeast"/>
        <w:rPr>
          <w:rFonts w:hint="eastAsia" w:ascii="仿宋" w:hAnsi="仿宋" w:eastAsia="仿宋" w:cs="仿宋"/>
          <w:color w:val="auto"/>
          <w:highlight w:val="none"/>
          <w:u w:val="none"/>
        </w:rPr>
      </w:pPr>
      <w:bookmarkStart w:id="179" w:name="_Toc6968"/>
      <w:bookmarkStart w:id="180" w:name="_Toc23951"/>
      <w:bookmarkStart w:id="181" w:name="_Toc9653"/>
      <w:r>
        <w:rPr>
          <w:rFonts w:hint="eastAsia" w:ascii="仿宋" w:hAnsi="仿宋" w:eastAsia="仿宋" w:cs="仿宋"/>
          <w:color w:val="auto"/>
          <w:highlight w:val="none"/>
          <w:u w:val="none"/>
        </w:rPr>
        <w:t>27</w:t>
      </w:r>
      <w:bookmarkEnd w:id="177"/>
      <w:r>
        <w:rPr>
          <w:rFonts w:hint="eastAsia" w:ascii="仿宋" w:hAnsi="仿宋" w:eastAsia="仿宋" w:cs="仿宋"/>
          <w:color w:val="auto"/>
          <w:highlight w:val="none"/>
          <w:u w:val="none"/>
        </w:rPr>
        <w:t>.确定中标候选人和中标人</w:t>
      </w:r>
      <w:bookmarkEnd w:id="178"/>
      <w:bookmarkEnd w:id="179"/>
      <w:bookmarkEnd w:id="180"/>
      <w:bookmarkEnd w:id="181"/>
    </w:p>
    <w:p w14:paraId="36117172">
      <w:pPr>
        <w:spacing w:line="240" w:lineRule="atLeast"/>
        <w:ind w:left="900" w:hanging="900" w:hangingChars="375"/>
        <w:rPr>
          <w:rFonts w:hint="eastAsia" w:ascii="仿宋" w:hAnsi="仿宋" w:eastAsia="仿宋" w:cs="仿宋"/>
          <w:color w:val="auto"/>
          <w:sz w:val="24"/>
          <w:highlight w:val="yellow"/>
          <w:lang w:eastAsia="zh-CN"/>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评标委员会将根据评标标准，按</w:t>
      </w:r>
      <w:r>
        <w:rPr>
          <w:rFonts w:hint="eastAsia" w:ascii="仿宋" w:hAnsi="仿宋" w:eastAsia="仿宋" w:cs="仿宋"/>
          <w:color w:val="auto"/>
          <w:sz w:val="24"/>
          <w:highlight w:val="none"/>
          <w:u w:val="single"/>
        </w:rPr>
        <w:t>投标人须知资料表中</w:t>
      </w:r>
      <w:r>
        <w:rPr>
          <w:rFonts w:hint="eastAsia" w:ascii="仿宋" w:hAnsi="仿宋" w:eastAsia="仿宋" w:cs="仿宋"/>
          <w:color w:val="auto"/>
          <w:sz w:val="24"/>
          <w:highlight w:val="none"/>
        </w:rPr>
        <w:t>规定数量推荐中标候选人；</w:t>
      </w:r>
      <w:r>
        <w:rPr>
          <w:rFonts w:hint="eastAsia" w:ascii="仿宋" w:hAnsi="仿宋" w:eastAsia="仿宋" w:cs="仿宋"/>
          <w:color w:val="auto"/>
          <w:sz w:val="24"/>
          <w:highlight w:val="none"/>
          <w:lang w:val="en-US" w:eastAsia="zh-CN"/>
        </w:rPr>
        <w:t>评审委员会</w:t>
      </w:r>
      <w:r>
        <w:rPr>
          <w:rFonts w:hint="eastAsia" w:ascii="仿宋" w:hAnsi="仿宋" w:eastAsia="仿宋" w:cs="仿宋"/>
          <w:b/>
          <w:bCs/>
          <w:color w:val="auto"/>
          <w:sz w:val="24"/>
          <w:highlight w:val="none"/>
          <w:lang w:val="en-US" w:eastAsia="zh-CN"/>
        </w:rPr>
        <w:t>应当根据综合评分情况，按照评审得分由高到低顺序推荐3名以上成交候选供应商</w:t>
      </w:r>
      <w:r>
        <w:rPr>
          <w:rFonts w:hint="eastAsia" w:ascii="仿宋" w:hAnsi="仿宋" w:eastAsia="仿宋" w:cs="仿宋"/>
          <w:color w:val="auto"/>
          <w:sz w:val="24"/>
          <w:highlight w:val="none"/>
        </w:rPr>
        <w:t>或根据采购人的委托，直接确定中标人。</w:t>
      </w:r>
    </w:p>
    <w:p w14:paraId="7BC9091E">
      <w:pPr>
        <w:pStyle w:val="5"/>
        <w:tabs>
          <w:tab w:val="left" w:pos="900"/>
        </w:tabs>
        <w:spacing w:before="0" w:after="0" w:line="240" w:lineRule="atLeast"/>
        <w:rPr>
          <w:rFonts w:hint="eastAsia" w:ascii="仿宋" w:hAnsi="仿宋" w:eastAsia="仿宋" w:cs="仿宋"/>
          <w:color w:val="auto"/>
          <w:highlight w:val="none"/>
          <w:u w:val="none"/>
        </w:rPr>
      </w:pPr>
      <w:bookmarkStart w:id="182" w:name="_Ref467306874"/>
      <w:bookmarkStart w:id="183" w:name="_Toc520356173"/>
      <w:bookmarkStart w:id="184" w:name="_Toc24895"/>
      <w:bookmarkStart w:id="185" w:name="_Toc515647790"/>
      <w:bookmarkStart w:id="186" w:name="_Toc8389"/>
      <w:bookmarkStart w:id="187" w:name="_Toc28562"/>
      <w:r>
        <w:rPr>
          <w:rFonts w:hint="eastAsia" w:ascii="仿宋" w:hAnsi="仿宋" w:eastAsia="仿宋" w:cs="仿宋"/>
          <w:color w:val="auto"/>
          <w:highlight w:val="none"/>
          <w:u w:val="none"/>
        </w:rPr>
        <w:t>28.</w:t>
      </w:r>
      <w:bookmarkEnd w:id="182"/>
      <w:bookmarkEnd w:id="183"/>
      <w:r>
        <w:rPr>
          <w:rFonts w:hint="eastAsia" w:ascii="仿宋" w:hAnsi="仿宋" w:eastAsia="仿宋" w:cs="仿宋"/>
          <w:color w:val="auto"/>
          <w:highlight w:val="none"/>
          <w:u w:val="none"/>
        </w:rPr>
        <w:t>采购任务取消</w:t>
      </w:r>
      <w:bookmarkEnd w:id="184"/>
      <w:bookmarkEnd w:id="185"/>
      <w:bookmarkEnd w:id="186"/>
      <w:bookmarkEnd w:id="187"/>
    </w:p>
    <w:p w14:paraId="1787E36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因重大变故采购任务取消时，采购人有权拒绝任何投标人中标，且对受影响的投标人不承担任何责任。</w:t>
      </w:r>
      <w:bookmarkStart w:id="188" w:name="_Toc520356174"/>
    </w:p>
    <w:p w14:paraId="70E3AD03">
      <w:pPr>
        <w:pStyle w:val="5"/>
        <w:spacing w:before="0" w:after="0" w:line="240" w:lineRule="atLeast"/>
        <w:rPr>
          <w:rFonts w:hint="eastAsia" w:ascii="仿宋" w:hAnsi="仿宋" w:eastAsia="仿宋" w:cs="仿宋"/>
          <w:color w:val="auto"/>
          <w:highlight w:val="none"/>
          <w:u w:val="none"/>
        </w:rPr>
      </w:pPr>
      <w:bookmarkStart w:id="189" w:name="_Toc21957"/>
      <w:bookmarkStart w:id="190" w:name="_Toc515647791"/>
      <w:bookmarkStart w:id="191" w:name="_Toc30170"/>
      <w:bookmarkStart w:id="192" w:name="_Toc31099"/>
      <w:r>
        <w:rPr>
          <w:rFonts w:hint="eastAsia" w:ascii="仿宋" w:hAnsi="仿宋" w:eastAsia="仿宋" w:cs="仿宋"/>
          <w:color w:val="auto"/>
          <w:highlight w:val="none"/>
          <w:u w:val="none"/>
        </w:rPr>
        <w:t>29.中标通知书</w:t>
      </w:r>
      <w:bookmarkEnd w:id="188"/>
      <w:r>
        <w:rPr>
          <w:rFonts w:hint="eastAsia" w:ascii="仿宋" w:hAnsi="仿宋" w:eastAsia="仿宋" w:cs="仿宋"/>
          <w:color w:val="auto"/>
          <w:highlight w:val="none"/>
          <w:u w:val="none"/>
        </w:rPr>
        <w:t>和招标结果通知书</w:t>
      </w:r>
      <w:bookmarkEnd w:id="189"/>
      <w:bookmarkEnd w:id="190"/>
      <w:bookmarkEnd w:id="191"/>
      <w:bookmarkEnd w:id="192"/>
    </w:p>
    <w:p w14:paraId="21AB02E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29.1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在投标有效期内，中标人确定后，采购人或者采购代理机构发布中标公告，同时以书面形式向中标人发出中标通知书。</w:t>
      </w:r>
    </w:p>
    <w:p w14:paraId="489F108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29.2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中标通知书是合同的组成部分。</w:t>
      </w:r>
    </w:p>
    <w:p w14:paraId="2F5771C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29.3    招标结果通知书和中标通知书同时发出。招标结果通知书中将告知未通过资格审查的投标人未通过的原因；采用综合评分法评审的，还将告知未中标人本人的评审得分和排序。</w:t>
      </w:r>
    </w:p>
    <w:p w14:paraId="71F2A110">
      <w:pPr>
        <w:pStyle w:val="5"/>
        <w:spacing w:before="0" w:after="0" w:line="240" w:lineRule="atLeast"/>
        <w:rPr>
          <w:rFonts w:hint="eastAsia" w:ascii="仿宋" w:hAnsi="仿宋" w:eastAsia="仿宋" w:cs="仿宋"/>
          <w:color w:val="auto"/>
          <w:highlight w:val="none"/>
          <w:u w:val="none"/>
        </w:rPr>
      </w:pPr>
      <w:bookmarkStart w:id="193" w:name="_Toc7779"/>
      <w:bookmarkStart w:id="194" w:name="_Toc515647792"/>
      <w:bookmarkStart w:id="195" w:name="_Ref467307204"/>
      <w:bookmarkStart w:id="196" w:name="_Ref467307062"/>
      <w:bookmarkStart w:id="197" w:name="_Toc520356175"/>
      <w:bookmarkStart w:id="198" w:name="_Toc473"/>
      <w:bookmarkStart w:id="199" w:name="_Ref467306377"/>
      <w:bookmarkStart w:id="200" w:name="_Ref467306978"/>
      <w:bookmarkStart w:id="201" w:name="_Toc790"/>
      <w:r>
        <w:rPr>
          <w:rFonts w:hint="eastAsia" w:ascii="仿宋" w:hAnsi="仿宋" w:eastAsia="仿宋" w:cs="仿宋"/>
          <w:color w:val="auto"/>
          <w:highlight w:val="none"/>
          <w:u w:val="none"/>
        </w:rPr>
        <w:t>30.签订合同</w:t>
      </w:r>
      <w:bookmarkEnd w:id="193"/>
      <w:bookmarkEnd w:id="194"/>
      <w:bookmarkEnd w:id="195"/>
      <w:bookmarkEnd w:id="196"/>
      <w:bookmarkEnd w:id="197"/>
      <w:bookmarkEnd w:id="198"/>
      <w:bookmarkEnd w:id="199"/>
      <w:bookmarkEnd w:id="200"/>
      <w:bookmarkEnd w:id="201"/>
    </w:p>
    <w:p w14:paraId="7738A9C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30.1</w:t>
      </w:r>
      <w:r>
        <w:rPr>
          <w:rFonts w:hint="eastAsia" w:ascii="仿宋" w:hAnsi="仿宋" w:eastAsia="仿宋" w:cs="仿宋"/>
          <w:color w:val="auto"/>
          <w:sz w:val="24"/>
          <w:highlight w:val="none"/>
        </w:rPr>
        <w:tab/>
      </w:r>
      <w:r>
        <w:rPr>
          <w:rFonts w:hint="eastAsia" w:ascii="仿宋" w:hAnsi="仿宋" w:eastAsia="仿宋" w:cs="仿宋"/>
          <w:b w:val="0"/>
          <w:bCs w:val="0"/>
          <w:color w:val="auto"/>
          <w:sz w:val="24"/>
          <w:highlight w:val="none"/>
        </w:rPr>
        <w:t>中标人须在成交通知书发出后30日内签订政府采购合同。</w:t>
      </w:r>
    </w:p>
    <w:p w14:paraId="7D2FEB4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30.2</w:t>
      </w:r>
      <w:r>
        <w:rPr>
          <w:rFonts w:hint="eastAsia" w:ascii="仿宋" w:hAnsi="仿宋" w:eastAsia="仿宋" w:cs="仿宋"/>
          <w:color w:val="auto"/>
          <w:sz w:val="24"/>
          <w:highlight w:val="none"/>
        </w:rPr>
        <w:tab/>
      </w:r>
      <w:bookmarkStart w:id="202" w:name="_Ref467306425"/>
      <w:bookmarkStart w:id="203" w:name="_Toc520356176"/>
      <w:bookmarkStart w:id="204" w:name="_Ref467307090"/>
      <w:r>
        <w:rPr>
          <w:rFonts w:hint="eastAsia" w:ascii="仿宋" w:hAnsi="仿宋" w:eastAsia="仿宋" w:cs="仿宋"/>
          <w:color w:val="auto"/>
          <w:sz w:val="24"/>
          <w:highlight w:val="none"/>
        </w:rPr>
        <w:t>招标文件、中标人的投标文件及其澄清文件等，均为签订合同的依据。</w:t>
      </w:r>
    </w:p>
    <w:p w14:paraId="5C3042B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30.3   中标人拒绝与采购人签订合同的，采购人可以按照评审报告推荐的中标候选人名单排序，确定下一中标候选人为中标人，也可以重新开展政府采购活动。</w:t>
      </w:r>
    </w:p>
    <w:p w14:paraId="1CC24CE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30.4   当出现法规规定的</w:t>
      </w:r>
      <w:r>
        <w:rPr>
          <w:rFonts w:hint="eastAsia" w:ascii="仿宋" w:hAnsi="仿宋" w:eastAsia="仿宋" w:cs="仿宋"/>
          <w:b/>
          <w:color w:val="auto"/>
          <w:sz w:val="24"/>
          <w:highlight w:val="none"/>
        </w:rPr>
        <w:t>中标无效或中标结果无效</w:t>
      </w:r>
      <w:r>
        <w:rPr>
          <w:rFonts w:hint="eastAsia" w:ascii="仿宋" w:hAnsi="仿宋" w:eastAsia="仿宋" w:cs="仿宋"/>
          <w:color w:val="auto"/>
          <w:sz w:val="24"/>
          <w:highlight w:val="none"/>
        </w:rPr>
        <w:t>情形时，采购人可与排名下一位的中标候选人另行签订合同，或依法重新开展采购活动。</w:t>
      </w:r>
    </w:p>
    <w:p w14:paraId="50135679">
      <w:pPr>
        <w:pStyle w:val="5"/>
        <w:spacing w:before="0" w:after="0" w:line="240" w:lineRule="atLeast"/>
        <w:rPr>
          <w:rFonts w:hint="eastAsia" w:ascii="仿宋" w:hAnsi="仿宋" w:eastAsia="仿宋" w:cs="仿宋"/>
          <w:u w:val="none"/>
        </w:rPr>
      </w:pPr>
      <w:bookmarkStart w:id="205" w:name="_Toc22555"/>
      <w:bookmarkStart w:id="206" w:name="_Toc8505"/>
      <w:bookmarkStart w:id="207" w:name="_Toc515647793"/>
      <w:bookmarkStart w:id="208" w:name="_Toc14080"/>
      <w:r>
        <w:rPr>
          <w:rFonts w:hint="eastAsia" w:ascii="仿宋" w:hAnsi="仿宋" w:eastAsia="仿宋" w:cs="仿宋"/>
          <w:u w:val="none"/>
        </w:rPr>
        <w:t>31.履约保证金</w:t>
      </w:r>
      <w:bookmarkEnd w:id="205"/>
      <w:bookmarkEnd w:id="206"/>
      <w:bookmarkEnd w:id="207"/>
      <w:bookmarkEnd w:id="208"/>
    </w:p>
    <w:p w14:paraId="13DDBC7D">
      <w:pPr>
        <w:spacing w:line="240" w:lineRule="atLeast"/>
        <w:ind w:left="900" w:hanging="900" w:hangingChars="375"/>
        <w:rPr>
          <w:rFonts w:hint="eastAsia" w:ascii="仿宋" w:hAnsi="仿宋" w:eastAsia="仿宋" w:cs="仿宋"/>
          <w:sz w:val="24"/>
        </w:rPr>
      </w:pPr>
      <w:r>
        <w:rPr>
          <w:rFonts w:hint="eastAsia" w:ascii="仿宋" w:hAnsi="仿宋" w:eastAsia="仿宋" w:cs="仿宋"/>
          <w:sz w:val="24"/>
        </w:rPr>
        <w:t>31.1</w:t>
      </w:r>
      <w:r>
        <w:rPr>
          <w:rFonts w:hint="eastAsia" w:ascii="仿宋" w:hAnsi="仿宋" w:eastAsia="仿宋" w:cs="仿宋"/>
          <w:sz w:val="24"/>
        </w:rPr>
        <w:tab/>
      </w:r>
      <w:r>
        <w:rPr>
          <w:rFonts w:hint="eastAsia" w:ascii="仿宋" w:hAnsi="仿宋" w:eastAsia="仿宋" w:cs="仿宋"/>
          <w:sz w:val="24"/>
        </w:rPr>
        <w:t>中标人应按照</w:t>
      </w:r>
      <w:r>
        <w:rPr>
          <w:rFonts w:hint="eastAsia" w:ascii="仿宋" w:hAnsi="仿宋" w:eastAsia="仿宋" w:cs="仿宋"/>
          <w:sz w:val="24"/>
          <w:u w:val="single"/>
        </w:rPr>
        <w:t>投标人须知资料表</w:t>
      </w:r>
      <w:r>
        <w:rPr>
          <w:rFonts w:hint="eastAsia" w:ascii="仿宋" w:hAnsi="仿宋" w:eastAsia="仿宋" w:cs="仿宋"/>
          <w:sz w:val="24"/>
        </w:rPr>
        <w:t>规定向采购人缴纳履约保证金（如采用保函形式，格式见本章附件1）。</w:t>
      </w:r>
    </w:p>
    <w:p w14:paraId="6B67C8AD">
      <w:pPr>
        <w:spacing w:line="240" w:lineRule="atLeast"/>
        <w:ind w:left="900" w:hanging="900" w:hangingChars="375"/>
        <w:rPr>
          <w:rFonts w:hint="eastAsia" w:ascii="仿宋" w:hAnsi="仿宋" w:eastAsia="仿宋" w:cs="仿宋"/>
          <w:sz w:val="24"/>
        </w:rPr>
      </w:pPr>
      <w:r>
        <w:rPr>
          <w:rFonts w:hint="eastAsia" w:ascii="仿宋" w:hAnsi="仿宋" w:eastAsia="仿宋" w:cs="仿宋"/>
          <w:sz w:val="24"/>
        </w:rPr>
        <w:t>31.2</w:t>
      </w:r>
      <w:r>
        <w:rPr>
          <w:rFonts w:hint="eastAsia" w:ascii="仿宋" w:hAnsi="仿宋" w:eastAsia="仿宋" w:cs="仿宋"/>
          <w:sz w:val="24"/>
        </w:rPr>
        <w:tab/>
      </w:r>
      <w:r>
        <w:rPr>
          <w:rFonts w:hint="eastAsia" w:ascii="仿宋" w:hAnsi="仿宋" w:eastAsia="仿宋" w:cs="仿宋"/>
          <w:sz w:val="24"/>
        </w:rPr>
        <w:t>政府采购利用担保试点范围内的项目，除31.1规定的情形外，中标人也可以按照财政部门的规定，向采购人提供合格的履约担保函（格式见本章附件2）。</w:t>
      </w:r>
    </w:p>
    <w:p w14:paraId="73F6151D">
      <w:pPr>
        <w:spacing w:line="240" w:lineRule="atLeast"/>
        <w:ind w:left="900" w:hanging="900" w:hangingChars="375"/>
        <w:rPr>
          <w:rFonts w:hint="eastAsia" w:ascii="仿宋" w:hAnsi="仿宋" w:eastAsia="仿宋" w:cs="仿宋"/>
          <w:sz w:val="24"/>
        </w:rPr>
      </w:pPr>
      <w:r>
        <w:rPr>
          <w:rFonts w:hint="eastAsia" w:ascii="仿宋" w:hAnsi="仿宋" w:eastAsia="仿宋" w:cs="仿宋"/>
          <w:sz w:val="24"/>
        </w:rPr>
        <w:t>31.3   如果中标人没有按照上述履约保证金的规定执行，将视为放弃中标资格，中标人的投标保证金将不予退还。在此情况下，采购人可确定下一候选人为中标人，也可以重新开展采购活动。</w:t>
      </w:r>
    </w:p>
    <w:bookmarkEnd w:id="202"/>
    <w:bookmarkEnd w:id="203"/>
    <w:bookmarkEnd w:id="204"/>
    <w:p w14:paraId="252E43B1">
      <w:pPr>
        <w:pStyle w:val="5"/>
        <w:spacing w:before="0" w:after="0" w:line="240" w:lineRule="atLeast"/>
        <w:rPr>
          <w:rFonts w:hint="eastAsia" w:ascii="仿宋" w:hAnsi="仿宋" w:eastAsia="仿宋" w:cs="仿宋"/>
          <w:color w:val="auto"/>
          <w:highlight w:val="none"/>
          <w:u w:val="none"/>
        </w:rPr>
      </w:pPr>
      <w:bookmarkStart w:id="209" w:name="_Toc515647794"/>
      <w:bookmarkStart w:id="210" w:name="_Toc3090"/>
      <w:bookmarkStart w:id="211" w:name="_Toc29408"/>
      <w:bookmarkStart w:id="212" w:name="_Toc2138"/>
      <w:r>
        <w:rPr>
          <w:rFonts w:hint="eastAsia" w:ascii="仿宋" w:hAnsi="仿宋" w:eastAsia="仿宋" w:cs="仿宋"/>
          <w:color w:val="auto"/>
          <w:highlight w:val="none"/>
          <w:u w:val="none"/>
        </w:rPr>
        <w:t>32.中标服务费</w:t>
      </w:r>
      <w:bookmarkEnd w:id="209"/>
      <w:bookmarkEnd w:id="210"/>
      <w:bookmarkEnd w:id="211"/>
      <w:bookmarkEnd w:id="212"/>
    </w:p>
    <w:p w14:paraId="42D6F7C3">
      <w:pPr>
        <w:spacing w:line="240" w:lineRule="atLeast"/>
        <w:ind w:left="840" w:leftChars="200" w:hanging="420" w:hangingChars="1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中标人须按照</w:t>
      </w:r>
      <w:r>
        <w:rPr>
          <w:rFonts w:hint="eastAsia" w:ascii="仿宋" w:hAnsi="仿宋" w:eastAsia="仿宋" w:cs="仿宋"/>
          <w:color w:val="auto"/>
          <w:sz w:val="24"/>
          <w:highlight w:val="none"/>
          <w:u w:val="single"/>
        </w:rPr>
        <w:t>投标须知资料表</w:t>
      </w:r>
      <w:r>
        <w:rPr>
          <w:rFonts w:hint="eastAsia" w:ascii="仿宋" w:hAnsi="仿宋" w:eastAsia="仿宋" w:cs="仿宋"/>
          <w:color w:val="auto"/>
          <w:sz w:val="24"/>
          <w:highlight w:val="none"/>
        </w:rPr>
        <w:t>规定，向采购代理机构支付中标服务费。</w:t>
      </w:r>
    </w:p>
    <w:p w14:paraId="559652B4">
      <w:pPr>
        <w:pStyle w:val="5"/>
        <w:spacing w:before="0" w:after="0" w:line="240" w:lineRule="atLeast"/>
        <w:rPr>
          <w:rFonts w:hint="eastAsia" w:ascii="仿宋" w:hAnsi="仿宋" w:eastAsia="仿宋" w:cs="仿宋"/>
          <w:color w:val="auto"/>
          <w:highlight w:val="none"/>
          <w:u w:val="none"/>
        </w:rPr>
      </w:pPr>
      <w:bookmarkStart w:id="213" w:name="_Toc7049"/>
      <w:bookmarkStart w:id="214" w:name="_Toc515647795"/>
      <w:bookmarkStart w:id="215" w:name="_Toc6923"/>
      <w:bookmarkStart w:id="216" w:name="_Toc7567"/>
      <w:r>
        <w:rPr>
          <w:rFonts w:hint="eastAsia" w:ascii="仿宋" w:hAnsi="仿宋" w:eastAsia="仿宋" w:cs="仿宋"/>
          <w:color w:val="auto"/>
          <w:highlight w:val="none"/>
          <w:u w:val="none"/>
        </w:rPr>
        <w:t>33.政府采购信用担保</w:t>
      </w:r>
      <w:bookmarkEnd w:id="213"/>
      <w:bookmarkEnd w:id="214"/>
      <w:bookmarkEnd w:id="215"/>
      <w:bookmarkEnd w:id="216"/>
    </w:p>
    <w:p w14:paraId="02A57EE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33.1   本项目是否属于信用担保试点范围见</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w:t>
      </w:r>
    </w:p>
    <w:p w14:paraId="69065472">
      <w:pPr>
        <w:spacing w:line="240" w:lineRule="atLeast"/>
        <w:ind w:left="850" w:hanging="849" w:hangingChars="354"/>
        <w:rPr>
          <w:rFonts w:hint="eastAsia" w:ascii="仿宋" w:hAnsi="仿宋" w:eastAsia="仿宋" w:cs="仿宋"/>
          <w:color w:val="auto"/>
          <w:sz w:val="24"/>
          <w:highlight w:val="none"/>
        </w:rPr>
      </w:pPr>
      <w:r>
        <w:rPr>
          <w:rFonts w:hint="eastAsia" w:ascii="仿宋" w:hAnsi="仿宋" w:eastAsia="仿宋" w:cs="仿宋"/>
          <w:color w:val="auto"/>
          <w:sz w:val="24"/>
          <w:highlight w:val="none"/>
        </w:rPr>
        <w:t>33.2   如属于政府采购信用担保试点范围内，中小型企业投标人可以自由按照财政部门的规定，采用投标担保、履约担保和融资担保。</w:t>
      </w:r>
    </w:p>
    <w:p w14:paraId="44EDACD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33.2.1 投标人递交的投标担保函和履约担保函应符合本招标文件的规定。</w:t>
      </w:r>
    </w:p>
    <w:p w14:paraId="5E6D2F0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33.2.2 中标人可以采取融资担保的形式为政府采购项目履约进行融资。</w:t>
      </w:r>
    </w:p>
    <w:p w14:paraId="53EEA07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33.2.3 合格的政府采购专业信用担保机构名单见</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w:t>
      </w:r>
    </w:p>
    <w:p w14:paraId="79D43FF6">
      <w:pPr>
        <w:pStyle w:val="5"/>
        <w:spacing w:before="0" w:after="0" w:line="240" w:lineRule="atLeast"/>
        <w:rPr>
          <w:rFonts w:hint="eastAsia" w:ascii="仿宋" w:hAnsi="仿宋" w:eastAsia="仿宋" w:cs="仿宋"/>
          <w:color w:val="auto"/>
          <w:highlight w:val="none"/>
          <w:u w:val="none"/>
        </w:rPr>
      </w:pPr>
      <w:bookmarkStart w:id="217" w:name="_Toc23999"/>
      <w:bookmarkStart w:id="218" w:name="_Toc18681"/>
      <w:bookmarkStart w:id="219" w:name="_Toc2133"/>
      <w:bookmarkStart w:id="220" w:name="_Toc515647796"/>
      <w:r>
        <w:rPr>
          <w:rFonts w:hint="eastAsia" w:ascii="仿宋" w:hAnsi="仿宋" w:eastAsia="仿宋" w:cs="仿宋"/>
          <w:color w:val="auto"/>
          <w:highlight w:val="none"/>
          <w:u w:val="none"/>
        </w:rPr>
        <w:t>34.廉洁自律规定</w:t>
      </w:r>
      <w:bookmarkEnd w:id="217"/>
      <w:bookmarkEnd w:id="218"/>
      <w:bookmarkEnd w:id="219"/>
      <w:bookmarkEnd w:id="220"/>
    </w:p>
    <w:p w14:paraId="310F627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采购代理机构工作人员不得以不正当手段获取政府采购代理业务，不得与采购人、供应商恶意串通操纵政府采购活动。</w:t>
      </w:r>
    </w:p>
    <w:p w14:paraId="03B4E08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34.2   采购代理机构工作人员不得接受采购人或者供应商组织的宴请、旅游、娱乐，不得收受礼品、现金、有价证券等，不得向采购人或者供应商报销应当由个人承担的费用。</w:t>
      </w:r>
    </w:p>
    <w:p w14:paraId="5B688EF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34.3   为强化采购代理机构内部监督机制，供应商可按</w:t>
      </w:r>
      <w:r>
        <w:rPr>
          <w:rFonts w:hint="eastAsia" w:ascii="仿宋" w:hAnsi="仿宋" w:eastAsia="仿宋" w:cs="仿宋"/>
          <w:color w:val="auto"/>
          <w:sz w:val="24"/>
          <w:highlight w:val="none"/>
          <w:u w:val="single"/>
        </w:rPr>
        <w:t>投标人须知资料表中的</w:t>
      </w:r>
      <w:r>
        <w:rPr>
          <w:rFonts w:hint="eastAsia" w:ascii="仿宋" w:hAnsi="仿宋" w:eastAsia="仿宋" w:cs="仿宋"/>
          <w:color w:val="auto"/>
          <w:sz w:val="24"/>
          <w:highlight w:val="none"/>
        </w:rPr>
        <w:t>监督电话和邮箱，反映采购代理机构的廉洁自律等问题。</w:t>
      </w:r>
    </w:p>
    <w:p w14:paraId="2DE67301">
      <w:pPr>
        <w:pStyle w:val="5"/>
        <w:spacing w:before="0" w:after="0" w:line="240" w:lineRule="atLeast"/>
        <w:rPr>
          <w:rFonts w:hint="eastAsia" w:ascii="仿宋" w:hAnsi="仿宋" w:eastAsia="仿宋" w:cs="仿宋"/>
          <w:color w:val="auto"/>
          <w:highlight w:val="none"/>
          <w:u w:val="none"/>
        </w:rPr>
      </w:pPr>
      <w:bookmarkStart w:id="221" w:name="_Toc5647"/>
      <w:bookmarkStart w:id="222" w:name="_Toc25480"/>
      <w:bookmarkStart w:id="223" w:name="_Toc515647797"/>
      <w:bookmarkStart w:id="224" w:name="_Toc11586"/>
      <w:r>
        <w:rPr>
          <w:rFonts w:hint="eastAsia" w:ascii="仿宋" w:hAnsi="仿宋" w:eastAsia="仿宋" w:cs="仿宋"/>
          <w:color w:val="auto"/>
          <w:highlight w:val="none"/>
          <w:u w:val="none"/>
        </w:rPr>
        <w:t>35.人员回避</w:t>
      </w:r>
      <w:bookmarkEnd w:id="221"/>
      <w:bookmarkEnd w:id="222"/>
      <w:bookmarkEnd w:id="223"/>
      <w:bookmarkEnd w:id="224"/>
    </w:p>
    <w:p w14:paraId="1D34F2F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投标人认为采购人员及其相关人员有法律法规所列与其他供应商有利害关系的，可以向采购人或采购代理机构书面提出回避申请，并说明理由。</w:t>
      </w:r>
    </w:p>
    <w:p w14:paraId="0B234298">
      <w:pPr>
        <w:pStyle w:val="5"/>
        <w:spacing w:before="0" w:after="0" w:line="240" w:lineRule="atLeast"/>
        <w:rPr>
          <w:rFonts w:hint="eastAsia" w:ascii="仿宋" w:hAnsi="仿宋" w:eastAsia="仿宋" w:cs="仿宋"/>
          <w:color w:val="auto"/>
          <w:highlight w:val="none"/>
          <w:u w:val="none"/>
          <w:lang w:eastAsia="zh-CN"/>
        </w:rPr>
      </w:pPr>
      <w:bookmarkStart w:id="225" w:name="_Toc1148"/>
      <w:bookmarkStart w:id="226" w:name="_Toc11115"/>
      <w:bookmarkStart w:id="227" w:name="_Toc515647798"/>
      <w:bookmarkStart w:id="228" w:name="_Toc20353"/>
      <w:r>
        <w:rPr>
          <w:rFonts w:hint="eastAsia" w:ascii="仿宋" w:hAnsi="仿宋" w:eastAsia="仿宋" w:cs="仿宋"/>
          <w:color w:val="auto"/>
          <w:highlight w:val="none"/>
          <w:u w:val="none"/>
        </w:rPr>
        <w:t>36.质疑与</w:t>
      </w:r>
      <w:bookmarkEnd w:id="225"/>
      <w:bookmarkEnd w:id="226"/>
      <w:bookmarkEnd w:id="227"/>
      <w:r>
        <w:rPr>
          <w:rFonts w:hint="eastAsia" w:ascii="仿宋" w:hAnsi="仿宋" w:eastAsia="仿宋" w:cs="仿宋"/>
          <w:color w:val="auto"/>
          <w:highlight w:val="none"/>
          <w:u w:val="none"/>
          <w:lang w:eastAsia="zh-CN"/>
        </w:rPr>
        <w:t>投诉</w:t>
      </w:r>
      <w:bookmarkEnd w:id="228"/>
    </w:p>
    <w:p w14:paraId="3D03CC7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36.1  供应商认为采购文件、采购过程、中标或者成交结果使自己的权益受到损害的，可以在知道或者应知其权益受到损害之日起7个工作日内，以书面形式向采购人、采购代理机构提出质疑。</w:t>
      </w:r>
    </w:p>
    <w:p w14:paraId="6016225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供应商需在法定质疑期内一次性提出针对同一采购程序环节的质疑。</w:t>
      </w:r>
    </w:p>
    <w:p w14:paraId="3D8C700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36.2  提出质疑的供应商（以下简称质疑供应商）应当是参与所质疑项目采购活动的供应商。</w:t>
      </w:r>
    </w:p>
    <w:p w14:paraId="14C5853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潜在供应商已依法获取其可质疑的采购文件的，可以对该文件提出质疑。对采购文件提出质疑的，应当在获取采购文件或者采购文件公告期限届满之日起7个工作日内提出。</w:t>
      </w:r>
    </w:p>
    <w:p w14:paraId="7FC05FF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36.3</w:t>
      </w:r>
      <w:r>
        <w:rPr>
          <w:rFonts w:hint="eastAsia" w:ascii="仿宋" w:hAnsi="仿宋" w:eastAsia="仿宋" w:cs="仿宋"/>
          <w:color w:val="auto"/>
          <w:sz w:val="24"/>
          <w:highlight w:val="none"/>
        </w:rPr>
        <w:t>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w:t>
      </w:r>
    </w:p>
    <w:p w14:paraId="42B717F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代理人提出质疑和投诉，应当提交供应商签署的授权委托书。</w:t>
      </w:r>
    </w:p>
    <w:p w14:paraId="61AACCA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供应商提出质疑应当提交质疑函和必要的证明材料。质疑函应当包括下列内容：</w:t>
      </w:r>
    </w:p>
    <w:p w14:paraId="19925B1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（一）供应商的姓名或者名称、地址、邮编、联系人及联系电话；</w:t>
      </w:r>
    </w:p>
    <w:p w14:paraId="240491D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（二）质疑项目的名称、编号；</w:t>
      </w:r>
    </w:p>
    <w:p w14:paraId="24C6D2B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（三）具体、明确的质疑事项和与质疑事项相关的请求；</w:t>
      </w:r>
    </w:p>
    <w:p w14:paraId="125EE59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（四）事实依据；</w:t>
      </w:r>
    </w:p>
    <w:p w14:paraId="2959FEF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（五）必要的法律依据；</w:t>
      </w:r>
    </w:p>
    <w:p w14:paraId="44B214F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（六）提出质疑的日期。</w:t>
      </w:r>
    </w:p>
    <w:p w14:paraId="0F756442">
      <w:pPr>
        <w:spacing w:line="240" w:lineRule="auto"/>
        <w:ind w:left="480" w:hanging="480" w:hanging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供应商为自然人的，应当由本人签字；供应商为法人或者其他组织的，应当由法定代表人、主要负责人，或者其授权代表签字或者盖章，并加盖公章。</w:t>
      </w:r>
    </w:p>
    <w:p w14:paraId="3AA3E68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质疑的处理和答复</w:t>
      </w:r>
    </w:p>
    <w:p w14:paraId="32239A7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  采购人、采购代理机构不得拒收质疑供应商在法定质疑期内发出的质疑函，应当在收到质疑函后7个工作日内作出答复，并以书面形式通知质疑供应商和其他有关供应商。</w:t>
      </w:r>
    </w:p>
    <w:p w14:paraId="1C3A2A5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 供应商对评审过程、中标或者成交结果提出质疑的，采购人、采购代理机构可以组织原评标委员会、竞争性谈判小组、询价小组或者竞争性磋商小组协助答复质疑。</w:t>
      </w:r>
    </w:p>
    <w:p w14:paraId="279DAA6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 xml:space="preserve">  采购人、采购代理机构认为供应商质疑不成立，或者成立但未对中标、成交结果构成影响的，继续开展采购活动；认为供应商质疑成立且影响或者可能影响中标、成交结果的，按照下列情况处理：</w:t>
      </w:r>
    </w:p>
    <w:p w14:paraId="49AE8F0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（一）对采购文件提出的质疑，依法通过澄清或者修改可以继续开展采购活动的，澄清或者修改采购文件后继续开展采购活动；否则应当修改采购文件后重新开展采购活动。</w:t>
      </w:r>
    </w:p>
    <w:p w14:paraId="5782B53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对采购过程、中标或者成交结果提出的质疑，合格供应商符合法定数量时，可以从合格的中标或者成交候选人中另行确定中标、成交供应商的，应当依法另行确定中标、成交供应商；否则应当重新开展采购活动。</w:t>
      </w:r>
    </w:p>
    <w:p w14:paraId="7EBE800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质疑答复导致中标、成交结果改变的，采购人或者采购代理机构应当将有关情况书面报告本级财政部门。</w:t>
      </w:r>
    </w:p>
    <w:p w14:paraId="2CF3FC3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质疑答复应当包括下列内容：</w:t>
      </w:r>
    </w:p>
    <w:p w14:paraId="53B8C7D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（一）质疑供应商的姓名或者名称；</w:t>
      </w:r>
    </w:p>
    <w:p w14:paraId="69A8533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（二）收到质疑函的日期、质疑项目名称及编号；</w:t>
      </w:r>
    </w:p>
    <w:p w14:paraId="7C9809A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（三）质疑事项、质疑答复的具体内容、事实依据和法律依据；</w:t>
      </w:r>
    </w:p>
    <w:p w14:paraId="3F8FAB4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（四）告知质疑供应商依法投诉的权利；</w:t>
      </w:r>
    </w:p>
    <w:p w14:paraId="407300D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（五）质疑答复人名称；</w:t>
      </w:r>
    </w:p>
    <w:p w14:paraId="566B9C9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（六）答复质疑的日期。</w:t>
      </w:r>
    </w:p>
    <w:p w14:paraId="2DE75FD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质疑答复的内容不得涉及商业秘密。</w:t>
      </w:r>
    </w:p>
    <w:p w14:paraId="41D28948">
      <w:pPr>
        <w:rPr>
          <w:rFonts w:ascii="仿宋" w:hAnsi="仿宋" w:eastAsia="仿宋" w:cs="仿宋"/>
          <w:b/>
          <w:bCs/>
          <w:sz w:val="24"/>
        </w:rPr>
      </w:pPr>
      <w:r>
        <w:rPr>
          <w:rFonts w:hint="eastAsia" w:ascii="仿宋" w:hAnsi="仿宋" w:eastAsia="仿宋" w:cs="仿宋"/>
          <w:b/>
          <w:bCs/>
          <w:sz w:val="24"/>
        </w:rPr>
        <w:t>质疑函范本</w:t>
      </w:r>
    </w:p>
    <w:p w14:paraId="135C92E9">
      <w:pPr>
        <w:spacing w:line="240" w:lineRule="atLeast"/>
        <w:ind w:left="900" w:hanging="900" w:hangingChars="375"/>
        <w:rPr>
          <w:rFonts w:ascii="仿宋" w:hAnsi="仿宋" w:eastAsia="仿宋" w:cs="仿宋"/>
          <w:sz w:val="24"/>
        </w:rPr>
      </w:pPr>
      <w:r>
        <w:rPr>
          <w:rFonts w:hint="eastAsia" w:ascii="仿宋" w:hAnsi="仿宋" w:eastAsia="仿宋" w:cs="仿宋"/>
          <w:sz w:val="24"/>
        </w:rPr>
        <w:t>一、质疑供应商基本信息</w:t>
      </w:r>
    </w:p>
    <w:p w14:paraId="7639C7CB">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质疑供应商：.......................                                        </w:t>
      </w:r>
    </w:p>
    <w:p w14:paraId="45D97FC4">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地址：...................             邮编：................                                                   </w:t>
      </w:r>
    </w:p>
    <w:p w14:paraId="023D2F8B">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联系人：................              联系电话：................                             </w:t>
      </w:r>
    </w:p>
    <w:p w14:paraId="342A3B5D">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授权代表：................                                          </w:t>
      </w:r>
    </w:p>
    <w:p w14:paraId="18EFA2D8">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联系电话：................                                            </w:t>
      </w:r>
    </w:p>
    <w:p w14:paraId="412B049E">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地址： ................               邮编：................                                                </w:t>
      </w:r>
    </w:p>
    <w:p w14:paraId="571FB6F5">
      <w:pPr>
        <w:spacing w:line="240" w:lineRule="atLeast"/>
        <w:ind w:left="900" w:hanging="900" w:hangingChars="375"/>
        <w:rPr>
          <w:rFonts w:ascii="仿宋" w:hAnsi="仿宋" w:eastAsia="仿宋" w:cs="仿宋"/>
          <w:sz w:val="24"/>
        </w:rPr>
      </w:pPr>
      <w:r>
        <w:rPr>
          <w:rFonts w:hint="eastAsia" w:ascii="仿宋" w:hAnsi="仿宋" w:eastAsia="仿宋" w:cs="仿宋"/>
          <w:sz w:val="24"/>
        </w:rPr>
        <w:t>二、质疑项目基本情况</w:t>
      </w:r>
    </w:p>
    <w:p w14:paraId="3452E025">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质疑项目的名称：................                                      </w:t>
      </w:r>
    </w:p>
    <w:p w14:paraId="26D7D733">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质疑项目的编号：................      包号：................                 </w:t>
      </w:r>
    </w:p>
    <w:p w14:paraId="07431DA8">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采购人名称：...................                                         </w:t>
      </w:r>
    </w:p>
    <w:p w14:paraId="7FD89CDC">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采购文件获取日期：................                                        </w:t>
      </w:r>
    </w:p>
    <w:p w14:paraId="02D33DED">
      <w:pPr>
        <w:spacing w:line="240" w:lineRule="atLeast"/>
        <w:ind w:left="900" w:hanging="900" w:hangingChars="375"/>
        <w:rPr>
          <w:rFonts w:ascii="仿宋" w:hAnsi="仿宋" w:eastAsia="仿宋" w:cs="仿宋"/>
          <w:sz w:val="24"/>
        </w:rPr>
      </w:pPr>
      <w:r>
        <w:rPr>
          <w:rFonts w:hint="eastAsia" w:ascii="仿宋" w:hAnsi="仿宋" w:eastAsia="仿宋" w:cs="仿宋"/>
          <w:sz w:val="24"/>
        </w:rPr>
        <w:t>三、质疑事项具体内容</w:t>
      </w:r>
    </w:p>
    <w:p w14:paraId="5397F50B">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质疑事项1：................                                           </w:t>
      </w:r>
    </w:p>
    <w:p w14:paraId="7A5897D9">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事实依据： ................                                           </w:t>
      </w:r>
    </w:p>
    <w:p w14:paraId="3A253E6F">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                                                     </w:t>
      </w:r>
    </w:p>
    <w:p w14:paraId="2D1E3848">
      <w:pPr>
        <w:spacing w:line="240" w:lineRule="atLeast"/>
        <w:ind w:left="900" w:hanging="900" w:hangingChars="375"/>
        <w:rPr>
          <w:rFonts w:ascii="仿宋" w:hAnsi="仿宋" w:eastAsia="仿宋" w:cs="仿宋"/>
          <w:sz w:val="24"/>
        </w:rPr>
      </w:pPr>
    </w:p>
    <w:p w14:paraId="620226A3">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法律依据：................                                            </w:t>
      </w:r>
    </w:p>
    <w:p w14:paraId="32CCE1E7">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w:t>
      </w:r>
    </w:p>
    <w:p w14:paraId="18859F59">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质疑事项2................  </w:t>
      </w:r>
    </w:p>
    <w:p w14:paraId="3A6361D1">
      <w:pPr>
        <w:pStyle w:val="27"/>
      </w:pPr>
    </w:p>
    <w:p w14:paraId="16AC74CB">
      <w:pPr>
        <w:spacing w:line="240" w:lineRule="atLeast"/>
        <w:ind w:left="900" w:hanging="900" w:hangingChars="375"/>
        <w:rPr>
          <w:rFonts w:ascii="仿宋" w:hAnsi="仿宋" w:eastAsia="仿宋" w:cs="仿宋"/>
          <w:sz w:val="24"/>
        </w:rPr>
      </w:pPr>
      <w:r>
        <w:rPr>
          <w:rFonts w:hint="eastAsia" w:ascii="仿宋" w:hAnsi="仿宋" w:eastAsia="仿宋" w:cs="仿宋"/>
          <w:sz w:val="24"/>
        </w:rPr>
        <w:t>四、与质疑事项相关的质疑请求</w:t>
      </w:r>
    </w:p>
    <w:p w14:paraId="4FBCDF7F">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请求：................ </w:t>
      </w:r>
    </w:p>
    <w:p w14:paraId="71DC7C5C">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w:t>
      </w:r>
    </w:p>
    <w:p w14:paraId="5AE397EA">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签字(签章)：                   公章：                      </w:t>
      </w:r>
    </w:p>
    <w:p w14:paraId="721FF764">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日期：    </w:t>
      </w:r>
    </w:p>
    <w:p w14:paraId="351415AC">
      <w:pPr>
        <w:spacing w:line="240" w:lineRule="atLeast"/>
        <w:ind w:left="900" w:hanging="900" w:hangingChars="375"/>
        <w:rPr>
          <w:rFonts w:hint="eastAsia" w:ascii="仿宋" w:hAnsi="仿宋" w:eastAsia="仿宋" w:cs="仿宋"/>
          <w:color w:val="auto"/>
          <w:sz w:val="24"/>
          <w:highlight w:val="none"/>
        </w:rPr>
      </w:pPr>
    </w:p>
    <w:p w14:paraId="6967046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36.10</w:t>
      </w:r>
      <w:r>
        <w:rPr>
          <w:rFonts w:hint="eastAsia" w:ascii="仿宋" w:hAnsi="仿宋" w:eastAsia="仿宋" w:cs="仿宋"/>
          <w:color w:val="auto"/>
          <w:sz w:val="24"/>
          <w:highlight w:val="none"/>
        </w:rPr>
        <w:t>质疑供应商对采购人、采购代理机构的答复不满意，或者采购人、采购代理机构未在规定时间内作出答复的，可以在答复期满后15个工作日内向财政部门提起投诉。</w:t>
      </w:r>
    </w:p>
    <w:p w14:paraId="48AC806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36.11</w:t>
      </w:r>
      <w:r>
        <w:rPr>
          <w:rFonts w:hint="eastAsia" w:ascii="仿宋" w:hAnsi="仿宋" w:eastAsia="仿宋" w:cs="仿宋"/>
          <w:color w:val="auto"/>
          <w:sz w:val="24"/>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24177AD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（一）投诉人和被投诉人的姓名或者名称、通讯地址、邮编、联系人及联系电话；</w:t>
      </w:r>
    </w:p>
    <w:p w14:paraId="3ED15A74">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（二）质疑和质疑答复情况说明及相关证明材料；</w:t>
      </w:r>
    </w:p>
    <w:p w14:paraId="7E5768C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（三）具体、明确的投诉事项和与投诉事项相关的投诉请求；</w:t>
      </w:r>
    </w:p>
    <w:p w14:paraId="377EA97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（四）事实依据；</w:t>
      </w:r>
    </w:p>
    <w:p w14:paraId="1DF9434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（五）法律依据；</w:t>
      </w:r>
    </w:p>
    <w:p w14:paraId="283FF64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（六）提起投诉的日期。</w:t>
      </w:r>
    </w:p>
    <w:p w14:paraId="6098D15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投诉人为自然人的，应当由本人签字；投诉人为法人或者其他组织的，应当由法定代表人、主要负责人，或者其授权代表签字或者盖章，并加盖公章。</w:t>
      </w:r>
    </w:p>
    <w:p w14:paraId="2E734BF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36.12</w:t>
      </w:r>
      <w:r>
        <w:rPr>
          <w:rFonts w:hint="eastAsia" w:ascii="仿宋" w:hAnsi="仿宋" w:eastAsia="仿宋" w:cs="仿宋"/>
          <w:color w:val="auto"/>
          <w:sz w:val="24"/>
          <w:highlight w:val="none"/>
        </w:rPr>
        <w:t>投诉人应当根据</w:t>
      </w:r>
      <w:r>
        <w:rPr>
          <w:rFonts w:hint="eastAsia" w:ascii="仿宋" w:hAnsi="仿宋" w:eastAsia="仿宋" w:cs="仿宋"/>
          <w:color w:val="auto"/>
          <w:sz w:val="24"/>
          <w:highlight w:val="none"/>
          <w:lang w:eastAsia="zh-CN"/>
        </w:rPr>
        <w:t>《政府采购质疑与投诉</w:t>
      </w:r>
      <w:r>
        <w:rPr>
          <w:rFonts w:hint="eastAsia" w:ascii="仿宋" w:hAnsi="仿宋" w:eastAsia="仿宋" w:cs="仿宋"/>
          <w:color w:val="auto"/>
          <w:sz w:val="24"/>
          <w:highlight w:val="none"/>
        </w:rPr>
        <w:t>办法</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第七条第二款规定的信息内容，并按照其规定的方式提起投诉。</w:t>
      </w:r>
    </w:p>
    <w:p w14:paraId="2CB33C6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投诉人提起投诉应当符合下列条件：</w:t>
      </w:r>
    </w:p>
    <w:p w14:paraId="2E16934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（一）提起投诉前已依法进行质疑；</w:t>
      </w:r>
    </w:p>
    <w:p w14:paraId="4F346EF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（二）投诉书内容符合本办法的规定；</w:t>
      </w:r>
    </w:p>
    <w:p w14:paraId="524BB8A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（三）在投诉有效期限内提起投诉；</w:t>
      </w:r>
    </w:p>
    <w:p w14:paraId="0EDBACF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（四）同一投诉事项未经财政部门投诉处理；</w:t>
      </w:r>
    </w:p>
    <w:p w14:paraId="434BF4D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（五）财政部规定的其他条件。</w:t>
      </w:r>
    </w:p>
    <w:p w14:paraId="3E8C764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36.13</w:t>
      </w:r>
      <w:r>
        <w:rPr>
          <w:rFonts w:hint="eastAsia" w:ascii="仿宋" w:hAnsi="仿宋" w:eastAsia="仿宋" w:cs="仿宋"/>
          <w:color w:val="auto"/>
          <w:sz w:val="24"/>
          <w:highlight w:val="none"/>
        </w:rPr>
        <w:t>供应商投诉的事项不得超出已质疑事项的范围，但基于质疑答复内容提出的投诉事项除外。</w:t>
      </w:r>
    </w:p>
    <w:p w14:paraId="247D9B7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36.14</w:t>
      </w:r>
      <w:r>
        <w:rPr>
          <w:rFonts w:hint="eastAsia" w:ascii="仿宋" w:hAnsi="仿宋" w:eastAsia="仿宋" w:cs="仿宋"/>
          <w:color w:val="auto"/>
          <w:sz w:val="24"/>
          <w:highlight w:val="none"/>
        </w:rPr>
        <w:t>投诉处理</w:t>
      </w:r>
    </w:p>
    <w:p w14:paraId="1B2EF59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36.15</w:t>
      </w:r>
      <w:r>
        <w:rPr>
          <w:rFonts w:hint="eastAsia" w:ascii="仿宋" w:hAnsi="仿宋" w:eastAsia="仿宋" w:cs="仿宋"/>
          <w:color w:val="auto"/>
          <w:sz w:val="24"/>
          <w:highlight w:val="none"/>
        </w:rPr>
        <w:t>财政部门收到投诉书后，应当在5个工作日内进行审查，审查后按照下列情况处理：</w:t>
      </w:r>
    </w:p>
    <w:p w14:paraId="2CB60ED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（一）投诉书内容不符合</w:t>
      </w:r>
      <w:r>
        <w:rPr>
          <w:rFonts w:hint="eastAsia" w:ascii="仿宋" w:hAnsi="仿宋" w:eastAsia="仿宋" w:cs="仿宋"/>
          <w:color w:val="auto"/>
          <w:sz w:val="24"/>
          <w:highlight w:val="none"/>
          <w:lang w:eastAsia="zh-CN"/>
        </w:rPr>
        <w:t>《政府采购质疑与投诉</w:t>
      </w:r>
      <w:r>
        <w:rPr>
          <w:rFonts w:hint="eastAsia" w:ascii="仿宋" w:hAnsi="仿宋" w:eastAsia="仿宋" w:cs="仿宋"/>
          <w:color w:val="auto"/>
          <w:sz w:val="24"/>
          <w:highlight w:val="none"/>
        </w:rPr>
        <w:t>办法</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第十八条规定的，应当在收到投诉书5个工作日内一次性书面通知投诉人补正。补正通知应当载明需要补正的事项和合理的补正期限。未按照补正期限进行补正或者补正后仍不符合规定的，不予受理。</w:t>
      </w:r>
    </w:p>
    <w:p w14:paraId="2719E4D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（二）投诉不符合本办法第十九条规定条件的，应当在3个工作日内书面告知投诉人不予受理，并说明理由。</w:t>
      </w:r>
    </w:p>
    <w:p w14:paraId="034903D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（三）投诉不属于本部门管辖的，应当在3个工作日内书面告知投诉人向有管辖权的部门提起投诉。</w:t>
      </w:r>
    </w:p>
    <w:p w14:paraId="40F868FC">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（四）投诉符合</w:t>
      </w:r>
      <w:r>
        <w:rPr>
          <w:rFonts w:hint="eastAsia" w:ascii="仿宋" w:hAnsi="仿宋" w:eastAsia="仿宋" w:cs="仿宋"/>
          <w:color w:val="auto"/>
          <w:sz w:val="24"/>
          <w:highlight w:val="none"/>
          <w:lang w:eastAsia="zh-CN"/>
        </w:rPr>
        <w:t>《政府采购质疑与投诉</w:t>
      </w:r>
      <w:r>
        <w:rPr>
          <w:rFonts w:hint="eastAsia" w:ascii="仿宋" w:hAnsi="仿宋" w:eastAsia="仿宋" w:cs="仿宋"/>
          <w:color w:val="auto"/>
          <w:sz w:val="24"/>
          <w:highlight w:val="none"/>
        </w:rPr>
        <w:t>办法</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第十八条、第十九条规定的，自收到投诉书之日起即为受理，并在收到投诉后8个工作日内向被投诉人和其他与投诉事项有关的当事人发出投诉答复通知书及投诉书副本。</w:t>
      </w:r>
    </w:p>
    <w:p w14:paraId="11C8651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36.16</w:t>
      </w:r>
      <w:r>
        <w:rPr>
          <w:rFonts w:hint="eastAsia" w:ascii="仿宋" w:hAnsi="仿宋" w:eastAsia="仿宋" w:cs="仿宋"/>
          <w:color w:val="auto"/>
          <w:sz w:val="24"/>
          <w:highlight w:val="none"/>
        </w:rPr>
        <w:t>被投诉人和其他与投诉事项有关的当事人应当在收到投诉答复通知书及投诉书副本之日起5个工作日内，以书面形式向财政部门作出说明，并提交相关证据、依据和其他有关材料。</w:t>
      </w:r>
    </w:p>
    <w:p w14:paraId="4815284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36.17</w:t>
      </w:r>
      <w:r>
        <w:rPr>
          <w:rFonts w:hint="eastAsia" w:ascii="仿宋" w:hAnsi="仿宋" w:eastAsia="仿宋" w:cs="仿宋"/>
          <w:color w:val="auto"/>
          <w:sz w:val="24"/>
          <w:highlight w:val="none"/>
        </w:rPr>
        <w:t xml:space="preserve"> 财政部门处理投诉事项原则上采用书面审查的方式。财政部门认为有必要时，可以进行调查取证或者组织质证。</w:t>
      </w:r>
    </w:p>
    <w:p w14:paraId="641E0BC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财政部门可以根据法律、法规规定或者职责权限，委托相关单位或者第三方开展调查取证、检验、检测、鉴定。</w:t>
      </w:r>
    </w:p>
    <w:p w14:paraId="5F8FCD7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质证应当通知相关当事人到场，并制作质证笔录。质证笔录应当由当事人签字确认。</w:t>
      </w:r>
    </w:p>
    <w:p w14:paraId="027B20E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36.18</w:t>
      </w:r>
      <w:r>
        <w:rPr>
          <w:rFonts w:hint="eastAsia" w:ascii="仿宋" w:hAnsi="仿宋" w:eastAsia="仿宋" w:cs="仿宋"/>
          <w:color w:val="auto"/>
          <w:sz w:val="24"/>
          <w:highlight w:val="none"/>
        </w:rPr>
        <w:t xml:space="preserve"> 财政部门依法进行调查取证时，投诉人、被投诉人以及与投诉事项有关的单位及人员应当如实反映情况，并提供财政部门所需要的相关材料。</w:t>
      </w:r>
    </w:p>
    <w:p w14:paraId="0BD3883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36.19</w:t>
      </w:r>
      <w:r>
        <w:rPr>
          <w:rFonts w:hint="eastAsia" w:ascii="仿宋" w:hAnsi="仿宋" w:eastAsia="仿宋" w:cs="仿宋"/>
          <w:color w:val="auto"/>
          <w:sz w:val="24"/>
          <w:highlight w:val="none"/>
        </w:rPr>
        <w:t xml:space="preserve"> 应当由投诉人承担举证责任的投诉事项，投诉人未提供相关证据、依据和其他有关材料的，视为该投诉事项不成立；被投诉人未按照投诉答复通知书要求提交相关证据、依据和其他有关材料的，视同其放弃说明权利，依法承担不利后果。</w:t>
      </w:r>
    </w:p>
    <w:p w14:paraId="6087778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36.20</w:t>
      </w:r>
      <w:r>
        <w:rPr>
          <w:rFonts w:hint="eastAsia" w:ascii="仿宋" w:hAnsi="仿宋" w:eastAsia="仿宋" w:cs="仿宋"/>
          <w:color w:val="auto"/>
          <w:sz w:val="24"/>
          <w:highlight w:val="none"/>
        </w:rPr>
        <w:t>财政部门应当自收到投诉之日起30个工作日内，对投诉事项作出处理决定。</w:t>
      </w:r>
    </w:p>
    <w:p w14:paraId="58CE435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36.21</w:t>
      </w:r>
      <w:r>
        <w:rPr>
          <w:rFonts w:hint="eastAsia" w:ascii="仿宋" w:hAnsi="仿宋" w:eastAsia="仿宋" w:cs="仿宋"/>
          <w:color w:val="auto"/>
          <w:sz w:val="24"/>
          <w:highlight w:val="none"/>
        </w:rPr>
        <w:t xml:space="preserve"> 财政部门处理投诉事项，需要检验、检测、鉴定、专家评审以及需要投诉人补正材料的，所需时间不计算在投诉处理期限内。</w:t>
      </w:r>
    </w:p>
    <w:p w14:paraId="3089417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前款所称所需时间，是指财政部门向相关单位、第三方、投诉人发出相关文书、补正通知之日至收到相关反馈文书或材料之日。</w:t>
      </w:r>
    </w:p>
    <w:p w14:paraId="311B4F9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财政部门向相关单位、第三方开展检验、检测、鉴定、专家评审的，应当将所需时间告知投诉人。</w:t>
      </w:r>
    </w:p>
    <w:p w14:paraId="5C3733A2">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36.22</w:t>
      </w:r>
      <w:r>
        <w:rPr>
          <w:rFonts w:hint="eastAsia" w:ascii="仿宋" w:hAnsi="仿宋" w:eastAsia="仿宋" w:cs="仿宋"/>
          <w:color w:val="auto"/>
          <w:sz w:val="24"/>
          <w:highlight w:val="none"/>
        </w:rPr>
        <w:t xml:space="preserve"> 财政部门在处理投诉事项期间，可以视具体情况书面通知采购人和采购代理机构暂停采购活动，暂停采购活动时间最长不得超过30日。</w:t>
      </w:r>
    </w:p>
    <w:p w14:paraId="2763C80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采购人和采购代理机构收到暂停采购活动通知后应当立即中止采购活动，在法定的暂停期限结束前或者财政部门发出恢复采购活动通知前，不得进行该项采购活动。</w:t>
      </w:r>
    </w:p>
    <w:p w14:paraId="39CB8AD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36.23</w:t>
      </w:r>
      <w:r>
        <w:rPr>
          <w:rFonts w:hint="eastAsia" w:ascii="仿宋" w:hAnsi="仿宋" w:eastAsia="仿宋" w:cs="仿宋"/>
          <w:color w:val="auto"/>
          <w:sz w:val="24"/>
          <w:highlight w:val="none"/>
        </w:rPr>
        <w:t xml:space="preserve"> 投诉处理过程中，有下列情形之一的，财政部门应当驳回投诉：</w:t>
      </w:r>
    </w:p>
    <w:p w14:paraId="03D04DCF">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（一）受理后发现投诉不符合法定受理条件；</w:t>
      </w:r>
    </w:p>
    <w:p w14:paraId="58CEC05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（二）投诉事项缺乏事实依据，投诉事项不成立；</w:t>
      </w:r>
    </w:p>
    <w:p w14:paraId="254B5E70">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（三）投诉人捏造事实或者提供虚假材料；</w:t>
      </w:r>
    </w:p>
    <w:p w14:paraId="23A3631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（四）投诉人以非法手段取得证明材料。证据来源的合法性存在明显疑问，投诉人无法证明其取得方式合法的，视为以非法手段取得证明材料。</w:t>
      </w:r>
    </w:p>
    <w:p w14:paraId="7CC1025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36.24</w:t>
      </w:r>
      <w:r>
        <w:rPr>
          <w:rFonts w:hint="eastAsia" w:ascii="仿宋" w:hAnsi="仿宋" w:eastAsia="仿宋" w:cs="仿宋"/>
          <w:color w:val="auto"/>
          <w:sz w:val="24"/>
          <w:highlight w:val="none"/>
        </w:rPr>
        <w:t xml:space="preserve"> 财政部门受理投诉后,投诉人书面申请撤回投诉的，财政部门应当终止投诉处理程序，并书面告知相关当事人。</w:t>
      </w:r>
    </w:p>
    <w:p w14:paraId="7285A287">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36.25</w:t>
      </w:r>
      <w:r>
        <w:rPr>
          <w:rFonts w:hint="eastAsia" w:ascii="仿宋" w:hAnsi="仿宋" w:eastAsia="仿宋" w:cs="仿宋"/>
          <w:color w:val="auto"/>
          <w:sz w:val="24"/>
          <w:highlight w:val="none"/>
        </w:rPr>
        <w:t xml:space="preserve"> 投诉人对采购文件提起的投诉事项，财政部门经查证属实的，应当认定投诉事项成立。经认定成立的投诉事项不影响采购结果的，继续开展采购活动；影响或者可能影响采购结果的，财政部门按照下列情况处理：</w:t>
      </w:r>
    </w:p>
    <w:p w14:paraId="16E7C93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（一）未确定中标或者成交供应商的，责令重新开展采购活动。</w:t>
      </w:r>
    </w:p>
    <w:p w14:paraId="0C187B2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（二）已确定中标或者成交供应商但尚未签订政府采购合同的，认定中标或者成交结果无效，责令重新开展采购活动。</w:t>
      </w:r>
    </w:p>
    <w:p w14:paraId="59400E8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（三）政府采购合同已经签订但尚未履行的，撤销合同，责令重新开展采购活动。</w:t>
      </w:r>
    </w:p>
    <w:p w14:paraId="6AE46D3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（四）政府采购合同已经履行，给他人造成损失的，相关当事人可依法提起诉讼，由责任人承担赔偿责任。</w:t>
      </w:r>
    </w:p>
    <w:p w14:paraId="3E84C7B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36.26</w:t>
      </w:r>
      <w:r>
        <w:rPr>
          <w:rFonts w:hint="eastAsia" w:ascii="仿宋" w:hAnsi="仿宋" w:eastAsia="仿宋" w:cs="仿宋"/>
          <w:color w:val="auto"/>
          <w:sz w:val="24"/>
          <w:highlight w:val="none"/>
        </w:rPr>
        <w:t>投诉人对采购过程或者采购结果提起的投诉事项，财政部门经查证属实的，应当认定投诉事项成立。经认定成立的投诉事项不影响采购结果的，继续开展采购活动；影响或者可能影响采购结果的，财政部门按照下列情况处理：</w:t>
      </w:r>
    </w:p>
    <w:p w14:paraId="73DD089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（一）未确定中标或者成交供应商的，责令重新开展采购活动。</w:t>
      </w:r>
    </w:p>
    <w:p w14:paraId="0C99035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二）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7B9C5985">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三）政府采购合同已经签订但尚未履行的，撤销合同。合格供应商符合法定数量时，可以从合格的中标或者成交候选人中另行确定中标或者成交供应商的，应当要求采购人依法另行确定中标、成交供应商；否则责令重新开展采购活动。</w:t>
      </w:r>
    </w:p>
    <w:p w14:paraId="2CC7AB2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（四）政府采购合同已经履行，给他人造成损失的，相关当事人可依法提起诉讼,由责任人承担赔偿责任。</w:t>
      </w:r>
    </w:p>
    <w:p w14:paraId="6592172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投诉人对废标行为提起的投诉事项成立的，财政部门应当认定废标行为无效。</w:t>
      </w:r>
    </w:p>
    <w:p w14:paraId="42FDFFCD">
      <w:pPr>
        <w:pStyle w:val="4"/>
        <w:spacing w:before="0" w:line="240" w:lineRule="atLeast"/>
        <w:jc w:val="both"/>
        <w:rPr>
          <w:rFonts w:hint="eastAsia" w:ascii="仿宋" w:hAnsi="仿宋" w:eastAsia="仿宋" w:cs="仿宋"/>
          <w:color w:val="auto"/>
          <w:szCs w:val="24"/>
          <w:highlight w:val="none"/>
        </w:rPr>
      </w:pPr>
      <w:r>
        <w:rPr>
          <w:rFonts w:hint="eastAsia" w:ascii="仿宋" w:hAnsi="仿宋" w:eastAsia="仿宋" w:cs="仿宋"/>
          <w:color w:val="auto"/>
          <w:sz w:val="24"/>
          <w:highlight w:val="none"/>
        </w:rPr>
        <w:br w:type="page"/>
      </w:r>
      <w:bookmarkStart w:id="229" w:name="_Toc21748"/>
      <w:bookmarkStart w:id="230" w:name="_Toc16186"/>
      <w:bookmarkStart w:id="231" w:name="_Toc515647799"/>
      <w:bookmarkStart w:id="232" w:name="_Toc21756"/>
      <w:bookmarkStart w:id="233" w:name="_Toc9814"/>
      <w:r>
        <w:rPr>
          <w:rFonts w:hint="eastAsia" w:ascii="仿宋" w:hAnsi="仿宋" w:eastAsia="仿宋" w:cs="仿宋"/>
          <w:color w:val="auto"/>
          <w:szCs w:val="24"/>
          <w:highlight w:val="none"/>
        </w:rPr>
        <w:t>附件1：履约保证金保函（格式）</w:t>
      </w:r>
      <w:bookmarkEnd w:id="229"/>
      <w:bookmarkEnd w:id="230"/>
      <w:bookmarkEnd w:id="231"/>
      <w:bookmarkEnd w:id="232"/>
      <w:bookmarkEnd w:id="233"/>
    </w:p>
    <w:p w14:paraId="1C3AA025">
      <w:pPr>
        <w:spacing w:line="240" w:lineRule="atLeast"/>
        <w:ind w:left="900" w:hanging="787" w:hangingChars="375"/>
        <w:rPr>
          <w:rFonts w:hint="eastAsia" w:ascii="仿宋" w:hAnsi="仿宋" w:eastAsia="仿宋" w:cs="仿宋"/>
          <w:color w:val="auto"/>
          <w:szCs w:val="24"/>
          <w:highlight w:val="none"/>
        </w:rPr>
      </w:pPr>
    </w:p>
    <w:p w14:paraId="5BA3AE75">
      <w:pPr>
        <w:pStyle w:val="17"/>
        <w:spacing w:line="240" w:lineRule="atLeast"/>
        <w:ind w:left="1079" w:leftChars="257" w:hanging="54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（中标后开具）</w:t>
      </w:r>
    </w:p>
    <w:p w14:paraId="709A84E8">
      <w:pPr>
        <w:pStyle w:val="17"/>
        <w:spacing w:line="240" w:lineRule="atLeast"/>
        <w:ind w:left="1079" w:leftChars="257" w:hanging="540"/>
        <w:rPr>
          <w:rFonts w:hint="eastAsia" w:ascii="仿宋" w:hAnsi="仿宋" w:eastAsia="仿宋" w:cs="仿宋"/>
          <w:b/>
          <w:color w:val="auto"/>
          <w:sz w:val="24"/>
          <w:highlight w:val="none"/>
        </w:rPr>
      </w:pPr>
    </w:p>
    <w:p w14:paraId="511FFE6C">
      <w:pPr>
        <w:pStyle w:val="17"/>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致: (</w:t>
      </w:r>
      <w:r>
        <w:rPr>
          <w:rFonts w:hint="eastAsia" w:ascii="仿宋" w:hAnsi="仿宋" w:eastAsia="仿宋" w:cs="仿宋"/>
          <w:i/>
          <w:color w:val="auto"/>
          <w:sz w:val="24"/>
          <w:highlight w:val="none"/>
          <w:u w:val="single"/>
        </w:rPr>
        <w:t>买方名称</w:t>
      </w:r>
      <w:r>
        <w:rPr>
          <w:rFonts w:hint="eastAsia" w:ascii="仿宋" w:hAnsi="仿宋" w:eastAsia="仿宋" w:cs="仿宋"/>
          <w:color w:val="auto"/>
          <w:sz w:val="24"/>
          <w:highlight w:val="none"/>
        </w:rPr>
        <w:t>)</w:t>
      </w:r>
    </w:p>
    <w:p w14:paraId="3BEC12E8">
      <w:pPr>
        <w:pStyle w:val="17"/>
        <w:spacing w:line="240" w:lineRule="atLeast"/>
        <w:ind w:left="1079" w:leftChars="257" w:hanging="54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号合同履约保函</w:t>
      </w:r>
    </w:p>
    <w:p w14:paraId="086F957C">
      <w:pPr>
        <w:pStyle w:val="17"/>
        <w:spacing w:line="240" w:lineRule="atLeast"/>
        <w:ind w:left="1079" w:leftChars="257" w:hanging="540"/>
        <w:jc w:val="center"/>
        <w:rPr>
          <w:rFonts w:hint="eastAsia" w:ascii="仿宋" w:hAnsi="仿宋" w:eastAsia="仿宋" w:cs="仿宋"/>
          <w:color w:val="auto"/>
          <w:sz w:val="24"/>
          <w:highlight w:val="none"/>
        </w:rPr>
      </w:pPr>
    </w:p>
    <w:p w14:paraId="4006C06F">
      <w:pPr>
        <w:pStyle w:val="17"/>
        <w:spacing w:line="240" w:lineRule="atLeast"/>
        <w:ind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本保函作为贵方与(</w:t>
      </w:r>
      <w:r>
        <w:rPr>
          <w:rFonts w:hint="eastAsia" w:ascii="仿宋" w:hAnsi="仿宋" w:eastAsia="仿宋" w:cs="仿宋"/>
          <w:i/>
          <w:color w:val="auto"/>
          <w:sz w:val="24"/>
          <w:highlight w:val="none"/>
          <w:u w:val="single"/>
        </w:rPr>
        <w:t>卖方名称</w:t>
      </w:r>
      <w:r>
        <w:rPr>
          <w:rFonts w:hint="eastAsia" w:ascii="仿宋" w:hAnsi="仿宋" w:eastAsia="仿宋" w:cs="仿宋"/>
          <w:color w:val="auto"/>
          <w:sz w:val="24"/>
          <w:highlight w:val="none"/>
        </w:rPr>
        <w:t>)(以下简称卖方)于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项目(以下简称项目)项下提供(</w:t>
      </w:r>
      <w:r>
        <w:rPr>
          <w:rFonts w:hint="eastAsia" w:ascii="仿宋" w:hAnsi="仿宋" w:eastAsia="仿宋" w:cs="仿宋"/>
          <w:i/>
          <w:color w:val="auto"/>
          <w:sz w:val="24"/>
          <w:highlight w:val="none"/>
          <w:u w:val="single"/>
        </w:rPr>
        <w:t>货物名称</w:t>
      </w:r>
      <w:r>
        <w:rPr>
          <w:rFonts w:hint="eastAsia" w:ascii="仿宋" w:hAnsi="仿宋" w:eastAsia="仿宋" w:cs="仿宋"/>
          <w:color w:val="auto"/>
          <w:sz w:val="24"/>
          <w:highlight w:val="none"/>
        </w:rPr>
        <w:t>)(以下简称货物)签订的(</w:t>
      </w:r>
      <w:r>
        <w:rPr>
          <w:rFonts w:hint="eastAsia" w:ascii="仿宋" w:hAnsi="仿宋" w:eastAsia="仿宋" w:cs="仿宋"/>
          <w:i/>
          <w:color w:val="auto"/>
          <w:sz w:val="24"/>
          <w:highlight w:val="none"/>
          <w:u w:val="single"/>
        </w:rPr>
        <w:t>合同号</w:t>
      </w:r>
      <w:r>
        <w:rPr>
          <w:rFonts w:hint="eastAsia" w:ascii="仿宋" w:hAnsi="仿宋" w:eastAsia="仿宋" w:cs="仿宋"/>
          <w:color w:val="auto"/>
          <w:sz w:val="24"/>
          <w:highlight w:val="none"/>
        </w:rPr>
        <w:t>)号合同的履约保函。</w:t>
      </w:r>
    </w:p>
    <w:p w14:paraId="2D42A686">
      <w:pPr>
        <w:pStyle w:val="17"/>
        <w:spacing w:line="240" w:lineRule="atLeast"/>
        <w:ind w:firstLine="540" w:firstLineChars="225"/>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i/>
          <w:color w:val="auto"/>
          <w:sz w:val="24"/>
          <w:highlight w:val="none"/>
          <w:u w:val="single"/>
        </w:rPr>
        <w:t>出具保函的银行名称</w:t>
      </w:r>
      <w:r>
        <w:rPr>
          <w:rFonts w:hint="eastAsia" w:ascii="仿宋" w:hAnsi="仿宋" w:eastAsia="仿宋" w:cs="仿宋"/>
          <w:color w:val="auto"/>
          <w:sz w:val="24"/>
          <w:highlight w:val="none"/>
        </w:rPr>
        <w:t>)(以下简称银行)无条件地、不可撤销地具结保证本行、其继承人和受让人无追索地向贵方以(</w:t>
      </w:r>
      <w:r>
        <w:rPr>
          <w:rFonts w:hint="eastAsia" w:ascii="仿宋" w:hAnsi="仿宋" w:eastAsia="仿宋" w:cs="仿宋"/>
          <w:i/>
          <w:color w:val="auto"/>
          <w:sz w:val="24"/>
          <w:highlight w:val="none"/>
          <w:u w:val="single"/>
        </w:rPr>
        <w:t>货币名称</w:t>
      </w:r>
      <w:r>
        <w:rPr>
          <w:rFonts w:hint="eastAsia" w:ascii="仿宋" w:hAnsi="仿宋" w:eastAsia="仿宋" w:cs="仿宋"/>
          <w:color w:val="auto"/>
          <w:sz w:val="24"/>
          <w:highlight w:val="none"/>
        </w:rPr>
        <w:t>)支付总额不超过(</w:t>
      </w:r>
      <w:r>
        <w:rPr>
          <w:rFonts w:hint="eastAsia" w:ascii="仿宋" w:hAnsi="仿宋" w:eastAsia="仿宋" w:cs="仿宋"/>
          <w:i/>
          <w:color w:val="auto"/>
          <w:sz w:val="24"/>
          <w:highlight w:val="none"/>
          <w:u w:val="single"/>
        </w:rPr>
        <w:t>货币数量</w:t>
      </w:r>
      <w:r>
        <w:rPr>
          <w:rFonts w:hint="eastAsia" w:ascii="仿宋" w:hAnsi="仿宋" w:eastAsia="仿宋" w:cs="仿宋"/>
          <w:color w:val="auto"/>
          <w:sz w:val="24"/>
          <w:highlight w:val="none"/>
        </w:rPr>
        <w:t>),即相当于合同价格的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%,并以此约定如下:</w:t>
      </w:r>
    </w:p>
    <w:p w14:paraId="1F1FE7AB">
      <w:pPr>
        <w:pStyle w:val="17"/>
        <w:spacing w:line="240" w:lineRule="atLeast"/>
        <w:ind w:left="539" w:leftChars="257"/>
        <w:rPr>
          <w:rFonts w:hint="eastAsia" w:ascii="仿宋" w:hAnsi="仿宋" w:eastAsia="仿宋" w:cs="仿宋"/>
          <w:color w:val="auto"/>
          <w:sz w:val="24"/>
          <w:highlight w:val="none"/>
        </w:rPr>
      </w:pPr>
      <w:r>
        <w:rPr>
          <w:rFonts w:hint="eastAsia" w:ascii="仿宋" w:hAnsi="仿宋" w:eastAsia="仿宋" w:cs="仿宋"/>
          <w:color w:val="auto"/>
          <w:sz w:val="24"/>
          <w:highlight w:val="none"/>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14:paraId="788E5436">
      <w:pPr>
        <w:pStyle w:val="17"/>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2.本保函项下的任何支付应为免税和净值。对于现有或将来的税收、关税、收费、费用扣减或预提税款，不论这些款项是何种性质和由谁征收，都不应从本保函项下的支付中扣除。</w:t>
      </w:r>
    </w:p>
    <w:p w14:paraId="41C665D8">
      <w:pPr>
        <w:pStyle w:val="17"/>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261F2A58">
      <w:pPr>
        <w:pStyle w:val="17"/>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4.本保函在本合同规定的保证期期满前完全有效。</w:t>
      </w:r>
    </w:p>
    <w:p w14:paraId="628A97A5">
      <w:pPr>
        <w:pStyle w:val="17"/>
        <w:spacing w:line="240" w:lineRule="atLeast"/>
        <w:ind w:left="1079" w:leftChars="257" w:hanging="540"/>
        <w:rPr>
          <w:rFonts w:hint="eastAsia" w:ascii="仿宋" w:hAnsi="仿宋" w:eastAsia="仿宋" w:cs="仿宋"/>
          <w:color w:val="auto"/>
          <w:sz w:val="24"/>
          <w:highlight w:val="none"/>
        </w:rPr>
      </w:pPr>
    </w:p>
    <w:p w14:paraId="412C689F">
      <w:pPr>
        <w:pStyle w:val="17"/>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谨启</w:t>
      </w:r>
    </w:p>
    <w:p w14:paraId="5C864DF3">
      <w:pPr>
        <w:pStyle w:val="17"/>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出具保函银行名称：</w:t>
      </w:r>
      <w:r>
        <w:rPr>
          <w:rFonts w:hint="eastAsia" w:ascii="仿宋" w:hAnsi="仿宋" w:eastAsia="仿宋" w:cs="仿宋"/>
          <w:color w:val="auto"/>
          <w:sz w:val="24"/>
          <w:highlight w:val="none"/>
          <w:u w:val="single"/>
        </w:rPr>
        <w:t xml:space="preserve">                             </w:t>
      </w:r>
    </w:p>
    <w:p w14:paraId="4CEE186C">
      <w:pPr>
        <w:pStyle w:val="17"/>
        <w:spacing w:line="240" w:lineRule="atLeast"/>
        <w:ind w:left="1079"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签字人姓名和职务：</w:t>
      </w:r>
      <w:r>
        <w:rPr>
          <w:rFonts w:hint="eastAsia" w:ascii="仿宋" w:hAnsi="仿宋" w:eastAsia="仿宋" w:cs="仿宋"/>
          <w:color w:val="auto"/>
          <w:sz w:val="24"/>
          <w:highlight w:val="none"/>
          <w:u w:val="single"/>
        </w:rPr>
        <w:t xml:space="preserve">                             </w:t>
      </w:r>
    </w:p>
    <w:p w14:paraId="5CEDA442">
      <w:pPr>
        <w:pStyle w:val="17"/>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签字人签名：</w:t>
      </w:r>
      <w:r>
        <w:rPr>
          <w:rFonts w:hint="eastAsia" w:ascii="仿宋" w:hAnsi="仿宋" w:eastAsia="仿宋" w:cs="仿宋"/>
          <w:color w:val="auto"/>
          <w:sz w:val="24"/>
          <w:highlight w:val="none"/>
          <w:u w:val="single"/>
        </w:rPr>
        <w:t xml:space="preserve">                                   </w:t>
      </w:r>
    </w:p>
    <w:p w14:paraId="774F8C83">
      <w:pPr>
        <w:pStyle w:val="17"/>
        <w:spacing w:line="240" w:lineRule="atLeast"/>
        <w:ind w:left="1079"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公章：</w:t>
      </w:r>
      <w:r>
        <w:rPr>
          <w:rFonts w:hint="eastAsia" w:ascii="仿宋" w:hAnsi="仿宋" w:eastAsia="仿宋" w:cs="仿宋"/>
          <w:color w:val="auto"/>
          <w:sz w:val="24"/>
          <w:highlight w:val="none"/>
          <w:u w:val="single"/>
        </w:rPr>
        <w:t xml:space="preserve">                                         </w:t>
      </w:r>
    </w:p>
    <w:p w14:paraId="74907FA5">
      <w:pPr>
        <w:pStyle w:val="4"/>
        <w:spacing w:before="0" w:line="240" w:lineRule="atLeast"/>
        <w:ind w:left="1079" w:leftChars="257" w:hanging="540"/>
        <w:rPr>
          <w:rFonts w:hint="eastAsia" w:ascii="仿宋" w:hAnsi="仿宋" w:eastAsia="仿宋" w:cs="仿宋"/>
          <w:color w:val="auto"/>
          <w:szCs w:val="24"/>
          <w:highlight w:val="none"/>
        </w:rPr>
      </w:pPr>
      <w:r>
        <w:rPr>
          <w:rFonts w:hint="eastAsia" w:ascii="仿宋" w:hAnsi="仿宋" w:eastAsia="仿宋" w:cs="仿宋"/>
          <w:color w:val="auto"/>
          <w:highlight w:val="none"/>
        </w:rPr>
        <w:br w:type="page"/>
      </w:r>
      <w:bookmarkStart w:id="234" w:name="_Toc13122"/>
      <w:bookmarkStart w:id="235" w:name="_Toc10951"/>
      <w:bookmarkStart w:id="236" w:name="_Toc515647800"/>
      <w:bookmarkStart w:id="237" w:name="_Toc6548"/>
      <w:r>
        <w:rPr>
          <w:rFonts w:hint="eastAsia" w:ascii="仿宋" w:hAnsi="仿宋" w:eastAsia="仿宋" w:cs="仿宋"/>
          <w:color w:val="auto"/>
          <w:szCs w:val="24"/>
          <w:highlight w:val="none"/>
        </w:rPr>
        <w:t>附件2：履约担保函格式</w:t>
      </w:r>
      <w:bookmarkEnd w:id="234"/>
      <w:bookmarkEnd w:id="235"/>
      <w:bookmarkEnd w:id="236"/>
      <w:bookmarkEnd w:id="237"/>
    </w:p>
    <w:p w14:paraId="096F5063">
      <w:pPr>
        <w:pStyle w:val="4"/>
        <w:spacing w:before="0" w:line="240" w:lineRule="atLeast"/>
        <w:ind w:left="1079" w:leftChars="257" w:hanging="540"/>
        <w:rPr>
          <w:rFonts w:hint="eastAsia" w:ascii="仿宋" w:hAnsi="仿宋" w:eastAsia="仿宋" w:cs="仿宋"/>
          <w:b w:val="0"/>
          <w:color w:val="auto"/>
          <w:highlight w:val="none"/>
        </w:rPr>
      </w:pPr>
      <w:bookmarkStart w:id="238" w:name="_Toc515647801"/>
      <w:bookmarkStart w:id="239" w:name="_Toc162"/>
      <w:bookmarkStart w:id="240" w:name="_Toc32701"/>
      <w:bookmarkStart w:id="241" w:name="_Toc13962"/>
      <w:r>
        <w:rPr>
          <w:rFonts w:hint="eastAsia" w:ascii="仿宋" w:hAnsi="仿宋" w:eastAsia="仿宋" w:cs="仿宋"/>
          <w:color w:val="auto"/>
          <w:szCs w:val="24"/>
          <w:highlight w:val="none"/>
        </w:rPr>
        <w:t>（采用政府采购信用担保形式时使用）</w:t>
      </w:r>
      <w:bookmarkEnd w:id="238"/>
      <w:bookmarkEnd w:id="239"/>
      <w:bookmarkEnd w:id="240"/>
      <w:bookmarkEnd w:id="241"/>
    </w:p>
    <w:p w14:paraId="32CA0874">
      <w:pPr>
        <w:spacing w:line="240" w:lineRule="atLeast"/>
        <w:ind w:left="1079" w:leftChars="257" w:hanging="540"/>
        <w:rPr>
          <w:rFonts w:hint="eastAsia" w:ascii="仿宋" w:hAnsi="仿宋" w:eastAsia="仿宋" w:cs="仿宋"/>
          <w:b/>
          <w:color w:val="auto"/>
          <w:kern w:val="0"/>
          <w:sz w:val="24"/>
          <w:szCs w:val="20"/>
          <w:highlight w:val="none"/>
        </w:rPr>
      </w:pPr>
    </w:p>
    <w:p w14:paraId="4EA2AB0B">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政府采购履约担保函（项目用）</w:t>
      </w:r>
    </w:p>
    <w:p w14:paraId="78F15042">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编号：</w:t>
      </w:r>
    </w:p>
    <w:p w14:paraId="1914AFBB">
      <w:pPr>
        <w:rPr>
          <w:rFonts w:hint="eastAsia" w:ascii="仿宋" w:hAnsi="仿宋" w:eastAsia="仿宋" w:cs="仿宋"/>
          <w:color w:val="auto"/>
          <w:sz w:val="24"/>
          <w:highlight w:val="none"/>
        </w:rPr>
      </w:pPr>
    </w:p>
    <w:p w14:paraId="2C506977">
      <w:pP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（采购人）：</w:t>
      </w:r>
    </w:p>
    <w:p w14:paraId="3B61D2EB">
      <w:pPr>
        <w:rPr>
          <w:rFonts w:hint="eastAsia" w:ascii="仿宋" w:hAnsi="仿宋" w:eastAsia="仿宋" w:cs="仿宋"/>
          <w:color w:val="auto"/>
          <w:sz w:val="24"/>
          <w:highlight w:val="none"/>
        </w:rPr>
      </w:pPr>
    </w:p>
    <w:p w14:paraId="2FAA526A">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鉴于你方与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（以下简称供应商）于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日签定编号为   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政府采购合同》（以下简称主合同），且依据该合同的约定，供应商应在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p>
    <w:p w14:paraId="5C3CA73C">
      <w:pP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日前向你方交纳履约保证金，且可以履约担保函的形式交纳履约保证金。应供应商的申请，我方以保证的方式向你方提供如下履约保证金担保：</w:t>
      </w:r>
    </w:p>
    <w:p w14:paraId="703CFC42">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一、保证责任的情形及保证金额</w:t>
      </w:r>
    </w:p>
    <w:p w14:paraId="69B0F7C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（一）在供应商出现下列情形之一时，我方承担保证责任：</w:t>
      </w:r>
    </w:p>
    <w:p w14:paraId="057DDCDC">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1．将中标项目转让给他人，或者在投标文件中未说明，且未经采购招标机构人同意，将中标项目分包给他人的；</w:t>
      </w:r>
    </w:p>
    <w:p w14:paraId="6D4BFB89">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2．主合同约定的应当缴纳履约保证金的情形: </w:t>
      </w:r>
    </w:p>
    <w:p w14:paraId="05548F40">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（1）未按主合同约定的质量、数量和期限供应货物/提供服务/完成工程的；</w:t>
      </w:r>
    </w:p>
    <w:p w14:paraId="696709F1">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9469471">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（二）我方的保证范围是主合同约定的合同价款总额的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%数额为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），币种为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。（即主合同履约保证金金额）</w:t>
      </w:r>
    </w:p>
    <w:p w14:paraId="1AFC0403">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二、保证的方式及保证期间</w:t>
      </w:r>
    </w:p>
    <w:p w14:paraId="41266F88">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我方保证的方式为：连带责任保证。</w:t>
      </w:r>
    </w:p>
    <w:p w14:paraId="2288B3A8">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我方保证的期间为：自本合同生效之日起至供应商按照主合同约定的供货/完工期限届满后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日内。</w:t>
      </w:r>
    </w:p>
    <w:p w14:paraId="01625933">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如果供应商未按主合同约定向贵方供应货物/提供服务/完成工程的，由我方在保证金额内向你方支付上述款项。</w:t>
      </w:r>
    </w:p>
    <w:p w14:paraId="592F52E9">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三、承担保证责任的程序</w:t>
      </w:r>
    </w:p>
    <w:p w14:paraId="573E02AF">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1．你方要求我方承担保证责任的，应在本保函保证期间内向我方发出书面索赔通知。索赔通知应写明要求索赔的金额，支付款项应到达的帐号。并附有证明供应商违约事实的证明材料。</w:t>
      </w:r>
    </w:p>
    <w:p w14:paraId="402A33C2">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如果你方与供应商因货物质量问题产生争议，你方还需同时提供</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部门出具的质量检测报告，或经诉讼（仲裁）程序裁决后的裁决书、调解书，本保证人即按照检测结果或裁决书、调解书决定是否承担保证责任。</w:t>
      </w:r>
    </w:p>
    <w:p w14:paraId="3CE4AA6E">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 我方收到你方的书面索赔通知及相应证明材料，在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工作日内进行核定后按照本保函的承诺承担保证责任。</w:t>
      </w:r>
    </w:p>
    <w:p w14:paraId="5110CBB2">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四、保证责任的终止</w:t>
      </w:r>
    </w:p>
    <w:p w14:paraId="083891C5">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5C0E0061">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2．我方按照本保函向你方履行了保证责任后，自我方向你方支付款项（支付款项从我方账户划出）之日起，保证责任即终止。</w:t>
      </w:r>
    </w:p>
    <w:p w14:paraId="0424C74B">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3．按照法律法规的规定或出现应终止我方保证责任的其它情形的，我方在本保函项下的保证责任亦终止。</w:t>
      </w:r>
    </w:p>
    <w:p w14:paraId="70E0CBF3">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0A28A1E9">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五、免责条款</w:t>
      </w:r>
    </w:p>
    <w:p w14:paraId="27C90DB1">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1．因你方违反主合同约定致使供应商不能履行义务的，我方不承担保证责任。</w:t>
      </w:r>
    </w:p>
    <w:p w14:paraId="73D6FD6C">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2．依照法律法规的规定或你方与供应商的另行约定，全部或者部分免除供应商应缴纳的保证金义务的，我方亦免除相应的保证责任。</w:t>
      </w:r>
    </w:p>
    <w:p w14:paraId="44A62A08">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3．因不可抗力造成供应商不能履行供货义务的，我方不承担保证责任。</w:t>
      </w:r>
    </w:p>
    <w:p w14:paraId="28D2046A">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六、争议的解决</w:t>
      </w:r>
    </w:p>
    <w:p w14:paraId="090061E1">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因本保函发生的纠纷，由你我双方协商解决，协商不成的，通过诉讼程序解决，诉讼管辖地法院为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法院。</w:t>
      </w:r>
    </w:p>
    <w:p w14:paraId="574B2114">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七、保函的生效</w:t>
      </w:r>
    </w:p>
    <w:p w14:paraId="1D3AA012">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本保函自我方加盖公章之日起生效。</w:t>
      </w:r>
    </w:p>
    <w:p w14:paraId="07705E62">
      <w:pPr>
        <w:rPr>
          <w:rFonts w:hint="eastAsia" w:ascii="仿宋" w:hAnsi="仿宋" w:eastAsia="仿宋" w:cs="仿宋"/>
          <w:color w:val="auto"/>
          <w:sz w:val="24"/>
          <w:highlight w:val="none"/>
        </w:rPr>
      </w:pPr>
    </w:p>
    <w:p w14:paraId="1A1C06A6">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52A43C1A">
      <w:pPr>
        <w:ind w:firstLine="5400" w:firstLineChars="2250"/>
        <w:rPr>
          <w:rFonts w:hint="eastAsia" w:ascii="仿宋" w:hAnsi="仿宋" w:eastAsia="仿宋" w:cs="仿宋"/>
          <w:color w:val="auto"/>
          <w:sz w:val="24"/>
          <w:highlight w:val="none"/>
        </w:rPr>
      </w:pPr>
      <w:r>
        <w:rPr>
          <w:rFonts w:hint="eastAsia" w:ascii="仿宋" w:hAnsi="仿宋" w:eastAsia="仿宋" w:cs="仿宋"/>
          <w:color w:val="auto"/>
          <w:sz w:val="24"/>
          <w:highlight w:val="none"/>
        </w:rPr>
        <w:t>保证人：（公章）</w:t>
      </w:r>
    </w:p>
    <w:p w14:paraId="6356A8BE">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0C416F7E">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年     月      日</w:t>
      </w:r>
    </w:p>
    <w:p w14:paraId="1F31CA62">
      <w:pPr>
        <w:pStyle w:val="9"/>
        <w:spacing w:line="240" w:lineRule="atLeast"/>
        <w:ind w:firstLine="0"/>
        <w:rPr>
          <w:rFonts w:hint="eastAsia" w:ascii="仿宋" w:hAnsi="仿宋" w:eastAsia="仿宋" w:cs="仿宋"/>
          <w:color w:val="auto"/>
          <w:kern w:val="2"/>
          <w:szCs w:val="24"/>
          <w:highlight w:val="none"/>
        </w:rPr>
      </w:pPr>
      <w:r>
        <w:rPr>
          <w:rFonts w:hint="eastAsia" w:ascii="仿宋" w:hAnsi="仿宋" w:eastAsia="仿宋" w:cs="仿宋"/>
          <w:b/>
          <w:color w:val="auto"/>
          <w:highlight w:val="none"/>
        </w:rPr>
        <w:br w:type="page"/>
      </w:r>
    </w:p>
    <w:p w14:paraId="49C5B51A">
      <w:pPr>
        <w:pStyle w:val="3"/>
        <w:bidi w:val="0"/>
        <w:rPr>
          <w:rFonts w:hint="eastAsia" w:ascii="仿宋" w:hAnsi="仿宋" w:eastAsia="仿宋" w:cs="仿宋"/>
          <w:color w:val="auto"/>
          <w:highlight w:val="none"/>
        </w:rPr>
      </w:pPr>
      <w:bookmarkStart w:id="242" w:name="_Toc702"/>
      <w:bookmarkStart w:id="243" w:name="_Toc728"/>
      <w:bookmarkStart w:id="244" w:name="_Toc515647802"/>
      <w:bookmarkStart w:id="245" w:name="_Toc216582812"/>
      <w:bookmarkStart w:id="246" w:name="_Toc2579"/>
      <w:r>
        <w:rPr>
          <w:rFonts w:hint="eastAsia" w:ascii="仿宋" w:hAnsi="仿宋" w:eastAsia="仿宋" w:cs="仿宋"/>
          <w:color w:val="auto"/>
          <w:highlight w:val="none"/>
          <w:lang w:eastAsia="zh-CN"/>
        </w:rPr>
        <w:t>第</w:t>
      </w:r>
      <w:r>
        <w:rPr>
          <w:rFonts w:hint="eastAsia" w:ascii="仿宋" w:hAnsi="仿宋" w:eastAsia="仿宋" w:cs="仿宋"/>
          <w:color w:val="auto"/>
          <w:highlight w:val="none"/>
          <w:lang w:val="en-US" w:eastAsia="zh-CN"/>
        </w:rPr>
        <w:t xml:space="preserve">2章    </w:t>
      </w:r>
      <w:r>
        <w:rPr>
          <w:rFonts w:hint="eastAsia" w:ascii="仿宋" w:hAnsi="仿宋" w:eastAsia="仿宋" w:cs="仿宋"/>
          <w:color w:val="auto"/>
          <w:highlight w:val="none"/>
        </w:rPr>
        <w:t>投标文件格式</w:t>
      </w:r>
      <w:bookmarkEnd w:id="242"/>
      <w:bookmarkEnd w:id="243"/>
      <w:bookmarkEnd w:id="244"/>
      <w:bookmarkEnd w:id="245"/>
      <w:bookmarkEnd w:id="246"/>
    </w:p>
    <w:p w14:paraId="61ACE325">
      <w:pPr>
        <w:spacing w:line="240" w:lineRule="atLeast"/>
        <w:ind w:left="735" w:leftChars="350" w:firstLine="120" w:firstLineChars="50"/>
        <w:rPr>
          <w:rFonts w:hint="eastAsia" w:ascii="仿宋" w:hAnsi="仿宋" w:eastAsia="仿宋" w:cs="仿宋"/>
          <w:color w:val="auto"/>
          <w:sz w:val="24"/>
          <w:highlight w:val="none"/>
        </w:rPr>
      </w:pPr>
    </w:p>
    <w:p w14:paraId="66E205F2">
      <w:pPr>
        <w:pStyle w:val="4"/>
        <w:spacing w:before="0" w:line="240" w:lineRule="atLeast"/>
        <w:ind w:left="1079" w:leftChars="257" w:hanging="540"/>
        <w:rPr>
          <w:rFonts w:hint="eastAsia" w:ascii="仿宋" w:hAnsi="仿宋" w:eastAsia="仿宋" w:cs="仿宋"/>
          <w:color w:val="auto"/>
          <w:sz w:val="24"/>
          <w:highlight w:val="none"/>
        </w:rPr>
      </w:pPr>
      <w:bookmarkStart w:id="247" w:name="_Toc18974"/>
      <w:bookmarkStart w:id="248" w:name="_Toc27308"/>
      <w:bookmarkStart w:id="249" w:name="_Toc18694"/>
      <w:bookmarkStart w:id="250" w:name="_Toc515647803"/>
      <w:r>
        <w:rPr>
          <w:rFonts w:hint="eastAsia" w:ascii="仿宋" w:hAnsi="仿宋" w:eastAsia="仿宋" w:cs="仿宋"/>
          <w:color w:val="auto"/>
          <w:sz w:val="24"/>
          <w:highlight w:val="none"/>
        </w:rPr>
        <w:t>第一部分 开标一览表及资格证明文件</w:t>
      </w:r>
      <w:bookmarkEnd w:id="247"/>
      <w:bookmarkEnd w:id="248"/>
      <w:bookmarkEnd w:id="249"/>
      <w:bookmarkEnd w:id="250"/>
    </w:p>
    <w:p w14:paraId="2380C9AD">
      <w:pPr>
        <w:spacing w:line="240" w:lineRule="atLeast"/>
        <w:ind w:left="708" w:hanging="708" w:hangingChars="295"/>
        <w:jc w:val="center"/>
        <w:rPr>
          <w:rFonts w:hint="eastAsia" w:ascii="仿宋" w:hAnsi="仿宋" w:eastAsia="仿宋" w:cs="仿宋"/>
          <w:color w:val="auto"/>
          <w:sz w:val="24"/>
          <w:highlight w:val="none"/>
        </w:rPr>
      </w:pPr>
    </w:p>
    <w:p w14:paraId="27F5B4E4">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开标一览表（见投标文件格式一）;</w:t>
      </w:r>
    </w:p>
    <w:p w14:paraId="6E805689">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法人或者非法人组织的营业执照等证明文件或自然人的身份证明；</w:t>
      </w:r>
    </w:p>
    <w:p w14:paraId="4C3DCBAB">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3、法定代表人资格证明书或法人授权委托书及被授权人身份证(投标文件格式二，自然人投标的无需提供)</w:t>
      </w:r>
    </w:p>
    <w:p w14:paraId="3176752E">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rPr>
        <w:t>4、社会保障资金的缴纳记录</w:t>
      </w:r>
      <w:r>
        <w:rPr>
          <w:rFonts w:hint="eastAsia" w:ascii="仿宋" w:hAnsi="仿宋" w:eastAsia="仿宋" w:cs="仿宋"/>
          <w:color w:val="auto"/>
          <w:sz w:val="24"/>
          <w:highlight w:val="none"/>
          <w:lang w:val="en-US" w:eastAsia="zh-CN"/>
        </w:rPr>
        <w:t>及依法缴纳税收良好记录证明</w:t>
      </w:r>
      <w:r>
        <w:rPr>
          <w:rFonts w:hint="eastAsia" w:ascii="仿宋" w:hAnsi="仿宋" w:eastAsia="仿宋" w:cs="仿宋"/>
          <w:color w:val="auto"/>
          <w:sz w:val="24"/>
          <w:highlight w:val="none"/>
        </w:rPr>
        <w:t>;</w:t>
      </w:r>
    </w:p>
    <w:p w14:paraId="02043770">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具有良好的商业信誉和健全的财务会计制度的证明文件；</w:t>
      </w:r>
    </w:p>
    <w:p w14:paraId="6165C567">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投标保证金缴纳凭证或投标担保函</w:t>
      </w:r>
    </w:p>
    <w:p w14:paraId="0F4B47DB">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、参加政府采购活动前3年内在经营活动中没有重大违法记录的书面声明;</w:t>
      </w:r>
    </w:p>
    <w:p w14:paraId="644162FE">
      <w:pPr>
        <w:tabs>
          <w:tab w:val="left" w:pos="5580"/>
        </w:tabs>
        <w:spacing w:line="240" w:lineRule="atLeast"/>
        <w:ind w:left="1" w:firstLine="564" w:firstLineChars="23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8、具有履行合同所必需的设备和专业技术能力的证明材料（详见格式）；</w:t>
      </w:r>
    </w:p>
    <w:p w14:paraId="5023ABD0">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9、针对本次项目《反商业贿赂承诺书》；</w:t>
      </w:r>
    </w:p>
    <w:p w14:paraId="12E008D0">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投标人须知资料表要求的其他资格证明文件;</w:t>
      </w:r>
    </w:p>
    <w:p w14:paraId="31C6FDCD">
      <w:pPr>
        <w:tabs>
          <w:tab w:val="left" w:pos="5580"/>
        </w:tabs>
        <w:spacing w:line="240" w:lineRule="atLeast"/>
        <w:ind w:left="1" w:firstLine="564" w:firstLineChars="235"/>
        <w:rPr>
          <w:rFonts w:hint="eastAsia" w:ascii="仿宋" w:hAnsi="仿宋" w:eastAsia="仿宋" w:cs="仿宋"/>
          <w:color w:val="auto"/>
          <w:sz w:val="24"/>
          <w:highlight w:val="none"/>
        </w:rPr>
      </w:pPr>
    </w:p>
    <w:p w14:paraId="238AD0B1">
      <w:pPr>
        <w:tabs>
          <w:tab w:val="left" w:pos="5580"/>
        </w:tabs>
        <w:spacing w:line="240" w:lineRule="atLeast"/>
        <w:ind w:left="1" w:firstLine="564" w:firstLineChars="235"/>
        <w:rPr>
          <w:rFonts w:hint="eastAsia" w:ascii="仿宋" w:hAnsi="仿宋" w:eastAsia="仿宋" w:cs="仿宋"/>
          <w:color w:val="auto"/>
          <w:sz w:val="24"/>
          <w:highlight w:val="none"/>
        </w:rPr>
      </w:pPr>
    </w:p>
    <w:p w14:paraId="15AEE528">
      <w:pPr>
        <w:tabs>
          <w:tab w:val="left" w:pos="5580"/>
        </w:tabs>
        <w:spacing w:line="240" w:lineRule="atLeast"/>
        <w:ind w:left="1" w:firstLine="564" w:firstLineChars="235"/>
        <w:rPr>
          <w:rFonts w:hint="eastAsia" w:ascii="仿宋" w:hAnsi="仿宋" w:eastAsia="仿宋" w:cs="仿宋"/>
          <w:color w:val="auto"/>
          <w:sz w:val="24"/>
          <w:highlight w:val="none"/>
        </w:rPr>
      </w:pPr>
    </w:p>
    <w:p w14:paraId="58902551">
      <w:pPr>
        <w:tabs>
          <w:tab w:val="left" w:pos="5580"/>
        </w:tabs>
        <w:spacing w:line="240" w:lineRule="atLeast"/>
        <w:ind w:left="1" w:firstLine="564" w:firstLineChars="235"/>
        <w:rPr>
          <w:rFonts w:hint="eastAsia" w:ascii="仿宋" w:hAnsi="仿宋" w:eastAsia="仿宋" w:cs="仿宋"/>
          <w:color w:val="auto"/>
          <w:sz w:val="24"/>
          <w:highlight w:val="none"/>
        </w:rPr>
      </w:pPr>
    </w:p>
    <w:p w14:paraId="3A68E6D9">
      <w:pPr>
        <w:tabs>
          <w:tab w:val="left" w:pos="5580"/>
        </w:tabs>
        <w:spacing w:line="240" w:lineRule="atLeast"/>
        <w:ind w:left="1" w:firstLine="564" w:firstLineChars="235"/>
        <w:rPr>
          <w:rFonts w:hint="eastAsia" w:ascii="仿宋" w:hAnsi="仿宋" w:eastAsia="仿宋" w:cs="仿宋"/>
          <w:color w:val="auto"/>
          <w:sz w:val="24"/>
          <w:highlight w:val="none"/>
        </w:rPr>
      </w:pPr>
    </w:p>
    <w:p w14:paraId="5A5D2FB6">
      <w:pPr>
        <w:tabs>
          <w:tab w:val="left" w:pos="5580"/>
        </w:tabs>
        <w:spacing w:line="240" w:lineRule="atLeast"/>
        <w:ind w:left="1" w:firstLine="564" w:firstLineChars="235"/>
        <w:rPr>
          <w:rFonts w:hint="eastAsia" w:ascii="仿宋" w:hAnsi="仿宋" w:eastAsia="仿宋" w:cs="仿宋"/>
          <w:color w:val="auto"/>
          <w:sz w:val="24"/>
          <w:highlight w:val="none"/>
        </w:rPr>
      </w:pPr>
    </w:p>
    <w:p w14:paraId="03BA36F3">
      <w:pPr>
        <w:tabs>
          <w:tab w:val="left" w:pos="5580"/>
        </w:tabs>
        <w:spacing w:line="240" w:lineRule="atLeast"/>
        <w:ind w:left="1" w:firstLine="564" w:firstLineChars="235"/>
        <w:rPr>
          <w:rFonts w:hint="eastAsia" w:ascii="仿宋" w:hAnsi="仿宋" w:eastAsia="仿宋" w:cs="仿宋"/>
          <w:color w:val="auto"/>
          <w:sz w:val="24"/>
          <w:highlight w:val="none"/>
        </w:rPr>
      </w:pPr>
    </w:p>
    <w:p w14:paraId="0E30F18A">
      <w:pPr>
        <w:tabs>
          <w:tab w:val="left" w:pos="5580"/>
        </w:tabs>
        <w:spacing w:line="240" w:lineRule="atLeast"/>
        <w:ind w:left="1" w:firstLine="564" w:firstLineChars="235"/>
        <w:rPr>
          <w:rFonts w:hint="eastAsia" w:ascii="仿宋" w:hAnsi="仿宋" w:eastAsia="仿宋" w:cs="仿宋"/>
          <w:color w:val="auto"/>
          <w:sz w:val="24"/>
          <w:highlight w:val="none"/>
        </w:rPr>
      </w:pPr>
    </w:p>
    <w:p w14:paraId="6E054A20">
      <w:pPr>
        <w:tabs>
          <w:tab w:val="left" w:pos="5580"/>
        </w:tabs>
        <w:spacing w:line="240" w:lineRule="atLeast"/>
        <w:ind w:left="1" w:firstLine="564" w:firstLineChars="235"/>
        <w:rPr>
          <w:rFonts w:hint="eastAsia" w:ascii="仿宋" w:hAnsi="仿宋" w:eastAsia="仿宋" w:cs="仿宋"/>
          <w:color w:val="auto"/>
          <w:sz w:val="24"/>
          <w:highlight w:val="none"/>
        </w:rPr>
      </w:pPr>
    </w:p>
    <w:p w14:paraId="560DD609">
      <w:pPr>
        <w:tabs>
          <w:tab w:val="left" w:pos="5580"/>
        </w:tabs>
        <w:spacing w:line="240" w:lineRule="atLeast"/>
        <w:ind w:left="1" w:firstLine="564" w:firstLineChars="235"/>
        <w:rPr>
          <w:rFonts w:hint="eastAsia" w:ascii="仿宋" w:hAnsi="仿宋" w:eastAsia="仿宋" w:cs="仿宋"/>
          <w:color w:val="auto"/>
          <w:sz w:val="24"/>
          <w:highlight w:val="none"/>
        </w:rPr>
      </w:pPr>
    </w:p>
    <w:p w14:paraId="3E8E009D">
      <w:pPr>
        <w:tabs>
          <w:tab w:val="left" w:pos="5580"/>
        </w:tabs>
        <w:spacing w:line="240" w:lineRule="atLeast"/>
        <w:ind w:left="1" w:firstLine="564" w:firstLineChars="235"/>
        <w:rPr>
          <w:rFonts w:hint="eastAsia" w:ascii="仿宋" w:hAnsi="仿宋" w:eastAsia="仿宋" w:cs="仿宋"/>
          <w:color w:val="auto"/>
          <w:sz w:val="24"/>
          <w:highlight w:val="none"/>
        </w:rPr>
      </w:pPr>
    </w:p>
    <w:p w14:paraId="2EEE3D88">
      <w:pPr>
        <w:tabs>
          <w:tab w:val="left" w:pos="5580"/>
        </w:tabs>
        <w:spacing w:line="240" w:lineRule="atLeast"/>
        <w:ind w:left="1" w:firstLine="564" w:firstLineChars="235"/>
        <w:rPr>
          <w:rFonts w:hint="eastAsia" w:ascii="仿宋" w:hAnsi="仿宋" w:eastAsia="仿宋" w:cs="仿宋"/>
          <w:color w:val="auto"/>
          <w:sz w:val="24"/>
          <w:highlight w:val="none"/>
        </w:rPr>
      </w:pPr>
    </w:p>
    <w:p w14:paraId="76A41BA6">
      <w:pPr>
        <w:tabs>
          <w:tab w:val="left" w:pos="5580"/>
        </w:tabs>
        <w:spacing w:line="240" w:lineRule="atLeast"/>
        <w:ind w:left="1" w:firstLine="564" w:firstLineChars="235"/>
        <w:rPr>
          <w:rFonts w:hint="eastAsia" w:ascii="仿宋" w:hAnsi="仿宋" w:eastAsia="仿宋" w:cs="仿宋"/>
          <w:color w:val="auto"/>
          <w:sz w:val="24"/>
          <w:highlight w:val="none"/>
        </w:rPr>
      </w:pPr>
    </w:p>
    <w:p w14:paraId="6F0CAEC0">
      <w:pPr>
        <w:tabs>
          <w:tab w:val="left" w:pos="5580"/>
        </w:tabs>
        <w:spacing w:line="240" w:lineRule="atLeast"/>
        <w:ind w:left="1" w:firstLine="564" w:firstLineChars="235"/>
        <w:rPr>
          <w:rFonts w:hint="eastAsia" w:ascii="仿宋" w:hAnsi="仿宋" w:eastAsia="仿宋" w:cs="仿宋"/>
          <w:color w:val="auto"/>
          <w:sz w:val="24"/>
          <w:highlight w:val="none"/>
        </w:rPr>
      </w:pPr>
    </w:p>
    <w:p w14:paraId="4C4EEF05">
      <w:pPr>
        <w:tabs>
          <w:tab w:val="left" w:pos="5580"/>
        </w:tabs>
        <w:spacing w:line="240" w:lineRule="atLeast"/>
        <w:ind w:left="1" w:firstLine="564" w:firstLineChars="235"/>
        <w:rPr>
          <w:rFonts w:hint="eastAsia" w:ascii="仿宋" w:hAnsi="仿宋" w:eastAsia="仿宋" w:cs="仿宋"/>
          <w:color w:val="auto"/>
          <w:sz w:val="24"/>
          <w:highlight w:val="none"/>
        </w:rPr>
      </w:pPr>
    </w:p>
    <w:p w14:paraId="54E32D8E">
      <w:pPr>
        <w:tabs>
          <w:tab w:val="left" w:pos="5580"/>
        </w:tabs>
        <w:spacing w:line="240" w:lineRule="atLeast"/>
        <w:ind w:left="1" w:firstLine="564" w:firstLineChars="235"/>
        <w:rPr>
          <w:rFonts w:hint="eastAsia" w:ascii="仿宋" w:hAnsi="仿宋" w:eastAsia="仿宋" w:cs="仿宋"/>
          <w:color w:val="auto"/>
          <w:sz w:val="24"/>
          <w:highlight w:val="none"/>
        </w:rPr>
      </w:pPr>
    </w:p>
    <w:p w14:paraId="56BF967D">
      <w:pPr>
        <w:tabs>
          <w:tab w:val="left" w:pos="5580"/>
        </w:tabs>
        <w:spacing w:line="240" w:lineRule="atLeast"/>
        <w:ind w:left="1" w:firstLine="564" w:firstLineChars="235"/>
        <w:rPr>
          <w:rFonts w:hint="eastAsia" w:ascii="仿宋" w:hAnsi="仿宋" w:eastAsia="仿宋" w:cs="仿宋"/>
          <w:color w:val="auto"/>
          <w:sz w:val="24"/>
          <w:highlight w:val="none"/>
        </w:rPr>
      </w:pPr>
    </w:p>
    <w:p w14:paraId="275E2F44">
      <w:pPr>
        <w:tabs>
          <w:tab w:val="left" w:pos="5580"/>
        </w:tabs>
        <w:spacing w:line="240" w:lineRule="atLeast"/>
        <w:ind w:left="1" w:firstLine="564" w:firstLineChars="235"/>
        <w:rPr>
          <w:rFonts w:hint="eastAsia" w:ascii="仿宋" w:hAnsi="仿宋" w:eastAsia="仿宋" w:cs="仿宋"/>
          <w:color w:val="auto"/>
          <w:sz w:val="24"/>
          <w:highlight w:val="none"/>
        </w:rPr>
      </w:pPr>
    </w:p>
    <w:p w14:paraId="6DA7A7B0">
      <w:pPr>
        <w:tabs>
          <w:tab w:val="left" w:pos="5580"/>
        </w:tabs>
        <w:spacing w:line="240" w:lineRule="atLeast"/>
        <w:ind w:left="1" w:firstLine="564" w:firstLineChars="235"/>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5588E340">
      <w:pPr>
        <w:pStyle w:val="4"/>
        <w:spacing w:before="0" w:line="240" w:lineRule="atLeast"/>
        <w:ind w:left="1079" w:leftChars="257" w:hanging="540"/>
        <w:rPr>
          <w:rFonts w:hint="eastAsia" w:ascii="仿宋" w:hAnsi="仿宋" w:eastAsia="仿宋" w:cs="仿宋"/>
          <w:color w:val="auto"/>
          <w:sz w:val="24"/>
          <w:highlight w:val="none"/>
        </w:rPr>
      </w:pPr>
      <w:bookmarkStart w:id="251" w:name="_Toc7489"/>
      <w:bookmarkStart w:id="252" w:name="_Toc16568"/>
      <w:bookmarkStart w:id="253" w:name="_Toc515647804"/>
      <w:bookmarkStart w:id="254" w:name="_Toc30524"/>
      <w:r>
        <w:rPr>
          <w:rFonts w:hint="eastAsia" w:ascii="仿宋" w:hAnsi="仿宋" w:eastAsia="仿宋" w:cs="仿宋"/>
          <w:color w:val="auto"/>
          <w:sz w:val="24"/>
          <w:highlight w:val="none"/>
        </w:rPr>
        <w:t>1  开标一览表（投标文件格式一）</w:t>
      </w:r>
      <w:bookmarkEnd w:id="251"/>
      <w:bookmarkEnd w:id="252"/>
      <w:bookmarkEnd w:id="253"/>
      <w:bookmarkEnd w:id="254"/>
    </w:p>
    <w:p w14:paraId="2FE00EC9">
      <w:pPr>
        <w:pStyle w:val="17"/>
        <w:tabs>
          <w:tab w:val="left" w:pos="5580"/>
        </w:tabs>
        <w:spacing w:line="240" w:lineRule="atLeast"/>
        <w:ind w:left="268" w:leftChars="128"/>
        <w:rPr>
          <w:rFonts w:hint="eastAsia" w:ascii="仿宋" w:hAnsi="仿宋" w:eastAsia="仿宋" w:cs="仿宋"/>
          <w:color w:val="auto"/>
          <w:sz w:val="24"/>
          <w:highlight w:val="none"/>
        </w:rPr>
      </w:pPr>
    </w:p>
    <w:p w14:paraId="2A9DB6D4">
      <w:pPr>
        <w:pStyle w:val="17"/>
        <w:tabs>
          <w:tab w:val="left" w:pos="5580"/>
        </w:tabs>
        <w:spacing w:line="240" w:lineRule="atLeast"/>
        <w:ind w:left="268" w:leftChars="128"/>
        <w:rPr>
          <w:rFonts w:hint="eastAsia" w:ascii="仿宋" w:hAnsi="仿宋" w:eastAsia="仿宋" w:cs="仿宋"/>
          <w:color w:val="auto"/>
          <w:sz w:val="24"/>
          <w:szCs w:val="24"/>
          <w:highlight w:val="none"/>
        </w:rPr>
      </w:pPr>
    </w:p>
    <w:p w14:paraId="0FD387BD">
      <w:pPr>
        <w:pStyle w:val="9"/>
        <w:tabs>
          <w:tab w:val="left" w:pos="5580"/>
        </w:tabs>
        <w:spacing w:line="240" w:lineRule="atLeast"/>
        <w:ind w:left="1079" w:leftChars="257" w:hanging="540"/>
        <w:jc w:val="center"/>
        <w:rPr>
          <w:rFonts w:hint="eastAsia" w:ascii="仿宋" w:hAnsi="仿宋" w:eastAsia="仿宋" w:cs="仿宋"/>
          <w:b/>
          <w:color w:val="auto"/>
          <w:highlight w:val="none"/>
        </w:rPr>
      </w:pPr>
      <w:bookmarkStart w:id="255" w:name="_Hlt520356241"/>
      <w:bookmarkEnd w:id="255"/>
      <w:bookmarkStart w:id="256" w:name="_Toc494296984"/>
      <w:bookmarkStart w:id="257" w:name="_Toc480942349"/>
      <w:bookmarkStart w:id="258" w:name="_Ref467988698"/>
      <w:bookmarkStart w:id="259" w:name="_Toc520356217"/>
      <w:bookmarkStart w:id="260" w:name="_Toc216582813"/>
      <w:r>
        <w:rPr>
          <w:rFonts w:hint="eastAsia" w:ascii="仿宋" w:hAnsi="仿宋" w:eastAsia="仿宋" w:cs="仿宋"/>
          <w:b/>
          <w:color w:val="auto"/>
          <w:highlight w:val="none"/>
        </w:rPr>
        <w:t>开标一览表</w:t>
      </w:r>
      <w:bookmarkEnd w:id="256"/>
      <w:r>
        <w:rPr>
          <w:rFonts w:hint="eastAsia" w:ascii="仿宋" w:hAnsi="仿宋" w:eastAsia="仿宋" w:cs="仿宋"/>
          <w:b/>
          <w:color w:val="auto"/>
          <w:highlight w:val="none"/>
        </w:rPr>
        <w:cr/>
      </w:r>
    </w:p>
    <w:p w14:paraId="5C049495">
      <w:pPr>
        <w:pStyle w:val="9"/>
        <w:tabs>
          <w:tab w:val="left" w:pos="5580"/>
        </w:tabs>
        <w:spacing w:line="240" w:lineRule="atLeast"/>
        <w:ind w:left="1079" w:leftChars="257" w:hanging="540"/>
        <w:rPr>
          <w:rFonts w:hint="eastAsia" w:ascii="仿宋" w:hAnsi="仿宋" w:eastAsia="仿宋" w:cs="仿宋"/>
          <w:color w:val="auto"/>
          <w:highlight w:val="none"/>
        </w:rPr>
      </w:pPr>
    </w:p>
    <w:p w14:paraId="0E4F1713">
      <w:pPr>
        <w:tabs>
          <w:tab w:val="left" w:pos="1800"/>
          <w:tab w:val="left" w:pos="5580"/>
        </w:tabs>
        <w:spacing w:line="240" w:lineRule="atLeast"/>
        <w:ind w:left="1079" w:leftChars="257" w:right="-867" w:rightChars="-413"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招标编号：                 包号：         </w:t>
      </w:r>
    </w:p>
    <w:p w14:paraId="13B5C667">
      <w:pPr>
        <w:tabs>
          <w:tab w:val="left" w:pos="1800"/>
          <w:tab w:val="left" w:pos="5580"/>
        </w:tabs>
        <w:spacing w:line="240" w:lineRule="atLeast"/>
        <w:ind w:left="1079" w:leftChars="257" w:right="-867" w:rightChars="-413"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报价单位：人民币</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元</w:t>
      </w:r>
    </w:p>
    <w:tbl>
      <w:tblPr>
        <w:tblStyle w:val="39"/>
        <w:tblW w:w="9155" w:type="dxa"/>
        <w:tblInd w:w="-61" w:type="dxa"/>
        <w:tblLayout w:type="fixed"/>
        <w:tblCellMar>
          <w:top w:w="0" w:type="dxa"/>
          <w:left w:w="0" w:type="dxa"/>
          <w:bottom w:w="0" w:type="dxa"/>
          <w:right w:w="0" w:type="dxa"/>
        </w:tblCellMar>
      </w:tblPr>
      <w:tblGrid>
        <w:gridCol w:w="1420"/>
        <w:gridCol w:w="2340"/>
        <w:gridCol w:w="1518"/>
        <w:gridCol w:w="1250"/>
        <w:gridCol w:w="1498"/>
        <w:gridCol w:w="1129"/>
      </w:tblGrid>
      <w:tr w14:paraId="41D74727">
        <w:tblPrEx>
          <w:tblCellMar>
            <w:top w:w="0" w:type="dxa"/>
            <w:left w:w="0" w:type="dxa"/>
            <w:bottom w:w="0" w:type="dxa"/>
            <w:right w:w="0" w:type="dxa"/>
          </w:tblCellMar>
        </w:tblPrEx>
        <w:trPr>
          <w:trHeight w:val="662" w:hRule="atLeast"/>
        </w:trPr>
        <w:tc>
          <w:tcPr>
            <w:tcW w:w="1420" w:type="dxa"/>
            <w:tcBorders>
              <w:top w:val="single" w:color="auto" w:sz="4" w:space="0"/>
              <w:left w:val="single" w:color="auto" w:sz="4" w:space="0"/>
              <w:bottom w:val="single" w:color="auto" w:sz="8" w:space="0"/>
              <w:right w:val="single" w:color="auto" w:sz="4" w:space="0"/>
            </w:tcBorders>
            <w:noWrap w:val="0"/>
            <w:vAlign w:val="center"/>
          </w:tcPr>
          <w:p w14:paraId="580C5605">
            <w:pPr>
              <w:keepNext w:val="0"/>
              <w:keepLines w:val="0"/>
              <w:suppressLineNumbers w:val="0"/>
              <w:tabs>
                <w:tab w:val="left" w:pos="5580"/>
              </w:tabs>
              <w:spacing w:before="0" w:beforeAutospacing="0" w:after="0" w:afterAutospacing="0" w:line="240" w:lineRule="atLeast"/>
              <w:ind w:left="0" w:right="-199"/>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项目</w:t>
            </w:r>
            <w:r>
              <w:rPr>
                <w:rFonts w:hint="eastAsia" w:ascii="仿宋" w:hAnsi="仿宋" w:eastAsia="仿宋" w:cs="仿宋"/>
                <w:color w:val="auto"/>
                <w:sz w:val="24"/>
                <w:highlight w:val="none"/>
              </w:rPr>
              <w:t>名称</w:t>
            </w:r>
          </w:p>
        </w:tc>
        <w:tc>
          <w:tcPr>
            <w:tcW w:w="2340" w:type="dxa"/>
            <w:tcBorders>
              <w:top w:val="single" w:color="auto" w:sz="4" w:space="0"/>
              <w:left w:val="single" w:color="auto" w:sz="8" w:space="0"/>
              <w:bottom w:val="single" w:color="auto" w:sz="8" w:space="0"/>
              <w:right w:val="single" w:color="auto" w:sz="4" w:space="0"/>
            </w:tcBorders>
            <w:noWrap w:val="0"/>
            <w:vAlign w:val="center"/>
          </w:tcPr>
          <w:p w14:paraId="045B36D2">
            <w:pPr>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投标总价</w:t>
            </w:r>
          </w:p>
        </w:tc>
        <w:tc>
          <w:tcPr>
            <w:tcW w:w="1518" w:type="dxa"/>
            <w:tcBorders>
              <w:top w:val="single" w:color="auto" w:sz="8" w:space="0"/>
              <w:left w:val="nil"/>
              <w:bottom w:val="single" w:color="auto" w:sz="8" w:space="0"/>
              <w:right w:val="single" w:color="auto" w:sz="4" w:space="0"/>
            </w:tcBorders>
            <w:noWrap w:val="0"/>
            <w:vAlign w:val="center"/>
          </w:tcPr>
          <w:p w14:paraId="14765323">
            <w:pPr>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投标保证金</w:t>
            </w:r>
          </w:p>
        </w:tc>
        <w:tc>
          <w:tcPr>
            <w:tcW w:w="1250" w:type="dxa"/>
            <w:tcBorders>
              <w:top w:val="single" w:color="auto" w:sz="8" w:space="0"/>
              <w:left w:val="nil"/>
              <w:bottom w:val="single" w:color="auto" w:sz="8" w:space="0"/>
              <w:right w:val="single" w:color="auto" w:sz="4" w:space="0"/>
            </w:tcBorders>
            <w:noWrap w:val="0"/>
            <w:vAlign w:val="center"/>
          </w:tcPr>
          <w:p w14:paraId="1B749E12">
            <w:pPr>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履约期限</w:t>
            </w:r>
          </w:p>
        </w:tc>
        <w:tc>
          <w:tcPr>
            <w:tcW w:w="1498" w:type="dxa"/>
            <w:tcBorders>
              <w:top w:val="single" w:color="auto" w:sz="8" w:space="0"/>
              <w:left w:val="nil"/>
              <w:bottom w:val="single" w:color="auto" w:sz="8" w:space="0"/>
              <w:right w:val="single" w:color="auto" w:sz="4" w:space="0"/>
            </w:tcBorders>
            <w:noWrap w:val="0"/>
            <w:vAlign w:val="center"/>
          </w:tcPr>
          <w:p w14:paraId="4756A91F">
            <w:pPr>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履约地点</w:t>
            </w:r>
          </w:p>
        </w:tc>
        <w:tc>
          <w:tcPr>
            <w:tcW w:w="1129" w:type="dxa"/>
            <w:tcBorders>
              <w:top w:val="single" w:color="auto" w:sz="8" w:space="0"/>
              <w:left w:val="single" w:color="auto" w:sz="4" w:space="0"/>
              <w:bottom w:val="single" w:color="auto" w:sz="8" w:space="0"/>
              <w:right w:val="single" w:color="auto" w:sz="8" w:space="0"/>
            </w:tcBorders>
            <w:noWrap w:val="0"/>
            <w:vAlign w:val="center"/>
          </w:tcPr>
          <w:p w14:paraId="2756DB18">
            <w:pPr>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076BC950">
        <w:tblPrEx>
          <w:tblCellMar>
            <w:top w:w="0" w:type="dxa"/>
            <w:left w:w="0" w:type="dxa"/>
            <w:bottom w:w="0" w:type="dxa"/>
            <w:right w:w="0" w:type="dxa"/>
          </w:tblCellMar>
        </w:tblPrEx>
        <w:trPr>
          <w:cantSplit/>
          <w:trHeight w:val="1640" w:hRule="atLeast"/>
        </w:trPr>
        <w:tc>
          <w:tcPr>
            <w:tcW w:w="1420" w:type="dxa"/>
            <w:tcBorders>
              <w:top w:val="single" w:color="auto" w:sz="8" w:space="0"/>
              <w:left w:val="single" w:color="auto" w:sz="4" w:space="0"/>
              <w:bottom w:val="single" w:color="auto" w:sz="4" w:space="0"/>
              <w:right w:val="single" w:color="auto" w:sz="4" w:space="0"/>
            </w:tcBorders>
            <w:noWrap w:val="0"/>
            <w:vAlign w:val="center"/>
          </w:tcPr>
          <w:p w14:paraId="50FEDF24">
            <w:pPr>
              <w:keepNext w:val="0"/>
              <w:keepLines w:val="0"/>
              <w:suppressLineNumbers w:val="0"/>
              <w:tabs>
                <w:tab w:val="left" w:pos="5580"/>
              </w:tabs>
              <w:spacing w:before="0" w:beforeAutospacing="0" w:after="0" w:afterAutospacing="0" w:line="240" w:lineRule="atLeast"/>
              <w:ind w:left="1079" w:leftChars="257" w:right="0" w:hanging="540"/>
              <w:jc w:val="center"/>
              <w:rPr>
                <w:rFonts w:hint="eastAsia" w:ascii="仿宋" w:hAnsi="仿宋" w:eastAsia="仿宋" w:cs="仿宋"/>
                <w:color w:val="auto"/>
                <w:sz w:val="24"/>
                <w:highlight w:val="none"/>
              </w:rPr>
            </w:pPr>
          </w:p>
        </w:tc>
        <w:tc>
          <w:tcPr>
            <w:tcW w:w="2340" w:type="dxa"/>
            <w:tcBorders>
              <w:top w:val="single" w:color="auto" w:sz="8" w:space="0"/>
              <w:left w:val="single" w:color="auto" w:sz="8" w:space="0"/>
              <w:bottom w:val="single" w:color="auto" w:sz="4" w:space="0"/>
              <w:right w:val="single" w:color="auto" w:sz="4" w:space="0"/>
            </w:tcBorders>
            <w:noWrap w:val="0"/>
            <w:vAlign w:val="center"/>
          </w:tcPr>
          <w:p w14:paraId="3E07C148">
            <w:pPr>
              <w:keepNext w:val="0"/>
              <w:keepLines w:val="0"/>
              <w:suppressLineNumbers w:val="0"/>
              <w:tabs>
                <w:tab w:val="left" w:pos="5580"/>
              </w:tabs>
              <w:spacing w:before="0" w:beforeAutospacing="0" w:after="0" w:afterAutospacing="0" w:line="240" w:lineRule="atLeast"/>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大写：</w:t>
            </w:r>
          </w:p>
          <w:p w14:paraId="04F013FD">
            <w:pPr>
              <w:keepNext w:val="0"/>
              <w:keepLines w:val="0"/>
              <w:suppressLineNumbers w:val="0"/>
              <w:tabs>
                <w:tab w:val="left" w:pos="5580"/>
              </w:tabs>
              <w:spacing w:before="0" w:beforeAutospacing="0" w:after="0" w:afterAutospacing="0" w:line="240" w:lineRule="atLeast"/>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小写：</w:t>
            </w:r>
          </w:p>
        </w:tc>
        <w:tc>
          <w:tcPr>
            <w:tcW w:w="1518" w:type="dxa"/>
            <w:tcBorders>
              <w:top w:val="single" w:color="auto" w:sz="8" w:space="0"/>
              <w:left w:val="nil"/>
              <w:bottom w:val="single" w:color="auto" w:sz="4" w:space="0"/>
              <w:right w:val="single" w:color="auto" w:sz="4" w:space="0"/>
            </w:tcBorders>
            <w:noWrap w:val="0"/>
            <w:vAlign w:val="center"/>
          </w:tcPr>
          <w:p w14:paraId="7292828E">
            <w:pPr>
              <w:keepNext w:val="0"/>
              <w:keepLines w:val="0"/>
              <w:suppressLineNumbers w:val="0"/>
              <w:tabs>
                <w:tab w:val="left" w:pos="5580"/>
              </w:tabs>
              <w:spacing w:before="0" w:beforeAutospacing="0" w:after="0" w:afterAutospacing="0" w:line="240" w:lineRule="atLeast"/>
              <w:ind w:left="1079" w:leftChars="257" w:right="0" w:hanging="540"/>
              <w:jc w:val="center"/>
              <w:rPr>
                <w:rFonts w:hint="eastAsia" w:ascii="仿宋" w:hAnsi="仿宋" w:eastAsia="仿宋" w:cs="仿宋"/>
                <w:color w:val="auto"/>
                <w:sz w:val="24"/>
                <w:highlight w:val="none"/>
              </w:rPr>
            </w:pPr>
          </w:p>
        </w:tc>
        <w:tc>
          <w:tcPr>
            <w:tcW w:w="1250" w:type="dxa"/>
            <w:tcBorders>
              <w:top w:val="single" w:color="auto" w:sz="8" w:space="0"/>
              <w:left w:val="nil"/>
              <w:bottom w:val="single" w:color="auto" w:sz="4" w:space="0"/>
              <w:right w:val="single" w:color="auto" w:sz="4" w:space="0"/>
            </w:tcBorders>
            <w:noWrap w:val="0"/>
            <w:vAlign w:val="center"/>
          </w:tcPr>
          <w:p w14:paraId="1CB92D96">
            <w:pPr>
              <w:keepNext w:val="0"/>
              <w:keepLines w:val="0"/>
              <w:suppressLineNumbers w:val="0"/>
              <w:tabs>
                <w:tab w:val="left" w:pos="5580"/>
              </w:tabs>
              <w:spacing w:before="0" w:beforeAutospacing="0" w:after="0" w:afterAutospacing="0" w:line="240" w:lineRule="atLeast"/>
              <w:ind w:left="1079" w:leftChars="257" w:right="0" w:hanging="540"/>
              <w:jc w:val="center"/>
              <w:rPr>
                <w:rFonts w:hint="eastAsia" w:ascii="仿宋" w:hAnsi="仿宋" w:eastAsia="仿宋" w:cs="仿宋"/>
                <w:color w:val="auto"/>
                <w:sz w:val="24"/>
                <w:highlight w:val="none"/>
              </w:rPr>
            </w:pPr>
          </w:p>
        </w:tc>
        <w:tc>
          <w:tcPr>
            <w:tcW w:w="1498" w:type="dxa"/>
            <w:tcBorders>
              <w:top w:val="single" w:color="auto" w:sz="8" w:space="0"/>
              <w:left w:val="nil"/>
              <w:bottom w:val="single" w:color="auto" w:sz="4" w:space="0"/>
              <w:right w:val="single" w:color="auto" w:sz="4" w:space="0"/>
            </w:tcBorders>
            <w:noWrap w:val="0"/>
            <w:vAlign w:val="center"/>
          </w:tcPr>
          <w:p w14:paraId="25D02932">
            <w:pPr>
              <w:keepNext w:val="0"/>
              <w:keepLines w:val="0"/>
              <w:suppressLineNumbers w:val="0"/>
              <w:tabs>
                <w:tab w:val="left" w:pos="5580"/>
              </w:tabs>
              <w:spacing w:before="0" w:beforeAutospacing="0" w:after="0" w:afterAutospacing="0" w:line="240" w:lineRule="atLeast"/>
              <w:ind w:left="1079" w:leftChars="257" w:right="0" w:hanging="540"/>
              <w:jc w:val="center"/>
              <w:rPr>
                <w:rFonts w:hint="eastAsia" w:ascii="仿宋" w:hAnsi="仿宋" w:eastAsia="仿宋" w:cs="仿宋"/>
                <w:color w:val="auto"/>
                <w:sz w:val="24"/>
                <w:highlight w:val="none"/>
              </w:rPr>
            </w:pPr>
          </w:p>
        </w:tc>
        <w:tc>
          <w:tcPr>
            <w:tcW w:w="1129" w:type="dxa"/>
            <w:tcBorders>
              <w:top w:val="single" w:color="auto" w:sz="8" w:space="0"/>
              <w:left w:val="single" w:color="auto" w:sz="4" w:space="0"/>
              <w:bottom w:val="single" w:color="auto" w:sz="4" w:space="0"/>
              <w:right w:val="single" w:color="auto" w:sz="8" w:space="0"/>
            </w:tcBorders>
            <w:noWrap w:val="0"/>
            <w:vAlign w:val="center"/>
          </w:tcPr>
          <w:p w14:paraId="2541AA6E">
            <w:pPr>
              <w:keepNext w:val="0"/>
              <w:keepLines w:val="0"/>
              <w:suppressLineNumbers w:val="0"/>
              <w:tabs>
                <w:tab w:val="left" w:pos="5580"/>
              </w:tabs>
              <w:spacing w:before="0" w:beforeAutospacing="0" w:after="0" w:afterAutospacing="0" w:line="240" w:lineRule="atLeast"/>
              <w:ind w:left="1079" w:leftChars="257" w:right="0" w:hanging="540"/>
              <w:jc w:val="center"/>
              <w:rPr>
                <w:rFonts w:hint="eastAsia" w:ascii="仿宋" w:hAnsi="仿宋" w:eastAsia="仿宋" w:cs="仿宋"/>
                <w:color w:val="auto"/>
                <w:sz w:val="24"/>
                <w:highlight w:val="none"/>
                <w:lang w:eastAsia="zh-CN"/>
              </w:rPr>
            </w:pPr>
          </w:p>
        </w:tc>
      </w:tr>
    </w:tbl>
    <w:p w14:paraId="55862DFA">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53531474">
      <w:pPr>
        <w:pStyle w:val="17"/>
        <w:tabs>
          <w:tab w:val="left" w:pos="5580"/>
        </w:tabs>
        <w:spacing w:line="240" w:lineRule="atLeast"/>
        <w:ind w:left="1079" w:leftChars="257" w:hanging="540"/>
        <w:rPr>
          <w:rFonts w:hint="eastAsia" w:ascii="仿宋" w:hAnsi="仿宋" w:eastAsia="仿宋" w:cs="仿宋"/>
          <w:color w:val="auto"/>
          <w:sz w:val="24"/>
          <w:highlight w:val="none"/>
          <w:u w:val="single"/>
        </w:rPr>
      </w:pPr>
    </w:p>
    <w:p w14:paraId="275DFA37">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w:t>
      </w:r>
      <w:r>
        <w:rPr>
          <w:rFonts w:hint="eastAsia" w:ascii="仿宋" w:hAnsi="仿宋" w:eastAsia="仿宋" w:cs="仿宋"/>
          <w:color w:val="auto"/>
          <w:sz w:val="24"/>
          <w:highlight w:val="none"/>
          <w:lang w:eastAsia="zh-CN"/>
        </w:rPr>
        <w:t>电子签章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65B1ABB9">
      <w:pPr>
        <w:pStyle w:val="17"/>
        <w:tabs>
          <w:tab w:val="left" w:pos="5580"/>
        </w:tabs>
        <w:spacing w:line="240" w:lineRule="atLeast"/>
        <w:ind w:left="1079"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法定代表人或委托代理(</w:t>
      </w:r>
      <w:r>
        <w:rPr>
          <w:rFonts w:hint="eastAsia" w:ascii="仿宋" w:hAnsi="仿宋" w:eastAsia="仿宋" w:cs="仿宋"/>
          <w:color w:val="auto"/>
          <w:sz w:val="24"/>
          <w:highlight w:val="none"/>
          <w:lang w:val="en-US" w:eastAsia="zh-CN"/>
        </w:rPr>
        <w:t>CA</w:t>
      </w:r>
      <w:r>
        <w:rPr>
          <w:rFonts w:hint="eastAsia" w:ascii="仿宋" w:hAnsi="仿宋" w:eastAsia="仿宋" w:cs="仿宋"/>
          <w:color w:val="auto"/>
          <w:sz w:val="24"/>
          <w:highlight w:val="none"/>
        </w:rPr>
        <w:t>签字):</w:t>
      </w:r>
      <w:r>
        <w:rPr>
          <w:rFonts w:hint="eastAsia" w:ascii="仿宋" w:hAnsi="仿宋" w:eastAsia="仿宋" w:cs="仿宋"/>
          <w:color w:val="auto"/>
          <w:sz w:val="24"/>
          <w:highlight w:val="none"/>
          <w:u w:val="single"/>
        </w:rPr>
        <w:tab/>
      </w:r>
    </w:p>
    <w:p w14:paraId="193664EB">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73C94CE0">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3AD2DAE4">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注:1、此表应按</w:t>
      </w:r>
      <w:r>
        <w:rPr>
          <w:rFonts w:hint="eastAsia" w:ascii="仿宋" w:hAnsi="仿宋" w:eastAsia="仿宋" w:cs="仿宋"/>
          <w:color w:val="auto"/>
          <w:sz w:val="24"/>
          <w:highlight w:val="none"/>
          <w:lang w:val="en-US" w:eastAsia="zh-CN"/>
        </w:rPr>
        <w:t>招标文件</w:t>
      </w:r>
      <w:r>
        <w:rPr>
          <w:rFonts w:hint="eastAsia" w:ascii="仿宋" w:hAnsi="仿宋" w:eastAsia="仿宋" w:cs="仿宋"/>
          <w:color w:val="auto"/>
          <w:sz w:val="24"/>
          <w:highlight w:val="none"/>
        </w:rPr>
        <w:t>的规定</w:t>
      </w:r>
      <w:r>
        <w:rPr>
          <w:rFonts w:hint="eastAsia" w:ascii="仿宋" w:hAnsi="仿宋" w:eastAsia="仿宋" w:cs="仿宋"/>
          <w:color w:val="auto"/>
          <w:sz w:val="24"/>
          <w:highlight w:val="none"/>
          <w:lang w:val="en-US" w:eastAsia="zh-CN"/>
        </w:rPr>
        <w:t>填写</w:t>
      </w:r>
      <w:r>
        <w:rPr>
          <w:rFonts w:hint="eastAsia" w:ascii="仿宋" w:hAnsi="仿宋" w:eastAsia="仿宋" w:cs="仿宋"/>
          <w:color w:val="auto"/>
          <w:sz w:val="24"/>
          <w:highlight w:val="none"/>
        </w:rPr>
        <w:t>。</w:t>
      </w:r>
    </w:p>
    <w:p w14:paraId="623E53EE">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2、此表中，每包的投标总价应和投标分项报价表的总价相一致。</w:t>
      </w:r>
    </w:p>
    <w:p w14:paraId="3AEF8E07">
      <w:pPr>
        <w:rPr>
          <w:rFonts w:hint="eastAsia" w:ascii="仿宋" w:hAnsi="仿宋" w:eastAsia="仿宋" w:cs="仿宋"/>
          <w:b/>
          <w:color w:val="auto"/>
          <w:sz w:val="24"/>
          <w:highlight w:val="none"/>
        </w:rPr>
      </w:pPr>
      <w:r>
        <w:rPr>
          <w:rFonts w:hint="eastAsia" w:ascii="仿宋" w:hAnsi="仿宋" w:eastAsia="仿宋" w:cs="仿宋"/>
          <w:color w:val="auto"/>
          <w:sz w:val="24"/>
          <w:highlight w:val="none"/>
        </w:rPr>
        <w:br w:type="page"/>
      </w:r>
    </w:p>
    <w:p w14:paraId="73849954">
      <w:pPr>
        <w:pStyle w:val="17"/>
        <w:tabs>
          <w:tab w:val="left" w:pos="5580"/>
        </w:tabs>
        <w:spacing w:line="240" w:lineRule="atLeast"/>
        <w:ind w:left="1079" w:leftChars="257" w:hanging="540"/>
        <w:jc w:val="center"/>
        <w:rPr>
          <w:rFonts w:hint="eastAsia" w:ascii="仿宋" w:hAnsi="仿宋" w:eastAsia="仿宋" w:cs="仿宋"/>
          <w:b/>
          <w:color w:val="auto"/>
          <w:sz w:val="24"/>
          <w:highlight w:val="none"/>
        </w:rPr>
      </w:pPr>
    </w:p>
    <w:p w14:paraId="6E79B9E6">
      <w:pPr>
        <w:pStyle w:val="4"/>
        <w:spacing w:before="0" w:line="240" w:lineRule="atLeast"/>
        <w:ind w:left="1079" w:leftChars="257" w:hanging="540"/>
        <w:rPr>
          <w:rFonts w:hint="eastAsia" w:ascii="仿宋" w:hAnsi="仿宋" w:eastAsia="仿宋" w:cs="仿宋"/>
          <w:color w:val="auto"/>
          <w:sz w:val="24"/>
          <w:highlight w:val="none"/>
        </w:rPr>
      </w:pPr>
      <w:bookmarkStart w:id="261" w:name="_Toc17577"/>
      <w:bookmarkStart w:id="262" w:name="_Toc515647805"/>
      <w:bookmarkStart w:id="263" w:name="_Toc29899"/>
      <w:bookmarkStart w:id="264" w:name="_Toc20180"/>
      <w:r>
        <w:rPr>
          <w:rFonts w:hint="eastAsia" w:ascii="仿宋" w:hAnsi="仿宋" w:eastAsia="仿宋" w:cs="仿宋"/>
          <w:color w:val="auto"/>
          <w:sz w:val="24"/>
          <w:highlight w:val="none"/>
        </w:rPr>
        <w:t xml:space="preserve">2  </w:t>
      </w:r>
      <w:bookmarkEnd w:id="261"/>
      <w:bookmarkEnd w:id="262"/>
      <w:bookmarkEnd w:id="263"/>
      <w:r>
        <w:rPr>
          <w:rFonts w:hint="eastAsia" w:ascii="仿宋" w:hAnsi="仿宋" w:eastAsia="仿宋" w:cs="仿宋"/>
          <w:color w:val="auto"/>
          <w:sz w:val="24"/>
          <w:highlight w:val="none"/>
          <w:lang w:eastAsia="zh-CN"/>
        </w:rPr>
        <w:t>法人或者非法人组织的营业执照等证明文件或自然人的身份证明</w:t>
      </w:r>
      <w:bookmarkEnd w:id="264"/>
    </w:p>
    <w:p w14:paraId="13ACB5B0">
      <w:pPr>
        <w:pStyle w:val="17"/>
        <w:tabs>
          <w:tab w:val="left" w:pos="5580"/>
        </w:tabs>
        <w:spacing w:line="240" w:lineRule="atLeast"/>
        <w:ind w:left="1079" w:leftChars="257" w:hanging="540"/>
        <w:jc w:val="center"/>
        <w:rPr>
          <w:rFonts w:hint="eastAsia" w:ascii="仿宋" w:hAnsi="仿宋" w:eastAsia="仿宋" w:cs="仿宋"/>
          <w:b/>
          <w:color w:val="auto"/>
          <w:sz w:val="24"/>
          <w:highlight w:val="none"/>
        </w:rPr>
      </w:pPr>
    </w:p>
    <w:p w14:paraId="40F2E0EF">
      <w:pPr>
        <w:pStyle w:val="17"/>
        <w:tabs>
          <w:tab w:val="left" w:pos="5580"/>
        </w:tabs>
        <w:spacing w:line="240" w:lineRule="atLeast"/>
        <w:ind w:left="1079" w:leftChars="257" w:hanging="540"/>
        <w:rPr>
          <w:rFonts w:hint="eastAsia" w:ascii="仿宋" w:hAnsi="仿宋" w:eastAsia="仿宋" w:cs="仿宋"/>
          <w:b/>
          <w:color w:val="auto"/>
          <w:sz w:val="24"/>
          <w:highlight w:val="none"/>
        </w:rPr>
      </w:pPr>
    </w:p>
    <w:p w14:paraId="037A21E4">
      <w:pPr>
        <w:pStyle w:val="17"/>
        <w:tabs>
          <w:tab w:val="left" w:pos="5580"/>
        </w:tabs>
        <w:spacing w:line="240" w:lineRule="atLeast"/>
        <w:ind w:left="1079" w:leftChars="257" w:hanging="540"/>
        <w:rPr>
          <w:rFonts w:hint="eastAsia" w:ascii="仿宋" w:hAnsi="仿宋" w:eastAsia="仿宋" w:cs="仿宋"/>
          <w:b/>
          <w:color w:val="auto"/>
          <w:sz w:val="24"/>
          <w:highlight w:val="none"/>
        </w:rPr>
      </w:pPr>
    </w:p>
    <w:p w14:paraId="2641CFFD">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说明：1.提供有效的营业执照复印件，复印件上应加盖本单位章。</w:t>
      </w:r>
    </w:p>
    <w:p w14:paraId="0AE4E63E">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2.投标人为自然人的，应提供身份证明的复印件。</w:t>
      </w:r>
    </w:p>
    <w:p w14:paraId="6C14A77E">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3.联合体投标应提供联合体各方满足以上要求的证明文件。</w:t>
      </w:r>
    </w:p>
    <w:p w14:paraId="4B5DBDE5">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65C6DE49">
      <w:pPr>
        <w:pStyle w:val="17"/>
        <w:tabs>
          <w:tab w:val="left" w:pos="5580"/>
        </w:tabs>
        <w:spacing w:line="240" w:lineRule="atLeast"/>
        <w:ind w:left="1079" w:leftChars="257" w:hanging="54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3FE07EEE">
      <w:pPr>
        <w:pStyle w:val="4"/>
        <w:spacing w:before="0" w:line="240" w:lineRule="atLeast"/>
        <w:ind w:left="1079" w:leftChars="257" w:hanging="540"/>
        <w:rPr>
          <w:rFonts w:hint="eastAsia" w:ascii="仿宋" w:hAnsi="仿宋" w:eastAsia="仿宋" w:cs="仿宋"/>
          <w:sz w:val="24"/>
          <w:szCs w:val="24"/>
        </w:rPr>
      </w:pPr>
      <w:bookmarkStart w:id="265" w:name="_Toc22472"/>
      <w:bookmarkStart w:id="266" w:name="_Toc19153"/>
      <w:bookmarkStart w:id="267" w:name="_Toc1083"/>
      <w:bookmarkStart w:id="268" w:name="_Toc515647807"/>
      <w:r>
        <w:rPr>
          <w:rFonts w:hint="eastAsia" w:ascii="仿宋" w:hAnsi="仿宋" w:eastAsia="仿宋" w:cs="仿宋"/>
          <w:color w:val="auto"/>
          <w:sz w:val="24"/>
          <w:highlight w:val="none"/>
        </w:rPr>
        <w:t xml:space="preserve">3  </w:t>
      </w:r>
      <w:r>
        <w:rPr>
          <w:rFonts w:hint="eastAsia" w:ascii="仿宋" w:hAnsi="仿宋" w:eastAsia="仿宋" w:cs="仿宋"/>
          <w:sz w:val="24"/>
          <w:szCs w:val="24"/>
        </w:rPr>
        <w:t>法定代表人资格证明书或法人授权委托书及被授权人身份证</w:t>
      </w:r>
      <w:r>
        <w:rPr>
          <w:rFonts w:hint="eastAsia" w:ascii="仿宋" w:hAnsi="仿宋" w:eastAsia="仿宋" w:cs="仿宋"/>
          <w:color w:val="auto"/>
          <w:sz w:val="24"/>
          <w:highlight w:val="none"/>
        </w:rPr>
        <w:t>(投标文件格式二，自然人投标的无需提供)</w:t>
      </w:r>
      <w:bookmarkEnd w:id="265"/>
      <w:bookmarkEnd w:id="266"/>
      <w:bookmarkEnd w:id="267"/>
      <w:bookmarkEnd w:id="268"/>
    </w:p>
    <w:p w14:paraId="3F85AEF4">
      <w:pPr>
        <w:pStyle w:val="4"/>
        <w:spacing w:before="0" w:line="240" w:lineRule="atLeast"/>
        <w:ind w:left="1079" w:leftChars="257" w:hanging="540"/>
        <w:rPr>
          <w:rFonts w:hint="eastAsia" w:ascii="仿宋" w:hAnsi="仿宋" w:eastAsia="仿宋" w:cs="仿宋"/>
          <w:sz w:val="24"/>
          <w:szCs w:val="24"/>
        </w:rPr>
      </w:pPr>
      <w:bookmarkStart w:id="269" w:name="_Toc7849"/>
      <w:r>
        <w:rPr>
          <w:rFonts w:hint="eastAsia" w:ascii="仿宋" w:hAnsi="仿宋" w:eastAsia="仿宋" w:cs="仿宋"/>
          <w:sz w:val="24"/>
          <w:szCs w:val="24"/>
        </w:rPr>
        <w:t>3.1法定代表人身份证明</w:t>
      </w:r>
      <w:bookmarkEnd w:id="269"/>
    </w:p>
    <w:p w14:paraId="6B88EBCD">
      <w:pPr>
        <w:rPr>
          <w:rFonts w:hint="eastAsia" w:ascii="仿宋" w:hAnsi="仿宋" w:eastAsia="仿宋" w:cs="仿宋"/>
          <w:sz w:val="24"/>
        </w:rPr>
      </w:pPr>
      <w:r>
        <w:rPr>
          <w:rFonts w:hint="eastAsia" w:ascii="仿宋" w:hAnsi="仿宋" w:eastAsia="仿宋" w:cs="仿宋"/>
          <w:sz w:val="24"/>
        </w:rPr>
        <w:t xml:space="preserve">               同志，现任我单位          职务，为法定代表人，特此证明。</w:t>
      </w:r>
    </w:p>
    <w:p w14:paraId="3B531CBE">
      <w:pPr>
        <w:ind w:firstLine="240" w:firstLineChars="100"/>
        <w:rPr>
          <w:rFonts w:hint="eastAsia" w:ascii="仿宋" w:hAnsi="仿宋" w:eastAsia="仿宋" w:cs="仿宋"/>
          <w:sz w:val="24"/>
        </w:rPr>
      </w:pPr>
      <w:r>
        <w:rPr>
          <w:rFonts w:hint="eastAsia" w:ascii="仿宋" w:hAnsi="仿宋" w:eastAsia="仿宋" w:cs="仿宋"/>
          <w:sz w:val="24"/>
        </w:rPr>
        <w:t xml:space="preserve">签发日期：                  单位：         </w:t>
      </w:r>
    </w:p>
    <w:p w14:paraId="00B341D8">
      <w:pPr>
        <w:ind w:firstLine="240" w:firstLineChars="100"/>
        <w:rPr>
          <w:rFonts w:hint="eastAsia" w:ascii="仿宋" w:hAnsi="仿宋" w:eastAsia="仿宋" w:cs="仿宋"/>
          <w:sz w:val="24"/>
        </w:rPr>
      </w:pPr>
      <w:r>
        <w:rPr>
          <w:rFonts w:hint="eastAsia" w:ascii="仿宋" w:hAnsi="仿宋" w:eastAsia="仿宋" w:cs="仿宋"/>
          <w:sz w:val="24"/>
        </w:rPr>
        <w:t>附：代表人性别：            年龄：           身份证号码：</w:t>
      </w:r>
    </w:p>
    <w:p w14:paraId="46760841">
      <w:pPr>
        <w:ind w:firstLine="240" w:firstLineChars="100"/>
        <w:rPr>
          <w:rFonts w:hint="eastAsia" w:ascii="仿宋" w:hAnsi="仿宋" w:eastAsia="仿宋" w:cs="仿宋"/>
          <w:sz w:val="24"/>
        </w:rPr>
      </w:pPr>
      <w:r>
        <w:rPr>
          <w:rFonts w:hint="eastAsia" w:ascii="仿宋" w:hAnsi="仿宋" w:eastAsia="仿宋" w:cs="仿宋"/>
          <w:sz w:val="24"/>
        </w:rPr>
        <w:t>联系电话：</w:t>
      </w:r>
    </w:p>
    <w:p w14:paraId="203C0C77">
      <w:pPr>
        <w:ind w:firstLine="240" w:firstLineChars="100"/>
        <w:rPr>
          <w:rFonts w:hint="eastAsia" w:ascii="仿宋" w:hAnsi="仿宋" w:eastAsia="仿宋" w:cs="仿宋"/>
          <w:sz w:val="24"/>
        </w:rPr>
      </w:pPr>
      <w:r>
        <w:rPr>
          <w:rFonts w:hint="eastAsia" w:ascii="仿宋" w:hAnsi="仿宋" w:eastAsia="仿宋" w:cs="仿宋"/>
          <w:sz w:val="24"/>
        </w:rPr>
        <w:t>营业执照号码：              经济性质：</w:t>
      </w:r>
    </w:p>
    <w:p w14:paraId="727EB699">
      <w:pPr>
        <w:rPr>
          <w:rFonts w:hint="eastAsia" w:ascii="仿宋" w:hAnsi="仿宋" w:eastAsia="仿宋" w:cs="仿宋"/>
          <w:sz w:val="24"/>
        </w:rPr>
      </w:pPr>
      <w:r>
        <w:rPr>
          <w:rFonts w:hint="eastAsia" w:ascii="仿宋" w:hAnsi="仿宋" w:eastAsia="仿宋" w:cs="仿宋"/>
          <w:sz w:val="24"/>
        </w:rPr>
        <w:t>说明：</w:t>
      </w:r>
    </w:p>
    <w:p w14:paraId="3AD43DB7">
      <w:pPr>
        <w:ind w:firstLine="240" w:firstLineChars="100"/>
        <w:rPr>
          <w:rFonts w:hint="eastAsia" w:ascii="仿宋" w:hAnsi="仿宋" w:eastAsia="仿宋" w:cs="仿宋"/>
          <w:sz w:val="24"/>
        </w:rPr>
      </w:pPr>
      <w:r>
        <w:rPr>
          <w:rFonts w:hint="eastAsia" w:ascii="仿宋" w:hAnsi="仿宋" w:eastAsia="仿宋" w:cs="仿宋"/>
          <w:sz w:val="24"/>
        </w:rPr>
        <w:t>1、法定代表人为企业事业单位、国家机关、社会团体的主要行政负责人。</w:t>
      </w:r>
    </w:p>
    <w:p w14:paraId="7633176F">
      <w:pPr>
        <w:rPr>
          <w:rFonts w:hint="eastAsia" w:ascii="仿宋" w:hAnsi="仿宋" w:eastAsia="仿宋" w:cs="仿宋"/>
          <w:sz w:val="24"/>
        </w:rPr>
      </w:pPr>
      <w:r>
        <w:rPr>
          <w:rFonts w:hint="eastAsia" w:ascii="仿宋" w:hAnsi="仿宋" w:eastAsia="仿宋" w:cs="仿宋"/>
          <w:sz w:val="24"/>
        </w:rPr>
        <w:t xml:space="preserve">  2、内容必须填写真实、清楚、涂改无效，不得转让。</w:t>
      </w:r>
    </w:p>
    <w:p w14:paraId="65614A69">
      <w:pPr>
        <w:rPr>
          <w:rFonts w:hint="eastAsia" w:ascii="仿宋" w:hAnsi="仿宋" w:eastAsia="仿宋" w:cs="仿宋"/>
          <w:sz w:val="24"/>
        </w:rPr>
      </w:pPr>
      <w:r>
        <w:rPr>
          <w:rFonts w:hint="eastAsia" w:ascii="仿宋" w:hAnsi="仿宋" w:eastAsia="仿宋" w:cs="仿宋"/>
          <w:sz w:val="24"/>
        </w:rPr>
        <w:t xml:space="preserve">  (为避免废标，请供应商务必提供本附件)</w:t>
      </w:r>
    </w:p>
    <w:p w14:paraId="61872B7B">
      <w:pPr>
        <w:rPr>
          <w:rFonts w:hint="eastAsia" w:ascii="仿宋" w:hAnsi="仿宋" w:eastAsia="仿宋" w:cs="仿宋"/>
          <w:sz w:val="24"/>
        </w:rPr>
      </w:pPr>
      <w:r>
        <w:rPr>
          <w:rFonts w:hint="eastAsia" w:ascii="仿宋" w:hAnsi="仿宋" w:eastAsia="仿宋" w:cs="仿宋"/>
          <w:sz w:val="24"/>
        </w:rPr>
        <mc:AlternateContent>
          <mc:Choice Requires="wps">
            <w:drawing>
              <wp:anchor distT="0" distB="0" distL="114300" distR="114300" simplePos="0" relativeHeight="251659264" behindDoc="0" locked="0" layoutInCell="1" allowOverlap="1">
                <wp:simplePos x="0" y="0"/>
                <wp:positionH relativeFrom="column">
                  <wp:posOffset>154305</wp:posOffset>
                </wp:positionH>
                <wp:positionV relativeFrom="paragraph">
                  <wp:posOffset>10795</wp:posOffset>
                </wp:positionV>
                <wp:extent cx="4281805" cy="1375410"/>
                <wp:effectExtent l="4445" t="4445" r="19050" b="10795"/>
                <wp:wrapNone/>
                <wp:docPr id="14" name="流程图: 可选过程 14"/>
                <wp:cNvGraphicFramePr/>
                <a:graphic xmlns:a="http://schemas.openxmlformats.org/drawingml/2006/main">
                  <a:graphicData uri="http://schemas.microsoft.com/office/word/2010/wordprocessingShape">
                    <wps:wsp>
                      <wps:cNvSpPr/>
                      <wps:spPr>
                        <a:xfrm>
                          <a:off x="0" y="0"/>
                          <a:ext cx="428180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726DA9F8">
                            <w:pPr>
                              <w:jc w:val="center"/>
                              <w:rPr>
                                <w:rFonts w:hAnsi="宋体"/>
                                <w:szCs w:val="21"/>
                              </w:rPr>
                            </w:pPr>
                          </w:p>
                          <w:p w14:paraId="6B10CE6F">
                            <w:pPr>
                              <w:jc w:val="center"/>
                              <w:rPr>
                                <w:rFonts w:hAnsi="宋体"/>
                                <w:szCs w:val="21"/>
                              </w:rPr>
                            </w:pPr>
                          </w:p>
                          <w:p w14:paraId="1D876B1F">
                            <w:pPr>
                              <w:jc w:val="center"/>
                              <w:rPr>
                                <w:rFonts w:hAnsi="宋体"/>
                                <w:szCs w:val="21"/>
                              </w:rPr>
                            </w:pPr>
                          </w:p>
                          <w:p w14:paraId="127132CA">
                            <w:pPr>
                              <w:jc w:val="center"/>
                              <w:rPr>
                                <w:szCs w:val="21"/>
                              </w:rPr>
                            </w:pPr>
                            <w:r>
                              <w:rPr>
                                <w:rFonts w:hint="eastAsia" w:hAnsi="宋体"/>
                                <w:szCs w:val="21"/>
                              </w:rPr>
                              <w:t>法定代表人身份证复印件正反面</w:t>
                            </w:r>
                          </w:p>
                        </w:txbxContent>
                      </wps:txbx>
                      <wps:bodyPr vert="horz" wrap="square" anchor="t" anchorCtr="0" upright="1"/>
                    </wps:wsp>
                  </a:graphicData>
                </a:graphic>
              </wp:anchor>
            </w:drawing>
          </mc:Choice>
          <mc:Fallback>
            <w:pict>
              <v:shape id="_x0000_s1026" o:spid="_x0000_s1026" o:spt="176" type="#_x0000_t176" style="position:absolute;left:0pt;margin-left:12.15pt;margin-top:0.85pt;height:108.3pt;width:337.15pt;z-index:251659264;mso-width-relative:page;mso-height-relative:page;" fillcolor="#FFFFFF" filled="t" stroked="t" coordsize="21600,21600" o:gfxdata="UEsDBAoAAAAAAIdO4kAAAAAAAAAAAAAAAAAEAAAAZHJzL1BLAwQUAAAACACHTuJA24EtONYAAAAI&#10;AQAADwAAAGRycy9kb3ducmV2LnhtbE2PQU+EMBCF7yb+h2ZMvLmFxbAsS9kYjZ68iJt4LXQEsnRK&#10;aGHRX+940uO89/Lme8VxtYNYcPK9IwXxJgKB1DjTU6vg9P58l4HwQZPRgyNU8IUejuX1VaFz4y70&#10;hksVWsEl5HOtoAthzKX0TYdW+40bkdj7dJPVgc+plWbSFy63g9xGUSqt7ok/dHrExw6bczVbBevr&#10;d72fX+KmCl2W7j6S5enhJJW6vYmjA4iAa/gLwy8+o0PJTLWbyXgxKNjeJ5xkfQeC7XSfpSBq1uMs&#10;AVkW8v+A8gdQSwMEFAAAAAgAh07iQFng/eNMAgAAkwQAAA4AAABkcnMvZTJvRG9jLnhtbK1UTa7T&#10;MBDeI3EHy3uatLSoRE2fUEvZIKj04ABTx2ks+Q/bbVpWsEKIBQfgAuxYsYXTPH5uwdgppe/Boguy&#10;SMb2zDfzfZ7J5GKnJNly54XRJe33ckq4ZqYSel3S588Wd8aU+AC6Amk0L+mee3oxvX1r0tqCD0xj&#10;ZMUdQRDti9aWtAnBFlnmWcMV+J6xXONhbZyCgEu3zioHLaIrmQ3y/F7WGldZZxj3Hnfn3SE9ILpz&#10;AE1dC8bnhm0U16FDdVxCQEq+EdbTaaq2rjkLT+va80BkSZFpSG9MgvYqvrPpBIq1A9sIdigBzinh&#10;BicFQmPSI9QcApCNE39BKcGc8aYOPWZU1hFJiiCLfn5Dm8sGLE9cUGpvj6L7/wfLnmyXjogKO2FI&#10;iQaFN/7t8+vvH99dffhSkKv3n36+evvj6xvcIOiBcrXWFxh1aZfusPJoRu672qn4RVZklyTeHyXm&#10;u0AYbg4H4/44H1HC8Kw/Gg/vDkYRNfsTbp0Pj7hRJBolraVpZw248EAG7jQEvuyaJ+kN28c+dPG/&#10;42IJ3khRLYSUaeHWq5l0ZAvYBIv0HFJec5OatCW9P8KCCAPs7Bo7Ck1lUR2v1ynftQh/Cpyn51/A&#10;sbA5+KYrICFENyiUQEbJajhUD3VFwt7iBWgcPBqLUbyiRHKc02glzwBCnuOJgkodk/A0BQeV4uV1&#10;1xWtsFvtEDSaK1PtsRHwv4CSN8a9xPw4FUj8xQYcVgOa4XZJUZHOnIVujDbWiXWDUf3EPYJhr6Yb&#10;PcxVHIbTNdqn/5LpL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NuBLTjWAAAACAEAAA8AAAAAAAAA&#10;AQAgAAAAIgAAAGRycy9kb3ducmV2LnhtbFBLAQIUABQAAAAIAIdO4kBZ4P3jTAIAAJMEAAAOAAAA&#10;AAAAAAEAIAAAACUBAABkcnMvZTJvRG9jLnhtbFBLBQYAAAAABgAGAFkBAADjBQAAAAA=&#10;">
                <v:fill on="t" focussize="0,0"/>
                <v:stroke color="#000000" joinstyle="miter"/>
                <v:imagedata o:title=""/>
                <o:lock v:ext="edit" aspectratio="f"/>
                <v:textbox>
                  <w:txbxContent>
                    <w:p w14:paraId="726DA9F8">
                      <w:pPr>
                        <w:jc w:val="center"/>
                        <w:rPr>
                          <w:rFonts w:hAnsi="宋体"/>
                          <w:szCs w:val="21"/>
                        </w:rPr>
                      </w:pPr>
                    </w:p>
                    <w:p w14:paraId="6B10CE6F">
                      <w:pPr>
                        <w:jc w:val="center"/>
                        <w:rPr>
                          <w:rFonts w:hAnsi="宋体"/>
                          <w:szCs w:val="21"/>
                        </w:rPr>
                      </w:pPr>
                    </w:p>
                    <w:p w14:paraId="1D876B1F">
                      <w:pPr>
                        <w:jc w:val="center"/>
                        <w:rPr>
                          <w:rFonts w:hAnsi="宋体"/>
                          <w:szCs w:val="21"/>
                        </w:rPr>
                      </w:pPr>
                    </w:p>
                    <w:p w14:paraId="127132CA">
                      <w:pPr>
                        <w:jc w:val="center"/>
                        <w:rPr>
                          <w:szCs w:val="21"/>
                        </w:rPr>
                      </w:pPr>
                      <w:r>
                        <w:rPr>
                          <w:rFonts w:hint="eastAsia" w:hAnsi="宋体"/>
                          <w:szCs w:val="21"/>
                        </w:rPr>
                        <w:t>法定代表人身份证复印件正反面</w:t>
                      </w:r>
                    </w:p>
                  </w:txbxContent>
                </v:textbox>
              </v:shape>
            </w:pict>
          </mc:Fallback>
        </mc:AlternateContent>
      </w:r>
    </w:p>
    <w:p w14:paraId="64F43EAA">
      <w:pPr>
        <w:rPr>
          <w:rFonts w:hint="eastAsia" w:ascii="仿宋" w:hAnsi="仿宋" w:eastAsia="仿宋" w:cs="仿宋"/>
          <w:sz w:val="24"/>
        </w:rPr>
      </w:pPr>
    </w:p>
    <w:p w14:paraId="48CB3E3B">
      <w:pPr>
        <w:rPr>
          <w:rFonts w:hint="eastAsia" w:ascii="仿宋" w:hAnsi="仿宋" w:eastAsia="仿宋" w:cs="仿宋"/>
          <w:sz w:val="24"/>
        </w:rPr>
      </w:pPr>
    </w:p>
    <w:p w14:paraId="6F2549A4">
      <w:pPr>
        <w:autoSpaceDE w:val="0"/>
        <w:autoSpaceDN w:val="0"/>
        <w:adjustRightInd w:val="0"/>
        <w:ind w:right="246"/>
        <w:rPr>
          <w:rFonts w:hint="eastAsia" w:ascii="仿宋" w:hAnsi="仿宋" w:eastAsia="仿宋" w:cs="仿宋"/>
          <w:sz w:val="24"/>
        </w:rPr>
      </w:pPr>
    </w:p>
    <w:p w14:paraId="4E7CD915">
      <w:pPr>
        <w:autoSpaceDE w:val="0"/>
        <w:autoSpaceDN w:val="0"/>
        <w:adjustRightInd w:val="0"/>
        <w:ind w:right="246" w:firstLine="784" w:firstLineChars="327"/>
        <w:rPr>
          <w:rFonts w:hint="eastAsia" w:ascii="仿宋" w:hAnsi="仿宋" w:eastAsia="仿宋" w:cs="仿宋"/>
          <w:sz w:val="24"/>
        </w:rPr>
      </w:pPr>
      <w:r>
        <w:rPr>
          <w:rFonts w:hint="eastAsia" w:ascii="仿宋" w:hAnsi="仿宋" w:eastAsia="仿宋" w:cs="仿宋"/>
          <w:sz w:val="24"/>
        </w:rPr>
        <w:t xml:space="preserve">供应商（盖章）：                              </w:t>
      </w:r>
    </w:p>
    <w:p w14:paraId="3205498C">
      <w:pPr>
        <w:adjustRightInd w:val="0"/>
        <w:snapToGrid w:val="0"/>
        <w:ind w:firstLine="784" w:firstLineChars="327"/>
        <w:rPr>
          <w:rFonts w:hint="eastAsia" w:ascii="仿宋" w:hAnsi="仿宋" w:eastAsia="仿宋" w:cs="仿宋"/>
          <w:sz w:val="24"/>
        </w:rPr>
      </w:pPr>
    </w:p>
    <w:p w14:paraId="6E9C7C6C">
      <w:pPr>
        <w:adjustRightInd w:val="0"/>
        <w:snapToGrid w:val="0"/>
        <w:ind w:firstLine="784" w:firstLineChars="327"/>
        <w:rPr>
          <w:rFonts w:hint="eastAsia" w:ascii="仿宋" w:hAnsi="仿宋" w:eastAsia="仿宋" w:cs="仿宋"/>
          <w:sz w:val="24"/>
        </w:rPr>
      </w:pPr>
      <w:r>
        <w:rPr>
          <w:rFonts w:hint="eastAsia" w:ascii="仿宋" w:hAnsi="仿宋" w:eastAsia="仿宋" w:cs="仿宋"/>
          <w:sz w:val="24"/>
        </w:rPr>
        <w:t xml:space="preserve">法定代表人(签/章)： </w:t>
      </w:r>
    </w:p>
    <w:p w14:paraId="28C6FAC6">
      <w:pPr>
        <w:pStyle w:val="17"/>
        <w:tabs>
          <w:tab w:val="left" w:pos="5370"/>
        </w:tabs>
        <w:spacing w:line="240" w:lineRule="atLeast"/>
        <w:ind w:left="1155" w:leftChars="371" w:hanging="376" w:hangingChars="157"/>
        <w:rPr>
          <w:rFonts w:hint="eastAsia" w:ascii="仿宋" w:hAnsi="仿宋" w:eastAsia="仿宋" w:cs="仿宋"/>
          <w:sz w:val="24"/>
          <w:szCs w:val="24"/>
        </w:rPr>
      </w:pPr>
    </w:p>
    <w:p w14:paraId="0D25071C">
      <w:pPr>
        <w:pStyle w:val="17"/>
        <w:tabs>
          <w:tab w:val="left" w:pos="5370"/>
        </w:tabs>
        <w:spacing w:line="240" w:lineRule="atLeast"/>
        <w:ind w:left="1155" w:leftChars="371" w:hanging="376" w:hangingChars="157"/>
        <w:rPr>
          <w:rFonts w:hint="eastAsia" w:ascii="仿宋" w:hAnsi="仿宋" w:eastAsia="仿宋" w:cs="仿宋"/>
          <w:sz w:val="24"/>
          <w:szCs w:val="24"/>
        </w:rPr>
      </w:pPr>
    </w:p>
    <w:p w14:paraId="1B840400">
      <w:pPr>
        <w:pStyle w:val="17"/>
        <w:tabs>
          <w:tab w:val="left" w:pos="5370"/>
        </w:tabs>
        <w:spacing w:line="240" w:lineRule="atLeast"/>
        <w:ind w:left="1155" w:leftChars="371" w:hanging="376" w:hangingChars="157"/>
        <w:rPr>
          <w:rFonts w:hint="eastAsia" w:ascii="仿宋" w:hAnsi="仿宋" w:eastAsia="仿宋" w:cs="仿宋"/>
          <w:sz w:val="24"/>
        </w:rPr>
      </w:pPr>
      <w:r>
        <w:rPr>
          <w:rFonts w:hint="eastAsia" w:ascii="仿宋" w:hAnsi="仿宋" w:eastAsia="仿宋" w:cs="仿宋"/>
          <w:sz w:val="24"/>
          <w:szCs w:val="24"/>
        </w:rPr>
        <w:t>供应商(</w:t>
      </w:r>
      <w:r>
        <w:rPr>
          <w:rFonts w:hint="eastAsia" w:ascii="仿宋" w:hAnsi="仿宋" w:eastAsia="仿宋" w:cs="仿宋"/>
          <w:color w:val="auto"/>
          <w:sz w:val="24"/>
          <w:highlight w:val="none"/>
          <w:lang w:eastAsia="zh-CN"/>
        </w:rPr>
        <w:t>电子签章</w:t>
      </w:r>
      <w:r>
        <w:rPr>
          <w:rFonts w:hint="eastAsia" w:ascii="仿宋" w:hAnsi="仿宋" w:eastAsia="仿宋" w:cs="仿宋"/>
          <w:sz w:val="24"/>
          <w:szCs w:val="24"/>
        </w:rPr>
        <w:t>):</w:t>
      </w:r>
      <w:r>
        <w:rPr>
          <w:rFonts w:hint="eastAsia" w:ascii="仿宋" w:hAnsi="仿宋" w:eastAsia="仿宋" w:cs="仿宋"/>
          <w:sz w:val="24"/>
          <w:szCs w:val="24"/>
          <w:u w:val="single"/>
        </w:rPr>
        <w:tab/>
      </w:r>
      <w:r>
        <w:rPr>
          <w:rFonts w:hint="eastAsia" w:ascii="仿宋" w:hAnsi="仿宋" w:eastAsia="仿宋" w:cs="仿宋"/>
          <w:sz w:val="24"/>
        </w:rPr>
        <w:t xml:space="preserve"> </w:t>
      </w:r>
    </w:p>
    <w:p w14:paraId="509B4C36">
      <w:pPr>
        <w:adjustRightInd w:val="0"/>
        <w:snapToGrid w:val="0"/>
        <w:ind w:firstLine="784" w:firstLineChars="327"/>
        <w:rPr>
          <w:rFonts w:hint="eastAsia" w:ascii="仿宋" w:hAnsi="仿宋" w:eastAsia="仿宋" w:cs="仿宋"/>
          <w:sz w:val="24"/>
        </w:rPr>
      </w:pPr>
      <w:r>
        <w:rPr>
          <w:rFonts w:hint="eastAsia" w:ascii="仿宋" w:hAnsi="仿宋" w:eastAsia="仿宋" w:cs="仿宋"/>
          <w:sz w:val="24"/>
        </w:rPr>
        <w:t xml:space="preserve">                  </w:t>
      </w:r>
    </w:p>
    <w:p w14:paraId="19AD17B6">
      <w:pPr>
        <w:adjustRightInd w:val="0"/>
        <w:snapToGrid w:val="0"/>
        <w:ind w:firstLine="784" w:firstLineChars="327"/>
        <w:rPr>
          <w:rFonts w:hint="eastAsia" w:ascii="仿宋" w:hAnsi="仿宋" w:eastAsia="仿宋" w:cs="仿宋"/>
          <w:sz w:val="24"/>
        </w:rPr>
      </w:pPr>
      <w:r>
        <w:rPr>
          <w:rFonts w:hint="eastAsia" w:ascii="仿宋" w:hAnsi="仿宋" w:eastAsia="仿宋" w:cs="仿宋"/>
          <w:sz w:val="24"/>
        </w:rPr>
        <w:t xml:space="preserve">日期：                                       </w:t>
      </w:r>
    </w:p>
    <w:p w14:paraId="67733227">
      <w:pPr>
        <w:pStyle w:val="17"/>
        <w:tabs>
          <w:tab w:val="left" w:pos="5580"/>
        </w:tabs>
        <w:rPr>
          <w:rFonts w:hint="eastAsia" w:ascii="仿宋" w:hAnsi="仿宋" w:eastAsia="仿宋" w:cs="仿宋"/>
          <w:sz w:val="24"/>
          <w:szCs w:val="24"/>
        </w:rPr>
      </w:pPr>
      <w:r>
        <w:rPr>
          <w:rFonts w:hint="eastAsia" w:ascii="仿宋" w:hAnsi="仿宋" w:eastAsia="仿宋" w:cs="仿宋"/>
          <w:sz w:val="24"/>
          <w:szCs w:val="24"/>
        </w:rPr>
        <w:t>说明：1.提供有效的营业执照等证明文件复印件，复印件上应加盖本单位章。</w:t>
      </w:r>
    </w:p>
    <w:p w14:paraId="1A7B901F">
      <w:pPr>
        <w:pStyle w:val="17"/>
        <w:tabs>
          <w:tab w:val="left" w:pos="5580"/>
        </w:tabs>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  2. 供应商为自然人的，应提供身份证明的复印件。</w:t>
      </w:r>
    </w:p>
    <w:p w14:paraId="0EDDB51E">
      <w:pPr>
        <w:pStyle w:val="17"/>
        <w:tabs>
          <w:tab w:val="left" w:pos="5580"/>
        </w:tabs>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  3.联合体</w:t>
      </w:r>
      <w:r>
        <w:rPr>
          <w:rFonts w:hint="eastAsia" w:ascii="仿宋" w:hAnsi="仿宋" w:eastAsia="仿宋" w:cs="仿宋"/>
          <w:sz w:val="24"/>
          <w:szCs w:val="24"/>
          <w:lang w:eastAsia="zh-CN"/>
        </w:rPr>
        <w:t>投标</w:t>
      </w:r>
      <w:r>
        <w:rPr>
          <w:rFonts w:hint="eastAsia" w:ascii="仿宋" w:hAnsi="仿宋" w:eastAsia="仿宋" w:cs="仿宋"/>
          <w:sz w:val="24"/>
          <w:szCs w:val="24"/>
        </w:rPr>
        <w:t>应提供联合体各方满足以上要求的证明文件。</w:t>
      </w:r>
      <w:bookmarkStart w:id="270" w:name="_Toc16640"/>
      <w:bookmarkStart w:id="271" w:name="_Toc5436"/>
      <w:bookmarkStart w:id="272" w:name="_Toc6829"/>
      <w:bookmarkStart w:id="273" w:name="_Toc8491"/>
      <w:bookmarkStart w:id="274" w:name="_Toc7748"/>
      <w:bookmarkStart w:id="275" w:name="_Toc4926"/>
      <w:bookmarkStart w:id="276" w:name="_Toc14483"/>
      <w:bookmarkStart w:id="277" w:name="_Toc21867"/>
      <w:bookmarkStart w:id="278" w:name="_Toc17981"/>
      <w:bookmarkStart w:id="279" w:name="_Toc13107"/>
      <w:bookmarkStart w:id="280" w:name="_Toc16635"/>
      <w:bookmarkStart w:id="281" w:name="_Toc4082"/>
      <w:bookmarkStart w:id="282" w:name="_Toc27943"/>
    </w:p>
    <w:p w14:paraId="23B78756">
      <w:pPr>
        <w:rPr>
          <w:rFonts w:hint="eastAsia" w:ascii="仿宋" w:hAnsi="仿宋" w:eastAsia="仿宋" w:cs="仿宋"/>
          <w:sz w:val="24"/>
        </w:rPr>
      </w:pPr>
      <w:r>
        <w:rPr>
          <w:rFonts w:hint="eastAsia" w:ascii="仿宋" w:hAnsi="仿宋" w:eastAsia="仿宋" w:cs="仿宋"/>
          <w:sz w:val="24"/>
        </w:rPr>
        <w:br w:type="page"/>
      </w:r>
    </w:p>
    <w:p w14:paraId="08E9F009">
      <w:pPr>
        <w:pStyle w:val="17"/>
        <w:tabs>
          <w:tab w:val="left" w:pos="5580"/>
        </w:tabs>
        <w:ind w:left="1079" w:leftChars="257" w:hanging="540"/>
        <w:rPr>
          <w:rFonts w:hint="eastAsia" w:ascii="仿宋" w:hAnsi="仿宋" w:eastAsia="仿宋" w:cs="仿宋"/>
          <w:sz w:val="24"/>
          <w:szCs w:val="24"/>
        </w:rPr>
      </w:pPr>
    </w:p>
    <w:p w14:paraId="3E51E710">
      <w:pPr>
        <w:pStyle w:val="4"/>
        <w:spacing w:before="0" w:line="240" w:lineRule="atLeast"/>
        <w:ind w:left="1079" w:leftChars="257" w:hanging="540"/>
        <w:rPr>
          <w:rFonts w:hint="eastAsia" w:ascii="仿宋" w:hAnsi="仿宋" w:eastAsia="仿宋" w:cs="仿宋"/>
          <w:sz w:val="24"/>
          <w:szCs w:val="24"/>
        </w:rPr>
      </w:pPr>
      <w:bookmarkStart w:id="283" w:name="_Toc7654"/>
      <w:r>
        <w:rPr>
          <w:rFonts w:hint="eastAsia" w:ascii="仿宋" w:hAnsi="仿宋" w:eastAsia="仿宋" w:cs="仿宋"/>
          <w:sz w:val="24"/>
          <w:szCs w:val="24"/>
        </w:rPr>
        <w:t>3.2法定代表人授权委托书</w:t>
      </w:r>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p>
    <w:p w14:paraId="1E839BD7">
      <w:pPr>
        <w:pStyle w:val="17"/>
        <w:tabs>
          <w:tab w:val="left" w:pos="5580"/>
        </w:tabs>
        <w:spacing w:line="240" w:lineRule="atLeast"/>
        <w:rPr>
          <w:rFonts w:hint="eastAsia" w:ascii="仿宋" w:hAnsi="仿宋" w:eastAsia="仿宋" w:cs="仿宋"/>
          <w:sz w:val="24"/>
          <w:szCs w:val="24"/>
        </w:rPr>
      </w:pPr>
      <w:r>
        <w:rPr>
          <w:rFonts w:hint="eastAsia" w:ascii="仿宋" w:hAnsi="仿宋" w:eastAsia="仿宋" w:cs="仿宋"/>
          <w:sz w:val="24"/>
          <w:szCs w:val="24"/>
        </w:rPr>
        <w:cr/>
      </w:r>
      <w:r>
        <w:rPr>
          <w:rFonts w:hint="eastAsia" w:ascii="仿宋" w:hAnsi="仿宋" w:eastAsia="仿宋" w:cs="仿宋"/>
          <w:sz w:val="24"/>
          <w:szCs w:val="24"/>
        </w:rPr>
        <w:t xml:space="preserve">    本授权书声明：注册于（国家或地区的名称）的（供应商）的在下面签字的（法人代表姓名、职务）代表我单位授权（单位名称）的在下面签字的（被授权人的姓名、职务）为我单位的合法代理人，就（项目名称）的</w:t>
      </w:r>
      <w:r>
        <w:rPr>
          <w:rFonts w:hint="eastAsia" w:ascii="仿宋" w:hAnsi="仿宋" w:eastAsia="仿宋" w:cs="仿宋"/>
          <w:sz w:val="24"/>
          <w:szCs w:val="24"/>
          <w:lang w:eastAsia="zh-CN"/>
        </w:rPr>
        <w:t>投标</w:t>
      </w:r>
      <w:r>
        <w:rPr>
          <w:rFonts w:hint="eastAsia" w:ascii="仿宋" w:hAnsi="仿宋" w:eastAsia="仿宋" w:cs="仿宋"/>
          <w:sz w:val="24"/>
          <w:szCs w:val="24"/>
        </w:rPr>
        <w:t>，以我单位名义处理一切与之有关的事务。　　</w:t>
      </w:r>
    </w:p>
    <w:p w14:paraId="3D66D3B6">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本授权书于           年     月     日签字生效,特此声明。</w:t>
      </w:r>
    </w:p>
    <w:p w14:paraId="303E57A4">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mc:AlternateContent>
          <mc:Choice Requires="wps">
            <w:drawing>
              <wp:anchor distT="0" distB="0" distL="114300" distR="114300" simplePos="0" relativeHeight="251660288" behindDoc="0" locked="0" layoutInCell="1" allowOverlap="1">
                <wp:simplePos x="0" y="0"/>
                <wp:positionH relativeFrom="column">
                  <wp:posOffset>20955</wp:posOffset>
                </wp:positionH>
                <wp:positionV relativeFrom="paragraph">
                  <wp:posOffset>135890</wp:posOffset>
                </wp:positionV>
                <wp:extent cx="4618355" cy="1405890"/>
                <wp:effectExtent l="4445" t="5080" r="6350" b="17780"/>
                <wp:wrapNone/>
                <wp:docPr id="19" name="流程图: 可选过程 19"/>
                <wp:cNvGraphicFramePr/>
                <a:graphic xmlns:a="http://schemas.openxmlformats.org/drawingml/2006/main">
                  <a:graphicData uri="http://schemas.microsoft.com/office/word/2010/wordprocessingShape">
                    <wps:wsp>
                      <wps:cNvSpPr/>
                      <wps:spPr>
                        <a:xfrm>
                          <a:off x="0" y="0"/>
                          <a:ext cx="461835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320073E0">
                            <w:pPr>
                              <w:jc w:val="center"/>
                              <w:rPr>
                                <w:rFonts w:hAnsi="宋体"/>
                              </w:rPr>
                            </w:pPr>
                          </w:p>
                          <w:p w14:paraId="2AB99448">
                            <w:pPr>
                              <w:jc w:val="center"/>
                              <w:rPr>
                                <w:rFonts w:hAnsi="宋体"/>
                              </w:rPr>
                            </w:pPr>
                          </w:p>
                          <w:p w14:paraId="405A1737">
                            <w:pPr>
                              <w:jc w:val="center"/>
                              <w:rPr>
                                <w:rFonts w:hAnsi="宋体"/>
                              </w:rPr>
                            </w:pPr>
                          </w:p>
                          <w:p w14:paraId="6E007D7A">
                            <w:pPr>
                              <w:jc w:val="center"/>
                            </w:pPr>
                            <w:r>
                              <w:rPr>
                                <w:rFonts w:hint="eastAsia" w:hAnsi="宋体"/>
                              </w:rPr>
                              <w:t>授权委托人身份证复印件正反面</w:t>
                            </w:r>
                          </w:p>
                        </w:txbxContent>
                      </wps:txbx>
                      <wps:bodyPr vert="horz" wrap="square" anchor="t" anchorCtr="0" upright="1"/>
                    </wps:wsp>
                  </a:graphicData>
                </a:graphic>
              </wp:anchor>
            </w:drawing>
          </mc:Choice>
          <mc:Fallback>
            <w:pict>
              <v:shape id="_x0000_s1026" o:spid="_x0000_s1026" o:spt="176" type="#_x0000_t176" style="position:absolute;left:0pt;margin-left:1.65pt;margin-top:10.7pt;height:110.7pt;width:363.65pt;z-index:251660288;mso-width-relative:page;mso-height-relative:page;" fillcolor="#FFFFFF" filled="t" stroked="t" coordsize="21600,21600" o:gfxdata="UEsDBAoAAAAAAIdO4kAAAAAAAAAAAAAAAAAEAAAAZHJzL1BLAwQUAAAACACHTuJADQGIvtYAAAAI&#10;AQAADwAAAGRycy9kb3ducmV2LnhtbE2PQU+EMBCF7yb+h2ZMvLktsGERKRuj0ZMXcROvhY6USFtC&#10;C4v+eseTHt+8l/e+qY6bHdmKcxi8k5DsBDB0ndeD6yWc3p5uCmAhKqfV6B1K+MIAx/ryolKl9mf3&#10;imsTe0YlLpRKgolxKjkPnUGrws5P6Mj78LNVkeTccz2rM5XbkadC5NyqwdGCURM+GOw+m8VK2F6+&#10;29vlOemaaIr88J6tj/cnLuX1VSLugEXc4l8YfvEJHWpiav3idGCjhCyjoIQ02QMj+5CJHFhLh31a&#10;AK8r/v+B+gdQSwMEFAAAAAgAh07iQP06NAxQAgAAkwQAAA4AAABkcnMvZTJvRG9jLnhtbK1Uy24T&#10;MRTdI/EPlvdkkrap2lEnFWoIGwSRCh/geDwZS35hO5mEFawQYtEP4AfYsWILX1Mef8GxJ/TFpgtm&#10;MXP9uMfnHN87J6cbrcha+CCtqehoMKREGG5raZYVffVy9uiIkhCZqZmyRlR0KwI9nTx8cNK5UuzZ&#10;1qpaeAIQE8rOVbSN0ZVFEXgrNAsD64TBYmO9ZhFDvyxqzzqga1XsDYeHRWd97bzlIgTMTvtFukP0&#10;9wG0TSO5mFq+0sLEHtULxSIkhVa6QCeZbdMIHl80TRCRqIpCacxvHIJ4kd7F5ISVS89cK/mOArsP&#10;hTuaNJMGh15BTVlkZOXlP1Bacm+DbeKAW130QrIjUDEa3vHmvGVOZC2wOrgr08P/g+XP13NPZI1K&#10;OKbEMI0b//H13c/PHy8/fSvJ5cWX328//Pr+HhMEO2BX50KJrHM397tRQJi0bxqv0xeqyCZbvL2y&#10;WGwi4Zg8OBwd7Y/HlHCsjUYH+8NhvoTiOt35EJ8Kq0kKKtoo2521zMfHKgpvWBTzvniy32z9LETw&#10;QP7fvEQhWCXrmVQqD/xycaY8WTMUwSw/SQhSbm1ThnQVPR7vJXYMld2gohBqB3eCWebzbmWEm8AQ&#10;cq3l1rZEbMpC2xPIS33daQlFYMLKVrD6ialJ3DpcgEHj0URGi5oSJdCnKco7I5PqPjuhTpkELXIX&#10;7FxKl9dfV4riZrEBaAoXtt6iEPBfgOWt9W9wProCwl+vmAcbZjimKwpH+vAs9m20cl4uW2SNsqkJ&#10;DLWa7d31VWqGm2PEN/8lkz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ANAYi+1gAAAAgBAAAPAAAA&#10;AAAAAAEAIAAAACIAAABkcnMvZG93bnJldi54bWxQSwECFAAUAAAACACHTuJA/To0DFACAACTBAAA&#10;DgAAAAAAAAABACAAAAAlAQAAZHJzL2Uyb0RvYy54bWxQSwUGAAAAAAYABgBZAQAA5wUAAAAA&#10;">
                <v:fill on="t" focussize="0,0"/>
                <v:stroke color="#000000" joinstyle="miter"/>
                <v:imagedata o:title=""/>
                <o:lock v:ext="edit" aspectratio="f"/>
                <v:textbox>
                  <w:txbxContent>
                    <w:p w14:paraId="320073E0">
                      <w:pPr>
                        <w:jc w:val="center"/>
                        <w:rPr>
                          <w:rFonts w:hAnsi="宋体"/>
                        </w:rPr>
                      </w:pPr>
                    </w:p>
                    <w:p w14:paraId="2AB99448">
                      <w:pPr>
                        <w:jc w:val="center"/>
                        <w:rPr>
                          <w:rFonts w:hAnsi="宋体"/>
                        </w:rPr>
                      </w:pPr>
                    </w:p>
                    <w:p w14:paraId="405A1737">
                      <w:pPr>
                        <w:jc w:val="center"/>
                        <w:rPr>
                          <w:rFonts w:hAnsi="宋体"/>
                        </w:rPr>
                      </w:pPr>
                    </w:p>
                    <w:p w14:paraId="6E007D7A">
                      <w:pPr>
                        <w:jc w:val="center"/>
                      </w:pPr>
                      <w:r>
                        <w:rPr>
                          <w:rFonts w:hint="eastAsia" w:hAnsi="宋体"/>
                        </w:rPr>
                        <w:t>授权委托人身份证复印件正反面</w:t>
                      </w:r>
                    </w:p>
                  </w:txbxContent>
                </v:textbox>
              </v:shape>
            </w:pict>
          </mc:Fallback>
        </mc:AlternateContent>
      </w:r>
    </w:p>
    <w:p w14:paraId="77F39A17">
      <w:pPr>
        <w:pStyle w:val="17"/>
        <w:tabs>
          <w:tab w:val="left" w:pos="5580"/>
        </w:tabs>
        <w:spacing w:line="240" w:lineRule="atLeast"/>
        <w:ind w:left="1079" w:leftChars="257" w:hanging="540"/>
        <w:rPr>
          <w:rFonts w:hint="eastAsia" w:ascii="仿宋" w:hAnsi="仿宋" w:eastAsia="仿宋" w:cs="仿宋"/>
          <w:sz w:val="24"/>
          <w:szCs w:val="24"/>
        </w:rPr>
      </w:pPr>
    </w:p>
    <w:p w14:paraId="187699FD">
      <w:pPr>
        <w:pStyle w:val="17"/>
        <w:tabs>
          <w:tab w:val="left" w:pos="5580"/>
        </w:tabs>
        <w:spacing w:line="240" w:lineRule="atLeast"/>
        <w:rPr>
          <w:rFonts w:hint="eastAsia" w:ascii="仿宋" w:hAnsi="仿宋" w:eastAsia="仿宋" w:cs="仿宋"/>
          <w:sz w:val="24"/>
          <w:szCs w:val="24"/>
        </w:rPr>
      </w:pPr>
    </w:p>
    <w:p w14:paraId="1B610DB6">
      <w:pPr>
        <w:pStyle w:val="17"/>
        <w:tabs>
          <w:tab w:val="left" w:pos="5580"/>
        </w:tabs>
        <w:spacing w:line="240" w:lineRule="atLeast"/>
        <w:rPr>
          <w:rFonts w:hint="eastAsia" w:ascii="仿宋" w:hAnsi="仿宋" w:eastAsia="仿宋" w:cs="仿宋"/>
          <w:sz w:val="24"/>
          <w:szCs w:val="24"/>
        </w:rPr>
      </w:pPr>
    </w:p>
    <w:p w14:paraId="00D40DC6">
      <w:pPr>
        <w:pStyle w:val="17"/>
        <w:tabs>
          <w:tab w:val="left" w:pos="5580"/>
        </w:tabs>
        <w:spacing w:line="240" w:lineRule="atLeast"/>
        <w:rPr>
          <w:rFonts w:hint="eastAsia" w:ascii="仿宋" w:hAnsi="仿宋" w:eastAsia="仿宋" w:cs="仿宋"/>
          <w:sz w:val="24"/>
          <w:szCs w:val="24"/>
        </w:rPr>
      </w:pPr>
    </w:p>
    <w:p w14:paraId="69E409A0">
      <w:pPr>
        <w:pStyle w:val="17"/>
        <w:tabs>
          <w:tab w:val="left" w:pos="5580"/>
        </w:tabs>
        <w:spacing w:line="240" w:lineRule="atLeast"/>
        <w:rPr>
          <w:rFonts w:hint="eastAsia" w:ascii="仿宋" w:hAnsi="仿宋" w:eastAsia="仿宋" w:cs="仿宋"/>
          <w:sz w:val="24"/>
          <w:szCs w:val="24"/>
        </w:rPr>
      </w:pPr>
    </w:p>
    <w:p w14:paraId="700D300E">
      <w:pPr>
        <w:pStyle w:val="17"/>
        <w:tabs>
          <w:tab w:val="left" w:pos="5580"/>
        </w:tabs>
        <w:spacing w:line="240" w:lineRule="atLeast"/>
        <w:rPr>
          <w:rFonts w:hint="eastAsia" w:ascii="仿宋" w:hAnsi="仿宋" w:eastAsia="仿宋" w:cs="仿宋"/>
          <w:sz w:val="24"/>
          <w:szCs w:val="24"/>
        </w:rPr>
      </w:pPr>
    </w:p>
    <w:p w14:paraId="1AB67692">
      <w:pPr>
        <w:pStyle w:val="17"/>
        <w:tabs>
          <w:tab w:val="left" w:pos="5580"/>
        </w:tabs>
        <w:spacing w:line="240" w:lineRule="atLeast"/>
        <w:rPr>
          <w:rFonts w:hint="eastAsia" w:ascii="仿宋" w:hAnsi="仿宋" w:eastAsia="仿宋" w:cs="仿宋"/>
          <w:sz w:val="24"/>
          <w:szCs w:val="24"/>
        </w:rPr>
      </w:pPr>
    </w:p>
    <w:p w14:paraId="78D75BC8">
      <w:pPr>
        <w:pStyle w:val="17"/>
        <w:tabs>
          <w:tab w:val="left" w:pos="5580"/>
        </w:tabs>
        <w:spacing w:line="240" w:lineRule="atLeast"/>
        <w:rPr>
          <w:rFonts w:hint="eastAsia" w:ascii="仿宋" w:hAnsi="仿宋" w:eastAsia="仿宋" w:cs="仿宋"/>
          <w:sz w:val="24"/>
          <w:szCs w:val="24"/>
        </w:rPr>
      </w:pPr>
      <w:r>
        <w:rPr>
          <w:rFonts w:hint="eastAsia" w:ascii="仿宋" w:hAnsi="仿宋" w:eastAsia="仿宋" w:cs="仿宋"/>
          <w:sz w:val="24"/>
          <w:szCs w:val="24"/>
        </w:rPr>
        <mc:AlternateContent>
          <mc:Choice Requires="wps">
            <w:drawing>
              <wp:anchor distT="0" distB="0" distL="114300" distR="114300" simplePos="0" relativeHeight="251661312" behindDoc="0" locked="0" layoutInCell="1" allowOverlap="1">
                <wp:simplePos x="0" y="0"/>
                <wp:positionH relativeFrom="column">
                  <wp:posOffset>100965</wp:posOffset>
                </wp:positionH>
                <wp:positionV relativeFrom="paragraph">
                  <wp:posOffset>148590</wp:posOffset>
                </wp:positionV>
                <wp:extent cx="4565650" cy="1501775"/>
                <wp:effectExtent l="8255" t="7620" r="17145" b="14605"/>
                <wp:wrapNone/>
                <wp:docPr id="16" name="圆角矩形 16"/>
                <wp:cNvGraphicFramePr/>
                <a:graphic xmlns:a="http://schemas.openxmlformats.org/drawingml/2006/main">
                  <a:graphicData uri="http://schemas.microsoft.com/office/word/2010/wordprocessingShape">
                    <wps:wsp>
                      <wps:cNvSpPr/>
                      <wps:spPr>
                        <a:xfrm>
                          <a:off x="0" y="0"/>
                          <a:ext cx="4565650" cy="15017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57DDA894">
                            <w:pPr>
                              <w:jc w:val="center"/>
                              <w:rPr>
                                <w:rFonts w:hAnsi="宋体"/>
                              </w:rPr>
                            </w:pPr>
                          </w:p>
                          <w:p w14:paraId="4F457813">
                            <w:pPr>
                              <w:jc w:val="center"/>
                              <w:rPr>
                                <w:rFonts w:hAnsi="宋体"/>
                              </w:rPr>
                            </w:pPr>
                          </w:p>
                          <w:p w14:paraId="75AF8EFC">
                            <w:pPr>
                              <w:jc w:val="center"/>
                              <w:rPr>
                                <w:rFonts w:hAnsi="宋体"/>
                              </w:rPr>
                            </w:pPr>
                          </w:p>
                          <w:p w14:paraId="5282351E">
                            <w:pPr>
                              <w:jc w:val="center"/>
                            </w:pPr>
                            <w:r>
                              <w:rPr>
                                <w:rFonts w:hint="eastAsia" w:hAnsi="宋体"/>
                              </w:rPr>
                              <w:t>法人身份证复印件正反面</w:t>
                            </w:r>
                          </w:p>
                          <w:p w14:paraId="2865EA13"/>
                        </w:txbxContent>
                      </wps:txbx>
                      <wps:bodyPr vert="horz" wrap="square" anchor="t" anchorCtr="0" upright="1"/>
                    </wps:wsp>
                  </a:graphicData>
                </a:graphic>
              </wp:anchor>
            </w:drawing>
          </mc:Choice>
          <mc:Fallback>
            <w:pict>
              <v:roundrect id="_x0000_s1026" o:spid="_x0000_s1026" o:spt="2" style="position:absolute;left:0pt;margin-left:7.95pt;margin-top:11.7pt;height:118.25pt;width:359.5pt;z-index:251661312;mso-width-relative:page;mso-height-relative:page;" fillcolor="#FFFFFF" filled="t" stroked="t" coordsize="21600,21600" arcsize="0.166666666666667" o:gfxdata="UEsDBAoAAAAAAIdO4kAAAAAAAAAAAAAAAAAEAAAAZHJzL1BLAwQUAAAACACHTuJADTiLSNkAAAAJ&#10;AQAADwAAAGRycy9kb3ducmV2LnhtbE2PTU+DQBCG7yb+h82YeLNLSyuCLI0x0UTTQ0u9eNuyI5Cy&#10;s4TdluKvdzzp8f3IO8/k64vtxBkH3zpSMJ9FIJAqZ1qqFXzsX+4eQPigyejOESqY0MO6uL7KdWbc&#10;SDs8l6EWPEI+0wqaEPpMSl81aLWfuR6Jsy83WB1YDrU0gx553HZyEUX30uqW+EKje3xusDqWJ6tg&#10;/J6Or5sE4/do9/ZU7pNp+7ltlbq9mUePIAJewl8ZfvEZHQpmOrgTGS861quUmwoW8RIE50m8ZOPA&#10;xipNQRa5/P9B8QNQSwMEFAAAAAgAh07iQH9Tm2RHAgAAmwQAAA4AAABkcnMvZTJvRG9jLnhtbK1U&#10;S44TMRDdI3EHy3umkxGTRFE6s5gQNghGDBzAsd1pI/+wnR8H4ACskZDYIA7BcUZwDJ7dTeYDi1mQ&#10;ljplu+r51auqnp3vjSZbGaJytqbDkwEl0nInlF3X9O2b5ZMJJTExK5h2Vtb0ICM9nz9+NNv5qTx1&#10;rdNCBgIQG6c7X9M2JT+tqshbaVg8cV5aHDYuGJawDOtKBLYDutHV6WAwqnYuCB8clzFid9Ed0h4x&#10;PATQNY3icuH4xkibOtQgNUtIKbbKRzovbJtG8vSqaaJMRNcUmabyxiWwV/ldzWdsug7Mt4r3FNhD&#10;KNzLyTBlcekRasESI5ug/oIyigcXXZNOuDNVl0hRBFkMB/e0uWqZlyUXSB39UfT4/2D5y+1lIEqg&#10;E0aUWGZQ8evPH399+/Tzy/frH18JtqHRzscpXK/8ZehXEWZOeN8Ek/+RCtkXXQ9HXeU+EY7Np2cj&#10;PJCc42x4NhiOx2cZtboJ9yGm59IZko2aBrex4jWqV0Rl2xcxFXVFT5GJd5Q0RqNWW6ZBcjQa94i9&#10;M7D/YObI6LQSS6V1WYT16kIHgtCaLsuvD77jpi3ZZb4TsCWcodcb9BhM46FXtOtC7k5IvI08GeTn&#10;X8iZ2YLFtmNQELIbm7aSiWdWkHTwKITFANLMwUhBiZaY12wVz8SUfogndNA2Q8syDRAyC5/r2VUw&#10;W2m/2mM3mysnDmgIfB9QhdaFD7gf04F0329YABtmObZrCh068yJ147TxQa1bRA1LxhkMPVuK3M9X&#10;Horb68Lj5psy/w1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NOItI2QAAAAkBAAAPAAAAAAAAAAEA&#10;IAAAACIAAABkcnMvZG93bnJldi54bWxQSwECFAAUAAAACACHTuJAf1ObZEcCAACbBAAADgAAAAAA&#10;AAABACAAAAAoAQAAZHJzL2Uyb0RvYy54bWxQSwUGAAAAAAYABgBZAQAA4QUAAAAA&#10;">
                <v:fill on="t" focussize="0,0"/>
                <v:stroke weight="1.25pt" color="#808080" joinstyle="round"/>
                <v:imagedata o:title=""/>
                <o:lock v:ext="edit" aspectratio="f"/>
                <v:textbox>
                  <w:txbxContent>
                    <w:p w14:paraId="57DDA894">
                      <w:pPr>
                        <w:jc w:val="center"/>
                        <w:rPr>
                          <w:rFonts w:hAnsi="宋体"/>
                        </w:rPr>
                      </w:pPr>
                    </w:p>
                    <w:p w14:paraId="4F457813">
                      <w:pPr>
                        <w:jc w:val="center"/>
                        <w:rPr>
                          <w:rFonts w:hAnsi="宋体"/>
                        </w:rPr>
                      </w:pPr>
                    </w:p>
                    <w:p w14:paraId="75AF8EFC">
                      <w:pPr>
                        <w:jc w:val="center"/>
                        <w:rPr>
                          <w:rFonts w:hAnsi="宋体"/>
                        </w:rPr>
                      </w:pPr>
                    </w:p>
                    <w:p w14:paraId="5282351E">
                      <w:pPr>
                        <w:jc w:val="center"/>
                      </w:pPr>
                      <w:r>
                        <w:rPr>
                          <w:rFonts w:hint="eastAsia" w:hAnsi="宋体"/>
                        </w:rPr>
                        <w:t>法人身份证复印件正反面</w:t>
                      </w:r>
                    </w:p>
                    <w:p w14:paraId="2865EA13"/>
                  </w:txbxContent>
                </v:textbox>
              </v:roundrect>
            </w:pict>
          </mc:Fallback>
        </mc:AlternateContent>
      </w:r>
    </w:p>
    <w:p w14:paraId="3EE8F354">
      <w:pPr>
        <w:pStyle w:val="17"/>
        <w:tabs>
          <w:tab w:val="left" w:pos="5580"/>
        </w:tabs>
        <w:spacing w:line="240" w:lineRule="atLeast"/>
        <w:rPr>
          <w:rFonts w:hint="eastAsia" w:ascii="仿宋" w:hAnsi="仿宋" w:eastAsia="仿宋" w:cs="仿宋"/>
          <w:sz w:val="24"/>
          <w:szCs w:val="24"/>
        </w:rPr>
      </w:pPr>
    </w:p>
    <w:p w14:paraId="61868A40">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供应商（盖单位章）;                           </w:t>
      </w:r>
    </w:p>
    <w:p w14:paraId="1F2967FB">
      <w:pPr>
        <w:pStyle w:val="17"/>
        <w:tabs>
          <w:tab w:val="left" w:pos="5580"/>
        </w:tabs>
        <w:spacing w:line="240" w:lineRule="atLeast"/>
        <w:ind w:left="1079" w:leftChars="257" w:hanging="540"/>
        <w:rPr>
          <w:rFonts w:hint="eastAsia" w:ascii="仿宋" w:hAnsi="仿宋" w:eastAsia="仿宋" w:cs="仿宋"/>
          <w:sz w:val="24"/>
          <w:szCs w:val="24"/>
        </w:rPr>
      </w:pPr>
    </w:p>
    <w:p w14:paraId="07573E26">
      <w:pPr>
        <w:pStyle w:val="17"/>
        <w:tabs>
          <w:tab w:val="left" w:pos="5580"/>
        </w:tabs>
        <w:spacing w:line="240" w:lineRule="atLeast"/>
        <w:ind w:left="1079" w:leftChars="257" w:hanging="540"/>
        <w:rPr>
          <w:rFonts w:hint="eastAsia" w:ascii="仿宋" w:hAnsi="仿宋" w:eastAsia="仿宋" w:cs="仿宋"/>
          <w:sz w:val="24"/>
          <w:szCs w:val="24"/>
        </w:rPr>
      </w:pPr>
    </w:p>
    <w:p w14:paraId="46CB3563">
      <w:pPr>
        <w:pStyle w:val="17"/>
        <w:tabs>
          <w:tab w:val="left" w:pos="5580"/>
        </w:tabs>
        <w:spacing w:line="240" w:lineRule="atLeast"/>
        <w:ind w:left="1079" w:leftChars="257" w:hanging="540"/>
        <w:rPr>
          <w:rFonts w:hint="eastAsia" w:ascii="仿宋" w:hAnsi="仿宋" w:eastAsia="仿宋" w:cs="仿宋"/>
          <w:sz w:val="24"/>
          <w:szCs w:val="24"/>
        </w:rPr>
      </w:pPr>
    </w:p>
    <w:p w14:paraId="78C6D884">
      <w:pPr>
        <w:pStyle w:val="17"/>
        <w:tabs>
          <w:tab w:val="left" w:pos="5370"/>
        </w:tabs>
        <w:spacing w:line="240" w:lineRule="atLeast"/>
        <w:ind w:firstLine="480" w:firstLineChars="200"/>
        <w:rPr>
          <w:rFonts w:hint="eastAsia" w:ascii="仿宋" w:hAnsi="仿宋" w:eastAsia="仿宋" w:cs="仿宋"/>
          <w:sz w:val="24"/>
          <w:szCs w:val="24"/>
        </w:rPr>
      </w:pPr>
    </w:p>
    <w:p w14:paraId="0B84797A">
      <w:pPr>
        <w:pStyle w:val="17"/>
        <w:tabs>
          <w:tab w:val="left" w:pos="5370"/>
        </w:tabs>
        <w:spacing w:line="240" w:lineRule="atLeast"/>
        <w:ind w:firstLine="480" w:firstLineChars="200"/>
        <w:rPr>
          <w:rFonts w:hint="eastAsia" w:ascii="仿宋" w:hAnsi="仿宋" w:eastAsia="仿宋" w:cs="仿宋"/>
          <w:sz w:val="24"/>
          <w:szCs w:val="24"/>
        </w:rPr>
      </w:pPr>
    </w:p>
    <w:p w14:paraId="44C6910C">
      <w:pPr>
        <w:pStyle w:val="17"/>
        <w:tabs>
          <w:tab w:val="left" w:pos="5370"/>
        </w:tabs>
        <w:spacing w:line="240" w:lineRule="atLeast"/>
        <w:ind w:firstLine="480" w:firstLineChars="200"/>
        <w:rPr>
          <w:rFonts w:hint="eastAsia" w:ascii="仿宋" w:hAnsi="仿宋" w:eastAsia="仿宋" w:cs="仿宋"/>
          <w:sz w:val="24"/>
          <w:szCs w:val="24"/>
        </w:rPr>
      </w:pPr>
    </w:p>
    <w:p w14:paraId="1D74080D">
      <w:pPr>
        <w:pStyle w:val="17"/>
        <w:tabs>
          <w:tab w:val="left" w:pos="5370"/>
        </w:tabs>
        <w:spacing w:line="240" w:lineRule="atLeast"/>
        <w:ind w:firstLine="480" w:firstLineChars="200"/>
        <w:rPr>
          <w:rFonts w:hint="eastAsia" w:ascii="仿宋" w:hAnsi="仿宋" w:eastAsia="仿宋" w:cs="仿宋"/>
          <w:sz w:val="24"/>
        </w:rPr>
      </w:pPr>
      <w:r>
        <w:rPr>
          <w:rFonts w:hint="eastAsia" w:ascii="仿宋" w:hAnsi="仿宋" w:eastAsia="仿宋" w:cs="仿宋"/>
          <w:sz w:val="24"/>
          <w:szCs w:val="24"/>
        </w:rPr>
        <w:t>供应商(</w:t>
      </w:r>
      <w:r>
        <w:rPr>
          <w:rFonts w:hint="eastAsia" w:ascii="仿宋" w:hAnsi="仿宋" w:eastAsia="仿宋" w:cs="仿宋"/>
          <w:color w:val="auto"/>
          <w:sz w:val="24"/>
          <w:highlight w:val="none"/>
          <w:lang w:eastAsia="zh-CN"/>
        </w:rPr>
        <w:t>电子签章</w:t>
      </w:r>
      <w:r>
        <w:rPr>
          <w:rFonts w:hint="eastAsia" w:ascii="仿宋" w:hAnsi="仿宋" w:eastAsia="仿宋" w:cs="仿宋"/>
          <w:sz w:val="24"/>
          <w:szCs w:val="24"/>
        </w:rPr>
        <w:t>):</w:t>
      </w:r>
      <w:r>
        <w:rPr>
          <w:rFonts w:hint="eastAsia" w:ascii="仿宋" w:hAnsi="仿宋" w:eastAsia="仿宋" w:cs="仿宋"/>
          <w:sz w:val="24"/>
          <w:szCs w:val="24"/>
          <w:u w:val="single"/>
        </w:rPr>
        <w:tab/>
      </w:r>
      <w:r>
        <w:rPr>
          <w:rFonts w:hint="eastAsia" w:ascii="仿宋" w:hAnsi="仿宋" w:eastAsia="仿宋" w:cs="仿宋"/>
          <w:sz w:val="24"/>
        </w:rPr>
        <w:t xml:space="preserve"> </w:t>
      </w:r>
    </w:p>
    <w:p w14:paraId="0BF680C9">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法定代表人（签/章）：                     </w:t>
      </w:r>
    </w:p>
    <w:p w14:paraId="2973E70C">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身份证号码： </w:t>
      </w:r>
    </w:p>
    <w:p w14:paraId="245BE599">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委托代理人（签/章）：                                   </w:t>
      </w:r>
    </w:p>
    <w:p w14:paraId="2A385FEF">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身份证号码：                                   </w:t>
      </w:r>
    </w:p>
    <w:p w14:paraId="44D3538A">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详细通讯地址：                                 </w:t>
      </w:r>
    </w:p>
    <w:p w14:paraId="33AD2636">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邮 政 编 码 ：                                 </w:t>
      </w:r>
    </w:p>
    <w:p w14:paraId="79728AE4">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传　　　　真：                                 </w:t>
      </w:r>
    </w:p>
    <w:p w14:paraId="510AEFD1">
      <w:pPr>
        <w:pStyle w:val="17"/>
        <w:tabs>
          <w:tab w:val="left" w:pos="5580"/>
        </w:tabs>
        <w:spacing w:line="240" w:lineRule="atLeast"/>
        <w:ind w:left="1079" w:leftChars="257" w:hanging="540"/>
        <w:rPr>
          <w:rFonts w:hint="eastAsia" w:ascii="仿宋" w:hAnsi="仿宋" w:eastAsia="仿宋" w:cs="仿宋"/>
          <w:sz w:val="24"/>
          <w:szCs w:val="24"/>
        </w:rPr>
      </w:pPr>
      <w:r>
        <w:rPr>
          <w:rFonts w:hint="eastAsia" w:ascii="仿宋" w:hAnsi="仿宋" w:eastAsia="仿宋" w:cs="仿宋"/>
          <w:sz w:val="24"/>
          <w:szCs w:val="24"/>
        </w:rPr>
        <w:t xml:space="preserve">电　　　　话：                                 </w:t>
      </w:r>
    </w:p>
    <w:p w14:paraId="692C63F9">
      <w:pPr>
        <w:pStyle w:val="17"/>
        <w:tabs>
          <w:tab w:val="left" w:pos="5580"/>
        </w:tabs>
        <w:spacing w:line="240" w:lineRule="atLeast"/>
        <w:ind w:firstLine="480" w:firstLineChars="200"/>
        <w:rPr>
          <w:rFonts w:hint="eastAsia" w:ascii="仿宋" w:hAnsi="仿宋" w:eastAsia="仿宋" w:cs="仿宋"/>
          <w:color w:val="auto"/>
          <w:sz w:val="24"/>
          <w:highlight w:val="none"/>
        </w:rPr>
      </w:pPr>
    </w:p>
    <w:p w14:paraId="4054FE08">
      <w:pPr>
        <w:pStyle w:val="4"/>
        <w:spacing w:before="0" w:line="240" w:lineRule="atLeast"/>
        <w:ind w:left="1079" w:leftChars="257" w:hanging="540"/>
        <w:rPr>
          <w:rFonts w:hint="eastAsia" w:ascii="仿宋" w:hAnsi="仿宋" w:eastAsia="仿宋" w:cs="仿宋"/>
          <w:color w:val="auto"/>
          <w:sz w:val="24"/>
          <w:highlight w:val="none"/>
          <w:lang w:val="en-US" w:eastAsia="zh-CN"/>
        </w:rPr>
      </w:pPr>
      <w:bookmarkStart w:id="284" w:name="_Toc32520"/>
      <w:bookmarkStart w:id="285" w:name="_Toc7039"/>
      <w:bookmarkStart w:id="286" w:name="_Toc515647808"/>
      <w:r>
        <w:rPr>
          <w:rFonts w:hint="eastAsia" w:ascii="仿宋" w:hAnsi="仿宋" w:eastAsia="仿宋" w:cs="仿宋"/>
          <w:b/>
          <w:color w:val="auto"/>
          <w:sz w:val="24"/>
          <w:highlight w:val="none"/>
          <w:lang w:val="en-US" w:eastAsia="zh-CN"/>
        </w:rPr>
        <w:br w:type="page"/>
      </w:r>
      <w:bookmarkStart w:id="287" w:name="_Toc31058"/>
      <w:r>
        <w:rPr>
          <w:rFonts w:hint="eastAsia" w:ascii="仿宋" w:hAnsi="仿宋" w:eastAsia="仿宋" w:cs="仿宋"/>
          <w:b/>
          <w:color w:val="auto"/>
          <w:sz w:val="24"/>
          <w:highlight w:val="none"/>
          <w:lang w:val="en-US" w:eastAsia="zh-CN"/>
        </w:rPr>
        <w:t xml:space="preserve">4  </w:t>
      </w:r>
      <w:r>
        <w:rPr>
          <w:rFonts w:hint="eastAsia" w:ascii="仿宋" w:hAnsi="仿宋" w:eastAsia="仿宋" w:cs="仿宋"/>
          <w:color w:val="auto"/>
          <w:sz w:val="24"/>
          <w:highlight w:val="none"/>
        </w:rPr>
        <w:t>社会保障资金的缴纳记录</w:t>
      </w:r>
      <w:r>
        <w:rPr>
          <w:rFonts w:hint="eastAsia" w:ascii="仿宋" w:hAnsi="仿宋" w:eastAsia="仿宋" w:cs="仿宋"/>
          <w:color w:val="auto"/>
          <w:sz w:val="24"/>
          <w:highlight w:val="none"/>
          <w:lang w:val="en-US" w:eastAsia="zh-CN"/>
        </w:rPr>
        <w:t>及依法缴纳税收良好记录证明</w:t>
      </w:r>
      <w:bookmarkEnd w:id="287"/>
    </w:p>
    <w:p w14:paraId="3FAF3165">
      <w:pPr>
        <w:pStyle w:val="17"/>
        <w:tabs>
          <w:tab w:val="left" w:pos="5580"/>
        </w:tabs>
        <w:spacing w:line="240" w:lineRule="atLeast"/>
        <w:ind w:left="1079" w:leftChars="257" w:hanging="540"/>
        <w:jc w:val="center"/>
        <w:rPr>
          <w:rFonts w:hint="eastAsia" w:ascii="仿宋" w:hAnsi="仿宋" w:eastAsia="仿宋" w:cs="仿宋"/>
          <w:b/>
          <w:color w:val="auto"/>
          <w:sz w:val="24"/>
          <w:highlight w:val="none"/>
        </w:rPr>
      </w:pPr>
    </w:p>
    <w:p w14:paraId="35A4AAD9">
      <w:pPr>
        <w:pStyle w:val="17"/>
        <w:tabs>
          <w:tab w:val="left" w:pos="5580"/>
        </w:tabs>
        <w:spacing w:line="240" w:lineRule="atLeast"/>
        <w:ind w:left="540"/>
        <w:rPr>
          <w:rFonts w:hint="eastAsia" w:ascii="仿宋" w:hAnsi="仿宋" w:eastAsia="仿宋" w:cs="仿宋"/>
          <w:b/>
          <w:color w:val="auto"/>
          <w:sz w:val="24"/>
          <w:highlight w:val="none"/>
        </w:rPr>
      </w:pPr>
    </w:p>
    <w:p w14:paraId="666525D8">
      <w:pPr>
        <w:pStyle w:val="17"/>
        <w:tabs>
          <w:tab w:val="left" w:pos="5580"/>
        </w:tabs>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说明：1.按照</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中的规定提供复印件</w:t>
      </w:r>
      <w:r>
        <w:rPr>
          <w:rFonts w:hint="eastAsia" w:ascii="仿宋" w:hAnsi="仿宋" w:eastAsia="仿宋" w:cs="仿宋"/>
          <w:color w:val="auto"/>
          <w:sz w:val="24"/>
          <w:highlight w:val="none"/>
          <w:lang w:eastAsia="zh-CN"/>
        </w:rPr>
        <w:t>或扫描件</w:t>
      </w:r>
      <w:r>
        <w:rPr>
          <w:rFonts w:hint="eastAsia" w:ascii="仿宋" w:hAnsi="仿宋" w:eastAsia="仿宋" w:cs="仿宋"/>
          <w:color w:val="auto"/>
          <w:sz w:val="24"/>
          <w:highlight w:val="none"/>
        </w:rPr>
        <w:t>。</w:t>
      </w:r>
    </w:p>
    <w:p w14:paraId="4C44BD6B">
      <w:pPr>
        <w:pStyle w:val="17"/>
        <w:tabs>
          <w:tab w:val="left" w:pos="5580"/>
        </w:tabs>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2.复印件上应加盖本单位</w:t>
      </w:r>
      <w:r>
        <w:rPr>
          <w:rFonts w:hint="eastAsia" w:ascii="仿宋" w:hAnsi="仿宋" w:eastAsia="仿宋" w:cs="仿宋"/>
          <w:color w:val="auto"/>
          <w:sz w:val="24"/>
          <w:highlight w:val="none"/>
          <w:lang w:eastAsia="zh-CN"/>
        </w:rPr>
        <w:t>电子</w:t>
      </w:r>
      <w:r>
        <w:rPr>
          <w:rFonts w:hint="eastAsia" w:ascii="仿宋" w:hAnsi="仿宋" w:eastAsia="仿宋" w:cs="仿宋"/>
          <w:color w:val="auto"/>
          <w:sz w:val="24"/>
          <w:highlight w:val="none"/>
        </w:rPr>
        <w:t>章。</w:t>
      </w:r>
    </w:p>
    <w:p w14:paraId="3F25444D">
      <w:pPr>
        <w:pStyle w:val="17"/>
        <w:tabs>
          <w:tab w:val="left" w:pos="5580"/>
        </w:tabs>
        <w:spacing w:line="240" w:lineRule="atLeast"/>
        <w:ind w:left="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3.如果是联合体投标，联合体各方均需提供上述证明。</w:t>
      </w:r>
    </w:p>
    <w:p w14:paraId="6BBBD8F3">
      <w:pPr>
        <w:pStyle w:val="4"/>
        <w:spacing w:before="0" w:line="240" w:lineRule="atLeast"/>
        <w:ind w:left="1079" w:leftChars="257" w:hanging="54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br w:type="page"/>
      </w:r>
      <w:bookmarkStart w:id="288" w:name="_Toc16207"/>
      <w:r>
        <w:rPr>
          <w:rFonts w:hint="eastAsia" w:ascii="仿宋" w:hAnsi="仿宋" w:eastAsia="仿宋" w:cs="仿宋"/>
          <w:b/>
          <w:color w:val="auto"/>
          <w:sz w:val="24"/>
          <w:highlight w:val="none"/>
          <w:lang w:val="en-US" w:eastAsia="zh-CN"/>
        </w:rPr>
        <w:t>5  具有良好的商业信誉和健全的财务会计制度的证明文件</w:t>
      </w:r>
      <w:bookmarkEnd w:id="284"/>
      <w:bookmarkEnd w:id="285"/>
      <w:bookmarkEnd w:id="286"/>
      <w:bookmarkEnd w:id="288"/>
    </w:p>
    <w:p w14:paraId="7F1577AF">
      <w:pPr>
        <w:tabs>
          <w:tab w:val="left" w:pos="5580"/>
        </w:tabs>
        <w:spacing w:line="240" w:lineRule="atLeast"/>
        <w:ind w:left="1079" w:leftChars="257" w:hanging="540"/>
        <w:jc w:val="center"/>
        <w:rPr>
          <w:rFonts w:hint="eastAsia" w:ascii="仿宋" w:hAnsi="仿宋" w:eastAsia="仿宋" w:cs="仿宋"/>
          <w:b/>
          <w:color w:val="auto"/>
          <w:sz w:val="24"/>
          <w:highlight w:val="none"/>
        </w:rPr>
      </w:pPr>
    </w:p>
    <w:p w14:paraId="50C22BDA">
      <w:pPr>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w:t>
      </w:r>
    </w:p>
    <w:p w14:paraId="7F8324F9">
      <w:pPr>
        <w:tabs>
          <w:tab w:val="left" w:pos="5580"/>
        </w:tabs>
        <w:spacing w:line="240" w:lineRule="atLeast"/>
        <w:ind w:left="540"/>
        <w:rPr>
          <w:rFonts w:hint="eastAsia" w:ascii="仿宋" w:hAnsi="仿宋" w:eastAsia="仿宋" w:cs="仿宋"/>
          <w:bCs/>
          <w:color w:val="auto"/>
          <w:sz w:val="24"/>
          <w:highlight w:val="none"/>
        </w:rPr>
      </w:pPr>
      <w:r>
        <w:rPr>
          <w:rFonts w:hint="eastAsia" w:ascii="仿宋" w:hAnsi="仿宋" w:eastAsia="仿宋" w:cs="仿宋"/>
          <w:color w:val="auto"/>
          <w:sz w:val="24"/>
          <w:highlight w:val="none"/>
        </w:rPr>
        <w:t>1、如提供本单位上年度经会计师事务所出具的审计报告复印件须加盖</w:t>
      </w:r>
      <w:r>
        <w:rPr>
          <w:rFonts w:hint="eastAsia" w:ascii="仿宋" w:hAnsi="仿宋" w:eastAsia="仿宋" w:cs="仿宋"/>
          <w:bCs/>
          <w:color w:val="auto"/>
          <w:sz w:val="24"/>
          <w:highlight w:val="none"/>
        </w:rPr>
        <w:t>本单位</w:t>
      </w:r>
      <w:r>
        <w:rPr>
          <w:rFonts w:hint="eastAsia" w:ascii="仿宋" w:hAnsi="仿宋" w:eastAsia="仿宋" w:cs="仿宋"/>
          <w:bCs/>
          <w:color w:val="auto"/>
          <w:sz w:val="24"/>
          <w:highlight w:val="none"/>
          <w:lang w:eastAsia="zh-CN"/>
        </w:rPr>
        <w:t>电子</w:t>
      </w:r>
      <w:r>
        <w:rPr>
          <w:rFonts w:hint="eastAsia" w:ascii="仿宋" w:hAnsi="仿宋" w:eastAsia="仿宋" w:cs="仿宋"/>
          <w:bCs/>
          <w:color w:val="auto"/>
          <w:sz w:val="24"/>
          <w:highlight w:val="none"/>
        </w:rPr>
        <w:t>章。</w:t>
      </w:r>
    </w:p>
    <w:p w14:paraId="06AAADC2">
      <w:pPr>
        <w:tabs>
          <w:tab w:val="left" w:pos="5580"/>
        </w:tabs>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2、如提供银行出具的证明文件。银行证明文件可提供原件，也可提供银行在开标日前</w:t>
      </w:r>
      <w:r>
        <w:rPr>
          <w:rFonts w:hint="eastAsia" w:ascii="仿宋" w:hAnsi="仿宋" w:eastAsia="仿宋" w:cs="仿宋"/>
          <w:color w:val="auto"/>
          <w:sz w:val="24"/>
          <w:highlight w:val="none"/>
          <w:lang w:val="en-US" w:eastAsia="zh-CN"/>
        </w:rPr>
        <w:t>一</w:t>
      </w:r>
      <w:r>
        <w:rPr>
          <w:rFonts w:hint="eastAsia" w:ascii="仿宋" w:hAnsi="仿宋" w:eastAsia="仿宋" w:cs="仿宋"/>
          <w:color w:val="auto"/>
          <w:sz w:val="24"/>
          <w:highlight w:val="none"/>
        </w:rPr>
        <w:t>个月内开具证明文件的复印件。若提供的是复印件，招标采购单位保留审核原件的权利。银行出具的证明文件应能说明该投标人与银行之间业务往来正常，企业信誉良好等。</w:t>
      </w:r>
    </w:p>
    <w:p w14:paraId="6D297717">
      <w:pPr>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3、如果是联合体投标，联合体各方均需提供上述证明。</w:t>
      </w:r>
    </w:p>
    <w:p w14:paraId="0CBE960B">
      <w:pPr>
        <w:tabs>
          <w:tab w:val="left" w:pos="5580"/>
        </w:tabs>
        <w:spacing w:line="240" w:lineRule="atLeast"/>
        <w:ind w:left="1079" w:leftChars="257" w:hanging="540"/>
        <w:rPr>
          <w:rFonts w:hint="eastAsia" w:ascii="仿宋" w:hAnsi="仿宋" w:eastAsia="仿宋" w:cs="仿宋"/>
          <w:color w:val="auto"/>
          <w:sz w:val="24"/>
          <w:highlight w:val="none"/>
        </w:rPr>
      </w:pPr>
    </w:p>
    <w:p w14:paraId="44FB1AA4">
      <w:pPr>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w:t>
      </w:r>
    </w:p>
    <w:p w14:paraId="05473BB9">
      <w:pPr>
        <w:ind w:firstLine="480" w:firstLineChars="200"/>
        <w:rPr>
          <w:rFonts w:hint="eastAsia" w:ascii="仿宋" w:hAnsi="仿宋" w:eastAsia="仿宋" w:cs="仿宋"/>
          <w:color w:val="auto"/>
          <w:sz w:val="24"/>
          <w:highlight w:val="none"/>
          <w:lang w:val="en-US" w:eastAsia="zh-CN"/>
        </w:rPr>
      </w:pPr>
    </w:p>
    <w:p w14:paraId="06147C89">
      <w:pPr>
        <w:ind w:firstLine="480" w:firstLineChars="200"/>
        <w:rPr>
          <w:rFonts w:hint="eastAsia" w:ascii="仿宋" w:hAnsi="仿宋" w:eastAsia="仿宋" w:cs="仿宋"/>
          <w:color w:val="auto"/>
          <w:sz w:val="24"/>
          <w:highlight w:val="none"/>
          <w:lang w:val="en-US" w:eastAsia="zh-CN"/>
        </w:rPr>
      </w:pPr>
    </w:p>
    <w:p w14:paraId="118ECE7C">
      <w:pPr>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br w:type="page"/>
      </w:r>
    </w:p>
    <w:p w14:paraId="4E46760F">
      <w:pPr>
        <w:pStyle w:val="4"/>
        <w:spacing w:before="0" w:line="240" w:lineRule="atLeast"/>
        <w:ind w:left="1079" w:leftChars="257" w:hanging="540"/>
        <w:rPr>
          <w:rFonts w:hint="eastAsia" w:ascii="仿宋" w:hAnsi="仿宋" w:eastAsia="仿宋" w:cs="仿宋"/>
          <w:color w:val="auto"/>
          <w:sz w:val="24"/>
          <w:highlight w:val="none"/>
        </w:rPr>
      </w:pPr>
      <w:bookmarkStart w:id="289" w:name="_Toc11047"/>
      <w:bookmarkStart w:id="290" w:name="_Toc28445"/>
      <w:bookmarkStart w:id="291" w:name="_Toc31110"/>
      <w:bookmarkStart w:id="292" w:name="_Toc10870"/>
      <w:bookmarkStart w:id="293" w:name="_Toc515647809"/>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  投标保证金缴纳凭证或投标担保函</w:t>
      </w:r>
      <w:bookmarkEnd w:id="289"/>
      <w:bookmarkEnd w:id="290"/>
      <w:bookmarkEnd w:id="291"/>
      <w:bookmarkEnd w:id="292"/>
      <w:bookmarkEnd w:id="293"/>
    </w:p>
    <w:p w14:paraId="74377BF9">
      <w:pPr>
        <w:ind w:firstLine="420" w:firstLineChars="200"/>
        <w:rPr>
          <w:rFonts w:hint="eastAsia" w:ascii="仿宋" w:hAnsi="仿宋" w:eastAsia="仿宋" w:cs="仿宋"/>
          <w:color w:val="auto"/>
          <w:highlight w:val="none"/>
        </w:rPr>
      </w:pPr>
      <w:bookmarkStart w:id="294" w:name="_Toc494296991"/>
      <w:bookmarkStart w:id="295" w:name="_Toc494296665"/>
      <w:r>
        <w:rPr>
          <w:rFonts w:hint="eastAsia" w:ascii="仿宋" w:hAnsi="仿宋" w:eastAsia="仿宋" w:cs="仿宋"/>
          <w:color w:val="auto"/>
          <w:highlight w:val="none"/>
        </w:rPr>
        <w:t>投标人可将本项目投标保证金支付的汇款凭证、支票、汇票</w:t>
      </w:r>
      <w:r>
        <w:rPr>
          <w:rFonts w:hint="eastAsia" w:ascii="仿宋" w:hAnsi="仿宋" w:eastAsia="仿宋" w:cs="仿宋"/>
          <w:color w:val="auto"/>
          <w:highlight w:val="none"/>
          <w:lang w:val="en-US" w:eastAsia="zh-CN"/>
        </w:rPr>
        <w:t>或</w:t>
      </w:r>
      <w:r>
        <w:rPr>
          <w:rFonts w:hint="eastAsia" w:ascii="仿宋" w:hAnsi="仿宋" w:eastAsia="仿宋" w:cs="仿宋"/>
          <w:color w:val="auto"/>
          <w:highlight w:val="none"/>
        </w:rPr>
        <w:t>保证金收据</w:t>
      </w:r>
      <w:r>
        <w:rPr>
          <w:rFonts w:hint="eastAsia" w:ascii="仿宋" w:hAnsi="仿宋" w:eastAsia="仿宋" w:cs="仿宋"/>
          <w:color w:val="auto"/>
          <w:highlight w:val="none"/>
          <w:lang w:eastAsia="zh-CN"/>
        </w:rPr>
        <w:t>及开户许可证</w:t>
      </w:r>
      <w:r>
        <w:rPr>
          <w:rFonts w:hint="eastAsia" w:ascii="仿宋" w:hAnsi="仿宋" w:eastAsia="仿宋" w:cs="仿宋"/>
          <w:color w:val="auto"/>
          <w:highlight w:val="none"/>
        </w:rPr>
        <w:t>的</w:t>
      </w:r>
      <w:r>
        <w:rPr>
          <w:rFonts w:hint="eastAsia" w:ascii="仿宋" w:hAnsi="仿宋" w:eastAsia="仿宋" w:cs="仿宋"/>
          <w:color w:val="auto"/>
          <w:highlight w:val="none"/>
          <w:lang w:eastAsia="zh-CN"/>
        </w:rPr>
        <w:t>扫描件</w:t>
      </w:r>
      <w:r>
        <w:rPr>
          <w:rFonts w:hint="eastAsia" w:ascii="仿宋" w:hAnsi="仿宋" w:eastAsia="仿宋" w:cs="仿宋"/>
          <w:color w:val="auto"/>
          <w:highlight w:val="none"/>
        </w:rPr>
        <w:t>作为缴纳凭证装订在本部分，</w:t>
      </w:r>
      <w:r>
        <w:rPr>
          <w:rFonts w:hint="eastAsia" w:ascii="仿宋" w:hAnsi="仿宋" w:eastAsia="仿宋" w:cs="仿宋"/>
          <w:color w:val="auto"/>
          <w:highlight w:val="none"/>
          <w:lang w:eastAsia="zh-CN"/>
        </w:rPr>
        <w:t>扫描件</w:t>
      </w:r>
      <w:r>
        <w:rPr>
          <w:rFonts w:hint="eastAsia" w:ascii="仿宋" w:hAnsi="仿宋" w:eastAsia="仿宋" w:cs="仿宋"/>
          <w:color w:val="auto"/>
          <w:highlight w:val="none"/>
        </w:rPr>
        <w:t>上应加盖本单位</w:t>
      </w:r>
      <w:r>
        <w:rPr>
          <w:rFonts w:hint="eastAsia" w:ascii="仿宋" w:hAnsi="仿宋" w:eastAsia="仿宋" w:cs="仿宋"/>
          <w:color w:val="auto"/>
          <w:highlight w:val="none"/>
          <w:lang w:eastAsia="zh-CN"/>
        </w:rPr>
        <w:t>电子</w:t>
      </w:r>
      <w:r>
        <w:rPr>
          <w:rFonts w:hint="eastAsia" w:ascii="仿宋" w:hAnsi="仿宋" w:eastAsia="仿宋" w:cs="仿宋"/>
          <w:color w:val="auto"/>
          <w:highlight w:val="none"/>
        </w:rPr>
        <w:t>章；使用银行保函等其他投标担保函的，应将担保函正本</w:t>
      </w:r>
      <w:r>
        <w:rPr>
          <w:rFonts w:hint="eastAsia" w:ascii="仿宋" w:hAnsi="仿宋" w:eastAsia="仿宋" w:cs="仿宋"/>
          <w:color w:val="auto"/>
          <w:highlight w:val="none"/>
          <w:lang w:eastAsia="zh-CN"/>
        </w:rPr>
        <w:t>扫描件</w:t>
      </w:r>
      <w:r>
        <w:rPr>
          <w:rFonts w:hint="eastAsia" w:ascii="仿宋" w:hAnsi="仿宋" w:eastAsia="仿宋" w:cs="仿宋"/>
          <w:color w:val="auto"/>
          <w:highlight w:val="none"/>
        </w:rPr>
        <w:t>，装订在本部分正本中；如采用政府采购信用担保形式的，应使用（投标文件格式三）,将原件</w:t>
      </w:r>
      <w:r>
        <w:rPr>
          <w:rFonts w:hint="eastAsia" w:ascii="仿宋" w:hAnsi="仿宋" w:eastAsia="仿宋" w:cs="仿宋"/>
          <w:color w:val="auto"/>
          <w:highlight w:val="none"/>
          <w:lang w:eastAsia="zh-CN"/>
        </w:rPr>
        <w:t>扫描件</w:t>
      </w:r>
      <w:r>
        <w:rPr>
          <w:rFonts w:hint="eastAsia" w:ascii="仿宋" w:hAnsi="仿宋" w:eastAsia="仿宋" w:cs="仿宋"/>
          <w:color w:val="auto"/>
          <w:highlight w:val="none"/>
        </w:rPr>
        <w:t>装订在本部分正本中。</w:t>
      </w:r>
      <w:bookmarkEnd w:id="294"/>
      <w:bookmarkEnd w:id="295"/>
    </w:p>
    <w:p w14:paraId="63BB97B7">
      <w:pPr>
        <w:spacing w:line="240" w:lineRule="atLeast"/>
        <w:ind w:left="1079" w:leftChars="257" w:hanging="540"/>
        <w:jc w:val="center"/>
        <w:rPr>
          <w:rFonts w:hint="eastAsia" w:ascii="仿宋" w:hAnsi="仿宋" w:eastAsia="仿宋" w:cs="仿宋"/>
          <w:color w:val="auto"/>
          <w:sz w:val="24"/>
          <w:highlight w:val="none"/>
        </w:rPr>
      </w:pPr>
    </w:p>
    <w:p w14:paraId="7A715DC6">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政府采购投标担保函 （项目用）（投标文件格式三）</w:t>
      </w:r>
    </w:p>
    <w:p w14:paraId="185B0F0C">
      <w:pPr>
        <w:ind w:firstLine="6720" w:firstLineChars="3200"/>
        <w:rPr>
          <w:rFonts w:hint="eastAsia" w:ascii="仿宋" w:hAnsi="仿宋" w:eastAsia="仿宋" w:cs="仿宋"/>
          <w:color w:val="auto"/>
          <w:highlight w:val="none"/>
        </w:rPr>
      </w:pPr>
      <w:r>
        <w:rPr>
          <w:rFonts w:hint="eastAsia" w:ascii="仿宋" w:hAnsi="仿宋" w:eastAsia="仿宋" w:cs="仿宋"/>
          <w:color w:val="auto"/>
          <w:highlight w:val="none"/>
        </w:rPr>
        <w:t>编号：</w:t>
      </w:r>
    </w:p>
    <w:p w14:paraId="2DB0008F">
      <w:pPr>
        <w:rPr>
          <w:rFonts w:hint="eastAsia" w:ascii="仿宋" w:hAnsi="仿宋" w:eastAsia="仿宋" w:cs="仿宋"/>
          <w:color w:val="auto"/>
          <w:highlight w:val="none"/>
        </w:rPr>
      </w:pPr>
      <w:r>
        <w:rPr>
          <w:rFonts w:hint="eastAsia" w:ascii="仿宋" w:hAnsi="仿宋" w:eastAsia="仿宋" w:cs="仿宋"/>
          <w:color w:val="auto"/>
          <w:highlight w:val="none"/>
        </w:rPr>
        <w:t xml:space="preserve"> </w:t>
      </w:r>
    </w:p>
    <w:p w14:paraId="43A80FA5">
      <w:pPr>
        <w:rPr>
          <w:rFonts w:hint="eastAsia" w:ascii="仿宋" w:hAnsi="仿宋" w:eastAsia="仿宋" w:cs="仿宋"/>
          <w:color w:val="auto"/>
          <w:highlight w:val="none"/>
        </w:rPr>
      </w:pP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（采购人或采购代理机构）：</w:t>
      </w:r>
    </w:p>
    <w:p w14:paraId="56EFBF6C">
      <w:pPr>
        <w:rPr>
          <w:rFonts w:hint="eastAsia" w:ascii="仿宋" w:hAnsi="仿宋" w:eastAsia="仿宋" w:cs="仿宋"/>
          <w:color w:val="auto"/>
          <w:highlight w:val="none"/>
        </w:rPr>
      </w:pPr>
    </w:p>
    <w:p w14:paraId="218D1DBC">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鉴于</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（以下简称“投标人”）拟参加编号为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的</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 xml:space="preserve">                            </w:t>
      </w:r>
    </w:p>
    <w:p w14:paraId="20603067">
      <w:pPr>
        <w:rPr>
          <w:rFonts w:hint="eastAsia" w:ascii="仿宋" w:hAnsi="仿宋" w:eastAsia="仿宋" w:cs="仿宋"/>
          <w:color w:val="auto"/>
          <w:highlight w:val="none"/>
        </w:rPr>
      </w:pPr>
      <w:r>
        <w:rPr>
          <w:rFonts w:hint="eastAsia" w:ascii="仿宋" w:hAnsi="仿宋" w:eastAsia="仿宋" w:cs="仿宋"/>
          <w:color w:val="auto"/>
          <w:highlight w:val="none"/>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5CB0F55B">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一、保证责任的情形及保证金额</w:t>
      </w:r>
    </w:p>
    <w:p w14:paraId="553639A8">
      <w:pPr>
        <w:ind w:firstLine="210" w:firstLineChars="100"/>
        <w:rPr>
          <w:rFonts w:hint="eastAsia" w:ascii="仿宋" w:hAnsi="仿宋" w:eastAsia="仿宋" w:cs="仿宋"/>
          <w:color w:val="auto"/>
          <w:highlight w:val="none"/>
        </w:rPr>
      </w:pPr>
      <w:r>
        <w:rPr>
          <w:rFonts w:hint="eastAsia" w:ascii="仿宋" w:hAnsi="仿宋" w:eastAsia="仿宋" w:cs="仿宋"/>
          <w:color w:val="auto"/>
          <w:highlight w:val="none"/>
        </w:rPr>
        <w:t>（一）在投标人出现下列情形之一时，我方承担保证责任：</w:t>
      </w:r>
    </w:p>
    <w:p w14:paraId="6981A3F4">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1．中标后投标人无正当理由不与采购人或者采购代理机构签订《政府采购合同》；</w:t>
      </w:r>
    </w:p>
    <w:p w14:paraId="5AE03F52">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2．招标文件规定的投标人应当缴纳保证金的其他情形。</w:t>
      </w:r>
    </w:p>
    <w:p w14:paraId="679E0D1D">
      <w:pPr>
        <w:ind w:firstLine="210" w:firstLineChars="100"/>
        <w:rPr>
          <w:rFonts w:hint="eastAsia" w:ascii="仿宋" w:hAnsi="仿宋" w:eastAsia="仿宋" w:cs="仿宋"/>
          <w:color w:val="auto"/>
          <w:highlight w:val="none"/>
        </w:rPr>
      </w:pPr>
      <w:r>
        <w:rPr>
          <w:rFonts w:hint="eastAsia" w:ascii="仿宋" w:hAnsi="仿宋" w:eastAsia="仿宋" w:cs="仿宋"/>
          <w:color w:val="auto"/>
          <w:highlight w:val="none"/>
        </w:rPr>
        <w:t>（二）我方承担保证责任的最高金额为人民币</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元（大写</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），即本项目的投标保证金金额。</w:t>
      </w:r>
    </w:p>
    <w:p w14:paraId="044F5E2E">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二、保证的方式及保证期间</w:t>
      </w:r>
    </w:p>
    <w:p w14:paraId="0BE3B36F">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我方保证的方式为：连带责任保证。</w:t>
      </w:r>
    </w:p>
    <w:p w14:paraId="6A15207F">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我方的保证期间为：自本保函生效之日起</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个月止。</w:t>
      </w:r>
    </w:p>
    <w:p w14:paraId="094FFC89">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三、承担保证责任的程序</w:t>
      </w:r>
    </w:p>
    <w:p w14:paraId="32D0235F">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1FE036C9">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2．我方在收到索赔通知及相关证明材料后，在</w:t>
      </w:r>
      <w:r>
        <w:rPr>
          <w:rFonts w:hint="eastAsia" w:ascii="仿宋" w:hAnsi="仿宋" w:eastAsia="仿宋" w:cs="仿宋"/>
          <w:color w:val="auto"/>
          <w:highlight w:val="none"/>
          <w:u w:val="single"/>
        </w:rPr>
        <w:t>　　　</w:t>
      </w:r>
      <w:r>
        <w:rPr>
          <w:rFonts w:hint="eastAsia" w:ascii="仿宋" w:hAnsi="仿宋" w:eastAsia="仿宋" w:cs="仿宋"/>
          <w:color w:val="auto"/>
          <w:highlight w:val="none"/>
        </w:rPr>
        <w:t>个工作日内进行审查，符合应承担保证责任情形的，我方应按照你方的要求代投标人向你方支付投标保证金。</w:t>
      </w:r>
    </w:p>
    <w:p w14:paraId="2A3535B9">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四、保证责任的终止</w:t>
      </w:r>
    </w:p>
    <w:p w14:paraId="61E0BD64">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1．保证期间届满你方未向我方书面主张保证责任的，自保证期间届满次日起，我方保证责任自动终止。</w:t>
      </w:r>
    </w:p>
    <w:p w14:paraId="5DE2089F">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2．我方按照本保函向你贵方履行了保证责任后，自我方向你贵方支付款项（支付款项从我方账户划出）之日起，保证责任终止。</w:t>
      </w:r>
    </w:p>
    <w:p w14:paraId="3C971B16">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3．按照法律法规的规定或出现我方保证责任终止的其它情形的，我方在本保函项下的保证责任亦终止。</w:t>
      </w:r>
    </w:p>
    <w:p w14:paraId="6AE2ABD6">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五、免责条款</w:t>
      </w:r>
    </w:p>
    <w:p w14:paraId="02C64780">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1．依照法律规定或你方与投标人的另行约定，全部或者部分免除投标人投标保证金义务时，我方亦免除相应的保证责任。</w:t>
      </w:r>
    </w:p>
    <w:p w14:paraId="6E36DB64">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2．因你方原因致使投标人发生本保函第一条第（一）款约定情形的，我方不承担保证责任。</w:t>
      </w:r>
    </w:p>
    <w:p w14:paraId="5F5D27FD">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3．因不可抗力造成投标人发生本保函第一条约定情形的，我方不承担保证责任。</w:t>
      </w:r>
    </w:p>
    <w:p w14:paraId="340590FE">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4．你方或其他有权机关对招标文件进行任何澄清或修改，加重我方保证责任的，我方对加重部分不承担保证责任，但该澄清或修改经我方事先书面同意的除外。</w:t>
      </w:r>
    </w:p>
    <w:p w14:paraId="0D1BC7AB">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六、争议的解决</w:t>
      </w:r>
    </w:p>
    <w:p w14:paraId="30705098">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因本保函发生的纠纷，由你我双方协商解决，协商不成的，通过诉讼程序解决，诉讼管辖地法院为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法院。</w:t>
      </w:r>
    </w:p>
    <w:p w14:paraId="76AA13AF">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七、保函的生效</w:t>
      </w:r>
    </w:p>
    <w:p w14:paraId="7F15AA66">
      <w:pPr>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本保函自我方加盖公章之日起生效。</w:t>
      </w:r>
    </w:p>
    <w:p w14:paraId="10E06A47">
      <w:pPr>
        <w:ind w:firstLine="5565" w:firstLineChars="2650"/>
        <w:rPr>
          <w:rFonts w:hint="eastAsia" w:ascii="仿宋" w:hAnsi="仿宋" w:eastAsia="仿宋" w:cs="仿宋"/>
          <w:color w:val="auto"/>
          <w:highlight w:val="none"/>
        </w:rPr>
      </w:pPr>
      <w:r>
        <w:rPr>
          <w:rFonts w:hint="eastAsia" w:ascii="仿宋" w:hAnsi="仿宋" w:eastAsia="仿宋" w:cs="仿宋"/>
          <w:color w:val="auto"/>
          <w:highlight w:val="none"/>
        </w:rPr>
        <w:t>保证人：（</w:t>
      </w:r>
      <w:r>
        <w:rPr>
          <w:rFonts w:hint="eastAsia" w:ascii="仿宋" w:hAnsi="仿宋" w:eastAsia="仿宋" w:cs="仿宋"/>
          <w:color w:val="auto"/>
          <w:sz w:val="24"/>
          <w:highlight w:val="none"/>
          <w:lang w:eastAsia="zh-CN"/>
        </w:rPr>
        <w:t>电子签章</w:t>
      </w:r>
      <w:r>
        <w:rPr>
          <w:rFonts w:hint="eastAsia" w:ascii="仿宋" w:hAnsi="仿宋" w:eastAsia="仿宋" w:cs="仿宋"/>
          <w:color w:val="auto"/>
          <w:highlight w:val="none"/>
        </w:rPr>
        <w:t>）</w:t>
      </w:r>
    </w:p>
    <w:p w14:paraId="4B6AD771">
      <w:pPr>
        <w:rPr>
          <w:rFonts w:hint="eastAsia" w:ascii="仿宋" w:hAnsi="仿宋" w:eastAsia="仿宋" w:cs="仿宋"/>
          <w:color w:val="auto"/>
          <w:highlight w:val="none"/>
        </w:rPr>
      </w:pPr>
      <w:r>
        <w:rPr>
          <w:rFonts w:hint="eastAsia" w:ascii="仿宋" w:hAnsi="仿宋" w:eastAsia="仿宋" w:cs="仿宋"/>
          <w:color w:val="auto"/>
          <w:highlight w:val="none"/>
        </w:rPr>
        <w:t xml:space="preserve">                               </w:t>
      </w:r>
    </w:p>
    <w:p w14:paraId="6E6C9A1C">
      <w:pPr>
        <w:ind w:firstLine="5775" w:firstLineChars="2750"/>
        <w:rPr>
          <w:rFonts w:hint="eastAsia" w:ascii="仿宋" w:hAnsi="仿宋" w:eastAsia="仿宋" w:cs="仿宋"/>
          <w:color w:val="auto"/>
          <w:highlight w:val="none"/>
          <w:lang w:val="en-US" w:eastAsia="zh-CN"/>
        </w:rPr>
        <w:sectPr>
          <w:footerReference r:id="rId7"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r>
        <w:rPr>
          <w:rFonts w:hint="eastAsia" w:ascii="仿宋" w:hAnsi="仿宋" w:eastAsia="仿宋" w:cs="仿宋"/>
          <w:color w:val="auto"/>
          <w:highlight w:val="none"/>
        </w:rPr>
        <w:t xml:space="preserve">年     月      </w:t>
      </w:r>
      <w:r>
        <w:rPr>
          <w:rFonts w:hint="eastAsia" w:ascii="仿宋" w:hAnsi="仿宋" w:eastAsia="仿宋" w:cs="仿宋"/>
          <w:color w:val="auto"/>
          <w:highlight w:val="none"/>
          <w:lang w:val="en-US" w:eastAsia="zh-CN"/>
        </w:rPr>
        <w:t>日</w:t>
      </w:r>
    </w:p>
    <w:p w14:paraId="5F9A9104">
      <w:pPr>
        <w:pStyle w:val="4"/>
        <w:spacing w:before="0" w:line="240" w:lineRule="atLeast"/>
        <w:jc w:val="both"/>
        <w:rPr>
          <w:rFonts w:hint="eastAsia" w:ascii="仿宋" w:hAnsi="仿宋" w:eastAsia="仿宋" w:cs="仿宋"/>
          <w:color w:val="auto"/>
          <w:sz w:val="24"/>
          <w:highlight w:val="none"/>
        </w:rPr>
      </w:pPr>
      <w:bookmarkStart w:id="296" w:name="_Toc24428"/>
      <w:bookmarkStart w:id="297" w:name="_Toc32670"/>
      <w:bookmarkStart w:id="298" w:name="_Toc515647811"/>
      <w:bookmarkStart w:id="299" w:name="_Toc10118"/>
      <w:bookmarkStart w:id="300" w:name="_Toc24985"/>
      <w:r>
        <w:rPr>
          <w:rFonts w:hint="eastAsia" w:ascii="仿宋" w:hAnsi="仿宋" w:eastAsia="仿宋" w:cs="仿宋"/>
          <w:color w:val="auto"/>
          <w:sz w:val="24"/>
          <w:highlight w:val="none"/>
        </w:rPr>
        <w:t>7  参加政府采购活动前3年内</w:t>
      </w:r>
      <w:bookmarkEnd w:id="296"/>
      <w:bookmarkEnd w:id="297"/>
      <w:bookmarkEnd w:id="298"/>
      <w:bookmarkStart w:id="301" w:name="_Toc6008"/>
      <w:bookmarkStart w:id="302" w:name="_Toc515647812"/>
      <w:bookmarkStart w:id="303" w:name="_Toc1137"/>
      <w:r>
        <w:rPr>
          <w:rFonts w:hint="eastAsia" w:ascii="仿宋" w:hAnsi="仿宋" w:eastAsia="仿宋" w:cs="仿宋"/>
          <w:color w:val="auto"/>
          <w:sz w:val="24"/>
          <w:highlight w:val="none"/>
        </w:rPr>
        <w:t>在经营活动中没有重大违法记录的书面声明</w:t>
      </w:r>
      <w:bookmarkEnd w:id="299"/>
      <w:bookmarkEnd w:id="300"/>
      <w:bookmarkEnd w:id="301"/>
      <w:bookmarkEnd w:id="302"/>
      <w:bookmarkEnd w:id="303"/>
    </w:p>
    <w:p w14:paraId="4B16570E">
      <w:pPr>
        <w:pStyle w:val="17"/>
        <w:tabs>
          <w:tab w:val="left" w:pos="5580"/>
        </w:tabs>
        <w:spacing w:line="240" w:lineRule="atLeast"/>
        <w:ind w:left="1079" w:leftChars="257" w:hanging="540"/>
        <w:jc w:val="center"/>
        <w:rPr>
          <w:rFonts w:hint="eastAsia" w:ascii="仿宋" w:hAnsi="仿宋" w:eastAsia="仿宋" w:cs="仿宋"/>
          <w:b/>
          <w:color w:val="auto"/>
          <w:sz w:val="24"/>
          <w:highlight w:val="none"/>
        </w:rPr>
      </w:pPr>
    </w:p>
    <w:p w14:paraId="3CB8EE6B">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20956EAE">
      <w:pPr>
        <w:pStyle w:val="17"/>
        <w:tabs>
          <w:tab w:val="left" w:pos="5580"/>
        </w:tabs>
        <w:spacing w:line="240" w:lineRule="atLeast"/>
        <w:ind w:left="1079" w:leftChars="257" w:hanging="540"/>
        <w:rPr>
          <w:rFonts w:hint="eastAsia" w:ascii="仿宋" w:hAnsi="仿宋" w:eastAsia="仿宋" w:cs="仿宋"/>
          <w:color w:val="auto"/>
          <w:sz w:val="24"/>
          <w:highlight w:val="none"/>
        </w:rPr>
      </w:pPr>
    </w:p>
    <w:p w14:paraId="654F9899">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说明：1.投标人应按照相关法规规定如实作出说明。</w:t>
      </w:r>
    </w:p>
    <w:p w14:paraId="5CF15E71">
      <w:pPr>
        <w:pStyle w:val="17"/>
        <w:tabs>
          <w:tab w:val="left" w:pos="5580"/>
        </w:tabs>
        <w:spacing w:line="240" w:lineRule="atLeast"/>
        <w:ind w:left="644" w:leftChars="307"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按照招标文件的规定加盖单位</w:t>
      </w:r>
      <w:r>
        <w:rPr>
          <w:rFonts w:hint="eastAsia" w:ascii="仿宋" w:hAnsi="仿宋" w:eastAsia="仿宋" w:cs="仿宋"/>
          <w:color w:val="auto"/>
          <w:sz w:val="24"/>
          <w:highlight w:val="none"/>
          <w:lang w:eastAsia="zh-CN"/>
        </w:rPr>
        <w:t>电子</w:t>
      </w:r>
      <w:r>
        <w:rPr>
          <w:rFonts w:hint="eastAsia" w:ascii="仿宋" w:hAnsi="仿宋" w:eastAsia="仿宋" w:cs="仿宋"/>
          <w:color w:val="auto"/>
          <w:sz w:val="24"/>
          <w:highlight w:val="none"/>
        </w:rPr>
        <w:t>章（自然人投标的无需盖章，需要签字）。</w:t>
      </w:r>
    </w:p>
    <w:p w14:paraId="5A2EA118">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3.如果是联合体投标，联合体各方均需提供上述证明。</w:t>
      </w:r>
    </w:p>
    <w:p w14:paraId="2E7289DB">
      <w:pPr>
        <w:jc w:val="center"/>
        <w:rPr>
          <w:rFonts w:hint="eastAsia" w:ascii="仿宋" w:hAnsi="仿宋" w:eastAsia="仿宋" w:cs="仿宋"/>
          <w:b/>
          <w:color w:val="auto"/>
          <w:kern w:val="0"/>
          <w:sz w:val="24"/>
          <w:szCs w:val="20"/>
          <w:highlight w:val="none"/>
          <w:lang w:val="en-US" w:eastAsia="zh-CN" w:bidi="ar-SA"/>
        </w:rPr>
      </w:pPr>
      <w:r>
        <w:rPr>
          <w:rFonts w:hint="eastAsia" w:ascii="仿宋" w:hAnsi="仿宋" w:eastAsia="仿宋" w:cs="仿宋"/>
          <w:color w:val="auto"/>
          <w:sz w:val="24"/>
          <w:highlight w:val="none"/>
        </w:rPr>
        <w:br w:type="page"/>
      </w:r>
      <w:r>
        <w:rPr>
          <w:rFonts w:hint="eastAsia" w:ascii="仿宋" w:hAnsi="仿宋" w:eastAsia="仿宋" w:cs="仿宋"/>
          <w:b/>
          <w:color w:val="auto"/>
          <w:kern w:val="0"/>
          <w:sz w:val="24"/>
          <w:szCs w:val="20"/>
          <w:highlight w:val="none"/>
          <w:lang w:val="en-US" w:eastAsia="zh-CN" w:bidi="ar-SA"/>
        </w:rPr>
        <w:t>8  供应商具备履行合同所必需的设备和专业技术能力的证明材料</w:t>
      </w:r>
    </w:p>
    <w:p w14:paraId="5F80134D">
      <w:pPr>
        <w:pStyle w:val="17"/>
        <w:tabs>
          <w:tab w:val="left" w:pos="5580"/>
        </w:tabs>
        <w:spacing w:line="360" w:lineRule="auto"/>
        <w:jc w:val="center"/>
        <w:rPr>
          <w:rFonts w:hint="eastAsia" w:ascii="仿宋" w:hAnsi="仿宋" w:eastAsia="仿宋" w:cs="仿宋"/>
          <w:color w:val="auto"/>
          <w:kern w:val="0"/>
          <w:sz w:val="24"/>
          <w:highlight w:val="none"/>
          <w:lang w:val="en-US" w:eastAsia="zh-CN"/>
        </w:rPr>
      </w:pPr>
      <w:r>
        <w:rPr>
          <w:rFonts w:hint="eastAsia" w:ascii="仿宋" w:hAnsi="仿宋" w:eastAsia="仿宋" w:cs="仿宋"/>
          <w:color w:val="auto"/>
          <w:sz w:val="24"/>
          <w:highlight w:val="none"/>
          <w:lang w:val="en-US" w:eastAsia="zh-CN"/>
        </w:rPr>
        <w:t>8.1</w:t>
      </w:r>
      <w:r>
        <w:rPr>
          <w:rFonts w:hint="eastAsia" w:ascii="仿宋" w:hAnsi="仿宋" w:eastAsia="仿宋" w:cs="仿宋"/>
          <w:color w:val="auto"/>
          <w:kern w:val="0"/>
          <w:sz w:val="24"/>
          <w:highlight w:val="none"/>
          <w:lang w:val="en-US" w:eastAsia="zh-CN"/>
        </w:rPr>
        <w:t>具备履行合同所必需的设备和专业技术能力的承诺</w:t>
      </w:r>
    </w:p>
    <w:p w14:paraId="053C20D6">
      <w:pPr>
        <w:pStyle w:val="17"/>
        <w:tabs>
          <w:tab w:val="left" w:pos="5580"/>
        </w:tabs>
        <w:spacing w:line="360" w:lineRule="auto"/>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lang w:val="en-US" w:eastAsia="zh-CN"/>
        </w:rPr>
        <w:t>致：</w:t>
      </w:r>
      <w:r>
        <w:rPr>
          <w:rFonts w:hint="eastAsia" w:ascii="仿宋" w:hAnsi="仿宋" w:eastAsia="仿宋" w:cs="仿宋"/>
          <w:color w:val="auto"/>
          <w:kern w:val="0"/>
          <w:sz w:val="24"/>
          <w:highlight w:val="none"/>
          <w:u w:val="single"/>
          <w:lang w:val="en-US" w:eastAsia="zh-CN"/>
        </w:rPr>
        <w:t xml:space="preserve">                   采购人</w:t>
      </w:r>
    </w:p>
    <w:p w14:paraId="785208AA">
      <w:pPr>
        <w:pStyle w:val="17"/>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我公司（</w:t>
      </w:r>
      <w:r>
        <w:rPr>
          <w:rFonts w:hint="eastAsia" w:ascii="仿宋" w:hAnsi="仿宋" w:eastAsia="仿宋" w:cs="仿宋"/>
          <w:color w:val="auto"/>
          <w:kern w:val="0"/>
          <w:sz w:val="24"/>
          <w:highlight w:val="none"/>
          <w:u w:val="single"/>
          <w:lang w:val="en-US" w:eastAsia="zh-CN"/>
        </w:rPr>
        <w:t xml:space="preserve">                     公司</w:t>
      </w:r>
      <w:r>
        <w:rPr>
          <w:rFonts w:hint="eastAsia" w:ascii="仿宋" w:hAnsi="仿宋" w:eastAsia="仿宋" w:cs="仿宋"/>
          <w:color w:val="auto"/>
          <w:kern w:val="0"/>
          <w:sz w:val="24"/>
          <w:highlight w:val="none"/>
          <w:lang w:val="en-US" w:eastAsia="zh-CN"/>
        </w:rPr>
        <w:t>）参加贵方组织的</w:t>
      </w:r>
      <w:r>
        <w:rPr>
          <w:rFonts w:hint="eastAsia" w:ascii="仿宋" w:hAnsi="仿宋" w:eastAsia="仿宋" w:cs="仿宋"/>
          <w:color w:val="auto"/>
          <w:kern w:val="0"/>
          <w:sz w:val="24"/>
          <w:highlight w:val="none"/>
          <w:u w:val="single"/>
          <w:lang w:val="en-US" w:eastAsia="zh-CN"/>
        </w:rPr>
        <w:t xml:space="preserve">               项目</w:t>
      </w:r>
      <w:r>
        <w:rPr>
          <w:rFonts w:hint="eastAsia" w:ascii="仿宋" w:hAnsi="仿宋" w:eastAsia="仿宋" w:cs="仿宋"/>
          <w:color w:val="auto"/>
          <w:kern w:val="0"/>
          <w:sz w:val="24"/>
          <w:highlight w:val="none"/>
          <w:lang w:val="en-US" w:eastAsia="zh-CN"/>
        </w:rPr>
        <w:t>（项目编号：</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en-US" w:eastAsia="zh-CN"/>
        </w:rPr>
        <w:t>）的投标活动，如我方获得中标资格，我方保证具备履行合同所必须的设备和专业技术能力，并承诺如下：</w:t>
      </w:r>
    </w:p>
    <w:p w14:paraId="1CB6AD30">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具有独立承担民事责任的能力；</w:t>
      </w:r>
    </w:p>
    <w:p w14:paraId="5B05758E">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具有良好的商业信誉和健全的财务会计制度；</w:t>
      </w:r>
    </w:p>
    <w:p w14:paraId="66998B1F">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具有履行合同所必需的设备和专业技术能力；</w:t>
      </w:r>
    </w:p>
    <w:p w14:paraId="12038077">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参加政府采购活动前三年内，在经营活动中没有重大违法记录；</w:t>
      </w:r>
    </w:p>
    <w:p w14:paraId="044B0BDE">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法律、行政法规规定的其他条件；</w:t>
      </w:r>
    </w:p>
    <w:p w14:paraId="2FF8BDD4">
      <w:pPr>
        <w:pStyle w:val="17"/>
        <w:numPr>
          <w:ilvl w:val="0"/>
          <w:numId w:val="6"/>
        </w:numPr>
        <w:tabs>
          <w:tab w:val="left" w:pos="5580"/>
        </w:tabs>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我公司已完全了解本招标文件中规定的技术要求和商务条款。</w:t>
      </w:r>
    </w:p>
    <w:p w14:paraId="5631A6B8">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同时，我公司具有很好的厂家原厂产品支持、技术服务、产品调试、系统培训及原厂售后服务承诺保持书。</w:t>
      </w:r>
    </w:p>
    <w:p w14:paraId="4BE6DBAB">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如违反以上承诺，本公司愿承担一切法律责任。</w:t>
      </w:r>
    </w:p>
    <w:p w14:paraId="51B8B44B">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p>
    <w:p w14:paraId="02E2BDD3">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p>
    <w:p w14:paraId="7F03CCDF">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p>
    <w:p w14:paraId="687E69F4">
      <w:pPr>
        <w:pStyle w:val="17"/>
        <w:tabs>
          <w:tab w:val="left" w:pos="5580"/>
        </w:tabs>
        <w:spacing w:line="360" w:lineRule="auto"/>
        <w:ind w:firstLine="480"/>
        <w:rPr>
          <w:rFonts w:hint="eastAsia" w:ascii="仿宋" w:hAnsi="仿宋" w:eastAsia="仿宋" w:cs="仿宋"/>
          <w:color w:val="auto"/>
          <w:kern w:val="0"/>
          <w:sz w:val="24"/>
          <w:highlight w:val="none"/>
          <w:lang w:val="en-US" w:eastAsia="zh-CN"/>
        </w:rPr>
      </w:pPr>
    </w:p>
    <w:p w14:paraId="5B2D39C2">
      <w:pPr>
        <w:pStyle w:val="17"/>
        <w:tabs>
          <w:tab w:val="left" w:pos="5580"/>
        </w:tabs>
        <w:spacing w:line="360" w:lineRule="auto"/>
        <w:ind w:firstLine="2640" w:firstLineChars="1100"/>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lang w:val="en-US" w:eastAsia="zh-CN"/>
        </w:rPr>
        <w:t>法定代表人或其委托代理人：</w:t>
      </w:r>
      <w:r>
        <w:rPr>
          <w:rFonts w:hint="eastAsia" w:ascii="仿宋" w:hAnsi="仿宋" w:eastAsia="仿宋" w:cs="仿宋"/>
          <w:color w:val="auto"/>
          <w:kern w:val="0"/>
          <w:sz w:val="24"/>
          <w:highlight w:val="none"/>
          <w:u w:val="single"/>
          <w:lang w:val="en-US" w:eastAsia="zh-CN"/>
        </w:rPr>
        <w:t xml:space="preserve">                     </w:t>
      </w:r>
    </w:p>
    <w:p w14:paraId="0578E808">
      <w:pPr>
        <w:pStyle w:val="17"/>
        <w:tabs>
          <w:tab w:val="left" w:pos="5580"/>
        </w:tabs>
        <w:spacing w:line="360" w:lineRule="auto"/>
        <w:ind w:firstLine="480" w:firstLineChars="200"/>
        <w:jc w:val="center"/>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lang w:val="en-US" w:eastAsia="zh-CN"/>
        </w:rPr>
        <w:t xml:space="preserve">    供应商：</w:t>
      </w:r>
      <w:r>
        <w:rPr>
          <w:rFonts w:hint="eastAsia" w:ascii="仿宋" w:hAnsi="仿宋" w:eastAsia="仿宋" w:cs="仿宋"/>
          <w:color w:val="auto"/>
          <w:kern w:val="0"/>
          <w:sz w:val="24"/>
          <w:highlight w:val="none"/>
          <w:u w:val="single"/>
          <w:lang w:val="en-US" w:eastAsia="zh-CN"/>
        </w:rPr>
        <w:t xml:space="preserve">        （电子签章）                   </w:t>
      </w:r>
    </w:p>
    <w:p w14:paraId="0F53CCFD">
      <w:pPr>
        <w:pStyle w:val="17"/>
        <w:tabs>
          <w:tab w:val="left" w:pos="5580"/>
        </w:tabs>
        <w:spacing w:line="360" w:lineRule="auto"/>
        <w:ind w:firstLine="480" w:firstLineChars="200"/>
        <w:jc w:val="center"/>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lang w:val="en-US" w:eastAsia="zh-CN"/>
        </w:rPr>
        <w:t xml:space="preserve">日期： </w:t>
      </w:r>
      <w:r>
        <w:rPr>
          <w:rFonts w:hint="eastAsia" w:ascii="仿宋" w:hAnsi="仿宋" w:eastAsia="仿宋" w:cs="仿宋"/>
          <w:color w:val="auto"/>
          <w:kern w:val="0"/>
          <w:sz w:val="24"/>
          <w:highlight w:val="none"/>
          <w:u w:val="single"/>
          <w:lang w:val="en-US" w:eastAsia="zh-CN"/>
        </w:rPr>
        <w:t xml:space="preserve"> 2025年     月     日  </w:t>
      </w:r>
    </w:p>
    <w:p w14:paraId="2A57D88E">
      <w:pPr>
        <w:pStyle w:val="17"/>
        <w:tabs>
          <w:tab w:val="left" w:pos="5580"/>
        </w:tabs>
        <w:spacing w:line="360" w:lineRule="auto"/>
        <w:rPr>
          <w:rFonts w:hint="eastAsia" w:ascii="仿宋" w:hAnsi="仿宋" w:eastAsia="仿宋" w:cs="仿宋"/>
          <w:kern w:val="0"/>
          <w:sz w:val="24"/>
          <w:lang w:val="en-US" w:eastAsia="zh-CN"/>
        </w:rPr>
      </w:pPr>
      <w:r>
        <w:rPr>
          <w:rFonts w:hint="eastAsia" w:ascii="仿宋" w:hAnsi="仿宋" w:eastAsia="仿宋" w:cs="仿宋"/>
          <w:color w:val="auto"/>
          <w:kern w:val="0"/>
          <w:sz w:val="24"/>
          <w:highlight w:val="none"/>
          <w:lang w:val="en-US" w:eastAsia="zh-CN"/>
        </w:rPr>
        <w:br w:type="page"/>
      </w:r>
      <w:r>
        <w:rPr>
          <w:rFonts w:hint="eastAsia" w:ascii="仿宋" w:hAnsi="仿宋" w:eastAsia="仿宋" w:cs="仿宋"/>
          <w:kern w:val="0"/>
          <w:sz w:val="24"/>
          <w:lang w:val="en-US" w:eastAsia="zh-CN"/>
        </w:rPr>
        <w:t>8.2具备履行合同所必须的设备表</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4"/>
        <w:gridCol w:w="1728"/>
        <w:gridCol w:w="2078"/>
        <w:gridCol w:w="764"/>
        <w:gridCol w:w="1711"/>
        <w:gridCol w:w="1133"/>
      </w:tblGrid>
      <w:tr w14:paraId="0CFF3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7E17C2DD">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序号</w:t>
            </w:r>
          </w:p>
        </w:tc>
        <w:tc>
          <w:tcPr>
            <w:tcW w:w="1728" w:type="dxa"/>
            <w:noWrap w:val="0"/>
            <w:vAlign w:val="center"/>
          </w:tcPr>
          <w:p w14:paraId="73EFEE93">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设备名称</w:t>
            </w:r>
          </w:p>
        </w:tc>
        <w:tc>
          <w:tcPr>
            <w:tcW w:w="2078" w:type="dxa"/>
            <w:noWrap w:val="0"/>
            <w:vAlign w:val="center"/>
          </w:tcPr>
          <w:p w14:paraId="50C2DFE8">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品牌、规格型号</w:t>
            </w:r>
          </w:p>
        </w:tc>
        <w:tc>
          <w:tcPr>
            <w:tcW w:w="764" w:type="dxa"/>
            <w:noWrap w:val="0"/>
            <w:vAlign w:val="center"/>
          </w:tcPr>
          <w:p w14:paraId="166DA1B6">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数量</w:t>
            </w:r>
          </w:p>
        </w:tc>
        <w:tc>
          <w:tcPr>
            <w:tcW w:w="1711" w:type="dxa"/>
            <w:noWrap w:val="0"/>
            <w:vAlign w:val="center"/>
          </w:tcPr>
          <w:p w14:paraId="07AD5D60">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主要技术参数</w:t>
            </w:r>
          </w:p>
        </w:tc>
        <w:tc>
          <w:tcPr>
            <w:tcW w:w="1133" w:type="dxa"/>
            <w:noWrap w:val="0"/>
            <w:vAlign w:val="center"/>
          </w:tcPr>
          <w:p w14:paraId="4EE6323E">
            <w:pPr>
              <w:pStyle w:val="17"/>
              <w:keepNext w:val="0"/>
              <w:keepLines w:val="0"/>
              <w:suppressLineNumbers w:val="0"/>
              <w:tabs>
                <w:tab w:val="left" w:pos="5580"/>
              </w:tabs>
              <w:spacing w:before="0" w:beforeAutospacing="0" w:after="0" w:afterAutospacing="0" w:line="360" w:lineRule="auto"/>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备注</w:t>
            </w:r>
          </w:p>
        </w:tc>
      </w:tr>
      <w:tr w14:paraId="2A77B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73DC60B4">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03766292">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47650165">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5CF18083">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3A25FC3A">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2CC26573">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73321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735084E6">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1EC2547C">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756E076E">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5AFF4F84">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49327EDE">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30E5380D">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210DF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4703153F">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0C7D1507">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16D06642">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7C40868A">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555617A7">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1C24EFFA">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3EC22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6715C8BA">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6A779B21">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1996ACB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7057D4F6">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7B1F4085">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45934BCF">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7535B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7A6E459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1D3B0E36">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4B4F1CE9">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5A855219">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1ED86E8A">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410D063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5ACDF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07FAD03E">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160974B7">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2DC17C65">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20ED148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612BC35C">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34DBB025">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02372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1157E21B">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65C7DCF4">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476C1C0A">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24D20CA8">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6C6F25D5">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513BA77A">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7504B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3E4EA574">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5F2A331B">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27365E02">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4B04C817">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2CB103CE">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7577565E">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6B61D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373AD381">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5978682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4F6375FC">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4859728A">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7128656C">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7BBFF435">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r w14:paraId="1C26E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14" w:type="dxa"/>
            <w:noWrap w:val="0"/>
            <w:vAlign w:val="center"/>
          </w:tcPr>
          <w:p w14:paraId="14C1C362">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28" w:type="dxa"/>
            <w:noWrap w:val="0"/>
            <w:vAlign w:val="center"/>
          </w:tcPr>
          <w:p w14:paraId="003480B3">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2078" w:type="dxa"/>
            <w:noWrap w:val="0"/>
            <w:vAlign w:val="center"/>
          </w:tcPr>
          <w:p w14:paraId="02EA4A49">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764" w:type="dxa"/>
            <w:noWrap w:val="0"/>
            <w:vAlign w:val="center"/>
          </w:tcPr>
          <w:p w14:paraId="293F89FB">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711" w:type="dxa"/>
            <w:noWrap w:val="0"/>
            <w:vAlign w:val="center"/>
          </w:tcPr>
          <w:p w14:paraId="6706EEB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c>
          <w:tcPr>
            <w:tcW w:w="1133" w:type="dxa"/>
            <w:noWrap w:val="0"/>
            <w:vAlign w:val="center"/>
          </w:tcPr>
          <w:p w14:paraId="31D4BE69">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p>
        </w:tc>
      </w:tr>
    </w:tbl>
    <w:p w14:paraId="7123174E">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77A12B8A">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6AAF655E">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59B8B9B7">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49E5F6EB">
      <w:pPr>
        <w:pStyle w:val="17"/>
        <w:tabs>
          <w:tab w:val="left" w:pos="5580"/>
        </w:tabs>
        <w:spacing w:line="240" w:lineRule="atLeast"/>
        <w:rPr>
          <w:rFonts w:hint="eastAsia" w:ascii="仿宋" w:hAnsi="仿宋" w:eastAsia="仿宋" w:cs="仿宋"/>
          <w:kern w:val="0"/>
          <w:sz w:val="24"/>
          <w:lang w:val="en-US" w:eastAsia="zh-CN"/>
        </w:rPr>
      </w:pPr>
    </w:p>
    <w:p w14:paraId="3EA597EC">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27AA11D8">
      <w:pPr>
        <w:pStyle w:val="17"/>
        <w:tabs>
          <w:tab w:val="left" w:pos="5580"/>
        </w:tabs>
        <w:spacing w:line="360" w:lineRule="auto"/>
        <w:ind w:firstLine="2880" w:firstLineChars="1200"/>
        <w:rPr>
          <w:rFonts w:hint="eastAsia" w:ascii="仿宋" w:hAnsi="仿宋" w:eastAsia="仿宋" w:cs="仿宋"/>
          <w:kern w:val="0"/>
          <w:sz w:val="24"/>
          <w:u w:val="single"/>
          <w:lang w:val="en-US" w:eastAsia="zh-CN"/>
        </w:rPr>
      </w:pPr>
      <w:r>
        <w:rPr>
          <w:rFonts w:hint="eastAsia" w:ascii="仿宋" w:hAnsi="仿宋" w:eastAsia="仿宋" w:cs="仿宋"/>
          <w:kern w:val="0"/>
          <w:sz w:val="24"/>
          <w:lang w:val="en-US" w:eastAsia="zh-CN"/>
        </w:rPr>
        <w:t>法定代表人或其委托代理人：</w:t>
      </w:r>
      <w:r>
        <w:rPr>
          <w:rFonts w:hint="eastAsia" w:ascii="仿宋" w:hAnsi="仿宋" w:eastAsia="仿宋" w:cs="仿宋"/>
          <w:kern w:val="0"/>
          <w:sz w:val="24"/>
          <w:u w:val="single"/>
          <w:lang w:val="en-US" w:eastAsia="zh-CN"/>
        </w:rPr>
        <w:t xml:space="preserve">                     </w:t>
      </w:r>
    </w:p>
    <w:p w14:paraId="7C0D8A22">
      <w:pPr>
        <w:pStyle w:val="17"/>
        <w:tabs>
          <w:tab w:val="left" w:pos="5580"/>
        </w:tabs>
        <w:spacing w:line="360" w:lineRule="auto"/>
        <w:ind w:firstLine="480" w:firstLineChars="200"/>
        <w:jc w:val="center"/>
        <w:rPr>
          <w:rFonts w:hint="eastAsia" w:ascii="仿宋" w:hAnsi="仿宋" w:eastAsia="仿宋" w:cs="仿宋"/>
          <w:kern w:val="0"/>
          <w:sz w:val="24"/>
          <w:u w:val="single"/>
          <w:lang w:val="en-US" w:eastAsia="zh-CN"/>
        </w:rPr>
      </w:pPr>
      <w:r>
        <w:rPr>
          <w:rFonts w:hint="eastAsia" w:ascii="仿宋" w:hAnsi="仿宋" w:eastAsia="仿宋" w:cs="仿宋"/>
          <w:kern w:val="0"/>
          <w:sz w:val="24"/>
          <w:lang w:val="en-US" w:eastAsia="zh-CN"/>
        </w:rPr>
        <w:t xml:space="preserve">       供应商：</w:t>
      </w:r>
      <w:r>
        <w:rPr>
          <w:rFonts w:hint="eastAsia" w:ascii="仿宋" w:hAnsi="仿宋" w:eastAsia="仿宋" w:cs="仿宋"/>
          <w:kern w:val="0"/>
          <w:sz w:val="24"/>
          <w:u w:val="single"/>
          <w:lang w:val="en-US" w:eastAsia="zh-CN"/>
        </w:rPr>
        <w:t xml:space="preserve">        （电子签章）                   </w:t>
      </w:r>
    </w:p>
    <w:p w14:paraId="3896749A">
      <w:pPr>
        <w:pStyle w:val="17"/>
        <w:tabs>
          <w:tab w:val="left" w:pos="5580"/>
        </w:tabs>
        <w:spacing w:line="240" w:lineRule="atLeast"/>
        <w:ind w:left="1257" w:leftChars="599" w:firstLine="1540" w:firstLineChars="642"/>
        <w:rPr>
          <w:rFonts w:hint="default" w:ascii="仿宋" w:hAnsi="仿宋" w:eastAsia="仿宋" w:cs="仿宋"/>
          <w:kern w:val="0"/>
          <w:sz w:val="24"/>
          <w:u w:val="single"/>
          <w:lang w:val="en-US" w:eastAsia="zh-CN"/>
        </w:rPr>
      </w:pPr>
      <w:r>
        <w:rPr>
          <w:rFonts w:hint="eastAsia" w:ascii="仿宋" w:hAnsi="仿宋" w:eastAsia="仿宋" w:cs="仿宋"/>
          <w:kern w:val="0"/>
          <w:sz w:val="24"/>
          <w:lang w:val="en-US" w:eastAsia="zh-CN"/>
        </w:rPr>
        <w:t xml:space="preserve">日期： </w:t>
      </w:r>
      <w:r>
        <w:rPr>
          <w:rFonts w:hint="eastAsia" w:ascii="仿宋" w:hAnsi="仿宋" w:eastAsia="仿宋" w:cs="仿宋"/>
          <w:kern w:val="0"/>
          <w:sz w:val="24"/>
          <w:u w:val="single"/>
          <w:lang w:val="en-US" w:eastAsia="zh-CN"/>
        </w:rPr>
        <w:t xml:space="preserve"> 2025年     月     日   </w:t>
      </w:r>
    </w:p>
    <w:p w14:paraId="23EFA132">
      <w:pPr>
        <w:rPr>
          <w:rFonts w:hint="eastAsia" w:ascii="仿宋" w:hAnsi="仿宋" w:eastAsia="仿宋" w:cs="仿宋"/>
          <w:kern w:val="0"/>
          <w:sz w:val="24"/>
          <w:u w:val="single"/>
          <w:lang w:val="en-US" w:eastAsia="zh-CN"/>
        </w:rPr>
      </w:pPr>
      <w:r>
        <w:rPr>
          <w:rFonts w:hint="eastAsia" w:ascii="仿宋" w:hAnsi="仿宋" w:eastAsia="仿宋" w:cs="仿宋"/>
          <w:kern w:val="0"/>
          <w:sz w:val="24"/>
          <w:u w:val="single"/>
          <w:lang w:val="en-US" w:eastAsia="zh-CN"/>
        </w:rPr>
        <w:br w:type="page"/>
      </w:r>
    </w:p>
    <w:p w14:paraId="6BE19C65">
      <w:pPr>
        <w:pStyle w:val="17"/>
        <w:tabs>
          <w:tab w:val="left" w:pos="5580"/>
        </w:tabs>
        <w:spacing w:line="240" w:lineRule="atLeast"/>
        <w:jc w:val="left"/>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8.3具备履行合同所必须的专业技术能力表</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1"/>
        <w:gridCol w:w="1421"/>
        <w:gridCol w:w="1421"/>
        <w:gridCol w:w="1220"/>
        <w:gridCol w:w="1256"/>
        <w:gridCol w:w="1789"/>
      </w:tblGrid>
      <w:tr w14:paraId="5942B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exact"/>
        </w:trPr>
        <w:tc>
          <w:tcPr>
            <w:tcW w:w="1421" w:type="dxa"/>
            <w:noWrap w:val="0"/>
            <w:vAlign w:val="center"/>
          </w:tcPr>
          <w:p w14:paraId="2304D753">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岗位</w:t>
            </w:r>
          </w:p>
        </w:tc>
        <w:tc>
          <w:tcPr>
            <w:tcW w:w="1421" w:type="dxa"/>
            <w:noWrap w:val="0"/>
            <w:vAlign w:val="center"/>
          </w:tcPr>
          <w:p w14:paraId="535E3E41">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姓名</w:t>
            </w:r>
          </w:p>
        </w:tc>
        <w:tc>
          <w:tcPr>
            <w:tcW w:w="1421" w:type="dxa"/>
            <w:noWrap w:val="0"/>
            <w:vAlign w:val="center"/>
          </w:tcPr>
          <w:p w14:paraId="0A05F658">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岗位职责</w:t>
            </w:r>
          </w:p>
        </w:tc>
        <w:tc>
          <w:tcPr>
            <w:tcW w:w="1220" w:type="dxa"/>
            <w:noWrap w:val="0"/>
            <w:vAlign w:val="center"/>
          </w:tcPr>
          <w:p w14:paraId="617D0080">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性别</w:t>
            </w:r>
          </w:p>
        </w:tc>
        <w:tc>
          <w:tcPr>
            <w:tcW w:w="1256" w:type="dxa"/>
            <w:noWrap w:val="0"/>
            <w:vAlign w:val="center"/>
          </w:tcPr>
          <w:p w14:paraId="267946A4">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工作年限</w:t>
            </w:r>
          </w:p>
        </w:tc>
        <w:tc>
          <w:tcPr>
            <w:tcW w:w="1789" w:type="dxa"/>
            <w:noWrap w:val="0"/>
            <w:vAlign w:val="center"/>
          </w:tcPr>
          <w:p w14:paraId="5133F59D">
            <w:pPr>
              <w:pStyle w:val="17"/>
              <w:keepNext w:val="0"/>
              <w:keepLines w:val="0"/>
              <w:suppressLineNumbers w:val="0"/>
              <w:tabs>
                <w:tab w:val="left" w:pos="5580"/>
              </w:tabs>
              <w:spacing w:before="0" w:beforeAutospacing="0" w:after="0" w:afterAutospacing="0" w:line="240" w:lineRule="atLeast"/>
              <w:ind w:left="0" w:right="0"/>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岗位证书（资格证书、职称证书）及编号</w:t>
            </w:r>
          </w:p>
        </w:tc>
      </w:tr>
      <w:tr w14:paraId="3CC99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noWrap w:val="0"/>
            <w:vAlign w:val="top"/>
          </w:tcPr>
          <w:p w14:paraId="5CF029B0">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327B9E03">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252796A5">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20" w:type="dxa"/>
            <w:noWrap w:val="0"/>
            <w:vAlign w:val="top"/>
          </w:tcPr>
          <w:p w14:paraId="04DE7C3D">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56" w:type="dxa"/>
            <w:noWrap w:val="0"/>
            <w:vAlign w:val="top"/>
          </w:tcPr>
          <w:p w14:paraId="623EB720">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789" w:type="dxa"/>
            <w:noWrap w:val="0"/>
            <w:vAlign w:val="top"/>
          </w:tcPr>
          <w:p w14:paraId="734AF3B2">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r>
      <w:tr w14:paraId="6A3DD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noWrap w:val="0"/>
            <w:vAlign w:val="top"/>
          </w:tcPr>
          <w:p w14:paraId="5E5088C4">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703A8EDA">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561A5C88">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20" w:type="dxa"/>
            <w:noWrap w:val="0"/>
            <w:vAlign w:val="top"/>
          </w:tcPr>
          <w:p w14:paraId="0B594812">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56" w:type="dxa"/>
            <w:noWrap w:val="0"/>
            <w:vAlign w:val="top"/>
          </w:tcPr>
          <w:p w14:paraId="4B6CE75B">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789" w:type="dxa"/>
            <w:noWrap w:val="0"/>
            <w:vAlign w:val="top"/>
          </w:tcPr>
          <w:p w14:paraId="03B50108">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r>
      <w:tr w14:paraId="72A4A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noWrap w:val="0"/>
            <w:vAlign w:val="top"/>
          </w:tcPr>
          <w:p w14:paraId="6CCD5A02">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7ECA160E">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2381769D">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20" w:type="dxa"/>
            <w:noWrap w:val="0"/>
            <w:vAlign w:val="top"/>
          </w:tcPr>
          <w:p w14:paraId="07B1FB83">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56" w:type="dxa"/>
            <w:noWrap w:val="0"/>
            <w:vAlign w:val="top"/>
          </w:tcPr>
          <w:p w14:paraId="6AD7866E">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789" w:type="dxa"/>
            <w:noWrap w:val="0"/>
            <w:vAlign w:val="top"/>
          </w:tcPr>
          <w:p w14:paraId="5A97E51A">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r>
      <w:tr w14:paraId="09AB6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noWrap w:val="0"/>
            <w:vAlign w:val="top"/>
          </w:tcPr>
          <w:p w14:paraId="48AB596D">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0DD602F6">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6157BFC7">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20" w:type="dxa"/>
            <w:noWrap w:val="0"/>
            <w:vAlign w:val="top"/>
          </w:tcPr>
          <w:p w14:paraId="5DF69893">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56" w:type="dxa"/>
            <w:noWrap w:val="0"/>
            <w:vAlign w:val="top"/>
          </w:tcPr>
          <w:p w14:paraId="55A72CD7">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789" w:type="dxa"/>
            <w:noWrap w:val="0"/>
            <w:vAlign w:val="top"/>
          </w:tcPr>
          <w:p w14:paraId="1CEBE047">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r>
      <w:tr w14:paraId="460BD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noWrap w:val="0"/>
            <w:vAlign w:val="top"/>
          </w:tcPr>
          <w:p w14:paraId="210E5D3C">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400AC166">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421" w:type="dxa"/>
            <w:noWrap w:val="0"/>
            <w:vAlign w:val="top"/>
          </w:tcPr>
          <w:p w14:paraId="33F5ABD2">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20" w:type="dxa"/>
            <w:noWrap w:val="0"/>
            <w:vAlign w:val="top"/>
          </w:tcPr>
          <w:p w14:paraId="19F13F77">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256" w:type="dxa"/>
            <w:noWrap w:val="0"/>
            <w:vAlign w:val="top"/>
          </w:tcPr>
          <w:p w14:paraId="51C1BBF7">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c>
          <w:tcPr>
            <w:tcW w:w="1789" w:type="dxa"/>
            <w:noWrap w:val="0"/>
            <w:vAlign w:val="top"/>
          </w:tcPr>
          <w:p w14:paraId="04C6F5C1">
            <w:pPr>
              <w:pStyle w:val="1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仿宋"/>
                <w:kern w:val="0"/>
                <w:sz w:val="24"/>
                <w:lang w:val="en-US" w:eastAsia="zh-CN"/>
              </w:rPr>
            </w:pPr>
          </w:p>
        </w:tc>
      </w:tr>
    </w:tbl>
    <w:p w14:paraId="6B7126FC">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29D78DA0">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16A31A43">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0BB19E93">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4BCD9EC6">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47071ADA">
      <w:pPr>
        <w:pStyle w:val="17"/>
        <w:tabs>
          <w:tab w:val="left" w:pos="5580"/>
        </w:tabs>
        <w:spacing w:line="240" w:lineRule="atLeast"/>
        <w:ind w:left="1079" w:leftChars="257" w:hanging="540"/>
        <w:rPr>
          <w:rFonts w:hint="eastAsia" w:ascii="仿宋" w:hAnsi="仿宋" w:eastAsia="仿宋" w:cs="仿宋"/>
          <w:kern w:val="0"/>
          <w:sz w:val="24"/>
          <w:lang w:val="en-US" w:eastAsia="zh-CN"/>
        </w:rPr>
      </w:pPr>
    </w:p>
    <w:p w14:paraId="09B9A784">
      <w:pPr>
        <w:pStyle w:val="17"/>
        <w:tabs>
          <w:tab w:val="left" w:pos="5580"/>
        </w:tabs>
        <w:spacing w:line="360" w:lineRule="auto"/>
        <w:ind w:firstLine="2640" w:firstLineChars="1100"/>
        <w:rPr>
          <w:rFonts w:hint="eastAsia" w:ascii="仿宋" w:hAnsi="仿宋" w:eastAsia="仿宋" w:cs="仿宋"/>
          <w:kern w:val="0"/>
          <w:sz w:val="24"/>
          <w:u w:val="single"/>
          <w:lang w:val="en-US" w:eastAsia="zh-CN"/>
        </w:rPr>
      </w:pPr>
      <w:r>
        <w:rPr>
          <w:rFonts w:hint="eastAsia" w:ascii="仿宋" w:hAnsi="仿宋" w:eastAsia="仿宋" w:cs="仿宋"/>
          <w:kern w:val="0"/>
          <w:sz w:val="24"/>
          <w:lang w:val="en-US" w:eastAsia="zh-CN"/>
        </w:rPr>
        <w:t>法定代表人或其委托代理人：</w:t>
      </w:r>
      <w:r>
        <w:rPr>
          <w:rFonts w:hint="eastAsia" w:ascii="仿宋" w:hAnsi="仿宋" w:eastAsia="仿宋" w:cs="仿宋"/>
          <w:kern w:val="0"/>
          <w:sz w:val="24"/>
          <w:u w:val="single"/>
          <w:lang w:val="en-US" w:eastAsia="zh-CN"/>
        </w:rPr>
        <w:t xml:space="preserve">                     </w:t>
      </w:r>
    </w:p>
    <w:p w14:paraId="6CB9DC6D">
      <w:pPr>
        <w:pStyle w:val="17"/>
        <w:tabs>
          <w:tab w:val="left" w:pos="5580"/>
        </w:tabs>
        <w:spacing w:line="360" w:lineRule="auto"/>
        <w:ind w:firstLine="480" w:firstLineChars="200"/>
        <w:jc w:val="center"/>
        <w:rPr>
          <w:rFonts w:hint="eastAsia" w:ascii="仿宋" w:hAnsi="仿宋" w:eastAsia="仿宋" w:cs="仿宋"/>
          <w:kern w:val="0"/>
          <w:sz w:val="24"/>
          <w:u w:val="single"/>
          <w:lang w:val="en-US" w:eastAsia="zh-CN"/>
        </w:rPr>
      </w:pPr>
      <w:r>
        <w:rPr>
          <w:rFonts w:hint="eastAsia" w:ascii="仿宋" w:hAnsi="仿宋" w:eastAsia="仿宋" w:cs="仿宋"/>
          <w:kern w:val="0"/>
          <w:sz w:val="24"/>
          <w:lang w:val="en-US" w:eastAsia="zh-CN"/>
        </w:rPr>
        <w:t xml:space="preserve">    供应商：</w:t>
      </w:r>
      <w:r>
        <w:rPr>
          <w:rFonts w:hint="eastAsia" w:ascii="仿宋" w:hAnsi="仿宋" w:eastAsia="仿宋" w:cs="仿宋"/>
          <w:kern w:val="0"/>
          <w:sz w:val="24"/>
          <w:u w:val="single"/>
          <w:lang w:val="en-US" w:eastAsia="zh-CN"/>
        </w:rPr>
        <w:t xml:space="preserve">        （电子签章）                   </w:t>
      </w:r>
    </w:p>
    <w:p w14:paraId="69ADF5ED">
      <w:pPr>
        <w:pStyle w:val="17"/>
        <w:tabs>
          <w:tab w:val="left" w:pos="5580"/>
        </w:tabs>
        <w:spacing w:line="360" w:lineRule="auto"/>
        <w:ind w:firstLine="480" w:firstLineChars="200"/>
        <w:jc w:val="center"/>
        <w:rPr>
          <w:rFonts w:hint="eastAsia" w:ascii="仿宋" w:hAnsi="仿宋" w:eastAsia="仿宋" w:cs="仿宋"/>
          <w:kern w:val="0"/>
          <w:sz w:val="24"/>
          <w:u w:val="single"/>
          <w:lang w:val="en-US" w:eastAsia="zh-CN"/>
        </w:rPr>
      </w:pPr>
      <w:r>
        <w:rPr>
          <w:rFonts w:hint="eastAsia" w:ascii="仿宋" w:hAnsi="仿宋" w:eastAsia="仿宋" w:cs="仿宋"/>
          <w:kern w:val="0"/>
          <w:sz w:val="24"/>
          <w:lang w:val="en-US" w:eastAsia="zh-CN"/>
        </w:rPr>
        <w:t xml:space="preserve">日期： </w:t>
      </w:r>
      <w:r>
        <w:rPr>
          <w:rFonts w:hint="eastAsia" w:ascii="仿宋" w:hAnsi="仿宋" w:eastAsia="仿宋" w:cs="仿宋"/>
          <w:kern w:val="0"/>
          <w:sz w:val="24"/>
          <w:u w:val="single"/>
          <w:lang w:val="en-US" w:eastAsia="zh-CN"/>
        </w:rPr>
        <w:t xml:space="preserve"> 2025年     月     日                   </w:t>
      </w:r>
    </w:p>
    <w:p w14:paraId="76C1F7B8">
      <w:pPr>
        <w:pStyle w:val="17"/>
        <w:tabs>
          <w:tab w:val="left" w:pos="5580"/>
        </w:tabs>
        <w:spacing w:line="240" w:lineRule="atLeast"/>
        <w:rPr>
          <w:rFonts w:hint="eastAsia" w:ascii="仿宋" w:hAnsi="仿宋" w:eastAsia="仿宋" w:cs="仿宋"/>
          <w:kern w:val="0"/>
          <w:sz w:val="24"/>
          <w:u w:val="single"/>
          <w:lang w:val="en-US" w:eastAsia="zh-CN"/>
        </w:rPr>
      </w:pPr>
    </w:p>
    <w:p w14:paraId="1E69E5AE">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B0CD3B4">
      <w:pPr>
        <w:pStyle w:val="17"/>
        <w:tabs>
          <w:tab w:val="left" w:pos="5580"/>
        </w:tabs>
        <w:spacing w:line="360" w:lineRule="auto"/>
        <w:jc w:val="both"/>
        <w:rPr>
          <w:rFonts w:hint="default" w:ascii="仿宋" w:hAnsi="仿宋" w:eastAsia="仿宋" w:cs="仿宋"/>
          <w:kern w:val="0"/>
          <w:sz w:val="24"/>
          <w:u w:val="none"/>
          <w:lang w:val="en-US" w:eastAsia="zh-CN"/>
        </w:rPr>
      </w:pPr>
      <w:r>
        <w:rPr>
          <w:rFonts w:hint="eastAsia" w:ascii="仿宋" w:hAnsi="仿宋" w:eastAsia="仿宋" w:cs="仿宋"/>
          <w:kern w:val="0"/>
          <w:sz w:val="24"/>
          <w:u w:val="none"/>
          <w:lang w:val="en-US" w:eastAsia="zh-CN"/>
        </w:rPr>
        <w:t>8.4产品来源渠道合法的证明文件</w:t>
      </w:r>
    </w:p>
    <w:p w14:paraId="7C74F684">
      <w:pPr>
        <w:pStyle w:val="4"/>
        <w:spacing w:before="0" w:line="240" w:lineRule="atLeast"/>
        <w:ind w:left="1079" w:leftChars="257" w:hanging="540"/>
        <w:jc w:val="center"/>
        <w:rPr>
          <w:rFonts w:hint="eastAsia" w:ascii="仿宋" w:hAnsi="仿宋" w:eastAsia="仿宋" w:cs="仿宋"/>
          <w:b/>
          <w:color w:val="auto"/>
          <w:sz w:val="24"/>
          <w:highlight w:val="none"/>
          <w:lang w:val="en-US" w:eastAsia="zh-CN"/>
        </w:rPr>
      </w:pPr>
      <w:bookmarkStart w:id="304" w:name="_Toc17417"/>
    </w:p>
    <w:p w14:paraId="78EF085A">
      <w:pPr>
        <w:pStyle w:val="4"/>
        <w:spacing w:before="0" w:line="240" w:lineRule="atLeast"/>
        <w:ind w:left="1079" w:leftChars="257" w:hanging="540"/>
        <w:jc w:val="center"/>
        <w:rPr>
          <w:rFonts w:hint="eastAsia" w:ascii="仿宋" w:hAnsi="仿宋" w:eastAsia="仿宋" w:cs="仿宋"/>
          <w:b/>
          <w:color w:val="auto"/>
          <w:sz w:val="24"/>
          <w:highlight w:val="none"/>
          <w:lang w:val="en-US" w:eastAsia="zh-CN"/>
        </w:rPr>
      </w:pPr>
    </w:p>
    <w:p w14:paraId="5019986B">
      <w:pPr>
        <w:pStyle w:val="4"/>
        <w:spacing w:before="0" w:line="240" w:lineRule="atLeast"/>
        <w:ind w:left="1079" w:leftChars="257" w:hanging="540"/>
        <w:jc w:val="center"/>
        <w:rPr>
          <w:rFonts w:hint="eastAsia" w:ascii="仿宋" w:hAnsi="仿宋" w:eastAsia="仿宋" w:cs="仿宋"/>
          <w:b/>
          <w:color w:val="auto"/>
          <w:sz w:val="24"/>
          <w:highlight w:val="none"/>
          <w:lang w:val="en-US" w:eastAsia="zh-CN"/>
        </w:rPr>
      </w:pPr>
    </w:p>
    <w:p w14:paraId="36A4CCE4">
      <w:pPr>
        <w:pStyle w:val="4"/>
        <w:spacing w:before="0" w:line="240" w:lineRule="atLeast"/>
        <w:ind w:left="1079" w:leftChars="257" w:hanging="54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9  针对本次项目《反商业贿赂承诺书》</w:t>
      </w:r>
      <w:bookmarkEnd w:id="304"/>
    </w:p>
    <w:p w14:paraId="3664704E">
      <w:pPr>
        <w:pStyle w:val="17"/>
        <w:tabs>
          <w:tab w:val="left" w:pos="5580"/>
        </w:tabs>
        <w:spacing w:line="240" w:lineRule="atLeast"/>
        <w:ind w:left="1079" w:leftChars="257" w:hanging="540"/>
        <w:jc w:val="center"/>
        <w:rPr>
          <w:rFonts w:hint="eastAsia" w:ascii="仿宋" w:hAnsi="仿宋" w:eastAsia="仿宋" w:cs="仿宋"/>
          <w:color w:val="auto"/>
          <w:sz w:val="24"/>
          <w:highlight w:val="none"/>
        </w:rPr>
      </w:pPr>
    </w:p>
    <w:p w14:paraId="28597B82">
      <w:pPr>
        <w:pStyle w:val="4"/>
        <w:spacing w:before="0" w:line="240" w:lineRule="atLeast"/>
        <w:ind w:left="1079" w:leftChars="257" w:hanging="540"/>
        <w:rPr>
          <w:rFonts w:hint="eastAsia" w:ascii="仿宋" w:hAnsi="仿宋" w:eastAsia="仿宋" w:cs="仿宋"/>
          <w:color w:val="auto"/>
          <w:sz w:val="24"/>
          <w:highlight w:val="none"/>
        </w:rPr>
      </w:pPr>
      <w:bookmarkStart w:id="305" w:name="_Toc1448"/>
      <w:r>
        <w:rPr>
          <w:rFonts w:hint="eastAsia" w:ascii="仿宋" w:hAnsi="仿宋" w:eastAsia="仿宋" w:cs="仿宋"/>
          <w:color w:val="auto"/>
          <w:sz w:val="24"/>
          <w:highlight w:val="none"/>
          <w:lang w:val="en-US" w:eastAsia="zh-CN"/>
        </w:rPr>
        <w:t xml:space="preserve">10  </w:t>
      </w:r>
      <w:r>
        <w:rPr>
          <w:rFonts w:hint="eastAsia" w:ascii="仿宋" w:hAnsi="仿宋" w:eastAsia="仿宋" w:cs="仿宋"/>
          <w:color w:val="auto"/>
          <w:sz w:val="24"/>
          <w:highlight w:val="none"/>
        </w:rPr>
        <w:t>投标人须知资料表要求的其他资格证明文件</w:t>
      </w:r>
      <w:bookmarkEnd w:id="305"/>
    </w:p>
    <w:p w14:paraId="5557AA86">
      <w:pPr>
        <w:spacing w:line="240" w:lineRule="atLeast"/>
        <w:ind w:left="1079" w:leftChars="257" w:hanging="540"/>
        <w:jc w:val="center"/>
        <w:rPr>
          <w:rFonts w:hint="eastAsia" w:ascii="仿宋" w:hAnsi="仿宋" w:eastAsia="仿宋" w:cs="仿宋"/>
          <w:b/>
          <w:bCs/>
          <w:color w:val="auto"/>
          <w:sz w:val="24"/>
          <w:highlight w:val="none"/>
        </w:rPr>
      </w:pPr>
    </w:p>
    <w:p w14:paraId="52D0C28A">
      <w:pPr>
        <w:spacing w:line="240" w:lineRule="atLeast"/>
        <w:ind w:left="1079" w:leftChars="257" w:hanging="540"/>
        <w:jc w:val="center"/>
        <w:rPr>
          <w:rFonts w:hint="eastAsia" w:ascii="仿宋" w:hAnsi="仿宋" w:eastAsia="仿宋" w:cs="仿宋"/>
          <w:b/>
          <w:bCs/>
          <w:color w:val="auto"/>
          <w:sz w:val="24"/>
          <w:highlight w:val="none"/>
        </w:rPr>
      </w:pPr>
    </w:p>
    <w:p w14:paraId="2004CFEB">
      <w:pPr>
        <w:spacing w:line="240" w:lineRule="atLeast"/>
        <w:ind w:left="1079" w:leftChars="257" w:hanging="540"/>
        <w:jc w:val="center"/>
        <w:rPr>
          <w:rFonts w:hint="eastAsia" w:ascii="仿宋" w:hAnsi="仿宋" w:eastAsia="仿宋" w:cs="仿宋"/>
          <w:b/>
          <w:bCs/>
          <w:color w:val="auto"/>
          <w:sz w:val="24"/>
          <w:highlight w:val="none"/>
        </w:rPr>
      </w:pPr>
    </w:p>
    <w:p w14:paraId="20D2CF67">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说明：1.应提供</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要求的其他资格证明文件。</w:t>
      </w:r>
    </w:p>
    <w:p w14:paraId="3092951E">
      <w:pPr>
        <w:pStyle w:val="17"/>
        <w:tabs>
          <w:tab w:val="left" w:pos="5580"/>
        </w:tabs>
        <w:spacing w:line="240" w:lineRule="atLeast"/>
        <w:ind w:left="1079"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2.应加盖本单位</w:t>
      </w:r>
      <w:r>
        <w:rPr>
          <w:rFonts w:hint="eastAsia" w:ascii="仿宋" w:hAnsi="仿宋" w:eastAsia="仿宋" w:cs="仿宋"/>
          <w:color w:val="auto"/>
          <w:sz w:val="24"/>
          <w:highlight w:val="none"/>
          <w:lang w:eastAsia="zh-CN"/>
        </w:rPr>
        <w:t>电子章</w:t>
      </w:r>
      <w:r>
        <w:rPr>
          <w:rFonts w:hint="eastAsia" w:ascii="仿宋" w:hAnsi="仿宋" w:eastAsia="仿宋" w:cs="仿宋"/>
          <w:color w:val="auto"/>
          <w:sz w:val="24"/>
          <w:highlight w:val="none"/>
        </w:rPr>
        <w:t>章（自然人投标的无需盖章，需要签字）。</w:t>
      </w:r>
    </w:p>
    <w:p w14:paraId="1F5508E0">
      <w:pPr>
        <w:pStyle w:val="17"/>
        <w:tabs>
          <w:tab w:val="left" w:pos="5580"/>
        </w:tabs>
        <w:spacing w:line="240" w:lineRule="atLeast"/>
        <w:ind w:left="1260" w:leftChars="344" w:hanging="538"/>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3. 如果是联合体投标，联合体各方需提供的满足招标文件要求的其他资格证明文件。</w:t>
      </w:r>
    </w:p>
    <w:p w14:paraId="114895EF">
      <w:pPr>
        <w:pStyle w:val="17"/>
        <w:tabs>
          <w:tab w:val="left" w:pos="5580"/>
        </w:tabs>
        <w:spacing w:line="240" w:lineRule="atLeast"/>
        <w:ind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5F34829B">
      <w:pPr>
        <w:pStyle w:val="4"/>
        <w:spacing w:before="0" w:line="240" w:lineRule="atLeast"/>
        <w:ind w:left="1079" w:leftChars="257" w:hanging="540"/>
        <w:rPr>
          <w:rFonts w:hint="eastAsia" w:ascii="仿宋" w:hAnsi="仿宋" w:eastAsia="仿宋" w:cs="仿宋"/>
          <w:color w:val="auto"/>
          <w:sz w:val="24"/>
          <w:highlight w:val="none"/>
        </w:rPr>
      </w:pPr>
      <w:bookmarkStart w:id="306" w:name="_Toc22967"/>
      <w:bookmarkStart w:id="307" w:name="_Toc11180"/>
      <w:bookmarkStart w:id="308" w:name="_Toc6982"/>
      <w:bookmarkStart w:id="309" w:name="_Toc515647816"/>
      <w:r>
        <w:rPr>
          <w:rFonts w:hint="eastAsia" w:ascii="仿宋" w:hAnsi="仿宋" w:eastAsia="仿宋" w:cs="仿宋"/>
          <w:color w:val="auto"/>
          <w:sz w:val="24"/>
          <w:highlight w:val="none"/>
        </w:rPr>
        <w:t>第二部分  商务及技术文件</w:t>
      </w:r>
      <w:bookmarkEnd w:id="306"/>
      <w:bookmarkEnd w:id="307"/>
      <w:bookmarkEnd w:id="308"/>
      <w:bookmarkEnd w:id="309"/>
    </w:p>
    <w:p w14:paraId="49454BC2">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1、投标书（投标文件格式五）</w:t>
      </w:r>
    </w:p>
    <w:p w14:paraId="4C2762B7">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2、投标保证金缴纳凭证或投标担保函（见投标文件格式六）</w:t>
      </w:r>
    </w:p>
    <w:p w14:paraId="2F9115BD">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3、投标分项报价表（投标文件格式七）</w:t>
      </w:r>
    </w:p>
    <w:p w14:paraId="12629307">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4、货物说明一览表（投标文件格式八）</w:t>
      </w:r>
    </w:p>
    <w:p w14:paraId="64E160D8">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5、技术规格偏离表（投标文件格式九）</w:t>
      </w:r>
    </w:p>
    <w:p w14:paraId="1AE8415A">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6、商务条款偏离表（投标文件格式十）</w:t>
      </w:r>
    </w:p>
    <w:p w14:paraId="659C436E">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7、符合《政府采购促进中小企业发展管理办法》、《关于进一步加大政府采购支持中小企业力度的通知》</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《关于政府采购支持监狱企业发展有关问题的通知》和《三部门联合发布关于促进残疾人就业政府采购政策的通知》价格扣减条件的投标人须提交</w:t>
      </w:r>
    </w:p>
    <w:p w14:paraId="53599477">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7-1《投标人企业（单位）类型声明函》（投标文件格式十一）</w:t>
      </w:r>
    </w:p>
    <w:p w14:paraId="116FEBA6">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《残疾人福利性单位声明函》（投标文件格式十</w:t>
      </w:r>
      <w:r>
        <w:rPr>
          <w:rFonts w:hint="eastAsia" w:ascii="仿宋" w:hAnsi="仿宋" w:eastAsia="仿宋" w:cs="仿宋"/>
          <w:color w:val="auto"/>
          <w:sz w:val="24"/>
          <w:highlight w:val="none"/>
          <w:lang w:eastAsia="zh-CN"/>
        </w:rPr>
        <w:t>二</w:t>
      </w:r>
      <w:r>
        <w:rPr>
          <w:rFonts w:hint="eastAsia" w:ascii="仿宋" w:hAnsi="仿宋" w:eastAsia="仿宋" w:cs="仿宋"/>
          <w:color w:val="auto"/>
          <w:sz w:val="24"/>
          <w:highlight w:val="none"/>
        </w:rPr>
        <w:t>）</w:t>
      </w:r>
    </w:p>
    <w:p w14:paraId="141949E2">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8、投标人关联单位的说明（格式自拟）</w:t>
      </w:r>
    </w:p>
    <w:p w14:paraId="1530868A">
      <w:pPr>
        <w:pStyle w:val="17"/>
        <w:numPr>
          <w:ilvl w:val="0"/>
          <w:numId w:val="0"/>
        </w:numPr>
        <w:ind w:leftChars="148"/>
        <w:rPr>
          <w:rFonts w:hint="eastAsia" w:ascii="仿宋" w:hAnsi="仿宋" w:eastAsia="仿宋" w:cs="仿宋"/>
          <w:color w:val="auto"/>
          <w:sz w:val="24"/>
          <w:highlight w:val="none"/>
        </w:rPr>
      </w:pPr>
      <w:r>
        <w:rPr>
          <w:rFonts w:hint="eastAsia" w:ascii="仿宋" w:hAnsi="仿宋" w:eastAsia="仿宋" w:cs="仿宋"/>
          <w:color w:val="auto"/>
          <w:sz w:val="24"/>
          <w:highlight w:val="none"/>
        </w:rPr>
        <w:t>9、投标文件还应包括投标人须知第10条的所有技术文件</w:t>
      </w:r>
    </w:p>
    <w:p w14:paraId="2713A7D9">
      <w:pPr>
        <w:pStyle w:val="9"/>
        <w:rPr>
          <w:rFonts w:hint="eastAsia" w:ascii="仿宋" w:hAnsi="仿宋" w:eastAsia="仿宋" w:cs="仿宋"/>
        </w:rPr>
      </w:pPr>
    </w:p>
    <w:p w14:paraId="052B77A2">
      <w:pPr>
        <w:pStyle w:val="10"/>
        <w:rPr>
          <w:rFonts w:hint="eastAsia" w:ascii="仿宋" w:hAnsi="仿宋" w:eastAsia="仿宋" w:cs="仿宋"/>
        </w:rPr>
      </w:pPr>
    </w:p>
    <w:p w14:paraId="420F4232">
      <w:pPr>
        <w:rPr>
          <w:rFonts w:hint="eastAsia" w:ascii="仿宋" w:hAnsi="仿宋" w:eastAsia="仿宋" w:cs="仿宋"/>
        </w:rPr>
      </w:pPr>
    </w:p>
    <w:p w14:paraId="65BD2647">
      <w:pPr>
        <w:pStyle w:val="38"/>
        <w:rPr>
          <w:rFonts w:hint="eastAsia" w:ascii="仿宋" w:hAnsi="仿宋" w:eastAsia="仿宋" w:cs="仿宋"/>
        </w:rPr>
      </w:pPr>
    </w:p>
    <w:p w14:paraId="4B13911F">
      <w:pPr>
        <w:pStyle w:val="38"/>
        <w:rPr>
          <w:rFonts w:hint="eastAsia" w:ascii="仿宋" w:hAnsi="仿宋" w:eastAsia="仿宋" w:cs="仿宋"/>
        </w:rPr>
      </w:pPr>
    </w:p>
    <w:p w14:paraId="668F613D">
      <w:pPr>
        <w:pStyle w:val="38"/>
        <w:rPr>
          <w:rFonts w:hint="eastAsia" w:ascii="仿宋" w:hAnsi="仿宋" w:eastAsia="仿宋" w:cs="仿宋"/>
        </w:rPr>
      </w:pPr>
    </w:p>
    <w:p w14:paraId="6311B161">
      <w:pPr>
        <w:pStyle w:val="38"/>
        <w:rPr>
          <w:rFonts w:hint="eastAsia" w:ascii="仿宋" w:hAnsi="仿宋" w:eastAsia="仿宋" w:cs="仿宋"/>
        </w:rPr>
      </w:pPr>
    </w:p>
    <w:p w14:paraId="10C5DCD4">
      <w:pPr>
        <w:pStyle w:val="38"/>
        <w:rPr>
          <w:rFonts w:hint="eastAsia" w:ascii="仿宋" w:hAnsi="仿宋" w:eastAsia="仿宋" w:cs="仿宋"/>
        </w:rPr>
      </w:pPr>
    </w:p>
    <w:p w14:paraId="403BC451">
      <w:pPr>
        <w:pStyle w:val="38"/>
        <w:rPr>
          <w:rFonts w:hint="eastAsia" w:ascii="仿宋" w:hAnsi="仿宋" w:eastAsia="仿宋" w:cs="仿宋"/>
        </w:rPr>
      </w:pPr>
    </w:p>
    <w:p w14:paraId="49677D40">
      <w:pPr>
        <w:pStyle w:val="38"/>
        <w:rPr>
          <w:rFonts w:hint="eastAsia" w:ascii="仿宋" w:hAnsi="仿宋" w:eastAsia="仿宋" w:cs="仿宋"/>
        </w:rPr>
      </w:pPr>
    </w:p>
    <w:p w14:paraId="7764BEB0">
      <w:pPr>
        <w:pStyle w:val="38"/>
        <w:rPr>
          <w:rFonts w:hint="eastAsia" w:ascii="仿宋" w:hAnsi="仿宋" w:eastAsia="仿宋" w:cs="仿宋"/>
        </w:rPr>
      </w:pPr>
    </w:p>
    <w:p w14:paraId="2BCA5CF1">
      <w:pPr>
        <w:pStyle w:val="38"/>
        <w:rPr>
          <w:rFonts w:hint="eastAsia" w:ascii="仿宋" w:hAnsi="仿宋" w:eastAsia="仿宋" w:cs="仿宋"/>
        </w:rPr>
      </w:pPr>
    </w:p>
    <w:p w14:paraId="5E659324">
      <w:pPr>
        <w:pStyle w:val="38"/>
        <w:rPr>
          <w:rFonts w:hint="eastAsia" w:ascii="仿宋" w:hAnsi="仿宋" w:eastAsia="仿宋" w:cs="仿宋"/>
        </w:rPr>
      </w:pPr>
    </w:p>
    <w:p w14:paraId="50A10EE2">
      <w:pPr>
        <w:pStyle w:val="38"/>
        <w:rPr>
          <w:rFonts w:hint="eastAsia" w:ascii="仿宋" w:hAnsi="仿宋" w:eastAsia="仿宋" w:cs="仿宋"/>
        </w:rPr>
      </w:pPr>
    </w:p>
    <w:p w14:paraId="0AFF7763">
      <w:pPr>
        <w:pStyle w:val="38"/>
        <w:rPr>
          <w:rFonts w:hint="eastAsia" w:ascii="仿宋" w:hAnsi="仿宋" w:eastAsia="仿宋" w:cs="仿宋"/>
        </w:rPr>
      </w:pPr>
    </w:p>
    <w:p w14:paraId="5150E5B4">
      <w:pPr>
        <w:pStyle w:val="38"/>
        <w:rPr>
          <w:rFonts w:hint="eastAsia" w:ascii="仿宋" w:hAnsi="仿宋" w:eastAsia="仿宋" w:cs="仿宋"/>
        </w:rPr>
      </w:pPr>
    </w:p>
    <w:p w14:paraId="48FE373A">
      <w:pPr>
        <w:pStyle w:val="38"/>
        <w:rPr>
          <w:rFonts w:hint="eastAsia" w:ascii="仿宋" w:hAnsi="仿宋" w:eastAsia="仿宋" w:cs="仿宋"/>
        </w:rPr>
      </w:pPr>
    </w:p>
    <w:p w14:paraId="0A689EF8">
      <w:pPr>
        <w:pStyle w:val="38"/>
        <w:rPr>
          <w:rFonts w:hint="eastAsia" w:ascii="仿宋" w:hAnsi="仿宋" w:eastAsia="仿宋" w:cs="仿宋"/>
        </w:rPr>
      </w:pPr>
    </w:p>
    <w:p w14:paraId="24E82773">
      <w:pPr>
        <w:pStyle w:val="38"/>
        <w:rPr>
          <w:rFonts w:hint="eastAsia" w:ascii="仿宋" w:hAnsi="仿宋" w:eastAsia="仿宋" w:cs="仿宋"/>
        </w:rPr>
      </w:pPr>
    </w:p>
    <w:bookmarkEnd w:id="257"/>
    <w:bookmarkEnd w:id="258"/>
    <w:bookmarkEnd w:id="259"/>
    <w:bookmarkEnd w:id="260"/>
    <w:p w14:paraId="61A4F8CC">
      <w:pPr>
        <w:pStyle w:val="4"/>
        <w:bidi w:val="0"/>
        <w:rPr>
          <w:rFonts w:hint="eastAsia" w:ascii="仿宋" w:hAnsi="仿宋" w:eastAsia="仿宋" w:cs="仿宋"/>
          <w:sz w:val="24"/>
          <w:szCs w:val="24"/>
        </w:rPr>
      </w:pPr>
      <w:bookmarkStart w:id="310" w:name="_Toc515647817"/>
      <w:bookmarkStart w:id="311" w:name="_Toc2041"/>
      <w:bookmarkStart w:id="312" w:name="_Toc13105"/>
      <w:bookmarkStart w:id="313" w:name="_Toc11054"/>
      <w:bookmarkStart w:id="314" w:name="_Toc14915"/>
      <w:r>
        <w:rPr>
          <w:rFonts w:hint="eastAsia" w:ascii="仿宋" w:hAnsi="仿宋" w:eastAsia="仿宋" w:cs="仿宋"/>
          <w:sz w:val="24"/>
          <w:szCs w:val="24"/>
        </w:rPr>
        <w:t xml:space="preserve">1   </w:t>
      </w:r>
      <w:bookmarkStart w:id="315" w:name="_Hlt520355504"/>
      <w:bookmarkEnd w:id="315"/>
      <w:r>
        <w:rPr>
          <w:rFonts w:hint="eastAsia" w:ascii="仿宋" w:hAnsi="仿宋" w:eastAsia="仿宋" w:cs="仿宋"/>
          <w:sz w:val="24"/>
          <w:szCs w:val="24"/>
        </w:rPr>
        <w:t>投标书（投标文件格式</w:t>
      </w:r>
      <w:r>
        <w:rPr>
          <w:rFonts w:hint="eastAsia" w:ascii="仿宋" w:hAnsi="仿宋" w:eastAsia="仿宋" w:cs="仿宋"/>
          <w:sz w:val="24"/>
          <w:szCs w:val="24"/>
          <w:lang w:eastAsia="zh-CN"/>
        </w:rPr>
        <w:t>五</w:t>
      </w:r>
      <w:r>
        <w:rPr>
          <w:rFonts w:hint="eastAsia" w:ascii="仿宋" w:hAnsi="仿宋" w:eastAsia="仿宋" w:cs="仿宋"/>
          <w:sz w:val="24"/>
          <w:szCs w:val="24"/>
        </w:rPr>
        <w:t>）</w:t>
      </w:r>
      <w:bookmarkEnd w:id="310"/>
      <w:bookmarkEnd w:id="311"/>
      <w:bookmarkEnd w:id="312"/>
      <w:bookmarkEnd w:id="313"/>
      <w:bookmarkEnd w:id="314"/>
    </w:p>
    <w:p w14:paraId="47CDD9AD">
      <w:pPr>
        <w:tabs>
          <w:tab w:val="left" w:pos="5580"/>
        </w:tabs>
        <w:spacing w:line="240" w:lineRule="atLeast"/>
        <w:ind w:left="1079" w:leftChars="257" w:hanging="540"/>
        <w:rPr>
          <w:rFonts w:hint="eastAsia" w:ascii="仿宋" w:hAnsi="仿宋" w:eastAsia="仿宋" w:cs="仿宋"/>
          <w:sz w:val="24"/>
        </w:rPr>
      </w:pPr>
    </w:p>
    <w:p w14:paraId="21F8587E">
      <w:pPr>
        <w:tabs>
          <w:tab w:val="left" w:pos="5580"/>
        </w:tabs>
        <w:spacing w:line="240" w:lineRule="atLeast"/>
        <w:ind w:left="1080" w:hanging="1080"/>
        <w:rPr>
          <w:rFonts w:hint="eastAsia" w:ascii="仿宋" w:hAnsi="仿宋" w:eastAsia="仿宋" w:cs="仿宋"/>
          <w:sz w:val="24"/>
        </w:rPr>
      </w:pPr>
      <w:r>
        <w:rPr>
          <w:rFonts w:hint="eastAsia" w:ascii="仿宋" w:hAnsi="仿宋" w:eastAsia="仿宋" w:cs="仿宋"/>
          <w:sz w:val="24"/>
        </w:rPr>
        <w:t>致：</w:t>
      </w:r>
      <w:r>
        <w:rPr>
          <w:rFonts w:hint="eastAsia" w:ascii="仿宋" w:hAnsi="仿宋" w:eastAsia="仿宋" w:cs="仿宋"/>
          <w:sz w:val="24"/>
          <w:u w:val="single"/>
        </w:rPr>
        <w:t>采购代理机构</w:t>
      </w:r>
    </w:p>
    <w:p w14:paraId="0EB0BC40">
      <w:pPr>
        <w:pStyle w:val="17"/>
        <w:tabs>
          <w:tab w:val="left" w:pos="5580"/>
        </w:tabs>
        <w:spacing w:line="240" w:lineRule="atLeast"/>
        <w:ind w:left="1079" w:leftChars="257" w:hanging="540"/>
        <w:rPr>
          <w:rFonts w:hint="eastAsia" w:ascii="仿宋" w:hAnsi="仿宋" w:eastAsia="仿宋" w:cs="仿宋"/>
          <w:sz w:val="24"/>
        </w:rPr>
      </w:pPr>
    </w:p>
    <w:p w14:paraId="0EEF3470">
      <w:pPr>
        <w:pStyle w:val="17"/>
        <w:tabs>
          <w:tab w:val="left" w:pos="5580"/>
        </w:tabs>
        <w:spacing w:line="240" w:lineRule="atLeast"/>
        <w:ind w:left="2" w:leftChars="1" w:firstLine="480" w:firstLineChars="200"/>
        <w:rPr>
          <w:rFonts w:hint="eastAsia" w:ascii="仿宋" w:hAnsi="仿宋" w:eastAsia="仿宋" w:cs="仿宋"/>
          <w:sz w:val="24"/>
        </w:rPr>
      </w:pPr>
      <w:r>
        <w:rPr>
          <w:rFonts w:hint="eastAsia" w:ascii="仿宋" w:hAnsi="仿宋" w:eastAsia="仿宋" w:cs="仿宋"/>
          <w:sz w:val="24"/>
        </w:rPr>
        <w:t>根据贵方(</w:t>
      </w:r>
      <w:r>
        <w:rPr>
          <w:rFonts w:hint="eastAsia" w:ascii="仿宋" w:hAnsi="仿宋" w:eastAsia="仿宋" w:cs="仿宋"/>
          <w:i/>
          <w:sz w:val="24"/>
          <w:u w:val="single"/>
        </w:rPr>
        <w:t>项目名称</w:t>
      </w:r>
      <w:r>
        <w:rPr>
          <w:rFonts w:hint="eastAsia" w:ascii="仿宋" w:hAnsi="仿宋" w:eastAsia="仿宋" w:cs="仿宋"/>
          <w:sz w:val="24"/>
        </w:rPr>
        <w:t>)项目的投标邀请(</w:t>
      </w:r>
      <w:r>
        <w:rPr>
          <w:rFonts w:hint="eastAsia" w:ascii="仿宋" w:hAnsi="仿宋" w:eastAsia="仿宋" w:cs="仿宋"/>
          <w:i/>
          <w:sz w:val="24"/>
          <w:u w:val="single"/>
        </w:rPr>
        <w:t>招标编号</w:t>
      </w:r>
      <w:r>
        <w:rPr>
          <w:rFonts w:hint="eastAsia" w:ascii="仿宋" w:hAnsi="仿宋" w:eastAsia="仿宋" w:cs="仿宋"/>
          <w:sz w:val="24"/>
        </w:rPr>
        <w:t>),签字代表(</w:t>
      </w:r>
      <w:r>
        <w:rPr>
          <w:rFonts w:hint="eastAsia" w:ascii="仿宋" w:hAnsi="仿宋" w:eastAsia="仿宋" w:cs="仿宋"/>
          <w:i/>
          <w:sz w:val="24"/>
          <w:u w:val="single"/>
        </w:rPr>
        <w:t>姓名、职务</w:t>
      </w:r>
      <w:r>
        <w:rPr>
          <w:rFonts w:hint="eastAsia" w:ascii="仿宋" w:hAnsi="仿宋" w:eastAsia="仿宋" w:cs="仿宋"/>
          <w:sz w:val="24"/>
        </w:rPr>
        <w:t>)经正式授权并代表投标人（</w:t>
      </w:r>
      <w:r>
        <w:rPr>
          <w:rFonts w:hint="eastAsia" w:ascii="仿宋" w:hAnsi="仿宋" w:eastAsia="仿宋" w:cs="仿宋"/>
          <w:i/>
          <w:sz w:val="24"/>
          <w:u w:val="single"/>
        </w:rPr>
        <w:t>名称、地址</w:t>
      </w:r>
      <w:r>
        <w:rPr>
          <w:rFonts w:hint="eastAsia" w:ascii="仿宋" w:hAnsi="仿宋" w:eastAsia="仿宋" w:cs="仿宋"/>
          <w:sz w:val="24"/>
        </w:rPr>
        <w:t>）提交</w:t>
      </w:r>
      <w:r>
        <w:rPr>
          <w:rFonts w:hint="eastAsia" w:ascii="仿宋" w:hAnsi="仿宋" w:eastAsia="仿宋" w:cs="仿宋"/>
          <w:sz w:val="24"/>
          <w:lang w:eastAsia="zh-CN"/>
        </w:rPr>
        <w:t>电子投标文件</w:t>
      </w:r>
      <w:r>
        <w:rPr>
          <w:rFonts w:hint="eastAsia" w:ascii="仿宋" w:hAnsi="仿宋" w:eastAsia="仿宋" w:cs="仿宋"/>
          <w:sz w:val="24"/>
        </w:rPr>
        <w:t>，并以</w:t>
      </w:r>
      <w:r>
        <w:rPr>
          <w:rFonts w:hint="eastAsia" w:ascii="仿宋" w:hAnsi="仿宋" w:eastAsia="仿宋" w:cs="仿宋"/>
          <w:sz w:val="24"/>
          <w:u w:val="single"/>
        </w:rPr>
        <w:t xml:space="preserve">         </w:t>
      </w:r>
      <w:r>
        <w:rPr>
          <w:rFonts w:hint="eastAsia" w:ascii="仿宋" w:hAnsi="仿宋" w:eastAsia="仿宋" w:cs="仿宋"/>
          <w:sz w:val="24"/>
        </w:rPr>
        <w:t>形式出具的金额为人民币</w:t>
      </w:r>
      <w:r>
        <w:rPr>
          <w:rFonts w:hint="eastAsia" w:ascii="仿宋" w:hAnsi="仿宋" w:eastAsia="仿宋" w:cs="仿宋"/>
          <w:sz w:val="24"/>
          <w:u w:val="single"/>
        </w:rPr>
        <w:t>　　　　</w:t>
      </w:r>
      <w:r>
        <w:rPr>
          <w:rFonts w:hint="eastAsia" w:ascii="仿宋" w:hAnsi="仿宋" w:eastAsia="仿宋" w:cs="仿宋"/>
          <w:sz w:val="24"/>
        </w:rPr>
        <w:t>元的投标保证金。</w:t>
      </w:r>
    </w:p>
    <w:p w14:paraId="35B3E5D8">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据此，签字代表宣布同意如下：</w:t>
      </w:r>
    </w:p>
    <w:p w14:paraId="66A32F5B">
      <w:pPr>
        <w:pStyle w:val="17"/>
        <w:tabs>
          <w:tab w:val="left" w:pos="720"/>
          <w:tab w:val="left" w:pos="900"/>
        </w:tabs>
        <w:spacing w:line="240" w:lineRule="atLeast"/>
        <w:ind w:left="768" w:leftChars="257" w:hanging="229"/>
        <w:rPr>
          <w:rFonts w:hint="eastAsia" w:ascii="仿宋" w:hAnsi="仿宋" w:eastAsia="仿宋" w:cs="仿宋"/>
          <w:sz w:val="24"/>
          <w:u w:val="single"/>
        </w:rPr>
      </w:pPr>
      <w:r>
        <w:rPr>
          <w:rFonts w:hint="eastAsia" w:ascii="仿宋" w:hAnsi="仿宋" w:eastAsia="仿宋" w:cs="仿宋"/>
          <w:sz w:val="24"/>
        </w:rPr>
        <w:t>（1）附投标价格表中规定的应提供货物的投标总价详见开标一览表，</w:t>
      </w:r>
      <w:r>
        <w:rPr>
          <w:rFonts w:hint="eastAsia" w:ascii="仿宋" w:hAnsi="仿宋" w:eastAsia="仿宋" w:cs="仿宋"/>
          <w:sz w:val="24"/>
          <w:u w:val="single"/>
        </w:rPr>
        <w:t>其中由小型和</w:t>
      </w:r>
      <w:r>
        <w:rPr>
          <w:rFonts w:hint="eastAsia" w:ascii="仿宋" w:hAnsi="仿宋" w:eastAsia="仿宋" w:cs="仿宋"/>
          <w:sz w:val="24"/>
        </w:rPr>
        <w:t>微型企业制造产品的价格为</w:t>
      </w:r>
      <w:r>
        <w:rPr>
          <w:rFonts w:hint="eastAsia" w:ascii="仿宋" w:hAnsi="仿宋" w:eastAsia="仿宋" w:cs="仿宋"/>
          <w:sz w:val="24"/>
          <w:u w:val="single"/>
        </w:rPr>
        <w:t>　　  （用文字和数字表示），占投标总价   %</w:t>
      </w:r>
      <w:r>
        <w:rPr>
          <w:rFonts w:hint="eastAsia" w:ascii="仿宋" w:hAnsi="仿宋" w:eastAsia="仿宋" w:cs="仿宋"/>
          <w:sz w:val="24"/>
        </w:rPr>
        <w:t>。</w:t>
      </w:r>
    </w:p>
    <w:p w14:paraId="40331816">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（2）本投标有效期为自投标截止之日起</w:t>
      </w:r>
      <w:r>
        <w:rPr>
          <w:rFonts w:hint="eastAsia" w:ascii="仿宋" w:hAnsi="仿宋" w:eastAsia="仿宋" w:cs="仿宋"/>
          <w:sz w:val="24"/>
          <w:u w:val="single"/>
        </w:rPr>
        <w:t xml:space="preserve">          </w:t>
      </w:r>
      <w:r>
        <w:rPr>
          <w:rFonts w:hint="eastAsia" w:ascii="仿宋" w:hAnsi="仿宋" w:eastAsia="仿宋" w:cs="仿宋"/>
          <w:sz w:val="24"/>
        </w:rPr>
        <w:t>个日历日。</w:t>
      </w:r>
    </w:p>
    <w:p w14:paraId="527F4718">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（3）联合体中的大中型企业和其他自然人、法人或者非法人组织，与联合体中的小型、微型企业之间</w:t>
      </w:r>
      <w:r>
        <w:rPr>
          <w:rFonts w:hint="eastAsia" w:ascii="仿宋" w:hAnsi="仿宋" w:eastAsia="仿宋" w:cs="仿宋"/>
          <w:sz w:val="24"/>
          <w:u w:val="single"/>
        </w:rPr>
        <w:t xml:space="preserve">     （</w:t>
      </w:r>
      <w:r>
        <w:rPr>
          <w:rFonts w:hint="eastAsia" w:ascii="仿宋" w:hAnsi="仿宋" w:eastAsia="仿宋" w:cs="仿宋"/>
          <w:sz w:val="24"/>
        </w:rPr>
        <w:t>存在、不存在）投资关系（如果是联合体的话）。</w:t>
      </w:r>
    </w:p>
    <w:p w14:paraId="78CAA534">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（4）已详细审查全部招标文件，包括所有补充通知（如果有的话），完全理解并同意放弃对这方面有不明、误解和质疑的权力。</w:t>
      </w:r>
    </w:p>
    <w:p w14:paraId="29125A85">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（5）在规定的开标时间后，遵守招标文件中有关保证金的规定。</w:t>
      </w:r>
    </w:p>
    <w:p w14:paraId="0ADA04ED">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（6）我方不是为本项目提供整体设计、规范编制或者项目管理、监理、检测等服务的供应商，我方不是采购代理机构的附属机构。</w:t>
      </w:r>
    </w:p>
    <w:p w14:paraId="49C85DDB">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（7）在领取中标通知书的同时按招标文件规定的形式，向贵方一次性支付中标服务费。</w:t>
      </w:r>
    </w:p>
    <w:p w14:paraId="4C05A7E8">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（8）按照贵方可能要求，提供与其投标有关的一切数据或资料，完全理解贵方不一定接受最低价的投标或收到的任何投标。</w:t>
      </w:r>
    </w:p>
    <w:p w14:paraId="3BFBA97A">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（9）按照招标文件的规定履行合同责任和义务。</w:t>
      </w:r>
    </w:p>
    <w:p w14:paraId="029FBA3B">
      <w:pPr>
        <w:pStyle w:val="17"/>
        <w:tabs>
          <w:tab w:val="left" w:pos="5580"/>
        </w:tabs>
        <w:spacing w:line="240" w:lineRule="atLeast"/>
        <w:ind w:left="358" w:leftChars="68" w:hanging="216" w:hangingChars="90"/>
        <w:rPr>
          <w:rFonts w:hint="eastAsia" w:ascii="仿宋" w:hAnsi="仿宋" w:eastAsia="仿宋" w:cs="仿宋"/>
          <w:sz w:val="24"/>
        </w:rPr>
      </w:pPr>
      <w:r>
        <w:rPr>
          <w:rFonts w:hint="eastAsia" w:ascii="仿宋" w:hAnsi="仿宋" w:eastAsia="仿宋" w:cs="仿宋"/>
          <w:sz w:val="24"/>
        </w:rPr>
        <w:t xml:space="preserve">  与本投标有关的一切正式往来信函请寄：</w:t>
      </w:r>
    </w:p>
    <w:p w14:paraId="6EDDCC55">
      <w:pPr>
        <w:pStyle w:val="17"/>
        <w:tabs>
          <w:tab w:val="left" w:pos="5580"/>
        </w:tabs>
        <w:spacing w:line="240" w:lineRule="atLeast"/>
        <w:ind w:left="1079" w:leftChars="257" w:hanging="540"/>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single"/>
        </w:rPr>
        <w:t xml:space="preserve">                         </w:t>
      </w:r>
      <w:r>
        <w:rPr>
          <w:rFonts w:hint="eastAsia" w:ascii="仿宋" w:hAnsi="仿宋" w:eastAsia="仿宋" w:cs="仿宋"/>
          <w:sz w:val="24"/>
        </w:rPr>
        <w:t xml:space="preserve">     传真</w:t>
      </w:r>
      <w:r>
        <w:rPr>
          <w:rFonts w:hint="eastAsia" w:ascii="仿宋" w:hAnsi="仿宋" w:eastAsia="仿宋" w:cs="仿宋"/>
          <w:sz w:val="24"/>
          <w:u w:val="single"/>
        </w:rPr>
        <w:t xml:space="preserve">                             </w:t>
      </w:r>
    </w:p>
    <w:p w14:paraId="6B8D4208">
      <w:pPr>
        <w:pStyle w:val="17"/>
        <w:tabs>
          <w:tab w:val="left" w:pos="5580"/>
        </w:tabs>
        <w:spacing w:line="240" w:lineRule="atLeast"/>
        <w:ind w:left="1079" w:leftChars="257" w:hanging="540"/>
        <w:rPr>
          <w:rFonts w:hint="eastAsia" w:ascii="仿宋" w:hAnsi="仿宋" w:eastAsia="仿宋" w:cs="仿宋"/>
          <w:b/>
          <w:sz w:val="24"/>
        </w:rPr>
      </w:pPr>
      <w:r>
        <w:rPr>
          <w:rFonts w:hint="eastAsia" w:ascii="仿宋" w:hAnsi="仿宋" w:eastAsia="仿宋" w:cs="仿宋"/>
          <w:sz w:val="24"/>
        </w:rPr>
        <w:t>电话</w:t>
      </w:r>
      <w:r>
        <w:rPr>
          <w:rFonts w:hint="eastAsia" w:ascii="仿宋" w:hAnsi="仿宋" w:eastAsia="仿宋" w:cs="仿宋"/>
          <w:sz w:val="24"/>
          <w:u w:val="single"/>
        </w:rPr>
        <w:t xml:space="preserve">                         </w:t>
      </w:r>
      <w:r>
        <w:rPr>
          <w:rFonts w:hint="eastAsia" w:ascii="仿宋" w:hAnsi="仿宋" w:eastAsia="仿宋" w:cs="仿宋"/>
          <w:sz w:val="24"/>
        </w:rPr>
        <w:t xml:space="preserve">     电子函件</w:t>
      </w:r>
      <w:r>
        <w:rPr>
          <w:rFonts w:hint="eastAsia" w:ascii="仿宋" w:hAnsi="仿宋" w:eastAsia="仿宋" w:cs="仿宋"/>
          <w:sz w:val="24"/>
          <w:u w:val="single"/>
        </w:rPr>
        <w:t xml:space="preserve">                         </w:t>
      </w:r>
    </w:p>
    <w:p w14:paraId="0B92F58C">
      <w:pPr>
        <w:pStyle w:val="17"/>
        <w:tabs>
          <w:tab w:val="left" w:pos="5580"/>
        </w:tabs>
        <w:spacing w:line="240" w:lineRule="atLeast"/>
        <w:ind w:left="1079" w:leftChars="257" w:hanging="540"/>
        <w:rPr>
          <w:rFonts w:hint="eastAsia" w:ascii="仿宋" w:hAnsi="仿宋" w:eastAsia="仿宋" w:cs="仿宋"/>
          <w:sz w:val="24"/>
        </w:rPr>
      </w:pPr>
    </w:p>
    <w:p w14:paraId="71EA892D">
      <w:pPr>
        <w:pStyle w:val="17"/>
        <w:tabs>
          <w:tab w:val="left" w:pos="5580"/>
        </w:tabs>
        <w:spacing w:line="360" w:lineRule="auto"/>
        <w:ind w:left="1079" w:leftChars="257" w:hanging="540"/>
        <w:rPr>
          <w:rFonts w:hint="eastAsia" w:ascii="仿宋" w:hAnsi="仿宋" w:eastAsia="仿宋" w:cs="仿宋"/>
          <w:sz w:val="24"/>
        </w:rPr>
      </w:pPr>
      <w:r>
        <w:rPr>
          <w:rFonts w:hint="eastAsia" w:ascii="仿宋" w:hAnsi="仿宋" w:eastAsia="仿宋" w:cs="仿宋"/>
          <w:sz w:val="24"/>
        </w:rPr>
        <w:t>法定代表人或其委托代理人签字</w:t>
      </w:r>
      <w:r>
        <w:rPr>
          <w:rFonts w:hint="eastAsia" w:ascii="仿宋" w:hAnsi="仿宋" w:eastAsia="仿宋" w:cs="仿宋"/>
          <w:sz w:val="24"/>
          <w:u w:val="single"/>
        </w:rPr>
        <w:t xml:space="preserve">                      </w:t>
      </w:r>
    </w:p>
    <w:p w14:paraId="5CB6BC52">
      <w:pPr>
        <w:pStyle w:val="17"/>
        <w:tabs>
          <w:tab w:val="left" w:pos="5580"/>
        </w:tabs>
        <w:spacing w:line="360" w:lineRule="auto"/>
        <w:ind w:left="1079" w:leftChars="257" w:hanging="540"/>
        <w:rPr>
          <w:rFonts w:hint="eastAsia" w:ascii="仿宋" w:hAnsi="仿宋" w:eastAsia="仿宋" w:cs="仿宋"/>
          <w:sz w:val="24"/>
        </w:rPr>
      </w:pPr>
      <w:r>
        <w:rPr>
          <w:rFonts w:hint="eastAsia" w:ascii="仿宋" w:hAnsi="仿宋" w:eastAsia="仿宋" w:cs="仿宋"/>
          <w:sz w:val="24"/>
        </w:rPr>
        <w:t>投标人名称</w:t>
      </w:r>
      <w:r>
        <w:rPr>
          <w:rFonts w:hint="eastAsia" w:ascii="仿宋" w:hAnsi="仿宋" w:eastAsia="仿宋" w:cs="仿宋"/>
          <w:sz w:val="24"/>
          <w:u w:val="single"/>
        </w:rPr>
        <w:t xml:space="preserve">                      </w:t>
      </w:r>
    </w:p>
    <w:p w14:paraId="48DE2C13">
      <w:pPr>
        <w:pStyle w:val="17"/>
        <w:tabs>
          <w:tab w:val="left" w:pos="5580"/>
        </w:tabs>
        <w:spacing w:line="360" w:lineRule="auto"/>
        <w:ind w:left="1079" w:leftChars="257" w:hanging="540"/>
        <w:rPr>
          <w:rFonts w:hint="eastAsia" w:ascii="仿宋" w:hAnsi="仿宋" w:eastAsia="仿宋" w:cs="仿宋"/>
          <w:sz w:val="24"/>
        </w:rPr>
      </w:pPr>
      <w:r>
        <w:rPr>
          <w:rFonts w:hint="eastAsia" w:ascii="仿宋" w:hAnsi="仿宋" w:eastAsia="仿宋" w:cs="仿宋"/>
          <w:sz w:val="24"/>
        </w:rPr>
        <w:t>投标人开户银行（全称）</w:t>
      </w:r>
      <w:r>
        <w:rPr>
          <w:rFonts w:hint="eastAsia" w:ascii="仿宋" w:hAnsi="仿宋" w:eastAsia="仿宋" w:cs="仿宋"/>
          <w:sz w:val="24"/>
          <w:u w:val="single"/>
        </w:rPr>
        <w:t xml:space="preserve">　　　　　　 </w:t>
      </w:r>
    </w:p>
    <w:p w14:paraId="6E885A05">
      <w:pPr>
        <w:pStyle w:val="17"/>
        <w:tabs>
          <w:tab w:val="left" w:pos="5580"/>
        </w:tabs>
        <w:spacing w:line="360" w:lineRule="auto"/>
        <w:ind w:left="1079" w:leftChars="257" w:hanging="540"/>
        <w:rPr>
          <w:rFonts w:hint="eastAsia" w:ascii="仿宋" w:hAnsi="仿宋" w:eastAsia="仿宋" w:cs="仿宋"/>
          <w:sz w:val="24"/>
        </w:rPr>
      </w:pPr>
      <w:r>
        <w:rPr>
          <w:rFonts w:hint="eastAsia" w:ascii="仿宋" w:hAnsi="仿宋" w:eastAsia="仿宋" w:cs="仿宋"/>
          <w:sz w:val="24"/>
        </w:rPr>
        <w:t>投标人银行帐号</w:t>
      </w:r>
      <w:r>
        <w:rPr>
          <w:rFonts w:hint="eastAsia" w:ascii="仿宋" w:hAnsi="仿宋" w:eastAsia="仿宋" w:cs="仿宋"/>
          <w:sz w:val="24"/>
          <w:u w:val="single"/>
        </w:rPr>
        <w:t>　　　　　　　　 　　</w:t>
      </w:r>
    </w:p>
    <w:p w14:paraId="401537A8">
      <w:pPr>
        <w:pStyle w:val="17"/>
        <w:tabs>
          <w:tab w:val="left" w:pos="5580"/>
        </w:tabs>
        <w:spacing w:line="360" w:lineRule="auto"/>
        <w:ind w:left="1079" w:leftChars="257" w:hanging="540"/>
        <w:rPr>
          <w:rFonts w:hint="eastAsia" w:ascii="仿宋" w:hAnsi="仿宋" w:eastAsia="仿宋" w:cs="仿宋"/>
          <w:sz w:val="24"/>
        </w:rPr>
      </w:pPr>
      <w:r>
        <w:rPr>
          <w:rFonts w:hint="eastAsia" w:ascii="仿宋" w:hAnsi="仿宋" w:eastAsia="仿宋" w:cs="仿宋"/>
          <w:sz w:val="24"/>
        </w:rPr>
        <w:t>投标人（电子签章）</w:t>
      </w:r>
      <w:r>
        <w:rPr>
          <w:rFonts w:hint="eastAsia" w:ascii="仿宋" w:hAnsi="仿宋" w:eastAsia="仿宋" w:cs="仿宋"/>
          <w:sz w:val="24"/>
          <w:u w:val="single"/>
        </w:rPr>
        <w:t xml:space="preserve">                      </w:t>
      </w:r>
    </w:p>
    <w:p w14:paraId="5930892A">
      <w:pPr>
        <w:pStyle w:val="17"/>
        <w:tabs>
          <w:tab w:val="left" w:pos="5580"/>
        </w:tabs>
        <w:spacing w:line="360" w:lineRule="auto"/>
        <w:ind w:left="1079" w:leftChars="257" w:hanging="540"/>
        <w:rPr>
          <w:rFonts w:hint="eastAsia" w:ascii="仿宋" w:hAnsi="仿宋" w:eastAsia="仿宋" w:cs="仿宋"/>
          <w:sz w:val="24"/>
        </w:rPr>
      </w:pPr>
      <w:r>
        <w:rPr>
          <w:rFonts w:hint="eastAsia" w:ascii="仿宋" w:hAnsi="仿宋" w:eastAsia="仿宋" w:cs="仿宋"/>
          <w:sz w:val="24"/>
        </w:rPr>
        <w:t>日期</w:t>
      </w:r>
      <w:r>
        <w:rPr>
          <w:rFonts w:hint="eastAsia" w:ascii="仿宋" w:hAnsi="仿宋" w:eastAsia="仿宋" w:cs="仿宋"/>
          <w:sz w:val="24"/>
          <w:u w:val="single"/>
        </w:rPr>
        <w:t xml:space="preserve">                      </w:t>
      </w:r>
    </w:p>
    <w:p w14:paraId="11760705">
      <w:pPr>
        <w:pStyle w:val="17"/>
        <w:tabs>
          <w:tab w:val="left" w:pos="5580"/>
        </w:tabs>
        <w:spacing w:line="240" w:lineRule="atLeast"/>
        <w:rPr>
          <w:rFonts w:hint="eastAsia" w:ascii="仿宋" w:hAnsi="仿宋" w:eastAsia="仿宋" w:cs="仿宋"/>
          <w:sz w:val="24"/>
        </w:rPr>
      </w:pPr>
    </w:p>
    <w:p w14:paraId="1E4812DE">
      <w:pPr>
        <w:pStyle w:val="4"/>
        <w:spacing w:before="0" w:line="240" w:lineRule="atLeast"/>
        <w:rPr>
          <w:rFonts w:hint="eastAsia" w:ascii="仿宋" w:hAnsi="仿宋" w:eastAsia="仿宋" w:cs="仿宋"/>
          <w:sz w:val="24"/>
        </w:rPr>
      </w:pPr>
      <w:r>
        <w:rPr>
          <w:rFonts w:hint="eastAsia" w:ascii="仿宋" w:hAnsi="仿宋" w:eastAsia="仿宋" w:cs="仿宋"/>
          <w:sz w:val="24"/>
        </w:rPr>
        <w:br w:type="page"/>
      </w:r>
      <w:bookmarkStart w:id="316" w:name="_Toc10402"/>
      <w:bookmarkStart w:id="317" w:name="_Toc1266"/>
      <w:bookmarkStart w:id="318" w:name="_Toc23473"/>
      <w:bookmarkStart w:id="319" w:name="_Toc32401"/>
      <w:r>
        <w:rPr>
          <w:rFonts w:hint="eastAsia" w:ascii="仿宋" w:hAnsi="仿宋" w:eastAsia="仿宋" w:cs="仿宋"/>
          <w:sz w:val="24"/>
        </w:rPr>
        <w:t>2   投标保证金缴纳凭证或投标担保函</w:t>
      </w:r>
      <w:bookmarkEnd w:id="316"/>
      <w:bookmarkEnd w:id="317"/>
      <w:bookmarkEnd w:id="318"/>
      <w:bookmarkEnd w:id="319"/>
    </w:p>
    <w:p w14:paraId="015F0B8B">
      <w:pPr>
        <w:ind w:firstLine="480" w:firstLineChars="200"/>
        <w:rPr>
          <w:rFonts w:hint="eastAsia" w:ascii="仿宋" w:hAnsi="仿宋" w:eastAsia="仿宋" w:cs="仿宋"/>
          <w:sz w:val="24"/>
        </w:rPr>
      </w:pPr>
      <w:r>
        <w:rPr>
          <w:rFonts w:hint="eastAsia" w:ascii="仿宋" w:hAnsi="仿宋" w:eastAsia="仿宋" w:cs="仿宋"/>
          <w:kern w:val="2"/>
          <w:sz w:val="24"/>
          <w:szCs w:val="20"/>
          <w:lang w:val="en-US" w:eastAsia="zh-CN" w:bidi="ar-SA"/>
        </w:rPr>
        <w:t>投标人可将本项目投标保证金支付的汇款凭证、支票、汇票或保证金收据及开户许可证的扫描件作为缴纳凭证装订在本部分，应加盖本单位章；使用银行保函等其他投标担保函的，应将担保函正本的扫描件，装订在本部分正本中；如采用政府采购信用担保形式的，应使用政府采购投标担保函（投标文件格式六）,将原件的扫描件装订在本部分正本中。</w:t>
      </w:r>
    </w:p>
    <w:p w14:paraId="1381F5F5">
      <w:pPr>
        <w:jc w:val="center"/>
        <w:rPr>
          <w:rFonts w:hint="eastAsia" w:ascii="仿宋" w:hAnsi="仿宋" w:eastAsia="仿宋" w:cs="仿宋"/>
          <w:b/>
          <w:bCs/>
          <w:sz w:val="24"/>
          <w:szCs w:val="24"/>
        </w:rPr>
      </w:pPr>
    </w:p>
    <w:p w14:paraId="51A8D272">
      <w:pPr>
        <w:jc w:val="center"/>
        <w:rPr>
          <w:rFonts w:hint="eastAsia" w:ascii="仿宋" w:hAnsi="仿宋" w:eastAsia="仿宋" w:cs="仿宋"/>
          <w:b/>
          <w:bCs/>
          <w:sz w:val="24"/>
          <w:szCs w:val="24"/>
        </w:rPr>
      </w:pPr>
    </w:p>
    <w:p w14:paraId="696C8433">
      <w:pPr>
        <w:jc w:val="center"/>
        <w:rPr>
          <w:rFonts w:hint="eastAsia" w:ascii="仿宋" w:hAnsi="仿宋" w:eastAsia="仿宋" w:cs="仿宋"/>
          <w:b/>
          <w:bCs/>
          <w:sz w:val="24"/>
          <w:szCs w:val="24"/>
        </w:rPr>
      </w:pPr>
      <w:r>
        <w:rPr>
          <w:rFonts w:hint="eastAsia" w:ascii="仿宋" w:hAnsi="仿宋" w:eastAsia="仿宋" w:cs="仿宋"/>
          <w:b/>
          <w:bCs/>
          <w:sz w:val="24"/>
          <w:szCs w:val="24"/>
        </w:rPr>
        <w:t>政府采购投标担保函 （项目用）（投标文件格式六）</w:t>
      </w:r>
    </w:p>
    <w:p w14:paraId="1AC6003A">
      <w:pPr>
        <w:ind w:firstLine="480" w:firstLineChars="200"/>
        <w:jc w:val="left"/>
        <w:rPr>
          <w:rFonts w:hint="eastAsia" w:ascii="仿宋" w:hAnsi="仿宋" w:eastAsia="仿宋" w:cs="仿宋"/>
          <w:kern w:val="2"/>
          <w:sz w:val="24"/>
          <w:szCs w:val="20"/>
          <w:lang w:val="en-US" w:eastAsia="zh-CN" w:bidi="ar-SA"/>
        </w:rPr>
      </w:pPr>
    </w:p>
    <w:p w14:paraId="2373D0B6">
      <w:pPr>
        <w:ind w:firstLine="480" w:firstLineChars="200"/>
        <w:jc w:val="left"/>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编号：</w:t>
      </w:r>
    </w:p>
    <w:p w14:paraId="2A0C1858">
      <w:pPr>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（采购人或采购代理机构）：</w:t>
      </w:r>
    </w:p>
    <w:p w14:paraId="209B29D5">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鉴于</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（以下简称“投标人”）拟参加编号为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 xml:space="preserve">的                                       </w:t>
      </w:r>
    </w:p>
    <w:p w14:paraId="62B6886A">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5C82E801">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一、保证责任的情形及保证金额</w:t>
      </w:r>
    </w:p>
    <w:p w14:paraId="0C7E0045">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（一）在投标人出现下列情形之一时，我方承担保证责任：</w:t>
      </w:r>
    </w:p>
    <w:p w14:paraId="333B2A25">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1．中标后投标人无正当理由不与采购人或者采购代理机构签订《政府采购合同》；</w:t>
      </w:r>
    </w:p>
    <w:p w14:paraId="358FB6F2">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2．招标文件规定的投标人应当缴纳保证金的其他情形。</w:t>
      </w:r>
    </w:p>
    <w:p w14:paraId="3AAAEA68">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（二）我方承担保证责任的最高金额为人民币</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元（大写</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），即本项目的投标保证金金额。</w:t>
      </w:r>
    </w:p>
    <w:p w14:paraId="2E0F637F">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二、保证的方式及保证期间</w:t>
      </w:r>
    </w:p>
    <w:p w14:paraId="42F019CC">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我方保证的方式为：连带责任保证。</w:t>
      </w:r>
    </w:p>
    <w:p w14:paraId="400A2BB3">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我方的保证期间为：自本保函生效之日起</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个月止。</w:t>
      </w:r>
    </w:p>
    <w:p w14:paraId="09B06429">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三、承担保证责任的程序</w:t>
      </w:r>
    </w:p>
    <w:p w14:paraId="0CAD79B0">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461DE5F3">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2．我方在收到索赔通知及相关证明材料后，在　　　个工作日内进行审查，符合应承担保证责任情形的，我方应按照你方的要求代投标人向你方支付投标保证金。</w:t>
      </w:r>
    </w:p>
    <w:p w14:paraId="78587319">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四、保证责任的终止</w:t>
      </w:r>
    </w:p>
    <w:p w14:paraId="2BFF38CF">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1．保证期间届满你方未向我方书面主张保证责任的，自保证期间届满次日起，我方保证责任自动终止。</w:t>
      </w:r>
    </w:p>
    <w:p w14:paraId="073296C5">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2．我方按照本保函向你贵方履行了保证责任后，自我方向你贵方支付款项（支付款项从我方账户划出）之日起，保证责任终止。</w:t>
      </w:r>
    </w:p>
    <w:p w14:paraId="29B6DDDE">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3．按照法律法规的规定或出现我方保证责任终止的其它情形的，我方在本保函项下的保证责任亦终止。</w:t>
      </w:r>
    </w:p>
    <w:p w14:paraId="7A26A08A">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五、免责条款</w:t>
      </w:r>
    </w:p>
    <w:p w14:paraId="1E083995">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1．依照法律规定或你方与投标人的另行约定，全部或者部分免除投标人投标保证金义务时，我方亦免除相应的保证责任。</w:t>
      </w:r>
    </w:p>
    <w:p w14:paraId="48D02701">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2．因你方原因致使投标人发生本保函第一条第（一）款约定情形的，我方不承担保证责任。</w:t>
      </w:r>
    </w:p>
    <w:p w14:paraId="2636DD07">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3．因不可抗力造成投标人发生本保函第一条约定情形的，我方不承担保证责任。</w:t>
      </w:r>
    </w:p>
    <w:p w14:paraId="791610D3">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4．你方或其他有权机关对招标文件进行任何澄清或修改，加重我方保证责任的，我方对加重部分不承担保证责任，但该澄清或修改经我方事先书面同意的除外。</w:t>
      </w:r>
    </w:p>
    <w:p w14:paraId="297884BE">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六、争议的解决</w:t>
      </w:r>
    </w:p>
    <w:p w14:paraId="57D57B27">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因本保函发生的纠纷，由你我双方协商解决，协商不成的，通过诉讼程序解决，诉讼管辖地法院为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法院。</w:t>
      </w:r>
    </w:p>
    <w:p w14:paraId="085EA0CE">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七、保函的生效</w:t>
      </w:r>
    </w:p>
    <w:p w14:paraId="4DF7DFF8">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本保函自我方加盖公章之日起生效。</w:t>
      </w:r>
    </w:p>
    <w:p w14:paraId="67438CB3">
      <w:pPr>
        <w:ind w:firstLine="480" w:firstLineChars="200"/>
        <w:jc w:val="right"/>
        <w:rPr>
          <w:rFonts w:hint="eastAsia" w:ascii="仿宋" w:hAnsi="仿宋" w:eastAsia="仿宋" w:cs="仿宋"/>
          <w:kern w:val="2"/>
          <w:sz w:val="24"/>
          <w:szCs w:val="20"/>
          <w:lang w:val="en-US" w:eastAsia="zh-CN" w:bidi="ar-SA"/>
        </w:rPr>
      </w:pPr>
    </w:p>
    <w:p w14:paraId="236FE0BA">
      <w:pPr>
        <w:ind w:firstLine="480" w:firstLineChars="200"/>
        <w:jc w:val="right"/>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保证人：（</w:t>
      </w:r>
      <w:r>
        <w:rPr>
          <w:rFonts w:hint="eastAsia" w:ascii="仿宋" w:hAnsi="仿宋" w:eastAsia="仿宋" w:cs="仿宋"/>
          <w:color w:val="auto"/>
          <w:sz w:val="24"/>
          <w:highlight w:val="none"/>
          <w:lang w:eastAsia="zh-CN"/>
        </w:rPr>
        <w:t>电子签章</w:t>
      </w:r>
      <w:r>
        <w:rPr>
          <w:rFonts w:hint="eastAsia" w:ascii="仿宋" w:hAnsi="仿宋" w:eastAsia="仿宋" w:cs="仿宋"/>
          <w:kern w:val="2"/>
          <w:sz w:val="24"/>
          <w:szCs w:val="20"/>
          <w:lang w:val="en-US" w:eastAsia="zh-CN" w:bidi="ar-SA"/>
        </w:rPr>
        <w:t>）</w:t>
      </w:r>
    </w:p>
    <w:p w14:paraId="65C82FA3">
      <w:pPr>
        <w:ind w:firstLine="480" w:firstLineChars="20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 xml:space="preserve">                               </w:t>
      </w:r>
    </w:p>
    <w:p w14:paraId="561606E9">
      <w:pPr>
        <w:ind w:firstLine="480" w:firstLineChars="200"/>
        <w:jc w:val="right"/>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年     月      日</w:t>
      </w:r>
    </w:p>
    <w:p w14:paraId="62E1B000">
      <w:pPr>
        <w:ind w:firstLine="480" w:firstLineChars="200"/>
        <w:rPr>
          <w:rFonts w:hint="eastAsia" w:ascii="仿宋" w:hAnsi="仿宋" w:eastAsia="仿宋" w:cs="仿宋"/>
          <w:kern w:val="2"/>
          <w:sz w:val="24"/>
          <w:szCs w:val="20"/>
          <w:lang w:val="en-US" w:eastAsia="zh-CN" w:bidi="ar-SA"/>
        </w:rPr>
        <w:sectPr>
          <w:headerReference r:id="rId8" w:type="default"/>
          <w:footerReference r:id="rId9"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p>
    <w:p w14:paraId="0ABA3ABC">
      <w:pPr>
        <w:pStyle w:val="4"/>
        <w:bidi w:val="0"/>
        <w:rPr>
          <w:rFonts w:hint="eastAsia" w:ascii="仿宋" w:hAnsi="仿宋" w:eastAsia="仿宋" w:cs="仿宋"/>
          <w:sz w:val="24"/>
          <w:szCs w:val="24"/>
        </w:rPr>
      </w:pPr>
      <w:bookmarkStart w:id="320" w:name="_Hlt520355938"/>
      <w:bookmarkEnd w:id="320"/>
      <w:bookmarkStart w:id="321" w:name="_Hlt520356243"/>
      <w:bookmarkEnd w:id="321"/>
      <w:bookmarkStart w:id="322" w:name="_Toc216582815"/>
      <w:bookmarkStart w:id="323" w:name="_Toc1881"/>
      <w:bookmarkStart w:id="324" w:name="_Toc515647818"/>
      <w:bookmarkStart w:id="325" w:name="_Toc20897"/>
      <w:bookmarkStart w:id="326" w:name="_Toc2671"/>
      <w:bookmarkStart w:id="327" w:name="_Toc19241"/>
      <w:r>
        <w:rPr>
          <w:rFonts w:hint="eastAsia" w:ascii="仿宋" w:hAnsi="仿宋" w:eastAsia="仿宋" w:cs="仿宋"/>
          <w:sz w:val="24"/>
          <w:szCs w:val="24"/>
        </w:rPr>
        <w:t>3   投标分项报价表</w:t>
      </w:r>
      <w:bookmarkEnd w:id="322"/>
      <w:r>
        <w:rPr>
          <w:rFonts w:hint="eastAsia" w:ascii="仿宋" w:hAnsi="仿宋" w:eastAsia="仿宋" w:cs="仿宋"/>
          <w:sz w:val="24"/>
          <w:szCs w:val="24"/>
        </w:rPr>
        <w:t>（投标文件格式七）</w:t>
      </w:r>
      <w:bookmarkEnd w:id="323"/>
      <w:bookmarkEnd w:id="324"/>
      <w:bookmarkEnd w:id="325"/>
      <w:bookmarkEnd w:id="326"/>
      <w:bookmarkEnd w:id="327"/>
    </w:p>
    <w:p w14:paraId="0F162806">
      <w:pPr>
        <w:pStyle w:val="17"/>
        <w:spacing w:line="240" w:lineRule="atLeast"/>
        <w:ind w:left="1080" w:leftChars="257" w:hanging="540"/>
        <w:rPr>
          <w:rFonts w:hint="eastAsia" w:ascii="仿宋" w:hAnsi="仿宋" w:eastAsia="仿宋" w:cs="仿宋"/>
          <w:sz w:val="24"/>
        </w:rPr>
      </w:pPr>
    </w:p>
    <w:p w14:paraId="4257F0B1">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 xml:space="preserve">项目名称:                      招标编号:                      </w:t>
      </w:r>
    </w:p>
    <w:p w14:paraId="744FA1DA">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包号: 　 　</w:t>
      </w:r>
      <w:r>
        <w:rPr>
          <w:rFonts w:hint="eastAsia" w:ascii="仿宋" w:hAnsi="仿宋" w:eastAsia="仿宋" w:cs="仿宋"/>
          <w:sz w:val="24"/>
          <w:lang w:val="en-US" w:eastAsia="zh-CN"/>
        </w:rPr>
        <w:t xml:space="preserve">                    </w:t>
      </w:r>
      <w:r>
        <w:rPr>
          <w:rFonts w:hint="eastAsia" w:ascii="仿宋" w:hAnsi="仿宋" w:eastAsia="仿宋" w:cs="仿宋"/>
          <w:sz w:val="24"/>
        </w:rPr>
        <w:t>报价单位：人民币</w:t>
      </w:r>
      <w:r>
        <w:rPr>
          <w:rFonts w:hint="eastAsia" w:ascii="仿宋" w:hAnsi="仿宋" w:eastAsia="仿宋" w:cs="仿宋"/>
          <w:sz w:val="24"/>
          <w:lang w:val="en-US" w:eastAsia="zh-CN"/>
        </w:rPr>
        <w:t xml:space="preserve">   </w:t>
      </w:r>
      <w:r>
        <w:rPr>
          <w:rFonts w:hint="eastAsia" w:ascii="仿宋" w:hAnsi="仿宋" w:eastAsia="仿宋" w:cs="仿宋"/>
          <w:sz w:val="24"/>
        </w:rPr>
        <w:t>元</w:t>
      </w:r>
    </w:p>
    <w:tbl>
      <w:tblPr>
        <w:tblStyle w:val="39"/>
        <w:tblW w:w="104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9"/>
        <w:gridCol w:w="2031"/>
        <w:gridCol w:w="1605"/>
        <w:gridCol w:w="1147"/>
        <w:gridCol w:w="982"/>
        <w:gridCol w:w="932"/>
        <w:gridCol w:w="952"/>
        <w:gridCol w:w="1389"/>
        <w:gridCol w:w="789"/>
      </w:tblGrid>
      <w:tr w14:paraId="13C02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669" w:type="dxa"/>
            <w:noWrap w:val="0"/>
            <w:vAlign w:val="center"/>
          </w:tcPr>
          <w:p w14:paraId="4D143D93">
            <w:pPr>
              <w:pStyle w:val="17"/>
              <w:keepNext w:val="0"/>
              <w:keepLines w:val="0"/>
              <w:suppressLineNumbers w:val="0"/>
              <w:spacing w:before="0" w:beforeAutospacing="0" w:after="0" w:afterAutospacing="0" w:line="240" w:lineRule="atLeast"/>
              <w:ind w:left="0" w:right="0"/>
              <w:jc w:val="both"/>
              <w:rPr>
                <w:rFonts w:hint="eastAsia" w:ascii="仿宋" w:hAnsi="仿宋" w:eastAsia="仿宋" w:cs="仿宋"/>
                <w:sz w:val="24"/>
              </w:rPr>
            </w:pPr>
            <w:r>
              <w:rPr>
                <w:rFonts w:hint="eastAsia" w:ascii="仿宋" w:hAnsi="仿宋" w:eastAsia="仿宋" w:cs="仿宋"/>
                <w:sz w:val="24"/>
                <w:lang w:eastAsia="zh-CN"/>
              </w:rPr>
              <w:t>序</w:t>
            </w:r>
            <w:r>
              <w:rPr>
                <w:rFonts w:hint="eastAsia" w:ascii="仿宋" w:hAnsi="仿宋" w:eastAsia="仿宋" w:cs="仿宋"/>
                <w:sz w:val="24"/>
              </w:rPr>
              <w:t>号</w:t>
            </w:r>
          </w:p>
        </w:tc>
        <w:tc>
          <w:tcPr>
            <w:tcW w:w="2031" w:type="dxa"/>
            <w:noWrap w:val="0"/>
            <w:vAlign w:val="center"/>
          </w:tcPr>
          <w:p w14:paraId="7853D280">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名称</w:t>
            </w:r>
          </w:p>
        </w:tc>
        <w:tc>
          <w:tcPr>
            <w:tcW w:w="1605" w:type="dxa"/>
            <w:noWrap w:val="0"/>
            <w:vAlign w:val="center"/>
          </w:tcPr>
          <w:p w14:paraId="3DDAEA4B">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型号和规格</w:t>
            </w:r>
          </w:p>
        </w:tc>
        <w:tc>
          <w:tcPr>
            <w:tcW w:w="1147" w:type="dxa"/>
            <w:noWrap w:val="0"/>
            <w:vAlign w:val="center"/>
          </w:tcPr>
          <w:p w14:paraId="08529F28">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数量</w:t>
            </w:r>
          </w:p>
        </w:tc>
        <w:tc>
          <w:tcPr>
            <w:tcW w:w="982" w:type="dxa"/>
            <w:noWrap w:val="0"/>
            <w:vAlign w:val="center"/>
          </w:tcPr>
          <w:p w14:paraId="49B434F5">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原产地</w:t>
            </w:r>
          </w:p>
        </w:tc>
        <w:tc>
          <w:tcPr>
            <w:tcW w:w="932" w:type="dxa"/>
            <w:noWrap w:val="0"/>
            <w:vAlign w:val="center"/>
          </w:tcPr>
          <w:p w14:paraId="0927D1AB">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制造商名称</w:t>
            </w:r>
          </w:p>
        </w:tc>
        <w:tc>
          <w:tcPr>
            <w:tcW w:w="952" w:type="dxa"/>
            <w:noWrap w:val="0"/>
            <w:vAlign w:val="center"/>
          </w:tcPr>
          <w:p w14:paraId="7925FBA0">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单价</w:t>
            </w:r>
          </w:p>
        </w:tc>
        <w:tc>
          <w:tcPr>
            <w:tcW w:w="1389" w:type="dxa"/>
            <w:noWrap w:val="0"/>
            <w:vAlign w:val="center"/>
          </w:tcPr>
          <w:p w14:paraId="2B17122A">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总价</w:t>
            </w:r>
          </w:p>
        </w:tc>
        <w:tc>
          <w:tcPr>
            <w:tcW w:w="789" w:type="dxa"/>
            <w:noWrap w:val="0"/>
            <w:vAlign w:val="center"/>
          </w:tcPr>
          <w:p w14:paraId="310F23EC">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备注</w:t>
            </w:r>
          </w:p>
        </w:tc>
      </w:tr>
      <w:tr w14:paraId="0E3B5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669" w:type="dxa"/>
            <w:noWrap w:val="0"/>
            <w:vAlign w:val="center"/>
          </w:tcPr>
          <w:p w14:paraId="395D341D">
            <w:pPr>
              <w:pStyle w:val="17"/>
              <w:keepNext w:val="0"/>
              <w:keepLines w:val="0"/>
              <w:suppressLineNumbers w:val="0"/>
              <w:spacing w:before="0" w:beforeAutospacing="0" w:after="0" w:afterAutospacing="0" w:line="240" w:lineRule="atLeast"/>
              <w:ind w:left="0" w:right="0"/>
              <w:jc w:val="both"/>
              <w:rPr>
                <w:rFonts w:hint="eastAsia" w:ascii="仿宋" w:hAnsi="仿宋" w:eastAsia="仿宋" w:cs="仿宋"/>
                <w:sz w:val="24"/>
              </w:rPr>
            </w:pPr>
            <w:r>
              <w:rPr>
                <w:rFonts w:hint="eastAsia" w:ascii="仿宋" w:hAnsi="仿宋" w:eastAsia="仿宋" w:cs="仿宋"/>
                <w:sz w:val="24"/>
              </w:rPr>
              <w:t>1.</w:t>
            </w:r>
          </w:p>
        </w:tc>
        <w:tc>
          <w:tcPr>
            <w:tcW w:w="2031" w:type="dxa"/>
            <w:noWrap w:val="0"/>
            <w:vAlign w:val="center"/>
          </w:tcPr>
          <w:p w14:paraId="3AACDDDB">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货物名称</w:t>
            </w:r>
          </w:p>
        </w:tc>
        <w:tc>
          <w:tcPr>
            <w:tcW w:w="1605" w:type="dxa"/>
            <w:noWrap w:val="0"/>
            <w:vAlign w:val="center"/>
          </w:tcPr>
          <w:p w14:paraId="44DC86B3">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147" w:type="dxa"/>
            <w:noWrap w:val="0"/>
            <w:vAlign w:val="center"/>
          </w:tcPr>
          <w:p w14:paraId="56D8D8F2">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82" w:type="dxa"/>
            <w:noWrap w:val="0"/>
            <w:vAlign w:val="center"/>
          </w:tcPr>
          <w:p w14:paraId="53347C6B">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32" w:type="dxa"/>
            <w:noWrap w:val="0"/>
            <w:vAlign w:val="center"/>
          </w:tcPr>
          <w:p w14:paraId="2F2A5092">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52" w:type="dxa"/>
            <w:noWrap w:val="0"/>
            <w:vAlign w:val="center"/>
          </w:tcPr>
          <w:p w14:paraId="256ED7D0">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389" w:type="dxa"/>
            <w:noWrap w:val="0"/>
            <w:vAlign w:val="center"/>
          </w:tcPr>
          <w:p w14:paraId="48465787">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789" w:type="dxa"/>
            <w:noWrap w:val="0"/>
            <w:vAlign w:val="center"/>
          </w:tcPr>
          <w:p w14:paraId="0682ACCE">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r>
      <w:tr w14:paraId="01463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669" w:type="dxa"/>
            <w:noWrap w:val="0"/>
            <w:vAlign w:val="center"/>
          </w:tcPr>
          <w:p w14:paraId="22C66F7E">
            <w:pPr>
              <w:pStyle w:val="17"/>
              <w:keepNext w:val="0"/>
              <w:keepLines w:val="0"/>
              <w:suppressLineNumbers w:val="0"/>
              <w:spacing w:before="0" w:beforeAutospacing="0" w:after="0" w:afterAutospacing="0" w:line="240" w:lineRule="atLeast"/>
              <w:ind w:left="0" w:right="0"/>
              <w:jc w:val="both"/>
              <w:rPr>
                <w:rFonts w:hint="eastAsia" w:ascii="仿宋" w:hAnsi="仿宋" w:eastAsia="仿宋" w:cs="仿宋"/>
                <w:sz w:val="24"/>
              </w:rPr>
            </w:pPr>
            <w:r>
              <w:rPr>
                <w:rFonts w:hint="eastAsia" w:ascii="仿宋" w:hAnsi="仿宋" w:eastAsia="仿宋" w:cs="仿宋"/>
                <w:sz w:val="24"/>
              </w:rPr>
              <w:t>2.</w:t>
            </w:r>
          </w:p>
        </w:tc>
        <w:tc>
          <w:tcPr>
            <w:tcW w:w="2031" w:type="dxa"/>
            <w:noWrap w:val="0"/>
            <w:vAlign w:val="center"/>
          </w:tcPr>
          <w:p w14:paraId="7EF82145">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备品备件</w:t>
            </w:r>
          </w:p>
        </w:tc>
        <w:tc>
          <w:tcPr>
            <w:tcW w:w="1605" w:type="dxa"/>
            <w:noWrap w:val="0"/>
            <w:vAlign w:val="center"/>
          </w:tcPr>
          <w:p w14:paraId="21285763">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147" w:type="dxa"/>
            <w:noWrap w:val="0"/>
            <w:vAlign w:val="center"/>
          </w:tcPr>
          <w:p w14:paraId="2C6389E4">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82" w:type="dxa"/>
            <w:noWrap w:val="0"/>
            <w:vAlign w:val="center"/>
          </w:tcPr>
          <w:p w14:paraId="6107816E">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32" w:type="dxa"/>
            <w:noWrap w:val="0"/>
            <w:vAlign w:val="center"/>
          </w:tcPr>
          <w:p w14:paraId="6027A6D9">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52" w:type="dxa"/>
            <w:noWrap w:val="0"/>
            <w:vAlign w:val="center"/>
          </w:tcPr>
          <w:p w14:paraId="5F92E634">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389" w:type="dxa"/>
            <w:noWrap w:val="0"/>
            <w:vAlign w:val="center"/>
          </w:tcPr>
          <w:p w14:paraId="5D67D7DF">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789" w:type="dxa"/>
            <w:noWrap w:val="0"/>
            <w:vAlign w:val="center"/>
          </w:tcPr>
          <w:p w14:paraId="63D3DF59">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r>
      <w:tr w14:paraId="5A860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669" w:type="dxa"/>
            <w:noWrap w:val="0"/>
            <w:vAlign w:val="center"/>
          </w:tcPr>
          <w:p w14:paraId="770D355D">
            <w:pPr>
              <w:pStyle w:val="17"/>
              <w:keepNext w:val="0"/>
              <w:keepLines w:val="0"/>
              <w:suppressLineNumbers w:val="0"/>
              <w:spacing w:before="0" w:beforeAutospacing="0" w:after="0" w:afterAutospacing="0" w:line="240" w:lineRule="atLeast"/>
              <w:ind w:left="0" w:right="0"/>
              <w:jc w:val="both"/>
              <w:rPr>
                <w:rFonts w:hint="eastAsia" w:ascii="仿宋" w:hAnsi="仿宋" w:eastAsia="仿宋" w:cs="仿宋"/>
                <w:sz w:val="24"/>
              </w:rPr>
            </w:pPr>
            <w:r>
              <w:rPr>
                <w:rFonts w:hint="eastAsia" w:ascii="仿宋" w:hAnsi="仿宋" w:eastAsia="仿宋" w:cs="仿宋"/>
                <w:sz w:val="24"/>
              </w:rPr>
              <w:t>3.</w:t>
            </w:r>
          </w:p>
        </w:tc>
        <w:tc>
          <w:tcPr>
            <w:tcW w:w="2031" w:type="dxa"/>
            <w:noWrap w:val="0"/>
            <w:vAlign w:val="center"/>
          </w:tcPr>
          <w:p w14:paraId="06B62079">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专用工具</w:t>
            </w:r>
          </w:p>
        </w:tc>
        <w:tc>
          <w:tcPr>
            <w:tcW w:w="1605" w:type="dxa"/>
            <w:noWrap w:val="0"/>
            <w:vAlign w:val="center"/>
          </w:tcPr>
          <w:p w14:paraId="17659DEA">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147" w:type="dxa"/>
            <w:noWrap w:val="0"/>
            <w:vAlign w:val="center"/>
          </w:tcPr>
          <w:p w14:paraId="3E9C0857">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82" w:type="dxa"/>
            <w:noWrap w:val="0"/>
            <w:vAlign w:val="center"/>
          </w:tcPr>
          <w:p w14:paraId="5D585458">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32" w:type="dxa"/>
            <w:noWrap w:val="0"/>
            <w:vAlign w:val="center"/>
          </w:tcPr>
          <w:p w14:paraId="6C5B21FC">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52" w:type="dxa"/>
            <w:noWrap w:val="0"/>
            <w:vAlign w:val="center"/>
          </w:tcPr>
          <w:p w14:paraId="20CBBCD7">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389" w:type="dxa"/>
            <w:noWrap w:val="0"/>
            <w:vAlign w:val="center"/>
          </w:tcPr>
          <w:p w14:paraId="6C14901F">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789" w:type="dxa"/>
            <w:noWrap w:val="0"/>
            <w:vAlign w:val="center"/>
          </w:tcPr>
          <w:p w14:paraId="340B9436">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r>
      <w:tr w14:paraId="5E14C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669" w:type="dxa"/>
            <w:noWrap w:val="0"/>
            <w:vAlign w:val="center"/>
          </w:tcPr>
          <w:p w14:paraId="2DA99C56">
            <w:pPr>
              <w:pStyle w:val="17"/>
              <w:keepNext w:val="0"/>
              <w:keepLines w:val="0"/>
              <w:suppressLineNumbers w:val="0"/>
              <w:spacing w:before="0" w:beforeAutospacing="0" w:after="0" w:afterAutospacing="0" w:line="240" w:lineRule="atLeast"/>
              <w:ind w:left="0" w:right="0"/>
              <w:jc w:val="both"/>
              <w:rPr>
                <w:rFonts w:hint="default" w:ascii="仿宋" w:hAnsi="仿宋" w:eastAsia="仿宋" w:cs="仿宋"/>
                <w:sz w:val="24"/>
                <w:lang w:val="en-US" w:eastAsia="zh-CN"/>
              </w:rPr>
            </w:pPr>
            <w:r>
              <w:rPr>
                <w:rFonts w:hint="eastAsia" w:ascii="仿宋" w:hAnsi="仿宋" w:eastAsia="仿宋" w:cs="仿宋"/>
                <w:sz w:val="24"/>
                <w:lang w:val="en-US" w:eastAsia="zh-CN"/>
              </w:rPr>
              <w:t>4.</w:t>
            </w:r>
          </w:p>
        </w:tc>
        <w:tc>
          <w:tcPr>
            <w:tcW w:w="2031" w:type="dxa"/>
            <w:noWrap w:val="0"/>
            <w:vAlign w:val="center"/>
          </w:tcPr>
          <w:p w14:paraId="11909C0D">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安装、调试、</w:t>
            </w:r>
            <w:r>
              <w:rPr>
                <w:rFonts w:hint="eastAsia" w:ascii="仿宋" w:hAnsi="仿宋" w:eastAsia="仿宋" w:cs="仿宋"/>
                <w:sz w:val="24"/>
                <w:lang w:eastAsia="zh-CN"/>
              </w:rPr>
              <w:t>检测</w:t>
            </w:r>
            <w:r>
              <w:rPr>
                <w:rFonts w:hint="eastAsia" w:ascii="仿宋" w:hAnsi="仿宋" w:eastAsia="仿宋" w:cs="仿宋"/>
                <w:sz w:val="24"/>
                <w:lang w:val="en-US" w:eastAsia="zh-CN"/>
              </w:rPr>
              <w:t>费</w:t>
            </w:r>
          </w:p>
        </w:tc>
        <w:tc>
          <w:tcPr>
            <w:tcW w:w="1605" w:type="dxa"/>
            <w:noWrap w:val="0"/>
            <w:vAlign w:val="center"/>
          </w:tcPr>
          <w:p w14:paraId="5A10774A">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147" w:type="dxa"/>
            <w:noWrap w:val="0"/>
            <w:vAlign w:val="center"/>
          </w:tcPr>
          <w:p w14:paraId="56F1AB08">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82" w:type="dxa"/>
            <w:noWrap w:val="0"/>
            <w:vAlign w:val="center"/>
          </w:tcPr>
          <w:p w14:paraId="088D96D5">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32" w:type="dxa"/>
            <w:noWrap w:val="0"/>
            <w:vAlign w:val="center"/>
          </w:tcPr>
          <w:p w14:paraId="78C48BD9">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52" w:type="dxa"/>
            <w:noWrap w:val="0"/>
            <w:vAlign w:val="center"/>
          </w:tcPr>
          <w:p w14:paraId="4C77184D">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389" w:type="dxa"/>
            <w:noWrap w:val="0"/>
            <w:vAlign w:val="center"/>
          </w:tcPr>
          <w:p w14:paraId="0A333CEB">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789" w:type="dxa"/>
            <w:noWrap w:val="0"/>
            <w:vAlign w:val="center"/>
          </w:tcPr>
          <w:p w14:paraId="3EB3037E">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r>
      <w:tr w14:paraId="44B79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669" w:type="dxa"/>
            <w:noWrap w:val="0"/>
            <w:vAlign w:val="center"/>
          </w:tcPr>
          <w:p w14:paraId="5A9A580A">
            <w:pPr>
              <w:pStyle w:val="17"/>
              <w:keepNext w:val="0"/>
              <w:keepLines w:val="0"/>
              <w:suppressLineNumbers w:val="0"/>
              <w:spacing w:before="0" w:beforeAutospacing="0" w:after="0" w:afterAutospacing="0" w:line="240" w:lineRule="atLeast"/>
              <w:ind w:left="0" w:right="0"/>
              <w:jc w:val="both"/>
              <w:rPr>
                <w:rFonts w:hint="eastAsia" w:ascii="仿宋" w:hAnsi="仿宋" w:eastAsia="仿宋" w:cs="仿宋"/>
                <w:sz w:val="24"/>
              </w:rPr>
            </w:pPr>
            <w:r>
              <w:rPr>
                <w:rFonts w:hint="eastAsia" w:ascii="仿宋" w:hAnsi="仿宋" w:eastAsia="仿宋" w:cs="仿宋"/>
                <w:sz w:val="24"/>
              </w:rPr>
              <w:t>5.</w:t>
            </w:r>
          </w:p>
        </w:tc>
        <w:tc>
          <w:tcPr>
            <w:tcW w:w="2031" w:type="dxa"/>
            <w:noWrap w:val="0"/>
            <w:vAlign w:val="center"/>
          </w:tcPr>
          <w:p w14:paraId="5F409E13">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培训</w:t>
            </w:r>
          </w:p>
        </w:tc>
        <w:tc>
          <w:tcPr>
            <w:tcW w:w="1605" w:type="dxa"/>
            <w:noWrap w:val="0"/>
            <w:vAlign w:val="center"/>
          </w:tcPr>
          <w:p w14:paraId="49ECD119">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147" w:type="dxa"/>
            <w:noWrap w:val="0"/>
            <w:vAlign w:val="center"/>
          </w:tcPr>
          <w:p w14:paraId="32D0C878">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82" w:type="dxa"/>
            <w:noWrap w:val="0"/>
            <w:vAlign w:val="center"/>
          </w:tcPr>
          <w:p w14:paraId="5591D36B">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32" w:type="dxa"/>
            <w:noWrap w:val="0"/>
            <w:vAlign w:val="center"/>
          </w:tcPr>
          <w:p w14:paraId="121801B5">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52" w:type="dxa"/>
            <w:noWrap w:val="0"/>
            <w:vAlign w:val="center"/>
          </w:tcPr>
          <w:p w14:paraId="0D4D54AF">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389" w:type="dxa"/>
            <w:noWrap w:val="0"/>
            <w:vAlign w:val="center"/>
          </w:tcPr>
          <w:p w14:paraId="5429A22E">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789" w:type="dxa"/>
            <w:noWrap w:val="0"/>
            <w:vAlign w:val="center"/>
          </w:tcPr>
          <w:p w14:paraId="3BD8E198">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r>
      <w:tr w14:paraId="1CE09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669" w:type="dxa"/>
            <w:noWrap w:val="0"/>
            <w:vAlign w:val="center"/>
          </w:tcPr>
          <w:p w14:paraId="6CBDD7B2">
            <w:pPr>
              <w:pStyle w:val="17"/>
              <w:keepNext w:val="0"/>
              <w:keepLines w:val="0"/>
              <w:suppressLineNumbers w:val="0"/>
              <w:spacing w:before="0" w:beforeAutospacing="0" w:after="0" w:afterAutospacing="0" w:line="240" w:lineRule="atLeast"/>
              <w:ind w:left="0" w:right="0"/>
              <w:jc w:val="both"/>
              <w:rPr>
                <w:rFonts w:hint="eastAsia" w:ascii="仿宋" w:hAnsi="仿宋" w:eastAsia="仿宋" w:cs="仿宋"/>
                <w:sz w:val="24"/>
              </w:rPr>
            </w:pPr>
            <w:r>
              <w:rPr>
                <w:rFonts w:hint="eastAsia" w:ascii="仿宋" w:hAnsi="仿宋" w:eastAsia="仿宋" w:cs="仿宋"/>
                <w:sz w:val="24"/>
              </w:rPr>
              <w:t>6.</w:t>
            </w:r>
          </w:p>
        </w:tc>
        <w:tc>
          <w:tcPr>
            <w:tcW w:w="2031" w:type="dxa"/>
            <w:noWrap w:val="0"/>
            <w:vAlign w:val="center"/>
          </w:tcPr>
          <w:p w14:paraId="4973F8AF">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技术服务</w:t>
            </w:r>
          </w:p>
        </w:tc>
        <w:tc>
          <w:tcPr>
            <w:tcW w:w="1605" w:type="dxa"/>
            <w:noWrap w:val="0"/>
            <w:vAlign w:val="center"/>
          </w:tcPr>
          <w:p w14:paraId="5E05BFBC">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147" w:type="dxa"/>
            <w:noWrap w:val="0"/>
            <w:vAlign w:val="center"/>
          </w:tcPr>
          <w:p w14:paraId="6BF00DB0">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82" w:type="dxa"/>
            <w:noWrap w:val="0"/>
            <w:vAlign w:val="center"/>
          </w:tcPr>
          <w:p w14:paraId="4D88BEE2">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32" w:type="dxa"/>
            <w:noWrap w:val="0"/>
            <w:vAlign w:val="center"/>
          </w:tcPr>
          <w:p w14:paraId="10B14BAA">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52" w:type="dxa"/>
            <w:noWrap w:val="0"/>
            <w:vAlign w:val="center"/>
          </w:tcPr>
          <w:p w14:paraId="1178F2EE">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389" w:type="dxa"/>
            <w:noWrap w:val="0"/>
            <w:vAlign w:val="center"/>
          </w:tcPr>
          <w:p w14:paraId="2434B28D">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789" w:type="dxa"/>
            <w:noWrap w:val="0"/>
            <w:vAlign w:val="center"/>
          </w:tcPr>
          <w:p w14:paraId="323FACDA">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r>
      <w:tr w14:paraId="79F8E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669" w:type="dxa"/>
            <w:shd w:val="clear" w:color="auto" w:fill="auto"/>
            <w:noWrap w:val="0"/>
            <w:vAlign w:val="center"/>
          </w:tcPr>
          <w:p w14:paraId="425312B9">
            <w:pPr>
              <w:pStyle w:val="17"/>
              <w:keepNext w:val="0"/>
              <w:keepLines w:val="0"/>
              <w:suppressLineNumbers w:val="0"/>
              <w:spacing w:before="0" w:beforeAutospacing="0" w:after="0" w:afterAutospacing="0" w:line="240" w:lineRule="atLeast"/>
              <w:ind w:left="0" w:leftChars="0" w:right="0" w:rightChars="0"/>
              <w:jc w:val="both"/>
              <w:rPr>
                <w:rFonts w:hint="eastAsia" w:ascii="仿宋" w:hAnsi="仿宋" w:eastAsia="仿宋" w:cs="仿宋"/>
                <w:kern w:val="2"/>
                <w:sz w:val="24"/>
                <w:szCs w:val="20"/>
                <w:lang w:val="en-US" w:eastAsia="zh-CN" w:bidi="ar-SA"/>
              </w:rPr>
            </w:pPr>
            <w:r>
              <w:rPr>
                <w:rFonts w:hint="eastAsia" w:ascii="仿宋" w:hAnsi="仿宋" w:eastAsia="仿宋" w:cs="仿宋"/>
                <w:sz w:val="24"/>
                <w:lang w:val="en-US" w:eastAsia="zh-CN"/>
              </w:rPr>
              <w:t>7.</w:t>
            </w:r>
          </w:p>
        </w:tc>
        <w:tc>
          <w:tcPr>
            <w:tcW w:w="2031" w:type="dxa"/>
            <w:shd w:val="clear" w:color="auto" w:fill="auto"/>
            <w:noWrap w:val="0"/>
            <w:vAlign w:val="center"/>
          </w:tcPr>
          <w:p w14:paraId="1483F908">
            <w:pPr>
              <w:pStyle w:val="17"/>
              <w:keepNext w:val="0"/>
              <w:keepLines w:val="0"/>
              <w:suppressLineNumbers w:val="0"/>
              <w:spacing w:before="0" w:beforeAutospacing="0" w:after="0" w:afterAutospacing="0" w:line="240" w:lineRule="atLeast"/>
              <w:ind w:left="0" w:leftChars="0" w:right="0" w:rightChars="0"/>
              <w:jc w:val="center"/>
              <w:rPr>
                <w:rFonts w:hint="eastAsia" w:ascii="仿宋" w:hAnsi="仿宋" w:eastAsia="仿宋" w:cs="仿宋"/>
                <w:kern w:val="2"/>
                <w:sz w:val="24"/>
                <w:szCs w:val="20"/>
                <w:lang w:val="en-US" w:eastAsia="zh-CN" w:bidi="ar-SA"/>
              </w:rPr>
            </w:pPr>
            <w:r>
              <w:rPr>
                <w:rFonts w:hint="eastAsia" w:ascii="仿宋" w:hAnsi="仿宋" w:eastAsia="仿宋" w:cs="仿宋"/>
                <w:sz w:val="24"/>
                <w:lang w:val="en-US" w:eastAsia="zh-CN"/>
              </w:rPr>
              <w:t>售后服务</w:t>
            </w:r>
          </w:p>
        </w:tc>
        <w:tc>
          <w:tcPr>
            <w:tcW w:w="1605" w:type="dxa"/>
            <w:noWrap w:val="0"/>
            <w:vAlign w:val="center"/>
          </w:tcPr>
          <w:p w14:paraId="21E652F2">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147" w:type="dxa"/>
            <w:noWrap w:val="0"/>
            <w:vAlign w:val="center"/>
          </w:tcPr>
          <w:p w14:paraId="1E25C1D8">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82" w:type="dxa"/>
            <w:noWrap w:val="0"/>
            <w:vAlign w:val="center"/>
          </w:tcPr>
          <w:p w14:paraId="30A63BBE">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32" w:type="dxa"/>
            <w:noWrap w:val="0"/>
            <w:vAlign w:val="center"/>
          </w:tcPr>
          <w:p w14:paraId="1EBA942B">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52" w:type="dxa"/>
            <w:noWrap w:val="0"/>
            <w:vAlign w:val="center"/>
          </w:tcPr>
          <w:p w14:paraId="03B5180B">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389" w:type="dxa"/>
            <w:noWrap w:val="0"/>
            <w:vAlign w:val="center"/>
          </w:tcPr>
          <w:p w14:paraId="645BDBEB">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789" w:type="dxa"/>
            <w:noWrap w:val="0"/>
            <w:vAlign w:val="center"/>
          </w:tcPr>
          <w:p w14:paraId="3ECF5FD5">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r>
      <w:tr w14:paraId="2B535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669" w:type="dxa"/>
            <w:shd w:val="clear" w:color="auto" w:fill="auto"/>
            <w:noWrap w:val="0"/>
            <w:vAlign w:val="center"/>
          </w:tcPr>
          <w:p w14:paraId="12B154CC">
            <w:pPr>
              <w:pStyle w:val="17"/>
              <w:keepNext w:val="0"/>
              <w:keepLines w:val="0"/>
              <w:suppressLineNumbers w:val="0"/>
              <w:spacing w:before="0" w:beforeAutospacing="0" w:after="0" w:afterAutospacing="0" w:line="240" w:lineRule="atLeast"/>
              <w:ind w:left="0" w:leftChars="0" w:right="0" w:rightChars="0"/>
              <w:jc w:val="both"/>
              <w:rPr>
                <w:rFonts w:hint="default" w:ascii="仿宋" w:hAnsi="仿宋" w:eastAsia="仿宋" w:cs="仿宋"/>
                <w:sz w:val="24"/>
                <w:lang w:val="en-US" w:eastAsia="zh-CN"/>
              </w:rPr>
            </w:pPr>
            <w:r>
              <w:rPr>
                <w:rFonts w:hint="eastAsia" w:ascii="仿宋" w:hAnsi="仿宋" w:eastAsia="仿宋" w:cs="仿宋"/>
                <w:sz w:val="24"/>
                <w:lang w:val="en-US" w:eastAsia="zh-CN"/>
              </w:rPr>
              <w:t>8.</w:t>
            </w:r>
          </w:p>
        </w:tc>
        <w:tc>
          <w:tcPr>
            <w:tcW w:w="2031" w:type="dxa"/>
            <w:shd w:val="clear" w:color="auto" w:fill="auto"/>
            <w:noWrap w:val="0"/>
            <w:vAlign w:val="center"/>
          </w:tcPr>
          <w:p w14:paraId="3E959B5D">
            <w:pPr>
              <w:pStyle w:val="17"/>
              <w:keepNext w:val="0"/>
              <w:keepLines w:val="0"/>
              <w:suppressLineNumbers w:val="0"/>
              <w:spacing w:before="0" w:beforeAutospacing="0" w:after="0" w:afterAutospacing="0" w:line="240" w:lineRule="atLeast"/>
              <w:ind w:left="0" w:leftChars="0" w:right="0" w:rightChars="0"/>
              <w:jc w:val="center"/>
              <w:rPr>
                <w:rFonts w:hint="eastAsia" w:ascii="仿宋" w:hAnsi="仿宋" w:eastAsia="仿宋" w:cs="仿宋"/>
                <w:sz w:val="24"/>
                <w:lang w:val="en-US" w:eastAsia="zh-CN"/>
              </w:rPr>
            </w:pPr>
            <w:r>
              <w:rPr>
                <w:rFonts w:hint="eastAsia" w:ascii="仿宋" w:hAnsi="仿宋" w:eastAsia="仿宋" w:cs="仿宋"/>
                <w:sz w:val="24"/>
                <w:lang w:val="en-US" w:eastAsia="zh-CN"/>
              </w:rPr>
              <w:t>运输和保险</w:t>
            </w:r>
          </w:p>
        </w:tc>
        <w:tc>
          <w:tcPr>
            <w:tcW w:w="1605" w:type="dxa"/>
            <w:noWrap w:val="0"/>
            <w:vAlign w:val="center"/>
          </w:tcPr>
          <w:p w14:paraId="091FEF39">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147" w:type="dxa"/>
            <w:noWrap w:val="0"/>
            <w:vAlign w:val="center"/>
          </w:tcPr>
          <w:p w14:paraId="7D15A8A5">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82" w:type="dxa"/>
            <w:noWrap w:val="0"/>
            <w:vAlign w:val="center"/>
          </w:tcPr>
          <w:p w14:paraId="20473CB9">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32" w:type="dxa"/>
            <w:noWrap w:val="0"/>
            <w:vAlign w:val="center"/>
          </w:tcPr>
          <w:p w14:paraId="7BAB78C2">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52" w:type="dxa"/>
            <w:noWrap w:val="0"/>
            <w:vAlign w:val="center"/>
          </w:tcPr>
          <w:p w14:paraId="279B5E51">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1389" w:type="dxa"/>
            <w:noWrap w:val="0"/>
            <w:vAlign w:val="center"/>
          </w:tcPr>
          <w:p w14:paraId="4D04BD1E">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789" w:type="dxa"/>
            <w:noWrap w:val="0"/>
            <w:vAlign w:val="center"/>
          </w:tcPr>
          <w:p w14:paraId="1207EA24">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r>
      <w:tr w14:paraId="2F819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5" w:hRule="atLeast"/>
          <w:jc w:val="center"/>
        </w:trPr>
        <w:tc>
          <w:tcPr>
            <w:tcW w:w="8318" w:type="dxa"/>
            <w:gridSpan w:val="7"/>
            <w:noWrap w:val="0"/>
            <w:vAlign w:val="center"/>
          </w:tcPr>
          <w:p w14:paraId="36D00FB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r>
              <w:rPr>
                <w:rFonts w:hint="eastAsia" w:ascii="仿宋" w:hAnsi="仿宋" w:eastAsia="仿宋" w:cs="仿宋"/>
                <w:sz w:val="24"/>
              </w:rPr>
              <w:t>总价：</w:t>
            </w:r>
          </w:p>
        </w:tc>
        <w:tc>
          <w:tcPr>
            <w:tcW w:w="2178" w:type="dxa"/>
            <w:gridSpan w:val="2"/>
            <w:noWrap w:val="0"/>
            <w:vAlign w:val="center"/>
          </w:tcPr>
          <w:p w14:paraId="61C6D831">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r>
    </w:tbl>
    <w:p w14:paraId="5C33477C">
      <w:pPr>
        <w:pStyle w:val="17"/>
        <w:spacing w:line="240" w:lineRule="atLeast"/>
        <w:ind w:left="1080" w:leftChars="257" w:hanging="540"/>
        <w:rPr>
          <w:rFonts w:hint="eastAsia" w:ascii="仿宋" w:hAnsi="仿宋" w:eastAsia="仿宋" w:cs="仿宋"/>
          <w:sz w:val="24"/>
        </w:rPr>
      </w:pPr>
    </w:p>
    <w:p w14:paraId="3282D894">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sz w:val="24"/>
          <w:lang w:eastAsia="zh-CN"/>
        </w:rPr>
        <w:t>（电子签章）</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320D218A">
      <w:pPr>
        <w:pStyle w:val="17"/>
        <w:tabs>
          <w:tab w:val="left" w:pos="5370"/>
        </w:tabs>
        <w:spacing w:line="240" w:lineRule="atLeast"/>
        <w:ind w:left="1080" w:leftChars="257" w:hanging="540"/>
        <w:rPr>
          <w:rFonts w:hint="eastAsia" w:ascii="仿宋" w:hAnsi="仿宋" w:eastAsia="仿宋" w:cs="仿宋"/>
          <w:sz w:val="24"/>
          <w:u w:val="single"/>
        </w:rPr>
      </w:pPr>
      <w:r>
        <w:rPr>
          <w:rFonts w:hint="eastAsia" w:ascii="仿宋" w:hAnsi="仿宋" w:eastAsia="仿宋" w:cs="仿宋"/>
          <w:sz w:val="24"/>
        </w:rPr>
        <w:t>投标人(电子签章):</w:t>
      </w:r>
      <w:r>
        <w:rPr>
          <w:rFonts w:hint="eastAsia" w:ascii="仿宋" w:hAnsi="仿宋" w:eastAsia="仿宋" w:cs="仿宋"/>
          <w:sz w:val="24"/>
          <w:u w:val="single"/>
        </w:rPr>
        <w:tab/>
      </w:r>
    </w:p>
    <w:p w14:paraId="1DE5D46F">
      <w:pPr>
        <w:pStyle w:val="17"/>
        <w:spacing w:line="240" w:lineRule="atLeast"/>
        <w:rPr>
          <w:rFonts w:hint="eastAsia" w:ascii="仿宋" w:hAnsi="仿宋" w:eastAsia="仿宋" w:cs="仿宋"/>
          <w:sz w:val="24"/>
        </w:rPr>
      </w:pPr>
    </w:p>
    <w:p w14:paraId="656BA5C0">
      <w:pPr>
        <w:pStyle w:val="17"/>
        <w:spacing w:line="240" w:lineRule="atLeast"/>
        <w:rPr>
          <w:rFonts w:hint="eastAsia" w:ascii="仿宋" w:hAnsi="仿宋" w:eastAsia="仿宋" w:cs="仿宋"/>
          <w:sz w:val="24"/>
        </w:rPr>
      </w:pPr>
      <w:r>
        <w:rPr>
          <w:rFonts w:hint="eastAsia" w:ascii="仿宋" w:hAnsi="仿宋" w:eastAsia="仿宋" w:cs="仿宋"/>
          <w:sz w:val="24"/>
        </w:rPr>
        <w:t>注:1.如果投标人认为需要，每种货物填写一份该表。</w:t>
      </w:r>
    </w:p>
    <w:p w14:paraId="205780DD">
      <w:pPr>
        <w:pStyle w:val="17"/>
        <w:numPr>
          <w:ilvl w:val="0"/>
          <w:numId w:val="7"/>
        </w:numPr>
        <w:spacing w:line="240" w:lineRule="atLeast"/>
        <w:rPr>
          <w:rFonts w:hint="eastAsia" w:ascii="仿宋" w:hAnsi="仿宋" w:eastAsia="仿宋" w:cs="仿宋"/>
          <w:sz w:val="24"/>
        </w:rPr>
      </w:pPr>
      <w:r>
        <w:rPr>
          <w:rFonts w:hint="eastAsia" w:ascii="仿宋" w:hAnsi="仿宋" w:eastAsia="仿宋" w:cs="仿宋"/>
          <w:sz w:val="24"/>
        </w:rPr>
        <w:t>如果按单价计算的结果与总价不一致,以单价为准修正总价。</w:t>
      </w:r>
    </w:p>
    <w:p w14:paraId="06EF5996">
      <w:pPr>
        <w:pStyle w:val="17"/>
        <w:numPr>
          <w:ilvl w:val="0"/>
          <w:numId w:val="7"/>
        </w:numPr>
        <w:spacing w:line="240" w:lineRule="atLeast"/>
        <w:rPr>
          <w:rFonts w:hint="eastAsia" w:ascii="仿宋" w:hAnsi="仿宋" w:eastAsia="仿宋" w:cs="仿宋"/>
          <w:sz w:val="24"/>
        </w:rPr>
      </w:pPr>
      <w:r>
        <w:rPr>
          <w:rFonts w:hint="eastAsia" w:ascii="仿宋" w:hAnsi="仿宋" w:eastAsia="仿宋" w:cs="仿宋"/>
          <w:sz w:val="24"/>
        </w:rPr>
        <w:t>如果不提供详细分项报价将视为没有实质性响应招标文件。</w:t>
      </w:r>
    </w:p>
    <w:p w14:paraId="36E65865">
      <w:pPr>
        <w:pStyle w:val="17"/>
        <w:numPr>
          <w:ilvl w:val="0"/>
          <w:numId w:val="7"/>
        </w:numPr>
        <w:spacing w:line="240" w:lineRule="atLeast"/>
        <w:rPr>
          <w:rFonts w:hint="eastAsia" w:ascii="仿宋" w:hAnsi="仿宋" w:eastAsia="仿宋" w:cs="仿宋"/>
          <w:sz w:val="24"/>
        </w:rPr>
      </w:pPr>
      <w:r>
        <w:rPr>
          <w:rFonts w:hint="eastAsia" w:ascii="仿宋" w:hAnsi="仿宋" w:eastAsia="仿宋" w:cs="仿宋"/>
          <w:sz w:val="24"/>
        </w:rPr>
        <w:t>上述各项的详细分项报价，应另页描述。</w:t>
      </w:r>
    </w:p>
    <w:p w14:paraId="0FE22A6D">
      <w:pPr>
        <w:pStyle w:val="17"/>
        <w:spacing w:line="240" w:lineRule="atLeast"/>
        <w:rPr>
          <w:rFonts w:hint="eastAsia" w:ascii="仿宋" w:hAnsi="仿宋" w:eastAsia="仿宋" w:cs="仿宋"/>
          <w:sz w:val="24"/>
        </w:rPr>
      </w:pPr>
      <w:r>
        <w:rPr>
          <w:rFonts w:hint="eastAsia" w:ascii="仿宋" w:hAnsi="仿宋" w:eastAsia="仿宋" w:cs="仿宋"/>
          <w:sz w:val="24"/>
        </w:rPr>
        <w:t>5.如果开标一览表（报价表）内容与投标文件中明细表内容不一致的，以开标一览表（报价表）内容为准。</w:t>
      </w:r>
    </w:p>
    <w:p w14:paraId="63941E28">
      <w:pPr>
        <w:pStyle w:val="9"/>
        <w:ind w:left="0" w:leftChars="0" w:firstLine="0" w:firstLineChars="0"/>
        <w:rPr>
          <w:rFonts w:hint="eastAsia" w:ascii="仿宋" w:hAnsi="仿宋" w:eastAsia="仿宋" w:cs="仿宋"/>
          <w:b/>
          <w:bCs/>
          <w:sz w:val="24"/>
          <w:lang w:val="en-US" w:eastAsia="zh-CN"/>
        </w:rPr>
      </w:pPr>
      <w:r>
        <w:rPr>
          <w:rFonts w:hint="eastAsia" w:ascii="仿宋" w:hAnsi="仿宋" w:eastAsia="仿宋" w:cs="仿宋"/>
          <w:b w:val="0"/>
          <w:bCs w:val="0"/>
          <w:sz w:val="24"/>
          <w:lang w:val="en-US" w:eastAsia="zh-CN"/>
        </w:rPr>
        <w:t>6.投标人需如实完整的填写上表，如填写不完整或填写内容与产品证明资料不符或内容与供货时提供的不一致，投标人自行承担投标无效、提供虚假材料谋取中标成交、验收不通过的风险。</w:t>
      </w:r>
    </w:p>
    <w:p w14:paraId="1471CD08">
      <w:pPr>
        <w:pStyle w:val="17"/>
        <w:spacing w:line="240" w:lineRule="atLeast"/>
        <w:rPr>
          <w:rFonts w:hint="eastAsia" w:ascii="仿宋" w:hAnsi="仿宋" w:eastAsia="仿宋" w:cs="仿宋"/>
          <w:sz w:val="24"/>
        </w:rPr>
      </w:pPr>
      <w:r>
        <w:rPr>
          <w:rFonts w:hint="eastAsia" w:ascii="仿宋" w:hAnsi="仿宋" w:eastAsia="仿宋" w:cs="仿宋"/>
          <w:b w:val="0"/>
          <w:bCs w:val="0"/>
          <w:sz w:val="24"/>
          <w:lang w:val="en-US" w:eastAsia="zh-CN"/>
        </w:rPr>
        <w:t>7.请按照投标人须知填写本表，负责视为投标无效</w:t>
      </w:r>
      <w:r>
        <w:rPr>
          <w:rFonts w:hint="eastAsia" w:ascii="仿宋" w:hAnsi="仿宋" w:eastAsia="仿宋" w:cs="仿宋"/>
          <w:sz w:val="24"/>
        </w:rPr>
        <w:br w:type="page"/>
      </w:r>
    </w:p>
    <w:p w14:paraId="62D0F773">
      <w:pPr>
        <w:pStyle w:val="4"/>
        <w:bidi w:val="0"/>
        <w:rPr>
          <w:rFonts w:hint="eastAsia" w:ascii="仿宋" w:hAnsi="仿宋" w:eastAsia="仿宋" w:cs="仿宋"/>
          <w:sz w:val="24"/>
          <w:szCs w:val="24"/>
        </w:rPr>
      </w:pPr>
      <w:bookmarkStart w:id="328" w:name="_Toc216582816"/>
      <w:bookmarkStart w:id="329" w:name="_Toc515647819"/>
      <w:bookmarkStart w:id="330" w:name="_Toc18267"/>
      <w:bookmarkStart w:id="331" w:name="_Toc14037"/>
      <w:bookmarkStart w:id="332" w:name="_Toc617"/>
      <w:bookmarkStart w:id="333" w:name="_Toc29049"/>
      <w:r>
        <w:rPr>
          <w:rFonts w:hint="eastAsia" w:ascii="仿宋" w:hAnsi="仿宋" w:eastAsia="仿宋" w:cs="仿宋"/>
          <w:sz w:val="24"/>
          <w:szCs w:val="24"/>
        </w:rPr>
        <w:t>4   货物说明一览表</w:t>
      </w:r>
      <w:bookmarkEnd w:id="328"/>
      <w:r>
        <w:rPr>
          <w:rFonts w:hint="eastAsia" w:ascii="仿宋" w:hAnsi="仿宋" w:eastAsia="仿宋" w:cs="仿宋"/>
          <w:sz w:val="24"/>
          <w:szCs w:val="24"/>
        </w:rPr>
        <w:t>（投标文件格式八）</w:t>
      </w:r>
      <w:bookmarkEnd w:id="329"/>
      <w:bookmarkEnd w:id="330"/>
      <w:bookmarkEnd w:id="331"/>
      <w:bookmarkEnd w:id="332"/>
      <w:bookmarkEnd w:id="333"/>
    </w:p>
    <w:p w14:paraId="7625FAB6">
      <w:pPr>
        <w:pStyle w:val="17"/>
        <w:spacing w:line="240" w:lineRule="atLeast"/>
        <w:ind w:left="1080" w:leftChars="257" w:hanging="540"/>
        <w:rPr>
          <w:rFonts w:hint="eastAsia" w:ascii="仿宋" w:hAnsi="仿宋" w:eastAsia="仿宋" w:cs="仿宋"/>
          <w:sz w:val="24"/>
        </w:rPr>
      </w:pPr>
    </w:p>
    <w:p w14:paraId="55C62EA2">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 xml:space="preserve">项目名称:                    招标编号:                包号:                      </w:t>
      </w:r>
    </w:p>
    <w:p w14:paraId="464FDFAD">
      <w:pPr>
        <w:pStyle w:val="17"/>
        <w:spacing w:line="240" w:lineRule="atLeast"/>
        <w:ind w:left="1080" w:leftChars="257" w:hanging="540"/>
        <w:rPr>
          <w:rFonts w:hint="eastAsia" w:ascii="仿宋" w:hAnsi="仿宋" w:eastAsia="仿宋" w:cs="仿宋"/>
          <w:sz w:val="24"/>
        </w:rPr>
      </w:pPr>
    </w:p>
    <w:p w14:paraId="53367FF8">
      <w:pPr>
        <w:pStyle w:val="17"/>
        <w:spacing w:line="240" w:lineRule="atLeast"/>
        <w:ind w:left="1080" w:leftChars="257" w:hanging="540"/>
        <w:rPr>
          <w:rFonts w:hint="eastAsia" w:ascii="仿宋" w:hAnsi="仿宋" w:eastAsia="仿宋" w:cs="仿宋"/>
          <w:sz w:val="24"/>
        </w:rPr>
      </w:pPr>
    </w:p>
    <w:tbl>
      <w:tblPr>
        <w:tblStyle w:val="39"/>
        <w:tblpPr w:leftFromText="180" w:rightFromText="180" w:vertAnchor="text" w:horzAnchor="page" w:tblpX="1158" w:tblpY="8"/>
        <w:tblOverlap w:val="never"/>
        <w:tblW w:w="96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5"/>
        <w:gridCol w:w="1616"/>
        <w:gridCol w:w="1469"/>
        <w:gridCol w:w="1322"/>
        <w:gridCol w:w="1616"/>
        <w:gridCol w:w="1352"/>
        <w:gridCol w:w="1061"/>
      </w:tblGrid>
      <w:tr w14:paraId="308BF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27CD960E">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rPr>
              <w:t>序号</w:t>
            </w:r>
          </w:p>
        </w:tc>
        <w:tc>
          <w:tcPr>
            <w:tcW w:w="1616" w:type="dxa"/>
            <w:noWrap w:val="0"/>
            <w:vAlign w:val="top"/>
          </w:tcPr>
          <w:p w14:paraId="00735016">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rPr>
              <w:t>货物名称</w:t>
            </w:r>
          </w:p>
        </w:tc>
        <w:tc>
          <w:tcPr>
            <w:tcW w:w="1469" w:type="dxa"/>
            <w:noWrap w:val="0"/>
            <w:vAlign w:val="top"/>
          </w:tcPr>
          <w:p w14:paraId="3703B518">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rPr>
              <w:t>主要规格</w:t>
            </w:r>
          </w:p>
        </w:tc>
        <w:tc>
          <w:tcPr>
            <w:tcW w:w="1322" w:type="dxa"/>
            <w:noWrap w:val="0"/>
            <w:vAlign w:val="top"/>
          </w:tcPr>
          <w:p w14:paraId="21BF2A4D">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rPr>
              <w:t>数量</w:t>
            </w:r>
          </w:p>
        </w:tc>
        <w:tc>
          <w:tcPr>
            <w:tcW w:w="1616" w:type="dxa"/>
            <w:noWrap w:val="0"/>
            <w:vAlign w:val="top"/>
          </w:tcPr>
          <w:p w14:paraId="76507A0F">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rPr>
              <w:t>交货期</w:t>
            </w:r>
          </w:p>
        </w:tc>
        <w:tc>
          <w:tcPr>
            <w:tcW w:w="1352" w:type="dxa"/>
            <w:noWrap w:val="0"/>
            <w:vAlign w:val="top"/>
          </w:tcPr>
          <w:p w14:paraId="35196214">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rPr>
              <w:t>交货地点</w:t>
            </w:r>
          </w:p>
        </w:tc>
        <w:tc>
          <w:tcPr>
            <w:tcW w:w="1061" w:type="dxa"/>
            <w:noWrap w:val="0"/>
            <w:vAlign w:val="top"/>
          </w:tcPr>
          <w:p w14:paraId="13EAD3D5">
            <w:pPr>
              <w:pStyle w:val="17"/>
              <w:keepNext w:val="0"/>
              <w:keepLines w:val="0"/>
              <w:suppressLineNumbers w:val="0"/>
              <w:spacing w:before="0" w:beforeAutospacing="0" w:after="0" w:afterAutospacing="0" w:line="240" w:lineRule="atLeast"/>
              <w:ind w:left="0" w:right="0"/>
              <w:rPr>
                <w:rFonts w:hint="eastAsia" w:ascii="仿宋" w:hAnsi="仿宋" w:eastAsia="仿宋" w:cs="仿宋"/>
                <w:sz w:val="24"/>
              </w:rPr>
            </w:pPr>
            <w:r>
              <w:rPr>
                <w:rFonts w:hint="eastAsia" w:ascii="仿宋" w:hAnsi="仿宋" w:eastAsia="仿宋" w:cs="仿宋"/>
                <w:sz w:val="24"/>
              </w:rPr>
              <w:t>其它</w:t>
            </w:r>
          </w:p>
        </w:tc>
      </w:tr>
      <w:tr w14:paraId="7EF93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5970FB7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538B1F7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5522FFA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3F3BEFA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5117AD6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6E67A7C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3D40A47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04F5E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77E2874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4692D7D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4865101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371A610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3E75AE0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1B8B82A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36DD5C2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0EAD3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56B82C3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679EF4A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707F7A0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070761B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0C01AF2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1469B5D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570B36E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5A381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5C912F9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6B580E6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4D4B3A1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78F4C4C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46CA74E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008A3BF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2E3CAC2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24047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4A96CD0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3FD98E2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05D44A0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0709219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286D6DA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24F97FD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69FBA92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691AE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251431D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2F856F4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3C7DDDD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1AB7AAA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5577E41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0114C20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2BFB8C5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46CA0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75" w:type="dxa"/>
            <w:noWrap w:val="0"/>
            <w:vAlign w:val="top"/>
          </w:tcPr>
          <w:p w14:paraId="45F26BF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391DBA6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3A304F7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10A53A9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2A84684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4950CE2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132180D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2BC9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175" w:type="dxa"/>
            <w:noWrap w:val="0"/>
            <w:vAlign w:val="top"/>
          </w:tcPr>
          <w:p w14:paraId="40FF0C6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2321359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469" w:type="dxa"/>
            <w:noWrap w:val="0"/>
            <w:vAlign w:val="top"/>
          </w:tcPr>
          <w:p w14:paraId="577BE8D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22" w:type="dxa"/>
            <w:noWrap w:val="0"/>
            <w:vAlign w:val="top"/>
          </w:tcPr>
          <w:p w14:paraId="078D928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616" w:type="dxa"/>
            <w:noWrap w:val="0"/>
            <w:vAlign w:val="top"/>
          </w:tcPr>
          <w:p w14:paraId="703DD95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352" w:type="dxa"/>
            <w:noWrap w:val="0"/>
            <w:vAlign w:val="top"/>
          </w:tcPr>
          <w:p w14:paraId="535805E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061" w:type="dxa"/>
            <w:noWrap w:val="0"/>
            <w:vAlign w:val="top"/>
          </w:tcPr>
          <w:p w14:paraId="35B5647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bl>
    <w:p w14:paraId="4CF4DA1F">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sz w:val="24"/>
          <w:lang w:eastAsia="zh-CN"/>
        </w:rPr>
        <w:t>（电子签章）</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55095A31">
      <w:pPr>
        <w:pStyle w:val="17"/>
        <w:tabs>
          <w:tab w:val="left" w:pos="5370"/>
        </w:tabs>
        <w:spacing w:line="240" w:lineRule="atLeast"/>
        <w:ind w:left="1080" w:leftChars="257" w:hanging="540"/>
        <w:rPr>
          <w:rFonts w:hint="eastAsia" w:ascii="仿宋" w:hAnsi="仿宋" w:eastAsia="仿宋" w:cs="仿宋"/>
          <w:sz w:val="24"/>
          <w:u w:val="single"/>
        </w:rPr>
      </w:pPr>
      <w:r>
        <w:rPr>
          <w:rFonts w:hint="eastAsia" w:ascii="仿宋" w:hAnsi="仿宋" w:eastAsia="仿宋" w:cs="仿宋"/>
          <w:sz w:val="24"/>
        </w:rPr>
        <w:t>投标人(电子签章):</w:t>
      </w:r>
      <w:r>
        <w:rPr>
          <w:rFonts w:hint="eastAsia" w:ascii="仿宋" w:hAnsi="仿宋" w:eastAsia="仿宋" w:cs="仿宋"/>
          <w:sz w:val="24"/>
          <w:u w:val="single"/>
        </w:rPr>
        <w:tab/>
      </w:r>
    </w:p>
    <w:p w14:paraId="70830A33">
      <w:pPr>
        <w:pStyle w:val="17"/>
        <w:spacing w:line="240" w:lineRule="atLeast"/>
        <w:ind w:left="1080" w:leftChars="257" w:hanging="540"/>
        <w:rPr>
          <w:rFonts w:hint="eastAsia" w:ascii="仿宋" w:hAnsi="仿宋" w:eastAsia="仿宋" w:cs="仿宋"/>
          <w:sz w:val="24"/>
        </w:rPr>
      </w:pPr>
    </w:p>
    <w:p w14:paraId="7BB278C1">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注: 各项货物详细技术性能应另页描述。</w:t>
      </w:r>
    </w:p>
    <w:p w14:paraId="09B47864">
      <w:pPr>
        <w:pStyle w:val="17"/>
        <w:spacing w:line="240" w:lineRule="atLeast"/>
        <w:ind w:left="1080" w:leftChars="257" w:hanging="540"/>
        <w:jc w:val="center"/>
        <w:rPr>
          <w:rFonts w:hint="eastAsia" w:ascii="仿宋" w:hAnsi="仿宋" w:eastAsia="仿宋" w:cs="仿宋"/>
          <w:sz w:val="24"/>
        </w:rPr>
      </w:pPr>
    </w:p>
    <w:p w14:paraId="10B234AF">
      <w:pPr>
        <w:pStyle w:val="17"/>
        <w:spacing w:line="240" w:lineRule="atLeast"/>
        <w:ind w:left="1080" w:leftChars="257" w:hanging="540"/>
        <w:jc w:val="center"/>
        <w:rPr>
          <w:rFonts w:hint="eastAsia" w:ascii="仿宋" w:hAnsi="仿宋" w:eastAsia="仿宋" w:cs="仿宋"/>
          <w:sz w:val="24"/>
        </w:rPr>
        <w:sectPr>
          <w:footerReference r:id="rId10"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20815EAA">
      <w:pPr>
        <w:pStyle w:val="4"/>
        <w:bidi w:val="0"/>
        <w:rPr>
          <w:rFonts w:hint="eastAsia" w:ascii="仿宋" w:hAnsi="仿宋" w:eastAsia="仿宋" w:cs="仿宋"/>
          <w:sz w:val="24"/>
          <w:szCs w:val="24"/>
        </w:rPr>
      </w:pPr>
      <w:bookmarkStart w:id="334" w:name="_Toc216582817"/>
      <w:bookmarkStart w:id="335" w:name="_Toc18950"/>
      <w:bookmarkStart w:id="336" w:name="_Toc22563"/>
      <w:bookmarkStart w:id="337" w:name="_Toc28959"/>
      <w:bookmarkStart w:id="338" w:name="_Toc1590"/>
      <w:bookmarkStart w:id="339" w:name="_Toc515647820"/>
      <w:r>
        <w:rPr>
          <w:rFonts w:hint="eastAsia" w:ascii="仿宋" w:hAnsi="仿宋" w:eastAsia="仿宋" w:cs="仿宋"/>
          <w:sz w:val="24"/>
          <w:szCs w:val="24"/>
        </w:rPr>
        <w:t>5   技术规格偏离表</w:t>
      </w:r>
      <w:bookmarkEnd w:id="334"/>
      <w:r>
        <w:rPr>
          <w:rFonts w:hint="eastAsia" w:ascii="仿宋" w:hAnsi="仿宋" w:eastAsia="仿宋" w:cs="仿宋"/>
          <w:sz w:val="24"/>
          <w:szCs w:val="24"/>
        </w:rPr>
        <w:t>（投标文件格式九）</w:t>
      </w:r>
      <w:bookmarkEnd w:id="335"/>
      <w:bookmarkEnd w:id="336"/>
      <w:bookmarkEnd w:id="337"/>
      <w:bookmarkEnd w:id="338"/>
      <w:bookmarkEnd w:id="339"/>
    </w:p>
    <w:p w14:paraId="49D7C5AF">
      <w:pPr>
        <w:pStyle w:val="17"/>
        <w:spacing w:line="240" w:lineRule="atLeast"/>
        <w:ind w:left="1080" w:leftChars="257" w:hanging="540"/>
        <w:rPr>
          <w:rFonts w:hint="eastAsia" w:ascii="仿宋" w:hAnsi="仿宋" w:eastAsia="仿宋" w:cs="仿宋"/>
          <w:sz w:val="24"/>
        </w:rPr>
      </w:pPr>
    </w:p>
    <w:p w14:paraId="68F1A3FE">
      <w:pPr>
        <w:pStyle w:val="17"/>
        <w:spacing w:line="240" w:lineRule="atLeast"/>
        <w:rPr>
          <w:rFonts w:hint="eastAsia" w:ascii="仿宋" w:hAnsi="仿宋" w:eastAsia="仿宋" w:cs="仿宋"/>
          <w:sz w:val="24"/>
        </w:rPr>
      </w:pPr>
      <w:r>
        <w:rPr>
          <w:rFonts w:hint="eastAsia" w:ascii="仿宋" w:hAnsi="仿宋" w:eastAsia="仿宋" w:cs="仿宋"/>
          <w:sz w:val="24"/>
        </w:rPr>
        <w:t>项目名称:                       招标编号:                 包号:</w:t>
      </w:r>
    </w:p>
    <w:p w14:paraId="678E336C">
      <w:pPr>
        <w:pStyle w:val="17"/>
        <w:spacing w:line="240" w:lineRule="atLeast"/>
        <w:ind w:left="1080" w:leftChars="257" w:hanging="540"/>
        <w:rPr>
          <w:rFonts w:hint="eastAsia" w:ascii="仿宋" w:hAnsi="仿宋" w:eastAsia="仿宋" w:cs="仿宋"/>
          <w:sz w:val="24"/>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2340"/>
        <w:gridCol w:w="1260"/>
        <w:gridCol w:w="1260"/>
        <w:gridCol w:w="900"/>
        <w:gridCol w:w="900"/>
      </w:tblGrid>
      <w:tr w14:paraId="73655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center"/>
          </w:tcPr>
          <w:p w14:paraId="47AA49F9">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序号</w:t>
            </w:r>
          </w:p>
        </w:tc>
        <w:tc>
          <w:tcPr>
            <w:tcW w:w="1260" w:type="dxa"/>
            <w:noWrap w:val="0"/>
            <w:vAlign w:val="center"/>
          </w:tcPr>
          <w:p w14:paraId="7F421F80">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货物名称</w:t>
            </w:r>
          </w:p>
        </w:tc>
        <w:tc>
          <w:tcPr>
            <w:tcW w:w="2340" w:type="dxa"/>
            <w:noWrap w:val="0"/>
            <w:vAlign w:val="center"/>
          </w:tcPr>
          <w:p w14:paraId="3001E966">
            <w:pPr>
              <w:pStyle w:val="17"/>
              <w:keepNext w:val="0"/>
              <w:keepLines w:val="0"/>
              <w:suppressLineNumbers w:val="0"/>
              <w:spacing w:before="0" w:beforeAutospacing="0" w:after="0" w:afterAutospacing="0" w:line="240" w:lineRule="atLeast"/>
              <w:ind w:left="269" w:leftChars="128" w:right="0"/>
              <w:jc w:val="center"/>
              <w:rPr>
                <w:rFonts w:hint="eastAsia" w:ascii="仿宋" w:hAnsi="仿宋" w:eastAsia="仿宋" w:cs="仿宋"/>
                <w:sz w:val="24"/>
              </w:rPr>
            </w:pPr>
            <w:r>
              <w:rPr>
                <w:rFonts w:hint="eastAsia" w:ascii="仿宋" w:hAnsi="仿宋" w:eastAsia="仿宋" w:cs="仿宋"/>
                <w:sz w:val="24"/>
              </w:rPr>
              <w:t>招标文件条款号</w:t>
            </w:r>
          </w:p>
        </w:tc>
        <w:tc>
          <w:tcPr>
            <w:tcW w:w="1260" w:type="dxa"/>
            <w:noWrap w:val="0"/>
            <w:vAlign w:val="center"/>
          </w:tcPr>
          <w:p w14:paraId="7D565311">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招标规格</w:t>
            </w:r>
          </w:p>
        </w:tc>
        <w:tc>
          <w:tcPr>
            <w:tcW w:w="1260" w:type="dxa"/>
            <w:noWrap w:val="0"/>
            <w:vAlign w:val="center"/>
          </w:tcPr>
          <w:p w14:paraId="5350D28F">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投标规格</w:t>
            </w:r>
          </w:p>
        </w:tc>
        <w:tc>
          <w:tcPr>
            <w:tcW w:w="900" w:type="dxa"/>
            <w:noWrap w:val="0"/>
            <w:vAlign w:val="center"/>
          </w:tcPr>
          <w:p w14:paraId="6536FC0A">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偏离</w:t>
            </w:r>
          </w:p>
        </w:tc>
        <w:tc>
          <w:tcPr>
            <w:tcW w:w="900" w:type="dxa"/>
            <w:noWrap w:val="0"/>
            <w:vAlign w:val="center"/>
          </w:tcPr>
          <w:p w14:paraId="33E4A85C">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说明</w:t>
            </w:r>
          </w:p>
        </w:tc>
      </w:tr>
      <w:tr w14:paraId="6B440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0C896A2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829063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530083D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5D88B5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08B592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05E9214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0D0DDB5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DECF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16CB2FE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058FE0D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2BB4BD8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339F55B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4D7F95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7F7C34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3FB899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49032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426E264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483A733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120F1A4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1E9BB4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2BBDF4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3192AC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21CB29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167C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68772E3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4F9E72B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17974B9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561148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408851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2A1A18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166A3E8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AC8A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6D471C7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75A458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6BFCA0D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48D891A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79EEE6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17E6EDE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35D5CF0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3A78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0DF34F0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4B8D2F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09E8D7A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C4B676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038ACB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15E182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456A2AF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52B1D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1215A58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B0CCEF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7DDB913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2F0691E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3BA95D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39210E8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62BB80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0C844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287CD8F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EEE4CD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4729FE7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E77E4B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BB26A7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0228680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EA0A90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E62E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7443ECA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EF9B98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2EEA40A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66BC3CD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33FAAC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48AAC2B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B569CF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AFF3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61A78BB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F20F72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518B81E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0949DC6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373B61F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0B64FA5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896C97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14F18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4D731C9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BA6793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4637833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6FC045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72F2F2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12AA4B4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C55ED3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AB7B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2196F4F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44A6AE0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388EF5A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4316070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CE4314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491D206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1CF2B02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09441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295A90C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95025A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10105C1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ACBF9B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00B5C4C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683906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48435F1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0FEAF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1BB8217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53A4968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57DF797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AB2D67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16C56CA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3A98E9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3A9DDC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6B437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748041E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A07434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10FB28F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36B7C25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85FE75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1CF390E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0318ABA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4EE0C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4BD6C67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3D42D62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2354101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702FF3D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27702F9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4C6F6B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FB071B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4D41C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6BDE280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36C248F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340" w:type="dxa"/>
            <w:noWrap w:val="0"/>
            <w:vAlign w:val="top"/>
          </w:tcPr>
          <w:p w14:paraId="0E6C98C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0E91E36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1260" w:type="dxa"/>
            <w:noWrap w:val="0"/>
            <w:vAlign w:val="top"/>
          </w:tcPr>
          <w:p w14:paraId="2343CE7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5A1369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0F3E84B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bl>
    <w:p w14:paraId="6D967580">
      <w:pPr>
        <w:pStyle w:val="17"/>
        <w:spacing w:line="240" w:lineRule="atLeast"/>
        <w:ind w:left="1080" w:leftChars="257" w:hanging="540"/>
        <w:rPr>
          <w:rFonts w:hint="eastAsia" w:ascii="仿宋" w:hAnsi="仿宋" w:eastAsia="仿宋" w:cs="仿宋"/>
          <w:sz w:val="24"/>
        </w:rPr>
      </w:pPr>
    </w:p>
    <w:p w14:paraId="3C742E95">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sz w:val="24"/>
          <w:lang w:eastAsia="zh-CN"/>
        </w:rPr>
        <w:t>（电子签章）</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1AFD0AE9">
      <w:pPr>
        <w:pStyle w:val="17"/>
        <w:tabs>
          <w:tab w:val="left" w:pos="5370"/>
        </w:tabs>
        <w:spacing w:line="240" w:lineRule="atLeast"/>
        <w:ind w:left="1080" w:leftChars="257" w:hanging="540"/>
        <w:rPr>
          <w:rFonts w:hint="eastAsia" w:ascii="仿宋" w:hAnsi="仿宋" w:eastAsia="仿宋" w:cs="仿宋"/>
          <w:sz w:val="24"/>
        </w:rPr>
      </w:pPr>
    </w:p>
    <w:p w14:paraId="0A40D926">
      <w:pPr>
        <w:pStyle w:val="17"/>
        <w:tabs>
          <w:tab w:val="left" w:pos="5370"/>
        </w:tabs>
        <w:spacing w:line="240" w:lineRule="atLeast"/>
        <w:ind w:left="1080" w:leftChars="257" w:hanging="540"/>
        <w:rPr>
          <w:rFonts w:hint="eastAsia" w:ascii="仿宋" w:hAnsi="仿宋" w:eastAsia="仿宋" w:cs="仿宋"/>
          <w:sz w:val="24"/>
          <w:u w:val="single"/>
        </w:rPr>
      </w:pPr>
      <w:r>
        <w:rPr>
          <w:rFonts w:hint="eastAsia" w:ascii="仿宋" w:hAnsi="仿宋" w:eastAsia="仿宋" w:cs="仿宋"/>
          <w:sz w:val="24"/>
        </w:rPr>
        <w:t>投标人(电子签章):</w:t>
      </w:r>
      <w:r>
        <w:rPr>
          <w:rFonts w:hint="eastAsia" w:ascii="仿宋" w:hAnsi="仿宋" w:eastAsia="仿宋" w:cs="仿宋"/>
          <w:sz w:val="24"/>
          <w:u w:val="single"/>
        </w:rPr>
        <w:tab/>
      </w:r>
    </w:p>
    <w:p w14:paraId="560F3E5A">
      <w:pPr>
        <w:pStyle w:val="17"/>
        <w:tabs>
          <w:tab w:val="left" w:pos="5580"/>
        </w:tabs>
        <w:spacing w:line="240" w:lineRule="auto"/>
        <w:ind w:left="0" w:leftChars="0" w:firstLine="0"/>
        <w:rPr>
          <w:rFonts w:hint="eastAsia" w:ascii="仿宋" w:hAnsi="仿宋" w:eastAsia="仿宋" w:cs="仿宋"/>
          <w:sz w:val="24"/>
        </w:rPr>
      </w:pPr>
      <w:r>
        <w:rPr>
          <w:rFonts w:hint="eastAsia" w:ascii="仿宋" w:hAnsi="仿宋" w:eastAsia="仿宋" w:cs="仿宋"/>
          <w:b/>
          <w:bCs/>
          <w:sz w:val="24"/>
          <w:lang w:val="en-US" w:eastAsia="zh-CN"/>
        </w:rPr>
        <w:t>注：投标人需如实完整的填写上表，如填写不完整或填写内容与产品证明资料不符或内容与供货时提供的不一致，投标人自行承担投标无效、提供虚假材料谋取中标成交、验收不通过的风险。</w:t>
      </w:r>
      <w:r>
        <w:rPr>
          <w:rFonts w:hint="eastAsia" w:ascii="仿宋" w:hAnsi="仿宋" w:eastAsia="仿宋" w:cs="仿宋"/>
          <w:sz w:val="24"/>
          <w:u w:val="single"/>
        </w:rPr>
        <w:br w:type="page"/>
      </w:r>
    </w:p>
    <w:p w14:paraId="229D2AD1">
      <w:pPr>
        <w:pStyle w:val="4"/>
        <w:bidi w:val="0"/>
        <w:rPr>
          <w:rFonts w:hint="eastAsia" w:ascii="仿宋" w:hAnsi="仿宋" w:eastAsia="仿宋" w:cs="仿宋"/>
          <w:sz w:val="24"/>
          <w:szCs w:val="24"/>
        </w:rPr>
      </w:pPr>
      <w:bookmarkStart w:id="340" w:name="_Toc216582818"/>
      <w:bookmarkStart w:id="341" w:name="_Toc23"/>
      <w:bookmarkStart w:id="342" w:name="_Toc7624"/>
      <w:bookmarkStart w:id="343" w:name="_Toc1980"/>
      <w:bookmarkStart w:id="344" w:name="_Toc515647821"/>
      <w:bookmarkStart w:id="345" w:name="_Toc23777"/>
      <w:r>
        <w:rPr>
          <w:rFonts w:hint="eastAsia" w:ascii="仿宋" w:hAnsi="仿宋" w:eastAsia="仿宋" w:cs="仿宋"/>
          <w:sz w:val="24"/>
          <w:szCs w:val="24"/>
        </w:rPr>
        <w:t>6   商务条款偏离表</w:t>
      </w:r>
      <w:bookmarkEnd w:id="340"/>
      <w:r>
        <w:rPr>
          <w:rFonts w:hint="eastAsia" w:ascii="仿宋" w:hAnsi="仿宋" w:eastAsia="仿宋" w:cs="仿宋"/>
          <w:sz w:val="24"/>
          <w:szCs w:val="24"/>
        </w:rPr>
        <w:t>（投标文件格式十）</w:t>
      </w:r>
      <w:bookmarkEnd w:id="341"/>
      <w:bookmarkEnd w:id="342"/>
      <w:bookmarkEnd w:id="343"/>
      <w:bookmarkEnd w:id="344"/>
      <w:bookmarkEnd w:id="345"/>
    </w:p>
    <w:p w14:paraId="4F4FA44C">
      <w:pPr>
        <w:pStyle w:val="17"/>
        <w:spacing w:line="240" w:lineRule="atLeast"/>
        <w:ind w:left="1080" w:leftChars="257" w:hanging="540"/>
        <w:rPr>
          <w:rFonts w:hint="eastAsia" w:ascii="仿宋" w:hAnsi="仿宋" w:eastAsia="仿宋" w:cs="仿宋"/>
          <w:sz w:val="24"/>
        </w:rPr>
      </w:pPr>
    </w:p>
    <w:p w14:paraId="5C061119">
      <w:pPr>
        <w:pStyle w:val="17"/>
        <w:spacing w:line="240" w:lineRule="atLeast"/>
        <w:ind w:left="1080" w:leftChars="257" w:hanging="540"/>
        <w:rPr>
          <w:rFonts w:hint="eastAsia" w:ascii="仿宋" w:hAnsi="仿宋" w:eastAsia="仿宋" w:cs="仿宋"/>
          <w:sz w:val="24"/>
        </w:rPr>
      </w:pPr>
    </w:p>
    <w:p w14:paraId="2FDD8560">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项目名称:                      招标编号:             包号:</w:t>
      </w:r>
    </w:p>
    <w:p w14:paraId="337A5F70">
      <w:pPr>
        <w:pStyle w:val="17"/>
        <w:spacing w:line="240" w:lineRule="atLeast"/>
        <w:ind w:left="1080" w:leftChars="257" w:hanging="540"/>
        <w:rPr>
          <w:rFonts w:hint="eastAsia" w:ascii="仿宋" w:hAnsi="仿宋" w:eastAsia="仿宋" w:cs="仿宋"/>
          <w:sz w:val="24"/>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14:paraId="11081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3807633B">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序号</w:t>
            </w:r>
          </w:p>
        </w:tc>
        <w:tc>
          <w:tcPr>
            <w:tcW w:w="2040" w:type="dxa"/>
            <w:noWrap w:val="0"/>
            <w:vAlign w:val="top"/>
          </w:tcPr>
          <w:p w14:paraId="7E325D23">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招标文件条款号</w:t>
            </w:r>
          </w:p>
        </w:tc>
        <w:tc>
          <w:tcPr>
            <w:tcW w:w="2520" w:type="dxa"/>
            <w:noWrap w:val="0"/>
            <w:vAlign w:val="top"/>
          </w:tcPr>
          <w:p w14:paraId="7FE41C3A">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招标文件的商务条款</w:t>
            </w:r>
          </w:p>
        </w:tc>
        <w:tc>
          <w:tcPr>
            <w:tcW w:w="2520" w:type="dxa"/>
            <w:noWrap w:val="0"/>
            <w:vAlign w:val="top"/>
          </w:tcPr>
          <w:p w14:paraId="5B9A12B4">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投标文件的商务条款</w:t>
            </w:r>
          </w:p>
        </w:tc>
        <w:tc>
          <w:tcPr>
            <w:tcW w:w="900" w:type="dxa"/>
            <w:noWrap w:val="0"/>
            <w:vAlign w:val="top"/>
          </w:tcPr>
          <w:p w14:paraId="13FFA7D0">
            <w:pPr>
              <w:pStyle w:val="17"/>
              <w:keepNext w:val="0"/>
              <w:keepLines w:val="0"/>
              <w:suppressLineNumbers w:val="0"/>
              <w:spacing w:before="0" w:beforeAutospacing="0" w:after="0" w:afterAutospacing="0" w:line="240" w:lineRule="atLeast"/>
              <w:ind w:left="0" w:right="0"/>
              <w:jc w:val="center"/>
              <w:rPr>
                <w:rFonts w:hint="eastAsia" w:ascii="仿宋" w:hAnsi="仿宋" w:eastAsia="仿宋" w:cs="仿宋"/>
                <w:sz w:val="24"/>
              </w:rPr>
            </w:pPr>
            <w:r>
              <w:rPr>
                <w:rFonts w:hint="eastAsia" w:ascii="仿宋" w:hAnsi="仿宋" w:eastAsia="仿宋" w:cs="仿宋"/>
                <w:sz w:val="24"/>
              </w:rPr>
              <w:t>说明</w:t>
            </w:r>
          </w:p>
        </w:tc>
      </w:tr>
      <w:tr w14:paraId="5BBD7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6EA2FAE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2D8CD92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08DD31A2">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2520" w:type="dxa"/>
            <w:noWrap w:val="0"/>
            <w:vAlign w:val="top"/>
          </w:tcPr>
          <w:p w14:paraId="08B0FCBD">
            <w:pPr>
              <w:pStyle w:val="17"/>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sz w:val="24"/>
              </w:rPr>
            </w:pPr>
          </w:p>
        </w:tc>
        <w:tc>
          <w:tcPr>
            <w:tcW w:w="900" w:type="dxa"/>
            <w:noWrap w:val="0"/>
            <w:vAlign w:val="top"/>
          </w:tcPr>
          <w:p w14:paraId="5AE9ADA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5B759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00E52BA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43A69C7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25C9F61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1B0DEC8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45069B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6CDE2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6E9C70F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2E5CC60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E17837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68C8454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00763F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42C7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5436E38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4398433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428C41F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1411EE2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39C3CED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5822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0157ABD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0380FDC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4145A2D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44C159C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3F2ED77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B40A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4825E6F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433A9FD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1884026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177F12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AF72CD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1EF0E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6B2E822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48A06B27">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002AF76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430768C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1473382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11AB5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73A8353F">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6A43EB6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2916D20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083C72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1E82EA3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7EC1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3E5700F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7470C0C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D9C2AE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60116D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34262D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1C845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38FF532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1907497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1BD1875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6B9A722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37470DA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54E5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0A42450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3CF0788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6E1DA921">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12CDEB0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E0E642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38090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3ECADCC4">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79006E3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B0ABA0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60E237C5">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63E369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00F3D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3C2D9E0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05EF7E9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0F3C196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84CDAD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99A109E">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62B62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2CDD39E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23E0788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862BAD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239AF7C0">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661C1E5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08CDA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5B061048">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57257BE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81AEE8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4FE197D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5C62D55A">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0304A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0793867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04D336DB">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516DD14C">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72896E33">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7137546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r w14:paraId="7E231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3E73A9A2">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040" w:type="dxa"/>
            <w:noWrap w:val="0"/>
            <w:vAlign w:val="top"/>
          </w:tcPr>
          <w:p w14:paraId="047A0559">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001993F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2520" w:type="dxa"/>
            <w:noWrap w:val="0"/>
            <w:vAlign w:val="top"/>
          </w:tcPr>
          <w:p w14:paraId="3ED8D11D">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c>
          <w:tcPr>
            <w:tcW w:w="900" w:type="dxa"/>
            <w:noWrap w:val="0"/>
            <w:vAlign w:val="top"/>
          </w:tcPr>
          <w:p w14:paraId="215681B6">
            <w:pPr>
              <w:pStyle w:val="17"/>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sz w:val="24"/>
              </w:rPr>
            </w:pPr>
          </w:p>
        </w:tc>
      </w:tr>
    </w:tbl>
    <w:p w14:paraId="7E67F29B">
      <w:pPr>
        <w:pStyle w:val="17"/>
        <w:spacing w:line="240" w:lineRule="atLeast"/>
        <w:ind w:left="1080" w:leftChars="257" w:hanging="540"/>
        <w:rPr>
          <w:rFonts w:hint="eastAsia" w:ascii="仿宋" w:hAnsi="仿宋" w:eastAsia="仿宋" w:cs="仿宋"/>
          <w:sz w:val="24"/>
        </w:rPr>
      </w:pPr>
    </w:p>
    <w:p w14:paraId="2AA8BE5D">
      <w:pPr>
        <w:pStyle w:val="17"/>
        <w:spacing w:line="240" w:lineRule="atLeast"/>
        <w:ind w:left="1080" w:leftChars="257" w:hanging="540"/>
        <w:rPr>
          <w:rFonts w:hint="eastAsia" w:ascii="仿宋" w:hAnsi="仿宋" w:eastAsia="仿宋" w:cs="仿宋"/>
          <w:sz w:val="24"/>
        </w:rPr>
      </w:pPr>
    </w:p>
    <w:p w14:paraId="64DFA79B">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sz w:val="24"/>
          <w:lang w:eastAsia="zh-CN"/>
        </w:rPr>
        <w:t>（电子签章）</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324688DC">
      <w:pPr>
        <w:pStyle w:val="17"/>
        <w:tabs>
          <w:tab w:val="left" w:pos="5370"/>
        </w:tabs>
        <w:spacing w:line="240" w:lineRule="atLeast"/>
        <w:ind w:left="1080" w:leftChars="257" w:hanging="540"/>
        <w:rPr>
          <w:rFonts w:hint="eastAsia" w:ascii="仿宋" w:hAnsi="仿宋" w:eastAsia="仿宋" w:cs="仿宋"/>
          <w:sz w:val="24"/>
          <w:u w:val="single"/>
        </w:rPr>
      </w:pPr>
      <w:r>
        <w:rPr>
          <w:rFonts w:hint="eastAsia" w:ascii="仿宋" w:hAnsi="仿宋" w:eastAsia="仿宋" w:cs="仿宋"/>
          <w:sz w:val="24"/>
        </w:rPr>
        <w:t>投标人(</w:t>
      </w:r>
      <w:r>
        <w:rPr>
          <w:rFonts w:hint="eastAsia" w:ascii="仿宋" w:hAnsi="仿宋" w:eastAsia="仿宋" w:cs="仿宋"/>
          <w:color w:val="auto"/>
          <w:sz w:val="24"/>
          <w:highlight w:val="none"/>
          <w:lang w:eastAsia="zh-CN"/>
        </w:rPr>
        <w:t>电子签章</w:t>
      </w:r>
      <w:r>
        <w:rPr>
          <w:rFonts w:hint="eastAsia" w:ascii="仿宋" w:hAnsi="仿宋" w:eastAsia="仿宋" w:cs="仿宋"/>
          <w:sz w:val="24"/>
        </w:rPr>
        <w:t>):</w:t>
      </w:r>
      <w:r>
        <w:rPr>
          <w:rFonts w:hint="eastAsia" w:ascii="仿宋" w:hAnsi="仿宋" w:eastAsia="仿宋" w:cs="仿宋"/>
          <w:sz w:val="24"/>
          <w:u w:val="single"/>
        </w:rPr>
        <w:tab/>
      </w:r>
    </w:p>
    <w:p w14:paraId="64B7692A">
      <w:pPr>
        <w:pStyle w:val="17"/>
        <w:spacing w:line="240" w:lineRule="atLeast"/>
        <w:rPr>
          <w:rFonts w:hint="eastAsia" w:ascii="仿宋" w:hAnsi="仿宋" w:eastAsia="仿宋" w:cs="仿宋"/>
          <w:sz w:val="24"/>
        </w:rPr>
      </w:pPr>
    </w:p>
    <w:p w14:paraId="323F6BF8">
      <w:pPr>
        <w:pStyle w:val="17"/>
        <w:spacing w:line="240" w:lineRule="atLeast"/>
        <w:rPr>
          <w:rFonts w:hint="eastAsia" w:ascii="仿宋" w:hAnsi="仿宋" w:eastAsia="仿宋" w:cs="仿宋"/>
          <w:sz w:val="24"/>
        </w:rPr>
      </w:pPr>
    </w:p>
    <w:p w14:paraId="2BC81D69">
      <w:pPr>
        <w:pStyle w:val="17"/>
        <w:spacing w:line="240" w:lineRule="atLeast"/>
        <w:rPr>
          <w:rFonts w:hint="eastAsia" w:ascii="仿宋" w:hAnsi="仿宋" w:eastAsia="仿宋" w:cs="仿宋"/>
          <w:sz w:val="24"/>
        </w:rPr>
      </w:pPr>
    </w:p>
    <w:p w14:paraId="176A95FC">
      <w:pPr>
        <w:pStyle w:val="17"/>
        <w:spacing w:line="240" w:lineRule="atLeast"/>
        <w:rPr>
          <w:rFonts w:hint="eastAsia" w:ascii="仿宋" w:hAnsi="仿宋" w:eastAsia="仿宋" w:cs="仿宋"/>
          <w:sz w:val="24"/>
        </w:rPr>
      </w:pPr>
    </w:p>
    <w:p w14:paraId="782EE385">
      <w:pPr>
        <w:pStyle w:val="17"/>
        <w:spacing w:line="240" w:lineRule="atLeast"/>
        <w:rPr>
          <w:rFonts w:hint="eastAsia" w:ascii="仿宋" w:hAnsi="仿宋" w:eastAsia="仿宋" w:cs="仿宋"/>
          <w:sz w:val="24"/>
        </w:rPr>
      </w:pPr>
    </w:p>
    <w:p w14:paraId="0C33E87E">
      <w:pPr>
        <w:pStyle w:val="4"/>
        <w:bidi w:val="0"/>
        <w:rPr>
          <w:rFonts w:hint="eastAsia" w:ascii="仿宋" w:hAnsi="仿宋" w:eastAsia="仿宋" w:cs="仿宋"/>
        </w:rPr>
      </w:pPr>
      <w:bookmarkStart w:id="346" w:name="_Hlt520350957"/>
      <w:bookmarkEnd w:id="346"/>
      <w:bookmarkStart w:id="347" w:name="_Hlt520271212"/>
      <w:bookmarkEnd w:id="347"/>
      <w:bookmarkStart w:id="348" w:name="_Hlt520273711"/>
      <w:bookmarkEnd w:id="348"/>
      <w:bookmarkStart w:id="349" w:name="_Hlt520274393"/>
      <w:bookmarkEnd w:id="349"/>
      <w:bookmarkStart w:id="350" w:name="_Hlt520274407"/>
      <w:bookmarkEnd w:id="350"/>
      <w:bookmarkStart w:id="351" w:name="_Hlt520273973"/>
      <w:bookmarkEnd w:id="351"/>
      <w:bookmarkStart w:id="352" w:name="_Hlt520350918"/>
      <w:bookmarkEnd w:id="352"/>
      <w:bookmarkStart w:id="353" w:name="_Hlt520343000"/>
      <w:bookmarkEnd w:id="353"/>
      <w:bookmarkStart w:id="354" w:name="_Hlt520274911"/>
      <w:bookmarkEnd w:id="354"/>
      <w:bookmarkStart w:id="355" w:name="_Hlt520343392"/>
      <w:bookmarkEnd w:id="355"/>
      <w:bookmarkStart w:id="356" w:name="_Hlt520274065"/>
      <w:bookmarkEnd w:id="356"/>
      <w:bookmarkStart w:id="357" w:name="_Toc10725"/>
      <w:bookmarkStart w:id="358" w:name="_Toc21312"/>
      <w:bookmarkStart w:id="359" w:name="_Toc2725"/>
      <w:bookmarkStart w:id="360" w:name="_Toc745"/>
      <w:bookmarkStart w:id="361" w:name="_Toc515647823"/>
      <w:r>
        <w:rPr>
          <w:rFonts w:hint="eastAsia" w:ascii="仿宋" w:hAnsi="仿宋" w:eastAsia="仿宋" w:cs="仿宋"/>
          <w:sz w:val="24"/>
          <w:szCs w:val="24"/>
        </w:rPr>
        <w:t>7</w:t>
      </w:r>
      <w:r>
        <w:rPr>
          <w:rFonts w:hint="eastAsia" w:ascii="仿宋" w:hAnsi="仿宋" w:eastAsia="仿宋" w:cs="仿宋"/>
          <w:sz w:val="24"/>
          <w:szCs w:val="24"/>
          <w:lang w:val="en-US" w:eastAsia="zh-CN"/>
        </w:rPr>
        <w:t>-1</w:t>
      </w:r>
      <w:r>
        <w:rPr>
          <w:rFonts w:hint="eastAsia" w:ascii="仿宋" w:hAnsi="仿宋" w:eastAsia="仿宋" w:cs="仿宋"/>
          <w:sz w:val="24"/>
          <w:szCs w:val="24"/>
        </w:rPr>
        <w:t xml:space="preserve"> </w:t>
      </w:r>
      <w:bookmarkEnd w:id="357"/>
      <w:bookmarkEnd w:id="358"/>
      <w:bookmarkEnd w:id="359"/>
      <w:bookmarkEnd w:id="360"/>
      <w:bookmarkEnd w:id="361"/>
      <w:bookmarkStart w:id="362" w:name="_Toc6312"/>
      <w:r>
        <w:rPr>
          <w:rFonts w:hint="eastAsia" w:ascii="仿宋" w:hAnsi="仿宋" w:eastAsia="仿宋" w:cs="仿宋"/>
          <w:b/>
          <w:sz w:val="24"/>
        </w:rPr>
        <w:t>中小企业声明函（货物）</w:t>
      </w:r>
      <w:bookmarkEnd w:id="362"/>
      <w:r>
        <w:rPr>
          <w:rFonts w:hint="eastAsia" w:ascii="仿宋" w:hAnsi="仿宋" w:eastAsia="仿宋" w:cs="仿宋"/>
          <w:sz w:val="24"/>
          <w:szCs w:val="24"/>
        </w:rPr>
        <w:t>（投标文件格式十</w:t>
      </w:r>
      <w:r>
        <w:rPr>
          <w:rFonts w:hint="eastAsia" w:ascii="仿宋" w:hAnsi="仿宋" w:eastAsia="仿宋" w:cs="仿宋"/>
          <w:sz w:val="24"/>
          <w:szCs w:val="24"/>
          <w:lang w:eastAsia="zh-CN"/>
        </w:rPr>
        <w:t>一</w:t>
      </w:r>
      <w:r>
        <w:rPr>
          <w:rFonts w:hint="eastAsia" w:ascii="仿宋" w:hAnsi="仿宋" w:eastAsia="仿宋" w:cs="仿宋"/>
          <w:sz w:val="24"/>
          <w:szCs w:val="24"/>
        </w:rPr>
        <w:t>）</w:t>
      </w:r>
    </w:p>
    <w:p w14:paraId="34895AEC">
      <w:pPr>
        <w:pStyle w:val="12"/>
        <w:spacing w:before="55" w:line="360" w:lineRule="auto"/>
        <w:ind w:right="415" w:firstLine="64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本公司郑重声明，根据《政府采购促进中小企业发展管理办法》（财库﹝2020﹞46 号）的规定，本公司参加</w:t>
      </w:r>
      <w:r>
        <w:rPr>
          <w:rFonts w:hint="eastAsia" w:ascii="仿宋" w:hAnsi="仿宋" w:eastAsia="仿宋" w:cs="仿宋"/>
          <w:kern w:val="2"/>
          <w:sz w:val="24"/>
          <w:szCs w:val="20"/>
          <w:u w:val="single"/>
          <w:lang w:val="en-US" w:eastAsia="zh-CN" w:bidi="ar-SA"/>
        </w:rPr>
        <w:t xml:space="preserve"> （单位名称）</w:t>
      </w:r>
      <w:r>
        <w:rPr>
          <w:rFonts w:hint="eastAsia" w:ascii="仿宋" w:hAnsi="仿宋" w:eastAsia="仿宋" w:cs="仿宋"/>
          <w:kern w:val="2"/>
          <w:sz w:val="24"/>
          <w:szCs w:val="20"/>
          <w:lang w:val="en-US" w:eastAsia="zh-CN" w:bidi="ar-SA"/>
        </w:rPr>
        <w:t xml:space="preserve"> 的</w:t>
      </w:r>
      <w:r>
        <w:rPr>
          <w:rFonts w:hint="eastAsia" w:ascii="仿宋" w:hAnsi="仿宋" w:eastAsia="仿宋" w:cs="仿宋"/>
          <w:kern w:val="2"/>
          <w:sz w:val="24"/>
          <w:szCs w:val="20"/>
          <w:u w:val="single"/>
          <w:lang w:val="en-US" w:eastAsia="zh-CN" w:bidi="ar-SA"/>
        </w:rPr>
        <w:t xml:space="preserve"> （项目名称） </w:t>
      </w:r>
      <w:r>
        <w:rPr>
          <w:rFonts w:hint="eastAsia" w:ascii="仿宋" w:hAnsi="仿宋" w:eastAsia="仿宋" w:cs="仿宋"/>
          <w:kern w:val="2"/>
          <w:sz w:val="24"/>
          <w:szCs w:val="20"/>
          <w:lang w:val="en-US" w:eastAsia="zh-CN" w:bidi="ar-SA"/>
        </w:rPr>
        <w:t>采购活动，提供的货物全部由符合政策要求的中小企业制造。相关企业（含联合体中的中小企业、签订分包意向协议的中小企业） 的具体情况如下：</w:t>
      </w:r>
    </w:p>
    <w:p w14:paraId="1B20E07B">
      <w:pPr>
        <w:pStyle w:val="12"/>
        <w:numPr>
          <w:ilvl w:val="0"/>
          <w:numId w:val="8"/>
        </w:numPr>
        <w:spacing w:before="55" w:line="360" w:lineRule="auto"/>
        <w:ind w:right="415" w:firstLine="64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w:t>
      </w:r>
      <w:r>
        <w:rPr>
          <w:rFonts w:hint="eastAsia" w:ascii="仿宋" w:hAnsi="仿宋" w:eastAsia="仿宋" w:cs="仿宋"/>
          <w:kern w:val="2"/>
          <w:sz w:val="24"/>
          <w:szCs w:val="20"/>
          <w:u w:val="single"/>
          <w:lang w:val="en-US" w:eastAsia="zh-CN" w:bidi="ar-SA"/>
        </w:rPr>
        <w:t>标的名称</w:t>
      </w:r>
      <w:r>
        <w:rPr>
          <w:rFonts w:hint="eastAsia" w:ascii="仿宋" w:hAnsi="仿宋" w:eastAsia="仿宋" w:cs="仿宋"/>
          <w:kern w:val="2"/>
          <w:sz w:val="24"/>
          <w:szCs w:val="20"/>
          <w:lang w:val="en-US" w:eastAsia="zh-CN" w:bidi="ar-SA"/>
        </w:rPr>
        <w:t>） ，属于 （</w:t>
      </w:r>
      <w:r>
        <w:rPr>
          <w:rFonts w:hint="eastAsia" w:ascii="仿宋" w:hAnsi="仿宋" w:eastAsia="仿宋" w:cs="仿宋"/>
          <w:kern w:val="2"/>
          <w:sz w:val="24"/>
          <w:szCs w:val="20"/>
          <w:u w:val="single"/>
          <w:lang w:val="en-US" w:eastAsia="zh-CN" w:bidi="ar-SA"/>
        </w:rPr>
        <w:t>采购文件中明确的所属行业</w:t>
      </w:r>
      <w:r>
        <w:rPr>
          <w:rFonts w:hint="eastAsia" w:ascii="仿宋" w:hAnsi="仿宋" w:eastAsia="仿宋" w:cs="仿宋"/>
          <w:kern w:val="2"/>
          <w:sz w:val="24"/>
          <w:szCs w:val="20"/>
          <w:lang w:val="en-US" w:eastAsia="zh-CN" w:bidi="ar-SA"/>
        </w:rPr>
        <w:t>）行业；制造商为 （</w:t>
      </w:r>
      <w:r>
        <w:rPr>
          <w:rFonts w:hint="eastAsia" w:ascii="仿宋" w:hAnsi="仿宋" w:eastAsia="仿宋" w:cs="仿宋"/>
          <w:kern w:val="2"/>
          <w:sz w:val="24"/>
          <w:szCs w:val="20"/>
          <w:u w:val="single"/>
          <w:lang w:val="en-US" w:eastAsia="zh-CN" w:bidi="ar-SA"/>
        </w:rPr>
        <w:t>企业名称</w:t>
      </w:r>
      <w:r>
        <w:rPr>
          <w:rFonts w:hint="eastAsia" w:ascii="仿宋" w:hAnsi="仿宋" w:eastAsia="仿宋" w:cs="仿宋"/>
          <w:kern w:val="2"/>
          <w:sz w:val="24"/>
          <w:szCs w:val="20"/>
          <w:lang w:val="en-US" w:eastAsia="zh-CN" w:bidi="ar-SA"/>
        </w:rPr>
        <w:t>），从业人员</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人，营业收入为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万元，资产总额为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 xml:space="preserve">万元，属于 </w:t>
      </w:r>
      <w:r>
        <w:rPr>
          <w:rFonts w:hint="eastAsia" w:ascii="仿宋" w:hAnsi="仿宋" w:eastAsia="仿宋" w:cs="仿宋"/>
          <w:kern w:val="2"/>
          <w:sz w:val="24"/>
          <w:szCs w:val="20"/>
          <w:u w:val="single"/>
          <w:lang w:val="en-US" w:eastAsia="zh-CN" w:bidi="ar-SA"/>
        </w:rPr>
        <w:t>（中型企业、小型企业、微型企业）</w:t>
      </w:r>
      <w:r>
        <w:rPr>
          <w:rFonts w:hint="eastAsia" w:ascii="仿宋" w:hAnsi="仿宋" w:eastAsia="仿宋" w:cs="仿宋"/>
          <w:kern w:val="2"/>
          <w:sz w:val="24"/>
          <w:szCs w:val="20"/>
          <w:lang w:val="en-US" w:eastAsia="zh-CN" w:bidi="ar-SA"/>
        </w:rPr>
        <w:t>；</w:t>
      </w:r>
    </w:p>
    <w:p w14:paraId="75B609F1">
      <w:pPr>
        <w:pStyle w:val="12"/>
        <w:numPr>
          <w:ilvl w:val="0"/>
          <w:numId w:val="8"/>
        </w:numPr>
        <w:spacing w:before="55" w:line="360" w:lineRule="auto"/>
        <w:ind w:right="415" w:firstLine="64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w:t>
      </w:r>
      <w:r>
        <w:rPr>
          <w:rFonts w:hint="eastAsia" w:ascii="仿宋" w:hAnsi="仿宋" w:eastAsia="仿宋" w:cs="仿宋"/>
          <w:kern w:val="2"/>
          <w:sz w:val="24"/>
          <w:szCs w:val="20"/>
          <w:u w:val="single"/>
          <w:lang w:val="en-US" w:eastAsia="zh-CN" w:bidi="ar-SA"/>
        </w:rPr>
        <w:t>标的名称</w:t>
      </w:r>
      <w:r>
        <w:rPr>
          <w:rFonts w:hint="eastAsia" w:ascii="仿宋" w:hAnsi="仿宋" w:eastAsia="仿宋" w:cs="仿宋"/>
          <w:kern w:val="2"/>
          <w:sz w:val="24"/>
          <w:szCs w:val="20"/>
          <w:lang w:val="en-US" w:eastAsia="zh-CN" w:bidi="ar-SA"/>
        </w:rPr>
        <w:t>） ，属于 （</w:t>
      </w:r>
      <w:r>
        <w:rPr>
          <w:rFonts w:hint="eastAsia" w:ascii="仿宋" w:hAnsi="仿宋" w:eastAsia="仿宋" w:cs="仿宋"/>
          <w:kern w:val="2"/>
          <w:sz w:val="24"/>
          <w:szCs w:val="20"/>
          <w:u w:val="single"/>
          <w:lang w:val="en-US" w:eastAsia="zh-CN" w:bidi="ar-SA"/>
        </w:rPr>
        <w:t>采购文件中明确的所属行业</w:t>
      </w:r>
      <w:r>
        <w:rPr>
          <w:rFonts w:hint="eastAsia" w:ascii="仿宋" w:hAnsi="仿宋" w:eastAsia="仿宋" w:cs="仿宋"/>
          <w:kern w:val="2"/>
          <w:sz w:val="24"/>
          <w:szCs w:val="20"/>
          <w:lang w:val="en-US" w:eastAsia="zh-CN" w:bidi="ar-SA"/>
        </w:rPr>
        <w:t>）行业；制造商为 （</w:t>
      </w:r>
      <w:r>
        <w:rPr>
          <w:rFonts w:hint="eastAsia" w:ascii="仿宋" w:hAnsi="仿宋" w:eastAsia="仿宋" w:cs="仿宋"/>
          <w:kern w:val="2"/>
          <w:sz w:val="24"/>
          <w:szCs w:val="20"/>
          <w:u w:val="single"/>
          <w:lang w:val="en-US" w:eastAsia="zh-CN" w:bidi="ar-SA"/>
        </w:rPr>
        <w:t>企业名称）</w:t>
      </w:r>
      <w:r>
        <w:rPr>
          <w:rFonts w:hint="eastAsia" w:ascii="仿宋" w:hAnsi="仿宋" w:eastAsia="仿宋" w:cs="仿宋"/>
          <w:kern w:val="2"/>
          <w:sz w:val="24"/>
          <w:szCs w:val="20"/>
          <w:lang w:val="en-US" w:eastAsia="zh-CN" w:bidi="ar-SA"/>
        </w:rPr>
        <w:t>，从业人员</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人，营业收入为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万元，资产总额为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 xml:space="preserve">万元，属于 </w:t>
      </w:r>
      <w:r>
        <w:rPr>
          <w:rFonts w:hint="eastAsia" w:ascii="仿宋" w:hAnsi="仿宋" w:eastAsia="仿宋" w:cs="仿宋"/>
          <w:kern w:val="2"/>
          <w:sz w:val="24"/>
          <w:szCs w:val="20"/>
          <w:u w:val="single"/>
          <w:lang w:val="en-US" w:eastAsia="zh-CN" w:bidi="ar-SA"/>
        </w:rPr>
        <w:t>（中型企业、小型企业、微型企业）</w:t>
      </w:r>
      <w:r>
        <w:rPr>
          <w:rFonts w:hint="eastAsia" w:ascii="仿宋" w:hAnsi="仿宋" w:eastAsia="仿宋" w:cs="仿宋"/>
          <w:kern w:val="2"/>
          <w:sz w:val="24"/>
          <w:szCs w:val="20"/>
          <w:lang w:val="en-US" w:eastAsia="zh-CN" w:bidi="ar-SA"/>
        </w:rPr>
        <w:t>；</w:t>
      </w:r>
    </w:p>
    <w:p w14:paraId="024FD4DB">
      <w:pPr>
        <w:pStyle w:val="12"/>
        <w:spacing w:line="360" w:lineRule="auto"/>
        <w:ind w:left="86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w:t>
      </w:r>
    </w:p>
    <w:p w14:paraId="6A996F15">
      <w:pPr>
        <w:pStyle w:val="12"/>
        <w:spacing w:before="105" w:line="360" w:lineRule="auto"/>
        <w:ind w:right="417" w:firstLine="645"/>
        <w:jc w:val="both"/>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以上企业，不属于大企业的分支机构，不存在控股股东为大企业的情形，也不存在与大企业的负责人为同一人的情形。</w:t>
      </w:r>
    </w:p>
    <w:p w14:paraId="7D5020D9">
      <w:pPr>
        <w:pStyle w:val="12"/>
        <w:spacing w:line="360" w:lineRule="auto"/>
        <w:ind w:right="372" w:firstLine="645"/>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本企业对上述声明内容的真实性负责。如有虚假，将依法承担相应责任。</w:t>
      </w:r>
    </w:p>
    <w:p w14:paraId="27A2492D">
      <w:pPr>
        <w:pStyle w:val="12"/>
        <w:tabs>
          <w:tab w:val="right" w:pos="4609"/>
          <w:tab w:val="clear" w:pos="567"/>
        </w:tabs>
        <w:spacing w:before="35" w:line="360" w:lineRule="auto"/>
        <w:ind w:left="4060" w:right="2166"/>
        <w:rPr>
          <w:rFonts w:hint="eastAsia" w:ascii="仿宋" w:hAnsi="仿宋" w:eastAsia="仿宋" w:cs="仿宋"/>
          <w:kern w:val="2"/>
          <w:sz w:val="24"/>
          <w:szCs w:val="20"/>
          <w:lang w:val="en-US" w:eastAsia="zh-CN" w:bidi="ar-SA"/>
        </w:rPr>
      </w:pPr>
    </w:p>
    <w:p w14:paraId="17AA68A2">
      <w:pPr>
        <w:pStyle w:val="17"/>
        <w:spacing w:line="240" w:lineRule="atLeast"/>
        <w:ind w:left="1080" w:leftChars="257" w:hanging="540"/>
        <w:rPr>
          <w:rFonts w:hint="eastAsia"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sz w:val="24"/>
          <w:lang w:eastAsia="zh-CN"/>
        </w:rPr>
        <w:t>（电子签章）</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65193F5C">
      <w:pPr>
        <w:pStyle w:val="17"/>
        <w:tabs>
          <w:tab w:val="left" w:pos="5370"/>
        </w:tabs>
        <w:spacing w:line="240" w:lineRule="atLeast"/>
        <w:ind w:left="1080" w:leftChars="257" w:hanging="540"/>
        <w:rPr>
          <w:rFonts w:hint="eastAsia" w:ascii="仿宋" w:hAnsi="仿宋" w:eastAsia="仿宋" w:cs="仿宋"/>
          <w:sz w:val="24"/>
          <w:u w:val="single"/>
        </w:rPr>
      </w:pPr>
      <w:r>
        <w:rPr>
          <w:rFonts w:hint="eastAsia" w:ascii="仿宋" w:hAnsi="仿宋" w:eastAsia="仿宋" w:cs="仿宋"/>
          <w:sz w:val="24"/>
        </w:rPr>
        <w:t>投标人(电子签章):</w:t>
      </w:r>
      <w:r>
        <w:rPr>
          <w:rFonts w:hint="eastAsia" w:ascii="仿宋" w:hAnsi="仿宋" w:eastAsia="仿宋" w:cs="仿宋"/>
          <w:sz w:val="24"/>
          <w:u w:val="single"/>
        </w:rPr>
        <w:tab/>
      </w:r>
    </w:p>
    <w:p w14:paraId="5F0F859E">
      <w:pPr>
        <w:pStyle w:val="12"/>
        <w:spacing w:before="35" w:line="360" w:lineRule="auto"/>
        <w:ind w:left="4060" w:right="2166"/>
        <w:rPr>
          <w:rFonts w:hint="eastAsia" w:ascii="仿宋" w:hAnsi="仿宋" w:eastAsia="仿宋" w:cs="仿宋"/>
          <w:kern w:val="2"/>
          <w:sz w:val="24"/>
          <w:szCs w:val="20"/>
          <w:lang w:val="en-US" w:eastAsia="zh-CN" w:bidi="ar-SA"/>
        </w:rPr>
      </w:pPr>
    </w:p>
    <w:p w14:paraId="40A8C39D">
      <w:pPr>
        <w:pStyle w:val="12"/>
        <w:spacing w:before="35" w:line="360" w:lineRule="auto"/>
        <w:ind w:left="4060" w:right="2166"/>
        <w:rPr>
          <w:rFonts w:hint="eastAsia" w:ascii="仿宋" w:hAnsi="仿宋" w:eastAsia="仿宋" w:cs="仿宋"/>
          <w:kern w:val="2"/>
          <w:sz w:val="24"/>
          <w:szCs w:val="20"/>
          <w:lang w:val="en-US" w:eastAsia="zh-CN" w:bidi="ar-SA"/>
        </w:rPr>
      </w:pPr>
    </w:p>
    <w:p w14:paraId="0B8EA10B">
      <w:pPr>
        <w:pStyle w:val="12"/>
        <w:spacing w:before="35" w:line="360" w:lineRule="auto"/>
        <w:ind w:left="4060" w:right="2166"/>
        <w:rPr>
          <w:rFonts w:hint="eastAsia" w:ascii="仿宋" w:hAnsi="仿宋" w:eastAsia="仿宋" w:cs="仿宋"/>
          <w:kern w:val="2"/>
          <w:sz w:val="24"/>
          <w:szCs w:val="20"/>
          <w:lang w:val="en-US" w:eastAsia="zh-CN" w:bidi="ar-SA"/>
        </w:rPr>
      </w:pPr>
    </w:p>
    <w:p w14:paraId="77DFC71D">
      <w:pPr>
        <w:pStyle w:val="12"/>
        <w:spacing w:before="35" w:line="360" w:lineRule="auto"/>
        <w:ind w:left="4060" w:right="2166"/>
        <w:rPr>
          <w:rFonts w:hint="eastAsia" w:ascii="仿宋" w:hAnsi="仿宋" w:eastAsia="仿宋" w:cs="仿宋"/>
          <w:kern w:val="2"/>
          <w:sz w:val="24"/>
          <w:szCs w:val="20"/>
          <w:lang w:val="en-US" w:eastAsia="zh-CN" w:bidi="ar-SA"/>
        </w:rPr>
      </w:pPr>
    </w:p>
    <w:p w14:paraId="7EC12BB7">
      <w:pPr>
        <w:pStyle w:val="12"/>
        <w:spacing w:before="35" w:line="360" w:lineRule="auto"/>
        <w:ind w:left="4060" w:right="2166"/>
        <w:rPr>
          <w:rFonts w:hint="eastAsia" w:ascii="仿宋" w:hAnsi="仿宋" w:eastAsia="仿宋" w:cs="仿宋"/>
          <w:kern w:val="2"/>
          <w:sz w:val="24"/>
          <w:szCs w:val="20"/>
          <w:lang w:val="en-US" w:eastAsia="zh-CN" w:bidi="ar-SA"/>
        </w:rPr>
      </w:pPr>
    </w:p>
    <w:p w14:paraId="2E28B2D6">
      <w:pPr>
        <w:bidi w:val="0"/>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注：从业人员、营业收入、资产总额填报上一年度数据，无上一年度数据的新成立企业可不填报。</w:t>
      </w:r>
    </w:p>
    <w:p w14:paraId="707F4B04">
      <w:pPr>
        <w:spacing w:before="56" w:line="235" w:lineRule="auto"/>
        <w:ind w:left="18"/>
        <w:jc w:val="center"/>
        <w:outlineLvl w:val="2"/>
        <w:rPr>
          <w:rFonts w:hint="eastAsia" w:ascii="仿宋" w:hAnsi="仿宋" w:eastAsia="仿宋" w:cs="仿宋"/>
          <w:sz w:val="24"/>
        </w:rPr>
      </w:pPr>
      <w:r>
        <w:rPr>
          <w:rFonts w:hint="eastAsia" w:ascii="仿宋" w:hAnsi="仿宋" w:eastAsia="仿宋" w:cs="仿宋"/>
          <w:kern w:val="0"/>
          <w:sz w:val="24"/>
        </w:rPr>
        <w:br w:type="page"/>
      </w:r>
      <w:bookmarkStart w:id="363" w:name="_Toc28185"/>
      <w:bookmarkStart w:id="364" w:name="_Toc515647825"/>
      <w:bookmarkStart w:id="365" w:name="_Toc19284"/>
      <w:bookmarkStart w:id="366" w:name="_Toc23068"/>
      <w:bookmarkStart w:id="367" w:name="_Toc12407"/>
      <w:bookmarkStart w:id="368" w:name="OLE_LINK13"/>
      <w:bookmarkStart w:id="369" w:name="OLE_LINK14"/>
      <w:r>
        <w:rPr>
          <w:rFonts w:hint="eastAsia" w:ascii="仿宋" w:hAnsi="仿宋" w:eastAsia="仿宋" w:cs="仿宋"/>
          <w:b/>
          <w:kern w:val="0"/>
          <w:sz w:val="24"/>
          <w:szCs w:val="24"/>
          <w:lang w:val="en-US" w:eastAsia="zh-CN" w:bidi="ar-SA"/>
        </w:rPr>
        <w:t>7-2  残疾人福利性单位声明函</w:t>
      </w:r>
      <w:bookmarkEnd w:id="363"/>
      <w:bookmarkEnd w:id="364"/>
      <w:bookmarkEnd w:id="365"/>
      <w:bookmarkEnd w:id="366"/>
      <w:bookmarkEnd w:id="367"/>
      <w:r>
        <w:rPr>
          <w:rFonts w:hint="eastAsia" w:ascii="仿宋" w:hAnsi="仿宋" w:eastAsia="仿宋" w:cs="仿宋"/>
          <w:b/>
          <w:kern w:val="0"/>
          <w:sz w:val="24"/>
          <w:szCs w:val="24"/>
          <w:lang w:val="en-US" w:eastAsia="zh-CN" w:bidi="ar-SA"/>
        </w:rPr>
        <w:t>（投标文件格式十二）</w:t>
      </w:r>
    </w:p>
    <w:bookmarkEnd w:id="368"/>
    <w:bookmarkEnd w:id="369"/>
    <w:p w14:paraId="77FC9242">
      <w:pPr>
        <w:spacing w:line="240" w:lineRule="atLeast"/>
        <w:ind w:left="1080" w:leftChars="257" w:hanging="540"/>
        <w:jc w:val="center"/>
        <w:rPr>
          <w:rFonts w:hint="eastAsia" w:ascii="仿宋" w:hAnsi="仿宋" w:eastAsia="仿宋" w:cs="仿宋"/>
          <w:kern w:val="0"/>
          <w:sz w:val="24"/>
          <w:szCs w:val="20"/>
        </w:rPr>
      </w:pPr>
    </w:p>
    <w:p w14:paraId="08F5B4BE">
      <w:pPr>
        <w:spacing w:line="240" w:lineRule="atLeast"/>
        <w:ind w:firstLine="567"/>
        <w:rPr>
          <w:rFonts w:hint="eastAsia" w:ascii="仿宋" w:hAnsi="仿宋" w:eastAsia="仿宋" w:cs="仿宋"/>
          <w:kern w:val="0"/>
          <w:sz w:val="24"/>
          <w:szCs w:val="20"/>
        </w:rPr>
      </w:pPr>
      <w:r>
        <w:rPr>
          <w:rFonts w:hint="eastAsia" w:ascii="仿宋" w:hAnsi="仿宋" w:eastAsia="仿宋" w:cs="仿宋"/>
          <w:kern w:val="0"/>
          <w:sz w:val="24"/>
          <w:szCs w:val="20"/>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5B56416B">
      <w:pPr>
        <w:spacing w:line="240" w:lineRule="atLeast"/>
        <w:ind w:left="1080" w:leftChars="257" w:hanging="540"/>
        <w:rPr>
          <w:rFonts w:hint="eastAsia" w:ascii="仿宋" w:hAnsi="仿宋" w:eastAsia="仿宋" w:cs="仿宋"/>
          <w:kern w:val="0"/>
          <w:sz w:val="24"/>
          <w:szCs w:val="20"/>
        </w:rPr>
      </w:pPr>
      <w:r>
        <w:rPr>
          <w:rFonts w:hint="eastAsia" w:ascii="仿宋" w:hAnsi="仿宋" w:eastAsia="仿宋" w:cs="仿宋"/>
          <w:kern w:val="0"/>
          <w:sz w:val="24"/>
          <w:szCs w:val="20"/>
        </w:rPr>
        <w:t>本单位对上述声明的真实性负责。如有虚假，将依法承担相应责任。</w:t>
      </w:r>
    </w:p>
    <w:p w14:paraId="0D2D0C5B">
      <w:pPr>
        <w:spacing w:line="240" w:lineRule="atLeast"/>
        <w:ind w:left="1080" w:leftChars="257" w:hanging="540"/>
        <w:jc w:val="center"/>
        <w:rPr>
          <w:rFonts w:hint="eastAsia" w:ascii="仿宋" w:hAnsi="仿宋" w:eastAsia="仿宋" w:cs="仿宋"/>
          <w:kern w:val="0"/>
          <w:sz w:val="24"/>
          <w:szCs w:val="20"/>
        </w:rPr>
      </w:pPr>
    </w:p>
    <w:p w14:paraId="1DFBACE2">
      <w:pPr>
        <w:spacing w:line="240" w:lineRule="atLeast"/>
        <w:ind w:left="1080" w:leftChars="257" w:hanging="540"/>
        <w:jc w:val="center"/>
        <w:rPr>
          <w:rFonts w:hint="eastAsia" w:ascii="仿宋" w:hAnsi="仿宋" w:eastAsia="仿宋" w:cs="仿宋"/>
          <w:kern w:val="0"/>
          <w:sz w:val="24"/>
          <w:szCs w:val="20"/>
        </w:rPr>
      </w:pPr>
    </w:p>
    <w:p w14:paraId="53B14DEC">
      <w:pPr>
        <w:spacing w:line="240" w:lineRule="atLeast"/>
        <w:ind w:left="1080" w:leftChars="257" w:hanging="540"/>
        <w:jc w:val="center"/>
        <w:rPr>
          <w:rFonts w:hint="eastAsia" w:ascii="仿宋" w:hAnsi="仿宋" w:eastAsia="仿宋" w:cs="仿宋"/>
          <w:kern w:val="0"/>
          <w:sz w:val="24"/>
          <w:szCs w:val="20"/>
        </w:rPr>
      </w:pPr>
      <w:r>
        <w:rPr>
          <w:rFonts w:hint="eastAsia" w:ascii="仿宋" w:hAnsi="仿宋" w:eastAsia="仿宋" w:cs="仿宋"/>
          <w:kern w:val="0"/>
          <w:sz w:val="24"/>
          <w:szCs w:val="20"/>
        </w:rPr>
        <w:t xml:space="preserve">              残疾人福利性单位名称（电子签章）：______________</w:t>
      </w:r>
    </w:p>
    <w:p w14:paraId="1D2CDBF1">
      <w:pPr>
        <w:spacing w:line="240" w:lineRule="atLeast"/>
        <w:ind w:left="1080" w:leftChars="257" w:hanging="540"/>
        <w:jc w:val="center"/>
        <w:rPr>
          <w:rFonts w:hint="eastAsia" w:ascii="仿宋" w:hAnsi="仿宋" w:eastAsia="仿宋" w:cs="仿宋"/>
          <w:kern w:val="0"/>
          <w:sz w:val="24"/>
          <w:szCs w:val="20"/>
        </w:rPr>
      </w:pPr>
      <w:r>
        <w:rPr>
          <w:rFonts w:hint="eastAsia" w:ascii="仿宋" w:hAnsi="仿宋" w:eastAsia="仿宋" w:cs="仿宋"/>
          <w:kern w:val="0"/>
          <w:sz w:val="24"/>
          <w:szCs w:val="20"/>
        </w:rPr>
        <w:t xml:space="preserve"> 日  期：___________________________</w:t>
      </w:r>
    </w:p>
    <w:p w14:paraId="16391349">
      <w:pPr>
        <w:spacing w:line="240" w:lineRule="atLeast"/>
        <w:ind w:left="1080" w:leftChars="257" w:hanging="540"/>
        <w:jc w:val="center"/>
        <w:rPr>
          <w:rFonts w:hint="eastAsia" w:ascii="仿宋" w:hAnsi="仿宋" w:eastAsia="仿宋" w:cs="仿宋"/>
          <w:b/>
          <w:kern w:val="0"/>
          <w:sz w:val="24"/>
          <w:szCs w:val="20"/>
        </w:rPr>
      </w:pPr>
    </w:p>
    <w:p w14:paraId="6DEA46B1">
      <w:pPr>
        <w:spacing w:line="240" w:lineRule="atLeast"/>
        <w:ind w:left="1080" w:leftChars="257" w:hanging="540"/>
        <w:jc w:val="center"/>
        <w:rPr>
          <w:rFonts w:hint="eastAsia" w:ascii="仿宋" w:hAnsi="仿宋" w:eastAsia="仿宋" w:cs="仿宋"/>
          <w:b/>
          <w:kern w:val="0"/>
          <w:sz w:val="24"/>
          <w:szCs w:val="20"/>
        </w:rPr>
      </w:pPr>
    </w:p>
    <w:p w14:paraId="14376884">
      <w:pPr>
        <w:spacing w:line="240" w:lineRule="atLeast"/>
        <w:ind w:left="1080" w:leftChars="257" w:hanging="540"/>
        <w:jc w:val="center"/>
        <w:rPr>
          <w:rFonts w:hint="eastAsia" w:ascii="仿宋" w:hAnsi="仿宋" w:eastAsia="仿宋" w:cs="仿宋"/>
          <w:b/>
          <w:kern w:val="0"/>
          <w:sz w:val="24"/>
          <w:szCs w:val="20"/>
        </w:rPr>
      </w:pPr>
    </w:p>
    <w:p w14:paraId="3D342327">
      <w:pPr>
        <w:spacing w:line="240" w:lineRule="atLeast"/>
        <w:ind w:left="1080" w:leftChars="257" w:hanging="540"/>
        <w:jc w:val="center"/>
        <w:rPr>
          <w:rFonts w:hint="eastAsia" w:ascii="仿宋" w:hAnsi="仿宋" w:eastAsia="仿宋" w:cs="仿宋"/>
          <w:b/>
          <w:kern w:val="0"/>
          <w:sz w:val="24"/>
          <w:szCs w:val="20"/>
        </w:rPr>
      </w:pPr>
    </w:p>
    <w:p w14:paraId="614FDF19">
      <w:pPr>
        <w:spacing w:line="240" w:lineRule="atLeast"/>
        <w:ind w:left="1080" w:leftChars="257" w:hanging="540"/>
        <w:jc w:val="center"/>
        <w:rPr>
          <w:rFonts w:hint="eastAsia" w:ascii="仿宋" w:hAnsi="仿宋" w:eastAsia="仿宋" w:cs="仿宋"/>
          <w:b/>
          <w:kern w:val="0"/>
          <w:sz w:val="24"/>
          <w:szCs w:val="20"/>
        </w:rPr>
      </w:pPr>
    </w:p>
    <w:p w14:paraId="4C56B6F6">
      <w:pPr>
        <w:spacing w:line="240" w:lineRule="atLeast"/>
        <w:ind w:left="1080" w:leftChars="257" w:hanging="540"/>
        <w:jc w:val="center"/>
        <w:rPr>
          <w:rFonts w:hint="eastAsia" w:ascii="仿宋" w:hAnsi="仿宋" w:eastAsia="仿宋" w:cs="仿宋"/>
          <w:b/>
          <w:kern w:val="0"/>
          <w:sz w:val="24"/>
          <w:szCs w:val="20"/>
        </w:rPr>
      </w:pPr>
    </w:p>
    <w:p w14:paraId="31397D15">
      <w:pPr>
        <w:spacing w:line="240" w:lineRule="atLeast"/>
        <w:ind w:left="1080" w:leftChars="257" w:hanging="540"/>
        <w:jc w:val="center"/>
        <w:rPr>
          <w:rFonts w:hint="eastAsia" w:ascii="仿宋" w:hAnsi="仿宋" w:eastAsia="仿宋" w:cs="仿宋"/>
          <w:b/>
          <w:kern w:val="0"/>
          <w:sz w:val="24"/>
          <w:szCs w:val="20"/>
        </w:rPr>
      </w:pPr>
    </w:p>
    <w:p w14:paraId="76D3CE9C">
      <w:pPr>
        <w:spacing w:line="240" w:lineRule="atLeast"/>
        <w:ind w:left="1080" w:leftChars="257" w:hanging="540"/>
        <w:jc w:val="center"/>
        <w:rPr>
          <w:rFonts w:hint="eastAsia" w:ascii="仿宋" w:hAnsi="仿宋" w:eastAsia="仿宋" w:cs="仿宋"/>
          <w:b/>
          <w:kern w:val="0"/>
          <w:sz w:val="24"/>
          <w:szCs w:val="20"/>
        </w:rPr>
      </w:pPr>
    </w:p>
    <w:p w14:paraId="0E0B16FA">
      <w:pPr>
        <w:spacing w:line="240" w:lineRule="atLeast"/>
        <w:ind w:left="1080" w:leftChars="257" w:hanging="540"/>
        <w:jc w:val="center"/>
        <w:rPr>
          <w:rFonts w:hint="eastAsia" w:ascii="仿宋" w:hAnsi="仿宋" w:eastAsia="仿宋" w:cs="仿宋"/>
          <w:b/>
          <w:kern w:val="0"/>
          <w:sz w:val="24"/>
          <w:szCs w:val="20"/>
        </w:rPr>
      </w:pPr>
    </w:p>
    <w:p w14:paraId="19D691D4">
      <w:pPr>
        <w:spacing w:line="240" w:lineRule="atLeast"/>
        <w:ind w:left="1080" w:leftChars="257" w:hanging="540"/>
        <w:jc w:val="center"/>
        <w:rPr>
          <w:rFonts w:hint="eastAsia" w:ascii="仿宋" w:hAnsi="仿宋" w:eastAsia="仿宋" w:cs="仿宋"/>
          <w:b/>
          <w:kern w:val="0"/>
          <w:sz w:val="24"/>
          <w:szCs w:val="20"/>
        </w:rPr>
      </w:pPr>
    </w:p>
    <w:p w14:paraId="22F97B56">
      <w:pPr>
        <w:spacing w:line="240" w:lineRule="atLeast"/>
        <w:ind w:left="1080" w:leftChars="257" w:hanging="540"/>
        <w:jc w:val="center"/>
        <w:rPr>
          <w:rFonts w:hint="eastAsia" w:ascii="仿宋" w:hAnsi="仿宋" w:eastAsia="仿宋" w:cs="仿宋"/>
          <w:b/>
          <w:kern w:val="0"/>
          <w:sz w:val="24"/>
          <w:szCs w:val="20"/>
        </w:rPr>
      </w:pPr>
    </w:p>
    <w:p w14:paraId="37409B85">
      <w:pPr>
        <w:spacing w:line="240" w:lineRule="atLeast"/>
        <w:ind w:left="1080" w:leftChars="257" w:hanging="540"/>
        <w:jc w:val="center"/>
        <w:rPr>
          <w:rFonts w:hint="eastAsia" w:ascii="仿宋" w:hAnsi="仿宋" w:eastAsia="仿宋" w:cs="仿宋"/>
          <w:b/>
          <w:kern w:val="0"/>
          <w:sz w:val="24"/>
          <w:szCs w:val="20"/>
        </w:rPr>
      </w:pPr>
    </w:p>
    <w:p w14:paraId="4C837D08">
      <w:pPr>
        <w:spacing w:line="240" w:lineRule="atLeast"/>
        <w:ind w:left="1080" w:leftChars="257" w:hanging="540"/>
        <w:jc w:val="center"/>
        <w:rPr>
          <w:rFonts w:hint="eastAsia" w:ascii="仿宋" w:hAnsi="仿宋" w:eastAsia="仿宋" w:cs="仿宋"/>
          <w:b/>
          <w:kern w:val="0"/>
          <w:sz w:val="24"/>
          <w:szCs w:val="20"/>
        </w:rPr>
      </w:pPr>
    </w:p>
    <w:p w14:paraId="7E8A1361">
      <w:pPr>
        <w:spacing w:line="240" w:lineRule="atLeast"/>
        <w:ind w:left="1080" w:leftChars="257" w:hanging="540"/>
        <w:jc w:val="center"/>
        <w:rPr>
          <w:rFonts w:hint="eastAsia" w:ascii="仿宋" w:hAnsi="仿宋" w:eastAsia="仿宋" w:cs="仿宋"/>
          <w:b/>
          <w:kern w:val="0"/>
          <w:sz w:val="24"/>
          <w:szCs w:val="20"/>
        </w:rPr>
      </w:pPr>
    </w:p>
    <w:p w14:paraId="688E30C4">
      <w:pPr>
        <w:spacing w:line="240" w:lineRule="atLeast"/>
        <w:ind w:left="1080" w:leftChars="257" w:hanging="540"/>
        <w:jc w:val="center"/>
        <w:rPr>
          <w:rFonts w:hint="eastAsia" w:ascii="仿宋" w:hAnsi="仿宋" w:eastAsia="仿宋" w:cs="仿宋"/>
          <w:b/>
          <w:kern w:val="0"/>
          <w:sz w:val="24"/>
          <w:szCs w:val="20"/>
        </w:rPr>
      </w:pPr>
    </w:p>
    <w:p w14:paraId="107669C1">
      <w:pPr>
        <w:spacing w:line="240" w:lineRule="atLeast"/>
        <w:ind w:left="1080" w:leftChars="257" w:hanging="540"/>
        <w:jc w:val="center"/>
        <w:rPr>
          <w:rFonts w:hint="eastAsia" w:ascii="仿宋" w:hAnsi="仿宋" w:eastAsia="仿宋" w:cs="仿宋"/>
          <w:b/>
          <w:kern w:val="0"/>
          <w:sz w:val="24"/>
          <w:szCs w:val="20"/>
        </w:rPr>
      </w:pPr>
    </w:p>
    <w:p w14:paraId="7A155283">
      <w:pPr>
        <w:spacing w:line="240" w:lineRule="atLeast"/>
        <w:ind w:left="1080" w:leftChars="257" w:hanging="540"/>
        <w:jc w:val="center"/>
        <w:rPr>
          <w:rFonts w:hint="eastAsia" w:ascii="仿宋" w:hAnsi="仿宋" w:eastAsia="仿宋" w:cs="仿宋"/>
          <w:b/>
          <w:kern w:val="0"/>
          <w:sz w:val="24"/>
          <w:szCs w:val="20"/>
        </w:rPr>
      </w:pPr>
    </w:p>
    <w:p w14:paraId="4DD49AB1">
      <w:pPr>
        <w:spacing w:line="240" w:lineRule="atLeast"/>
        <w:ind w:left="1080" w:leftChars="257" w:hanging="540"/>
        <w:jc w:val="center"/>
        <w:rPr>
          <w:rFonts w:hint="eastAsia" w:ascii="仿宋" w:hAnsi="仿宋" w:eastAsia="仿宋" w:cs="仿宋"/>
          <w:b/>
          <w:kern w:val="0"/>
          <w:sz w:val="24"/>
          <w:szCs w:val="20"/>
        </w:rPr>
      </w:pPr>
    </w:p>
    <w:p w14:paraId="7692DF5C">
      <w:pPr>
        <w:spacing w:line="240" w:lineRule="atLeast"/>
        <w:ind w:left="1080" w:leftChars="257" w:hanging="540"/>
        <w:jc w:val="center"/>
        <w:rPr>
          <w:rFonts w:hint="eastAsia" w:ascii="仿宋" w:hAnsi="仿宋" w:eastAsia="仿宋" w:cs="仿宋"/>
          <w:b/>
          <w:kern w:val="0"/>
          <w:sz w:val="24"/>
          <w:szCs w:val="20"/>
        </w:rPr>
      </w:pPr>
    </w:p>
    <w:p w14:paraId="7B30F388">
      <w:pPr>
        <w:spacing w:line="240" w:lineRule="atLeast"/>
        <w:ind w:left="1080" w:leftChars="257" w:hanging="540"/>
        <w:jc w:val="center"/>
        <w:rPr>
          <w:rFonts w:hint="eastAsia" w:ascii="仿宋" w:hAnsi="仿宋" w:eastAsia="仿宋" w:cs="仿宋"/>
          <w:b/>
          <w:kern w:val="0"/>
          <w:sz w:val="24"/>
          <w:szCs w:val="20"/>
        </w:rPr>
      </w:pPr>
    </w:p>
    <w:p w14:paraId="679B2ABB">
      <w:pPr>
        <w:spacing w:line="240" w:lineRule="atLeast"/>
        <w:ind w:left="1080" w:leftChars="257" w:hanging="540"/>
        <w:jc w:val="center"/>
        <w:rPr>
          <w:rFonts w:hint="eastAsia" w:ascii="仿宋" w:hAnsi="仿宋" w:eastAsia="仿宋" w:cs="仿宋"/>
          <w:b/>
          <w:kern w:val="0"/>
          <w:sz w:val="24"/>
          <w:szCs w:val="20"/>
        </w:rPr>
      </w:pPr>
    </w:p>
    <w:p w14:paraId="0CCFA43A">
      <w:pPr>
        <w:spacing w:line="240" w:lineRule="atLeast"/>
        <w:ind w:left="1080" w:leftChars="257" w:hanging="540"/>
        <w:jc w:val="center"/>
        <w:rPr>
          <w:rFonts w:hint="eastAsia" w:ascii="仿宋" w:hAnsi="仿宋" w:eastAsia="仿宋" w:cs="仿宋"/>
          <w:b/>
          <w:kern w:val="0"/>
          <w:sz w:val="24"/>
          <w:szCs w:val="20"/>
        </w:rPr>
      </w:pPr>
    </w:p>
    <w:p w14:paraId="716F8A17">
      <w:pPr>
        <w:spacing w:line="240" w:lineRule="atLeast"/>
        <w:ind w:left="1080" w:leftChars="257" w:hanging="540"/>
        <w:jc w:val="center"/>
        <w:rPr>
          <w:rFonts w:hint="eastAsia" w:ascii="仿宋" w:hAnsi="仿宋" w:eastAsia="仿宋" w:cs="仿宋"/>
          <w:b/>
          <w:kern w:val="0"/>
          <w:sz w:val="24"/>
          <w:szCs w:val="20"/>
        </w:rPr>
      </w:pPr>
    </w:p>
    <w:p w14:paraId="6BE89667">
      <w:pPr>
        <w:spacing w:line="240" w:lineRule="atLeast"/>
        <w:ind w:left="1080" w:leftChars="257" w:hanging="540"/>
        <w:jc w:val="center"/>
        <w:rPr>
          <w:rFonts w:hint="eastAsia" w:ascii="仿宋" w:hAnsi="仿宋" w:eastAsia="仿宋" w:cs="仿宋"/>
          <w:b/>
          <w:kern w:val="0"/>
          <w:sz w:val="24"/>
          <w:szCs w:val="20"/>
        </w:rPr>
      </w:pPr>
    </w:p>
    <w:p w14:paraId="2B3994E8">
      <w:pPr>
        <w:spacing w:line="240" w:lineRule="atLeast"/>
        <w:ind w:left="1080" w:leftChars="257" w:hanging="540"/>
        <w:jc w:val="center"/>
        <w:rPr>
          <w:rFonts w:hint="eastAsia" w:ascii="仿宋" w:hAnsi="仿宋" w:eastAsia="仿宋" w:cs="仿宋"/>
          <w:b/>
          <w:kern w:val="0"/>
          <w:sz w:val="24"/>
          <w:szCs w:val="20"/>
        </w:rPr>
      </w:pPr>
    </w:p>
    <w:p w14:paraId="000C3859">
      <w:pPr>
        <w:spacing w:line="240" w:lineRule="atLeast"/>
        <w:ind w:left="1080" w:leftChars="257" w:hanging="540"/>
        <w:jc w:val="center"/>
        <w:rPr>
          <w:rFonts w:hint="eastAsia" w:ascii="仿宋" w:hAnsi="仿宋" w:eastAsia="仿宋" w:cs="仿宋"/>
          <w:b/>
          <w:kern w:val="0"/>
          <w:sz w:val="24"/>
          <w:szCs w:val="20"/>
        </w:rPr>
      </w:pPr>
    </w:p>
    <w:p w14:paraId="4CC017E3">
      <w:pPr>
        <w:spacing w:line="240" w:lineRule="atLeast"/>
        <w:ind w:left="1080" w:leftChars="257" w:hanging="540"/>
        <w:jc w:val="center"/>
        <w:rPr>
          <w:rFonts w:hint="eastAsia" w:ascii="仿宋" w:hAnsi="仿宋" w:eastAsia="仿宋" w:cs="仿宋"/>
          <w:b/>
          <w:kern w:val="0"/>
          <w:sz w:val="24"/>
          <w:szCs w:val="20"/>
        </w:rPr>
      </w:pPr>
    </w:p>
    <w:p w14:paraId="59316AAF">
      <w:pPr>
        <w:spacing w:line="240" w:lineRule="atLeast"/>
        <w:ind w:left="1080" w:leftChars="257" w:hanging="540"/>
        <w:jc w:val="center"/>
        <w:rPr>
          <w:rFonts w:hint="eastAsia" w:ascii="仿宋" w:hAnsi="仿宋" w:eastAsia="仿宋" w:cs="仿宋"/>
          <w:b/>
          <w:kern w:val="0"/>
          <w:sz w:val="24"/>
          <w:szCs w:val="20"/>
        </w:rPr>
      </w:pPr>
    </w:p>
    <w:p w14:paraId="367FE85B">
      <w:pPr>
        <w:spacing w:line="240" w:lineRule="atLeast"/>
        <w:ind w:left="1080" w:leftChars="257" w:hanging="540"/>
        <w:jc w:val="center"/>
        <w:rPr>
          <w:rFonts w:hint="eastAsia" w:ascii="仿宋" w:hAnsi="仿宋" w:eastAsia="仿宋" w:cs="仿宋"/>
          <w:b/>
          <w:kern w:val="0"/>
          <w:sz w:val="24"/>
          <w:szCs w:val="20"/>
        </w:rPr>
      </w:pPr>
    </w:p>
    <w:p w14:paraId="059ECDA1">
      <w:pPr>
        <w:spacing w:line="240" w:lineRule="atLeast"/>
        <w:ind w:left="1080" w:leftChars="257" w:hanging="540"/>
        <w:jc w:val="center"/>
        <w:rPr>
          <w:rFonts w:hint="eastAsia" w:ascii="仿宋" w:hAnsi="仿宋" w:eastAsia="仿宋" w:cs="仿宋"/>
          <w:b/>
          <w:kern w:val="0"/>
          <w:sz w:val="24"/>
          <w:szCs w:val="20"/>
        </w:rPr>
      </w:pPr>
    </w:p>
    <w:p w14:paraId="3C466178">
      <w:pPr>
        <w:spacing w:line="240" w:lineRule="atLeast"/>
        <w:ind w:left="1080" w:leftChars="257" w:hanging="540"/>
        <w:jc w:val="center"/>
        <w:rPr>
          <w:rFonts w:hint="eastAsia" w:ascii="仿宋" w:hAnsi="仿宋" w:eastAsia="仿宋" w:cs="仿宋"/>
          <w:b/>
          <w:kern w:val="0"/>
          <w:sz w:val="24"/>
          <w:szCs w:val="20"/>
        </w:rPr>
      </w:pPr>
    </w:p>
    <w:p w14:paraId="61E5928D">
      <w:pPr>
        <w:spacing w:line="240" w:lineRule="atLeast"/>
        <w:ind w:left="1080" w:leftChars="257" w:hanging="540"/>
        <w:jc w:val="center"/>
        <w:rPr>
          <w:rFonts w:hint="eastAsia" w:ascii="仿宋" w:hAnsi="仿宋" w:eastAsia="仿宋" w:cs="仿宋"/>
          <w:b/>
          <w:kern w:val="0"/>
          <w:sz w:val="24"/>
          <w:szCs w:val="20"/>
        </w:rPr>
      </w:pPr>
    </w:p>
    <w:p w14:paraId="4A498D8B">
      <w:pPr>
        <w:pStyle w:val="4"/>
        <w:spacing w:before="0" w:line="240" w:lineRule="atLeast"/>
        <w:ind w:left="1080" w:leftChars="257" w:hanging="540"/>
        <w:rPr>
          <w:rFonts w:hint="eastAsia" w:ascii="仿宋" w:hAnsi="仿宋" w:eastAsia="仿宋" w:cs="仿宋"/>
          <w:sz w:val="24"/>
          <w:lang w:eastAsia="zh-CN"/>
        </w:rPr>
      </w:pPr>
      <w:bookmarkStart w:id="370" w:name="_Toc28099"/>
      <w:bookmarkStart w:id="371" w:name="_Toc30795"/>
      <w:bookmarkStart w:id="372" w:name="_Toc24363"/>
      <w:bookmarkStart w:id="373" w:name="_Toc31678"/>
      <w:bookmarkStart w:id="374" w:name="_Toc515647827"/>
      <w:r>
        <w:rPr>
          <w:rFonts w:hint="eastAsia" w:ascii="仿宋" w:hAnsi="仿宋" w:eastAsia="仿宋" w:cs="仿宋"/>
          <w:sz w:val="24"/>
        </w:rPr>
        <w:t>8   投标人关联单位的说明</w:t>
      </w:r>
      <w:bookmarkEnd w:id="370"/>
      <w:bookmarkEnd w:id="371"/>
      <w:bookmarkEnd w:id="372"/>
      <w:bookmarkEnd w:id="373"/>
      <w:bookmarkEnd w:id="374"/>
      <w:r>
        <w:rPr>
          <w:rFonts w:hint="eastAsia" w:ascii="仿宋" w:hAnsi="仿宋" w:eastAsia="仿宋" w:cs="仿宋"/>
          <w:sz w:val="24"/>
          <w:lang w:eastAsia="zh-CN"/>
        </w:rPr>
        <w:t>（</w:t>
      </w:r>
      <w:r>
        <w:rPr>
          <w:rFonts w:hint="eastAsia" w:ascii="仿宋" w:hAnsi="仿宋" w:eastAsia="仿宋" w:cs="仿宋"/>
          <w:sz w:val="24"/>
          <w:lang w:val="en-US" w:eastAsia="zh-CN"/>
        </w:rPr>
        <w:t>格式自拟</w:t>
      </w:r>
      <w:r>
        <w:rPr>
          <w:rFonts w:hint="eastAsia" w:ascii="仿宋" w:hAnsi="仿宋" w:eastAsia="仿宋" w:cs="仿宋"/>
          <w:sz w:val="24"/>
          <w:lang w:eastAsia="zh-CN"/>
        </w:rPr>
        <w:t>）</w:t>
      </w:r>
    </w:p>
    <w:p w14:paraId="3F9EFD2D">
      <w:pPr>
        <w:pStyle w:val="9"/>
        <w:jc w:val="center"/>
        <w:rPr>
          <w:rFonts w:hint="eastAsia" w:ascii="仿宋" w:hAnsi="仿宋" w:eastAsia="仿宋" w:cs="仿宋"/>
        </w:rPr>
      </w:pPr>
    </w:p>
    <w:p w14:paraId="452B3970">
      <w:pPr>
        <w:pStyle w:val="9"/>
        <w:ind w:firstLine="480" w:firstLineChars="200"/>
        <w:rPr>
          <w:rFonts w:hint="eastAsia" w:ascii="仿宋" w:hAnsi="仿宋" w:eastAsia="仿宋" w:cs="仿宋"/>
        </w:rPr>
      </w:pPr>
      <w:r>
        <w:rPr>
          <w:rFonts w:hint="eastAsia" w:ascii="仿宋" w:hAnsi="仿宋" w:eastAsia="仿宋" w:cs="仿宋"/>
        </w:rPr>
        <w:t>说明：投标人应当如实披露与本单位存在下列关联关系的单位名称：</w:t>
      </w:r>
    </w:p>
    <w:p w14:paraId="06263D19">
      <w:pPr>
        <w:pStyle w:val="9"/>
        <w:ind w:firstLine="960" w:firstLineChars="400"/>
        <w:rPr>
          <w:rFonts w:hint="eastAsia" w:ascii="仿宋" w:hAnsi="仿宋" w:eastAsia="仿宋" w:cs="仿宋"/>
          <w:lang w:eastAsia="zh-CN"/>
        </w:rPr>
      </w:pPr>
      <w:r>
        <w:rPr>
          <w:rFonts w:hint="eastAsia" w:ascii="仿宋" w:hAnsi="仿宋" w:eastAsia="仿宋" w:cs="仿宋"/>
        </w:rPr>
        <w:t>（1）与投标人单位负责人为同一人的其他单位；</w:t>
      </w:r>
    </w:p>
    <w:p w14:paraId="329C4CC0">
      <w:pPr>
        <w:pStyle w:val="9"/>
        <w:ind w:firstLine="480" w:firstLineChars="200"/>
        <w:rPr>
          <w:rFonts w:hint="eastAsia" w:ascii="仿宋" w:hAnsi="仿宋" w:eastAsia="仿宋" w:cs="仿宋"/>
        </w:rPr>
      </w:pP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（2）与投标人存在直接控股、管理关系的其他单位。</w:t>
      </w:r>
    </w:p>
    <w:p w14:paraId="283B6090">
      <w:pPr>
        <w:pStyle w:val="9"/>
        <w:ind w:left="0" w:leftChars="0" w:firstLine="0" w:firstLineChars="0"/>
        <w:rPr>
          <w:rFonts w:hint="eastAsia" w:ascii="仿宋" w:hAnsi="仿宋" w:eastAsia="仿宋" w:cs="仿宋"/>
          <w:b/>
          <w:kern w:val="0"/>
          <w:sz w:val="24"/>
          <w:szCs w:val="20"/>
        </w:rPr>
      </w:pPr>
      <w:r>
        <w:rPr>
          <w:rFonts w:hint="eastAsia" w:ascii="仿宋" w:hAnsi="仿宋" w:eastAsia="仿宋" w:cs="仿宋"/>
          <w:b/>
          <w:kern w:val="0"/>
          <w:sz w:val="24"/>
          <w:szCs w:val="20"/>
        </w:rPr>
        <w:br w:type="page"/>
      </w:r>
    </w:p>
    <w:p w14:paraId="537C7370">
      <w:pPr>
        <w:pStyle w:val="4"/>
        <w:bidi w:val="0"/>
        <w:rPr>
          <w:rFonts w:hint="eastAsia" w:ascii="仿宋" w:hAnsi="仿宋" w:eastAsia="仿宋" w:cs="仿宋"/>
          <w:sz w:val="24"/>
          <w:szCs w:val="24"/>
        </w:rPr>
      </w:pPr>
      <w:bookmarkStart w:id="375" w:name="_Toc6436"/>
      <w:bookmarkStart w:id="376" w:name="_Toc515647828"/>
      <w:bookmarkStart w:id="377" w:name="_Toc22393"/>
      <w:bookmarkStart w:id="378" w:name="_Toc17333"/>
      <w:bookmarkStart w:id="379" w:name="_Toc7414"/>
      <w:r>
        <w:rPr>
          <w:rFonts w:hint="eastAsia" w:ascii="仿宋" w:hAnsi="仿宋" w:eastAsia="仿宋" w:cs="仿宋"/>
          <w:sz w:val="24"/>
          <w:szCs w:val="24"/>
        </w:rPr>
        <w:t>9  投标文件还应包括投标人须知第10条的所有技术文件</w:t>
      </w:r>
      <w:bookmarkEnd w:id="375"/>
      <w:bookmarkEnd w:id="376"/>
      <w:bookmarkEnd w:id="377"/>
      <w:bookmarkEnd w:id="378"/>
      <w:bookmarkEnd w:id="379"/>
    </w:p>
    <w:p w14:paraId="54A4DF92">
      <w:pPr>
        <w:spacing w:line="240" w:lineRule="atLeast"/>
        <w:ind w:left="1080" w:leftChars="257" w:hanging="540"/>
        <w:jc w:val="center"/>
        <w:rPr>
          <w:rFonts w:hint="eastAsia" w:ascii="仿宋" w:hAnsi="仿宋" w:eastAsia="仿宋" w:cs="仿宋"/>
          <w:sz w:val="24"/>
        </w:rPr>
      </w:pPr>
    </w:p>
    <w:p w14:paraId="48C5ABDF">
      <w:pPr>
        <w:pStyle w:val="4"/>
        <w:bidi w:val="0"/>
        <w:rPr>
          <w:rFonts w:hint="eastAsia" w:ascii="仿宋" w:hAnsi="仿宋" w:eastAsia="仿宋" w:cs="仿宋"/>
        </w:rPr>
      </w:pPr>
      <w:bookmarkStart w:id="380" w:name="_Toc27891"/>
      <w:r>
        <w:rPr>
          <w:rFonts w:hint="eastAsia" w:ascii="仿宋" w:hAnsi="仿宋" w:eastAsia="仿宋" w:cs="仿宋"/>
        </w:rPr>
        <w:br w:type="page"/>
      </w:r>
      <w:bookmarkEnd w:id="380"/>
    </w:p>
    <w:p w14:paraId="75D4D875">
      <w:pPr>
        <w:spacing w:line="240" w:lineRule="atLeast"/>
        <w:ind w:left="1080" w:leftChars="257" w:hanging="540"/>
        <w:jc w:val="center"/>
        <w:rPr>
          <w:rFonts w:hint="eastAsia" w:ascii="仿宋" w:hAnsi="仿宋" w:eastAsia="仿宋" w:cs="仿宋"/>
          <w:color w:val="auto"/>
          <w:sz w:val="24"/>
          <w:highlight w:val="none"/>
        </w:rPr>
      </w:pPr>
    </w:p>
    <w:p w14:paraId="40431F6D">
      <w:pPr>
        <w:pStyle w:val="38"/>
        <w:rPr>
          <w:rFonts w:hint="eastAsia" w:ascii="仿宋" w:hAnsi="仿宋" w:eastAsia="仿宋" w:cs="仿宋"/>
          <w:color w:val="auto"/>
          <w:sz w:val="24"/>
          <w:highlight w:val="none"/>
        </w:rPr>
      </w:pPr>
    </w:p>
    <w:p w14:paraId="66D0A12B">
      <w:pPr>
        <w:pStyle w:val="38"/>
        <w:rPr>
          <w:rFonts w:hint="eastAsia" w:ascii="仿宋" w:hAnsi="仿宋" w:eastAsia="仿宋" w:cs="仿宋"/>
          <w:color w:val="auto"/>
          <w:sz w:val="24"/>
          <w:highlight w:val="none"/>
        </w:rPr>
      </w:pPr>
    </w:p>
    <w:p w14:paraId="519C4440">
      <w:pPr>
        <w:pStyle w:val="38"/>
        <w:rPr>
          <w:rFonts w:hint="eastAsia" w:ascii="仿宋" w:hAnsi="仿宋" w:eastAsia="仿宋" w:cs="仿宋"/>
          <w:color w:val="auto"/>
          <w:sz w:val="24"/>
          <w:highlight w:val="none"/>
        </w:rPr>
      </w:pPr>
    </w:p>
    <w:p w14:paraId="68E8C0CD">
      <w:pPr>
        <w:pStyle w:val="27"/>
        <w:jc w:val="center"/>
        <w:rPr>
          <w:rFonts w:hint="eastAsia" w:ascii="仿宋" w:hAnsi="仿宋" w:eastAsia="仿宋" w:cs="仿宋"/>
          <w:b/>
          <w:bCs/>
          <w:color w:val="auto"/>
          <w:kern w:val="0"/>
          <w:sz w:val="44"/>
          <w:szCs w:val="44"/>
          <w:highlight w:val="none"/>
        </w:rPr>
      </w:pPr>
      <w:r>
        <w:rPr>
          <w:rFonts w:hint="eastAsia" w:ascii="仿宋" w:hAnsi="仿宋" w:eastAsia="仿宋" w:cs="仿宋"/>
          <w:b/>
          <w:bCs/>
          <w:color w:val="auto"/>
          <w:kern w:val="0"/>
          <w:sz w:val="48"/>
          <w:szCs w:val="48"/>
          <w:highlight w:val="none"/>
          <w:lang w:eastAsia="zh-CN"/>
        </w:rPr>
        <w:t>莎车县教育设施设备购置（中小学护眼灯改造）项目（二次）</w:t>
      </w:r>
    </w:p>
    <w:p w14:paraId="3182BADF">
      <w:pPr>
        <w:pStyle w:val="27"/>
        <w:rPr>
          <w:rFonts w:hint="eastAsia" w:ascii="仿宋" w:hAnsi="仿宋" w:eastAsia="仿宋" w:cs="仿宋"/>
          <w:b/>
          <w:bCs/>
          <w:color w:val="auto"/>
          <w:kern w:val="0"/>
          <w:sz w:val="44"/>
          <w:szCs w:val="44"/>
          <w:highlight w:val="none"/>
        </w:rPr>
      </w:pPr>
    </w:p>
    <w:p w14:paraId="2E785484">
      <w:pPr>
        <w:spacing w:line="240" w:lineRule="atLeast"/>
        <w:ind w:left="1080" w:leftChars="257" w:hanging="540"/>
        <w:jc w:val="center"/>
        <w:rPr>
          <w:rFonts w:hint="eastAsia" w:ascii="仿宋" w:hAnsi="仿宋" w:eastAsia="仿宋" w:cs="仿宋"/>
          <w:b/>
          <w:bCs/>
          <w:color w:val="auto"/>
          <w:kern w:val="0"/>
          <w:sz w:val="48"/>
          <w:szCs w:val="48"/>
          <w:highlight w:val="none"/>
        </w:rPr>
      </w:pPr>
      <w:r>
        <w:rPr>
          <w:rFonts w:hint="eastAsia" w:ascii="仿宋" w:hAnsi="仿宋" w:eastAsia="仿宋" w:cs="仿宋"/>
          <w:b/>
          <w:bCs/>
          <w:color w:val="auto"/>
          <w:kern w:val="0"/>
          <w:sz w:val="48"/>
          <w:szCs w:val="48"/>
          <w:highlight w:val="none"/>
        </w:rPr>
        <w:t>招标文件（</w:t>
      </w:r>
      <w:r>
        <w:rPr>
          <w:rFonts w:hint="eastAsia" w:ascii="仿宋" w:hAnsi="仿宋" w:eastAsia="仿宋" w:cs="仿宋"/>
          <w:b/>
          <w:color w:val="auto"/>
          <w:sz w:val="48"/>
          <w:szCs w:val="48"/>
          <w:highlight w:val="none"/>
        </w:rPr>
        <w:t>第</w:t>
      </w:r>
      <w:r>
        <w:rPr>
          <w:rFonts w:hint="eastAsia" w:ascii="仿宋" w:hAnsi="仿宋" w:eastAsia="仿宋" w:cs="仿宋"/>
          <w:b/>
          <w:color w:val="auto"/>
          <w:sz w:val="48"/>
          <w:szCs w:val="48"/>
          <w:highlight w:val="none"/>
          <w:lang w:eastAsia="zh-CN"/>
        </w:rPr>
        <w:t>二</w:t>
      </w:r>
      <w:r>
        <w:rPr>
          <w:rFonts w:hint="eastAsia" w:ascii="仿宋" w:hAnsi="仿宋" w:eastAsia="仿宋" w:cs="仿宋"/>
          <w:b/>
          <w:color w:val="auto"/>
          <w:sz w:val="48"/>
          <w:szCs w:val="48"/>
          <w:highlight w:val="none"/>
        </w:rPr>
        <w:t>册</w:t>
      </w:r>
      <w:r>
        <w:rPr>
          <w:rFonts w:hint="eastAsia" w:ascii="仿宋" w:hAnsi="仿宋" w:eastAsia="仿宋" w:cs="仿宋"/>
          <w:b/>
          <w:bCs/>
          <w:color w:val="auto"/>
          <w:kern w:val="0"/>
          <w:sz w:val="48"/>
          <w:szCs w:val="48"/>
          <w:highlight w:val="none"/>
        </w:rPr>
        <w:t>）</w:t>
      </w:r>
    </w:p>
    <w:p w14:paraId="6EE20860">
      <w:pPr>
        <w:pStyle w:val="38"/>
        <w:rPr>
          <w:rFonts w:hint="eastAsia" w:ascii="仿宋" w:hAnsi="仿宋" w:eastAsia="仿宋" w:cs="仿宋"/>
          <w:color w:val="auto"/>
          <w:highlight w:val="none"/>
        </w:rPr>
      </w:pPr>
    </w:p>
    <w:p w14:paraId="3685E1E8">
      <w:pPr>
        <w:rPr>
          <w:rFonts w:hint="eastAsia" w:ascii="仿宋" w:hAnsi="仿宋" w:eastAsia="仿宋" w:cs="仿宋"/>
          <w:color w:val="auto"/>
          <w:highlight w:val="none"/>
        </w:rPr>
      </w:pPr>
    </w:p>
    <w:p w14:paraId="4970645B">
      <w:pPr>
        <w:pStyle w:val="38"/>
        <w:rPr>
          <w:rFonts w:hint="eastAsia" w:ascii="仿宋" w:hAnsi="仿宋" w:eastAsia="仿宋" w:cs="仿宋"/>
          <w:color w:val="auto"/>
          <w:highlight w:val="none"/>
        </w:rPr>
      </w:pPr>
    </w:p>
    <w:p w14:paraId="55433096">
      <w:pPr>
        <w:pStyle w:val="38"/>
        <w:rPr>
          <w:rFonts w:hint="eastAsia" w:ascii="仿宋" w:hAnsi="仿宋" w:eastAsia="仿宋" w:cs="仿宋"/>
          <w:color w:val="auto"/>
          <w:highlight w:val="none"/>
        </w:rPr>
      </w:pPr>
    </w:p>
    <w:p w14:paraId="1D733EF8">
      <w:pPr>
        <w:pStyle w:val="38"/>
        <w:spacing w:line="240" w:lineRule="auto"/>
        <w:ind w:firstLine="0" w:firstLineChars="0"/>
        <w:rPr>
          <w:rFonts w:hint="eastAsia" w:ascii="仿宋" w:hAnsi="仿宋" w:eastAsia="仿宋" w:cs="仿宋"/>
          <w:color w:val="auto"/>
          <w:highlight w:val="none"/>
        </w:rPr>
      </w:pPr>
    </w:p>
    <w:p w14:paraId="0B4A131B">
      <w:pPr>
        <w:pStyle w:val="38"/>
        <w:rPr>
          <w:rFonts w:hint="eastAsia" w:ascii="仿宋" w:hAnsi="仿宋" w:eastAsia="仿宋" w:cs="仿宋"/>
          <w:color w:val="auto"/>
          <w:highlight w:val="none"/>
        </w:rPr>
      </w:pPr>
    </w:p>
    <w:p w14:paraId="61E16E43">
      <w:pPr>
        <w:pStyle w:val="38"/>
        <w:rPr>
          <w:rFonts w:hint="eastAsia" w:ascii="仿宋" w:hAnsi="仿宋" w:eastAsia="仿宋" w:cs="仿宋"/>
          <w:color w:val="auto"/>
          <w:highlight w:val="none"/>
        </w:rPr>
      </w:pPr>
    </w:p>
    <w:p w14:paraId="645718AA">
      <w:pPr>
        <w:pStyle w:val="38"/>
        <w:rPr>
          <w:rFonts w:hint="eastAsia" w:ascii="仿宋" w:hAnsi="仿宋" w:eastAsia="仿宋" w:cs="仿宋"/>
          <w:color w:val="auto"/>
          <w:highlight w:val="none"/>
        </w:rPr>
      </w:pPr>
    </w:p>
    <w:p w14:paraId="4F95306F">
      <w:pPr>
        <w:pStyle w:val="38"/>
        <w:rPr>
          <w:rFonts w:hint="eastAsia" w:ascii="仿宋" w:hAnsi="仿宋" w:eastAsia="仿宋" w:cs="仿宋"/>
          <w:color w:val="auto"/>
          <w:highlight w:val="none"/>
        </w:rPr>
      </w:pPr>
    </w:p>
    <w:p w14:paraId="19FFA41D">
      <w:pPr>
        <w:pStyle w:val="38"/>
        <w:rPr>
          <w:rFonts w:hint="eastAsia" w:ascii="仿宋" w:hAnsi="仿宋" w:eastAsia="仿宋" w:cs="仿宋"/>
          <w:color w:val="auto"/>
          <w:highlight w:val="none"/>
        </w:rPr>
      </w:pPr>
    </w:p>
    <w:p w14:paraId="746F4DFB">
      <w:pPr>
        <w:pStyle w:val="38"/>
        <w:rPr>
          <w:rFonts w:hint="eastAsia" w:ascii="仿宋" w:hAnsi="仿宋" w:eastAsia="仿宋" w:cs="仿宋"/>
          <w:color w:val="auto"/>
          <w:highlight w:val="none"/>
        </w:rPr>
      </w:pPr>
    </w:p>
    <w:p w14:paraId="534EB7D2">
      <w:pPr>
        <w:pStyle w:val="38"/>
        <w:rPr>
          <w:rFonts w:hint="eastAsia" w:ascii="仿宋" w:hAnsi="仿宋" w:eastAsia="仿宋" w:cs="仿宋"/>
          <w:color w:val="auto"/>
          <w:highlight w:val="none"/>
        </w:rPr>
      </w:pPr>
    </w:p>
    <w:tbl>
      <w:tblPr>
        <w:tblStyle w:val="40"/>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052"/>
        <w:gridCol w:w="6476"/>
      </w:tblGrid>
      <w:tr w14:paraId="34978F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052" w:type="dxa"/>
            <w:noWrap w:val="0"/>
            <w:vAlign w:val="top"/>
          </w:tcPr>
          <w:p w14:paraId="1B140647">
            <w:pPr>
              <w:pStyle w:val="38"/>
              <w:keepNext w:val="0"/>
              <w:keepLines w:val="0"/>
              <w:suppressLineNumbers w:val="0"/>
              <w:spacing w:before="0" w:beforeAutospacing="0" w:after="0" w:afterAutospacing="0"/>
              <w:ind w:left="0" w:leftChars="0" w:right="0" w:firstLine="0" w:firstLineChars="0"/>
              <w:jc w:val="distribute"/>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采购代理机构：</w:t>
            </w:r>
          </w:p>
        </w:tc>
        <w:tc>
          <w:tcPr>
            <w:tcW w:w="6476" w:type="dxa"/>
            <w:noWrap w:val="0"/>
            <w:vAlign w:val="top"/>
          </w:tcPr>
          <w:p w14:paraId="38A7955C">
            <w:pPr>
              <w:pStyle w:val="38"/>
              <w:keepNext w:val="0"/>
              <w:keepLines w:val="0"/>
              <w:suppressLineNumbers w:val="0"/>
              <w:spacing w:before="0" w:beforeAutospacing="0" w:after="0" w:afterAutospacing="0"/>
              <w:ind w:left="0" w:leftChars="0" w:right="0" w:firstLine="0" w:firstLineChars="0"/>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新疆新华远景工程造价咨询有限公司</w:t>
            </w:r>
          </w:p>
        </w:tc>
      </w:tr>
      <w:tr w14:paraId="463276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052" w:type="dxa"/>
            <w:noWrap w:val="0"/>
            <w:vAlign w:val="top"/>
          </w:tcPr>
          <w:p w14:paraId="49C32F31">
            <w:pPr>
              <w:pStyle w:val="38"/>
              <w:keepNext w:val="0"/>
              <w:keepLines w:val="0"/>
              <w:suppressLineNumbers w:val="0"/>
              <w:spacing w:before="0" w:beforeAutospacing="0" w:after="0" w:afterAutospacing="0"/>
              <w:ind w:left="0" w:leftChars="0" w:right="0" w:firstLine="0" w:firstLineChars="0"/>
              <w:jc w:val="distribute"/>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发出日期：</w:t>
            </w:r>
          </w:p>
        </w:tc>
        <w:tc>
          <w:tcPr>
            <w:tcW w:w="6476" w:type="dxa"/>
            <w:noWrap w:val="0"/>
            <w:vAlign w:val="top"/>
          </w:tcPr>
          <w:p w14:paraId="3FC86760">
            <w:pPr>
              <w:keepNext w:val="0"/>
              <w:keepLines w:val="0"/>
              <w:suppressLineNumbers w:val="0"/>
              <w:bidi w:val="0"/>
              <w:spacing w:before="0" w:beforeAutospacing="0" w:after="0" w:afterAutospacing="0"/>
              <w:ind w:left="0" w:right="0"/>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二〇二五年四月</w:t>
            </w:r>
          </w:p>
        </w:tc>
      </w:tr>
    </w:tbl>
    <w:p w14:paraId="70175D16">
      <w:pPr>
        <w:pStyle w:val="3"/>
        <w:bidi w:val="0"/>
        <w:rPr>
          <w:rFonts w:hint="eastAsia" w:ascii="仿宋" w:hAnsi="仿宋" w:eastAsia="仿宋" w:cs="仿宋"/>
          <w:color w:val="auto"/>
          <w:highlight w:val="none"/>
        </w:rPr>
      </w:pPr>
      <w:bookmarkStart w:id="381" w:name="_Toc28765"/>
      <w:bookmarkStart w:id="382" w:name="_Toc218935350"/>
      <w:bookmarkStart w:id="383" w:name="_Toc219175634"/>
      <w:bookmarkStart w:id="384" w:name="_Toc515647829"/>
      <w:bookmarkStart w:id="385" w:name="_Toc507399902"/>
      <w:bookmarkStart w:id="386" w:name="_Toc16370"/>
      <w:bookmarkStart w:id="387" w:name="_Toc216582822"/>
      <w:r>
        <w:rPr>
          <w:rFonts w:hint="eastAsia" w:ascii="仿宋" w:hAnsi="仿宋" w:eastAsia="仿宋" w:cs="仿宋"/>
          <w:color w:val="auto"/>
          <w:highlight w:val="none"/>
          <w:lang w:eastAsia="zh-CN"/>
        </w:rPr>
        <w:br w:type="page"/>
      </w:r>
      <w:bookmarkStart w:id="388" w:name="_Toc20100"/>
      <w:r>
        <w:rPr>
          <w:rStyle w:val="47"/>
          <w:rFonts w:hint="eastAsia" w:ascii="仿宋" w:hAnsi="仿宋" w:eastAsia="仿宋" w:cs="仿宋"/>
          <w:b/>
          <w:bCs/>
          <w:sz w:val="32"/>
          <w:szCs w:val="32"/>
          <w:lang w:eastAsia="zh-CN"/>
        </w:rPr>
        <w:t>第</w:t>
      </w:r>
      <w:r>
        <w:rPr>
          <w:rStyle w:val="47"/>
          <w:rFonts w:hint="eastAsia" w:ascii="仿宋" w:hAnsi="仿宋" w:eastAsia="仿宋" w:cs="仿宋"/>
          <w:b/>
          <w:bCs/>
          <w:sz w:val="32"/>
          <w:szCs w:val="32"/>
          <w:lang w:val="en-US" w:eastAsia="zh-CN"/>
        </w:rPr>
        <w:t xml:space="preserve">3章  </w:t>
      </w:r>
      <w:r>
        <w:rPr>
          <w:rStyle w:val="47"/>
          <w:rFonts w:hint="eastAsia" w:ascii="仿宋" w:hAnsi="仿宋" w:eastAsia="仿宋" w:cs="仿宋"/>
          <w:b/>
          <w:bCs/>
          <w:sz w:val="32"/>
          <w:szCs w:val="32"/>
        </w:rPr>
        <w:t>投标邀请</w:t>
      </w:r>
      <w:bookmarkEnd w:id="381"/>
      <w:bookmarkEnd w:id="382"/>
      <w:bookmarkEnd w:id="383"/>
      <w:bookmarkEnd w:id="384"/>
      <w:bookmarkEnd w:id="385"/>
      <w:bookmarkEnd w:id="386"/>
      <w:bookmarkEnd w:id="387"/>
      <w:bookmarkEnd w:id="388"/>
    </w:p>
    <w:p w14:paraId="603E034E">
      <w:pPr>
        <w:rPr>
          <w:rFonts w:hint="eastAsia" w:ascii="仿宋" w:hAnsi="仿宋" w:eastAsia="仿宋" w:cs="仿宋"/>
          <w:color w:val="auto"/>
          <w:highlight w:val="none"/>
        </w:rPr>
      </w:pPr>
    </w:p>
    <w:p w14:paraId="5A266FAD">
      <w:pPr>
        <w:pStyle w:val="3"/>
        <w:tabs>
          <w:tab w:val="left" w:pos="0"/>
          <w:tab w:val="left" w:pos="3165"/>
          <w:tab w:val="center" w:pos="4153"/>
        </w:tabs>
        <w:autoSpaceDE w:val="0"/>
        <w:autoSpaceDN w:val="0"/>
        <w:adjustRightInd w:val="0"/>
        <w:spacing w:before="0" w:after="0" w:line="360" w:lineRule="auto"/>
        <w:ind w:firstLine="481"/>
        <w:jc w:val="center"/>
        <w:rPr>
          <w:rFonts w:hint="eastAsia" w:ascii="仿宋" w:hAnsi="仿宋" w:eastAsia="仿宋" w:cs="仿宋"/>
          <w:color w:val="auto"/>
          <w:highlight w:val="none"/>
        </w:rPr>
      </w:pPr>
      <w:bookmarkStart w:id="389" w:name="_Toc11333"/>
      <w:bookmarkStart w:id="390" w:name="_Toc28359001"/>
      <w:bookmarkStart w:id="391" w:name="_Toc17543"/>
      <w:bookmarkStart w:id="392" w:name="_Toc35393789"/>
      <w:r>
        <w:rPr>
          <w:rFonts w:hint="eastAsia" w:ascii="仿宋" w:hAnsi="仿宋" w:eastAsia="仿宋" w:cs="仿宋"/>
          <w:color w:val="auto"/>
          <w:highlight w:val="none"/>
          <w:lang w:eastAsia="zh-CN"/>
        </w:rPr>
        <w:t>莎车县教育设施设备购置（中小学护眼灯改造）项目（二次）</w:t>
      </w:r>
      <w:r>
        <w:rPr>
          <w:rFonts w:hint="eastAsia" w:ascii="仿宋" w:hAnsi="仿宋" w:eastAsia="仿宋" w:cs="仿宋"/>
          <w:color w:val="auto"/>
          <w:highlight w:val="none"/>
        </w:rPr>
        <w:t>招标公告</w:t>
      </w:r>
      <w:bookmarkEnd w:id="389"/>
      <w:bookmarkEnd w:id="390"/>
      <w:bookmarkEnd w:id="391"/>
      <w:bookmarkEnd w:id="392"/>
    </w:p>
    <w:p w14:paraId="0CA403E2">
      <w:pPr>
        <w:pBdr>
          <w:top w:val="single" w:color="auto" w:sz="4" w:space="1"/>
          <w:left w:val="single" w:color="auto" w:sz="4" w:space="4"/>
          <w:bottom w:val="single" w:color="auto" w:sz="4" w:space="1"/>
          <w:right w:val="single" w:color="auto" w:sz="4" w:space="4"/>
        </w:pBd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456EFBEA">
      <w:pPr>
        <w:pBdr>
          <w:top w:val="single" w:color="auto" w:sz="4" w:space="1"/>
          <w:left w:val="single" w:color="auto" w:sz="4" w:space="4"/>
          <w:bottom w:val="single" w:color="auto" w:sz="4" w:space="1"/>
          <w:right w:val="single" w:color="auto" w:sz="4" w:space="4"/>
        </w:pBdr>
        <w:ind w:firstLine="480" w:firstLineChars="20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莎车县教育设施设备购置（中小学护眼灯改造）项目（二次）</w:t>
      </w:r>
      <w:r>
        <w:rPr>
          <w:rFonts w:hint="eastAsia" w:ascii="仿宋" w:hAnsi="仿宋" w:eastAsia="仿宋" w:cs="仿宋"/>
          <w:color w:val="auto"/>
          <w:sz w:val="24"/>
          <w:szCs w:val="24"/>
          <w:highlight w:val="none"/>
        </w:rPr>
        <w:t>招标项目的潜在投标人应在</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政采云平台线上</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获取招标文件，并于</w:t>
      </w:r>
      <w:r>
        <w:rPr>
          <w:rFonts w:hint="eastAsia" w:ascii="仿宋" w:hAnsi="仿宋" w:eastAsia="仿宋" w:cs="仿宋"/>
          <w:color w:val="0000FF"/>
          <w:sz w:val="24"/>
          <w:highlight w:val="none"/>
          <w:u w:val="single"/>
          <w:lang w:eastAsia="zh-CN"/>
        </w:rPr>
        <w:t>202</w:t>
      </w:r>
      <w:r>
        <w:rPr>
          <w:rFonts w:hint="eastAsia" w:ascii="仿宋" w:hAnsi="仿宋" w:eastAsia="仿宋" w:cs="仿宋"/>
          <w:color w:val="0000FF"/>
          <w:sz w:val="24"/>
          <w:highlight w:val="none"/>
          <w:u w:val="single"/>
          <w:lang w:val="en-US" w:eastAsia="zh-CN"/>
        </w:rPr>
        <w:t>5</w:t>
      </w:r>
      <w:r>
        <w:rPr>
          <w:rFonts w:hint="eastAsia" w:ascii="仿宋" w:hAnsi="仿宋" w:eastAsia="仿宋" w:cs="仿宋"/>
          <w:color w:val="0000FF"/>
          <w:sz w:val="24"/>
          <w:highlight w:val="none"/>
          <w:u w:val="single"/>
          <w:lang w:eastAsia="zh-CN"/>
        </w:rPr>
        <w:t>年</w:t>
      </w:r>
      <w:r>
        <w:rPr>
          <w:rFonts w:hint="eastAsia" w:ascii="仿宋" w:hAnsi="仿宋" w:eastAsia="仿宋" w:cs="仿宋"/>
          <w:color w:val="0000FF"/>
          <w:sz w:val="24"/>
          <w:highlight w:val="none"/>
          <w:u w:val="single"/>
          <w:lang w:val="en-US" w:eastAsia="zh-CN"/>
        </w:rPr>
        <w:t>05月16</w:t>
      </w:r>
      <w:r>
        <w:rPr>
          <w:rFonts w:hint="eastAsia" w:ascii="仿宋" w:hAnsi="仿宋" w:eastAsia="仿宋" w:cs="仿宋"/>
          <w:color w:val="0000FF"/>
          <w:sz w:val="24"/>
          <w:highlight w:val="none"/>
          <w:u w:val="single"/>
          <w:lang w:eastAsia="zh-CN"/>
        </w:rPr>
        <w:t>日上</w:t>
      </w:r>
      <w:r>
        <w:rPr>
          <w:rFonts w:hint="eastAsia" w:ascii="仿宋" w:hAnsi="仿宋" w:eastAsia="仿宋" w:cs="仿宋"/>
          <w:color w:val="0000FF"/>
          <w:sz w:val="24"/>
          <w:highlight w:val="none"/>
          <w:u w:val="single"/>
        </w:rPr>
        <w:t>午1</w:t>
      </w:r>
      <w:r>
        <w:rPr>
          <w:rFonts w:hint="eastAsia" w:ascii="仿宋" w:hAnsi="仿宋" w:eastAsia="仿宋" w:cs="仿宋"/>
          <w:color w:val="0000FF"/>
          <w:sz w:val="24"/>
          <w:highlight w:val="none"/>
          <w:u w:val="single"/>
          <w:lang w:val="en-US" w:eastAsia="zh-CN"/>
        </w:rPr>
        <w:t>1</w:t>
      </w:r>
      <w:r>
        <w:rPr>
          <w:rFonts w:hint="eastAsia" w:ascii="仿宋" w:hAnsi="仿宋" w:eastAsia="仿宋" w:cs="仿宋"/>
          <w:color w:val="0000FF"/>
          <w:sz w:val="24"/>
          <w:highlight w:val="none"/>
          <w:u w:val="single"/>
        </w:rPr>
        <w:t>：</w:t>
      </w:r>
      <w:r>
        <w:rPr>
          <w:rFonts w:hint="eastAsia" w:ascii="仿宋" w:hAnsi="仿宋" w:eastAsia="仿宋" w:cs="仿宋"/>
          <w:color w:val="0000FF"/>
          <w:sz w:val="24"/>
          <w:highlight w:val="none"/>
          <w:u w:val="single"/>
          <w:lang w:val="en-US" w:eastAsia="zh-CN"/>
        </w:rPr>
        <w:t>0</w:t>
      </w:r>
      <w:r>
        <w:rPr>
          <w:rFonts w:hint="eastAsia" w:ascii="仿宋" w:hAnsi="仿宋" w:eastAsia="仿宋" w:cs="仿宋"/>
          <w:color w:val="0000FF"/>
          <w:sz w:val="24"/>
          <w:highlight w:val="none"/>
          <w:u w:val="single"/>
        </w:rPr>
        <w:t>0时</w:t>
      </w:r>
      <w:r>
        <w:rPr>
          <w:rFonts w:hint="eastAsia" w:ascii="仿宋" w:hAnsi="仿宋" w:eastAsia="仿宋" w:cs="仿宋"/>
          <w:color w:val="auto"/>
          <w:sz w:val="24"/>
          <w:szCs w:val="24"/>
          <w:highlight w:val="none"/>
          <w:u w:val="single"/>
          <w:shd w:val="clear" w:color="auto" w:fill="auto"/>
          <w:lang w:val="en-US" w:eastAsia="zh-CN"/>
        </w:rPr>
        <w:t>（北京时间）</w:t>
      </w:r>
      <w:r>
        <w:rPr>
          <w:rFonts w:hint="eastAsia" w:ascii="仿宋" w:hAnsi="仿宋" w:eastAsia="仿宋" w:cs="仿宋"/>
          <w:bCs/>
          <w:color w:val="auto"/>
          <w:sz w:val="24"/>
          <w:szCs w:val="24"/>
          <w:highlight w:val="none"/>
        </w:rPr>
        <w:t>前递交投标文件</w:t>
      </w:r>
      <w:r>
        <w:rPr>
          <w:rFonts w:hint="eastAsia" w:ascii="仿宋" w:hAnsi="仿宋" w:eastAsia="仿宋" w:cs="仿宋"/>
          <w:color w:val="auto"/>
          <w:sz w:val="24"/>
          <w:szCs w:val="24"/>
          <w:highlight w:val="none"/>
        </w:rPr>
        <w:t>。</w:t>
      </w:r>
    </w:p>
    <w:p w14:paraId="4BD60BC5">
      <w:pPr>
        <w:rPr>
          <w:rFonts w:hint="eastAsia" w:ascii="仿宋" w:hAnsi="仿宋" w:eastAsia="仿宋" w:cs="仿宋"/>
          <w:color w:val="auto"/>
          <w:sz w:val="24"/>
          <w:szCs w:val="24"/>
          <w:highlight w:val="none"/>
        </w:rPr>
      </w:pPr>
    </w:p>
    <w:p w14:paraId="28ABD2F9">
      <w:pPr>
        <w:pStyle w:val="4"/>
        <w:spacing w:line="360" w:lineRule="auto"/>
        <w:jc w:val="left"/>
        <w:rPr>
          <w:rFonts w:hint="eastAsia" w:ascii="仿宋" w:hAnsi="仿宋" w:eastAsia="仿宋" w:cs="仿宋"/>
          <w:b w:val="0"/>
          <w:color w:val="auto"/>
          <w:sz w:val="24"/>
          <w:szCs w:val="24"/>
          <w:highlight w:val="none"/>
        </w:rPr>
      </w:pPr>
      <w:bookmarkStart w:id="393" w:name="_Toc28359079"/>
      <w:bookmarkStart w:id="394" w:name="_Toc28359002"/>
      <w:bookmarkStart w:id="395" w:name="_Toc4699"/>
      <w:bookmarkStart w:id="396" w:name="_Toc19710"/>
      <w:bookmarkStart w:id="397" w:name="_Toc35393621"/>
      <w:bookmarkStart w:id="398" w:name="_Toc35393790"/>
      <w:bookmarkStart w:id="399" w:name="_Hlk24379207"/>
      <w:r>
        <w:rPr>
          <w:rFonts w:hint="eastAsia" w:ascii="仿宋" w:hAnsi="仿宋" w:eastAsia="仿宋" w:cs="仿宋"/>
          <w:b w:val="0"/>
          <w:color w:val="auto"/>
          <w:sz w:val="24"/>
          <w:szCs w:val="24"/>
          <w:highlight w:val="none"/>
        </w:rPr>
        <w:t>一、项目基本情况</w:t>
      </w:r>
      <w:bookmarkEnd w:id="393"/>
      <w:bookmarkEnd w:id="394"/>
      <w:bookmarkEnd w:id="395"/>
      <w:bookmarkEnd w:id="396"/>
      <w:bookmarkEnd w:id="397"/>
      <w:bookmarkEnd w:id="398"/>
    </w:p>
    <w:p w14:paraId="0193C818">
      <w:pPr>
        <w:spacing w:line="48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val="en-US" w:eastAsia="zh-CN"/>
        </w:rPr>
        <w:t>XHYJ(SCCGGK)2025-11</w:t>
      </w:r>
    </w:p>
    <w:p w14:paraId="5F3300E0">
      <w:pPr>
        <w:spacing w:line="48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 xml:space="preserve">莎车县教育设施设备购置（中小学护眼灯改造）项目（二次） </w:t>
      </w:r>
    </w:p>
    <w:bookmarkEnd w:id="399"/>
    <w:p w14:paraId="755DFBC6">
      <w:pPr>
        <w:spacing w:line="48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预算金额：</w:t>
      </w:r>
      <w:r>
        <w:rPr>
          <w:rFonts w:hint="eastAsia" w:ascii="仿宋" w:hAnsi="仿宋" w:eastAsia="仿宋" w:cs="仿宋"/>
          <w:color w:val="auto"/>
          <w:sz w:val="24"/>
          <w:szCs w:val="24"/>
          <w:highlight w:val="none"/>
          <w:lang w:val="en-US" w:eastAsia="zh-CN"/>
        </w:rPr>
        <w:t>600</w:t>
      </w:r>
      <w:r>
        <w:rPr>
          <w:rFonts w:hint="eastAsia" w:ascii="仿宋" w:hAnsi="仿宋" w:eastAsia="仿宋" w:cs="仿宋"/>
          <w:color w:val="auto"/>
          <w:sz w:val="24"/>
          <w:szCs w:val="24"/>
          <w:highlight w:val="none"/>
          <w:lang w:eastAsia="zh-CN"/>
        </w:rPr>
        <w:t>万元</w:t>
      </w:r>
    </w:p>
    <w:p w14:paraId="30221D00">
      <w:pPr>
        <w:pStyle w:val="38"/>
        <w:spacing w:line="48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最高限价：</w:t>
      </w:r>
      <w:r>
        <w:rPr>
          <w:rFonts w:hint="eastAsia" w:ascii="仿宋" w:hAnsi="仿宋" w:eastAsia="仿宋" w:cs="仿宋"/>
          <w:color w:val="auto"/>
          <w:sz w:val="24"/>
          <w:szCs w:val="24"/>
          <w:highlight w:val="none"/>
          <w:lang w:val="en-US" w:eastAsia="zh-CN"/>
        </w:rPr>
        <w:t>600</w:t>
      </w:r>
      <w:r>
        <w:rPr>
          <w:rFonts w:hint="eastAsia" w:ascii="仿宋" w:hAnsi="仿宋" w:eastAsia="仿宋" w:cs="仿宋"/>
          <w:color w:val="auto"/>
          <w:sz w:val="24"/>
          <w:szCs w:val="24"/>
          <w:highlight w:val="none"/>
          <w:lang w:eastAsia="zh-CN"/>
        </w:rPr>
        <w:t>万元</w:t>
      </w:r>
    </w:p>
    <w:p w14:paraId="6E3C14D0">
      <w:pPr>
        <w:spacing w:line="480" w:lineRule="auto"/>
        <w:ind w:left="479" w:leftChars="228"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val="en-US" w:eastAsia="zh-CN"/>
        </w:rPr>
        <w:t>LED教室灯17316盏、LED黑板灯5772盏。</w:t>
      </w:r>
    </w:p>
    <w:p w14:paraId="5328ECDE">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FF0000"/>
          <w:sz w:val="24"/>
          <w:szCs w:val="24"/>
          <w:highlight w:val="none"/>
        </w:rPr>
        <w:t>合同履行期限：</w:t>
      </w:r>
      <w:r>
        <w:rPr>
          <w:rFonts w:hint="eastAsia" w:ascii="仿宋" w:hAnsi="仿宋" w:eastAsia="仿宋" w:cs="仿宋"/>
          <w:color w:val="FF0000"/>
          <w:sz w:val="24"/>
          <w:szCs w:val="24"/>
          <w:highlight w:val="none"/>
          <w:lang w:val="en-US" w:eastAsia="zh-CN"/>
        </w:rPr>
        <w:t>80</w:t>
      </w:r>
      <w:r>
        <w:rPr>
          <w:rFonts w:hint="eastAsia" w:ascii="仿宋" w:hAnsi="仿宋" w:eastAsia="仿宋" w:cs="仿宋"/>
          <w:color w:val="FF0000"/>
          <w:sz w:val="24"/>
          <w:szCs w:val="24"/>
          <w:highlight w:val="none"/>
          <w:lang w:eastAsia="zh-CN"/>
        </w:rPr>
        <w:t>天内完成供货并安装验收完成（具体以合同签订为准）。</w:t>
      </w:r>
    </w:p>
    <w:p w14:paraId="1C6C14D9">
      <w:pPr>
        <w:pStyle w:val="4"/>
        <w:spacing w:line="360" w:lineRule="auto"/>
        <w:jc w:val="left"/>
        <w:rPr>
          <w:rFonts w:hint="eastAsia" w:ascii="仿宋" w:hAnsi="仿宋" w:eastAsia="仿宋" w:cs="仿宋"/>
          <w:b w:val="0"/>
          <w:color w:val="auto"/>
          <w:sz w:val="24"/>
          <w:szCs w:val="24"/>
          <w:highlight w:val="none"/>
          <w:lang w:val="en-US" w:eastAsia="zh-CN"/>
        </w:rPr>
      </w:pPr>
      <w:bookmarkStart w:id="400" w:name="_Toc35393791"/>
      <w:bookmarkStart w:id="401" w:name="_Toc35393622"/>
      <w:bookmarkStart w:id="402" w:name="_Toc28359003"/>
      <w:bookmarkStart w:id="403" w:name="_Toc28359080"/>
      <w:bookmarkStart w:id="404" w:name="_Toc3577"/>
      <w:bookmarkStart w:id="405" w:name="_Toc11609"/>
      <w:r>
        <w:rPr>
          <w:rFonts w:hint="eastAsia" w:ascii="仿宋" w:hAnsi="仿宋" w:eastAsia="仿宋" w:cs="仿宋"/>
          <w:b w:val="0"/>
          <w:color w:val="auto"/>
          <w:sz w:val="24"/>
          <w:szCs w:val="24"/>
          <w:highlight w:val="none"/>
        </w:rPr>
        <w:t>二、申请人的资格要求：</w:t>
      </w:r>
      <w:bookmarkEnd w:id="400"/>
      <w:bookmarkEnd w:id="401"/>
      <w:bookmarkEnd w:id="402"/>
      <w:bookmarkEnd w:id="403"/>
      <w:bookmarkEnd w:id="404"/>
      <w:bookmarkEnd w:id="405"/>
      <w:r>
        <w:rPr>
          <w:rFonts w:hint="eastAsia" w:ascii="仿宋" w:hAnsi="仿宋" w:eastAsia="仿宋" w:cs="仿宋"/>
          <w:b w:val="0"/>
          <w:color w:val="auto"/>
          <w:sz w:val="24"/>
          <w:szCs w:val="24"/>
          <w:highlight w:val="none"/>
          <w:lang w:val="en-US" w:eastAsia="zh-CN"/>
        </w:rPr>
        <w:t xml:space="preserve"> </w:t>
      </w:r>
    </w:p>
    <w:p w14:paraId="57A9A295">
      <w:pPr>
        <w:spacing w:line="360" w:lineRule="auto"/>
        <w:ind w:firstLine="480" w:firstLineChars="200"/>
        <w:rPr>
          <w:rFonts w:hint="eastAsia" w:ascii="仿宋" w:hAnsi="仿宋" w:eastAsia="仿宋" w:cs="仿宋"/>
          <w:color w:val="auto"/>
          <w:sz w:val="24"/>
          <w:szCs w:val="24"/>
          <w:highlight w:val="none"/>
        </w:rPr>
      </w:pPr>
      <w:bookmarkStart w:id="406" w:name="_Toc28359081"/>
      <w:bookmarkStart w:id="407" w:name="_Toc35393792"/>
      <w:bookmarkStart w:id="408" w:name="_Toc28359004"/>
      <w:bookmarkStart w:id="409" w:name="_Toc35393623"/>
      <w:r>
        <w:rPr>
          <w:rFonts w:hint="eastAsia" w:ascii="仿宋" w:hAnsi="仿宋" w:eastAsia="仿宋" w:cs="仿宋"/>
          <w:color w:val="auto"/>
          <w:sz w:val="24"/>
          <w:szCs w:val="24"/>
          <w:highlight w:val="none"/>
        </w:rPr>
        <w:t>1.满足《中华人民共和国政府采购法》第二十二条规定，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w:t>
      </w:r>
    </w:p>
    <w:p w14:paraId="2618474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2.落实政府采购政策需满足的资格要求：</w:t>
      </w:r>
    </w:p>
    <w:p w14:paraId="098A230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（1）采购政策  </w:t>
      </w:r>
    </w:p>
    <w:p w14:paraId="7AC38F6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政府采购应当优先采购本国货物、工程和服务，并执行节能产品、环境标志产品、中小企业、残疾人福利性单位、监狱企业、商品外包装等适宜本项目的政府采购政策。  </w:t>
      </w:r>
    </w:p>
    <w:p w14:paraId="693C8D1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（2）政策依据  </w:t>
      </w:r>
    </w:p>
    <w:p w14:paraId="334E0FC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1）财政部、国家发展改革委、生态环境部、市场监管总局《关于调整优化节能产品、环境标志产品政府采购执行机制的通知》（财库[2019]9号文）；  </w:t>
      </w:r>
    </w:p>
    <w:p w14:paraId="3A2100D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2）财政部、生态环境部《关于印发环境标志产品政府采购品目清单的通知》（财库[2019]18号文）；  </w:t>
      </w:r>
    </w:p>
    <w:p w14:paraId="2101A97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3）财政部、发展改革委《关于印发节能产品政府采购品目清单的通知》（财库[2019]19号文）； </w:t>
      </w:r>
    </w:p>
    <w:p w14:paraId="373D7C6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4）市场监管总局《市场监管总局关于发布参与实施政府采购节能产品、环境标志产品认证机构名录的公告》（2019年第16号）；  </w:t>
      </w:r>
    </w:p>
    <w:p w14:paraId="38735A1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5）财政部、工业和信息化部《关于印发《政府采购促进中小企业发展管理办法》的通知》（财库[2020]46号文）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关于进一步加大政府采购支持中小企业力度的通知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财库[2022]19号文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 </w:t>
      </w:r>
    </w:p>
    <w:p w14:paraId="3206B55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6）财政部、民政部、中国残疾人联合会《关于促进残疾人就业政府采购政策的通知》（财库[2017]141号）；  </w:t>
      </w:r>
    </w:p>
    <w:p w14:paraId="56D3E92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7）财政部、司法部《关于政府采购支持监狱企业发展有关问题的通知》（财库[2014]68号文）； </w:t>
      </w:r>
    </w:p>
    <w:p w14:paraId="4C1B9B23">
      <w:pPr>
        <w:numPr>
          <w:ilvl w:val="0"/>
          <w:numId w:val="9"/>
        </w:num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财政部、生态环境部、国家邮政局《关于印发《商品包装政府采购需求标准（试行）》、 《快递包装政府采购需求标准（试行）》的通知》（财办库〔2020〕123号）。</w:t>
      </w:r>
    </w:p>
    <w:p w14:paraId="44D00CDA">
      <w:pPr>
        <w:numPr>
          <w:ilvl w:val="0"/>
          <w:numId w:val="8"/>
        </w:numPr>
        <w:spacing w:line="360" w:lineRule="auto"/>
        <w:ind w:left="0" w:leftChars="0" w:firstLine="640" w:firstLineChars="0"/>
        <w:rPr>
          <w:rFonts w:hint="eastAsia" w:ascii="仿宋" w:hAnsi="仿宋" w:eastAsia="仿宋" w:cs="仿宋"/>
          <w:color w:val="auto"/>
          <w:sz w:val="24"/>
          <w:highlight w:val="none"/>
          <w:lang w:val="en-US" w:eastAsia="zh-CN"/>
        </w:rPr>
      </w:pPr>
      <w:r>
        <w:rPr>
          <w:rFonts w:hint="eastAsia" w:ascii="仿宋" w:hAnsi="仿宋" w:eastAsia="仿宋" w:cs="仿宋"/>
          <w:b w:val="0"/>
          <w:bCs w:val="0"/>
          <w:color w:val="auto"/>
          <w:kern w:val="0"/>
          <w:sz w:val="24"/>
          <w:szCs w:val="24"/>
          <w:highlight w:val="none"/>
          <w:lang w:val="en-US" w:eastAsia="zh-CN" w:bidi="ar-SA"/>
        </w:rPr>
        <w:t>本项目的资格要求：</w:t>
      </w:r>
      <w:r>
        <w:rPr>
          <w:rFonts w:hint="eastAsia" w:ascii="仿宋" w:hAnsi="仿宋" w:eastAsia="仿宋" w:cs="仿宋"/>
          <w:color w:val="auto"/>
          <w:sz w:val="24"/>
          <w:highlight w:val="none"/>
          <w:lang w:val="en-US" w:eastAsia="zh-CN"/>
        </w:rPr>
        <w:t>满足《中华人民共和国政府采购法》第二十二条规定</w:t>
      </w:r>
    </w:p>
    <w:p w14:paraId="1ABAAF96">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FF0000"/>
          <w:sz w:val="24"/>
          <w:szCs w:val="24"/>
          <w:highlight w:val="none"/>
          <w:lang w:val="en-US" w:eastAsia="zh-CN"/>
        </w:rPr>
      </w:pPr>
      <w:r>
        <w:rPr>
          <w:rFonts w:hint="eastAsia" w:ascii="仿宋" w:hAnsi="仿宋" w:eastAsia="仿宋" w:cs="仿宋"/>
          <w:color w:val="FF0000"/>
          <w:sz w:val="24"/>
          <w:szCs w:val="24"/>
          <w:highlight w:val="none"/>
          <w:lang w:val="en-US" w:eastAsia="zh-CN"/>
        </w:rPr>
        <w:t>1、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14:paraId="3F6B2D12">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2、法定代表人身份证明或法定代表人授权委托书及被授权人身份证； </w:t>
      </w:r>
    </w:p>
    <w:p w14:paraId="3C0BCC57">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3、近期（投标截止日期前六个月内任意一个月）依法缴纳社会保障金的缴费证明或银行出具的“银行电子缴纳社会保障金付款凭证”（新成立公司提供相关证明文件） ；</w:t>
      </w:r>
    </w:p>
    <w:p w14:paraId="4FA4F844">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5F58129A">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5、具有良好的商业信誉和健全的财务会计制度(2023年度或2024年的年度财务审计报告书，2025年成立公司提供银行资信证明)；</w:t>
      </w:r>
    </w:p>
    <w:p w14:paraId="6F1629BD">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630B4F52">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7、参加政府采购活动前3年内在经营活动中没有重大违法记录的书面声明；</w:t>
      </w:r>
    </w:p>
    <w:p w14:paraId="0A3F1DA2">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8、提供针对本次项目《反商业贿赂承诺书》；</w:t>
      </w:r>
    </w:p>
    <w:p w14:paraId="54F03149">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9、必须具有履行合同所必需的设备和专业技术能力（按招标文件提供的格式填写）；</w:t>
      </w:r>
    </w:p>
    <w:p w14:paraId="0376ECE4">
      <w:pPr>
        <w:pStyle w:val="4"/>
        <w:spacing w:line="360" w:lineRule="auto"/>
        <w:jc w:val="left"/>
        <w:rPr>
          <w:rFonts w:hint="eastAsia" w:ascii="仿宋" w:hAnsi="仿宋" w:eastAsia="仿宋" w:cs="仿宋"/>
          <w:b w:val="0"/>
          <w:color w:val="auto"/>
          <w:sz w:val="24"/>
          <w:szCs w:val="24"/>
          <w:highlight w:val="none"/>
        </w:rPr>
      </w:pPr>
      <w:bookmarkStart w:id="410" w:name="_Toc19884"/>
      <w:bookmarkStart w:id="411" w:name="_Toc30008"/>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color w:val="auto"/>
          <w:sz w:val="24"/>
          <w:szCs w:val="24"/>
          <w:highlight w:val="none"/>
        </w:rPr>
        <w:t>三、获取招标文件</w:t>
      </w:r>
      <w:bookmarkEnd w:id="406"/>
      <w:bookmarkEnd w:id="407"/>
      <w:bookmarkEnd w:id="408"/>
      <w:bookmarkEnd w:id="409"/>
      <w:bookmarkEnd w:id="410"/>
      <w:bookmarkEnd w:id="411"/>
    </w:p>
    <w:p w14:paraId="2D04A092">
      <w:pPr>
        <w:spacing w:line="360" w:lineRule="auto"/>
        <w:ind w:firstLine="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时间：</w:t>
      </w:r>
      <w:r>
        <w:rPr>
          <w:rFonts w:hint="eastAsia" w:ascii="仿宋" w:hAnsi="仿宋" w:eastAsia="仿宋" w:cs="仿宋"/>
          <w:color w:val="0000FF"/>
          <w:sz w:val="24"/>
          <w:szCs w:val="24"/>
          <w:highlight w:val="none"/>
          <w:u w:val="single"/>
          <w:shd w:val="clear" w:color="auto" w:fill="auto"/>
          <w:lang w:val="en-US" w:eastAsia="zh-CN"/>
        </w:rPr>
        <w:t>2025年4月25日至2025年5月6日</w:t>
      </w:r>
      <w:r>
        <w:rPr>
          <w:rFonts w:hint="eastAsia" w:ascii="仿宋" w:hAnsi="仿宋" w:eastAsia="仿宋" w:cs="仿宋"/>
          <w:color w:val="auto"/>
          <w:sz w:val="24"/>
          <w:szCs w:val="24"/>
          <w:highlight w:val="none"/>
          <w:shd w:val="clear" w:color="auto" w:fill="auto"/>
        </w:rPr>
        <w:t>，每天</w:t>
      </w:r>
      <w:r>
        <w:rPr>
          <w:rFonts w:hint="eastAsia" w:ascii="仿宋" w:hAnsi="仿宋" w:eastAsia="仿宋" w:cs="仿宋"/>
          <w:color w:val="auto"/>
          <w:sz w:val="24"/>
          <w:szCs w:val="24"/>
          <w:highlight w:val="none"/>
          <w:u w:val="single"/>
          <w:shd w:val="clear" w:color="auto" w:fill="auto"/>
          <w:lang w:val="en-US" w:eastAsia="zh-CN"/>
        </w:rPr>
        <w:t>00:00</w:t>
      </w:r>
      <w:r>
        <w:rPr>
          <w:rFonts w:hint="eastAsia" w:ascii="仿宋" w:hAnsi="仿宋" w:eastAsia="仿宋" w:cs="仿宋"/>
          <w:color w:val="auto"/>
          <w:sz w:val="24"/>
          <w:szCs w:val="24"/>
          <w:highlight w:val="none"/>
          <w:shd w:val="clear" w:color="auto" w:fill="auto"/>
        </w:rPr>
        <w:t>至</w:t>
      </w:r>
      <w:r>
        <w:rPr>
          <w:rFonts w:hint="eastAsia" w:ascii="仿宋" w:hAnsi="仿宋" w:eastAsia="仿宋" w:cs="仿宋"/>
          <w:color w:val="auto"/>
          <w:sz w:val="24"/>
          <w:szCs w:val="24"/>
          <w:highlight w:val="none"/>
          <w:u w:val="single"/>
          <w:shd w:val="clear" w:color="auto" w:fill="auto"/>
          <w:lang w:val="en-US" w:eastAsia="zh-CN"/>
        </w:rPr>
        <w:t>23:59</w:t>
      </w:r>
    </w:p>
    <w:p w14:paraId="3C8198B9">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地点：政采云平台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http://www.zcygov.cn/</w:t>
      </w:r>
      <w:r>
        <w:rPr>
          <w:rFonts w:hint="eastAsia" w:ascii="仿宋" w:hAnsi="仿宋" w:eastAsia="仿宋" w:cs="仿宋"/>
          <w:color w:val="auto"/>
          <w:sz w:val="24"/>
          <w:szCs w:val="24"/>
          <w:highlight w:val="none"/>
          <w:lang w:eastAsia="zh-CN"/>
        </w:rPr>
        <w:t>）</w:t>
      </w:r>
    </w:p>
    <w:p w14:paraId="38A4921D">
      <w:pPr>
        <w:keepNext w:val="0"/>
        <w:keepLines w:val="0"/>
        <w:pageBreakBefore w:val="0"/>
        <w:widowControl w:val="0"/>
        <w:kinsoku/>
        <w:wordWrap/>
        <w:overflowPunct/>
        <w:topLinePunct w:val="0"/>
        <w:autoSpaceDE/>
        <w:autoSpaceDN/>
        <w:bidi w:val="0"/>
        <w:adjustRightInd/>
        <w:snapToGrid/>
        <w:spacing w:line="360" w:lineRule="auto"/>
        <w:ind w:firstLine="53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color w:val="auto"/>
          <w:kern w:val="0"/>
          <w:sz w:val="24"/>
          <w:szCs w:val="24"/>
          <w:highlight w:val="none"/>
          <w:lang w:val="en-US" w:eastAsia="zh-CN" w:bidi="ar-SA"/>
        </w:rPr>
        <w:t>获取招标文</w:t>
      </w:r>
      <w:r>
        <w:rPr>
          <w:rFonts w:hint="eastAsia" w:ascii="仿宋" w:hAnsi="仿宋" w:eastAsia="仿宋" w:cs="仿宋"/>
          <w:color w:val="auto"/>
          <w:sz w:val="24"/>
          <w:szCs w:val="24"/>
          <w:highlight w:val="none"/>
          <w:lang w:val="en-US" w:eastAsia="zh-CN"/>
        </w:rPr>
        <w:t>件</w:t>
      </w:r>
      <w:r>
        <w:rPr>
          <w:rFonts w:hint="eastAsia" w:ascii="仿宋" w:hAnsi="仿宋" w:eastAsia="仿宋" w:cs="仿宋"/>
          <w:color w:val="auto"/>
          <w:sz w:val="24"/>
          <w:szCs w:val="24"/>
          <w:highlight w:val="none"/>
        </w:rPr>
        <w:t>方式：</w:t>
      </w:r>
      <w:r>
        <w:rPr>
          <w:rFonts w:hint="eastAsia" w:ascii="仿宋" w:hAnsi="仿宋" w:eastAsia="仿宋" w:cs="仿宋"/>
          <w:color w:val="auto"/>
          <w:sz w:val="24"/>
          <w:szCs w:val="24"/>
          <w:highlight w:val="none"/>
          <w:lang w:val="en-US" w:eastAsia="zh-CN"/>
        </w:rPr>
        <w:t>线上获取</w:t>
      </w:r>
    </w:p>
    <w:p w14:paraId="4129B1FA">
      <w:pPr>
        <w:pStyle w:val="4"/>
        <w:spacing w:line="360" w:lineRule="auto"/>
        <w:jc w:val="left"/>
        <w:rPr>
          <w:rFonts w:hint="eastAsia" w:ascii="仿宋" w:hAnsi="仿宋" w:eastAsia="仿宋" w:cs="仿宋"/>
          <w:b w:val="0"/>
          <w:color w:val="auto"/>
          <w:sz w:val="24"/>
          <w:szCs w:val="24"/>
          <w:highlight w:val="none"/>
        </w:rPr>
      </w:pPr>
      <w:bookmarkStart w:id="412" w:name="_Toc28359082"/>
      <w:bookmarkStart w:id="413" w:name="_Toc28359005"/>
      <w:bookmarkStart w:id="414" w:name="_Toc8247"/>
      <w:bookmarkStart w:id="415" w:name="_Toc606"/>
      <w:bookmarkStart w:id="416" w:name="_Toc35393624"/>
      <w:bookmarkStart w:id="417" w:name="_Toc35393793"/>
      <w:r>
        <w:rPr>
          <w:rFonts w:hint="eastAsia" w:ascii="仿宋" w:hAnsi="仿宋" w:eastAsia="仿宋" w:cs="仿宋"/>
          <w:b w:val="0"/>
          <w:color w:val="auto"/>
          <w:sz w:val="24"/>
          <w:szCs w:val="24"/>
          <w:highlight w:val="none"/>
        </w:rPr>
        <w:t>四、提交投标文件</w:t>
      </w:r>
      <w:bookmarkEnd w:id="412"/>
      <w:bookmarkEnd w:id="413"/>
      <w:r>
        <w:rPr>
          <w:rFonts w:hint="eastAsia" w:ascii="仿宋" w:hAnsi="仿宋" w:eastAsia="仿宋" w:cs="仿宋"/>
          <w:b w:val="0"/>
          <w:color w:val="auto"/>
          <w:sz w:val="24"/>
          <w:szCs w:val="24"/>
          <w:highlight w:val="none"/>
        </w:rPr>
        <w:t>截止时间、开标时间和地点</w:t>
      </w:r>
      <w:bookmarkEnd w:id="414"/>
      <w:bookmarkEnd w:id="415"/>
      <w:bookmarkEnd w:id="416"/>
      <w:bookmarkEnd w:id="417"/>
    </w:p>
    <w:p w14:paraId="0D6035B5">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lang w:val="en-US" w:eastAsia="zh-CN"/>
        </w:rPr>
        <w:t>开标时间：</w:t>
      </w:r>
      <w:r>
        <w:rPr>
          <w:rFonts w:hint="eastAsia" w:ascii="仿宋" w:hAnsi="仿宋" w:eastAsia="仿宋" w:cs="仿宋"/>
          <w:color w:val="0000FF"/>
          <w:sz w:val="24"/>
          <w:highlight w:val="none"/>
          <w:u w:val="single"/>
          <w:lang w:eastAsia="zh-CN"/>
        </w:rPr>
        <w:t>202</w:t>
      </w:r>
      <w:r>
        <w:rPr>
          <w:rFonts w:hint="eastAsia" w:ascii="仿宋" w:hAnsi="仿宋" w:eastAsia="仿宋" w:cs="仿宋"/>
          <w:color w:val="0000FF"/>
          <w:sz w:val="24"/>
          <w:highlight w:val="none"/>
          <w:u w:val="single"/>
          <w:lang w:val="en-US" w:eastAsia="zh-CN"/>
        </w:rPr>
        <w:t>5</w:t>
      </w:r>
      <w:r>
        <w:rPr>
          <w:rFonts w:hint="eastAsia" w:ascii="仿宋" w:hAnsi="仿宋" w:eastAsia="仿宋" w:cs="仿宋"/>
          <w:color w:val="0000FF"/>
          <w:sz w:val="24"/>
          <w:highlight w:val="none"/>
          <w:u w:val="single"/>
          <w:lang w:eastAsia="zh-CN"/>
        </w:rPr>
        <w:t>年</w:t>
      </w:r>
      <w:r>
        <w:rPr>
          <w:rFonts w:hint="eastAsia" w:ascii="仿宋" w:hAnsi="仿宋" w:eastAsia="仿宋" w:cs="仿宋"/>
          <w:color w:val="0000FF"/>
          <w:sz w:val="24"/>
          <w:highlight w:val="none"/>
          <w:u w:val="single"/>
          <w:lang w:val="en-US" w:eastAsia="zh-CN"/>
        </w:rPr>
        <w:t>05月16</w:t>
      </w:r>
      <w:r>
        <w:rPr>
          <w:rFonts w:hint="eastAsia" w:ascii="仿宋" w:hAnsi="仿宋" w:eastAsia="仿宋" w:cs="仿宋"/>
          <w:color w:val="0000FF"/>
          <w:sz w:val="24"/>
          <w:highlight w:val="none"/>
          <w:u w:val="single"/>
          <w:lang w:eastAsia="zh-CN"/>
        </w:rPr>
        <w:t>日上</w:t>
      </w:r>
      <w:r>
        <w:rPr>
          <w:rFonts w:hint="eastAsia" w:ascii="仿宋" w:hAnsi="仿宋" w:eastAsia="仿宋" w:cs="仿宋"/>
          <w:color w:val="0000FF"/>
          <w:sz w:val="24"/>
          <w:highlight w:val="none"/>
          <w:u w:val="single"/>
        </w:rPr>
        <w:t>午1</w:t>
      </w:r>
      <w:r>
        <w:rPr>
          <w:rFonts w:hint="eastAsia" w:ascii="仿宋" w:hAnsi="仿宋" w:eastAsia="仿宋" w:cs="仿宋"/>
          <w:color w:val="0000FF"/>
          <w:sz w:val="24"/>
          <w:highlight w:val="none"/>
          <w:u w:val="single"/>
          <w:lang w:val="en-US" w:eastAsia="zh-CN"/>
        </w:rPr>
        <w:t>1</w:t>
      </w:r>
      <w:r>
        <w:rPr>
          <w:rFonts w:hint="eastAsia" w:ascii="仿宋" w:hAnsi="仿宋" w:eastAsia="仿宋" w:cs="仿宋"/>
          <w:color w:val="0000FF"/>
          <w:sz w:val="24"/>
          <w:highlight w:val="none"/>
          <w:u w:val="single"/>
        </w:rPr>
        <w:t>：</w:t>
      </w:r>
      <w:r>
        <w:rPr>
          <w:rFonts w:hint="eastAsia" w:ascii="仿宋" w:hAnsi="仿宋" w:eastAsia="仿宋" w:cs="仿宋"/>
          <w:color w:val="0000FF"/>
          <w:sz w:val="24"/>
          <w:highlight w:val="none"/>
          <w:u w:val="single"/>
          <w:lang w:val="en-US" w:eastAsia="zh-CN"/>
        </w:rPr>
        <w:t>0</w:t>
      </w:r>
      <w:r>
        <w:rPr>
          <w:rFonts w:hint="eastAsia" w:ascii="仿宋" w:hAnsi="仿宋" w:eastAsia="仿宋" w:cs="仿宋"/>
          <w:color w:val="0000FF"/>
          <w:sz w:val="24"/>
          <w:highlight w:val="none"/>
          <w:u w:val="single"/>
        </w:rPr>
        <w:t>0时</w:t>
      </w:r>
      <w:r>
        <w:rPr>
          <w:rFonts w:hint="eastAsia" w:ascii="仿宋" w:hAnsi="仿宋" w:eastAsia="仿宋" w:cs="仿宋"/>
          <w:color w:val="auto"/>
          <w:sz w:val="24"/>
          <w:szCs w:val="24"/>
          <w:highlight w:val="none"/>
          <w:lang w:val="en-US" w:eastAsia="zh-CN"/>
        </w:rPr>
        <w:t>（北京时间）</w:t>
      </w:r>
    </w:p>
    <w:p w14:paraId="549248D1">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地  点</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政采云平台http://www.zcygov.cn/</w:t>
      </w:r>
    </w:p>
    <w:p w14:paraId="601F35FD">
      <w:pPr>
        <w:pStyle w:val="4"/>
        <w:spacing w:line="360" w:lineRule="auto"/>
        <w:jc w:val="left"/>
        <w:rPr>
          <w:rFonts w:hint="eastAsia" w:ascii="仿宋" w:hAnsi="仿宋" w:eastAsia="仿宋" w:cs="仿宋"/>
          <w:b w:val="0"/>
          <w:color w:val="auto"/>
          <w:sz w:val="24"/>
          <w:szCs w:val="24"/>
          <w:highlight w:val="none"/>
          <w:lang w:val="en-US" w:eastAsia="zh-CN"/>
        </w:rPr>
      </w:pPr>
      <w:bookmarkStart w:id="418" w:name="_Toc35393625"/>
      <w:bookmarkStart w:id="419" w:name="_Toc28359084"/>
      <w:bookmarkStart w:id="420" w:name="_Toc9877"/>
      <w:bookmarkStart w:id="421" w:name="_Toc28359007"/>
      <w:bookmarkStart w:id="422" w:name="_Toc35393794"/>
      <w:r>
        <w:rPr>
          <w:rFonts w:hint="eastAsia" w:ascii="仿宋" w:hAnsi="仿宋" w:eastAsia="仿宋" w:cs="仿宋"/>
          <w:b w:val="0"/>
          <w:color w:val="auto"/>
          <w:sz w:val="24"/>
          <w:szCs w:val="24"/>
          <w:highlight w:val="none"/>
          <w:lang w:val="en-US" w:eastAsia="zh-CN"/>
        </w:rPr>
        <w:t>五、公告期限</w:t>
      </w:r>
      <w:bookmarkEnd w:id="418"/>
      <w:bookmarkEnd w:id="419"/>
      <w:bookmarkEnd w:id="420"/>
      <w:bookmarkEnd w:id="421"/>
      <w:bookmarkEnd w:id="422"/>
    </w:p>
    <w:p w14:paraId="447AECC7">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自本公告发布之日起5个工作日。</w:t>
      </w:r>
    </w:p>
    <w:p w14:paraId="5D5AF58D">
      <w:pPr>
        <w:pStyle w:val="4"/>
        <w:numPr>
          <w:ilvl w:val="0"/>
          <w:numId w:val="10"/>
        </w:numPr>
        <w:spacing w:line="360" w:lineRule="auto"/>
        <w:jc w:val="left"/>
        <w:rPr>
          <w:rFonts w:hint="eastAsia" w:ascii="仿宋" w:hAnsi="仿宋" w:eastAsia="仿宋" w:cs="仿宋"/>
          <w:b w:val="0"/>
          <w:color w:val="auto"/>
          <w:sz w:val="24"/>
          <w:szCs w:val="24"/>
          <w:highlight w:val="none"/>
        </w:rPr>
      </w:pPr>
      <w:bookmarkStart w:id="423" w:name="_Toc7953"/>
      <w:bookmarkStart w:id="424" w:name="_Toc35393626"/>
      <w:bookmarkStart w:id="425" w:name="_Toc35393795"/>
      <w:bookmarkStart w:id="426" w:name="_Toc23032"/>
      <w:r>
        <w:rPr>
          <w:rFonts w:hint="eastAsia" w:ascii="仿宋" w:hAnsi="仿宋" w:eastAsia="仿宋" w:cs="仿宋"/>
          <w:b w:val="0"/>
          <w:color w:val="auto"/>
          <w:sz w:val="24"/>
          <w:szCs w:val="24"/>
          <w:highlight w:val="none"/>
        </w:rPr>
        <w:t>其他补充事宜</w:t>
      </w:r>
      <w:bookmarkEnd w:id="423"/>
      <w:bookmarkEnd w:id="424"/>
      <w:bookmarkEnd w:id="425"/>
      <w:bookmarkEnd w:id="426"/>
    </w:p>
    <w:p w14:paraId="074DA1F8">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26E77334">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2.本项目实行网上投标，采用电子投标文件(供应商须使用CA加密设备通过政采云电子投标客户端制作投标文件)。若供应商参与投标，自行承担投标一切费用。</w:t>
      </w:r>
    </w:p>
    <w:p w14:paraId="46AA2266">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3.各供应商应在开标前应确保成为新疆维吾尔自治区政府采购网正式注册入库供应商，并完成CA数字证书申领。因未注册入库、未办理CA数字证书等原因造成无法投标或投标失败等后果由供应商自行承担。</w:t>
      </w:r>
    </w:p>
    <w:p w14:paraId="537D9C79">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061D56D4">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5.供应商在开标时须使用制作加密电子投标文件所使用的CA锁及电脑，电脑须提前配置好浏览器（建议使用谷歌浏览器），以便开标时解锁。</w:t>
      </w:r>
    </w:p>
    <w:p w14:paraId="25753533">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6.投标保证金缴纳及确认时间：凡拟参加本次招标项目的供应商，必须在开标前将投标保证金汇入指定账户。投标保证金汇款凭证上用途栏应注明:招标项目名称+投标保证金。</w:t>
      </w:r>
    </w:p>
    <w:p w14:paraId="418AE487">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62D83CAF">
      <w:pPr>
        <w:pStyle w:val="38"/>
        <w:ind w:left="0" w:leftChars="0"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8.政采云线上获取招标文件方法：供应商登陆政采云平台http://www.zcygov.cn/，在线申请获取采购文件（登录政府采购云平台 → 项目采购 → 获取采购文件 → 申请，自行下载招标文件，如有操作性问题，可与政采云在线客服进行咨询，咨询电话：95763）</w:t>
      </w:r>
    </w:p>
    <w:p w14:paraId="039DF90F">
      <w:pPr>
        <w:pStyle w:val="38"/>
        <w:keepNext w:val="0"/>
        <w:keepLines w:val="0"/>
        <w:pageBreakBefore w:val="0"/>
        <w:widowControl w:val="0"/>
        <w:kinsoku/>
        <w:wordWrap/>
        <w:overflowPunct/>
        <w:topLinePunct w:val="0"/>
        <w:autoSpaceDE/>
        <w:autoSpaceDN/>
        <w:bidi w:val="0"/>
        <w:adjustRightInd/>
        <w:snapToGrid/>
        <w:spacing w:line="324" w:lineRule="auto"/>
        <w:ind w:left="0" w:leftChars="0" w:firstLine="482" w:firstLineChars="200"/>
        <w:textAlignment w:val="auto"/>
        <w:rPr>
          <w:rFonts w:hint="eastAsia" w:ascii="仿宋" w:hAnsi="仿宋" w:eastAsia="仿宋" w:cs="仿宋"/>
          <w:b/>
          <w:bCs/>
          <w:color w:val="auto"/>
          <w:kern w:val="0"/>
          <w:sz w:val="24"/>
          <w:szCs w:val="24"/>
          <w:highlight w:val="none"/>
          <w:lang w:val="en-US" w:eastAsia="zh-CN"/>
        </w:rPr>
      </w:pPr>
      <w:bookmarkStart w:id="427" w:name="_Toc28359085"/>
      <w:bookmarkStart w:id="428" w:name="_Toc35393796"/>
      <w:bookmarkStart w:id="429" w:name="_Toc28359008"/>
      <w:bookmarkStart w:id="430" w:name="_Toc35393627"/>
      <w:bookmarkStart w:id="431" w:name="_Toc19443"/>
      <w:r>
        <w:rPr>
          <w:rFonts w:hint="eastAsia" w:ascii="仿宋" w:hAnsi="仿宋" w:eastAsia="仿宋" w:cs="仿宋"/>
          <w:b/>
          <w:bCs/>
          <w:color w:val="auto"/>
          <w:kern w:val="0"/>
          <w:sz w:val="24"/>
          <w:szCs w:val="24"/>
          <w:highlight w:val="none"/>
          <w:lang w:val="en-US" w:eastAsia="zh-CN"/>
        </w:rPr>
        <w:t>特别提示：</w:t>
      </w:r>
    </w:p>
    <w:p w14:paraId="1DB43D5E">
      <w:pPr>
        <w:pStyle w:val="38"/>
        <w:ind w:left="0" w:leftChars="0" w:firstLine="482" w:firstLineChars="200"/>
        <w:rPr>
          <w:rFonts w:hint="eastAsia" w:ascii="仿宋" w:hAnsi="仿宋" w:eastAsia="仿宋" w:cs="仿宋"/>
          <w:b/>
          <w:bCs/>
          <w:kern w:val="0"/>
          <w:sz w:val="24"/>
          <w:szCs w:val="24"/>
          <w:lang w:val="en-US" w:eastAsia="zh-CN"/>
        </w:rPr>
      </w:pPr>
      <w:bookmarkStart w:id="432" w:name="_Toc27365"/>
      <w:r>
        <w:rPr>
          <w:rFonts w:hint="eastAsia" w:ascii="仿宋" w:hAnsi="仿宋" w:eastAsia="仿宋" w:cs="仿宋"/>
          <w:b/>
          <w:bCs/>
          <w:kern w:val="0"/>
          <w:sz w:val="24"/>
          <w:szCs w:val="24"/>
          <w:lang w:val="en-US" w:eastAsia="zh-CN"/>
        </w:rPr>
        <w:t>1、采购限额标准以上，200万元以下的货物和服务采购项目、400万元以下的工程采购项目，适宜由中小企业提供的，采购人应当专门面向中小企业采购。</w:t>
      </w:r>
    </w:p>
    <w:p w14:paraId="24B33671">
      <w:pPr>
        <w:pStyle w:val="38"/>
        <w:ind w:left="0" w:leftChars="0" w:firstLine="482" w:firstLineChars="200"/>
        <w:rPr>
          <w:rFonts w:hint="eastAsia" w:ascii="仿宋" w:hAnsi="仿宋" w:eastAsia="仿宋" w:cs="仿宋"/>
          <w:b/>
          <w:bCs/>
          <w:kern w:val="0"/>
          <w:sz w:val="24"/>
          <w:szCs w:val="24"/>
          <w:lang w:val="en-US" w:eastAsia="zh-CN"/>
        </w:rPr>
      </w:pPr>
      <w:r>
        <w:rPr>
          <w:rFonts w:hint="eastAsia" w:ascii="仿宋" w:hAnsi="仿宋" w:eastAsia="仿宋" w:cs="仿宋"/>
          <w:b/>
          <w:bCs/>
          <w:kern w:val="0"/>
          <w:sz w:val="24"/>
          <w:szCs w:val="24"/>
          <w:lang w:val="en-US" w:eastAsia="zh-CN"/>
        </w:rPr>
        <w:t>2、超过200万元的货物和服务采购项目、超过400万元的工程采购项目中适宜由中小企业提供的，预留该部分采购项目预算总额的30%以上专门面向中小企业采购，其中预留给小微企业的比例不低于60%。</w:t>
      </w:r>
    </w:p>
    <w:p w14:paraId="72F24188">
      <w:pPr>
        <w:pStyle w:val="38"/>
        <w:ind w:left="0" w:leftChars="0" w:firstLine="482" w:firstLineChars="200"/>
        <w:rPr>
          <w:rFonts w:hint="eastAsia" w:ascii="仿宋" w:hAnsi="仿宋" w:eastAsia="仿宋" w:cs="仿宋"/>
          <w:b/>
          <w:bCs/>
          <w:kern w:val="0"/>
          <w:sz w:val="24"/>
          <w:szCs w:val="24"/>
          <w:highlight w:val="none"/>
          <w:lang w:val="en-US" w:eastAsia="zh-CN"/>
        </w:rPr>
      </w:pPr>
      <w:r>
        <w:rPr>
          <w:rFonts w:hint="eastAsia" w:ascii="仿宋" w:hAnsi="仿宋" w:eastAsia="仿宋" w:cs="仿宋"/>
          <w:b/>
          <w:bCs/>
          <w:kern w:val="0"/>
          <w:sz w:val="24"/>
          <w:szCs w:val="24"/>
          <w:lang w:val="en-US" w:eastAsia="zh-CN"/>
        </w:rPr>
        <w:t>3、</w:t>
      </w:r>
      <w:r>
        <w:rPr>
          <w:rFonts w:hint="eastAsia" w:ascii="仿宋" w:hAnsi="仿宋" w:eastAsia="仿宋" w:cs="仿宋"/>
          <w:b/>
          <w:bCs/>
          <w:kern w:val="0"/>
          <w:sz w:val="24"/>
          <w:szCs w:val="24"/>
          <w:highlight w:val="none"/>
          <w:lang w:val="en-US" w:eastAsia="zh-CN"/>
        </w:rPr>
        <w:t>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3EE28F0">
      <w:pPr>
        <w:pStyle w:val="38"/>
        <w:ind w:left="0" w:leftChars="0" w:firstLine="482" w:firstLineChars="200"/>
        <w:rPr>
          <w:rFonts w:hint="eastAsia" w:ascii="仿宋" w:hAnsi="仿宋" w:eastAsia="仿宋" w:cs="仿宋"/>
          <w:b/>
          <w:bCs/>
          <w:kern w:val="0"/>
          <w:sz w:val="24"/>
          <w:szCs w:val="24"/>
          <w:lang w:val="en-US" w:eastAsia="zh-CN"/>
        </w:rPr>
      </w:pPr>
      <w:r>
        <w:rPr>
          <w:rFonts w:hint="eastAsia" w:ascii="仿宋" w:hAnsi="仿宋" w:eastAsia="仿宋" w:cs="仿宋"/>
          <w:b/>
          <w:bCs/>
          <w:kern w:val="0"/>
          <w:sz w:val="24"/>
          <w:szCs w:val="24"/>
          <w:lang w:val="en-US" w:eastAsia="zh-CN"/>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4C45CAB">
      <w:pPr>
        <w:pStyle w:val="4"/>
        <w:spacing w:line="360" w:lineRule="auto"/>
        <w:jc w:val="left"/>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val="en-US" w:eastAsia="zh-CN"/>
        </w:rPr>
        <w:t>七、对本次招标提出询问，请按以下方式联系。</w:t>
      </w:r>
      <w:bookmarkEnd w:id="427"/>
      <w:bookmarkEnd w:id="428"/>
      <w:bookmarkEnd w:id="429"/>
      <w:bookmarkEnd w:id="430"/>
      <w:bookmarkEnd w:id="431"/>
      <w:bookmarkEnd w:id="432"/>
    </w:p>
    <w:p w14:paraId="0C48ABE5">
      <w:pPr>
        <w:keepNext w:val="0"/>
        <w:keepLines w:val="0"/>
        <w:pageBreakBefore w:val="0"/>
        <w:widowControl/>
        <w:kinsoku/>
        <w:wordWrap/>
        <w:overflowPunct/>
        <w:topLinePunct w:val="0"/>
        <w:autoSpaceDE/>
        <w:autoSpaceDN/>
        <w:bidi w:val="0"/>
        <w:adjustRightInd/>
        <w:spacing w:line="34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1.采购人信息</w:t>
      </w:r>
    </w:p>
    <w:p w14:paraId="75DB3855">
      <w:pPr>
        <w:keepNext w:val="0"/>
        <w:keepLines w:val="0"/>
        <w:pageBreakBefore w:val="0"/>
        <w:kinsoku/>
        <w:wordWrap/>
        <w:overflowPunct/>
        <w:topLinePunct w:val="0"/>
        <w:autoSpaceDE/>
        <w:autoSpaceDN/>
        <w:bidi w:val="0"/>
        <w:adjustRightInd/>
        <w:spacing w:line="348" w:lineRule="auto"/>
        <w:ind w:left="1079" w:leftChars="371" w:hanging="300" w:hangingChars="125"/>
        <w:jc w:val="left"/>
        <w:textAlignment w:val="auto"/>
        <w:rPr>
          <w:rFonts w:hint="eastAsia" w:ascii="仿宋" w:hAnsi="仿宋" w:eastAsia="仿宋" w:cs="仿宋"/>
          <w:color w:val="auto"/>
          <w:sz w:val="24"/>
          <w:szCs w:val="24"/>
          <w:highlight w:val="none"/>
        </w:rPr>
      </w:pPr>
      <w:bookmarkStart w:id="433" w:name="_Toc28359009"/>
      <w:bookmarkStart w:id="434" w:name="_Toc28359086"/>
      <w:r>
        <w:rPr>
          <w:rFonts w:hint="eastAsia" w:ascii="仿宋" w:hAnsi="仿宋" w:eastAsia="仿宋" w:cs="仿宋"/>
          <w:color w:val="auto"/>
          <w:sz w:val="24"/>
          <w:szCs w:val="24"/>
          <w:highlight w:val="none"/>
        </w:rPr>
        <w:t xml:space="preserve">采购单位： </w:t>
      </w:r>
      <w:r>
        <w:rPr>
          <w:rFonts w:hint="eastAsia" w:ascii="仿宋" w:hAnsi="仿宋" w:eastAsia="仿宋" w:cs="仿宋"/>
          <w:color w:val="auto"/>
          <w:sz w:val="24"/>
          <w:szCs w:val="24"/>
          <w:highlight w:val="none"/>
          <w:u w:val="single"/>
          <w:lang w:val="en-US" w:eastAsia="zh-CN"/>
        </w:rPr>
        <w:t xml:space="preserve"> 莎车县教育局 </w:t>
      </w:r>
      <w:r>
        <w:rPr>
          <w:rFonts w:hint="eastAsia" w:ascii="仿宋" w:hAnsi="仿宋" w:eastAsia="仿宋" w:cs="仿宋"/>
          <w:color w:val="auto"/>
          <w:sz w:val="24"/>
          <w:szCs w:val="24"/>
          <w:highlight w:val="none"/>
        </w:rPr>
        <w:t xml:space="preserve">     </w:t>
      </w:r>
    </w:p>
    <w:p w14:paraId="411CCB19">
      <w:pPr>
        <w:keepNext w:val="0"/>
        <w:keepLines w:val="0"/>
        <w:pageBreakBefore w:val="0"/>
        <w:kinsoku/>
        <w:wordWrap/>
        <w:overflowPunct/>
        <w:topLinePunct w:val="0"/>
        <w:autoSpaceDE/>
        <w:autoSpaceDN/>
        <w:bidi w:val="0"/>
        <w:adjustRightInd/>
        <w:spacing w:line="348" w:lineRule="auto"/>
        <w:ind w:left="1079" w:leftChars="371" w:hanging="300" w:hangingChars="125"/>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 系 人： </w:t>
      </w:r>
      <w:r>
        <w:rPr>
          <w:rFonts w:hint="eastAsia" w:ascii="仿宋" w:hAnsi="仿宋" w:eastAsia="仿宋" w:cs="仿宋"/>
          <w:color w:val="auto"/>
          <w:sz w:val="24"/>
          <w:szCs w:val="24"/>
          <w:highlight w:val="none"/>
          <w:u w:val="single"/>
          <w:lang w:val="en-US" w:eastAsia="zh-CN"/>
        </w:rPr>
        <w:t xml:space="preserve"> 张老师  </w:t>
      </w:r>
      <w:r>
        <w:rPr>
          <w:rFonts w:hint="eastAsia" w:ascii="仿宋" w:hAnsi="仿宋" w:eastAsia="仿宋" w:cs="仿宋"/>
          <w:color w:val="auto"/>
          <w:sz w:val="24"/>
          <w:szCs w:val="24"/>
          <w:highlight w:val="none"/>
        </w:rPr>
        <w:t xml:space="preserve">       </w:t>
      </w:r>
    </w:p>
    <w:p w14:paraId="7AD75302">
      <w:pPr>
        <w:keepNext w:val="0"/>
        <w:keepLines w:val="0"/>
        <w:pageBreakBefore w:val="0"/>
        <w:kinsoku/>
        <w:wordWrap/>
        <w:overflowPunct/>
        <w:topLinePunct w:val="0"/>
        <w:autoSpaceDE/>
        <w:autoSpaceDN/>
        <w:bidi w:val="0"/>
        <w:adjustRightInd/>
        <w:spacing w:line="348" w:lineRule="auto"/>
        <w:ind w:left="1079" w:leftChars="371" w:hanging="300" w:hangingChars="125"/>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联系电话： </w:t>
      </w:r>
      <w:r>
        <w:rPr>
          <w:rFonts w:hint="eastAsia" w:ascii="仿宋" w:hAnsi="仿宋" w:eastAsia="仿宋" w:cs="仿宋"/>
          <w:color w:val="auto"/>
          <w:sz w:val="24"/>
          <w:szCs w:val="24"/>
          <w:highlight w:val="none"/>
          <w:u w:val="single"/>
          <w:lang w:val="en-US" w:eastAsia="zh-CN"/>
        </w:rPr>
        <w:t xml:space="preserve"> 0998-8511397</w:t>
      </w:r>
      <w:r>
        <w:rPr>
          <w:rFonts w:hint="eastAsia" w:ascii="仿宋" w:hAnsi="仿宋" w:eastAsia="仿宋" w:cs="仿宋"/>
          <w:color w:val="auto"/>
          <w:sz w:val="24"/>
          <w:szCs w:val="24"/>
          <w:highlight w:val="none"/>
        </w:rPr>
        <w:t xml:space="preserve">   </w:t>
      </w:r>
    </w:p>
    <w:p w14:paraId="24180D66">
      <w:pPr>
        <w:keepNext w:val="0"/>
        <w:keepLines w:val="0"/>
        <w:pageBreakBefore w:val="0"/>
        <w:kinsoku/>
        <w:wordWrap/>
        <w:overflowPunct/>
        <w:topLinePunct w:val="0"/>
        <w:autoSpaceDE/>
        <w:autoSpaceDN/>
        <w:bidi w:val="0"/>
        <w:adjustRightInd/>
        <w:spacing w:line="348" w:lineRule="auto"/>
        <w:ind w:left="1079" w:leftChars="371" w:hanging="300" w:hangingChars="125"/>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bookmarkEnd w:id="433"/>
      <w:bookmarkEnd w:id="434"/>
    </w:p>
    <w:p w14:paraId="721AA2E3">
      <w:pPr>
        <w:keepNext w:val="0"/>
        <w:keepLines w:val="0"/>
        <w:pageBreakBefore w:val="0"/>
        <w:kinsoku/>
        <w:wordWrap/>
        <w:overflowPunct/>
        <w:topLinePunct w:val="0"/>
        <w:autoSpaceDE/>
        <w:autoSpaceDN/>
        <w:bidi w:val="0"/>
        <w:adjustRightInd/>
        <w:spacing w:line="348" w:lineRule="auto"/>
        <w:ind w:firstLine="720" w:firstLineChars="300"/>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szCs w:val="24"/>
          <w:highlight w:val="none"/>
        </w:rPr>
        <w:t>名</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称：</w:t>
      </w:r>
      <w:r>
        <w:rPr>
          <w:rFonts w:hint="eastAsia" w:ascii="仿宋" w:hAnsi="仿宋" w:eastAsia="仿宋" w:cs="仿宋"/>
          <w:color w:val="auto"/>
          <w:sz w:val="24"/>
          <w:szCs w:val="24"/>
          <w:highlight w:val="none"/>
          <w:u w:val="single"/>
          <w:lang w:val="en-US" w:eastAsia="zh-CN"/>
        </w:rPr>
        <w:t>新疆新华远景工程造价咨询有限公司</w:t>
      </w:r>
    </w:p>
    <w:p w14:paraId="532725D9">
      <w:pPr>
        <w:keepNext w:val="0"/>
        <w:keepLines w:val="0"/>
        <w:pageBreakBefore w:val="0"/>
        <w:kinsoku/>
        <w:wordWrap/>
        <w:overflowPunct/>
        <w:topLinePunct w:val="0"/>
        <w:autoSpaceDE/>
        <w:autoSpaceDN/>
        <w:bidi w:val="0"/>
        <w:adjustRightInd/>
        <w:spacing w:line="348" w:lineRule="auto"/>
        <w:ind w:firstLine="720" w:firstLineChars="300"/>
        <w:textAlignment w:val="auto"/>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u w:val="none"/>
          <w:lang w:eastAsia="zh-CN"/>
        </w:rPr>
        <w:t>地　址：</w:t>
      </w:r>
      <w:r>
        <w:rPr>
          <w:rFonts w:hint="eastAsia" w:ascii="仿宋" w:hAnsi="仿宋" w:eastAsia="仿宋" w:cs="仿宋"/>
          <w:color w:val="auto"/>
          <w:sz w:val="24"/>
          <w:szCs w:val="24"/>
          <w:highlight w:val="none"/>
          <w:u w:val="single"/>
          <w:lang w:val="en-US" w:eastAsia="zh-CN"/>
        </w:rPr>
        <w:t>喀什地区莎车县团结路浙商大酒店5楼 507 室</w:t>
      </w:r>
    </w:p>
    <w:p w14:paraId="3C19A453">
      <w:pPr>
        <w:keepNext w:val="0"/>
        <w:keepLines w:val="0"/>
        <w:pageBreakBefore w:val="0"/>
        <w:kinsoku/>
        <w:wordWrap/>
        <w:overflowPunct/>
        <w:topLinePunct w:val="0"/>
        <w:autoSpaceDE/>
        <w:autoSpaceDN/>
        <w:bidi w:val="0"/>
        <w:adjustRightInd/>
        <w:spacing w:line="348" w:lineRule="auto"/>
        <w:ind w:firstLine="720" w:firstLineChars="3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联系方式：</w:t>
      </w:r>
      <w:bookmarkStart w:id="435" w:name="_Toc28359010"/>
      <w:bookmarkStart w:id="436" w:name="_Toc28359087"/>
      <w:r>
        <w:rPr>
          <w:rFonts w:hint="eastAsia" w:ascii="仿宋" w:hAnsi="仿宋" w:eastAsia="仿宋" w:cs="仿宋"/>
          <w:color w:val="auto"/>
          <w:sz w:val="24"/>
          <w:szCs w:val="24"/>
          <w:highlight w:val="none"/>
          <w:u w:val="single"/>
          <w:lang w:val="en-US" w:eastAsia="zh-CN"/>
        </w:rPr>
        <w:t>赵睿 19999458925</w:t>
      </w:r>
    </w:p>
    <w:bookmarkEnd w:id="435"/>
    <w:bookmarkEnd w:id="436"/>
    <w:p w14:paraId="04BFB8CE">
      <w:pPr>
        <w:rPr>
          <w:rFonts w:hint="eastAsia" w:ascii="仿宋" w:hAnsi="仿宋" w:eastAsia="仿宋" w:cs="仿宋"/>
          <w:b/>
          <w:color w:val="auto"/>
          <w:highlight w:val="none"/>
          <w:lang w:val="en-US" w:eastAsia="zh-CN"/>
        </w:rPr>
      </w:pPr>
      <w:bookmarkStart w:id="437" w:name="_Toc21840"/>
      <w:r>
        <w:rPr>
          <w:rFonts w:hint="eastAsia" w:ascii="仿宋" w:hAnsi="仿宋" w:eastAsia="仿宋" w:cs="仿宋"/>
          <w:b/>
          <w:color w:val="auto"/>
          <w:highlight w:val="none"/>
          <w:lang w:val="en-US" w:eastAsia="zh-CN"/>
        </w:rPr>
        <w:br w:type="page"/>
      </w:r>
    </w:p>
    <w:p w14:paraId="5BBA3DB3">
      <w:pPr>
        <w:pStyle w:val="3"/>
        <w:bidi w:val="0"/>
        <w:rPr>
          <w:rFonts w:hint="eastAsia" w:ascii="仿宋" w:hAnsi="仿宋" w:eastAsia="仿宋" w:cs="仿宋"/>
          <w:b/>
          <w:color w:val="auto"/>
          <w:highlight w:val="none"/>
          <w:lang w:eastAsia="zh-CN"/>
        </w:rPr>
      </w:pPr>
      <w:r>
        <w:rPr>
          <w:rFonts w:hint="eastAsia" w:ascii="仿宋" w:hAnsi="仿宋" w:eastAsia="仿宋" w:cs="仿宋"/>
          <w:b/>
          <w:color w:val="auto"/>
          <w:highlight w:val="none"/>
          <w:lang w:val="en-US" w:eastAsia="zh-CN"/>
        </w:rPr>
        <w:t>第4章  投标人须知资料表</w:t>
      </w:r>
      <w:bookmarkEnd w:id="437"/>
    </w:p>
    <w:p w14:paraId="3D9F5B3A">
      <w:pPr>
        <w:spacing w:line="240" w:lineRule="atLeas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本表是本招标项目的具体资料，是对投标人须知的具体补充和修改，如有矛盾，应以本资料表为准。</w:t>
      </w:r>
    </w:p>
    <w:tbl>
      <w:tblPr>
        <w:tblStyle w:val="39"/>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381"/>
        <w:gridCol w:w="7604"/>
      </w:tblGrid>
      <w:tr w14:paraId="4571F8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381" w:type="dxa"/>
            <w:noWrap w:val="0"/>
            <w:vAlign w:val="center"/>
          </w:tcPr>
          <w:p w14:paraId="200DD08D">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条款号</w:t>
            </w:r>
          </w:p>
        </w:tc>
        <w:tc>
          <w:tcPr>
            <w:tcW w:w="7604" w:type="dxa"/>
            <w:noWrap w:val="0"/>
            <w:vAlign w:val="center"/>
          </w:tcPr>
          <w:p w14:paraId="3EBA169C">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内      容</w:t>
            </w:r>
          </w:p>
        </w:tc>
      </w:tr>
      <w:tr w14:paraId="5B4817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05" w:hRule="atLeast"/>
        </w:trPr>
        <w:tc>
          <w:tcPr>
            <w:tcW w:w="1381" w:type="dxa"/>
            <w:noWrap w:val="0"/>
            <w:vAlign w:val="center"/>
          </w:tcPr>
          <w:p w14:paraId="71C3FAA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7604" w:type="dxa"/>
            <w:noWrap w:val="0"/>
            <w:vAlign w:val="center"/>
          </w:tcPr>
          <w:p w14:paraId="4146C787">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采购单位：</w:t>
            </w:r>
            <w:r>
              <w:rPr>
                <w:rFonts w:hint="eastAsia" w:ascii="仿宋" w:hAnsi="仿宋" w:eastAsia="仿宋" w:cs="仿宋"/>
                <w:color w:val="auto"/>
                <w:sz w:val="24"/>
                <w:highlight w:val="none"/>
                <w:u w:val="single"/>
                <w:lang w:val="en-US" w:eastAsia="zh-CN"/>
              </w:rPr>
              <w:t xml:space="preserve">莎车县教育局 </w:t>
            </w:r>
            <w:r>
              <w:rPr>
                <w:rFonts w:hint="eastAsia" w:ascii="仿宋" w:hAnsi="仿宋" w:eastAsia="仿宋" w:cs="仿宋"/>
                <w:color w:val="auto"/>
                <w:sz w:val="24"/>
                <w:highlight w:val="none"/>
                <w:lang w:val="en-US" w:eastAsia="zh-CN"/>
              </w:rPr>
              <w:t xml:space="preserve">      </w:t>
            </w:r>
          </w:p>
          <w:p w14:paraId="54B48021">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联 系 人：</w:t>
            </w:r>
            <w:r>
              <w:rPr>
                <w:rFonts w:hint="eastAsia" w:ascii="仿宋" w:hAnsi="仿宋" w:eastAsia="仿宋" w:cs="仿宋"/>
                <w:color w:val="auto"/>
                <w:sz w:val="24"/>
                <w:highlight w:val="none"/>
                <w:u w:val="single"/>
                <w:lang w:val="en-US" w:eastAsia="zh-CN"/>
              </w:rPr>
              <w:t xml:space="preserve">张老师 </w:t>
            </w:r>
            <w:r>
              <w:rPr>
                <w:rFonts w:hint="eastAsia" w:ascii="仿宋" w:hAnsi="仿宋" w:eastAsia="仿宋" w:cs="仿宋"/>
                <w:color w:val="auto"/>
                <w:sz w:val="24"/>
                <w:highlight w:val="none"/>
                <w:lang w:val="en-US" w:eastAsia="zh-CN"/>
              </w:rPr>
              <w:t xml:space="preserve">        </w:t>
            </w:r>
          </w:p>
          <w:p w14:paraId="0E5AD8E6">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联系电话：</w:t>
            </w:r>
            <w:r>
              <w:rPr>
                <w:rFonts w:hint="eastAsia" w:ascii="仿宋" w:hAnsi="仿宋" w:eastAsia="仿宋" w:cs="仿宋"/>
                <w:color w:val="auto"/>
                <w:sz w:val="24"/>
                <w:highlight w:val="none"/>
                <w:u w:val="single"/>
                <w:lang w:val="en-US" w:eastAsia="zh-CN"/>
              </w:rPr>
              <w:t>0998-8511397</w:t>
            </w:r>
          </w:p>
        </w:tc>
      </w:tr>
      <w:tr w14:paraId="026A7A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381" w:type="dxa"/>
            <w:noWrap w:val="0"/>
            <w:vAlign w:val="center"/>
          </w:tcPr>
          <w:p w14:paraId="102F218B">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7604" w:type="dxa"/>
            <w:noWrap w:val="0"/>
            <w:vAlign w:val="center"/>
          </w:tcPr>
          <w:p w14:paraId="575A49DB">
            <w:pPr>
              <w:keepNext w:val="0"/>
              <w:keepLines w:val="0"/>
              <w:suppressLineNumbers w:val="0"/>
              <w:spacing w:before="0" w:beforeAutospacing="0" w:after="0" w:afterAutospacing="0" w:line="240" w:lineRule="auto"/>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名</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称：</w:t>
            </w:r>
            <w:r>
              <w:rPr>
                <w:rFonts w:hint="eastAsia" w:ascii="仿宋" w:hAnsi="仿宋" w:eastAsia="仿宋" w:cs="仿宋"/>
                <w:color w:val="auto"/>
                <w:sz w:val="24"/>
                <w:highlight w:val="none"/>
                <w:u w:val="single"/>
                <w:lang w:val="en-US" w:eastAsia="zh-CN"/>
              </w:rPr>
              <w:t>新疆新华远景工程造价咨询有限公司</w:t>
            </w:r>
          </w:p>
          <w:p w14:paraId="1A1765D5">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textAlignment w:val="auto"/>
              <w:rPr>
                <w:rFonts w:hint="eastAsia" w:ascii="仿宋" w:hAnsi="仿宋" w:eastAsia="仿宋" w:cs="仿宋"/>
                <w:color w:val="auto"/>
                <w:sz w:val="24"/>
                <w:highlight w:val="yellow"/>
                <w:lang w:eastAsia="zh-CN"/>
              </w:rPr>
            </w:pPr>
            <w:r>
              <w:rPr>
                <w:rFonts w:hint="eastAsia" w:ascii="仿宋" w:hAnsi="仿宋" w:eastAsia="仿宋" w:cs="仿宋"/>
                <w:color w:val="auto"/>
                <w:sz w:val="24"/>
                <w:highlight w:val="none"/>
                <w:lang w:eastAsia="zh-CN"/>
              </w:rPr>
              <w:t>地　址：</w:t>
            </w:r>
            <w:r>
              <w:rPr>
                <w:rFonts w:hint="eastAsia" w:ascii="仿宋" w:hAnsi="仿宋" w:eastAsia="仿宋" w:cs="仿宋"/>
                <w:color w:val="auto"/>
                <w:sz w:val="24"/>
                <w:highlight w:val="none"/>
                <w:u w:val="single"/>
                <w:lang w:val="en-US" w:eastAsia="zh-CN"/>
              </w:rPr>
              <w:t>喀什地区莎车县团结路浙商大酒店5楼507室</w:t>
            </w:r>
          </w:p>
          <w:p w14:paraId="74581D2A">
            <w:pPr>
              <w:keepNext w:val="0"/>
              <w:keepLines w:val="0"/>
              <w:suppressLineNumbers w:val="0"/>
              <w:spacing w:before="0" w:beforeAutospacing="0" w:after="0" w:afterAutospacing="0" w:line="240" w:lineRule="auto"/>
              <w:ind w:left="0" w:right="0"/>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lang w:val="en-US" w:eastAsia="zh-CN"/>
              </w:rPr>
              <w:t>赵睿 19999458925</w:t>
            </w:r>
          </w:p>
        </w:tc>
      </w:tr>
      <w:tr w14:paraId="51179B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4700DD2A">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1.3.4</w:t>
            </w:r>
          </w:p>
        </w:tc>
        <w:tc>
          <w:tcPr>
            <w:tcW w:w="7604" w:type="dxa"/>
            <w:noWrap w:val="0"/>
            <w:vAlign w:val="center"/>
          </w:tcPr>
          <w:p w14:paraId="6DF5C660">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合格投标人的资格要求：</w:t>
            </w:r>
          </w:p>
          <w:p w14:paraId="483896DC">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14:paraId="7CA398CF">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2、法定代表人身份证明或法定代表人授权委托书及被授权人身份证； </w:t>
            </w:r>
          </w:p>
          <w:p w14:paraId="082EF810">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3、近期（投标截止日期前六个月内任意一个月）依法缴纳社会保障金的缴费证明或银行出具的“银行电子缴纳社会保障金付款凭证”（新成立公司提供相关证明文件） ；</w:t>
            </w:r>
          </w:p>
          <w:p w14:paraId="0B350E44">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2A59ADCE">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5、具有良好的商业信誉和健全的财务会计制度(2023年度或2024年的年度财务审计报告书，2025年成立公司提供银行资信证明)；</w:t>
            </w:r>
          </w:p>
          <w:p w14:paraId="44F5B088">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5E568376">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7、参加政府采购活动前3年内在经营活动中没有重大违法记录的书面声明；</w:t>
            </w:r>
          </w:p>
          <w:p w14:paraId="0ACDA131">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8、提供针对本次项目《反商业贿赂承诺书》；</w:t>
            </w:r>
          </w:p>
          <w:p w14:paraId="660638EB">
            <w:pPr>
              <w:keepNext w:val="0"/>
              <w:keepLines w:val="0"/>
              <w:suppressLineNumbers w:val="0"/>
              <w:spacing w:before="0" w:beforeAutospacing="0" w:after="0" w:afterAutospacing="0" w:line="240" w:lineRule="atLeast"/>
              <w:ind w:left="0" w:right="0"/>
              <w:rPr>
                <w:rFonts w:hint="eastAsia" w:ascii="仿宋" w:hAnsi="仿宋" w:eastAsia="仿宋" w:cs="仿宋"/>
                <w:lang w:val="en-US" w:eastAsia="zh-CN"/>
              </w:rPr>
            </w:pPr>
            <w:r>
              <w:rPr>
                <w:rFonts w:hint="eastAsia" w:ascii="仿宋" w:hAnsi="仿宋" w:eastAsia="仿宋" w:cs="仿宋"/>
                <w:color w:val="auto"/>
                <w:sz w:val="24"/>
                <w:highlight w:val="none"/>
                <w:lang w:val="en-US" w:eastAsia="zh-CN"/>
              </w:rPr>
              <w:t>9、必须具有履行合同所必需的设备和专业技术能力（按招标文件提供的格式填写）；</w:t>
            </w:r>
          </w:p>
        </w:tc>
      </w:tr>
      <w:tr w14:paraId="48DFFA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6" w:hRule="atLeast"/>
        </w:trPr>
        <w:tc>
          <w:tcPr>
            <w:tcW w:w="1381" w:type="dxa"/>
            <w:noWrap w:val="0"/>
            <w:vAlign w:val="center"/>
          </w:tcPr>
          <w:p w14:paraId="5E9C66AA">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1.3.5   </w:t>
            </w:r>
          </w:p>
        </w:tc>
        <w:tc>
          <w:tcPr>
            <w:tcW w:w="7604" w:type="dxa"/>
            <w:noWrap w:val="0"/>
            <w:vAlign w:val="center"/>
          </w:tcPr>
          <w:p w14:paraId="2AD80529">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是否允许采购进口产品：</w:t>
            </w:r>
            <w:r>
              <w:rPr>
                <w:rFonts w:hint="eastAsia" w:ascii="仿宋" w:hAnsi="仿宋" w:eastAsia="仿宋" w:cs="仿宋"/>
                <w:color w:val="auto"/>
                <w:sz w:val="24"/>
                <w:highlight w:val="none"/>
                <w:lang w:eastAsia="zh-CN"/>
              </w:rPr>
              <w:t>否</w:t>
            </w:r>
          </w:p>
        </w:tc>
      </w:tr>
      <w:tr w14:paraId="70095D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8" w:hRule="atLeast"/>
        </w:trPr>
        <w:tc>
          <w:tcPr>
            <w:tcW w:w="1381" w:type="dxa"/>
            <w:noWrap w:val="0"/>
            <w:vAlign w:val="center"/>
          </w:tcPr>
          <w:p w14:paraId="72812435">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1.3.6</w:t>
            </w:r>
          </w:p>
        </w:tc>
        <w:tc>
          <w:tcPr>
            <w:tcW w:w="7604" w:type="dxa"/>
            <w:noWrap w:val="0"/>
            <w:vAlign w:val="center"/>
          </w:tcPr>
          <w:p w14:paraId="77F3ADBC">
            <w:pPr>
              <w:pStyle w:val="27"/>
              <w:rPr>
                <w:rFonts w:hint="default" w:ascii="仿宋" w:hAnsi="仿宋" w:eastAsia="仿宋" w:cs="仿宋"/>
                <w:color w:val="auto"/>
                <w:highlight w:val="none"/>
                <w:lang w:val="en-US"/>
              </w:rPr>
            </w:pPr>
            <w:r>
              <w:rPr>
                <w:rFonts w:hint="eastAsia" w:ascii="仿宋" w:hAnsi="仿宋" w:eastAsia="仿宋" w:cs="仿宋"/>
                <w:color w:val="auto"/>
                <w:sz w:val="24"/>
                <w:highlight w:val="none"/>
              </w:rPr>
              <w:t>是否</w:t>
            </w:r>
            <w:bookmarkStart w:id="438" w:name="OLE_LINK1"/>
            <w:r>
              <w:rPr>
                <w:rFonts w:hint="eastAsia" w:ascii="仿宋" w:hAnsi="仿宋" w:eastAsia="仿宋" w:cs="仿宋"/>
                <w:color w:val="auto"/>
                <w:sz w:val="24"/>
                <w:highlight w:val="none"/>
                <w:lang w:val="en-US" w:eastAsia="zh-CN"/>
              </w:rPr>
              <w:t>适宜</w:t>
            </w:r>
            <w:r>
              <w:rPr>
                <w:rFonts w:hint="eastAsia" w:ascii="仿宋" w:hAnsi="仿宋" w:eastAsia="仿宋" w:cs="仿宋"/>
                <w:color w:val="auto"/>
                <w:sz w:val="24"/>
                <w:highlight w:val="none"/>
              </w:rPr>
              <w:t>面向中小企业采购：</w:t>
            </w:r>
            <w:r>
              <w:rPr>
                <w:rFonts w:hint="eastAsia" w:ascii="仿宋" w:hAnsi="仿宋" w:eastAsia="仿宋" w:cs="仿宋"/>
                <w:color w:val="auto"/>
                <w:sz w:val="24"/>
                <w:highlight w:val="none"/>
                <w:u w:val="single"/>
                <w:lang w:eastAsia="zh-CN"/>
              </w:rPr>
              <w:t>是</w:t>
            </w:r>
            <w:r>
              <w:rPr>
                <w:rFonts w:hint="eastAsia" w:ascii="仿宋" w:hAnsi="仿宋" w:eastAsia="仿宋" w:cs="仿宋"/>
                <w:color w:val="auto"/>
                <w:sz w:val="24"/>
                <w:highlight w:val="none"/>
                <w:u w:val="single"/>
                <w:lang w:val="en-US" w:eastAsia="zh-CN"/>
              </w:rPr>
              <w:t>（该项目不专门面向中小企业）</w:t>
            </w:r>
            <w:bookmarkEnd w:id="438"/>
          </w:p>
        </w:tc>
      </w:tr>
      <w:tr w14:paraId="1B4266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8" w:hRule="atLeast"/>
        </w:trPr>
        <w:tc>
          <w:tcPr>
            <w:tcW w:w="1381" w:type="dxa"/>
            <w:noWrap w:val="0"/>
            <w:vAlign w:val="center"/>
          </w:tcPr>
          <w:p w14:paraId="5F9EB85D">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7604" w:type="dxa"/>
            <w:noWrap w:val="0"/>
            <w:vAlign w:val="center"/>
          </w:tcPr>
          <w:p w14:paraId="05767D3D">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是否允许联合体投标：</w:t>
            </w:r>
            <w:r>
              <w:rPr>
                <w:rFonts w:hint="eastAsia" w:ascii="仿宋" w:hAnsi="仿宋" w:eastAsia="仿宋" w:cs="仿宋"/>
                <w:color w:val="auto"/>
                <w:sz w:val="24"/>
                <w:highlight w:val="none"/>
                <w:u w:val="single"/>
                <w:lang w:eastAsia="zh-CN"/>
              </w:rPr>
              <w:t>否</w:t>
            </w:r>
          </w:p>
        </w:tc>
      </w:tr>
      <w:tr w14:paraId="0727E2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1" w:hRule="atLeast"/>
        </w:trPr>
        <w:tc>
          <w:tcPr>
            <w:tcW w:w="1381" w:type="dxa"/>
            <w:noWrap w:val="0"/>
            <w:vAlign w:val="center"/>
          </w:tcPr>
          <w:p w14:paraId="2769FF5F">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1.4.8</w:t>
            </w:r>
          </w:p>
        </w:tc>
        <w:tc>
          <w:tcPr>
            <w:tcW w:w="7604" w:type="dxa"/>
            <w:noWrap w:val="0"/>
            <w:vAlign w:val="center"/>
          </w:tcPr>
          <w:p w14:paraId="519DF3D0">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联合体的其他资格要求：</w:t>
            </w:r>
            <w:r>
              <w:rPr>
                <w:rFonts w:hint="eastAsia" w:ascii="仿宋" w:hAnsi="仿宋" w:eastAsia="仿宋" w:cs="仿宋"/>
                <w:color w:val="auto"/>
                <w:sz w:val="24"/>
                <w:highlight w:val="none"/>
                <w:lang w:eastAsia="zh-CN"/>
              </w:rPr>
              <w:t>无</w:t>
            </w:r>
          </w:p>
        </w:tc>
      </w:tr>
      <w:tr w14:paraId="2C9D7C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1" w:hRule="atLeast"/>
        </w:trPr>
        <w:tc>
          <w:tcPr>
            <w:tcW w:w="1381" w:type="dxa"/>
            <w:noWrap w:val="0"/>
            <w:vAlign w:val="center"/>
          </w:tcPr>
          <w:p w14:paraId="3F47DC3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p>
        </w:tc>
        <w:tc>
          <w:tcPr>
            <w:tcW w:w="7604" w:type="dxa"/>
            <w:noWrap w:val="0"/>
            <w:vAlign w:val="center"/>
          </w:tcPr>
          <w:p w14:paraId="20C83AD2">
            <w:pPr>
              <w:keepNext w:val="0"/>
              <w:keepLines w:val="0"/>
              <w:suppressLineNumbers w:val="0"/>
              <w:spacing w:before="0" w:beforeAutospacing="0" w:after="0" w:afterAutospacing="0" w:line="240" w:lineRule="atLeast"/>
              <w:ind w:left="0" w:right="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项目预算金额：</w:t>
            </w:r>
            <w:r>
              <w:rPr>
                <w:rFonts w:hint="eastAsia" w:ascii="仿宋" w:hAnsi="仿宋" w:eastAsia="仿宋" w:cs="仿宋"/>
                <w:color w:val="auto"/>
                <w:sz w:val="24"/>
                <w:highlight w:val="none"/>
                <w:lang w:val="en-US" w:eastAsia="zh-CN"/>
              </w:rPr>
              <w:t>600</w:t>
            </w:r>
            <w:r>
              <w:rPr>
                <w:rFonts w:hint="eastAsia" w:ascii="仿宋" w:hAnsi="仿宋" w:eastAsia="仿宋" w:cs="仿宋"/>
                <w:color w:val="auto"/>
                <w:sz w:val="24"/>
                <w:highlight w:val="none"/>
                <w:lang w:eastAsia="zh-CN"/>
              </w:rPr>
              <w:t>万元</w:t>
            </w:r>
          </w:p>
        </w:tc>
      </w:tr>
      <w:tr w14:paraId="3403ED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381" w:type="dxa"/>
            <w:noWrap w:val="0"/>
            <w:vAlign w:val="center"/>
          </w:tcPr>
          <w:p w14:paraId="35E8B55B">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12.1</w:t>
            </w:r>
          </w:p>
        </w:tc>
        <w:tc>
          <w:tcPr>
            <w:tcW w:w="7604" w:type="dxa"/>
            <w:noWrap w:val="0"/>
            <w:vAlign w:val="center"/>
          </w:tcPr>
          <w:p w14:paraId="125F42A1">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u w:val="none"/>
                <w:lang w:val="en-US" w:eastAsia="zh-CN"/>
              </w:rPr>
            </w:pPr>
            <w:r>
              <w:rPr>
                <w:rFonts w:hint="eastAsia" w:ascii="仿宋" w:hAnsi="仿宋" w:eastAsia="仿宋" w:cs="仿宋"/>
                <w:color w:val="auto"/>
                <w:sz w:val="24"/>
                <w:highlight w:val="none"/>
                <w:u w:val="none"/>
              </w:rPr>
              <w:t>保证金数额：</w:t>
            </w:r>
            <w:r>
              <w:rPr>
                <w:rFonts w:hint="eastAsia" w:ascii="仿宋" w:hAnsi="仿宋" w:eastAsia="仿宋" w:cs="仿宋"/>
                <w:color w:val="auto"/>
                <w:sz w:val="24"/>
                <w:highlight w:val="none"/>
                <w:u w:val="none"/>
                <w:lang w:val="en-US" w:eastAsia="zh-CN"/>
              </w:rPr>
              <w:t>小写：</w:t>
            </w:r>
            <w:r>
              <w:rPr>
                <w:rFonts w:hint="eastAsia" w:ascii="仿宋" w:hAnsi="仿宋" w:eastAsia="仿宋" w:cs="仿宋"/>
                <w:color w:val="auto"/>
                <w:sz w:val="24"/>
                <w:highlight w:val="none"/>
                <w:u w:val="single"/>
                <w:lang w:val="en-US" w:eastAsia="zh-CN"/>
              </w:rPr>
              <w:t>120000.00</w:t>
            </w:r>
            <w:r>
              <w:rPr>
                <w:rFonts w:hint="eastAsia" w:ascii="仿宋" w:hAnsi="仿宋" w:eastAsia="仿宋" w:cs="仿宋"/>
                <w:color w:val="auto"/>
                <w:sz w:val="24"/>
                <w:highlight w:val="none"/>
                <w:u w:val="none"/>
                <w:lang w:val="en-US" w:eastAsia="zh-CN"/>
              </w:rPr>
              <w:t>元（大写：壹拾贰万元整）</w:t>
            </w:r>
          </w:p>
          <w:p w14:paraId="56426559">
            <w:pPr>
              <w:keepNext w:val="0"/>
              <w:keepLines w:val="0"/>
              <w:suppressLineNumbers w:val="0"/>
              <w:spacing w:before="0" w:beforeAutospacing="0" w:after="0" w:afterAutospacing="0" w:line="240" w:lineRule="atLeast"/>
              <w:ind w:left="0" w:right="0"/>
              <w:rPr>
                <w:rFonts w:hint="eastAsia" w:ascii="仿宋" w:hAnsi="仿宋" w:eastAsia="仿宋" w:cs="仿宋"/>
                <w:sz w:val="24"/>
                <w:lang w:val="en-US" w:eastAsia="zh-CN"/>
              </w:rPr>
            </w:pPr>
            <w:r>
              <w:rPr>
                <w:rFonts w:hint="eastAsia" w:ascii="仿宋" w:hAnsi="仿宋" w:eastAsia="仿宋" w:cs="仿宋"/>
                <w:sz w:val="24"/>
                <w:lang w:val="en-US" w:eastAsia="zh-CN"/>
              </w:rPr>
              <w:t>保证金收款人：新疆新华远景工程造价咨询有限公司喀什分公司</w:t>
            </w:r>
          </w:p>
          <w:p w14:paraId="5163E197">
            <w:pPr>
              <w:keepNext w:val="0"/>
              <w:keepLines w:val="0"/>
              <w:suppressLineNumbers w:val="0"/>
              <w:spacing w:before="0" w:beforeAutospacing="0" w:after="0" w:afterAutospacing="0" w:line="240" w:lineRule="atLeast"/>
              <w:ind w:left="0" w:right="0"/>
              <w:rPr>
                <w:rFonts w:hint="eastAsia" w:ascii="仿宋" w:hAnsi="仿宋" w:eastAsia="仿宋" w:cs="仿宋"/>
                <w:sz w:val="24"/>
                <w:lang w:val="en-US" w:eastAsia="zh-CN"/>
              </w:rPr>
            </w:pPr>
            <w:r>
              <w:rPr>
                <w:rFonts w:hint="eastAsia" w:ascii="仿宋" w:hAnsi="仿宋" w:eastAsia="仿宋" w:cs="仿宋"/>
                <w:sz w:val="24"/>
                <w:lang w:val="en-US" w:eastAsia="zh-CN"/>
              </w:rPr>
              <w:t>账户名：新疆新华远景工程造价咨询有限公司喀什分公司</w:t>
            </w:r>
          </w:p>
          <w:p w14:paraId="57150CDE">
            <w:pPr>
              <w:keepNext w:val="0"/>
              <w:keepLines w:val="0"/>
              <w:suppressLineNumbers w:val="0"/>
              <w:spacing w:before="0" w:beforeAutospacing="0" w:after="0" w:afterAutospacing="0" w:line="240" w:lineRule="atLeast"/>
              <w:ind w:left="0" w:right="0"/>
              <w:rPr>
                <w:rFonts w:hint="eastAsia" w:ascii="仿宋" w:hAnsi="仿宋" w:eastAsia="仿宋" w:cs="仿宋"/>
                <w:sz w:val="24"/>
                <w:lang w:val="en-US" w:eastAsia="zh-CN"/>
              </w:rPr>
            </w:pPr>
            <w:r>
              <w:rPr>
                <w:rFonts w:hint="eastAsia" w:ascii="仿宋" w:hAnsi="仿宋" w:eastAsia="仿宋" w:cs="仿宋"/>
                <w:sz w:val="24"/>
                <w:lang w:val="en-US" w:eastAsia="zh-CN"/>
              </w:rPr>
              <w:t>账  号：</w:t>
            </w:r>
            <w:r>
              <w:rPr>
                <w:rFonts w:hint="eastAsia" w:ascii="仿宋" w:hAnsi="仿宋" w:eastAsia="仿宋" w:cs="仿宋"/>
                <w:spacing w:val="-3"/>
                <w:sz w:val="24"/>
                <w:szCs w:val="24"/>
              </w:rPr>
              <w:t>107090970234</w:t>
            </w:r>
          </w:p>
          <w:p w14:paraId="03E6A88B">
            <w:pPr>
              <w:keepNext w:val="0"/>
              <w:keepLines w:val="0"/>
              <w:suppressLineNumbers w:val="0"/>
              <w:spacing w:before="0" w:beforeAutospacing="0" w:after="0" w:afterAutospacing="0" w:line="240" w:lineRule="atLeast"/>
              <w:ind w:left="0" w:right="0"/>
              <w:rPr>
                <w:rFonts w:hint="eastAsia" w:ascii="仿宋" w:hAnsi="仿宋" w:eastAsia="仿宋" w:cs="仿宋"/>
                <w:sz w:val="24"/>
                <w:lang w:val="en-US" w:eastAsia="zh-CN"/>
              </w:rPr>
            </w:pPr>
            <w:r>
              <w:rPr>
                <w:rFonts w:hint="eastAsia" w:ascii="仿宋" w:hAnsi="仿宋" w:eastAsia="仿宋" w:cs="仿宋"/>
                <w:sz w:val="24"/>
                <w:lang w:val="en-US" w:eastAsia="zh-CN"/>
              </w:rPr>
              <w:t>开户行：</w:t>
            </w:r>
            <w:r>
              <w:rPr>
                <w:rFonts w:hint="eastAsia" w:ascii="仿宋" w:hAnsi="仿宋" w:eastAsia="仿宋" w:cs="仿宋"/>
                <w:spacing w:val="-1"/>
                <w:sz w:val="24"/>
                <w:szCs w:val="24"/>
              </w:rPr>
              <w:t>中国银行股份有限公司喀什市西域大道支行</w:t>
            </w:r>
          </w:p>
          <w:p w14:paraId="5C9C844C">
            <w:pPr>
              <w:keepNext w:val="0"/>
              <w:keepLines w:val="0"/>
              <w:suppressLineNumbers w:val="0"/>
              <w:spacing w:before="0" w:beforeAutospacing="0" w:after="0" w:afterAutospacing="0" w:line="240" w:lineRule="atLeast"/>
              <w:ind w:left="0" w:right="0"/>
              <w:rPr>
                <w:rFonts w:hint="eastAsia" w:ascii="仿宋" w:hAnsi="仿宋" w:eastAsia="仿宋" w:cs="仿宋"/>
                <w:sz w:val="24"/>
                <w:lang w:val="en-US" w:eastAsia="zh-CN"/>
              </w:rPr>
            </w:pPr>
            <w:r>
              <w:rPr>
                <w:rFonts w:hint="eastAsia" w:ascii="仿宋" w:hAnsi="仿宋" w:eastAsia="仿宋" w:cs="仿宋"/>
                <w:sz w:val="24"/>
                <w:lang w:val="en-US" w:eastAsia="zh-CN"/>
              </w:rPr>
              <w:t>行号：</w:t>
            </w:r>
            <w:r>
              <w:rPr>
                <w:rFonts w:hint="eastAsia" w:ascii="仿宋" w:hAnsi="仿宋" w:eastAsia="仿宋" w:cs="仿宋"/>
                <w:spacing w:val="-5"/>
                <w:sz w:val="24"/>
                <w:szCs w:val="24"/>
              </w:rPr>
              <w:t>104894001095</w:t>
            </w:r>
          </w:p>
          <w:p w14:paraId="3FA4C530">
            <w:pPr>
              <w:keepNext w:val="0"/>
              <w:keepLines w:val="0"/>
              <w:suppressLineNumbers w:val="0"/>
              <w:spacing w:before="0" w:beforeAutospacing="0" w:after="0" w:afterAutospacing="0" w:line="240" w:lineRule="atLeast"/>
              <w:ind w:left="0" w:right="0"/>
              <w:rPr>
                <w:rFonts w:hint="eastAsia" w:ascii="仿宋" w:hAnsi="仿宋" w:eastAsia="仿宋" w:cs="仿宋"/>
                <w:sz w:val="24"/>
                <w:lang w:val="en-US" w:eastAsia="zh-CN"/>
              </w:rPr>
            </w:pPr>
            <w:r>
              <w:rPr>
                <w:rFonts w:hint="eastAsia" w:ascii="仿宋" w:hAnsi="仿宋" w:eastAsia="仿宋" w:cs="仿宋"/>
                <w:sz w:val="24"/>
                <w:lang w:val="en-US" w:eastAsia="zh-CN"/>
              </w:rPr>
              <w:t>联系电话：19999458925</w:t>
            </w:r>
          </w:p>
          <w:p w14:paraId="4276F847">
            <w:pPr>
              <w:keepNext w:val="0"/>
              <w:keepLines w:val="0"/>
              <w:suppressLineNumbers w:val="0"/>
              <w:spacing w:before="0" w:beforeAutospacing="0" w:after="0" w:afterAutospacing="0" w:line="240" w:lineRule="atLeast"/>
              <w:ind w:left="0" w:right="0"/>
              <w:rPr>
                <w:rFonts w:hint="eastAsia" w:ascii="仿宋" w:hAnsi="仿宋" w:eastAsia="仿宋" w:cs="仿宋"/>
                <w:color w:val="0000FF"/>
                <w:sz w:val="24"/>
                <w:highlight w:val="none"/>
                <w:u w:val="single"/>
                <w:lang w:val="en-US" w:eastAsia="zh-CN"/>
              </w:rPr>
            </w:pPr>
            <w:r>
              <w:rPr>
                <w:rFonts w:hint="eastAsia" w:ascii="仿宋" w:hAnsi="仿宋" w:eastAsia="仿宋" w:cs="仿宋"/>
                <w:sz w:val="24"/>
                <w:lang w:val="en-US" w:eastAsia="zh-CN"/>
              </w:rPr>
              <w:t>打款时注明项目名称（或简写）+投标保证金</w:t>
            </w:r>
          </w:p>
          <w:p w14:paraId="01B8461A">
            <w:pPr>
              <w:keepNext w:val="0"/>
              <w:keepLines w:val="0"/>
              <w:suppressLineNumbers w:val="0"/>
              <w:spacing w:before="0" w:beforeAutospacing="0" w:after="0" w:afterAutospacing="0" w:line="240" w:lineRule="atLeast"/>
              <w:ind w:left="0" w:right="0"/>
              <w:rPr>
                <w:rFonts w:hint="eastAsia" w:ascii="仿宋" w:hAnsi="仿宋" w:eastAsia="仿宋" w:cs="仿宋"/>
                <w:color w:val="0000FF"/>
                <w:sz w:val="24"/>
                <w:highlight w:val="none"/>
                <w:u w:val="single"/>
                <w:lang w:val="en-US" w:eastAsia="zh-CN"/>
              </w:rPr>
            </w:pPr>
            <w:r>
              <w:rPr>
                <w:rFonts w:hint="eastAsia" w:ascii="仿宋" w:hAnsi="仿宋" w:eastAsia="仿宋" w:cs="仿宋"/>
                <w:color w:val="auto"/>
                <w:sz w:val="24"/>
                <w:highlight w:val="none"/>
                <w:u w:val="none"/>
                <w:lang w:val="en-US" w:eastAsia="zh-CN"/>
              </w:rPr>
              <w:t>到账截止时间：</w:t>
            </w:r>
            <w:r>
              <w:rPr>
                <w:rFonts w:hint="eastAsia" w:ascii="仿宋" w:hAnsi="仿宋" w:eastAsia="仿宋" w:cs="仿宋"/>
                <w:color w:val="0000FF"/>
                <w:sz w:val="24"/>
                <w:highlight w:val="none"/>
                <w:u w:val="single"/>
                <w:lang w:val="en-US" w:eastAsia="zh-CN"/>
              </w:rPr>
              <w:t>2025年05月16日上午11：00时（北京时间）</w:t>
            </w:r>
          </w:p>
          <w:p w14:paraId="5CE3CD34">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注：1.《中华人民共和国政府采购法实施条例》第三十三条：招标文件</w:t>
            </w:r>
          </w:p>
          <w:p w14:paraId="48B95CE1">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要求投标人提交投标保证金的，投标保证金不得超过采购项目预算金额</w:t>
            </w:r>
          </w:p>
          <w:p w14:paraId="33B1C616">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的2%。投标保证金应当以支票、汇票、本票或者金融机构、担保机构出</w:t>
            </w:r>
          </w:p>
          <w:p w14:paraId="3022279E">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具的保函等非现金形式提交。投标人未按照招标文件要求提交投标保证</w:t>
            </w:r>
          </w:p>
          <w:p w14:paraId="3DB2A250">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金的，投标无效。</w:t>
            </w:r>
          </w:p>
          <w:p w14:paraId="1C59561C">
            <w:pPr>
              <w:keepNext w:val="0"/>
              <w:keepLines w:val="0"/>
              <w:suppressLineNumbers w:val="0"/>
              <w:spacing w:before="0" w:beforeAutospacing="0" w:after="0" w:afterAutospacing="0" w:line="240" w:lineRule="atLeast"/>
              <w:ind w:left="0" w:right="0" w:firstLine="482" w:firstLineChars="20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2.根据《关于在政府采购活动中进一步推动开展信用担保工作的通</w:t>
            </w:r>
          </w:p>
          <w:p w14:paraId="47B1F6F0">
            <w:pPr>
              <w:keepNext w:val="0"/>
              <w:keepLines w:val="0"/>
              <w:suppressLineNumbers w:val="0"/>
              <w:spacing w:before="0" w:beforeAutospacing="0" w:after="0" w:afterAutospacing="0" w:line="240" w:lineRule="atLeast"/>
              <w:ind w:left="0" w:right="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知》，鼓励使用电子保函。</w:t>
            </w:r>
          </w:p>
          <w:p w14:paraId="75FE8345">
            <w:pPr>
              <w:keepNext w:val="0"/>
              <w:keepLines w:val="0"/>
              <w:suppressLineNumbers w:val="0"/>
              <w:spacing w:before="0" w:beforeAutospacing="0" w:after="0" w:afterAutospacing="0" w:line="240" w:lineRule="atLeast"/>
              <w:ind w:left="0" w:right="0"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3.使用保函的，保函的有效期不得低于投标有效期，承兑地包含项目所在地。</w:t>
            </w:r>
          </w:p>
          <w:p w14:paraId="2FDB0781">
            <w:pPr>
              <w:keepNext w:val="0"/>
              <w:keepLines w:val="0"/>
              <w:suppressLineNumbers w:val="0"/>
              <w:spacing w:before="0" w:beforeAutospacing="0" w:after="0" w:afterAutospacing="0" w:line="240" w:lineRule="atLeast"/>
              <w:ind w:left="0" w:right="0" w:firstLine="480" w:firstLineChars="200"/>
              <w:rPr>
                <w:rFonts w:hint="eastAsia" w:ascii="仿宋" w:hAnsi="仿宋" w:eastAsia="仿宋" w:cs="仿宋"/>
                <w:i/>
                <w:color w:val="auto"/>
                <w:sz w:val="24"/>
                <w:highlight w:val="none"/>
                <w:lang w:val="en-US" w:eastAsia="zh-CN"/>
              </w:rPr>
            </w:pPr>
            <w:r>
              <w:rPr>
                <w:rFonts w:hint="eastAsia" w:ascii="仿宋" w:hAnsi="仿宋" w:eastAsia="仿宋" w:cs="仿宋"/>
                <w:color w:val="auto"/>
                <w:sz w:val="24"/>
                <w:highlight w:val="none"/>
                <w:lang w:val="en-US" w:eastAsia="zh-CN"/>
              </w:rPr>
              <w:t>4.退还保证金：开评标结束后，根据</w:t>
            </w:r>
            <w:r>
              <w:rPr>
                <w:rFonts w:hint="eastAsia" w:ascii="仿宋" w:hAnsi="仿宋" w:eastAsia="仿宋" w:cs="仿宋"/>
                <w:color w:val="auto"/>
                <w:sz w:val="24"/>
                <w:highlight w:val="none"/>
              </w:rPr>
              <w:t xml:space="preserve">《政府采购货物和服务招标投标管理办法》（财政部第 </w:t>
            </w:r>
            <w:r>
              <w:rPr>
                <w:rFonts w:hint="eastAsia" w:ascii="仿宋" w:hAnsi="仿宋" w:eastAsia="仿宋" w:cs="仿宋"/>
                <w:color w:val="auto"/>
                <w:sz w:val="24"/>
                <w:highlight w:val="none"/>
                <w:lang w:val="en-US" w:eastAsia="zh-CN"/>
              </w:rPr>
              <w:t>87</w:t>
            </w:r>
            <w:r>
              <w:rPr>
                <w:rFonts w:hint="eastAsia" w:ascii="仿宋" w:hAnsi="仿宋" w:eastAsia="仿宋" w:cs="仿宋"/>
                <w:color w:val="auto"/>
                <w:sz w:val="24"/>
                <w:highlight w:val="none"/>
              </w:rPr>
              <w:t xml:space="preserve"> 号令）</w:t>
            </w:r>
            <w:r>
              <w:rPr>
                <w:rFonts w:hint="eastAsia" w:ascii="仿宋" w:hAnsi="仿宋" w:eastAsia="仿宋" w:cs="仿宋"/>
                <w:color w:val="auto"/>
                <w:sz w:val="24"/>
                <w:highlight w:val="none"/>
                <w:lang w:val="en-US" w:eastAsia="zh-CN"/>
              </w:rPr>
              <w:t>第三十八条投标人在投标截止时间前撤回已提交的投标文件的，采购人或者采购代理机构应当自收到投标人书面撤回通知之日起５个工作日内，退还已收取的投标保证金，但因投标人自身原因导致无法及时退还的除外。采购人或者采购代理机构应当自中标通知书发出之日起5个工作日内退还未中标人的投标保证金，自采购合同签订之日起5个工作日内退还中标人的投标保证金或者转为中标人的履约保证金。</w:t>
            </w:r>
          </w:p>
        </w:tc>
      </w:tr>
      <w:tr w14:paraId="442AF6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4" w:hRule="atLeast"/>
        </w:trPr>
        <w:tc>
          <w:tcPr>
            <w:tcW w:w="1381" w:type="dxa"/>
            <w:noWrap w:val="0"/>
            <w:vAlign w:val="center"/>
          </w:tcPr>
          <w:p w14:paraId="7FD6096A">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13.1</w:t>
            </w:r>
          </w:p>
        </w:tc>
        <w:tc>
          <w:tcPr>
            <w:tcW w:w="7604" w:type="dxa"/>
            <w:noWrap w:val="0"/>
            <w:vAlign w:val="center"/>
          </w:tcPr>
          <w:p w14:paraId="6FDE1E4D">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投标有效期：</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u w:val="single"/>
                <w:lang w:val="en-US" w:eastAsia="zh-CN"/>
              </w:rPr>
              <w:t>90</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日历日</w:t>
            </w:r>
          </w:p>
        </w:tc>
      </w:tr>
      <w:tr w14:paraId="795082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trPr>
        <w:tc>
          <w:tcPr>
            <w:tcW w:w="1381" w:type="dxa"/>
            <w:noWrap w:val="0"/>
            <w:vAlign w:val="center"/>
          </w:tcPr>
          <w:p w14:paraId="120450B6">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14.1</w:t>
            </w:r>
          </w:p>
        </w:tc>
        <w:tc>
          <w:tcPr>
            <w:tcW w:w="7604" w:type="dxa"/>
            <w:noWrap w:val="0"/>
            <w:vAlign w:val="center"/>
          </w:tcPr>
          <w:p w14:paraId="6D552799">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 xml:space="preserve">投标文件包括： </w:t>
            </w:r>
          </w:p>
          <w:p w14:paraId="0439F9DD">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 xml:space="preserve">1、加密的电子投标文件，在投标截止时间前通过新疆维吾尔自治区政府采购网上传； </w:t>
            </w:r>
          </w:p>
          <w:p w14:paraId="361D4277">
            <w:pPr>
              <w:pStyle w:val="38"/>
              <w:keepNext w:val="0"/>
              <w:keepLines w:val="0"/>
              <w:suppressLineNumbers w:val="0"/>
              <w:spacing w:before="0" w:beforeAutospacing="0" w:after="0" w:afterAutospacing="0" w:line="240" w:lineRule="auto"/>
              <w:ind w:left="0" w:leftChars="0" w:right="0" w:firstLine="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备注：因投标人自身原因导致解密失败的，将导致其投标被拒绝且投标文件被退回；但因网上招标系统故障导致所有投标人均解密失败时，使用投标人未加密的电子投标文件进行开评标。未按照招标代理要求及时提供未加密电子投标文件导致解密失败的，由投标人自行承担责任，默认解密时长为：30分钟。</w:t>
            </w:r>
          </w:p>
        </w:tc>
      </w:tr>
      <w:tr w14:paraId="2CA904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4" w:hRule="atLeast"/>
        </w:trPr>
        <w:tc>
          <w:tcPr>
            <w:tcW w:w="1381" w:type="dxa"/>
            <w:noWrap w:val="0"/>
            <w:vAlign w:val="center"/>
          </w:tcPr>
          <w:p w14:paraId="5216E6B8">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16.1</w:t>
            </w:r>
          </w:p>
        </w:tc>
        <w:tc>
          <w:tcPr>
            <w:tcW w:w="7604" w:type="dxa"/>
            <w:noWrap w:val="0"/>
            <w:vAlign w:val="center"/>
          </w:tcPr>
          <w:p w14:paraId="4B3FC744">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投标截止时间：</w:t>
            </w:r>
            <w:r>
              <w:rPr>
                <w:rFonts w:hint="eastAsia" w:ascii="仿宋" w:hAnsi="仿宋" w:eastAsia="仿宋" w:cs="仿宋"/>
                <w:color w:val="0000FF"/>
                <w:sz w:val="24"/>
                <w:highlight w:val="none"/>
                <w:u w:val="single"/>
                <w:lang w:eastAsia="zh-CN"/>
              </w:rPr>
              <w:t>202</w:t>
            </w:r>
            <w:r>
              <w:rPr>
                <w:rFonts w:hint="eastAsia" w:ascii="仿宋" w:hAnsi="仿宋" w:eastAsia="仿宋" w:cs="仿宋"/>
                <w:color w:val="0000FF"/>
                <w:sz w:val="24"/>
                <w:highlight w:val="none"/>
                <w:u w:val="single"/>
                <w:lang w:val="en-US" w:eastAsia="zh-CN"/>
              </w:rPr>
              <w:t>5</w:t>
            </w:r>
            <w:r>
              <w:rPr>
                <w:rFonts w:hint="eastAsia" w:ascii="仿宋" w:hAnsi="仿宋" w:eastAsia="仿宋" w:cs="仿宋"/>
                <w:color w:val="0000FF"/>
                <w:sz w:val="24"/>
                <w:highlight w:val="none"/>
                <w:u w:val="single"/>
                <w:lang w:eastAsia="zh-CN"/>
              </w:rPr>
              <w:t>年</w:t>
            </w:r>
            <w:r>
              <w:rPr>
                <w:rFonts w:hint="eastAsia" w:ascii="仿宋" w:hAnsi="仿宋" w:eastAsia="仿宋" w:cs="仿宋"/>
                <w:color w:val="0000FF"/>
                <w:sz w:val="24"/>
                <w:highlight w:val="none"/>
                <w:u w:val="single"/>
                <w:lang w:val="en-US" w:eastAsia="zh-CN"/>
              </w:rPr>
              <w:t>05月16</w:t>
            </w:r>
            <w:r>
              <w:rPr>
                <w:rFonts w:hint="eastAsia" w:ascii="仿宋" w:hAnsi="仿宋" w:eastAsia="仿宋" w:cs="仿宋"/>
                <w:color w:val="0000FF"/>
                <w:sz w:val="24"/>
                <w:highlight w:val="none"/>
                <w:u w:val="single"/>
                <w:lang w:eastAsia="zh-CN"/>
              </w:rPr>
              <w:t>日上</w:t>
            </w:r>
            <w:r>
              <w:rPr>
                <w:rFonts w:hint="eastAsia" w:ascii="仿宋" w:hAnsi="仿宋" w:eastAsia="仿宋" w:cs="仿宋"/>
                <w:color w:val="0000FF"/>
                <w:sz w:val="24"/>
                <w:highlight w:val="none"/>
                <w:u w:val="single"/>
              </w:rPr>
              <w:t>午1</w:t>
            </w:r>
            <w:r>
              <w:rPr>
                <w:rFonts w:hint="eastAsia" w:ascii="仿宋" w:hAnsi="仿宋" w:eastAsia="仿宋" w:cs="仿宋"/>
                <w:color w:val="0000FF"/>
                <w:sz w:val="24"/>
                <w:highlight w:val="none"/>
                <w:u w:val="single"/>
                <w:lang w:val="en-US" w:eastAsia="zh-CN"/>
              </w:rPr>
              <w:t>1</w:t>
            </w:r>
            <w:r>
              <w:rPr>
                <w:rFonts w:hint="eastAsia" w:ascii="仿宋" w:hAnsi="仿宋" w:eastAsia="仿宋" w:cs="仿宋"/>
                <w:color w:val="0000FF"/>
                <w:sz w:val="24"/>
                <w:highlight w:val="none"/>
                <w:u w:val="single"/>
              </w:rPr>
              <w:t>：</w:t>
            </w:r>
            <w:r>
              <w:rPr>
                <w:rFonts w:hint="eastAsia" w:ascii="仿宋" w:hAnsi="仿宋" w:eastAsia="仿宋" w:cs="仿宋"/>
                <w:color w:val="0000FF"/>
                <w:sz w:val="24"/>
                <w:highlight w:val="none"/>
                <w:u w:val="single"/>
                <w:lang w:val="en-US" w:eastAsia="zh-CN"/>
              </w:rPr>
              <w:t>0</w:t>
            </w:r>
            <w:r>
              <w:rPr>
                <w:rFonts w:hint="eastAsia" w:ascii="仿宋" w:hAnsi="仿宋" w:eastAsia="仿宋" w:cs="仿宋"/>
                <w:color w:val="0000FF"/>
                <w:sz w:val="24"/>
                <w:highlight w:val="none"/>
                <w:u w:val="single"/>
              </w:rPr>
              <w:t>0时</w:t>
            </w:r>
            <w:r>
              <w:rPr>
                <w:rFonts w:hint="eastAsia" w:ascii="仿宋" w:hAnsi="仿宋" w:eastAsia="仿宋" w:cs="仿宋"/>
                <w:color w:val="auto"/>
                <w:sz w:val="24"/>
                <w:highlight w:val="none"/>
                <w:u w:val="single"/>
              </w:rPr>
              <w:t>（北京时间）　</w:t>
            </w:r>
          </w:p>
        </w:tc>
      </w:tr>
      <w:tr w14:paraId="35FD57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31093186">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18.1</w:t>
            </w:r>
          </w:p>
        </w:tc>
        <w:tc>
          <w:tcPr>
            <w:tcW w:w="7604" w:type="dxa"/>
            <w:noWrap w:val="0"/>
            <w:vAlign w:val="center"/>
          </w:tcPr>
          <w:p w14:paraId="2876F50C">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开标时间：</w:t>
            </w:r>
            <w:r>
              <w:rPr>
                <w:rFonts w:hint="eastAsia" w:ascii="仿宋" w:hAnsi="仿宋" w:eastAsia="仿宋" w:cs="仿宋"/>
                <w:color w:val="0000FF"/>
                <w:sz w:val="24"/>
                <w:highlight w:val="none"/>
                <w:u w:val="single"/>
                <w:lang w:eastAsia="zh-CN"/>
              </w:rPr>
              <w:t>202</w:t>
            </w:r>
            <w:r>
              <w:rPr>
                <w:rFonts w:hint="eastAsia" w:ascii="仿宋" w:hAnsi="仿宋" w:eastAsia="仿宋" w:cs="仿宋"/>
                <w:color w:val="0000FF"/>
                <w:sz w:val="24"/>
                <w:highlight w:val="none"/>
                <w:u w:val="single"/>
                <w:lang w:val="en-US" w:eastAsia="zh-CN"/>
              </w:rPr>
              <w:t>5</w:t>
            </w:r>
            <w:r>
              <w:rPr>
                <w:rFonts w:hint="eastAsia" w:ascii="仿宋" w:hAnsi="仿宋" w:eastAsia="仿宋" w:cs="仿宋"/>
                <w:color w:val="0000FF"/>
                <w:sz w:val="24"/>
                <w:highlight w:val="none"/>
                <w:u w:val="single"/>
                <w:lang w:eastAsia="zh-CN"/>
              </w:rPr>
              <w:t>年</w:t>
            </w:r>
            <w:r>
              <w:rPr>
                <w:rFonts w:hint="eastAsia" w:ascii="仿宋" w:hAnsi="仿宋" w:eastAsia="仿宋" w:cs="仿宋"/>
                <w:color w:val="0000FF"/>
                <w:sz w:val="24"/>
                <w:highlight w:val="none"/>
                <w:u w:val="single"/>
                <w:lang w:val="en-US" w:eastAsia="zh-CN"/>
              </w:rPr>
              <w:t>05月16</w:t>
            </w:r>
            <w:r>
              <w:rPr>
                <w:rFonts w:hint="eastAsia" w:ascii="仿宋" w:hAnsi="仿宋" w:eastAsia="仿宋" w:cs="仿宋"/>
                <w:color w:val="0000FF"/>
                <w:sz w:val="24"/>
                <w:highlight w:val="none"/>
                <w:u w:val="single"/>
                <w:lang w:eastAsia="zh-CN"/>
              </w:rPr>
              <w:t>日上</w:t>
            </w:r>
            <w:r>
              <w:rPr>
                <w:rFonts w:hint="eastAsia" w:ascii="仿宋" w:hAnsi="仿宋" w:eastAsia="仿宋" w:cs="仿宋"/>
                <w:color w:val="0000FF"/>
                <w:sz w:val="24"/>
                <w:highlight w:val="none"/>
                <w:u w:val="single"/>
              </w:rPr>
              <w:t>午1</w:t>
            </w:r>
            <w:r>
              <w:rPr>
                <w:rFonts w:hint="eastAsia" w:ascii="仿宋" w:hAnsi="仿宋" w:eastAsia="仿宋" w:cs="仿宋"/>
                <w:color w:val="0000FF"/>
                <w:sz w:val="24"/>
                <w:highlight w:val="none"/>
                <w:u w:val="single"/>
                <w:lang w:val="en-US" w:eastAsia="zh-CN"/>
              </w:rPr>
              <w:t>1</w:t>
            </w:r>
            <w:r>
              <w:rPr>
                <w:rFonts w:hint="eastAsia" w:ascii="仿宋" w:hAnsi="仿宋" w:eastAsia="仿宋" w:cs="仿宋"/>
                <w:color w:val="0000FF"/>
                <w:sz w:val="24"/>
                <w:highlight w:val="none"/>
                <w:u w:val="single"/>
              </w:rPr>
              <w:t>：</w:t>
            </w:r>
            <w:r>
              <w:rPr>
                <w:rFonts w:hint="eastAsia" w:ascii="仿宋" w:hAnsi="仿宋" w:eastAsia="仿宋" w:cs="仿宋"/>
                <w:color w:val="0000FF"/>
                <w:sz w:val="24"/>
                <w:highlight w:val="none"/>
                <w:u w:val="single"/>
                <w:lang w:val="en-US" w:eastAsia="zh-CN"/>
              </w:rPr>
              <w:t>0</w:t>
            </w:r>
            <w:r>
              <w:rPr>
                <w:rFonts w:hint="eastAsia" w:ascii="仿宋" w:hAnsi="仿宋" w:eastAsia="仿宋" w:cs="仿宋"/>
                <w:color w:val="0000FF"/>
                <w:sz w:val="24"/>
                <w:highlight w:val="none"/>
                <w:u w:val="single"/>
              </w:rPr>
              <w:t>0时</w:t>
            </w:r>
            <w:r>
              <w:rPr>
                <w:rFonts w:hint="eastAsia" w:ascii="仿宋" w:hAnsi="仿宋" w:eastAsia="仿宋" w:cs="仿宋"/>
                <w:color w:val="auto"/>
                <w:sz w:val="24"/>
                <w:highlight w:val="none"/>
                <w:u w:val="single"/>
              </w:rPr>
              <w:t>（北京时间）</w:t>
            </w:r>
            <w:r>
              <w:rPr>
                <w:rFonts w:hint="eastAsia" w:ascii="仿宋" w:hAnsi="仿宋" w:eastAsia="仿宋" w:cs="仿宋"/>
                <w:color w:val="auto"/>
                <w:sz w:val="24"/>
                <w:highlight w:val="none"/>
                <w:u w:val="single"/>
                <w:lang w:val="en-US" w:eastAsia="zh-CN"/>
              </w:rPr>
              <w:t xml:space="preserve">     </w:t>
            </w:r>
          </w:p>
          <w:p w14:paraId="17922349">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开标地点：政采云平台https://www.zcygov.cn/</w:t>
            </w:r>
          </w:p>
        </w:tc>
      </w:tr>
      <w:tr w14:paraId="15BEB4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3A9B3C73">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20.5</w:t>
            </w:r>
          </w:p>
        </w:tc>
        <w:tc>
          <w:tcPr>
            <w:tcW w:w="7604" w:type="dxa"/>
            <w:noWrap w:val="0"/>
            <w:vAlign w:val="center"/>
          </w:tcPr>
          <w:p w14:paraId="22CEEC99">
            <w:pPr>
              <w:keepNext w:val="0"/>
              <w:keepLines w:val="0"/>
              <w:suppressLineNumbers w:val="0"/>
              <w:spacing w:before="0" w:beforeAutospacing="0" w:after="0" w:afterAutospacing="0" w:line="240" w:lineRule="atLeast"/>
              <w:ind w:left="0" w:right="0"/>
              <w:rPr>
                <w:rFonts w:hint="default" w:ascii="仿宋" w:hAnsi="仿宋" w:eastAsia="仿宋" w:cs="仿宋"/>
                <w:color w:val="auto"/>
                <w:sz w:val="24"/>
                <w:highlight w:val="none"/>
                <w:lang w:val="en-US" w:eastAsia="zh-CN"/>
              </w:rPr>
            </w:pPr>
            <w:r>
              <w:rPr>
                <w:rFonts w:hint="eastAsia" w:ascii="仿宋" w:hAnsi="仿宋" w:eastAsia="仿宋" w:cs="仿宋"/>
                <w:color w:val="0000FF"/>
                <w:sz w:val="24"/>
                <w:highlight w:val="none"/>
                <w:lang w:eastAsia="zh-CN"/>
              </w:rPr>
              <w:t>核心产品：LED教室灯、LED黑板灯</w:t>
            </w:r>
          </w:p>
        </w:tc>
      </w:tr>
      <w:tr w14:paraId="4ADD91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28" w:hRule="atLeast"/>
        </w:trPr>
        <w:tc>
          <w:tcPr>
            <w:tcW w:w="1381" w:type="dxa"/>
            <w:noWrap w:val="0"/>
            <w:vAlign w:val="center"/>
          </w:tcPr>
          <w:p w14:paraId="52583DEE">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7604" w:type="dxa"/>
            <w:noWrap w:val="0"/>
            <w:vAlign w:val="center"/>
          </w:tcPr>
          <w:p w14:paraId="16D2A52B">
            <w:pPr>
              <w:keepNext w:val="0"/>
              <w:keepLines w:val="0"/>
              <w:suppressLineNumbers w:val="0"/>
              <w:spacing w:before="0" w:beforeAutospacing="0" w:after="0" w:afterAutospacing="0" w:line="240" w:lineRule="atLeast"/>
              <w:ind w:left="0" w:right="0"/>
              <w:rPr>
                <w:rFonts w:hint="eastAsia" w:ascii="仿宋" w:hAnsi="仿宋" w:eastAsia="仿宋" w:cs="仿宋"/>
                <w:i/>
                <w:color w:val="auto"/>
                <w:sz w:val="24"/>
                <w:highlight w:val="none"/>
              </w:rPr>
            </w:pPr>
            <w:r>
              <w:rPr>
                <w:rFonts w:hint="eastAsia" w:ascii="仿宋" w:hAnsi="仿宋" w:eastAsia="仿宋" w:cs="仿宋"/>
                <w:color w:val="auto"/>
                <w:sz w:val="24"/>
                <w:highlight w:val="none"/>
              </w:rPr>
              <w:t>评标方法：适用</w:t>
            </w:r>
            <w:r>
              <w:rPr>
                <w:rFonts w:hint="eastAsia" w:ascii="仿宋" w:hAnsi="仿宋" w:eastAsia="仿宋" w:cs="仿宋"/>
                <w:color w:val="auto"/>
                <w:sz w:val="24"/>
                <w:highlight w:val="none"/>
                <w:u w:val="single"/>
              </w:rPr>
              <w:t>　中华人民共和国财政部令第87号--政府采购货物和服务招标投标管理办法第五十五条综合评分法</w:t>
            </w:r>
            <w:r>
              <w:rPr>
                <w:rFonts w:hint="eastAsia" w:ascii="仿宋" w:hAnsi="仿宋" w:eastAsia="仿宋" w:cs="仿宋"/>
                <w:color w:val="auto"/>
                <w:sz w:val="24"/>
                <w:highlight w:val="none"/>
                <w:lang w:eastAsia="zh-CN"/>
              </w:rPr>
              <w:t>。</w:t>
            </w:r>
          </w:p>
        </w:tc>
      </w:tr>
      <w:tr w14:paraId="391D0B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4733127B">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27</w:t>
            </w:r>
          </w:p>
        </w:tc>
        <w:tc>
          <w:tcPr>
            <w:tcW w:w="7604" w:type="dxa"/>
            <w:noWrap w:val="0"/>
            <w:vAlign w:val="center"/>
          </w:tcPr>
          <w:p w14:paraId="1DD50763">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推荐中标候选供应商的数量：</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u w:val="single"/>
                <w:lang w:eastAsia="zh-CN"/>
              </w:rPr>
              <w:t>三名</w:t>
            </w:r>
            <w:r>
              <w:rPr>
                <w:rFonts w:hint="eastAsia" w:ascii="仿宋" w:hAnsi="仿宋" w:eastAsia="仿宋" w:cs="仿宋"/>
                <w:color w:val="auto"/>
                <w:sz w:val="24"/>
                <w:highlight w:val="none"/>
                <w:u w:val="single"/>
              </w:rPr>
              <w:t xml:space="preserve">   　　</w:t>
            </w:r>
          </w:p>
        </w:tc>
      </w:tr>
      <w:tr w14:paraId="7FA41C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96" w:hRule="atLeast"/>
        </w:trPr>
        <w:tc>
          <w:tcPr>
            <w:tcW w:w="1381" w:type="dxa"/>
            <w:noWrap w:val="0"/>
            <w:vAlign w:val="center"/>
          </w:tcPr>
          <w:p w14:paraId="364324D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27</w:t>
            </w:r>
          </w:p>
        </w:tc>
        <w:tc>
          <w:tcPr>
            <w:tcW w:w="7604" w:type="dxa"/>
            <w:noWrap w:val="0"/>
            <w:vAlign w:val="center"/>
          </w:tcPr>
          <w:p w14:paraId="71A21952">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招标人是否委托评标委员会直接确定中标人：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否</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i/>
                <w:color w:val="auto"/>
                <w:sz w:val="24"/>
                <w:highlight w:val="none"/>
              </w:rPr>
              <w:t>（是、否）</w:t>
            </w:r>
          </w:p>
        </w:tc>
      </w:tr>
      <w:tr w14:paraId="582060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96" w:hRule="atLeast"/>
        </w:trPr>
        <w:tc>
          <w:tcPr>
            <w:tcW w:w="1381" w:type="dxa"/>
            <w:noWrap w:val="0"/>
            <w:vAlign w:val="center"/>
          </w:tcPr>
          <w:p w14:paraId="5E18DAFB">
            <w:pPr>
              <w:keepNext w:val="0"/>
              <w:keepLines w:val="0"/>
              <w:suppressLineNumbers w:val="0"/>
              <w:spacing w:before="0" w:beforeAutospacing="0" w:after="0" w:afterAutospacing="0" w:line="240" w:lineRule="atLeast"/>
              <w:ind w:left="1080" w:leftChars="257" w:right="0" w:hanging="54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w:t>
            </w:r>
          </w:p>
        </w:tc>
        <w:tc>
          <w:tcPr>
            <w:tcW w:w="7604" w:type="dxa"/>
            <w:noWrap w:val="0"/>
            <w:vAlign w:val="center"/>
          </w:tcPr>
          <w:p w14:paraId="23CFB393">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履约保证金金额：合同总价的</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w:t>
            </w:r>
          </w:p>
          <w:p w14:paraId="15B640C7">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履约保证金形式：</w:t>
            </w:r>
            <w:r>
              <w:rPr>
                <w:rFonts w:hint="eastAsia" w:ascii="仿宋" w:hAnsi="仿宋" w:eastAsia="仿宋" w:cs="仿宋"/>
                <w:color w:val="auto"/>
                <w:sz w:val="24"/>
                <w:highlight w:val="none"/>
                <w:lang w:eastAsia="zh-CN"/>
              </w:rPr>
              <w:t>法律允许的所有形式</w:t>
            </w:r>
          </w:p>
        </w:tc>
      </w:tr>
      <w:tr w14:paraId="6E7EF2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9" w:hRule="atLeast"/>
        </w:trPr>
        <w:tc>
          <w:tcPr>
            <w:tcW w:w="1381" w:type="dxa"/>
            <w:noWrap w:val="0"/>
            <w:vAlign w:val="center"/>
          </w:tcPr>
          <w:p w14:paraId="0F413F83">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w:t>
            </w:r>
          </w:p>
        </w:tc>
        <w:tc>
          <w:tcPr>
            <w:tcW w:w="7604" w:type="dxa"/>
            <w:noWrap w:val="0"/>
            <w:vAlign w:val="center"/>
          </w:tcPr>
          <w:p w14:paraId="6328CC69">
            <w:pPr>
              <w:keepNext w:val="0"/>
              <w:keepLines w:val="0"/>
              <w:suppressLineNumbers w:val="0"/>
              <w:spacing w:before="0" w:beforeAutospacing="0" w:after="0" w:afterAutospacing="0" w:line="240" w:lineRule="auto"/>
              <w:ind w:left="0" w:right="0"/>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代理服务费：50-100万，中标价的1.5%；100-300万，中标价的1.2%；300-500万，中标价的1.1%；500-1000万，中标价的0.9%。</w:t>
            </w:r>
          </w:p>
          <w:p w14:paraId="4E6386A6">
            <w:pPr>
              <w:keepNext w:val="0"/>
              <w:keepLines w:val="0"/>
              <w:suppressLineNumbers w:val="0"/>
              <w:spacing w:before="0" w:beforeAutospacing="0" w:after="0" w:afterAutospacing="0" w:line="240" w:lineRule="auto"/>
              <w:ind w:left="0" w:right="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 xml:space="preserve">支付形式：对公转账                              </w:t>
            </w:r>
          </w:p>
          <w:p w14:paraId="7C89DD31">
            <w:pPr>
              <w:pStyle w:val="38"/>
              <w:keepNext w:val="0"/>
              <w:keepLines w:val="0"/>
              <w:suppressLineNumbers w:val="0"/>
              <w:spacing w:before="0" w:beforeAutospacing="0" w:after="0" w:afterAutospacing="0" w:line="240" w:lineRule="auto"/>
              <w:ind w:left="0" w:leftChars="0" w:right="0" w:firstLine="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支付时间：领取中标通知书时由中标方支付一次性支付</w:t>
            </w:r>
          </w:p>
        </w:tc>
      </w:tr>
      <w:tr w14:paraId="23228D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57" w:hRule="atLeast"/>
        </w:trPr>
        <w:tc>
          <w:tcPr>
            <w:tcW w:w="1381" w:type="dxa"/>
            <w:noWrap w:val="0"/>
            <w:vAlign w:val="center"/>
          </w:tcPr>
          <w:p w14:paraId="2138E029">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33.1</w:t>
            </w:r>
          </w:p>
        </w:tc>
        <w:tc>
          <w:tcPr>
            <w:tcW w:w="7604" w:type="dxa"/>
            <w:noWrap w:val="0"/>
            <w:vAlign w:val="center"/>
          </w:tcPr>
          <w:p w14:paraId="5F733EF6">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本项目是否属于信用担保试点范围：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否</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i/>
                <w:color w:val="auto"/>
                <w:sz w:val="24"/>
                <w:highlight w:val="none"/>
              </w:rPr>
              <w:t>（是、否）</w:t>
            </w:r>
          </w:p>
        </w:tc>
      </w:tr>
      <w:tr w14:paraId="6EDF17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81" w:type="dxa"/>
            <w:noWrap w:val="0"/>
            <w:vAlign w:val="center"/>
          </w:tcPr>
          <w:p w14:paraId="46A049DE">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33.2</w:t>
            </w:r>
          </w:p>
        </w:tc>
        <w:tc>
          <w:tcPr>
            <w:tcW w:w="7604" w:type="dxa"/>
            <w:noWrap w:val="0"/>
            <w:vAlign w:val="center"/>
          </w:tcPr>
          <w:p w14:paraId="750DC576">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政府采购专业担保机构：</w:t>
            </w:r>
          </w:p>
          <w:p w14:paraId="1816C4B1">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 xml:space="preserve">信用担保专业的担保机构：莎车县宏远融资担保有限责任公司 </w:t>
            </w:r>
          </w:p>
          <w:p w14:paraId="6B60EF7B">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2"/>
                <w:szCs w:val="22"/>
                <w:highlight w:val="none"/>
                <w:lang w:val="en-US" w:eastAsia="zh-CN" w:bidi="ar-SA"/>
              </w:rPr>
            </w:pPr>
            <w:r>
              <w:rPr>
                <w:rFonts w:hint="eastAsia" w:ascii="仿宋" w:hAnsi="仿宋" w:eastAsia="仿宋" w:cs="仿宋"/>
                <w:color w:val="auto"/>
                <w:kern w:val="0"/>
                <w:sz w:val="22"/>
                <w:szCs w:val="22"/>
                <w:highlight w:val="none"/>
                <w:lang w:val="en-US" w:eastAsia="zh-CN" w:bidi="ar-SA"/>
              </w:rPr>
              <w:t xml:space="preserve">联系人：王升    </w:t>
            </w:r>
          </w:p>
          <w:p w14:paraId="14077107">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2"/>
                <w:szCs w:val="22"/>
                <w:highlight w:val="none"/>
                <w:lang w:val="en-US" w:eastAsia="zh-CN" w:bidi="ar-SA"/>
              </w:rPr>
            </w:pPr>
            <w:r>
              <w:rPr>
                <w:rFonts w:hint="eastAsia" w:ascii="仿宋" w:hAnsi="仿宋" w:eastAsia="仿宋" w:cs="仿宋"/>
                <w:color w:val="auto"/>
                <w:kern w:val="0"/>
                <w:sz w:val="22"/>
                <w:szCs w:val="22"/>
                <w:highlight w:val="none"/>
                <w:lang w:val="en-US" w:eastAsia="zh-CN" w:bidi="ar-SA"/>
              </w:rPr>
              <w:t>联系电话：18699899296</w:t>
            </w:r>
          </w:p>
          <w:p w14:paraId="76E7798C">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2"/>
                <w:szCs w:val="22"/>
                <w:highlight w:val="none"/>
                <w:lang w:val="en-US" w:eastAsia="zh-CN" w:bidi="ar-SA"/>
              </w:rPr>
            </w:pPr>
            <w:r>
              <w:rPr>
                <w:rFonts w:hint="eastAsia" w:ascii="仿宋" w:hAnsi="仿宋" w:eastAsia="仿宋" w:cs="仿宋"/>
                <w:color w:val="auto"/>
                <w:kern w:val="0"/>
                <w:sz w:val="22"/>
                <w:szCs w:val="22"/>
                <w:highlight w:val="none"/>
                <w:lang w:val="en-US" w:eastAsia="zh-CN" w:bidi="ar-SA"/>
              </w:rPr>
              <w:t>地址：莎车县新城路16号</w:t>
            </w:r>
          </w:p>
          <w:p w14:paraId="4DE0ADC9">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0"/>
                <w:sz w:val="22"/>
                <w:szCs w:val="22"/>
                <w:highlight w:val="none"/>
                <w:lang w:val="en-US" w:eastAsia="zh-CN" w:bidi="ar-SA"/>
              </w:rPr>
            </w:pPr>
            <w:r>
              <w:rPr>
                <w:rFonts w:hint="eastAsia" w:ascii="仿宋" w:hAnsi="仿宋" w:eastAsia="仿宋" w:cs="仿宋"/>
                <w:color w:val="auto"/>
                <w:kern w:val="0"/>
                <w:sz w:val="22"/>
                <w:szCs w:val="22"/>
                <w:highlight w:val="none"/>
                <w:lang w:val="en-US" w:eastAsia="zh-CN" w:bidi="ar-SA"/>
              </w:rPr>
              <w:t>邮箱：245462334@qq.com</w:t>
            </w:r>
          </w:p>
          <w:p w14:paraId="7C7FE6B8">
            <w:pPr>
              <w:keepNext w:val="0"/>
              <w:keepLines w:val="0"/>
              <w:suppressLineNumbers w:val="0"/>
              <w:spacing w:before="0" w:beforeAutospacing="0" w:after="0" w:afterAutospacing="0" w:line="240" w:lineRule="atLeast"/>
              <w:ind w:left="0" w:right="0"/>
              <w:rPr>
                <w:rFonts w:hint="eastAsia" w:ascii="仿宋" w:hAnsi="仿宋" w:eastAsia="仿宋" w:cs="仿宋"/>
                <w:lang w:eastAsia="zh-CN"/>
              </w:rPr>
            </w:pPr>
            <w:r>
              <w:rPr>
                <w:rFonts w:hint="eastAsia" w:ascii="仿宋" w:hAnsi="仿宋" w:eastAsia="仿宋" w:cs="仿宋"/>
                <w:sz w:val="24"/>
                <w:highlight w:val="none"/>
              </w:rPr>
              <w:t>注：“以上担保机构只是给投标商多一个选择，最终选择哪个机构由投标单位自己决定，不论选择哪个合法的担保机构，不影响正常项目投标。”</w:t>
            </w:r>
          </w:p>
        </w:tc>
      </w:tr>
      <w:tr w14:paraId="2B77FF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81" w:type="dxa"/>
            <w:noWrap w:val="0"/>
            <w:vAlign w:val="center"/>
          </w:tcPr>
          <w:p w14:paraId="1BFC5B9D">
            <w:pPr>
              <w:keepNext w:val="0"/>
              <w:keepLines w:val="0"/>
              <w:suppressLineNumbers w:val="0"/>
              <w:spacing w:before="0" w:beforeAutospacing="0" w:after="0" w:afterAutospacing="0" w:line="240" w:lineRule="atLeast"/>
              <w:ind w:left="1080" w:leftChars="257" w:right="0" w:hanging="54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34.3</w:t>
            </w:r>
          </w:p>
        </w:tc>
        <w:tc>
          <w:tcPr>
            <w:tcW w:w="7604" w:type="dxa"/>
            <w:noWrap w:val="0"/>
            <w:vAlign w:val="center"/>
          </w:tcPr>
          <w:p w14:paraId="5C69CCF5">
            <w:pPr>
              <w:keepNext w:val="0"/>
              <w:keepLines w:val="0"/>
              <w:suppressLineNumbers w:val="0"/>
              <w:spacing w:before="0" w:beforeAutospacing="0" w:after="0" w:afterAutospacing="0" w:line="240" w:lineRule="atLeast"/>
              <w:ind w:left="710" w:leftChars="-23" w:right="0" w:hanging="758" w:hangingChars="316"/>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反腐倡廉监督电话：0998-</w:t>
            </w:r>
            <w:r>
              <w:rPr>
                <w:rFonts w:hint="eastAsia" w:ascii="仿宋" w:hAnsi="仿宋" w:eastAsia="仿宋" w:cs="仿宋"/>
                <w:color w:val="auto"/>
                <w:sz w:val="24"/>
                <w:highlight w:val="none"/>
                <w:lang w:val="en-US" w:eastAsia="zh-CN"/>
              </w:rPr>
              <w:t>8512578</w:t>
            </w:r>
          </w:p>
        </w:tc>
      </w:tr>
      <w:tr w14:paraId="7064AE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81" w:type="dxa"/>
            <w:noWrap w:val="0"/>
            <w:vAlign w:val="center"/>
          </w:tcPr>
          <w:p w14:paraId="31A3E38B">
            <w:pPr>
              <w:keepNext w:val="0"/>
              <w:keepLines w:val="0"/>
              <w:suppressLineNumbers w:val="0"/>
              <w:spacing w:before="0" w:beforeAutospacing="0" w:after="0" w:afterAutospacing="0" w:line="240" w:lineRule="atLeast"/>
              <w:ind w:left="1080" w:leftChars="257" w:right="0" w:hanging="54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36.3</w:t>
            </w:r>
          </w:p>
        </w:tc>
        <w:tc>
          <w:tcPr>
            <w:tcW w:w="7604" w:type="dxa"/>
            <w:noWrap w:val="0"/>
            <w:vAlign w:val="center"/>
          </w:tcPr>
          <w:p w14:paraId="23F753A4">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质疑函</w:t>
            </w:r>
            <w:r>
              <w:rPr>
                <w:rFonts w:hint="eastAsia" w:ascii="仿宋" w:hAnsi="仿宋" w:eastAsia="仿宋" w:cs="仿宋"/>
                <w:color w:val="auto"/>
                <w:sz w:val="24"/>
                <w:highlight w:val="none"/>
              </w:rPr>
              <w:t>接收部门：</w:t>
            </w:r>
            <w:r>
              <w:rPr>
                <w:rFonts w:hint="eastAsia" w:ascii="仿宋" w:hAnsi="仿宋" w:eastAsia="仿宋" w:cs="仿宋"/>
                <w:color w:val="auto"/>
                <w:sz w:val="24"/>
                <w:highlight w:val="none"/>
                <w:u w:val="single"/>
                <w:lang w:eastAsia="zh-CN"/>
              </w:rPr>
              <w:t>新疆新华远景工程造价咨询有限公司招标部</w:t>
            </w:r>
          </w:p>
          <w:p w14:paraId="7E742BDC">
            <w:pPr>
              <w:keepNext w:val="0"/>
              <w:keepLines w:val="0"/>
              <w:suppressLineNumbers w:val="0"/>
              <w:spacing w:before="0" w:beforeAutospacing="0" w:after="0" w:afterAutospacing="0" w:line="240" w:lineRule="atLeast"/>
              <w:ind w:left="0" w:right="0"/>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single"/>
                <w:lang w:val="en-US" w:eastAsia="zh-CN"/>
              </w:rPr>
              <w:t xml:space="preserve">19999458925   </w:t>
            </w:r>
            <w:r>
              <w:rPr>
                <w:rFonts w:hint="eastAsia" w:ascii="仿宋" w:hAnsi="仿宋" w:eastAsia="仿宋" w:cs="仿宋"/>
                <w:color w:val="auto"/>
                <w:sz w:val="24"/>
                <w:highlight w:val="none"/>
                <w:lang w:val="en-US" w:eastAsia="zh-CN"/>
              </w:rPr>
              <w:t xml:space="preserve">    递交形式：</w:t>
            </w:r>
            <w:r>
              <w:rPr>
                <w:rFonts w:hint="eastAsia" w:ascii="仿宋" w:hAnsi="仿宋" w:eastAsia="仿宋" w:cs="仿宋"/>
                <w:color w:val="auto"/>
                <w:sz w:val="24"/>
                <w:highlight w:val="none"/>
                <w:u w:val="single"/>
                <w:lang w:val="en-US" w:eastAsia="zh-CN"/>
              </w:rPr>
              <w:t>书面形式</w:t>
            </w:r>
          </w:p>
          <w:p w14:paraId="77502C1D">
            <w:pPr>
              <w:keepNext w:val="0"/>
              <w:keepLines w:val="0"/>
              <w:pageBreakBefore w:val="0"/>
              <w:suppressLineNumbers w:val="0"/>
              <w:kinsoku/>
              <w:wordWrap/>
              <w:overflowPunct/>
              <w:topLinePunct w:val="0"/>
              <w:autoSpaceDE/>
              <w:autoSpaceDN/>
              <w:bidi w:val="0"/>
              <w:adjustRightInd/>
              <w:spacing w:before="0" w:beforeAutospacing="0" w:after="0" w:afterAutospacing="0" w:line="348" w:lineRule="auto"/>
              <w:ind w:left="0" w:right="0"/>
              <w:textAlignment w:val="auto"/>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通讯地址</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u w:val="single"/>
                <w:lang w:val="en-US" w:eastAsia="zh-CN"/>
              </w:rPr>
              <w:t>喀什地区莎车县团结路浙商大酒店5楼 507 室</w:t>
            </w:r>
          </w:p>
        </w:tc>
      </w:tr>
      <w:tr w14:paraId="6F0C5C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81" w:type="dxa"/>
            <w:noWrap w:val="0"/>
            <w:vAlign w:val="center"/>
          </w:tcPr>
          <w:p w14:paraId="4A4638F5">
            <w:pPr>
              <w:keepNext w:val="0"/>
              <w:keepLines w:val="0"/>
              <w:suppressLineNumbers w:val="0"/>
              <w:spacing w:before="0" w:beforeAutospacing="0" w:after="0" w:afterAutospacing="0" w:line="240" w:lineRule="atLeast"/>
              <w:ind w:left="1080" w:leftChars="257" w:right="0" w:hanging="54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36.10</w:t>
            </w:r>
          </w:p>
        </w:tc>
        <w:tc>
          <w:tcPr>
            <w:tcW w:w="7604" w:type="dxa"/>
            <w:noWrap w:val="0"/>
            <w:vAlign w:val="center"/>
          </w:tcPr>
          <w:p w14:paraId="619BF06D">
            <w:pPr>
              <w:keepNext w:val="0"/>
              <w:keepLines w:val="0"/>
              <w:pageBreakBefore w:val="0"/>
              <w:suppressLineNumbers w:val="0"/>
              <w:kinsoku/>
              <w:wordWrap/>
              <w:overflowPunct/>
              <w:topLinePunct w:val="0"/>
              <w:autoSpaceDE/>
              <w:autoSpaceDN/>
              <w:bidi w:val="0"/>
              <w:adjustRightInd/>
              <w:spacing w:before="0" w:beforeAutospacing="0" w:after="0" w:afterAutospacing="0" w:line="348" w:lineRule="auto"/>
              <w:ind w:left="0" w:right="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受理投诉的方式、联系部门、联系电话和通讯地址等信息</w:t>
            </w:r>
            <w:r>
              <w:rPr>
                <w:rFonts w:hint="eastAsia" w:ascii="仿宋" w:hAnsi="仿宋" w:eastAsia="仿宋" w:cs="仿宋"/>
                <w:color w:val="auto"/>
                <w:sz w:val="24"/>
                <w:highlight w:val="none"/>
                <w:lang w:eastAsia="zh-CN"/>
              </w:rPr>
              <w:t>请在新疆政府采购网“政府采购投诉联系方式”模块查询。</w:t>
            </w:r>
          </w:p>
        </w:tc>
      </w:tr>
      <w:tr w14:paraId="4AD1AC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1" w:hRule="atLeast"/>
        </w:trPr>
        <w:tc>
          <w:tcPr>
            <w:tcW w:w="8985" w:type="dxa"/>
            <w:gridSpan w:val="2"/>
            <w:tcBorders>
              <w:top w:val="single" w:color="auto" w:sz="12" w:space="0"/>
              <w:left w:val="single" w:color="auto" w:sz="12" w:space="0"/>
              <w:bottom w:val="single" w:color="auto" w:sz="12" w:space="0"/>
              <w:right w:val="single" w:color="auto" w:sz="12" w:space="0"/>
            </w:tcBorders>
            <w:noWrap w:val="0"/>
            <w:vAlign w:val="center"/>
          </w:tcPr>
          <w:p w14:paraId="55663A84">
            <w:pPr>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适用于本投标人须知的额外增加的变动：</w:t>
            </w:r>
          </w:p>
        </w:tc>
      </w:tr>
      <w:tr w14:paraId="431126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4BC35ACA">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7604" w:type="dxa"/>
            <w:noWrap w:val="0"/>
            <w:vAlign w:val="center"/>
          </w:tcPr>
          <w:p w14:paraId="59033E83">
            <w:pPr>
              <w:keepNext w:val="0"/>
              <w:keepLines w:val="0"/>
              <w:suppressLineNumbers w:val="0"/>
              <w:tabs>
                <w:tab w:val="left" w:pos="5580"/>
              </w:tabs>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投标人提供</w:t>
            </w:r>
            <w:r>
              <w:rPr>
                <w:rFonts w:hint="eastAsia" w:ascii="仿宋" w:hAnsi="仿宋" w:eastAsia="仿宋" w:cs="仿宋"/>
                <w:color w:val="0000FF"/>
                <w:sz w:val="24"/>
                <w:highlight w:val="none"/>
                <w:u w:val="single"/>
                <w:lang w:val="en-US" w:eastAsia="zh-CN"/>
              </w:rPr>
              <w:t xml:space="preserve">  2023年度或2024</w:t>
            </w:r>
            <w:r>
              <w:rPr>
                <w:rFonts w:hint="eastAsia" w:ascii="仿宋" w:hAnsi="仿宋" w:eastAsia="仿宋" w:cs="仿宋"/>
                <w:color w:val="0000FF"/>
                <w:sz w:val="24"/>
                <w:highlight w:val="none"/>
                <w:u w:val="single"/>
                <w:lang w:eastAsia="zh-CN"/>
              </w:rPr>
              <w:t>年度财务审计报告书</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年成立公司提供银行出具的资信证明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证明具有良好的商业信誉和健全的财务会计制度</w:t>
            </w:r>
          </w:p>
        </w:tc>
      </w:tr>
      <w:tr w14:paraId="65BDD8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97" w:hRule="atLeast"/>
        </w:trPr>
        <w:tc>
          <w:tcPr>
            <w:tcW w:w="1381" w:type="dxa"/>
            <w:noWrap w:val="0"/>
            <w:vAlign w:val="center"/>
          </w:tcPr>
          <w:p w14:paraId="14E7E976">
            <w:pPr>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color w:val="auto"/>
                <w:sz w:val="24"/>
                <w:highlight w:val="none"/>
              </w:rPr>
            </w:pPr>
          </w:p>
          <w:p w14:paraId="12FE7910">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7604" w:type="dxa"/>
            <w:noWrap w:val="0"/>
            <w:vAlign w:val="center"/>
          </w:tcPr>
          <w:p w14:paraId="28E1FC66">
            <w:pPr>
              <w:keepNext w:val="0"/>
              <w:keepLines w:val="0"/>
              <w:suppressLineNumbers w:val="0"/>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提供投标</w:t>
            </w:r>
            <w:r>
              <w:rPr>
                <w:rFonts w:hint="eastAsia" w:ascii="仿宋" w:hAnsi="仿宋" w:eastAsia="仿宋" w:cs="仿宋"/>
                <w:color w:val="auto"/>
                <w:sz w:val="24"/>
                <w:highlight w:val="none"/>
                <w:lang w:val="en-US" w:eastAsia="zh-CN"/>
              </w:rPr>
              <w:t>人</w:t>
            </w:r>
            <w:r>
              <w:rPr>
                <w:rFonts w:hint="eastAsia" w:ascii="仿宋" w:hAnsi="仿宋" w:eastAsia="仿宋" w:cs="仿宋"/>
                <w:color w:val="auto"/>
                <w:sz w:val="24"/>
                <w:highlight w:val="none"/>
              </w:rPr>
              <w:t>近</w:t>
            </w:r>
            <w:r>
              <w:rPr>
                <w:rFonts w:hint="eastAsia" w:ascii="仿宋" w:hAnsi="仿宋" w:eastAsia="仿宋" w:cs="仿宋"/>
                <w:color w:val="auto"/>
                <w:sz w:val="24"/>
                <w:highlight w:val="none"/>
                <w:lang w:val="en-US" w:eastAsia="zh-CN"/>
              </w:rPr>
              <w:t>六个月内任意</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u w:val="single"/>
                <w:lang w:val="en-US" w:eastAsia="zh-CN"/>
              </w:rPr>
              <w:t>一</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个月</w:t>
            </w:r>
            <w:r>
              <w:rPr>
                <w:rFonts w:hint="eastAsia" w:ascii="仿宋" w:hAnsi="仿宋" w:eastAsia="仿宋" w:cs="仿宋"/>
                <w:color w:val="auto"/>
                <w:sz w:val="24"/>
                <w:highlight w:val="none"/>
                <w:lang w:eastAsia="zh-CN"/>
              </w:rPr>
              <w:t>连续</w:t>
            </w:r>
            <w:r>
              <w:rPr>
                <w:rFonts w:hint="eastAsia" w:ascii="仿宋" w:hAnsi="仿宋" w:eastAsia="仿宋" w:cs="仿宋"/>
                <w:color w:val="auto"/>
                <w:sz w:val="24"/>
                <w:highlight w:val="none"/>
              </w:rPr>
              <w:t>的社保缴纳记录；</w:t>
            </w:r>
          </w:p>
          <w:p w14:paraId="0F41F8C4">
            <w:pPr>
              <w:keepNext w:val="0"/>
              <w:keepLines w:val="0"/>
              <w:suppressLineNumbers w:val="0"/>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在法规范围内不需提供的，应做书面说明和</w:t>
            </w:r>
            <w:r>
              <w:rPr>
                <w:rFonts w:hint="eastAsia" w:ascii="仿宋" w:hAnsi="仿宋" w:eastAsia="仿宋" w:cs="仿宋"/>
                <w:color w:val="auto"/>
                <w:sz w:val="24"/>
                <w:highlight w:val="none"/>
                <w:lang w:eastAsia="zh-CN"/>
              </w:rPr>
              <w:t>提供</w:t>
            </w:r>
            <w:r>
              <w:rPr>
                <w:rFonts w:hint="eastAsia" w:ascii="仿宋" w:hAnsi="仿宋" w:eastAsia="仿宋" w:cs="仿宋"/>
                <w:color w:val="auto"/>
                <w:sz w:val="24"/>
                <w:highlight w:val="none"/>
              </w:rPr>
              <w:t>证明文件。</w:t>
            </w:r>
          </w:p>
        </w:tc>
      </w:tr>
      <w:tr w14:paraId="569A6A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729A7ABF">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7604" w:type="dxa"/>
            <w:noWrap w:val="0"/>
            <w:vAlign w:val="center"/>
          </w:tcPr>
          <w:p w14:paraId="27C8C9E1">
            <w:pPr>
              <w:keepNext w:val="0"/>
              <w:keepLines w:val="0"/>
              <w:suppressLineNumbers w:val="0"/>
              <w:spacing w:before="0" w:beforeAutospacing="0" w:after="0" w:afterAutospacing="0" w:line="240" w:lineRule="auto"/>
              <w:ind w:left="0" w:right="0"/>
              <w:rPr>
                <w:rFonts w:hint="default" w:ascii="仿宋" w:hAnsi="仿宋" w:eastAsia="仿宋" w:cs="仿宋"/>
                <w:b w:val="0"/>
                <w:bCs/>
                <w:color w:val="auto"/>
                <w:sz w:val="24"/>
                <w:szCs w:val="24"/>
                <w:highlight w:val="none"/>
                <w:u w:val="none"/>
                <w:lang w:val="en-US" w:eastAsia="zh-CN"/>
              </w:rPr>
            </w:pPr>
            <w:r>
              <w:rPr>
                <w:rFonts w:hint="eastAsia" w:ascii="仿宋" w:hAnsi="仿宋" w:eastAsia="仿宋" w:cs="仿宋"/>
                <w:b w:val="0"/>
                <w:bCs/>
                <w:color w:val="auto"/>
                <w:sz w:val="24"/>
                <w:szCs w:val="24"/>
                <w:highlight w:val="none"/>
                <w:u w:val="none"/>
                <w:lang w:val="en-US" w:eastAsia="zh-CN"/>
              </w:rPr>
              <w:t>付款：中标人需缴纳中标金额5％的履约保证金（</w:t>
            </w:r>
            <w:r>
              <w:rPr>
                <w:rFonts w:hint="eastAsia" w:ascii="仿宋" w:hAnsi="仿宋" w:eastAsia="仿宋" w:cs="仿宋"/>
                <w:color w:val="auto"/>
                <w:sz w:val="24"/>
                <w:highlight w:val="none"/>
                <w:lang w:eastAsia="zh-CN"/>
              </w:rPr>
              <w:t>法律允许的所有形式</w:t>
            </w:r>
            <w:r>
              <w:rPr>
                <w:rFonts w:hint="eastAsia" w:ascii="仿宋" w:hAnsi="仿宋" w:eastAsia="仿宋" w:cs="仿宋"/>
                <w:b w:val="0"/>
                <w:bCs/>
                <w:color w:val="auto"/>
                <w:sz w:val="24"/>
                <w:szCs w:val="24"/>
                <w:highlight w:val="none"/>
                <w:u w:val="none"/>
                <w:lang w:val="en-US" w:eastAsia="zh-CN"/>
              </w:rPr>
              <w:t>），合同签订后付合同金额30%的预付款，货到安装调试完成后付合同总价款的50%，经验收检测合格（由第三方检测机构进行检测并出具检测报告，检测费用由供应商支付）后付合同总价款的20%（具体以合同签订为准）</w:t>
            </w:r>
          </w:p>
        </w:tc>
      </w:tr>
      <w:tr w14:paraId="421553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6" w:hRule="atLeast"/>
        </w:trPr>
        <w:tc>
          <w:tcPr>
            <w:tcW w:w="1381" w:type="dxa"/>
            <w:noWrap w:val="0"/>
            <w:vAlign w:val="center"/>
          </w:tcPr>
          <w:p w14:paraId="52B48CC6">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lang w:val="en-US" w:eastAsia="zh-CN"/>
              </w:rPr>
            </w:pPr>
          </w:p>
          <w:p w14:paraId="32FF1AB4">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7604" w:type="dxa"/>
            <w:noWrap w:val="0"/>
            <w:vAlign w:val="center"/>
          </w:tcPr>
          <w:p w14:paraId="508722BB">
            <w:pPr>
              <w:keepNext w:val="0"/>
              <w:keepLines w:val="0"/>
              <w:suppressLineNumbers w:val="0"/>
              <w:spacing w:before="0" w:beforeAutospacing="0" w:after="0" w:afterAutospacing="0"/>
              <w:ind w:left="0" w:right="0"/>
              <w:rPr>
                <w:rFonts w:hint="eastAsia" w:ascii="仿宋" w:hAnsi="仿宋" w:eastAsia="仿宋" w:cs="仿宋"/>
                <w:b w:val="0"/>
                <w:bCs/>
                <w:color w:val="auto"/>
                <w:sz w:val="24"/>
                <w:szCs w:val="24"/>
                <w:highlight w:val="none"/>
                <w:u w:val="none"/>
                <w:lang w:val="en-US" w:eastAsia="zh-CN"/>
              </w:rPr>
            </w:pPr>
            <w:r>
              <w:rPr>
                <w:rFonts w:hint="eastAsia" w:ascii="仿宋" w:hAnsi="仿宋" w:eastAsia="仿宋" w:cs="仿宋"/>
                <w:b w:val="0"/>
                <w:bCs/>
                <w:color w:val="auto"/>
                <w:sz w:val="24"/>
                <w:szCs w:val="24"/>
                <w:highlight w:val="none"/>
                <w:u w:val="none"/>
                <w:lang w:val="en-US" w:eastAsia="zh-CN"/>
              </w:rPr>
              <w:t>交货期：80天内完成供货并安装调试、检测、验收完成（具体以合同签订为准）。</w:t>
            </w:r>
          </w:p>
          <w:p w14:paraId="6E296A0D">
            <w:pPr>
              <w:keepNext w:val="0"/>
              <w:keepLines w:val="0"/>
              <w:suppressLineNumbers w:val="0"/>
              <w:spacing w:before="0" w:beforeAutospacing="0" w:after="0" w:afterAutospacing="0"/>
              <w:ind w:left="0" w:right="0"/>
              <w:rPr>
                <w:rFonts w:hint="default" w:ascii="仿宋" w:hAnsi="仿宋" w:eastAsia="仿宋" w:cs="仿宋"/>
                <w:b w:val="0"/>
                <w:bCs/>
                <w:color w:val="auto"/>
                <w:sz w:val="24"/>
                <w:szCs w:val="24"/>
                <w:highlight w:val="none"/>
                <w:u w:val="none"/>
                <w:lang w:val="en-US" w:eastAsia="zh-CN"/>
              </w:rPr>
            </w:pPr>
            <w:r>
              <w:rPr>
                <w:rFonts w:hint="eastAsia" w:ascii="仿宋" w:hAnsi="仿宋" w:eastAsia="仿宋" w:cs="仿宋"/>
                <w:b w:val="0"/>
                <w:bCs/>
                <w:color w:val="auto"/>
                <w:sz w:val="24"/>
                <w:szCs w:val="24"/>
                <w:highlight w:val="none"/>
                <w:u w:val="none"/>
                <w:lang w:val="en-US" w:eastAsia="zh-CN"/>
              </w:rPr>
              <w:t>交货地点：莎车县城区及各乡镇学校（请各投标单位自行了解莎车县地貌环境，考虑运距等成本）。</w:t>
            </w:r>
          </w:p>
          <w:p w14:paraId="4D918623">
            <w:pPr>
              <w:keepNext w:val="0"/>
              <w:keepLines w:val="0"/>
              <w:suppressLineNumbers w:val="0"/>
              <w:spacing w:before="0" w:beforeAutospacing="0" w:after="0" w:afterAutospacing="0"/>
              <w:ind w:left="0" w:right="0"/>
              <w:rPr>
                <w:rFonts w:hint="eastAsia" w:ascii="仿宋" w:hAnsi="仿宋" w:eastAsia="仿宋" w:cs="仿宋"/>
                <w:b w:val="0"/>
                <w:bCs/>
                <w:color w:val="auto"/>
                <w:sz w:val="24"/>
                <w:szCs w:val="24"/>
                <w:highlight w:val="none"/>
                <w:u w:val="none"/>
                <w:lang w:val="en-US" w:eastAsia="zh-CN"/>
              </w:rPr>
            </w:pPr>
            <w:r>
              <w:rPr>
                <w:rFonts w:hint="eastAsia" w:ascii="仿宋" w:hAnsi="仿宋" w:eastAsia="仿宋" w:cs="仿宋"/>
                <w:b w:val="0"/>
                <w:bCs/>
                <w:color w:val="auto"/>
                <w:sz w:val="24"/>
                <w:szCs w:val="24"/>
                <w:highlight w:val="none"/>
                <w:u w:val="none"/>
                <w:lang w:val="en-US" w:eastAsia="zh-CN"/>
              </w:rPr>
              <w:t>质保期：3年。</w:t>
            </w:r>
          </w:p>
          <w:p w14:paraId="54BFFFB1">
            <w:pPr>
              <w:keepNext w:val="0"/>
              <w:keepLines w:val="0"/>
              <w:suppressLineNumbers w:val="0"/>
              <w:spacing w:before="0" w:beforeAutospacing="0" w:after="0" w:afterAutospacing="0"/>
              <w:ind w:left="0" w:right="0"/>
              <w:rPr>
                <w:rFonts w:hint="default" w:ascii="仿宋" w:hAnsi="仿宋" w:eastAsia="仿宋" w:cs="仿宋"/>
                <w:b w:val="0"/>
                <w:bCs/>
                <w:color w:val="auto"/>
                <w:sz w:val="24"/>
                <w:szCs w:val="24"/>
                <w:highlight w:val="none"/>
                <w:u w:val="none"/>
                <w:lang w:val="en-US" w:eastAsia="zh-CN"/>
              </w:rPr>
            </w:pPr>
            <w:r>
              <w:rPr>
                <w:rFonts w:hint="eastAsia" w:ascii="仿宋" w:hAnsi="仿宋" w:eastAsia="仿宋" w:cs="仿宋"/>
                <w:b w:val="0"/>
                <w:bCs/>
                <w:color w:val="auto"/>
                <w:sz w:val="24"/>
                <w:szCs w:val="24"/>
                <w:highlight w:val="none"/>
                <w:u w:val="none"/>
                <w:lang w:val="en-US" w:eastAsia="zh-CN"/>
              </w:rPr>
              <w:t>免费售后服务期：3年</w:t>
            </w:r>
          </w:p>
        </w:tc>
      </w:tr>
      <w:tr w14:paraId="3D200E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46" w:hRule="atLeast"/>
        </w:trPr>
        <w:tc>
          <w:tcPr>
            <w:tcW w:w="1381" w:type="dxa"/>
            <w:noWrap w:val="0"/>
            <w:vAlign w:val="center"/>
          </w:tcPr>
          <w:p w14:paraId="2C9602B5">
            <w:pPr>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color w:val="auto"/>
                <w:sz w:val="24"/>
                <w:highlight w:val="none"/>
                <w:lang w:val="en-US" w:eastAsia="zh-CN"/>
              </w:rPr>
            </w:pPr>
          </w:p>
          <w:p w14:paraId="0ACEE831">
            <w:pPr>
              <w:keepNext w:val="0"/>
              <w:keepLines w:val="0"/>
              <w:suppressLineNumbers w:val="0"/>
              <w:spacing w:before="0" w:beforeAutospacing="0" w:after="0" w:afterAutospacing="0" w:line="240" w:lineRule="atLeast"/>
              <w:ind w:left="1080" w:leftChars="257" w:right="0" w:hanging="540"/>
              <w:jc w:val="center"/>
              <w:rPr>
                <w:rFonts w:hint="eastAsia" w:ascii="仿宋" w:hAnsi="仿宋" w:eastAsia="仿宋" w:cs="仿宋"/>
                <w:color w:val="auto"/>
                <w:sz w:val="24"/>
                <w:highlight w:val="none"/>
                <w:lang w:val="en-US" w:eastAsia="zh-CN"/>
              </w:rPr>
            </w:pPr>
          </w:p>
          <w:p w14:paraId="107DE6A0">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7604" w:type="dxa"/>
            <w:noWrap w:val="0"/>
            <w:vAlign w:val="center"/>
          </w:tcPr>
          <w:p w14:paraId="7F21C09D">
            <w:pPr>
              <w:keepNext w:val="0"/>
              <w:keepLines w:val="0"/>
              <w:suppressLineNumbers w:val="0"/>
              <w:spacing w:before="0" w:beforeAutospacing="0" w:after="0" w:afterAutospacing="0" w:line="240" w:lineRule="auto"/>
              <w:ind w:left="0" w:right="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5.1组织履约验收：由采购人自行组织；</w:t>
            </w:r>
          </w:p>
          <w:p w14:paraId="0CA4ED17">
            <w:pPr>
              <w:keepNext w:val="0"/>
              <w:keepLines w:val="0"/>
              <w:suppressLineNumbers w:val="0"/>
              <w:spacing w:before="0" w:beforeAutospacing="0" w:after="0" w:afterAutospacing="0" w:line="240" w:lineRule="auto"/>
              <w:ind w:left="0" w:right="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5.2验收方案：由采购人或其委托的采购代理机构根据项目特点制定验收方案,明确履约验收的时间、方式、程序等内容；</w:t>
            </w:r>
          </w:p>
          <w:p w14:paraId="46595F8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5.3验收标准：对服务需求书中的所有服务指标、质素指标、成效指标、增值指标进行逐一核对是否满足需求。</w:t>
            </w:r>
          </w:p>
          <w:p w14:paraId="0D5A56DB">
            <w:pPr>
              <w:pStyle w:val="38"/>
              <w:keepNext w:val="0"/>
              <w:keepLines w:val="0"/>
              <w:suppressLineNumbers w:val="0"/>
              <w:spacing w:before="0" w:beforeAutospacing="0" w:after="0" w:afterAutospacing="0" w:line="240" w:lineRule="auto"/>
              <w:ind w:left="0" w:leftChars="0" w:right="0" w:firstLine="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5.4验收方式：由采购人、实际使用人、采购代理机构、专家等组成不少于5人的单数验收小组，并出具验收意见作为验收书的参考资料；</w:t>
            </w:r>
          </w:p>
          <w:p w14:paraId="20D43BAC">
            <w:pPr>
              <w:pStyle w:val="38"/>
              <w:keepNext w:val="0"/>
              <w:keepLines w:val="0"/>
              <w:suppressLineNumbers w:val="0"/>
              <w:spacing w:before="0" w:beforeAutospacing="0" w:after="0" w:afterAutospacing="0" w:line="240" w:lineRule="auto"/>
              <w:ind w:left="0" w:leftChars="0" w:right="0" w:firstLine="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5.5开展履约验收：验收小组按照采购合同的约定对供应商履约情况进行验收。验收时,按照采购合同的约定对每一项服务标准的履约情况进行确认。验收结束后,出具验收书,列明各项标准的验收情况及项目总体评价,由验收双方共同签署。履约验收的各项资料存档备查；</w:t>
            </w:r>
          </w:p>
          <w:p w14:paraId="18A745D3">
            <w:pPr>
              <w:pStyle w:val="38"/>
              <w:keepNext w:val="0"/>
              <w:keepLines w:val="0"/>
              <w:suppressLineNumbers w:val="0"/>
              <w:spacing w:before="0" w:beforeAutospacing="0" w:after="0" w:afterAutospacing="0" w:line="240" w:lineRule="auto"/>
              <w:ind w:left="0" w:leftChars="0" w:right="0" w:firstLine="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5.6履约验收责任：验收合格的项目,采购人应当根据采购合同的约定及时向供应商支付采购资金。验收不合格的项目,采购人应当依法及时处理。采购合同的履行、违约责任和解决争议的方式等适用《中华人民共和国民法典》。供应商在履约过程中有政府采购法律法规规定的违法违规情形的,采购人及时报告本级财政部门。 </w:t>
            </w:r>
          </w:p>
        </w:tc>
      </w:tr>
      <w:tr w14:paraId="12F4B5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8" w:hRule="atLeast"/>
        </w:trPr>
        <w:tc>
          <w:tcPr>
            <w:tcW w:w="1381" w:type="dxa"/>
            <w:noWrap w:val="0"/>
            <w:vAlign w:val="top"/>
          </w:tcPr>
          <w:p w14:paraId="57618D8E">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742A3DED">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1550981B">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7604" w:type="dxa"/>
            <w:noWrap w:val="0"/>
            <w:vAlign w:val="center"/>
          </w:tcPr>
          <w:p w14:paraId="342D4498">
            <w:pPr>
              <w:keepNext w:val="0"/>
              <w:keepLines w:val="0"/>
              <w:suppressLineNumbers w:val="0"/>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投标文件中有弄虚作假的内容，</w:t>
            </w:r>
            <w:r>
              <w:rPr>
                <w:rFonts w:hint="eastAsia" w:ascii="仿宋" w:hAnsi="仿宋" w:eastAsia="仿宋" w:cs="仿宋"/>
                <w:color w:val="auto"/>
                <w:sz w:val="24"/>
                <w:highlight w:val="none"/>
                <w:lang w:eastAsia="zh-CN"/>
              </w:rPr>
              <w:t>投标人需承担不利后果</w:t>
            </w:r>
            <w:r>
              <w:rPr>
                <w:rFonts w:hint="eastAsia" w:ascii="仿宋" w:hAnsi="仿宋" w:eastAsia="仿宋" w:cs="仿宋"/>
                <w:color w:val="auto"/>
                <w:sz w:val="24"/>
                <w:highlight w:val="none"/>
              </w:rPr>
              <w:t>。（如假证书、假业绩、隐瞒不良行为记录、夸大荣誉、使用非本单位在职员工的相关证件及不符合招标文件规定的条款等）；在签订合同之前，</w:t>
            </w:r>
            <w:r>
              <w:rPr>
                <w:rFonts w:hint="eastAsia" w:ascii="仿宋" w:hAnsi="仿宋" w:eastAsia="仿宋" w:cs="仿宋"/>
                <w:color w:val="auto"/>
                <w:sz w:val="24"/>
                <w:highlight w:val="none"/>
                <w:lang w:val="en-US" w:eastAsia="zh-CN"/>
              </w:rPr>
              <w:t>招</w:t>
            </w:r>
            <w:r>
              <w:rPr>
                <w:rFonts w:hint="eastAsia" w:ascii="仿宋" w:hAnsi="仿宋" w:eastAsia="仿宋" w:cs="仿宋"/>
                <w:color w:val="auto"/>
                <w:sz w:val="24"/>
                <w:highlight w:val="none"/>
              </w:rPr>
              <w:t>标人如发现投标人的投标文件有弄虚作假内容，招标人可</w:t>
            </w:r>
            <w:r>
              <w:rPr>
                <w:rFonts w:hint="eastAsia" w:ascii="仿宋" w:hAnsi="仿宋" w:eastAsia="仿宋" w:cs="仿宋"/>
                <w:color w:val="auto"/>
                <w:sz w:val="24"/>
                <w:highlight w:val="none"/>
                <w:lang w:eastAsia="zh-CN"/>
              </w:rPr>
              <w:t>能</w:t>
            </w:r>
            <w:r>
              <w:rPr>
                <w:rFonts w:hint="eastAsia" w:ascii="仿宋" w:hAnsi="仿宋" w:eastAsia="仿宋" w:cs="仿宋"/>
                <w:color w:val="auto"/>
                <w:sz w:val="24"/>
                <w:highlight w:val="none"/>
              </w:rPr>
              <w:t>拒绝与其签订合同</w:t>
            </w:r>
            <w:r>
              <w:rPr>
                <w:rFonts w:hint="eastAsia" w:ascii="仿宋" w:hAnsi="仿宋" w:eastAsia="仿宋" w:cs="仿宋"/>
                <w:color w:val="auto"/>
                <w:sz w:val="24"/>
                <w:highlight w:val="none"/>
                <w:lang w:eastAsia="zh-CN"/>
              </w:rPr>
              <w:t>，投标保证金不予退还，</w:t>
            </w:r>
            <w:r>
              <w:rPr>
                <w:rFonts w:hint="eastAsia" w:ascii="仿宋" w:hAnsi="仿宋" w:eastAsia="仿宋" w:cs="仿宋"/>
                <w:color w:val="auto"/>
                <w:sz w:val="24"/>
                <w:highlight w:val="none"/>
              </w:rPr>
              <w:t>并将其列入政府采购黑名单库。</w:t>
            </w:r>
          </w:p>
        </w:tc>
      </w:tr>
      <w:tr w14:paraId="77FE5D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1" w:hRule="atLeast"/>
        </w:trPr>
        <w:tc>
          <w:tcPr>
            <w:tcW w:w="1381" w:type="dxa"/>
            <w:noWrap w:val="0"/>
            <w:vAlign w:val="top"/>
          </w:tcPr>
          <w:p w14:paraId="5B9E1D5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612472D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7B07F5B9">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27182E3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6A4CBB7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3AB47D26">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0AF78A1E">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p>
          <w:p w14:paraId="5207C900">
            <w:pPr>
              <w:keepNext w:val="0"/>
              <w:keepLines w:val="0"/>
              <w:suppressLineNumbers w:val="0"/>
              <w:spacing w:before="0" w:beforeAutospacing="0" w:after="0" w:afterAutospacing="0" w:line="240" w:lineRule="atLeast"/>
              <w:ind w:left="1080" w:leftChars="257" w:right="0"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7604" w:type="dxa"/>
            <w:noWrap w:val="0"/>
            <w:vAlign w:val="center"/>
          </w:tcPr>
          <w:p w14:paraId="64D39FB5">
            <w:pPr>
              <w:keepNext w:val="0"/>
              <w:keepLines w:val="0"/>
              <w:suppressLineNumbers w:val="0"/>
              <w:spacing w:before="0" w:beforeAutospacing="0" w:after="0" w:afterAutospacing="0"/>
              <w:ind w:left="0" w:righ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评标过程中，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A7D4F88">
            <w:pPr>
              <w:keepNext w:val="0"/>
              <w:keepLines w:val="0"/>
              <w:suppressLineNumbers w:val="0"/>
              <w:spacing w:before="0" w:beforeAutospacing="0" w:after="0" w:afterAutospacing="0"/>
              <w:ind w:left="0" w:righ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4ACC6048">
            <w:pPr>
              <w:keepNext w:val="0"/>
              <w:keepLines w:val="0"/>
              <w:suppressLineNumbers w:val="0"/>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供应商提供书面说明后，评标委员会应当结合采购项目采购需求、专业实际情况、供应商</w:t>
            </w:r>
            <w:r>
              <w:rPr>
                <w:rFonts w:hint="eastAsia" w:ascii="仿宋" w:hAnsi="仿宋" w:eastAsia="仿宋" w:cs="仿宋"/>
                <w:color w:val="auto"/>
                <w:sz w:val="24"/>
                <w:highlight w:val="none"/>
                <w:lang w:eastAsia="zh-CN"/>
              </w:rPr>
              <w:t>提供的书面材料</w:t>
            </w:r>
            <w:r>
              <w:rPr>
                <w:rFonts w:hint="eastAsia" w:ascii="仿宋" w:hAnsi="仿宋" w:eastAsia="仿宋" w:cs="仿宋"/>
                <w:color w:val="auto"/>
                <w:sz w:val="24"/>
                <w:highlight w:val="none"/>
              </w:rPr>
              <w:t>等就供应商书面说明进行审查评价。供应商拒绝或者变相拒绝提供有效书面说明或者书面说明不能证明其报价合理性的，评标委员会应当将其投标文件作为无效处理。</w:t>
            </w:r>
          </w:p>
        </w:tc>
      </w:tr>
      <w:tr w14:paraId="74C0BD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1" w:hRule="atLeast"/>
        </w:trPr>
        <w:tc>
          <w:tcPr>
            <w:tcW w:w="1381" w:type="dxa"/>
            <w:noWrap w:val="0"/>
            <w:vAlign w:val="center"/>
          </w:tcPr>
          <w:p w14:paraId="2D8E3003">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w:t>
            </w:r>
          </w:p>
        </w:tc>
        <w:tc>
          <w:tcPr>
            <w:tcW w:w="7604" w:type="dxa"/>
            <w:noWrap w:val="0"/>
            <w:vAlign w:val="center"/>
          </w:tcPr>
          <w:p w14:paraId="0E1C0605">
            <w:pPr>
              <w:keepNext w:val="0"/>
              <w:keepLines w:val="0"/>
              <w:suppressLineNumbers w:val="0"/>
              <w:spacing w:before="0" w:beforeAutospacing="0" w:after="0" w:afterAutospacing="0"/>
              <w:ind w:left="0" w:right="0"/>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依据《政府采购促进中小企业发展管理办法》，享受扶持政策获得政府采购合同的，小微企业不得将合同分包给大中型企业，中型企业不得将合同分包给大型企业。</w:t>
            </w:r>
          </w:p>
        </w:tc>
      </w:tr>
      <w:tr w14:paraId="79EC36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1" w:hRule="atLeast"/>
        </w:trPr>
        <w:tc>
          <w:tcPr>
            <w:tcW w:w="1381" w:type="dxa"/>
            <w:noWrap w:val="0"/>
            <w:vAlign w:val="center"/>
          </w:tcPr>
          <w:p w14:paraId="73A1F597">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9</w:t>
            </w:r>
          </w:p>
        </w:tc>
        <w:tc>
          <w:tcPr>
            <w:tcW w:w="7604" w:type="dxa"/>
            <w:noWrap w:val="0"/>
            <w:vAlign w:val="center"/>
          </w:tcPr>
          <w:p w14:paraId="5CCA138D">
            <w:pPr>
              <w:keepNext w:val="0"/>
              <w:keepLines w:val="0"/>
              <w:suppressLineNumbers w:val="0"/>
              <w:spacing w:before="0" w:beforeAutospacing="0" w:after="0" w:afterAutospacing="0"/>
              <w:ind w:left="0" w:right="0"/>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中标、成交供应商享受《政府采购促进中小企业发展管理办法》规定的中小企业扶持政策的，采购人、采购代理机构应当随中标、成交结果公开中标、成交供应商的《中小企业声明函》。</w:t>
            </w:r>
          </w:p>
        </w:tc>
      </w:tr>
      <w:tr w14:paraId="381AC3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1" w:hRule="atLeast"/>
        </w:trPr>
        <w:tc>
          <w:tcPr>
            <w:tcW w:w="1381" w:type="dxa"/>
            <w:noWrap w:val="0"/>
            <w:vAlign w:val="center"/>
          </w:tcPr>
          <w:p w14:paraId="7801C05F">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10</w:t>
            </w:r>
          </w:p>
        </w:tc>
        <w:tc>
          <w:tcPr>
            <w:tcW w:w="7604" w:type="dxa"/>
            <w:noWrap w:val="0"/>
            <w:vAlign w:val="center"/>
          </w:tcPr>
          <w:p w14:paraId="3D1F1117">
            <w:pPr>
              <w:keepNext w:val="0"/>
              <w:keepLines w:val="0"/>
              <w:suppressLineNumbers w:val="0"/>
              <w:spacing w:before="0" w:beforeAutospacing="0" w:after="0" w:afterAutospacing="0"/>
              <w:ind w:left="0" w:right="0"/>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供应商按照《政府采购促进中小企业发展管理办法》规定提供声明函内容不实的，属于提供虚假材料谋取中标、成交，依照《中华人民共和国政府采购法》等国家有关规定追究相应责任。</w:t>
            </w:r>
          </w:p>
        </w:tc>
      </w:tr>
      <w:tr w14:paraId="5E65AD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1" w:hRule="atLeast"/>
        </w:trPr>
        <w:tc>
          <w:tcPr>
            <w:tcW w:w="1381" w:type="dxa"/>
            <w:noWrap w:val="0"/>
            <w:vAlign w:val="center"/>
          </w:tcPr>
          <w:p w14:paraId="17EC1A35">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w:t>
            </w:r>
          </w:p>
        </w:tc>
        <w:tc>
          <w:tcPr>
            <w:tcW w:w="7604" w:type="dxa"/>
            <w:noWrap w:val="0"/>
            <w:vAlign w:val="center"/>
          </w:tcPr>
          <w:p w14:paraId="52829087">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64B4969D">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2.本项目实行网上投标，采用电子投标文件(供应商须使用CA加密设备通过政采云电子投标客户端制作投标文件)。若供应商参与投标，自行承担投标一切费用。</w:t>
            </w:r>
          </w:p>
          <w:p w14:paraId="5264785A">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3.各供应商应在开标前应确保成为新疆维吾尔自治区政府采购网正式注册入库供应商，并完成CA数字证书申领。因未注册入库、未办理CA数字证书等原因造成无法投标或投标失败等后果由供应商自行承担。</w:t>
            </w:r>
          </w:p>
          <w:p w14:paraId="5D7C13E5">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1511285B">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5.供应商在开标时须使用制作加密电子投标文件所使用的CA锁及电脑，电脑须提前配置好浏览器（建议使用谷歌浏览器），以便开标时解锁。</w:t>
            </w:r>
          </w:p>
          <w:p w14:paraId="2327C274">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6.投标保证金缴纳及确认时间：凡拟参加本次招标项目的供应商，必须在开标前将投标保证金汇入指定账户。投标保证金汇款凭证上用途栏应注明:招标项目名称+投标保证金。</w:t>
            </w:r>
          </w:p>
          <w:p w14:paraId="135F58A2">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3B758CD6">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8.政采云线上获取招标文件方法：供应商登陆政采云平台http://www.zcygov.cn/，在线申请获取采购文件（登录政府采购云平台 → 项目采购 → 获取采购文件 → 申请，如有操作性问题，可与政采云在线客服进行咨询，咨询电话：95763）</w:t>
            </w:r>
          </w:p>
        </w:tc>
      </w:tr>
      <w:tr w14:paraId="464F42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1" w:hRule="atLeast"/>
        </w:trPr>
        <w:tc>
          <w:tcPr>
            <w:tcW w:w="1381" w:type="dxa"/>
            <w:noWrap w:val="0"/>
            <w:vAlign w:val="center"/>
          </w:tcPr>
          <w:p w14:paraId="01A33082">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w:t>
            </w:r>
          </w:p>
        </w:tc>
        <w:tc>
          <w:tcPr>
            <w:tcW w:w="7604" w:type="dxa"/>
            <w:noWrap w:val="0"/>
            <w:vAlign w:val="center"/>
          </w:tcPr>
          <w:p w14:paraId="08DA221C">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1.请投标单位提前自学线上开标流程；投标截止时间当天，请投标人自备电脑及CA锁进行投标文件解密以及操作投标事项，投标人应提前调试好在线参标电脑的各项配置。 </w:t>
            </w:r>
          </w:p>
          <w:p w14:paraId="6602C09C">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2.本项目投标前上传电子版投标文件，如电子开标完成后采购人需要提供纸质版的投标文件，投标单位须出具相应份数的与电子投标文件一致的纸质投标文件。 </w:t>
            </w:r>
          </w:p>
          <w:p w14:paraId="7FC80330">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3.投标人对招标文件中采购清单、技术需求、商务条件等如有疑义，应当及时提出，否则视为充分理解招标文件各项要求。 </w:t>
            </w:r>
          </w:p>
          <w:p w14:paraId="7F56A422">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4.本次采用政府采购云平台线上招标、投标，请各潜在投标人及时办理CA锁和学习政府采购云平台线上投标相关知识。在政府采购云平台登录后，进行下载招标文件。请各投标人获取招标文件后及时关注云平台答疑文件获取栏目。具体相关事宜见政府采购云平台。 </w:t>
            </w:r>
          </w:p>
          <w:p w14:paraId="45720E60">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5.本项目采用资格后审，请投标人仔细阅读招标文件和各项要求， 制作文件及相关资料过程中，若因投标人资格条件不符、提供资料 不全等原因导致投标文件予以退还，责任自负。 </w:t>
            </w:r>
          </w:p>
          <w:p w14:paraId="1E16341C">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6.招标文件中如有内容冲突的地方，以投标人须知资料表为准，投标人须知资料表前后不一致的，以最后表述为准。</w:t>
            </w:r>
          </w:p>
        </w:tc>
      </w:tr>
      <w:tr w14:paraId="517906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69008D77">
            <w:pPr>
              <w:keepNext w:val="0"/>
              <w:keepLines w:val="0"/>
              <w:suppressLineNumbers w:val="0"/>
              <w:spacing w:before="0" w:beforeAutospacing="0" w:after="0" w:afterAutospacing="0" w:line="240" w:lineRule="atLeast"/>
              <w:ind w:left="1080" w:leftChars="257" w:right="0" w:hanging="54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w:t>
            </w:r>
          </w:p>
        </w:tc>
        <w:tc>
          <w:tcPr>
            <w:tcW w:w="7604" w:type="dxa"/>
            <w:noWrap w:val="0"/>
            <w:vAlign w:val="center"/>
          </w:tcPr>
          <w:p w14:paraId="5B2613A6">
            <w:pPr>
              <w:pStyle w:val="33"/>
              <w:keepNext w:val="0"/>
              <w:keepLines w:val="0"/>
              <w:widowControl/>
              <w:suppressLineNumbers w:val="0"/>
              <w:spacing w:line="420" w:lineRule="atLeast"/>
              <w:ind w:left="0" w:firstLine="42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中小企业划型标准规定</w:t>
            </w:r>
          </w:p>
          <w:p w14:paraId="691F3850">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一、根据《中华人民共和国中小企业促进法》和《国务院关于进一步促进中小企业发展的若干意见》(（国发〔2009〕[2009]36号)，制定本规定。</w:t>
            </w:r>
          </w:p>
          <w:p w14:paraId="38A5C3AF">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二、中小企业划分为中型、小型、微型三种类型，具体标准根据企业从业人员、营业收入、资产总额等指标，结合行业特点制定。</w:t>
            </w:r>
          </w:p>
          <w:p w14:paraId="742B3269">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DE3717C">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四、各行业划型标准为：</w:t>
            </w:r>
          </w:p>
          <w:p w14:paraId="26C50355">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（一）农、林、牧、渔业。营业收入20000万元以下的为中小微型企业。其中，营业收入500万元及以上的为中型企业，营业收入50万元及以上的为小型企业，营业收入50万元以下的为微型企业。</w:t>
            </w:r>
          </w:p>
          <w:p w14:paraId="19BF01D9">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3CDDC42">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EDFA217">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8B203E3">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603A3C7">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C46C665">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2BA4CB4">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169F401">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70FCABF">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837537F">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46E6BFF">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D262355">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9D9C952">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FDF9581">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EC0F425">
            <w:pPr>
              <w:pStyle w:val="33"/>
              <w:keepNext w:val="0"/>
              <w:keepLines w:val="0"/>
              <w:widowControl/>
              <w:suppressLineNumbers w:val="0"/>
              <w:spacing w:line="420" w:lineRule="atLeast"/>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（十六）其他未列明行业。从业人员300人以下的为中小微型企业。其中，从业人员100人及以上的为中型企业；从业人员10人及以上的为小型企业；从业人员10人以下的为微型企业。</w:t>
            </w:r>
          </w:p>
          <w:p w14:paraId="0697FFF6">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五、企业类型的划分以统计部门的统计数据为依据。</w:t>
            </w:r>
          </w:p>
          <w:p w14:paraId="5D1282BB">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六、本规定适用于在中华人民共和国境内依法设立的各类所有制和各种组织形式的企业。个体工商户和本规定以外的行业，参照本规定进行划型。</w:t>
            </w:r>
          </w:p>
          <w:p w14:paraId="252FDE13">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七、本规定的中型企业标准上限即为大型企业标准的下限，国家统计部门据此制定大中小微型企业的统计分类。国务院有关部门据此进行相关数据分析，不得制定与本规定不一致的企业划型标准。</w:t>
            </w:r>
          </w:p>
          <w:p w14:paraId="6286014E">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八、本规定由工业和信息化部、国家统计局会同有关部门根据《国民经济行业分类》修订情况和企业发展变化情况适时修订。</w:t>
            </w:r>
          </w:p>
          <w:p w14:paraId="579B9693">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九、本规定由工业和信息化部、国家统计局会同有关部门负责解释。</w:t>
            </w:r>
          </w:p>
          <w:p w14:paraId="35F8B090">
            <w:pPr>
              <w:pStyle w:val="33"/>
              <w:keepNext w:val="0"/>
              <w:keepLines w:val="0"/>
              <w:widowControl/>
              <w:suppressLineNumbers w:val="0"/>
              <w:spacing w:line="420" w:lineRule="atLeast"/>
              <w:rPr>
                <w:rFonts w:hint="eastAsia" w:ascii="仿宋" w:hAnsi="仿宋" w:eastAsia="仿宋" w:cs="仿宋"/>
                <w:color w:val="auto"/>
                <w:sz w:val="24"/>
                <w:highlight w:val="none"/>
                <w:lang w:eastAsia="zh-CN"/>
              </w:rPr>
            </w:pPr>
            <w:r>
              <w:rPr>
                <w:rFonts w:hint="eastAsia" w:ascii="仿宋" w:hAnsi="仿宋" w:eastAsia="仿宋" w:cs="仿宋"/>
                <w:color w:val="auto"/>
                <w:kern w:val="2"/>
                <w:sz w:val="24"/>
                <w:szCs w:val="24"/>
                <w:highlight w:val="none"/>
                <w:lang w:val="en-US" w:eastAsia="zh-CN" w:bidi="ar-SA"/>
              </w:rPr>
              <w:t>十、本规定自发布之日起执行，原国家经贸委、原国家计委、财政部和国家统计局2003年颁布的《中小企业标准暂行规定》同时废止。</w:t>
            </w:r>
          </w:p>
        </w:tc>
      </w:tr>
      <w:tr w14:paraId="1230AE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75039ED7">
            <w:pPr>
              <w:keepNext w:val="0"/>
              <w:keepLines w:val="0"/>
              <w:suppressLineNumbers w:val="0"/>
              <w:spacing w:before="0" w:beforeAutospacing="0" w:after="0" w:afterAutospacing="0" w:line="240" w:lineRule="atLeast"/>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7604" w:type="dxa"/>
            <w:noWrap w:val="0"/>
            <w:vAlign w:val="center"/>
          </w:tcPr>
          <w:p w14:paraId="3C5F3279">
            <w:pPr>
              <w:pStyle w:val="33"/>
              <w:keepNext w:val="0"/>
              <w:keepLines w:val="0"/>
              <w:widowControl/>
              <w:suppressLineNumbers w:val="0"/>
              <w:spacing w:line="420" w:lineRule="atLeas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标的所属行业：</w:t>
            </w:r>
            <w:r>
              <w:rPr>
                <w:rFonts w:hint="eastAsia" w:ascii="仿宋" w:hAnsi="仿宋" w:eastAsia="仿宋" w:cs="仿宋"/>
                <w:color w:val="auto"/>
                <w:kern w:val="2"/>
                <w:sz w:val="24"/>
                <w:szCs w:val="24"/>
                <w:highlight w:val="none"/>
                <w:lang w:val="en-US" w:eastAsia="zh-CN" w:bidi="ar-SA"/>
              </w:rPr>
              <w:t>工业</w:t>
            </w:r>
          </w:p>
        </w:tc>
      </w:tr>
      <w:tr w14:paraId="181704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81" w:type="dxa"/>
            <w:noWrap w:val="0"/>
            <w:vAlign w:val="center"/>
          </w:tcPr>
          <w:p w14:paraId="146DDC21">
            <w:pPr>
              <w:keepNext w:val="0"/>
              <w:keepLines w:val="0"/>
              <w:suppressLineNumbers w:val="0"/>
              <w:spacing w:before="0" w:beforeAutospacing="0" w:after="0" w:afterAutospacing="0" w:line="240" w:lineRule="atLeast"/>
              <w:ind w:left="0" w:right="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7604" w:type="dxa"/>
            <w:noWrap w:val="0"/>
            <w:vAlign w:val="center"/>
          </w:tcPr>
          <w:p w14:paraId="05117FEE">
            <w:pPr>
              <w:pStyle w:val="33"/>
              <w:keepNext w:val="0"/>
              <w:keepLines w:val="0"/>
              <w:widowControl/>
              <w:suppressLineNumbers w:val="0"/>
              <w:spacing w:line="420" w:lineRule="atLeast"/>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第2章投标文件格式：分项报价表</w:t>
            </w:r>
          </w:p>
          <w:p w14:paraId="014AA2C0">
            <w:pPr>
              <w:pStyle w:val="33"/>
              <w:keepNext w:val="0"/>
              <w:keepLines w:val="0"/>
              <w:widowControl/>
              <w:suppressLineNumbers w:val="0"/>
              <w:spacing w:line="420" w:lineRule="atLeast"/>
              <w:rPr>
                <w:rFonts w:hint="eastAsia" w:ascii="仿宋" w:hAnsi="仿宋" w:eastAsia="仿宋" w:cs="仿宋"/>
                <w:color w:val="auto"/>
                <w:sz w:val="24"/>
                <w:highlight w:val="none"/>
                <w:lang w:val="en-US" w:eastAsia="zh-CN"/>
              </w:rPr>
            </w:pPr>
            <w:r>
              <w:rPr>
                <w:rFonts w:hint="eastAsia" w:ascii="仿宋" w:hAnsi="仿宋" w:eastAsia="仿宋" w:cs="仿宋"/>
                <w:b/>
                <w:bCs/>
                <w:color w:val="auto"/>
                <w:sz w:val="24"/>
                <w:highlight w:val="none"/>
                <w:lang w:val="en-US" w:eastAsia="zh-CN"/>
              </w:rPr>
              <w:t>如果不提供详细分项报价或分项标价表填写不完整（必须如实填写所投货物的品牌、型号和规格）将视为没有实质性响应招标文件做无效投标处理。</w:t>
            </w:r>
          </w:p>
        </w:tc>
      </w:tr>
    </w:tbl>
    <w:p w14:paraId="70C420F5">
      <w:pPr>
        <w:spacing w:line="240" w:lineRule="atLeast"/>
        <w:ind w:left="1080" w:leftChars="257" w:hanging="540"/>
        <w:rPr>
          <w:rFonts w:hint="eastAsia" w:ascii="仿宋" w:hAnsi="仿宋" w:eastAsia="仿宋" w:cs="仿宋"/>
          <w:color w:val="auto"/>
          <w:sz w:val="24"/>
          <w:highlight w:val="none"/>
        </w:rPr>
        <w:sectPr>
          <w:headerReference r:id="rId11" w:type="default"/>
          <w:footerReference r:id="rId12" w:type="default"/>
          <w:pgSz w:w="11906" w:h="16838"/>
          <w:pgMar w:top="1440" w:right="1489" w:bottom="1440" w:left="1377" w:header="851" w:footer="992" w:gutter="0"/>
          <w:pgBorders>
            <w:top w:val="none" w:sz="0" w:space="0"/>
            <w:left w:val="none" w:sz="0" w:space="0"/>
            <w:bottom w:val="none" w:sz="0" w:space="0"/>
            <w:right w:val="none" w:sz="0" w:space="0"/>
          </w:pgBorders>
          <w:pgNumType w:fmt="decimal"/>
          <w:cols w:space="720" w:num="1"/>
          <w:docGrid w:linePitch="312" w:charSpace="0"/>
        </w:sectPr>
      </w:pPr>
    </w:p>
    <w:p w14:paraId="5430FE8C">
      <w:pPr>
        <w:widowControl/>
        <w:jc w:val="center"/>
        <w:rPr>
          <w:rFonts w:hint="eastAsia" w:ascii="仿宋" w:hAnsi="仿宋" w:eastAsia="仿宋" w:cs="仿宋"/>
          <w:b/>
          <w:color w:val="auto"/>
          <w:kern w:val="0"/>
          <w:sz w:val="32"/>
          <w:szCs w:val="32"/>
          <w:highlight w:val="none"/>
        </w:rPr>
      </w:pPr>
      <w:bookmarkStart w:id="439" w:name="_Toc219175635"/>
      <w:bookmarkStart w:id="440" w:name="_Toc216582811"/>
      <w:bookmarkStart w:id="441" w:name="_Toc218935351"/>
      <w:bookmarkStart w:id="442" w:name="_Toc216513787"/>
      <w:r>
        <w:rPr>
          <w:rFonts w:hint="eastAsia" w:ascii="仿宋" w:hAnsi="仿宋" w:eastAsia="仿宋" w:cs="仿宋"/>
          <w:b/>
          <w:color w:val="auto"/>
          <w:kern w:val="0"/>
          <w:sz w:val="32"/>
          <w:szCs w:val="32"/>
          <w:highlight w:val="none"/>
        </w:rPr>
        <w:t>资格审查表</w:t>
      </w:r>
    </w:p>
    <w:tbl>
      <w:tblPr>
        <w:tblStyle w:val="39"/>
        <w:tblpPr w:leftFromText="180" w:rightFromText="180" w:vertAnchor="text" w:horzAnchor="page" w:tblpX="1397" w:tblpY="60"/>
        <w:tblOverlap w:val="never"/>
        <w:tblW w:w="5259" w:type="pct"/>
        <w:jc w:val="center"/>
        <w:tblLayout w:type="fixed"/>
        <w:tblCellMar>
          <w:top w:w="0" w:type="dxa"/>
          <w:left w:w="108" w:type="dxa"/>
          <w:bottom w:w="0" w:type="dxa"/>
          <w:right w:w="108" w:type="dxa"/>
        </w:tblCellMar>
      </w:tblPr>
      <w:tblGrid>
        <w:gridCol w:w="449"/>
        <w:gridCol w:w="1681"/>
        <w:gridCol w:w="776"/>
        <w:gridCol w:w="1184"/>
        <w:gridCol w:w="1989"/>
        <w:gridCol w:w="1278"/>
        <w:gridCol w:w="3911"/>
        <w:gridCol w:w="940"/>
        <w:gridCol w:w="841"/>
        <w:gridCol w:w="1390"/>
        <w:gridCol w:w="472"/>
      </w:tblGrid>
      <w:tr w14:paraId="550F6C43">
        <w:tblPrEx>
          <w:tblCellMar>
            <w:top w:w="0" w:type="dxa"/>
            <w:left w:w="108" w:type="dxa"/>
            <w:bottom w:w="0" w:type="dxa"/>
            <w:right w:w="108" w:type="dxa"/>
          </w:tblCellMar>
        </w:tblPrEx>
        <w:trPr>
          <w:trHeight w:val="464" w:hRule="atLeast"/>
          <w:jc w:val="center"/>
        </w:trPr>
        <w:tc>
          <w:tcPr>
            <w:tcW w:w="150" w:type="pct"/>
            <w:vMerge w:val="restart"/>
            <w:tcBorders>
              <w:top w:val="single" w:color="auto" w:sz="4" w:space="0"/>
              <w:left w:val="single" w:color="auto" w:sz="4" w:space="0"/>
              <w:bottom w:val="single" w:color="auto" w:sz="4" w:space="0"/>
              <w:right w:val="single" w:color="auto" w:sz="4" w:space="0"/>
            </w:tcBorders>
            <w:noWrap w:val="0"/>
            <w:vAlign w:val="center"/>
          </w:tcPr>
          <w:p w14:paraId="33100B22">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投标人名称</w:t>
            </w:r>
          </w:p>
        </w:tc>
        <w:tc>
          <w:tcPr>
            <w:tcW w:w="4691" w:type="pct"/>
            <w:gridSpan w:val="9"/>
            <w:tcBorders>
              <w:top w:val="single" w:color="auto" w:sz="4" w:space="0"/>
              <w:left w:val="nil"/>
              <w:bottom w:val="single" w:color="auto" w:sz="4" w:space="0"/>
              <w:right w:val="single" w:color="auto" w:sz="4" w:space="0"/>
            </w:tcBorders>
            <w:noWrap w:val="0"/>
            <w:vAlign w:val="center"/>
          </w:tcPr>
          <w:p w14:paraId="798A0312">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40" w:lineRule="exact"/>
              <w:ind w:left="0" w:right="0"/>
              <w:jc w:val="left"/>
              <w:textAlignment w:val="baseline"/>
              <w:rPr>
                <w:rFonts w:hint="eastAsia" w:ascii="仿宋" w:hAnsi="仿宋" w:eastAsia="仿宋" w:cs="仿宋"/>
                <w:b/>
                <w:bCs/>
                <w:i w:val="0"/>
                <w:caps w:val="0"/>
                <w:color w:val="auto"/>
                <w:spacing w:val="0"/>
                <w:w w:val="100"/>
                <w:sz w:val="24"/>
                <w:highlight w:val="none"/>
                <w:lang w:eastAsia="zh-CN"/>
              </w:rPr>
            </w:pPr>
            <w:r>
              <w:rPr>
                <w:rFonts w:hint="eastAsia" w:ascii="仿宋" w:hAnsi="仿宋" w:eastAsia="仿宋" w:cs="仿宋"/>
                <w:b/>
                <w:bCs/>
                <w:i w:val="0"/>
                <w:caps w:val="0"/>
                <w:color w:val="auto"/>
                <w:spacing w:val="0"/>
                <w:w w:val="100"/>
                <w:sz w:val="24"/>
                <w:highlight w:val="none"/>
                <w:lang w:eastAsia="zh-CN"/>
              </w:rPr>
              <w:t>资格审查</w:t>
            </w:r>
            <w:r>
              <w:rPr>
                <w:rFonts w:hint="eastAsia" w:ascii="仿宋" w:hAnsi="仿宋" w:eastAsia="仿宋" w:cs="仿宋"/>
                <w:b/>
                <w:bCs/>
                <w:i w:val="0"/>
                <w:caps w:val="0"/>
                <w:color w:val="auto"/>
                <w:spacing w:val="0"/>
                <w:w w:val="100"/>
                <w:sz w:val="24"/>
                <w:highlight w:val="none"/>
              </w:rPr>
              <w:t>提示：</w:t>
            </w:r>
            <w:r>
              <w:rPr>
                <w:rFonts w:hint="eastAsia" w:ascii="仿宋" w:hAnsi="仿宋" w:eastAsia="仿宋" w:cs="仿宋"/>
                <w:b/>
                <w:bCs/>
                <w:i w:val="0"/>
                <w:caps w:val="0"/>
                <w:color w:val="auto"/>
                <w:spacing w:val="0"/>
                <w:w w:val="100"/>
                <w:sz w:val="24"/>
                <w:highlight w:val="none"/>
                <w:lang w:eastAsia="zh-CN"/>
              </w:rPr>
              <w:t>投标商</w:t>
            </w:r>
            <w:r>
              <w:rPr>
                <w:rFonts w:hint="eastAsia" w:ascii="仿宋" w:hAnsi="仿宋" w:eastAsia="仿宋" w:cs="仿宋"/>
                <w:b/>
                <w:bCs/>
                <w:i w:val="0"/>
                <w:caps w:val="0"/>
                <w:color w:val="auto"/>
                <w:spacing w:val="0"/>
                <w:w w:val="100"/>
                <w:sz w:val="24"/>
                <w:highlight w:val="none"/>
              </w:rPr>
              <w:t>上述资质开标</w:t>
            </w:r>
            <w:r>
              <w:rPr>
                <w:rFonts w:hint="eastAsia" w:ascii="仿宋" w:hAnsi="仿宋" w:eastAsia="仿宋" w:cs="仿宋"/>
                <w:b/>
                <w:bCs/>
                <w:i w:val="0"/>
                <w:caps w:val="0"/>
                <w:color w:val="auto"/>
                <w:spacing w:val="0"/>
                <w:w w:val="100"/>
                <w:sz w:val="24"/>
                <w:highlight w:val="none"/>
                <w:lang w:eastAsia="zh-CN"/>
              </w:rPr>
              <w:t>时，</w:t>
            </w:r>
            <w:r>
              <w:rPr>
                <w:rFonts w:hint="eastAsia" w:ascii="仿宋" w:hAnsi="仿宋" w:eastAsia="仿宋" w:cs="仿宋"/>
                <w:b/>
                <w:bCs/>
                <w:i w:val="0"/>
                <w:caps w:val="0"/>
                <w:color w:val="auto"/>
                <w:spacing w:val="0"/>
                <w:w w:val="100"/>
                <w:sz w:val="24"/>
                <w:highlight w:val="none"/>
              </w:rPr>
              <w:t>能够通过官方网络查证的，均视为合格供应商。</w:t>
            </w:r>
          </w:p>
        </w:tc>
        <w:tc>
          <w:tcPr>
            <w:tcW w:w="158" w:type="pct"/>
            <w:vMerge w:val="restart"/>
            <w:tcBorders>
              <w:top w:val="single" w:color="auto" w:sz="4" w:space="0"/>
              <w:left w:val="nil"/>
              <w:right w:val="single" w:color="auto" w:sz="4" w:space="0"/>
            </w:tcBorders>
            <w:noWrap w:val="0"/>
            <w:vAlign w:val="center"/>
          </w:tcPr>
          <w:p w14:paraId="6FC2AC00">
            <w:pPr>
              <w:keepNext w:val="0"/>
              <w:keepLines w:val="0"/>
              <w:suppressLineNumbers w:val="0"/>
              <w:spacing w:before="0" w:beforeAutospacing="0" w:after="0" w:afterAutospacing="0"/>
              <w:ind w:left="0" w:right="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结论</w:t>
            </w:r>
          </w:p>
        </w:tc>
      </w:tr>
      <w:tr w14:paraId="41EDDAFC">
        <w:tblPrEx>
          <w:tblCellMar>
            <w:top w:w="0" w:type="dxa"/>
            <w:left w:w="108" w:type="dxa"/>
            <w:bottom w:w="0" w:type="dxa"/>
            <w:right w:w="108" w:type="dxa"/>
          </w:tblCellMar>
        </w:tblPrEx>
        <w:trPr>
          <w:trHeight w:val="6164" w:hRule="atLeast"/>
          <w:jc w:val="center"/>
        </w:trPr>
        <w:tc>
          <w:tcPr>
            <w:tcW w:w="150" w:type="pct"/>
            <w:vMerge w:val="continue"/>
            <w:tcBorders>
              <w:top w:val="single" w:color="auto" w:sz="4" w:space="0"/>
              <w:left w:val="single" w:color="auto" w:sz="4" w:space="0"/>
              <w:bottom w:val="single" w:color="auto" w:sz="4" w:space="0"/>
              <w:right w:val="single" w:color="auto" w:sz="4" w:space="0"/>
            </w:tcBorders>
            <w:noWrap w:val="0"/>
            <w:vAlign w:val="center"/>
          </w:tcPr>
          <w:p w14:paraId="5CC88E9E">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p>
        </w:tc>
        <w:tc>
          <w:tcPr>
            <w:tcW w:w="563" w:type="pct"/>
            <w:tcBorders>
              <w:top w:val="nil"/>
              <w:left w:val="nil"/>
              <w:bottom w:val="single" w:color="auto" w:sz="4" w:space="0"/>
              <w:right w:val="single" w:color="auto" w:sz="4" w:space="0"/>
            </w:tcBorders>
            <w:noWrap w:val="0"/>
            <w:vAlign w:val="center"/>
          </w:tcPr>
          <w:p w14:paraId="4E090F90">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tc>
        <w:tc>
          <w:tcPr>
            <w:tcW w:w="260" w:type="pct"/>
            <w:tcBorders>
              <w:top w:val="nil"/>
              <w:left w:val="nil"/>
              <w:bottom w:val="single" w:color="auto" w:sz="4" w:space="0"/>
              <w:right w:val="single" w:color="auto" w:sz="4" w:space="0"/>
            </w:tcBorders>
            <w:noWrap w:val="0"/>
            <w:vAlign w:val="center"/>
          </w:tcPr>
          <w:p w14:paraId="48A6F440">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法定代表人身份证明或法定代表人授权委托书及被授权人身份证； </w:t>
            </w:r>
          </w:p>
          <w:p w14:paraId="711AAFBA">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p>
        </w:tc>
        <w:tc>
          <w:tcPr>
            <w:tcW w:w="397" w:type="pct"/>
            <w:tcBorders>
              <w:top w:val="nil"/>
              <w:left w:val="nil"/>
              <w:bottom w:val="single" w:color="auto" w:sz="4" w:space="0"/>
              <w:right w:val="single" w:color="auto" w:sz="4" w:space="0"/>
            </w:tcBorders>
            <w:noWrap w:val="0"/>
            <w:vAlign w:val="center"/>
          </w:tcPr>
          <w:p w14:paraId="17C0A785">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近期（投标截止日期前六个月内任意一个月）依法缴纳社会保障金的缴费证明或银行出具的“银行电子缴纳社会保障金付款凭证”（新成立公司提供相关证明文件） ；</w:t>
            </w:r>
          </w:p>
        </w:tc>
        <w:tc>
          <w:tcPr>
            <w:tcW w:w="666" w:type="pct"/>
            <w:tcBorders>
              <w:top w:val="nil"/>
              <w:left w:val="nil"/>
              <w:bottom w:val="single" w:color="auto" w:sz="4" w:space="0"/>
              <w:right w:val="single" w:color="auto" w:sz="4" w:space="0"/>
            </w:tcBorders>
            <w:noWrap w:val="0"/>
            <w:vAlign w:val="center"/>
          </w:tcPr>
          <w:p w14:paraId="7EC4CD4B">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27FECF0D">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val="en-US" w:eastAsia="zh-CN"/>
              </w:rPr>
            </w:pPr>
          </w:p>
        </w:tc>
        <w:tc>
          <w:tcPr>
            <w:tcW w:w="428" w:type="pct"/>
            <w:tcBorders>
              <w:top w:val="nil"/>
              <w:left w:val="nil"/>
              <w:bottom w:val="single" w:color="auto" w:sz="4" w:space="0"/>
              <w:right w:val="single" w:color="auto" w:sz="4" w:space="0"/>
            </w:tcBorders>
            <w:noWrap w:val="0"/>
            <w:vAlign w:val="center"/>
          </w:tcPr>
          <w:p w14:paraId="25D88D26">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szCs w:val="24"/>
                <w:highlight w:val="none"/>
                <w:lang w:val="en-US" w:eastAsia="zh-CN"/>
              </w:rPr>
              <w:t>具有良好的商业信誉和健全的财务会计制度(2023年度或2024年度财务审计报告书，2025年成立公司提供银行资信证明)；</w:t>
            </w:r>
          </w:p>
        </w:tc>
        <w:tc>
          <w:tcPr>
            <w:tcW w:w="1311" w:type="pct"/>
            <w:tcBorders>
              <w:top w:val="nil"/>
              <w:left w:val="nil"/>
              <w:bottom w:val="single" w:color="auto" w:sz="4" w:space="0"/>
              <w:right w:val="single" w:color="auto" w:sz="4" w:space="0"/>
            </w:tcBorders>
            <w:noWrap w:val="0"/>
            <w:vAlign w:val="center"/>
          </w:tcPr>
          <w:p w14:paraId="71E45D80">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tc>
        <w:tc>
          <w:tcPr>
            <w:tcW w:w="315" w:type="pct"/>
            <w:tcBorders>
              <w:top w:val="nil"/>
              <w:left w:val="nil"/>
              <w:bottom w:val="single" w:color="auto" w:sz="4" w:space="0"/>
              <w:right w:val="single" w:color="auto" w:sz="4" w:space="0"/>
            </w:tcBorders>
            <w:noWrap w:val="0"/>
            <w:vAlign w:val="center"/>
          </w:tcPr>
          <w:p w14:paraId="4872D224">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参加政府采购活动前3年内在经营活动中没有重大违法记录的书面声明；</w:t>
            </w:r>
          </w:p>
        </w:tc>
        <w:tc>
          <w:tcPr>
            <w:tcW w:w="282" w:type="pct"/>
            <w:tcBorders>
              <w:top w:val="nil"/>
              <w:left w:val="nil"/>
              <w:bottom w:val="single" w:color="auto" w:sz="4" w:space="0"/>
              <w:right w:val="single" w:color="auto" w:sz="4" w:space="0"/>
            </w:tcBorders>
            <w:noWrap w:val="0"/>
            <w:vAlign w:val="center"/>
          </w:tcPr>
          <w:p w14:paraId="1459B7FE">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提供针对本次项目《反商业贿赂承诺书》；</w:t>
            </w:r>
          </w:p>
        </w:tc>
        <w:tc>
          <w:tcPr>
            <w:tcW w:w="466" w:type="pct"/>
            <w:tcBorders>
              <w:top w:val="nil"/>
              <w:left w:val="nil"/>
              <w:bottom w:val="single" w:color="auto" w:sz="4" w:space="0"/>
              <w:right w:val="single" w:color="auto" w:sz="4" w:space="0"/>
            </w:tcBorders>
            <w:noWrap w:val="0"/>
            <w:vAlign w:val="center"/>
          </w:tcPr>
          <w:p w14:paraId="14CDEA20">
            <w:pPr>
              <w:keepNext w:val="0"/>
              <w:keepLines w:val="0"/>
              <w:suppressLineNumbers w:val="0"/>
              <w:spacing w:before="0" w:beforeAutospacing="0" w:after="0" w:afterAutospacing="0"/>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必须具有履行合同所必需的设备和专业技术能力。（按招标文件提供的格式填写）</w:t>
            </w:r>
          </w:p>
        </w:tc>
        <w:tc>
          <w:tcPr>
            <w:tcW w:w="158" w:type="pct"/>
            <w:vMerge w:val="continue"/>
            <w:tcBorders>
              <w:left w:val="nil"/>
              <w:bottom w:val="single" w:color="auto" w:sz="4" w:space="0"/>
              <w:right w:val="single" w:color="auto" w:sz="4" w:space="0"/>
            </w:tcBorders>
            <w:noWrap w:val="0"/>
            <w:vAlign w:val="center"/>
          </w:tcPr>
          <w:p w14:paraId="08B941BA">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lang w:eastAsia="zh-CN"/>
              </w:rPr>
            </w:pPr>
          </w:p>
        </w:tc>
      </w:tr>
    </w:tbl>
    <w:p w14:paraId="48E96C3D">
      <w:pPr>
        <w:rPr>
          <w:rFonts w:hint="eastAsia" w:ascii="仿宋" w:hAnsi="仿宋" w:eastAsia="仿宋" w:cs="仿宋"/>
          <w:color w:val="auto"/>
          <w:highlight w:val="none"/>
        </w:rPr>
      </w:pPr>
    </w:p>
    <w:p w14:paraId="611E99F6">
      <w:pPr>
        <w:widowControl w:val="0"/>
        <w:numPr>
          <w:ilvl w:val="0"/>
          <w:numId w:val="0"/>
        </w:numPr>
        <w:jc w:val="both"/>
        <w:rPr>
          <w:rFonts w:hint="eastAsia" w:ascii="仿宋" w:hAnsi="仿宋" w:eastAsia="仿宋" w:cs="仿宋"/>
          <w:b/>
          <w:bCs/>
          <w:color w:val="auto"/>
          <w:sz w:val="28"/>
          <w:szCs w:val="36"/>
          <w:highlight w:val="none"/>
          <w:lang w:eastAsia="zh-CN"/>
        </w:rPr>
      </w:pPr>
    </w:p>
    <w:bookmarkEnd w:id="439"/>
    <w:bookmarkEnd w:id="440"/>
    <w:bookmarkEnd w:id="441"/>
    <w:bookmarkEnd w:id="442"/>
    <w:p w14:paraId="79E7B95C">
      <w:pPr>
        <w:spacing w:before="134" w:line="377" w:lineRule="auto"/>
        <w:ind w:right="51"/>
        <w:jc w:val="center"/>
        <w:rPr>
          <w:rStyle w:val="48"/>
          <w:rFonts w:hint="eastAsia" w:ascii="仿宋" w:hAnsi="仿宋" w:eastAsia="仿宋" w:cs="仿宋"/>
          <w:lang w:val="en-US" w:eastAsia="zh-CN"/>
        </w:rPr>
        <w:sectPr>
          <w:footerReference r:id="rId13" w:type="default"/>
          <w:pgSz w:w="16840" w:h="11910" w:orient="landscape"/>
          <w:pgMar w:top="1797" w:right="1440" w:bottom="1797" w:left="1440" w:header="0" w:footer="913" w:gutter="0"/>
          <w:pgBorders>
            <w:top w:val="none" w:sz="0" w:space="0"/>
            <w:left w:val="none" w:sz="0" w:space="0"/>
            <w:bottom w:val="none" w:sz="0" w:space="0"/>
            <w:right w:val="none" w:sz="0" w:space="0"/>
          </w:pgBorders>
          <w:pgNumType w:fmt="decimal"/>
          <w:cols w:space="720" w:num="1"/>
        </w:sectPr>
      </w:pPr>
      <w:bookmarkStart w:id="443" w:name="_Toc9269"/>
    </w:p>
    <w:tbl>
      <w:tblPr>
        <w:tblStyle w:val="40"/>
        <w:tblpPr w:leftFromText="180" w:rightFromText="180" w:vertAnchor="text" w:horzAnchor="page" w:tblpXSpec="center" w:tblpY="605"/>
        <w:tblOverlap w:val="never"/>
        <w:tblW w:w="616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
        <w:gridCol w:w="531"/>
        <w:gridCol w:w="9043"/>
        <w:gridCol w:w="741"/>
      </w:tblGrid>
      <w:tr w14:paraId="7902E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00" w:type="pct"/>
            <w:noWrap w:val="0"/>
            <w:vAlign w:val="center"/>
          </w:tcPr>
          <w:p w14:paraId="58A4DB1B">
            <w:pPr>
              <w:keepNext w:val="0"/>
              <w:keepLines w:val="0"/>
              <w:suppressLineNumbers w:val="0"/>
              <w:spacing w:before="0" w:beforeAutospacing="0" w:after="0" w:afterAutospacing="0"/>
              <w:ind w:left="0" w:right="0"/>
              <w:jc w:val="center"/>
              <w:rPr>
                <w:rFonts w:hint="eastAsia" w:ascii="楷体" w:hAnsi="楷体" w:eastAsia="楷体" w:cs="楷体"/>
                <w:color w:val="000000"/>
                <w:vertAlign w:val="baseline"/>
                <w:lang w:val="en-US" w:eastAsia="zh-CN"/>
              </w:rPr>
            </w:pPr>
            <w:r>
              <w:rPr>
                <w:rFonts w:hint="eastAsia" w:ascii="楷体" w:hAnsi="楷体" w:eastAsia="楷体" w:cs="楷体"/>
                <w:color w:val="000000"/>
                <w:vertAlign w:val="baseline"/>
                <w:lang w:val="en-US" w:eastAsia="zh-CN"/>
              </w:rPr>
              <w:t>序号</w:t>
            </w:r>
          </w:p>
        </w:tc>
        <w:tc>
          <w:tcPr>
            <w:tcW w:w="249" w:type="pct"/>
            <w:noWrap w:val="0"/>
            <w:vAlign w:val="center"/>
          </w:tcPr>
          <w:p w14:paraId="4001864C">
            <w:pPr>
              <w:keepNext w:val="0"/>
              <w:keepLines w:val="0"/>
              <w:suppressLineNumbers w:val="0"/>
              <w:spacing w:before="0" w:beforeAutospacing="0" w:after="0" w:afterAutospacing="0"/>
              <w:ind w:left="0" w:right="0"/>
              <w:jc w:val="center"/>
              <w:rPr>
                <w:rFonts w:hint="eastAsia" w:ascii="楷体" w:hAnsi="楷体" w:eastAsia="楷体" w:cs="楷体"/>
                <w:color w:val="000000"/>
                <w:vertAlign w:val="baseline"/>
                <w:lang w:val="en-US" w:eastAsia="zh-CN"/>
              </w:rPr>
            </w:pPr>
            <w:r>
              <w:rPr>
                <w:rFonts w:hint="eastAsia" w:ascii="楷体" w:hAnsi="楷体" w:eastAsia="楷体" w:cs="楷体"/>
                <w:color w:val="000000"/>
                <w:vertAlign w:val="baseline"/>
                <w:lang w:val="en-US" w:eastAsia="zh-CN"/>
              </w:rPr>
              <w:t>产品名称</w:t>
            </w:r>
          </w:p>
        </w:tc>
        <w:tc>
          <w:tcPr>
            <w:tcW w:w="4251" w:type="pct"/>
            <w:noWrap w:val="0"/>
            <w:vAlign w:val="center"/>
          </w:tcPr>
          <w:p w14:paraId="6B9DA99C">
            <w:pPr>
              <w:keepNext w:val="0"/>
              <w:keepLines w:val="0"/>
              <w:suppressLineNumbers w:val="0"/>
              <w:spacing w:before="0" w:beforeAutospacing="0" w:after="0" w:afterAutospacing="0"/>
              <w:ind w:left="0" w:right="0"/>
              <w:jc w:val="center"/>
              <w:rPr>
                <w:rFonts w:hint="eastAsia" w:ascii="楷体" w:hAnsi="楷体" w:eastAsia="楷体" w:cs="楷体"/>
                <w:color w:val="000000"/>
                <w:vertAlign w:val="baseline"/>
                <w:lang w:val="en-US" w:eastAsia="zh-CN"/>
              </w:rPr>
            </w:pPr>
            <w:r>
              <w:rPr>
                <w:rFonts w:hint="eastAsia" w:ascii="楷体" w:hAnsi="楷体" w:eastAsia="楷体" w:cs="楷体"/>
                <w:color w:val="000000"/>
                <w:vertAlign w:val="baseline"/>
                <w:lang w:val="en-US" w:eastAsia="zh-CN"/>
              </w:rPr>
              <w:t>技术参数</w:t>
            </w:r>
          </w:p>
        </w:tc>
        <w:tc>
          <w:tcPr>
            <w:tcW w:w="298" w:type="pct"/>
            <w:noWrap w:val="0"/>
            <w:vAlign w:val="center"/>
          </w:tcPr>
          <w:p w14:paraId="05F6CF65">
            <w:pPr>
              <w:keepNext w:val="0"/>
              <w:keepLines w:val="0"/>
              <w:suppressLineNumbers w:val="0"/>
              <w:spacing w:before="0" w:beforeAutospacing="0" w:after="0" w:afterAutospacing="0"/>
              <w:ind w:left="0" w:right="0"/>
              <w:jc w:val="center"/>
              <w:rPr>
                <w:rFonts w:hint="eastAsia" w:ascii="楷体" w:hAnsi="楷体" w:eastAsia="楷体" w:cs="楷体"/>
                <w:color w:val="000000"/>
                <w:vertAlign w:val="baseline"/>
                <w:lang w:val="en-US" w:eastAsia="zh-CN"/>
              </w:rPr>
            </w:pPr>
            <w:r>
              <w:rPr>
                <w:rFonts w:hint="eastAsia" w:ascii="楷体" w:hAnsi="楷体" w:eastAsia="楷体" w:cs="楷体"/>
                <w:color w:val="000000"/>
                <w:vertAlign w:val="baseline"/>
                <w:lang w:val="en-US" w:eastAsia="zh-CN"/>
              </w:rPr>
              <w:t>数量</w:t>
            </w:r>
          </w:p>
        </w:tc>
      </w:tr>
      <w:tr w14:paraId="013FE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1" w:hRule="atLeast"/>
          <w:jc w:val="center"/>
        </w:trPr>
        <w:tc>
          <w:tcPr>
            <w:tcW w:w="200" w:type="pct"/>
            <w:noWrap w:val="0"/>
            <w:vAlign w:val="center"/>
          </w:tcPr>
          <w:p w14:paraId="2FF88801">
            <w:pPr>
              <w:keepNext w:val="0"/>
              <w:keepLines w:val="0"/>
              <w:suppressLineNumbers w:val="0"/>
              <w:spacing w:before="0" w:beforeAutospacing="0" w:after="0" w:afterAutospacing="0"/>
              <w:ind w:left="0" w:right="0"/>
              <w:jc w:val="center"/>
              <w:rPr>
                <w:rFonts w:hint="eastAsia" w:ascii="楷体" w:hAnsi="楷体" w:eastAsia="楷体" w:cs="楷体"/>
                <w:color w:val="000000"/>
                <w:vertAlign w:val="baseline"/>
                <w:lang w:val="en-US" w:eastAsia="zh-CN"/>
              </w:rPr>
            </w:pPr>
            <w:r>
              <w:rPr>
                <w:rFonts w:hint="eastAsia" w:ascii="楷体" w:hAnsi="楷体" w:eastAsia="楷体" w:cs="楷体"/>
                <w:color w:val="000000"/>
                <w:vertAlign w:val="baseline"/>
                <w:lang w:val="en-US" w:eastAsia="zh-CN"/>
              </w:rPr>
              <w:t>1</w:t>
            </w:r>
          </w:p>
        </w:tc>
        <w:tc>
          <w:tcPr>
            <w:tcW w:w="249" w:type="pct"/>
            <w:noWrap w:val="0"/>
            <w:vAlign w:val="center"/>
          </w:tcPr>
          <w:p w14:paraId="2927353C">
            <w:pPr>
              <w:keepNext w:val="0"/>
              <w:keepLines w:val="0"/>
              <w:suppressLineNumbers w:val="0"/>
              <w:spacing w:before="0" w:beforeAutospacing="0" w:after="0" w:afterAutospacing="0"/>
              <w:ind w:left="0" w:right="0"/>
              <w:jc w:val="center"/>
              <w:rPr>
                <w:rFonts w:hint="eastAsia" w:ascii="楷体" w:hAnsi="楷体" w:eastAsia="楷体" w:cs="楷体"/>
                <w:color w:val="000000"/>
                <w:vertAlign w:val="baseline"/>
                <w:lang w:val="en-US" w:eastAsia="zh-CN"/>
              </w:rPr>
            </w:pPr>
            <w:r>
              <w:rPr>
                <w:rFonts w:hint="eastAsia" w:ascii="楷体" w:hAnsi="楷体" w:eastAsia="楷体" w:cs="楷体"/>
                <w:color w:val="000000"/>
                <w:vertAlign w:val="baseline"/>
                <w:lang w:val="en-US" w:eastAsia="zh-CN"/>
              </w:rPr>
              <w:t>LED教室灯</w:t>
            </w:r>
          </w:p>
        </w:tc>
        <w:tc>
          <w:tcPr>
            <w:tcW w:w="4251" w:type="pct"/>
            <w:noWrap w:val="0"/>
            <w:vAlign w:val="center"/>
          </w:tcPr>
          <w:p w14:paraId="5AF0EF07">
            <w:pPr>
              <w:keepNext w:val="0"/>
              <w:keepLines w:val="0"/>
              <w:numPr>
                <w:ilvl w:val="0"/>
                <w:numId w:val="0"/>
              </w:numPr>
              <w:suppressLineNumbers w:val="0"/>
              <w:spacing w:before="0" w:beforeAutospacing="0" w:after="0" w:afterAutospacing="0" w:line="360" w:lineRule="auto"/>
              <w:ind w:left="0" w:right="0"/>
              <w:jc w:val="left"/>
              <w:rPr>
                <w:rFonts w:hint="eastAsia" w:ascii="楷体" w:hAnsi="楷体" w:eastAsia="楷体" w:cs="楷体"/>
                <w:b/>
                <w:bCs/>
                <w:color w:val="000000"/>
                <w:vertAlign w:val="baseline"/>
                <w:lang w:val="en-US" w:eastAsia="zh-CN"/>
              </w:rPr>
            </w:pPr>
            <w:r>
              <w:rPr>
                <w:rFonts w:hint="eastAsia" w:ascii="方正仿宋_GB2312" w:hAnsi="方正仿宋_GB2312" w:eastAsia="方正仿宋_GB2312" w:cs="方正仿宋_GB2312"/>
                <w:color w:val="000000"/>
                <w:sz w:val="22"/>
                <w:szCs w:val="22"/>
                <w:lang w:val="en-US" w:eastAsia="zh-CN"/>
              </w:rPr>
              <w:t>▲</w:t>
            </w:r>
            <w:r>
              <w:rPr>
                <w:rFonts w:hint="eastAsia" w:ascii="楷体" w:hAnsi="楷体" w:eastAsia="楷体" w:cs="楷体"/>
                <w:b w:val="0"/>
                <w:bCs w:val="0"/>
                <w:color w:val="000000"/>
                <w:kern w:val="2"/>
                <w:sz w:val="21"/>
                <w:szCs w:val="24"/>
                <w:vertAlign w:val="baseline"/>
                <w:lang w:val="en-US" w:eastAsia="zh-CN" w:bidi="ar-SA"/>
              </w:rPr>
              <w:t>1.</w:t>
            </w:r>
            <w:r>
              <w:rPr>
                <w:rFonts w:hint="eastAsia" w:ascii="楷体" w:hAnsi="楷体" w:eastAsia="楷体" w:cs="楷体"/>
                <w:color w:val="000000"/>
                <w:kern w:val="2"/>
                <w:sz w:val="21"/>
                <w:szCs w:val="24"/>
                <w:vertAlign w:val="baseline"/>
                <w:lang w:val="en-US" w:eastAsia="zh-CN" w:bidi="ar-SA"/>
              </w:rPr>
              <w:t>LED教室灯功率≤40W，</w:t>
            </w:r>
            <w:r>
              <w:rPr>
                <w:rFonts w:hint="eastAsia" w:ascii="楷体" w:hAnsi="楷体" w:eastAsia="楷体" w:cs="楷体"/>
                <w:color w:val="000000"/>
                <w:vertAlign w:val="baseline"/>
                <w:lang w:val="en-US" w:eastAsia="zh-CN"/>
              </w:rPr>
              <w:t>LED教室灯长≥1200mm。一体式悬挂式格栅灯具，格栅出光口内径尺寸</w:t>
            </w:r>
            <w:r>
              <w:rPr>
                <w:rFonts w:hint="eastAsia" w:ascii="楷体" w:hAnsi="楷体" w:eastAsia="楷体" w:cs="楷体"/>
                <w:color w:val="000000"/>
                <w:kern w:val="2"/>
                <w:sz w:val="21"/>
                <w:szCs w:val="21"/>
                <w:lang w:val="en-US" w:eastAsia="zh-CN" w:bidi="ar-SA"/>
              </w:rPr>
              <w:t>≤</w:t>
            </w:r>
            <w:r>
              <w:rPr>
                <w:rFonts w:hint="eastAsia" w:ascii="楷体" w:hAnsi="楷体" w:eastAsia="楷体" w:cs="楷体"/>
                <w:color w:val="000000"/>
                <w:vertAlign w:val="baseline"/>
                <w:lang w:val="en-US" w:eastAsia="zh-CN"/>
              </w:rPr>
              <w:t>20x20mm，产品外形平整，无凹陷和毛刺，焊缝无透光现象，表面均匀，光洁，无流挂现象；</w:t>
            </w:r>
          </w:p>
          <w:p w14:paraId="637963D8">
            <w:pPr>
              <w:keepNext w:val="0"/>
              <w:keepLines w:val="0"/>
              <w:numPr>
                <w:ilvl w:val="0"/>
                <w:numId w:val="0"/>
              </w:numPr>
              <w:suppressLineNumbers w:val="0"/>
              <w:spacing w:before="0" w:beforeAutospacing="0" w:after="0" w:afterAutospacing="0" w:line="360" w:lineRule="auto"/>
              <w:ind w:left="0" w:right="0"/>
              <w:jc w:val="left"/>
              <w:rPr>
                <w:rFonts w:hint="eastAsia" w:ascii="楷体" w:hAnsi="楷体" w:eastAsia="楷体" w:cs="楷体"/>
                <w:color w:val="000000"/>
                <w:kern w:val="2"/>
                <w:sz w:val="21"/>
                <w:szCs w:val="21"/>
                <w:lang w:val="en-US" w:eastAsia="zh-CN" w:bidi="ar-SA"/>
              </w:rPr>
            </w:pPr>
            <w:r>
              <w:rPr>
                <w:rFonts w:hint="eastAsia" w:ascii="方正仿宋_GB2312" w:hAnsi="方正仿宋_GB2312" w:eastAsia="方正仿宋_GB2312" w:cs="方正仿宋_GB2312"/>
                <w:color w:val="000000"/>
                <w:sz w:val="22"/>
                <w:szCs w:val="22"/>
                <w:lang w:val="en-US" w:eastAsia="zh-CN"/>
              </w:rPr>
              <w:t>▲</w:t>
            </w:r>
            <w:r>
              <w:rPr>
                <w:rFonts w:hint="eastAsia" w:ascii="楷体" w:hAnsi="楷体" w:eastAsia="楷体" w:cs="楷体"/>
                <w:b w:val="0"/>
                <w:bCs w:val="0"/>
                <w:color w:val="000000"/>
                <w:kern w:val="2"/>
                <w:sz w:val="21"/>
                <w:szCs w:val="24"/>
                <w:vertAlign w:val="baseline"/>
                <w:lang w:val="en-US" w:eastAsia="zh-CN" w:bidi="ar-SA"/>
              </w:rPr>
              <w:t>2.</w:t>
            </w:r>
            <w:r>
              <w:rPr>
                <w:rFonts w:hint="eastAsia" w:ascii="楷体" w:hAnsi="楷体" w:eastAsia="楷体" w:cs="楷体"/>
                <w:color w:val="000000"/>
                <w:vertAlign w:val="baseline"/>
                <w:lang w:val="en-US" w:eastAsia="zh-CN"/>
              </w:rPr>
              <w:t>保证维持照度的前提下，使用LED教室灯设计寿命应不低于50000 h。</w:t>
            </w:r>
            <w:r>
              <w:rPr>
                <w:rFonts w:hint="eastAsia" w:ascii="楷体" w:hAnsi="楷体" w:eastAsia="楷体" w:cs="楷体"/>
                <w:color w:val="000000"/>
                <w:kern w:val="2"/>
                <w:sz w:val="21"/>
                <w:szCs w:val="21"/>
                <w:lang w:val="en-US" w:eastAsia="zh-CN" w:bidi="ar-SA"/>
              </w:rPr>
              <w:t>正常点燃6000 h 光通维持率≥99%；15000h的光通维持率≥98%。整灯色温在5000K±300K，色容差≤2，Ra≥95，R9≥80，最大色品空间不一致性≤0.002。功率因数应≥0.95，效能（光效）≥801m/W。</w:t>
            </w:r>
          </w:p>
          <w:p w14:paraId="388EA075">
            <w:pPr>
              <w:keepNext w:val="0"/>
              <w:keepLines w:val="0"/>
              <w:numPr>
                <w:ilvl w:val="0"/>
                <w:numId w:val="0"/>
              </w:numPr>
              <w:suppressLineNumbers w:val="0"/>
              <w:spacing w:before="0" w:beforeAutospacing="0" w:after="0" w:afterAutospacing="0" w:line="360" w:lineRule="auto"/>
              <w:ind w:left="0" w:right="0"/>
              <w:jc w:val="left"/>
              <w:rPr>
                <w:rFonts w:hint="eastAsia" w:ascii="楷体" w:hAnsi="楷体" w:eastAsia="楷体" w:cs="楷体"/>
                <w:color w:val="000000"/>
                <w:kern w:val="2"/>
                <w:sz w:val="21"/>
                <w:szCs w:val="21"/>
                <w:lang w:val="en-US" w:eastAsia="zh-CN" w:bidi="ar-SA"/>
              </w:rPr>
            </w:pPr>
            <w:r>
              <w:rPr>
                <w:rFonts w:hint="eastAsia" w:ascii="楷体" w:hAnsi="楷体" w:eastAsia="楷体" w:cs="楷体"/>
                <w:color w:val="000000"/>
                <w:kern w:val="2"/>
                <w:sz w:val="21"/>
                <w:szCs w:val="21"/>
                <w:lang w:val="en-US" w:eastAsia="zh-CN" w:bidi="ar-SA"/>
              </w:rPr>
              <w:t>3.LED控制装置应采用外置方案，独立式结构，最高使用环境温度(ta)≥50℃。</w:t>
            </w:r>
          </w:p>
          <w:p w14:paraId="2BB925BE">
            <w:pPr>
              <w:keepNext w:val="0"/>
              <w:keepLines w:val="0"/>
              <w:numPr>
                <w:ilvl w:val="0"/>
                <w:numId w:val="0"/>
              </w:numPr>
              <w:suppressLineNumbers w:val="0"/>
              <w:spacing w:before="0" w:beforeAutospacing="0" w:after="0" w:afterAutospacing="0" w:line="360" w:lineRule="auto"/>
              <w:ind w:left="0" w:right="0"/>
              <w:jc w:val="left"/>
              <w:rPr>
                <w:rFonts w:hint="eastAsia" w:ascii="楷体" w:hAnsi="楷体" w:eastAsia="楷体" w:cs="楷体"/>
                <w:b/>
                <w:bCs/>
                <w:color w:val="000000"/>
                <w:vertAlign w:val="baseline"/>
                <w:lang w:val="en-US" w:eastAsia="zh-CN"/>
              </w:rPr>
            </w:pPr>
            <w:r>
              <w:rPr>
                <w:rFonts w:hint="eastAsia" w:ascii="方正仿宋_GB2312" w:hAnsi="方正仿宋_GB2312" w:eastAsia="方正仿宋_GB2312" w:cs="方正仿宋_GB2312"/>
                <w:color w:val="000000"/>
                <w:sz w:val="22"/>
                <w:szCs w:val="22"/>
                <w:lang w:val="en-US" w:eastAsia="zh-CN"/>
              </w:rPr>
              <w:t>▲</w:t>
            </w:r>
            <w:r>
              <w:rPr>
                <w:rFonts w:hint="eastAsia" w:ascii="楷体" w:hAnsi="楷体" w:eastAsia="楷体" w:cs="楷体"/>
                <w:color w:val="000000"/>
                <w:kern w:val="2"/>
                <w:sz w:val="21"/>
                <w:szCs w:val="21"/>
                <w:lang w:val="en-US" w:eastAsia="zh-CN" w:bidi="ar-SA"/>
              </w:rPr>
              <w:t>4.在额定电压下工作时，LED教室灯及其控制装置光输出波形的波动深度应不大于表中限值要求，且闪烁质量特征认证结果为无显著影响等级或无危害。</w:t>
            </w:r>
          </w:p>
          <w:tbl>
            <w:tblPr>
              <w:tblStyle w:val="39"/>
              <w:tblW w:w="8827" w:type="dxa"/>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1857"/>
              <w:gridCol w:w="1400"/>
              <w:gridCol w:w="2100"/>
              <w:gridCol w:w="1900"/>
              <w:gridCol w:w="1570"/>
            </w:tblGrid>
            <w:tr w14:paraId="04E4D9C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857"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5AEEAF14">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光输出波形频率（f）</w:t>
                  </w:r>
                </w:p>
              </w:tc>
              <w:tc>
                <w:tcPr>
                  <w:tcW w:w="1400"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1447DD99">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f≤10Hz</w:t>
                  </w:r>
                </w:p>
              </w:tc>
              <w:tc>
                <w:tcPr>
                  <w:tcW w:w="2100"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6CE3BBCC">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10Hz＜f≤90Hz</w:t>
                  </w:r>
                </w:p>
              </w:tc>
              <w:tc>
                <w:tcPr>
                  <w:tcW w:w="1900"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50174305">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90Hz＜f≤3125Hz</w:t>
                  </w:r>
                </w:p>
              </w:tc>
              <w:tc>
                <w:tcPr>
                  <w:tcW w:w="1570"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35DD8F4C">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f＞3125Hz</w:t>
                  </w:r>
                </w:p>
              </w:tc>
            </w:tr>
            <w:tr w14:paraId="4658026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857" w:type="dxa"/>
                  <w:tcBorders>
                    <w:top w:val="nil"/>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48A17DC5">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波动深度限值（%）</w:t>
                  </w:r>
                </w:p>
              </w:tc>
              <w:tc>
                <w:tcPr>
                  <w:tcW w:w="1400"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38431529">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0.1</w:t>
                  </w:r>
                </w:p>
              </w:tc>
              <w:tc>
                <w:tcPr>
                  <w:tcW w:w="2100"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5EC25864">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f×0.01</w:t>
                  </w:r>
                </w:p>
              </w:tc>
              <w:tc>
                <w:tcPr>
                  <w:tcW w:w="1900"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62C72876">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 w:val="0"/>
                      <w:bCs/>
                      <w:color w:val="000000"/>
                      <w:sz w:val="18"/>
                      <w:szCs w:val="18"/>
                    </w:rPr>
                    <w:t>f×0.001</w:t>
                  </w:r>
                </w:p>
              </w:tc>
              <w:tc>
                <w:tcPr>
                  <w:tcW w:w="1570"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1DC69388">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免除考核</w:t>
                  </w:r>
                </w:p>
              </w:tc>
            </w:tr>
          </w:tbl>
          <w:p w14:paraId="70236DFB">
            <w:pPr>
              <w:keepNext w:val="0"/>
              <w:keepLines w:val="0"/>
              <w:numPr>
                <w:ilvl w:val="0"/>
                <w:numId w:val="0"/>
              </w:numPr>
              <w:suppressLineNumbers w:val="0"/>
              <w:spacing w:before="0" w:beforeAutospacing="0" w:after="0" w:afterAutospacing="0" w:line="360" w:lineRule="auto"/>
              <w:ind w:left="0" w:right="0"/>
              <w:jc w:val="left"/>
              <w:rPr>
                <w:rFonts w:hint="eastAsia" w:ascii="楷体" w:hAnsi="楷体" w:eastAsia="楷体" w:cs="楷体"/>
                <w:color w:val="000000"/>
                <w:kern w:val="2"/>
                <w:sz w:val="21"/>
                <w:szCs w:val="21"/>
                <w:lang w:val="en-US" w:eastAsia="zh-CN" w:bidi="ar-SA"/>
              </w:rPr>
            </w:pPr>
            <w:r>
              <w:rPr>
                <w:rFonts w:hint="eastAsia" w:ascii="楷体" w:hAnsi="楷体" w:eastAsia="楷体" w:cs="楷体"/>
                <w:color w:val="000000"/>
                <w:kern w:val="2"/>
                <w:sz w:val="21"/>
                <w:szCs w:val="21"/>
                <w:lang w:val="en-US" w:eastAsia="zh-CN" w:bidi="ar-SA"/>
              </w:rPr>
              <w:t>5.为了确保产品使用安全、延长产品寿命：保持持续使用合格，减少光衰及材料老化，LED教室灯通过热测试且LED控制装置tc外壳≤50℃，接线端子≤35℃，内部线（近光源）≤40℃。</w:t>
            </w:r>
          </w:p>
          <w:p w14:paraId="5A1107BA">
            <w:pPr>
              <w:keepNext w:val="0"/>
              <w:keepLines w:val="0"/>
              <w:numPr>
                <w:ilvl w:val="0"/>
                <w:numId w:val="0"/>
              </w:numPr>
              <w:suppressLineNumbers w:val="0"/>
              <w:spacing w:before="0" w:beforeAutospacing="0" w:after="0" w:afterAutospacing="0" w:line="360" w:lineRule="auto"/>
              <w:ind w:left="0" w:right="0"/>
              <w:jc w:val="left"/>
              <w:rPr>
                <w:rFonts w:hint="eastAsia" w:ascii="楷体" w:hAnsi="楷体" w:eastAsia="楷体" w:cs="楷体"/>
                <w:b/>
                <w:bCs/>
                <w:color w:val="000000"/>
                <w:vertAlign w:val="baseline"/>
                <w:lang w:val="en-US" w:eastAsia="zh-CN"/>
              </w:rPr>
            </w:pPr>
            <w:r>
              <w:rPr>
                <w:rFonts w:hint="eastAsia" w:ascii="方正仿宋_GB2312" w:hAnsi="方正仿宋_GB2312" w:eastAsia="方正仿宋_GB2312" w:cs="方正仿宋_GB2312"/>
                <w:color w:val="000000"/>
                <w:sz w:val="22"/>
                <w:szCs w:val="22"/>
                <w:lang w:val="en-US" w:eastAsia="zh-CN"/>
              </w:rPr>
              <w:t>▲</w:t>
            </w:r>
            <w:r>
              <w:rPr>
                <w:rFonts w:hint="eastAsia" w:ascii="楷体" w:hAnsi="楷体" w:eastAsia="楷体" w:cs="楷体"/>
                <w:b w:val="0"/>
                <w:bCs w:val="0"/>
                <w:color w:val="000000"/>
                <w:kern w:val="2"/>
                <w:sz w:val="21"/>
                <w:szCs w:val="24"/>
                <w:vertAlign w:val="baseline"/>
                <w:lang w:val="en-US" w:eastAsia="zh-CN" w:bidi="ar-SA"/>
              </w:rPr>
              <w:t>6.</w:t>
            </w:r>
            <w:r>
              <w:rPr>
                <w:rFonts w:hint="eastAsia" w:ascii="楷体" w:hAnsi="楷体" w:eastAsia="楷体" w:cs="楷体"/>
                <w:color w:val="000000"/>
                <w:kern w:val="2"/>
                <w:sz w:val="21"/>
                <w:szCs w:val="21"/>
                <w:lang w:val="en-US" w:eastAsia="zh-CN" w:bidi="ar-SA"/>
              </w:rPr>
              <w:t>教室照明的设计安装卫生要求中教室灯距课桌垂直距离≥1700mm，且在此安装标准下，教室维持平均照度≥400LX，教室照度均匀度≥0.8，统一眩光值≤16。</w:t>
            </w:r>
          </w:p>
        </w:tc>
        <w:tc>
          <w:tcPr>
            <w:tcW w:w="298" w:type="pct"/>
            <w:noWrap w:val="0"/>
            <w:vAlign w:val="center"/>
          </w:tcPr>
          <w:p w14:paraId="74864E89">
            <w:pPr>
              <w:keepNext w:val="0"/>
              <w:keepLines w:val="0"/>
              <w:numPr>
                <w:ilvl w:val="0"/>
                <w:numId w:val="0"/>
              </w:numPr>
              <w:suppressLineNumbers w:val="0"/>
              <w:spacing w:before="0" w:beforeAutospacing="0" w:after="0" w:afterAutospacing="0" w:line="360" w:lineRule="auto"/>
              <w:ind w:left="0" w:right="0"/>
              <w:jc w:val="left"/>
              <w:rPr>
                <w:rFonts w:hint="eastAsia" w:ascii="楷体" w:hAnsi="楷体" w:eastAsia="楷体" w:cs="楷体"/>
                <w:b w:val="0"/>
                <w:bCs w:val="0"/>
                <w:color w:val="000000"/>
                <w:kern w:val="2"/>
                <w:sz w:val="21"/>
                <w:szCs w:val="21"/>
                <w:lang w:val="en-US" w:eastAsia="zh-CN" w:bidi="ar-SA"/>
              </w:rPr>
            </w:pPr>
            <w:r>
              <w:rPr>
                <w:rFonts w:hint="eastAsia" w:ascii="楷体" w:hAnsi="楷体" w:eastAsia="楷体" w:cs="楷体"/>
                <w:b w:val="0"/>
                <w:bCs w:val="0"/>
                <w:color w:val="000000"/>
                <w:kern w:val="2"/>
                <w:sz w:val="21"/>
                <w:szCs w:val="21"/>
                <w:lang w:val="en-US" w:eastAsia="zh-CN" w:bidi="ar-SA"/>
              </w:rPr>
              <w:t>17316盏</w:t>
            </w:r>
          </w:p>
        </w:tc>
      </w:tr>
      <w:tr w14:paraId="2DAB4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4" w:hRule="atLeast"/>
          <w:jc w:val="center"/>
        </w:trPr>
        <w:tc>
          <w:tcPr>
            <w:tcW w:w="200" w:type="pct"/>
            <w:noWrap w:val="0"/>
            <w:vAlign w:val="center"/>
          </w:tcPr>
          <w:p w14:paraId="635FBAD0">
            <w:pPr>
              <w:keepNext w:val="0"/>
              <w:keepLines w:val="0"/>
              <w:suppressLineNumbers w:val="0"/>
              <w:spacing w:before="0" w:beforeAutospacing="0" w:after="0" w:afterAutospacing="0"/>
              <w:ind w:left="0" w:right="0"/>
              <w:jc w:val="center"/>
              <w:rPr>
                <w:rFonts w:hint="eastAsia" w:ascii="楷体" w:hAnsi="楷体" w:eastAsia="楷体" w:cs="楷体"/>
                <w:color w:val="000000"/>
                <w:vertAlign w:val="baseline"/>
                <w:lang w:val="en-US" w:eastAsia="zh-CN"/>
              </w:rPr>
            </w:pPr>
            <w:r>
              <w:rPr>
                <w:rFonts w:hint="eastAsia" w:ascii="楷体" w:hAnsi="楷体" w:eastAsia="楷体" w:cs="楷体"/>
                <w:color w:val="000000"/>
                <w:vertAlign w:val="baseline"/>
                <w:lang w:val="en-US" w:eastAsia="zh-CN"/>
              </w:rPr>
              <w:t>2</w:t>
            </w:r>
          </w:p>
        </w:tc>
        <w:tc>
          <w:tcPr>
            <w:tcW w:w="249" w:type="pct"/>
            <w:noWrap w:val="0"/>
            <w:vAlign w:val="center"/>
          </w:tcPr>
          <w:p w14:paraId="3C7FF073">
            <w:pPr>
              <w:keepNext w:val="0"/>
              <w:keepLines w:val="0"/>
              <w:suppressLineNumbers w:val="0"/>
              <w:spacing w:before="0" w:beforeAutospacing="0" w:after="0" w:afterAutospacing="0"/>
              <w:ind w:left="0" w:right="0"/>
              <w:jc w:val="center"/>
              <w:rPr>
                <w:rFonts w:hint="eastAsia" w:ascii="楷体" w:hAnsi="楷体" w:eastAsia="楷体" w:cs="楷体"/>
                <w:color w:val="000000"/>
                <w:vertAlign w:val="baseline"/>
                <w:lang w:val="en-US" w:eastAsia="zh-CN"/>
              </w:rPr>
            </w:pPr>
            <w:r>
              <w:rPr>
                <w:rFonts w:hint="eastAsia" w:ascii="楷体" w:hAnsi="楷体" w:eastAsia="楷体" w:cs="楷体"/>
                <w:color w:val="000000"/>
                <w:vertAlign w:val="baseline"/>
                <w:lang w:val="en-US" w:eastAsia="zh-CN"/>
              </w:rPr>
              <w:t>LED黑板灯</w:t>
            </w:r>
          </w:p>
        </w:tc>
        <w:tc>
          <w:tcPr>
            <w:tcW w:w="4251" w:type="pct"/>
            <w:noWrap w:val="0"/>
            <w:vAlign w:val="center"/>
          </w:tcPr>
          <w:p w14:paraId="714BCC0C">
            <w:pPr>
              <w:keepNext w:val="0"/>
              <w:keepLines w:val="0"/>
              <w:numPr>
                <w:ilvl w:val="0"/>
                <w:numId w:val="0"/>
              </w:numPr>
              <w:suppressLineNumbers w:val="0"/>
              <w:spacing w:before="0" w:beforeAutospacing="0" w:after="0" w:afterAutospacing="0" w:line="360" w:lineRule="auto"/>
              <w:ind w:left="0" w:right="0"/>
              <w:jc w:val="left"/>
              <w:rPr>
                <w:rFonts w:hint="eastAsia" w:ascii="楷体" w:hAnsi="楷体" w:eastAsia="楷体" w:cs="楷体"/>
                <w:color w:val="000000"/>
                <w:kern w:val="2"/>
                <w:sz w:val="21"/>
                <w:szCs w:val="21"/>
                <w:lang w:val="en-US" w:eastAsia="zh-CN" w:bidi="ar-SA"/>
              </w:rPr>
            </w:pPr>
            <w:r>
              <w:rPr>
                <w:rFonts w:hint="eastAsia" w:ascii="方正仿宋_GB2312" w:hAnsi="方正仿宋_GB2312" w:eastAsia="方正仿宋_GB2312" w:cs="方正仿宋_GB2312"/>
                <w:color w:val="000000"/>
                <w:sz w:val="22"/>
                <w:szCs w:val="22"/>
                <w:lang w:val="en-US" w:eastAsia="zh-CN"/>
              </w:rPr>
              <w:t>▲</w:t>
            </w:r>
            <w:r>
              <w:rPr>
                <w:rFonts w:hint="eastAsia" w:ascii="楷体" w:hAnsi="楷体" w:eastAsia="楷体" w:cs="楷体"/>
                <w:color w:val="000000"/>
                <w:kern w:val="2"/>
                <w:sz w:val="21"/>
                <w:szCs w:val="24"/>
                <w:vertAlign w:val="baseline"/>
                <w:lang w:val="en-US" w:eastAsia="zh-CN" w:bidi="ar-SA"/>
              </w:rPr>
              <w:t>1.LED黑板灯功率≤40W，</w:t>
            </w:r>
            <w:r>
              <w:rPr>
                <w:rFonts w:hint="eastAsia" w:ascii="楷体" w:hAnsi="楷体" w:eastAsia="楷体" w:cs="楷体"/>
                <w:color w:val="000000"/>
                <w:kern w:val="2"/>
                <w:sz w:val="21"/>
                <w:szCs w:val="21"/>
                <w:lang w:val="en-US" w:eastAsia="zh-CN" w:bidi="ar-SA"/>
              </w:rPr>
              <w:t>LED黑板灯尺寸：长≥1200mm，采用格栅防眩光处理，防眩格栅出光口内径尺寸≤20x20mm且具有≤2°倾斜角度；产品外形平整，无凹陷和毛刺，焊缝无透光现象，表面均匀，光洁，无流挂现象；</w:t>
            </w:r>
          </w:p>
          <w:p w14:paraId="4A980930">
            <w:pPr>
              <w:keepNext w:val="0"/>
              <w:keepLines w:val="0"/>
              <w:numPr>
                <w:ilvl w:val="0"/>
                <w:numId w:val="0"/>
              </w:numPr>
              <w:suppressLineNumbers w:val="0"/>
              <w:spacing w:before="0" w:beforeAutospacing="0" w:after="0" w:afterAutospacing="0" w:line="360" w:lineRule="auto"/>
              <w:ind w:left="0" w:leftChars="0" w:right="0"/>
              <w:jc w:val="left"/>
              <w:rPr>
                <w:rFonts w:hint="eastAsia" w:ascii="楷体" w:hAnsi="楷体" w:eastAsia="楷体" w:cs="楷体"/>
                <w:color w:val="000000"/>
                <w:kern w:val="2"/>
                <w:sz w:val="21"/>
                <w:szCs w:val="21"/>
                <w:lang w:val="en-US" w:eastAsia="zh-CN" w:bidi="ar-SA"/>
              </w:rPr>
            </w:pPr>
            <w:r>
              <w:rPr>
                <w:rFonts w:hint="eastAsia" w:ascii="方正仿宋_GB2312" w:hAnsi="方正仿宋_GB2312" w:eastAsia="方正仿宋_GB2312" w:cs="方正仿宋_GB2312"/>
                <w:color w:val="000000"/>
                <w:sz w:val="22"/>
                <w:szCs w:val="22"/>
                <w:lang w:val="en-US" w:eastAsia="zh-CN"/>
              </w:rPr>
              <w:t>▲</w:t>
            </w:r>
            <w:r>
              <w:rPr>
                <w:rFonts w:hint="eastAsia" w:ascii="楷体" w:hAnsi="楷体" w:eastAsia="楷体" w:cs="楷体"/>
                <w:color w:val="000000"/>
                <w:vertAlign w:val="baseline"/>
                <w:lang w:val="en-US" w:eastAsia="zh-CN"/>
              </w:rPr>
              <w:t>2.保证维持照度的前提下，使用LED黑板灯设计寿命应不低于50000 h。</w:t>
            </w:r>
            <w:r>
              <w:rPr>
                <w:rFonts w:hint="eastAsia" w:ascii="楷体" w:hAnsi="楷体" w:eastAsia="楷体" w:cs="楷体"/>
                <w:color w:val="000000"/>
                <w:kern w:val="2"/>
                <w:sz w:val="21"/>
                <w:szCs w:val="21"/>
                <w:lang w:val="en-US" w:eastAsia="zh-CN" w:bidi="ar-SA"/>
              </w:rPr>
              <w:t>正常点燃6000 h 光通维持率≥99%；15000h的光通维持率≥98%。整灯色温在5000K±300K，色容差≤2，Ra≥95，R9≥80，最大色品空间不一致性≤0.002。功率因数应≥0.95，效能（光效）≥701m/W。</w:t>
            </w:r>
          </w:p>
          <w:p w14:paraId="1438479F">
            <w:pPr>
              <w:keepNext w:val="0"/>
              <w:keepLines w:val="0"/>
              <w:numPr>
                <w:ilvl w:val="0"/>
                <w:numId w:val="0"/>
              </w:numPr>
              <w:suppressLineNumbers w:val="0"/>
              <w:spacing w:before="0" w:beforeAutospacing="0" w:after="0" w:afterAutospacing="0" w:line="360" w:lineRule="auto"/>
              <w:ind w:left="0" w:leftChars="0" w:right="0"/>
              <w:jc w:val="left"/>
              <w:rPr>
                <w:rFonts w:hint="eastAsia" w:ascii="楷体" w:hAnsi="楷体" w:eastAsia="楷体" w:cs="楷体"/>
                <w:color w:val="000000"/>
                <w:kern w:val="2"/>
                <w:sz w:val="21"/>
                <w:szCs w:val="21"/>
                <w:lang w:val="en-US" w:eastAsia="zh-CN" w:bidi="ar-SA"/>
              </w:rPr>
            </w:pPr>
            <w:r>
              <w:rPr>
                <w:rFonts w:hint="eastAsia" w:ascii="楷体" w:hAnsi="楷体" w:eastAsia="楷体" w:cs="楷体"/>
                <w:b w:val="0"/>
                <w:bCs w:val="0"/>
                <w:color w:val="000000"/>
                <w:kern w:val="2"/>
                <w:sz w:val="21"/>
                <w:szCs w:val="21"/>
                <w:lang w:val="en-US" w:eastAsia="zh-CN" w:bidi="ar-SA"/>
              </w:rPr>
              <w:t>3.</w:t>
            </w:r>
            <w:r>
              <w:rPr>
                <w:rFonts w:hint="eastAsia" w:ascii="楷体" w:hAnsi="楷体" w:eastAsia="楷体" w:cs="楷体"/>
                <w:color w:val="000000"/>
                <w:kern w:val="2"/>
                <w:sz w:val="21"/>
                <w:szCs w:val="21"/>
                <w:lang w:val="en-US" w:eastAsia="zh-CN" w:bidi="ar-SA"/>
              </w:rPr>
              <w:t>LED控制装置应采用外置方案，独立式结构，最高使用环境温度(ta)≥50℃</w:t>
            </w:r>
          </w:p>
          <w:p w14:paraId="2A97D7FF">
            <w:pPr>
              <w:keepNext w:val="0"/>
              <w:keepLines w:val="0"/>
              <w:numPr>
                <w:ilvl w:val="0"/>
                <w:numId w:val="0"/>
              </w:numPr>
              <w:suppressLineNumbers w:val="0"/>
              <w:spacing w:before="0" w:beforeAutospacing="0" w:after="0" w:afterAutospacing="0" w:line="360" w:lineRule="auto"/>
              <w:ind w:left="0" w:right="0"/>
              <w:jc w:val="left"/>
              <w:rPr>
                <w:rFonts w:hint="eastAsia" w:ascii="楷体" w:hAnsi="楷体" w:eastAsia="楷体" w:cs="楷体"/>
                <w:color w:val="000000"/>
                <w:kern w:val="2"/>
                <w:sz w:val="21"/>
                <w:szCs w:val="21"/>
                <w:lang w:val="en-US" w:eastAsia="zh-CN" w:bidi="ar-SA"/>
              </w:rPr>
            </w:pPr>
            <w:r>
              <w:rPr>
                <w:rFonts w:hint="eastAsia" w:ascii="方正仿宋_GB2312" w:hAnsi="方正仿宋_GB2312" w:eastAsia="方正仿宋_GB2312" w:cs="方正仿宋_GB2312"/>
                <w:color w:val="000000"/>
                <w:sz w:val="22"/>
                <w:szCs w:val="22"/>
                <w:lang w:val="en-US" w:eastAsia="zh-CN"/>
              </w:rPr>
              <w:t>▲</w:t>
            </w:r>
            <w:r>
              <w:rPr>
                <w:rFonts w:hint="eastAsia" w:ascii="楷体" w:hAnsi="楷体" w:eastAsia="楷体" w:cs="楷体"/>
                <w:b w:val="0"/>
                <w:bCs w:val="0"/>
                <w:color w:val="000000"/>
                <w:kern w:val="2"/>
                <w:sz w:val="21"/>
                <w:szCs w:val="21"/>
                <w:lang w:val="en-US" w:eastAsia="zh-CN" w:bidi="ar-SA"/>
              </w:rPr>
              <w:t>4.</w:t>
            </w:r>
            <w:r>
              <w:rPr>
                <w:rFonts w:hint="eastAsia" w:ascii="楷体" w:hAnsi="楷体" w:eastAsia="楷体" w:cs="楷体"/>
                <w:color w:val="000000"/>
                <w:kern w:val="2"/>
                <w:sz w:val="21"/>
                <w:szCs w:val="21"/>
                <w:lang w:val="en-US" w:eastAsia="zh-CN" w:bidi="ar-SA"/>
              </w:rPr>
              <w:t>在额定电压下工作时，LED黑板灯及其控制装置光输出波形的波动深度应不大于表中限值要求，且闪烁质量特征认证结果为无显著影响等级或无危害。</w:t>
            </w:r>
          </w:p>
          <w:tbl>
            <w:tblPr>
              <w:tblStyle w:val="39"/>
              <w:tblW w:w="8827" w:type="dxa"/>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1857"/>
              <w:gridCol w:w="1400"/>
              <w:gridCol w:w="2100"/>
              <w:gridCol w:w="1900"/>
              <w:gridCol w:w="1570"/>
            </w:tblGrid>
            <w:tr w14:paraId="430CA43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857"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10FFD4F6">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光输出波形频率（f）</w:t>
                  </w:r>
                </w:p>
              </w:tc>
              <w:tc>
                <w:tcPr>
                  <w:tcW w:w="1400"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1DC2340C">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f≤10Hz</w:t>
                  </w:r>
                </w:p>
              </w:tc>
              <w:tc>
                <w:tcPr>
                  <w:tcW w:w="2100"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19E2BBB0">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10Hz＜f≤90Hz</w:t>
                  </w:r>
                </w:p>
              </w:tc>
              <w:tc>
                <w:tcPr>
                  <w:tcW w:w="1900"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0AF725C8">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90Hz＜f≤3125Hz</w:t>
                  </w:r>
                </w:p>
              </w:tc>
              <w:tc>
                <w:tcPr>
                  <w:tcW w:w="1570"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0FD26F11">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f＞3125Hz</w:t>
                  </w:r>
                </w:p>
              </w:tc>
            </w:tr>
            <w:tr w14:paraId="5BA430B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857" w:type="dxa"/>
                  <w:tcBorders>
                    <w:top w:val="nil"/>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2DA7906E">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波动深度限值（%）</w:t>
                  </w:r>
                </w:p>
              </w:tc>
              <w:tc>
                <w:tcPr>
                  <w:tcW w:w="1400"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41F9174E">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0.1</w:t>
                  </w:r>
                </w:p>
              </w:tc>
              <w:tc>
                <w:tcPr>
                  <w:tcW w:w="2100"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3E5A0C0B">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f×0.01</w:t>
                  </w:r>
                </w:p>
              </w:tc>
              <w:tc>
                <w:tcPr>
                  <w:tcW w:w="1900"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3BFD05A7">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 w:val="0"/>
                      <w:bCs/>
                      <w:color w:val="000000"/>
                      <w:sz w:val="18"/>
                      <w:szCs w:val="18"/>
                    </w:rPr>
                    <w:t>f×0.001</w:t>
                  </w:r>
                </w:p>
              </w:tc>
              <w:tc>
                <w:tcPr>
                  <w:tcW w:w="1570"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01B49E96">
                  <w:pPr>
                    <w:pStyle w:val="113"/>
                    <w:keepNext w:val="0"/>
                    <w:keepLines w:val="0"/>
                    <w:widowControl/>
                    <w:suppressLineNumbers w:val="0"/>
                    <w:spacing w:before="0" w:beforeAutospacing="0" w:after="0" w:afterAutospacing="0" w:line="360" w:lineRule="auto"/>
                    <w:ind w:left="0" w:right="0"/>
                    <w:jc w:val="center"/>
                    <w:rPr>
                      <w:rFonts w:hint="eastAsia" w:ascii="楷体" w:hAnsi="楷体" w:eastAsia="楷体" w:cs="楷体"/>
                      <w:bCs/>
                      <w:color w:val="000000"/>
                      <w:sz w:val="18"/>
                      <w:szCs w:val="18"/>
                    </w:rPr>
                  </w:pPr>
                  <w:r>
                    <w:rPr>
                      <w:rFonts w:hint="eastAsia" w:ascii="楷体" w:hAnsi="楷体" w:eastAsia="楷体" w:cs="楷体"/>
                      <w:bCs/>
                      <w:color w:val="000000"/>
                      <w:sz w:val="18"/>
                      <w:szCs w:val="18"/>
                    </w:rPr>
                    <w:t>免除考核</w:t>
                  </w:r>
                </w:p>
              </w:tc>
            </w:tr>
          </w:tbl>
          <w:p w14:paraId="5AAFE5AD">
            <w:pPr>
              <w:keepNext w:val="0"/>
              <w:keepLines w:val="0"/>
              <w:numPr>
                <w:ilvl w:val="0"/>
                <w:numId w:val="0"/>
              </w:numPr>
              <w:suppressLineNumbers w:val="0"/>
              <w:spacing w:before="0" w:beforeAutospacing="0" w:after="0" w:afterAutospacing="0" w:line="360" w:lineRule="auto"/>
              <w:ind w:left="0" w:right="0"/>
              <w:jc w:val="left"/>
              <w:rPr>
                <w:rFonts w:hint="eastAsia" w:ascii="楷体" w:hAnsi="楷体" w:eastAsia="楷体" w:cs="楷体"/>
                <w:color w:val="000000"/>
                <w:kern w:val="2"/>
                <w:sz w:val="21"/>
                <w:szCs w:val="21"/>
                <w:lang w:val="en-US" w:eastAsia="zh-CN" w:bidi="ar-SA"/>
              </w:rPr>
            </w:pPr>
            <w:r>
              <w:rPr>
                <w:rFonts w:hint="eastAsia" w:ascii="楷体" w:hAnsi="楷体" w:eastAsia="楷体" w:cs="楷体"/>
                <w:b w:val="0"/>
                <w:bCs w:val="0"/>
                <w:color w:val="000000"/>
                <w:kern w:val="2"/>
                <w:sz w:val="21"/>
                <w:szCs w:val="21"/>
                <w:lang w:val="en-US" w:eastAsia="zh-CN" w:bidi="ar-SA"/>
              </w:rPr>
              <w:t>5.</w:t>
            </w:r>
            <w:r>
              <w:rPr>
                <w:rFonts w:hint="eastAsia" w:ascii="楷体" w:hAnsi="楷体" w:eastAsia="楷体" w:cs="楷体"/>
                <w:color w:val="000000"/>
                <w:kern w:val="2"/>
                <w:sz w:val="21"/>
                <w:szCs w:val="21"/>
                <w:lang w:val="en-US" w:eastAsia="zh-CN" w:bidi="ar-SA"/>
              </w:rPr>
              <w:t>为了确保产品使用安全、延长产品寿命：保持持续使用合格，减少光衰及材料老化，LED黑板灯通过热测试且LED控制装置tc外壳≤50℃，接线端子≤35℃，内部线（近光源）≤40℃。</w:t>
            </w:r>
          </w:p>
        </w:tc>
        <w:tc>
          <w:tcPr>
            <w:tcW w:w="298" w:type="pct"/>
            <w:noWrap w:val="0"/>
            <w:vAlign w:val="center"/>
          </w:tcPr>
          <w:p w14:paraId="76C6D038">
            <w:pPr>
              <w:keepNext w:val="0"/>
              <w:keepLines w:val="0"/>
              <w:numPr>
                <w:ilvl w:val="0"/>
                <w:numId w:val="0"/>
              </w:numPr>
              <w:suppressLineNumbers w:val="0"/>
              <w:spacing w:before="0" w:beforeAutospacing="0" w:after="0" w:afterAutospacing="0" w:line="360" w:lineRule="auto"/>
              <w:ind w:left="0" w:leftChars="0" w:right="0" w:firstLine="0" w:firstLineChars="0"/>
              <w:jc w:val="left"/>
              <w:rPr>
                <w:rFonts w:hint="eastAsia" w:ascii="楷体" w:hAnsi="楷体" w:eastAsia="楷体" w:cs="楷体"/>
                <w:b w:val="0"/>
                <w:bCs w:val="0"/>
                <w:color w:val="000000"/>
                <w:kern w:val="2"/>
                <w:sz w:val="21"/>
                <w:szCs w:val="21"/>
                <w:lang w:val="en-US" w:eastAsia="zh-CN" w:bidi="ar-SA"/>
              </w:rPr>
            </w:pPr>
            <w:r>
              <w:rPr>
                <w:rFonts w:hint="eastAsia" w:ascii="楷体" w:hAnsi="楷体" w:eastAsia="楷体" w:cs="楷体"/>
                <w:b w:val="0"/>
                <w:bCs w:val="0"/>
                <w:color w:val="000000"/>
                <w:kern w:val="2"/>
                <w:sz w:val="21"/>
                <w:szCs w:val="21"/>
                <w:lang w:val="en-US" w:eastAsia="zh-CN" w:bidi="ar-SA"/>
              </w:rPr>
              <w:t>5772盏</w:t>
            </w:r>
          </w:p>
        </w:tc>
      </w:tr>
    </w:tbl>
    <w:p w14:paraId="41971450">
      <w:pPr>
        <w:spacing w:before="134" w:line="377" w:lineRule="auto"/>
        <w:ind w:right="51"/>
        <w:jc w:val="center"/>
        <w:rPr>
          <w:rStyle w:val="48"/>
          <w:rFonts w:hint="eastAsia" w:ascii="仿宋" w:hAnsi="仿宋" w:eastAsia="仿宋" w:cs="仿宋"/>
          <w:sz w:val="40"/>
          <w:szCs w:val="32"/>
          <w:lang w:val="en-US" w:eastAsia="zh-CN"/>
        </w:rPr>
        <w:sectPr>
          <w:pgSz w:w="11910" w:h="16840"/>
          <w:pgMar w:top="1440" w:right="1797" w:bottom="1440" w:left="1797" w:header="0" w:footer="913" w:gutter="0"/>
          <w:pgBorders>
            <w:top w:val="none" w:sz="0" w:space="0"/>
            <w:left w:val="none" w:sz="0" w:space="0"/>
            <w:bottom w:val="none" w:sz="0" w:space="0"/>
            <w:right w:val="none" w:sz="0" w:space="0"/>
          </w:pgBorders>
          <w:pgNumType w:fmt="decimal"/>
          <w:cols w:space="720" w:num="1"/>
        </w:sectPr>
      </w:pPr>
      <w:bookmarkStart w:id="444" w:name="_Toc216582825"/>
      <w:bookmarkStart w:id="445" w:name="_Toc507399906"/>
      <w:bookmarkStart w:id="446" w:name="_Toc512937852"/>
      <w:bookmarkStart w:id="447" w:name="_Toc9032"/>
      <w:bookmarkStart w:id="448" w:name="_Toc219175638"/>
      <w:bookmarkStart w:id="449" w:name="_Toc9887"/>
      <w:bookmarkStart w:id="450" w:name="_Toc515647831"/>
      <w:bookmarkStart w:id="451" w:name="_Toc218935354"/>
      <w:bookmarkStart w:id="452" w:name="_Toc9003"/>
      <w:r>
        <w:rPr>
          <w:rFonts w:hint="eastAsia" w:ascii="仿宋" w:hAnsi="仿宋" w:eastAsia="仿宋" w:cs="仿宋"/>
          <w:b/>
          <w:color w:val="auto"/>
          <w:sz w:val="24"/>
          <w:szCs w:val="32"/>
          <w:highlight w:val="none"/>
          <w:lang w:val="en-US" w:eastAsia="zh-CN"/>
        </w:rPr>
        <w:t xml:space="preserve"> </w:t>
      </w:r>
      <w:bookmarkEnd w:id="444"/>
      <w:bookmarkEnd w:id="445"/>
      <w:bookmarkEnd w:id="446"/>
      <w:bookmarkEnd w:id="447"/>
      <w:bookmarkEnd w:id="448"/>
      <w:bookmarkEnd w:id="449"/>
      <w:bookmarkEnd w:id="450"/>
      <w:bookmarkEnd w:id="451"/>
      <w:r>
        <w:rPr>
          <w:rFonts w:hint="eastAsia" w:ascii="仿宋" w:hAnsi="仿宋" w:eastAsia="仿宋" w:cs="仿宋"/>
          <w:b/>
          <w:color w:val="auto"/>
          <w:sz w:val="24"/>
          <w:szCs w:val="32"/>
          <w:highlight w:val="none"/>
          <w:lang w:val="en-US" w:eastAsia="zh-CN"/>
        </w:rPr>
        <w:t>第五章  货物需求一览表及技术规格</w:t>
      </w:r>
      <w:bookmarkEnd w:id="452"/>
    </w:p>
    <w:p w14:paraId="4E2C0581">
      <w:pPr>
        <w:widowControl w:val="0"/>
        <w:numPr>
          <w:ilvl w:val="0"/>
          <w:numId w:val="0"/>
        </w:numPr>
        <w:spacing w:line="360" w:lineRule="auto"/>
        <w:jc w:val="left"/>
        <w:rPr>
          <w:rFonts w:hint="default" w:ascii="仿宋" w:hAnsi="仿宋" w:eastAsia="仿宋" w:cs="仿宋"/>
          <w:b/>
          <w:bCs/>
          <w:color w:val="FF0000"/>
          <w:kern w:val="2"/>
          <w:sz w:val="24"/>
          <w:szCs w:val="24"/>
          <w:lang w:val="en-US" w:eastAsia="zh-CN" w:bidi="ar-SA"/>
        </w:rPr>
      </w:pPr>
      <w:r>
        <w:rPr>
          <w:rFonts w:hint="default" w:ascii="仿宋" w:hAnsi="仿宋" w:eastAsia="仿宋" w:cs="仿宋"/>
          <w:b/>
          <w:bCs/>
          <w:color w:val="FF0000"/>
          <w:kern w:val="2"/>
          <w:sz w:val="24"/>
          <w:szCs w:val="24"/>
          <w:lang w:val="en-US" w:eastAsia="zh-CN" w:bidi="ar-SA"/>
        </w:rPr>
        <w:t>注：1、▲条款为核心参数。</w:t>
      </w:r>
    </w:p>
    <w:p w14:paraId="2F045C64">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textAlignment w:val="auto"/>
        <w:rPr>
          <w:rFonts w:hint="default" w:ascii="仿宋" w:hAnsi="仿宋" w:eastAsia="仿宋" w:cs="仿宋"/>
          <w:b/>
          <w:bCs/>
          <w:color w:val="FF0000"/>
          <w:kern w:val="2"/>
          <w:sz w:val="24"/>
          <w:szCs w:val="24"/>
          <w:lang w:val="en-US" w:eastAsia="zh-CN" w:bidi="ar-SA"/>
        </w:rPr>
      </w:pPr>
      <w:r>
        <w:rPr>
          <w:rFonts w:hint="default" w:ascii="仿宋" w:hAnsi="仿宋" w:eastAsia="仿宋" w:cs="仿宋"/>
          <w:b/>
          <w:bCs/>
          <w:color w:val="FF0000"/>
          <w:kern w:val="2"/>
          <w:sz w:val="24"/>
          <w:szCs w:val="24"/>
          <w:lang w:val="en-US" w:eastAsia="zh-CN" w:bidi="ar-SA"/>
        </w:rPr>
        <w:t>2、参数需逐条响应并提供证明资料。</w:t>
      </w:r>
    </w:p>
    <w:p w14:paraId="6C888BFA">
      <w:pPr>
        <w:pStyle w:val="2"/>
        <w:numPr>
          <w:ilvl w:val="3"/>
          <w:numId w:val="0"/>
        </w:numPr>
        <w:spacing w:before="0" w:after="0" w:line="240" w:lineRule="auto"/>
        <w:rPr>
          <w:rFonts w:hint="default" w:ascii="仿宋" w:hAnsi="仿宋" w:eastAsia="仿宋" w:cs="仿宋"/>
          <w:b/>
          <w:bCs/>
          <w:color w:val="FF0000"/>
          <w:kern w:val="2"/>
          <w:sz w:val="24"/>
          <w:szCs w:val="24"/>
          <w:lang w:val="en-US" w:eastAsia="zh-CN" w:bidi="ar-SA"/>
        </w:rPr>
      </w:pPr>
      <w:r>
        <w:rPr>
          <w:rFonts w:hint="eastAsia" w:ascii="仿宋" w:hAnsi="仿宋" w:eastAsia="仿宋" w:cs="仿宋"/>
          <w:b/>
          <w:bCs/>
          <w:color w:val="FF0000"/>
          <w:kern w:val="2"/>
          <w:sz w:val="24"/>
          <w:szCs w:val="24"/>
          <w:lang w:val="en-US" w:eastAsia="zh-CN" w:bidi="ar-SA"/>
        </w:rPr>
        <w:t>3、必须具备 CCC 认证，实质性要求。</w:t>
      </w:r>
    </w:p>
    <w:p w14:paraId="1CBD2958">
      <w:pPr>
        <w:pStyle w:val="3"/>
        <w:keepNext w:val="0"/>
        <w:keepLines w:val="0"/>
        <w:bidi w:val="0"/>
        <w:ind w:firstLine="2891" w:firstLineChars="800"/>
        <w:jc w:val="both"/>
        <w:rPr>
          <w:rFonts w:hint="eastAsia" w:ascii="宋体" w:hAnsi="宋体" w:eastAsia="宋体" w:cs="宋体"/>
          <w:color w:val="auto"/>
          <w:sz w:val="36"/>
          <w:szCs w:val="36"/>
          <w:lang w:val="zh-CN"/>
        </w:rPr>
      </w:pPr>
    </w:p>
    <w:p w14:paraId="49A8C73E">
      <w:pPr>
        <w:pStyle w:val="3"/>
        <w:keepNext w:val="0"/>
        <w:keepLines w:val="0"/>
        <w:bidi w:val="0"/>
        <w:spacing w:before="0" w:after="0" w:line="240" w:lineRule="auto"/>
        <w:ind w:firstLine="0" w:firstLineChars="0"/>
        <w:jc w:val="center"/>
        <w:rPr>
          <w:rFonts w:hint="eastAsia" w:ascii="仿宋" w:hAnsi="仿宋" w:eastAsia="仿宋" w:cs="仿宋"/>
          <w:b/>
          <w:bCs/>
          <w:kern w:val="2"/>
          <w:sz w:val="32"/>
          <w:szCs w:val="32"/>
          <w:lang w:val="zh-CN" w:eastAsia="zh-CN" w:bidi="ar-SA"/>
        </w:rPr>
      </w:pPr>
      <w:r>
        <w:rPr>
          <w:rFonts w:hint="eastAsia" w:ascii="仿宋" w:hAnsi="仿宋" w:eastAsia="仿宋" w:cs="仿宋"/>
          <w:b/>
          <w:bCs/>
          <w:kern w:val="2"/>
          <w:sz w:val="32"/>
          <w:szCs w:val="32"/>
          <w:lang w:val="zh-CN" w:eastAsia="zh-CN" w:bidi="ar-SA"/>
        </w:rPr>
        <w:t>商务要求</w:t>
      </w:r>
    </w:p>
    <w:p w14:paraId="2AD132A0">
      <w:pPr>
        <w:keepNext w:val="0"/>
        <w:keepLines w:val="0"/>
        <w:pageBreakBefore w:val="0"/>
        <w:kinsoku/>
        <w:wordWrap/>
        <w:overflowPunct/>
        <w:topLinePunct w:val="0"/>
        <w:autoSpaceDE w:val="0"/>
        <w:autoSpaceDN w:val="0"/>
        <w:bidi w:val="0"/>
        <w:snapToGrid/>
        <w:spacing w:line="360" w:lineRule="auto"/>
        <w:textAlignment w:val="auto"/>
        <w:rPr>
          <w:rFonts w:hint="eastAsia" w:ascii="仿宋" w:hAnsi="仿宋" w:eastAsia="仿宋" w:cs="仿宋"/>
          <w:b/>
          <w:bCs/>
          <w:kern w:val="2"/>
          <w:sz w:val="24"/>
          <w:szCs w:val="24"/>
          <w:lang w:val="zh-CN" w:eastAsia="zh-CN" w:bidi="ar-SA"/>
        </w:rPr>
      </w:pPr>
      <w:r>
        <w:rPr>
          <w:rFonts w:hint="eastAsia" w:ascii="仿宋" w:hAnsi="仿宋" w:eastAsia="仿宋" w:cs="仿宋"/>
          <w:b/>
          <w:bCs/>
          <w:kern w:val="2"/>
          <w:sz w:val="24"/>
          <w:szCs w:val="24"/>
          <w:lang w:val="zh-CN" w:eastAsia="zh-CN" w:bidi="ar-SA"/>
        </w:rPr>
        <w:t>1、本项目共分为</w:t>
      </w:r>
      <w:r>
        <w:rPr>
          <w:rFonts w:hint="eastAsia" w:ascii="仿宋" w:hAnsi="仿宋" w:eastAsia="仿宋" w:cs="仿宋"/>
          <w:b/>
          <w:bCs/>
          <w:kern w:val="2"/>
          <w:sz w:val="24"/>
          <w:szCs w:val="24"/>
          <w:u w:val="single"/>
          <w:lang w:val="en-US" w:eastAsia="zh-CN" w:bidi="ar-SA"/>
        </w:rPr>
        <w:t xml:space="preserve">  /  </w:t>
      </w:r>
      <w:r>
        <w:rPr>
          <w:rFonts w:hint="eastAsia" w:ascii="仿宋" w:hAnsi="仿宋" w:eastAsia="仿宋" w:cs="仿宋"/>
          <w:b/>
          <w:bCs/>
          <w:kern w:val="2"/>
          <w:sz w:val="24"/>
          <w:szCs w:val="24"/>
          <w:lang w:val="zh-CN" w:eastAsia="zh-CN" w:bidi="ar-SA"/>
        </w:rPr>
        <w:t>个包进行招标。投标人所报价格应为含税全包价，包括产品的设计、制作、包装、保险、运输、装卸、检测、税费、验收、保修等所有一切费用。</w:t>
      </w:r>
    </w:p>
    <w:p w14:paraId="50956B55">
      <w:pPr>
        <w:keepNext w:val="0"/>
        <w:keepLines w:val="0"/>
        <w:pageBreakBefore w:val="0"/>
        <w:kinsoku/>
        <w:wordWrap/>
        <w:overflowPunct/>
        <w:topLinePunct w:val="0"/>
        <w:autoSpaceDE w:val="0"/>
        <w:autoSpaceDN w:val="0"/>
        <w:bidi w:val="0"/>
        <w:snapToGrid/>
        <w:spacing w:line="360" w:lineRule="auto"/>
        <w:textAlignment w:val="auto"/>
        <w:rPr>
          <w:rFonts w:hint="eastAsia" w:ascii="仿宋" w:hAnsi="仿宋" w:eastAsia="仿宋" w:cs="仿宋"/>
          <w:b/>
          <w:bCs/>
          <w:kern w:val="2"/>
          <w:sz w:val="24"/>
          <w:szCs w:val="24"/>
          <w:lang w:val="zh-CN" w:eastAsia="zh-CN" w:bidi="ar-SA"/>
        </w:rPr>
      </w:pPr>
      <w:r>
        <w:rPr>
          <w:rFonts w:hint="eastAsia" w:ascii="仿宋" w:hAnsi="仿宋" w:eastAsia="仿宋" w:cs="仿宋"/>
          <w:b/>
          <w:bCs/>
          <w:kern w:val="2"/>
          <w:sz w:val="24"/>
          <w:szCs w:val="24"/>
          <w:lang w:val="en-US" w:eastAsia="zh-CN" w:bidi="ar-SA"/>
        </w:rPr>
        <w:t>2、</w:t>
      </w:r>
      <w:r>
        <w:rPr>
          <w:rFonts w:hint="eastAsia" w:ascii="仿宋" w:hAnsi="仿宋" w:eastAsia="仿宋" w:cs="仿宋"/>
          <w:b/>
          <w:bCs/>
          <w:kern w:val="2"/>
          <w:sz w:val="24"/>
          <w:szCs w:val="24"/>
          <w:lang w:val="zh-CN" w:eastAsia="zh-CN" w:bidi="ar-SA"/>
        </w:rPr>
        <w:t>交货期：签订合同后</w:t>
      </w:r>
      <w:r>
        <w:rPr>
          <w:rFonts w:hint="eastAsia" w:ascii="仿宋" w:hAnsi="仿宋" w:eastAsia="仿宋" w:cs="仿宋"/>
          <w:b/>
          <w:bCs/>
          <w:kern w:val="2"/>
          <w:sz w:val="24"/>
          <w:szCs w:val="24"/>
          <w:lang w:val="en-US" w:eastAsia="zh-CN" w:bidi="ar-SA"/>
        </w:rPr>
        <w:t>80</w:t>
      </w:r>
      <w:r>
        <w:rPr>
          <w:rFonts w:hint="eastAsia" w:ascii="仿宋" w:hAnsi="仿宋" w:eastAsia="仿宋" w:cs="仿宋"/>
          <w:b/>
          <w:bCs/>
          <w:kern w:val="2"/>
          <w:sz w:val="24"/>
          <w:szCs w:val="24"/>
          <w:lang w:val="zh-CN" w:eastAsia="zh-CN" w:bidi="ar-SA"/>
        </w:rPr>
        <w:t>天内完成供货并安装调试完毕（</w:t>
      </w:r>
      <w:r>
        <w:rPr>
          <w:rFonts w:hint="eastAsia" w:ascii="仿宋" w:hAnsi="仿宋" w:eastAsia="仿宋" w:cs="仿宋"/>
          <w:b/>
          <w:bCs/>
          <w:kern w:val="2"/>
          <w:sz w:val="24"/>
          <w:szCs w:val="24"/>
          <w:lang w:val="en-US" w:eastAsia="zh-CN" w:bidi="ar-SA"/>
        </w:rPr>
        <w:t>具体以签订合同为准</w:t>
      </w:r>
      <w:r>
        <w:rPr>
          <w:rFonts w:hint="eastAsia" w:ascii="仿宋" w:hAnsi="仿宋" w:eastAsia="仿宋" w:cs="仿宋"/>
          <w:b/>
          <w:bCs/>
          <w:kern w:val="2"/>
          <w:sz w:val="24"/>
          <w:szCs w:val="24"/>
          <w:lang w:val="zh-CN" w:eastAsia="zh-CN" w:bidi="ar-SA"/>
        </w:rPr>
        <w:t>）。</w:t>
      </w:r>
    </w:p>
    <w:p w14:paraId="56A75AAE">
      <w:pPr>
        <w:keepNext w:val="0"/>
        <w:keepLines w:val="0"/>
        <w:pageBreakBefore w:val="0"/>
        <w:kinsoku/>
        <w:wordWrap/>
        <w:overflowPunct/>
        <w:topLinePunct w:val="0"/>
        <w:bidi w:val="0"/>
        <w:snapToGrid/>
        <w:spacing w:line="360" w:lineRule="auto"/>
        <w:textAlignment w:val="auto"/>
        <w:rPr>
          <w:rFonts w:hint="eastAsia" w:ascii="仿宋" w:hAnsi="仿宋" w:eastAsia="仿宋" w:cs="仿宋"/>
          <w:b/>
          <w:bCs/>
          <w:kern w:val="2"/>
          <w:sz w:val="24"/>
          <w:szCs w:val="24"/>
          <w:lang w:val="zh-CN" w:eastAsia="zh-CN" w:bidi="ar-SA"/>
        </w:rPr>
      </w:pPr>
      <w:r>
        <w:rPr>
          <w:rFonts w:hint="eastAsia" w:ascii="仿宋" w:hAnsi="仿宋" w:eastAsia="仿宋" w:cs="仿宋"/>
          <w:b/>
          <w:bCs/>
          <w:kern w:val="2"/>
          <w:sz w:val="24"/>
          <w:szCs w:val="24"/>
          <w:lang w:val="en-US" w:eastAsia="zh-CN" w:bidi="ar-SA"/>
        </w:rPr>
        <w:t>3、质保期</w:t>
      </w:r>
      <w:r>
        <w:rPr>
          <w:rFonts w:hint="eastAsia" w:ascii="仿宋" w:hAnsi="仿宋" w:eastAsia="仿宋" w:cs="仿宋"/>
          <w:b/>
          <w:bCs/>
          <w:kern w:val="2"/>
          <w:sz w:val="24"/>
          <w:szCs w:val="24"/>
          <w:lang w:val="zh-CN" w:eastAsia="zh-CN" w:bidi="ar-SA"/>
        </w:rPr>
        <w:t>：</w:t>
      </w:r>
      <w:r>
        <w:rPr>
          <w:rFonts w:hint="eastAsia" w:ascii="仿宋" w:hAnsi="仿宋" w:eastAsia="仿宋" w:cs="仿宋"/>
          <w:b/>
          <w:bCs/>
          <w:kern w:val="2"/>
          <w:sz w:val="24"/>
          <w:szCs w:val="24"/>
          <w:lang w:val="en-US" w:eastAsia="zh-CN" w:bidi="ar-SA"/>
        </w:rPr>
        <w:t>3</w:t>
      </w:r>
      <w:r>
        <w:rPr>
          <w:rFonts w:hint="eastAsia" w:ascii="仿宋" w:hAnsi="仿宋" w:eastAsia="仿宋" w:cs="仿宋"/>
          <w:b/>
          <w:bCs/>
          <w:kern w:val="2"/>
          <w:sz w:val="24"/>
          <w:szCs w:val="24"/>
          <w:lang w:val="zh-CN" w:eastAsia="zh-CN" w:bidi="ar-SA"/>
        </w:rPr>
        <w:t>年</w:t>
      </w:r>
    </w:p>
    <w:p w14:paraId="2803D78C">
      <w:pPr>
        <w:keepNext w:val="0"/>
        <w:keepLines w:val="0"/>
        <w:pageBreakBefore w:val="0"/>
        <w:kinsoku/>
        <w:wordWrap/>
        <w:overflowPunct/>
        <w:topLinePunct w:val="0"/>
        <w:bidi w:val="0"/>
        <w:snapToGrid/>
        <w:spacing w:line="360" w:lineRule="auto"/>
        <w:textAlignment w:val="auto"/>
        <w:rPr>
          <w:rFonts w:hint="eastAsia" w:ascii="仿宋" w:hAnsi="仿宋" w:eastAsia="仿宋" w:cs="仿宋"/>
          <w:b/>
          <w:bCs/>
          <w:kern w:val="2"/>
          <w:sz w:val="24"/>
          <w:szCs w:val="24"/>
          <w:lang w:val="zh-CN" w:eastAsia="zh-CN" w:bidi="ar-SA"/>
        </w:rPr>
      </w:pPr>
      <w:r>
        <w:rPr>
          <w:rFonts w:hint="eastAsia" w:ascii="仿宋" w:hAnsi="仿宋" w:eastAsia="仿宋" w:cs="仿宋"/>
          <w:b/>
          <w:bCs/>
          <w:kern w:val="2"/>
          <w:sz w:val="24"/>
          <w:szCs w:val="24"/>
          <w:lang w:val="en-US" w:eastAsia="zh-CN" w:bidi="ar-SA"/>
        </w:rPr>
        <w:t>4、设备安装完毕后，投入使用前所需要到采购单位进行设备登记等所有的手续，由中标单位完成，所产生的一切费用，由中标单位支付。</w:t>
      </w:r>
      <w:r>
        <w:rPr>
          <w:rFonts w:hint="eastAsia" w:ascii="仿宋" w:hAnsi="仿宋" w:eastAsia="仿宋" w:cs="仿宋"/>
          <w:b/>
          <w:bCs/>
          <w:kern w:val="2"/>
          <w:sz w:val="24"/>
          <w:szCs w:val="24"/>
          <w:lang w:val="zh-CN" w:eastAsia="zh-CN" w:bidi="ar-SA"/>
        </w:rPr>
        <w:t>所提供</w:t>
      </w:r>
      <w:r>
        <w:rPr>
          <w:rFonts w:hint="eastAsia" w:ascii="仿宋" w:hAnsi="仿宋" w:eastAsia="仿宋" w:cs="仿宋"/>
          <w:b/>
          <w:bCs/>
          <w:kern w:val="2"/>
          <w:sz w:val="24"/>
          <w:szCs w:val="24"/>
          <w:lang w:val="en-US" w:eastAsia="zh-CN" w:bidi="ar-SA"/>
        </w:rPr>
        <w:t>的货物</w:t>
      </w:r>
      <w:r>
        <w:rPr>
          <w:rFonts w:hint="eastAsia" w:ascii="仿宋" w:hAnsi="仿宋" w:eastAsia="仿宋" w:cs="仿宋"/>
          <w:b/>
          <w:bCs/>
          <w:kern w:val="2"/>
          <w:sz w:val="24"/>
          <w:szCs w:val="24"/>
          <w:lang w:val="zh-CN" w:eastAsia="zh-CN" w:bidi="ar-SA"/>
        </w:rPr>
        <w:t>必须按照招标文件技术参数要求。</w:t>
      </w:r>
    </w:p>
    <w:p w14:paraId="5F6520A0">
      <w:pPr>
        <w:pStyle w:val="9"/>
        <w:keepNext w:val="0"/>
        <w:keepLines w:val="0"/>
        <w:pageBreakBefore w:val="0"/>
        <w:kinsoku/>
        <w:wordWrap/>
        <w:overflowPunct/>
        <w:topLinePunct w:val="0"/>
        <w:bidi w:val="0"/>
        <w:snapToGrid/>
        <w:spacing w:line="360" w:lineRule="auto"/>
        <w:ind w:left="0" w:leftChars="0" w:firstLine="0" w:firstLineChars="0"/>
        <w:textAlignment w:val="auto"/>
        <w:rPr>
          <w:rFonts w:hint="eastAsia" w:ascii="仿宋" w:hAnsi="仿宋" w:eastAsia="仿宋" w:cs="仿宋"/>
          <w:b/>
          <w:bCs/>
          <w:kern w:val="2"/>
          <w:sz w:val="24"/>
          <w:szCs w:val="24"/>
          <w:lang w:val="zh-CN" w:eastAsia="zh-CN" w:bidi="ar-SA"/>
        </w:rPr>
      </w:pPr>
      <w:r>
        <w:rPr>
          <w:rFonts w:hint="eastAsia" w:ascii="仿宋" w:hAnsi="仿宋" w:eastAsia="仿宋" w:cs="仿宋"/>
          <w:b/>
          <w:bCs/>
          <w:kern w:val="2"/>
          <w:sz w:val="24"/>
          <w:szCs w:val="24"/>
          <w:lang w:val="en-US" w:eastAsia="zh-CN" w:bidi="ar-SA"/>
        </w:rPr>
        <w:t>5</w:t>
      </w:r>
      <w:r>
        <w:rPr>
          <w:rFonts w:hint="eastAsia" w:ascii="仿宋" w:hAnsi="仿宋" w:eastAsia="仿宋" w:cs="仿宋"/>
          <w:b/>
          <w:bCs/>
          <w:kern w:val="2"/>
          <w:sz w:val="24"/>
          <w:szCs w:val="24"/>
          <w:lang w:val="zh-CN" w:eastAsia="zh-CN" w:bidi="ar-SA"/>
        </w:rPr>
        <w:t>、付款方式：中标人需缴纳中标金额5％的履约保证金（法律允许的所有形式），合同签订后付合同金额30%的预付款，货到安装调试完成后付合同总价款的50%，经验收检测合格（由第三方检测机构进行检测并出具检测报告，检测费用由供应商支付）后付合同总价款的20%（具体以合同签订为准）</w:t>
      </w:r>
    </w:p>
    <w:p w14:paraId="6933C572">
      <w:pPr>
        <w:keepNext w:val="0"/>
        <w:keepLines w:val="0"/>
        <w:pageBreakBefore w:val="0"/>
        <w:kinsoku/>
        <w:wordWrap/>
        <w:overflowPunct/>
        <w:topLinePunct w:val="0"/>
        <w:autoSpaceDE w:val="0"/>
        <w:autoSpaceDN w:val="0"/>
        <w:bidi w:val="0"/>
        <w:snapToGrid/>
        <w:spacing w:line="360" w:lineRule="auto"/>
        <w:textAlignment w:val="auto"/>
        <w:rPr>
          <w:rFonts w:hint="eastAsia" w:ascii="仿宋" w:hAnsi="仿宋" w:eastAsia="仿宋" w:cs="仿宋"/>
          <w:b/>
          <w:bCs/>
          <w:kern w:val="2"/>
          <w:sz w:val="24"/>
          <w:szCs w:val="24"/>
          <w:lang w:val="zh-CN" w:eastAsia="zh-CN" w:bidi="ar-SA"/>
        </w:rPr>
      </w:pPr>
      <w:r>
        <w:rPr>
          <w:rFonts w:hint="eastAsia" w:ascii="仿宋" w:hAnsi="仿宋" w:eastAsia="仿宋" w:cs="仿宋"/>
          <w:b/>
          <w:bCs/>
          <w:kern w:val="2"/>
          <w:sz w:val="24"/>
          <w:szCs w:val="24"/>
          <w:lang w:val="en-US" w:eastAsia="zh-CN" w:bidi="ar-SA"/>
        </w:rPr>
        <w:t>6</w:t>
      </w:r>
      <w:r>
        <w:rPr>
          <w:rFonts w:hint="eastAsia" w:ascii="仿宋" w:hAnsi="仿宋" w:eastAsia="仿宋" w:cs="仿宋"/>
          <w:b/>
          <w:bCs/>
          <w:kern w:val="2"/>
          <w:sz w:val="24"/>
          <w:szCs w:val="24"/>
          <w:lang w:val="zh-CN" w:eastAsia="zh-CN" w:bidi="ar-SA"/>
        </w:rPr>
        <w:t>、违约处罚：如核查中发现中标商所供货物与招标文件规定不符，则取消其中标资格，承担相应的法律后果并赔偿业主方的损失。</w:t>
      </w:r>
    </w:p>
    <w:p w14:paraId="16BCFDB1">
      <w:pPr>
        <w:keepNext w:val="0"/>
        <w:keepLines w:val="0"/>
        <w:pageBreakBefore w:val="0"/>
        <w:kinsoku/>
        <w:wordWrap/>
        <w:overflowPunct/>
        <w:topLinePunct w:val="0"/>
        <w:autoSpaceDE w:val="0"/>
        <w:autoSpaceDN w:val="0"/>
        <w:bidi w:val="0"/>
        <w:snapToGrid/>
        <w:spacing w:line="360" w:lineRule="auto"/>
        <w:textAlignment w:val="auto"/>
        <w:rPr>
          <w:rFonts w:hint="eastAsia" w:ascii="仿宋" w:hAnsi="仿宋" w:eastAsia="仿宋" w:cs="仿宋"/>
          <w:b/>
          <w:bCs/>
          <w:kern w:val="2"/>
          <w:sz w:val="24"/>
          <w:szCs w:val="24"/>
          <w:lang w:val="zh-CN" w:eastAsia="zh-CN" w:bidi="ar-SA"/>
        </w:rPr>
      </w:pPr>
      <w:r>
        <w:rPr>
          <w:rFonts w:hint="eastAsia" w:ascii="仿宋" w:hAnsi="仿宋" w:eastAsia="仿宋" w:cs="仿宋"/>
          <w:b/>
          <w:bCs/>
          <w:kern w:val="2"/>
          <w:sz w:val="24"/>
          <w:szCs w:val="24"/>
          <w:lang w:val="en-US" w:eastAsia="zh-CN" w:bidi="ar-SA"/>
        </w:rPr>
        <w:t>7</w:t>
      </w:r>
      <w:r>
        <w:rPr>
          <w:rFonts w:hint="eastAsia" w:ascii="仿宋" w:hAnsi="仿宋" w:eastAsia="仿宋" w:cs="仿宋"/>
          <w:b/>
          <w:bCs/>
          <w:kern w:val="2"/>
          <w:sz w:val="24"/>
          <w:szCs w:val="24"/>
          <w:lang w:val="zh-CN" w:eastAsia="zh-CN" w:bidi="ar-SA"/>
        </w:rPr>
        <w:t>、交货地点：莎车县城区及各乡镇学校（请各投标单位自行了解莎车县地貌环境，考虑运距等成本）。</w:t>
      </w:r>
    </w:p>
    <w:p w14:paraId="79842BB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8</w:t>
      </w:r>
      <w:r>
        <w:rPr>
          <w:rFonts w:hint="eastAsia" w:ascii="仿宋" w:hAnsi="仿宋" w:eastAsia="仿宋" w:cs="仿宋"/>
          <w:b/>
          <w:bCs/>
          <w:kern w:val="2"/>
          <w:sz w:val="24"/>
          <w:szCs w:val="24"/>
          <w:lang w:val="zh-CN" w:eastAsia="zh-CN" w:bidi="ar-SA"/>
        </w:rPr>
        <w:t>、</w:t>
      </w:r>
      <w:r>
        <w:rPr>
          <w:rFonts w:hint="eastAsia" w:ascii="仿宋" w:hAnsi="仿宋" w:eastAsia="仿宋" w:cs="仿宋"/>
          <w:b/>
          <w:bCs/>
          <w:kern w:val="2"/>
          <w:sz w:val="24"/>
          <w:szCs w:val="24"/>
          <w:lang w:val="en-US" w:eastAsia="zh-CN" w:bidi="ar-SA"/>
        </w:rPr>
        <w:t>安装</w:t>
      </w:r>
      <w:r>
        <w:rPr>
          <w:rFonts w:hint="eastAsia" w:ascii="仿宋" w:hAnsi="仿宋" w:eastAsia="仿宋" w:cs="仿宋"/>
          <w:b/>
          <w:bCs/>
          <w:kern w:val="2"/>
          <w:sz w:val="24"/>
          <w:szCs w:val="24"/>
          <w:lang w:val="zh-CN" w:eastAsia="zh-CN" w:bidi="ar-SA"/>
        </w:rPr>
        <w:t>要求：</w:t>
      </w:r>
      <w:r>
        <w:rPr>
          <w:rFonts w:hint="eastAsia" w:ascii="仿宋" w:hAnsi="仿宋" w:eastAsia="仿宋" w:cs="仿宋"/>
          <w:b/>
          <w:bCs/>
          <w:kern w:val="2"/>
          <w:sz w:val="24"/>
          <w:szCs w:val="24"/>
          <w:lang w:val="en-US" w:eastAsia="zh-CN" w:bidi="ar-SA"/>
        </w:rPr>
        <w:t>（1）各投标商须合理估算本次项目所有（50所）学校教室旧灯拆除(如有），线路布置、线槽铺设、原灯孔填补修复、新灯安装等所需的所有施工及施工材料一次性报入投标总价中，采购人不再支付其他费用。</w:t>
      </w:r>
    </w:p>
    <w:p w14:paraId="1ECD825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2）采购内容包括：旧灯拆卸、线路布置、线槽预铺、原孔填补、新灯安装、照明照度调试等（包含不限于以上）。中标供应商设备安装前，供应商必须进行实地勘察（50所）学校，安装护眼灯所需的所有配件、线、开关（包含不限于以上）中标商提供,8月20日之前完成施工，9月15日之前完成验收。</w:t>
      </w:r>
    </w:p>
    <w:p w14:paraId="5D72705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3）安装标准：国际铜芯电缆：灯具配线严禁外露，引向各灯具的导线芯为BV2.5,国际无氧铜丝，抗拉耐磨，抗拉耐磨，防水防冻，外护套采用PVC绝缘材质，安全阻燃，无刺鼻气味，外护套采用PVC绝缘材料，安全阻燃，无刺鼻气味.导线标准应符合GB/T5023要求。（实质性响应）</w:t>
      </w:r>
    </w:p>
    <w:p w14:paraId="6C4C58E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（4）安装要求：符合GB7793-2010、GB40070-2021、DB65/T4622-2022。（实质性响应）</w:t>
      </w:r>
    </w:p>
    <w:p w14:paraId="775B767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（5）灯具验收：严格按照政府采购相关法律法规要求进行验收（符合新疆中小学教室照明验收,《中小学教室照明技术规范》DB65/T4622/2022）。（实质性响应）</w:t>
      </w:r>
    </w:p>
    <w:p w14:paraId="4A4184D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FF0000"/>
          <w:kern w:val="2"/>
          <w:sz w:val="24"/>
          <w:szCs w:val="24"/>
          <w:lang w:val="en-US" w:eastAsia="zh-CN" w:bidi="ar-SA"/>
        </w:rPr>
      </w:pPr>
      <w:r>
        <w:rPr>
          <w:rFonts w:hint="eastAsia" w:ascii="仿宋" w:hAnsi="仿宋" w:eastAsia="仿宋" w:cs="仿宋"/>
          <w:b/>
          <w:bCs/>
          <w:color w:val="FF0000"/>
          <w:kern w:val="2"/>
          <w:sz w:val="24"/>
          <w:szCs w:val="24"/>
          <w:lang w:val="en-US" w:eastAsia="zh-CN" w:bidi="ar-SA"/>
        </w:rPr>
        <w:t>（6）故障响应时间：维修人员到场不超过故障申报4小时，7个小时内解决问题。</w:t>
      </w:r>
    </w:p>
    <w:p w14:paraId="63B8012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（7）产品质量保证期：自安装验收完成日起，3年质保。质保期内，免费更换和维修损坏的灯具、线路和开关。</w:t>
      </w:r>
    </w:p>
    <w:p w14:paraId="7E0F1E4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（8）甲方有权要求中标商提供上述技术标准鉴定报告。</w:t>
      </w:r>
    </w:p>
    <w:p w14:paraId="7E2687B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（9）本项目为“交钥匙”项目，所有设施设备安装、调试、施工、辅材等费用均由中标方承担，除项目本身费用外，不再产生其他费用。</w:t>
      </w:r>
    </w:p>
    <w:p w14:paraId="62F8A2C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9、售后服务：</w:t>
      </w:r>
    </w:p>
    <w:p w14:paraId="3F1903A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（1）所投产品须是全新产品，各项参数均与招标文件描述一致，如若出现数据偏差要根据甲方实际需求及现场情况进行安装，保证货物能正常使用。</w:t>
      </w:r>
    </w:p>
    <w:p w14:paraId="220260D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（2）质保期内，投标人应提供热线7*24小时的技术支持服务；质保期后，按照合同约定提供技术支持服务。</w:t>
      </w:r>
    </w:p>
    <w:p w14:paraId="4F55325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3）在设备交付使用后，中标公司应对设备质保期内及其投标文件中做出的承诺，具有切实可行的措施。供应商维修人员须具有一定专业技术水平的人员，并具有供应商的法人授权委托和有关主管部门颁发的资质证书。</w:t>
      </w:r>
    </w:p>
    <w:p w14:paraId="35BEDF8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（4）由中标公司或由中标公司授权的安装维保产品，在采购人正常管理使用下，产品质量保修期为质检验收合格之日起</w:t>
      </w:r>
      <w:r>
        <w:rPr>
          <w:rFonts w:hint="eastAsia" w:ascii="仿宋" w:hAnsi="仿宋" w:eastAsia="仿宋" w:cs="仿宋"/>
          <w:b/>
          <w:bCs/>
          <w:color w:val="FF0000"/>
          <w:kern w:val="2"/>
          <w:sz w:val="24"/>
          <w:szCs w:val="24"/>
          <w:lang w:val="en-US" w:eastAsia="zh-CN" w:bidi="ar-SA"/>
        </w:rPr>
        <w:t>3年，接到采购人维修服务通知后在7小时内到达现场处理故障。</w:t>
      </w:r>
      <w:r>
        <w:rPr>
          <w:rFonts w:hint="eastAsia" w:ascii="仿宋" w:hAnsi="仿宋" w:eastAsia="仿宋" w:cs="仿宋"/>
          <w:b/>
          <w:bCs/>
          <w:kern w:val="2"/>
          <w:sz w:val="24"/>
          <w:szCs w:val="24"/>
          <w:lang w:val="en-US" w:eastAsia="zh-CN" w:bidi="ar-SA"/>
        </w:rPr>
        <w:t>质保维保期内不向甲方收取任何维修费用（耗材另算），有相关产品易损件的配套备品储备。</w:t>
      </w:r>
    </w:p>
    <w:p w14:paraId="12524610">
      <w:pPr>
        <w:keepNext w:val="0"/>
        <w:keepLines w:val="0"/>
        <w:pageBreakBefore w:val="0"/>
        <w:kinsoku/>
        <w:wordWrap/>
        <w:overflowPunct/>
        <w:topLinePunct w:val="0"/>
        <w:autoSpaceDE w:val="0"/>
        <w:autoSpaceDN w:val="0"/>
        <w:bidi w:val="0"/>
        <w:snapToGrid/>
        <w:spacing w:line="360" w:lineRule="auto"/>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10</w:t>
      </w:r>
      <w:r>
        <w:rPr>
          <w:rFonts w:hint="eastAsia" w:ascii="仿宋" w:hAnsi="仿宋" w:eastAsia="仿宋" w:cs="仿宋"/>
          <w:b/>
          <w:bCs/>
          <w:kern w:val="2"/>
          <w:sz w:val="24"/>
          <w:szCs w:val="24"/>
          <w:lang w:val="zh-CN" w:eastAsia="zh-CN" w:bidi="ar-SA"/>
        </w:rPr>
        <w:t>、验收标准：所投产品需执行财库</w:t>
      </w:r>
      <w:r>
        <w:rPr>
          <w:rFonts w:hint="eastAsia" w:ascii="仿宋" w:hAnsi="仿宋" w:eastAsia="仿宋" w:cs="仿宋"/>
          <w:b/>
          <w:bCs/>
          <w:kern w:val="2"/>
          <w:sz w:val="24"/>
          <w:szCs w:val="24"/>
          <w:lang w:val="en-US" w:eastAsia="zh-CN" w:bidi="ar-SA"/>
        </w:rPr>
        <w:t>[2016]205号，甲方应当依法组织履约验收工作，完整细化验收方案，明确验收方式、时间、程序等内容。应当邀请实际使用人参与验收，甲方也可邀请第三方专业机构进行验收，并出具验收人员名单及意见，验收时严格按照采购合同对每项技术、安全标准的情况进行验收，并出具验收报告，验收结果报告由参与验收所有人员共同签署并存档。验收合格后，甲方根据采购合同支付采购资金，并报送本级财政部门。</w:t>
      </w:r>
    </w:p>
    <w:p w14:paraId="1CA4203E">
      <w:pPr>
        <w:pStyle w:val="112"/>
        <w:keepNext w:val="0"/>
        <w:keepLines w:val="0"/>
        <w:pageBreakBefore w:val="0"/>
        <w:kinsoku/>
        <w:wordWrap/>
        <w:overflowPunct/>
        <w:topLinePunct w:val="0"/>
        <w:bidi w:val="0"/>
        <w:snapToGrid/>
        <w:spacing w:line="360" w:lineRule="auto"/>
        <w:ind w:left="0" w:leftChars="0" w:firstLine="0" w:firstLineChars="0"/>
        <w:textAlignment w:val="auto"/>
        <w:rPr>
          <w:rFonts w:hint="eastAsia" w:ascii="仿宋" w:hAnsi="仿宋" w:eastAsia="仿宋" w:cs="仿宋"/>
          <w:b/>
          <w:bCs/>
          <w:kern w:val="2"/>
          <w:sz w:val="24"/>
          <w:szCs w:val="24"/>
          <w:lang w:val="en-US" w:eastAsia="zh-CN" w:bidi="ar-SA"/>
        </w:rPr>
        <w:sectPr>
          <w:pgSz w:w="11910" w:h="16840"/>
          <w:pgMar w:top="1440" w:right="1797" w:bottom="1440" w:left="1797" w:header="0" w:footer="913" w:gutter="0"/>
          <w:pgBorders>
            <w:top w:val="none" w:sz="0" w:space="0"/>
            <w:left w:val="none" w:sz="0" w:space="0"/>
            <w:bottom w:val="none" w:sz="0" w:space="0"/>
            <w:right w:val="none" w:sz="0" w:space="0"/>
          </w:pgBorders>
          <w:pgNumType w:fmt="decimal"/>
          <w:cols w:space="720" w:num="1"/>
        </w:sectPr>
      </w:pPr>
      <w:r>
        <w:rPr>
          <w:rFonts w:hint="eastAsia" w:ascii="仿宋" w:hAnsi="仿宋" w:eastAsia="仿宋" w:cs="仿宋"/>
          <w:b/>
          <w:bCs/>
          <w:kern w:val="2"/>
          <w:sz w:val="24"/>
          <w:szCs w:val="24"/>
          <w:lang w:val="zh-CN" w:eastAsia="zh-CN" w:bidi="ar-SA"/>
        </w:rPr>
        <w:t>验收单位：莎车县</w:t>
      </w:r>
      <w:r>
        <w:rPr>
          <w:rFonts w:hint="eastAsia" w:ascii="仿宋" w:hAnsi="仿宋" w:eastAsia="仿宋" w:cs="仿宋"/>
          <w:b/>
          <w:bCs/>
          <w:kern w:val="2"/>
          <w:sz w:val="24"/>
          <w:szCs w:val="24"/>
          <w:lang w:val="en-US" w:eastAsia="zh-CN" w:bidi="ar-SA"/>
        </w:rPr>
        <w:t>教育局</w:t>
      </w:r>
      <w:r>
        <w:rPr>
          <w:rFonts w:hint="eastAsia" w:ascii="仿宋" w:hAnsi="仿宋" w:eastAsia="仿宋" w:cs="仿宋"/>
          <w:b/>
          <w:bCs/>
          <w:kern w:val="2"/>
          <w:sz w:val="24"/>
          <w:szCs w:val="24"/>
          <w:lang w:val="zh-CN" w:eastAsia="zh-CN" w:bidi="ar-SA"/>
        </w:rPr>
        <w:t>及中标单位、未中标单位、相关专家。</w:t>
      </w:r>
    </w:p>
    <w:p w14:paraId="37079DBE">
      <w:pPr>
        <w:spacing w:before="134" w:line="377" w:lineRule="auto"/>
        <w:ind w:right="51"/>
        <w:jc w:val="center"/>
        <w:rPr>
          <w:rFonts w:hint="eastAsia" w:ascii="仿宋" w:hAnsi="仿宋" w:eastAsia="仿宋" w:cs="仿宋"/>
          <w:b/>
          <w:color w:val="auto"/>
          <w:kern w:val="44"/>
          <w:sz w:val="32"/>
          <w:szCs w:val="20"/>
          <w:highlight w:val="none"/>
          <w:lang w:val="en-US" w:eastAsia="zh-CN" w:bidi="ar-SA"/>
        </w:rPr>
      </w:pPr>
      <w:r>
        <w:rPr>
          <w:rStyle w:val="48"/>
          <w:rFonts w:hint="eastAsia" w:ascii="仿宋" w:hAnsi="仿宋" w:eastAsia="仿宋" w:cs="仿宋"/>
          <w:lang w:val="en-US" w:eastAsia="zh-CN"/>
        </w:rPr>
        <w:t xml:space="preserve">第6章  </w:t>
      </w:r>
      <w:bookmarkStart w:id="453" w:name="_Toc32647"/>
      <w:bookmarkStart w:id="454" w:name="_Toc515647832"/>
      <w:bookmarkStart w:id="455" w:name="_Toc7971"/>
      <w:bookmarkStart w:id="456" w:name="_Toc507399907"/>
      <w:r>
        <w:rPr>
          <w:rStyle w:val="48"/>
          <w:rFonts w:hint="eastAsia" w:ascii="仿宋" w:hAnsi="仿宋" w:eastAsia="仿宋" w:cs="仿宋"/>
          <w:lang w:val="en-US" w:eastAsia="zh-CN"/>
        </w:rPr>
        <w:t>评标方法和标准</w:t>
      </w:r>
      <w:bookmarkEnd w:id="443"/>
      <w:bookmarkEnd w:id="453"/>
      <w:bookmarkEnd w:id="454"/>
      <w:bookmarkEnd w:id="455"/>
      <w:bookmarkEnd w:id="456"/>
    </w:p>
    <w:p w14:paraId="7EC0D42E">
      <w:pPr>
        <w:pStyle w:val="12"/>
        <w:tabs>
          <w:tab w:val="clear" w:pos="567"/>
        </w:tabs>
        <w:spacing w:before="0" w:line="240" w:lineRule="auto"/>
        <w:ind w:firstLine="540" w:firstLineChars="225"/>
        <w:rPr>
          <w:rFonts w:hint="eastAsia" w:ascii="仿宋" w:hAnsi="仿宋" w:eastAsia="仿宋" w:cs="仿宋"/>
          <w:color w:val="auto"/>
          <w:sz w:val="24"/>
          <w:szCs w:val="24"/>
          <w:highlight w:val="none"/>
        </w:rPr>
      </w:pPr>
    </w:p>
    <w:p w14:paraId="50B54496">
      <w:pPr>
        <w:pStyle w:val="12"/>
        <w:tabs>
          <w:tab w:val="clear" w:pos="567"/>
        </w:tabs>
        <w:spacing w:before="0" w:line="240" w:lineRule="auto"/>
        <w:ind w:firstLine="540" w:firstLineChars="22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本项目将按照招标文件第一章投标人须知中“五 开标及评标”、“六 确定中标”及本章的规定评标。</w:t>
      </w:r>
    </w:p>
    <w:p w14:paraId="74C5EB9E">
      <w:pPr>
        <w:pStyle w:val="94"/>
        <w:numPr>
          <w:ilvl w:val="1"/>
          <w:numId w:val="11"/>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rPr>
      </w:pPr>
      <w:bookmarkStart w:id="457" w:name="_Toc27505"/>
      <w:r>
        <w:rPr>
          <w:rFonts w:hint="eastAsia" w:ascii="仿宋" w:hAnsi="仿宋" w:eastAsia="仿宋" w:cs="仿宋"/>
          <w:color w:val="auto"/>
          <w:sz w:val="24"/>
          <w:szCs w:val="24"/>
          <w:highlight w:val="none"/>
        </w:rPr>
        <w:t>总则</w:t>
      </w:r>
      <w:bookmarkEnd w:id="457"/>
    </w:p>
    <w:p w14:paraId="5F5AB027">
      <w:pPr>
        <w:pStyle w:val="12"/>
        <w:spacing w:before="11" w:line="240" w:lineRule="auto"/>
        <w:rPr>
          <w:rFonts w:hint="eastAsia" w:ascii="仿宋" w:hAnsi="仿宋" w:eastAsia="仿宋" w:cs="仿宋"/>
          <w:b/>
          <w:color w:val="auto"/>
          <w:sz w:val="24"/>
          <w:szCs w:val="24"/>
          <w:highlight w:val="none"/>
        </w:rPr>
      </w:pPr>
    </w:p>
    <w:p w14:paraId="30F710F9">
      <w:pPr>
        <w:pStyle w:val="88"/>
        <w:numPr>
          <w:ilvl w:val="2"/>
          <w:numId w:val="11"/>
        </w:numPr>
        <w:spacing w:line="240" w:lineRule="auto"/>
        <w:ind w:left="521" w:leftChars="0" w:hanging="1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根据《中华人民共和国政府采购法》和《政府采购货物和服务招标投标管理办法》（财政部第 </w:t>
      </w:r>
      <w:r>
        <w:rPr>
          <w:rFonts w:hint="eastAsia" w:ascii="仿宋" w:hAnsi="仿宋" w:eastAsia="仿宋" w:cs="仿宋"/>
          <w:color w:val="auto"/>
          <w:sz w:val="24"/>
          <w:szCs w:val="24"/>
          <w:highlight w:val="none"/>
          <w:lang w:val="en-US" w:eastAsia="zh-CN"/>
        </w:rPr>
        <w:t>87</w:t>
      </w:r>
      <w:r>
        <w:rPr>
          <w:rFonts w:hint="eastAsia" w:ascii="仿宋" w:hAnsi="仿宋" w:eastAsia="仿宋" w:cs="仿宋"/>
          <w:color w:val="auto"/>
          <w:sz w:val="24"/>
          <w:szCs w:val="24"/>
          <w:highlight w:val="none"/>
        </w:rPr>
        <w:t xml:space="preserve"> 号令）等法律规章，结合采购项目特点制定本评标办法。</w:t>
      </w:r>
    </w:p>
    <w:p w14:paraId="365D2002">
      <w:pPr>
        <w:pStyle w:val="88"/>
        <w:numPr>
          <w:ilvl w:val="2"/>
          <w:numId w:val="11"/>
        </w:numPr>
        <w:spacing w:line="240" w:lineRule="auto"/>
        <w:ind w:left="521" w:leftChars="0" w:hanging="1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评标工作由招标代理机构负责组织，具体评标事务由招标代理机构依法组建的评标委员会负责。评标委员会由采购人代表和有关技术、经济等方面的专家组成；</w:t>
      </w:r>
    </w:p>
    <w:p w14:paraId="667310D3">
      <w:pPr>
        <w:pStyle w:val="88"/>
        <w:numPr>
          <w:ilvl w:val="2"/>
          <w:numId w:val="11"/>
        </w:numPr>
        <w:spacing w:line="240" w:lineRule="auto"/>
        <w:ind w:left="521" w:leftChars="0" w:hanging="1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评标工作应遵循公平、公正、科学及择优的原则，并以相同的评标程序和标准对待所有的投标人；</w:t>
      </w:r>
    </w:p>
    <w:p w14:paraId="26C5586D">
      <w:pPr>
        <w:pStyle w:val="88"/>
        <w:numPr>
          <w:ilvl w:val="2"/>
          <w:numId w:val="11"/>
        </w:numPr>
        <w:spacing w:line="240" w:lineRule="auto"/>
        <w:ind w:left="521" w:leftChars="0" w:hanging="1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评标委员会按照招标文件规定的评标方法和标准进行评标，并独立履行下列职责：</w:t>
      </w:r>
    </w:p>
    <w:p w14:paraId="2767E582">
      <w:pPr>
        <w:pStyle w:val="88"/>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1.4.1</w:t>
      </w:r>
      <w:r>
        <w:rPr>
          <w:rFonts w:hint="eastAsia" w:ascii="仿宋" w:hAnsi="仿宋" w:eastAsia="仿宋" w:cs="仿宋"/>
          <w:color w:val="auto"/>
          <w:sz w:val="24"/>
          <w:szCs w:val="24"/>
          <w:highlight w:val="none"/>
        </w:rPr>
        <w:t>审查投标文件是否符合招标文件要求，并做出评价；</w:t>
      </w:r>
    </w:p>
    <w:p w14:paraId="5A89BF06">
      <w:pPr>
        <w:pStyle w:val="88"/>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1.4.2</w:t>
      </w:r>
      <w:r>
        <w:rPr>
          <w:rFonts w:hint="eastAsia" w:ascii="仿宋" w:hAnsi="仿宋" w:eastAsia="仿宋" w:cs="仿宋"/>
          <w:color w:val="auto"/>
          <w:sz w:val="24"/>
          <w:szCs w:val="24"/>
          <w:highlight w:val="none"/>
        </w:rPr>
        <w:t>要求投标供应商对投标文件有关事项做出解释或者澄清；</w:t>
      </w:r>
    </w:p>
    <w:p w14:paraId="154126F4">
      <w:pPr>
        <w:pStyle w:val="88"/>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1.4.3</w:t>
      </w:r>
      <w:r>
        <w:rPr>
          <w:rFonts w:hint="eastAsia" w:ascii="仿宋" w:hAnsi="仿宋" w:eastAsia="仿宋" w:cs="仿宋"/>
          <w:color w:val="auto"/>
          <w:sz w:val="24"/>
          <w:szCs w:val="24"/>
          <w:highlight w:val="none"/>
        </w:rPr>
        <w:t>推荐中标候选供应商名单，或者受采购人委托按照事先确定的办法直接确定中标供应商；</w:t>
      </w:r>
    </w:p>
    <w:p w14:paraId="37FA68E0">
      <w:pPr>
        <w:pStyle w:val="88"/>
        <w:numPr>
          <w:ilvl w:val="2"/>
          <w:numId w:val="11"/>
        </w:numPr>
        <w:spacing w:line="240" w:lineRule="auto"/>
        <w:ind w:left="521" w:leftChars="0" w:hanging="1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向招标采购单位或者有关部门报告非法干预评标工作的行为。</w:t>
      </w:r>
    </w:p>
    <w:p w14:paraId="16962515">
      <w:pPr>
        <w:pStyle w:val="94"/>
        <w:numPr>
          <w:ilvl w:val="1"/>
          <w:numId w:val="11"/>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lang w:val="en-US" w:eastAsia="zh-CN"/>
        </w:rPr>
      </w:pPr>
      <w:bookmarkStart w:id="458" w:name="_Toc9875"/>
      <w:r>
        <w:rPr>
          <w:rFonts w:hint="eastAsia" w:ascii="仿宋" w:hAnsi="仿宋" w:eastAsia="仿宋" w:cs="仿宋"/>
          <w:color w:val="auto"/>
          <w:sz w:val="24"/>
          <w:szCs w:val="24"/>
          <w:highlight w:val="none"/>
          <w:lang w:val="en-US" w:eastAsia="zh-CN"/>
        </w:rPr>
        <w:t>开标程序</w:t>
      </w:r>
      <w:bookmarkEnd w:id="458"/>
    </w:p>
    <w:p w14:paraId="74EBDCF3">
      <w:pPr>
        <w:pStyle w:val="88"/>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采购人和采购代理机构将按</w:t>
      </w:r>
      <w:r>
        <w:rPr>
          <w:rFonts w:hint="eastAsia" w:ascii="仿宋" w:hAnsi="仿宋" w:eastAsia="仿宋" w:cs="仿宋"/>
          <w:color w:val="auto"/>
          <w:sz w:val="24"/>
          <w:szCs w:val="24"/>
          <w:highlight w:val="none"/>
          <w:u w:val="single"/>
        </w:rPr>
        <w:t>投标人须知资料表</w:t>
      </w:r>
      <w:r>
        <w:rPr>
          <w:rFonts w:hint="eastAsia" w:ascii="仿宋" w:hAnsi="仿宋" w:eastAsia="仿宋" w:cs="仿宋"/>
          <w:color w:val="auto"/>
          <w:sz w:val="24"/>
          <w:szCs w:val="24"/>
          <w:highlight w:val="none"/>
        </w:rPr>
        <w:t>中规定的开标时间和地点组织公开开标。</w:t>
      </w:r>
    </w:p>
    <w:p w14:paraId="14BA6D6B">
      <w:pPr>
        <w:pStyle w:val="88"/>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在开标前，工作人员收取所有参会人员的手机，主持人宣读开标纪律。</w:t>
      </w:r>
    </w:p>
    <w:p w14:paraId="5F2CFB2A">
      <w:pPr>
        <w:pStyle w:val="88"/>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在线签收投标文件，投标人不足3家的，不得开标。</w:t>
      </w:r>
    </w:p>
    <w:p w14:paraId="335A4B56">
      <w:pPr>
        <w:pStyle w:val="88"/>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投标人解密投标文件，解密时长为30分钟，供应商应使用与加密时使用的同一把CA锁进行解密操作，如出现非供应商自身原因造成的无法解密，</w:t>
      </w:r>
      <w:r>
        <w:rPr>
          <w:rFonts w:hint="eastAsia" w:ascii="仿宋" w:hAnsi="仿宋" w:eastAsia="仿宋" w:cs="仿宋"/>
          <w:color w:val="auto"/>
          <w:sz w:val="24"/>
          <w:szCs w:val="24"/>
          <w:highlight w:val="none"/>
          <w:lang w:eastAsia="zh-CN"/>
        </w:rPr>
        <w:t>由</w:t>
      </w:r>
      <w:r>
        <w:rPr>
          <w:rFonts w:hint="eastAsia" w:ascii="仿宋" w:hAnsi="仿宋" w:eastAsia="仿宋" w:cs="仿宋"/>
          <w:color w:val="auto"/>
          <w:sz w:val="24"/>
          <w:szCs w:val="24"/>
          <w:highlight w:val="none"/>
        </w:rPr>
        <w:t>采购代理机构使用备用投标文件进行解密操作。</w:t>
      </w:r>
    </w:p>
    <w:p w14:paraId="675C584A">
      <w:pPr>
        <w:pStyle w:val="88"/>
        <w:numPr>
          <w:ilvl w:val="0"/>
          <w:numId w:val="0"/>
        </w:numPr>
        <w:spacing w:line="24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组织评审委员会选定评审委员会主任，并宣读评标会纪律，对评标委员会进行通讯工具管制及宣读相关法律法规。</w:t>
      </w:r>
    </w:p>
    <w:p w14:paraId="704299A4">
      <w:pPr>
        <w:pStyle w:val="88"/>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）由代理公司工作人员开启报价文件并由供应商代表在线CA签字确认，报价确认时段限制为10分钟，由评审委员会进行报价评审及政策价格认定。</w:t>
      </w:r>
    </w:p>
    <w:p w14:paraId="1E834ED9">
      <w:pPr>
        <w:pStyle w:val="88"/>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）采购人或采购代理机构将对开标过程进行记录，由参加开标的各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代表和相关工作人员签字确认，并存档备查。</w:t>
      </w:r>
    </w:p>
    <w:p w14:paraId="07FB84D8">
      <w:pPr>
        <w:pStyle w:val="88"/>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代表对开标过程和开标记录有疑义，以及认为采购人、采购代理机构相关工作人员有需要回避的情形的，应当场提出询问或者回避申请。投标人未参加开标的，视同认可开标结果。</w:t>
      </w:r>
    </w:p>
    <w:p w14:paraId="0323317D">
      <w:pPr>
        <w:pStyle w:val="94"/>
        <w:numPr>
          <w:ilvl w:val="1"/>
          <w:numId w:val="11"/>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rPr>
      </w:pPr>
      <w:bookmarkStart w:id="459" w:name="_Toc10911"/>
      <w:r>
        <w:rPr>
          <w:rFonts w:hint="eastAsia" w:ascii="仿宋" w:hAnsi="仿宋" w:eastAsia="仿宋" w:cs="仿宋"/>
          <w:color w:val="auto"/>
          <w:sz w:val="24"/>
          <w:szCs w:val="24"/>
          <w:highlight w:val="none"/>
        </w:rPr>
        <w:t>评标</w:t>
      </w:r>
      <w:r>
        <w:rPr>
          <w:rFonts w:hint="eastAsia" w:ascii="仿宋" w:hAnsi="仿宋" w:eastAsia="仿宋" w:cs="仿宋"/>
          <w:color w:val="auto"/>
          <w:sz w:val="24"/>
          <w:szCs w:val="24"/>
          <w:highlight w:val="none"/>
          <w:lang w:eastAsia="zh-CN"/>
        </w:rPr>
        <w:t>程序</w:t>
      </w:r>
      <w:bookmarkEnd w:id="459"/>
    </w:p>
    <w:p w14:paraId="6721FC8A">
      <w:pPr>
        <w:pStyle w:val="88"/>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（1）在政采云平台上随机抽取</w:t>
      </w:r>
      <w:r>
        <w:rPr>
          <w:rFonts w:hint="eastAsia" w:ascii="仿宋" w:hAnsi="仿宋" w:eastAsia="仿宋" w:cs="仿宋"/>
          <w:color w:val="auto"/>
          <w:sz w:val="24"/>
          <w:szCs w:val="24"/>
          <w:highlight w:val="none"/>
        </w:rPr>
        <w:t>评标委员会</w:t>
      </w:r>
      <w:r>
        <w:rPr>
          <w:rFonts w:hint="eastAsia" w:ascii="仿宋" w:hAnsi="仿宋" w:eastAsia="仿宋" w:cs="仿宋"/>
          <w:color w:val="auto"/>
          <w:sz w:val="24"/>
          <w:szCs w:val="24"/>
          <w:highlight w:val="none"/>
          <w:lang w:eastAsia="zh-CN"/>
        </w:rPr>
        <w:t>成员，</w:t>
      </w:r>
      <w:r>
        <w:rPr>
          <w:rFonts w:hint="eastAsia" w:ascii="仿宋" w:hAnsi="仿宋" w:eastAsia="仿宋" w:cs="仿宋"/>
          <w:color w:val="auto"/>
          <w:sz w:val="24"/>
          <w:szCs w:val="24"/>
          <w:highlight w:val="none"/>
        </w:rPr>
        <w:t>负责评标工作。</w:t>
      </w:r>
    </w:p>
    <w:p w14:paraId="47883101">
      <w:pPr>
        <w:pStyle w:val="88"/>
        <w:numPr>
          <w:ilvl w:val="0"/>
          <w:numId w:val="0"/>
        </w:numPr>
        <w:spacing w:line="240" w:lineRule="auto"/>
        <w:ind w:left="420" w:left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（2）评标前，</w:t>
      </w:r>
      <w:r>
        <w:rPr>
          <w:rFonts w:hint="eastAsia" w:ascii="仿宋" w:hAnsi="仿宋" w:eastAsia="仿宋" w:cs="仿宋"/>
          <w:color w:val="auto"/>
          <w:sz w:val="24"/>
          <w:szCs w:val="24"/>
          <w:highlight w:val="none"/>
          <w:lang w:val="en-US" w:eastAsia="zh-CN"/>
        </w:rPr>
        <w:t>核对评审专家身份和采购人代表授权函，采购人和采购代理机构将对评审专家在政府采购活动中职责履行情况予以记录，并及时将有关违法违规行为向财政部门报告。</w:t>
      </w:r>
    </w:p>
    <w:p w14:paraId="639279D2">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（3）通讯工具管理：专家老师将通讯工具调制成静音状态，交予代理机构统一保管。</w:t>
      </w:r>
    </w:p>
    <w:p w14:paraId="0C626ECD">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（4）组织评标委员会推选评标组长，宣布评标委员会成员姓名、工作单位、职称，以举手表决的方式选取。</w:t>
      </w:r>
    </w:p>
    <w:p w14:paraId="5F5A1B4E">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（5）采购人和采购代理机构，评标委员会成员要严格遵守政府采购相关法律制度，依法履行各自职责，公正、客观、审慎地组织和参与评审工作；</w:t>
      </w:r>
    </w:p>
    <w:p w14:paraId="76CA8FE8">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（6）评审委员会成员要依法独立评审，并对评审意见承担个人责任；</w:t>
      </w:r>
    </w:p>
    <w:p w14:paraId="3CD280D8">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采购人、采购代理机构要确保评审活动在严格保密的情况下进行。评审委员会成员、采购人和采购代理机构工作人员、相关监督人员等与评审有关的人员，对评审情况以及在评审过程中获悉的国家秘密、商业秘密负有保密责任；</w:t>
      </w:r>
    </w:p>
    <w:p w14:paraId="465413E4">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（8）采购人、采购代理机构和评审委员会在评审工作中，要依法相互监督和制约，并自觉接受各级财政部门的监督；</w:t>
      </w:r>
    </w:p>
    <w:p w14:paraId="171787E0">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（9）评审委员会要根据政府采购法律法规和采购文件所载明的评审方法、标准进行评审。</w:t>
      </w:r>
    </w:p>
    <w:p w14:paraId="16F1B07B">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（10）评审专家如有以下情形，应当回避：</w:t>
      </w:r>
    </w:p>
    <w:p w14:paraId="276C3846">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1、参加采购活动前三年内，与供应商存在劳动关系，或者担任过供应商的董事、监事，或者是供应商的控股股东或者实际控制人；</w:t>
      </w:r>
    </w:p>
    <w:p w14:paraId="227F2FA2">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2、与供应商的法定代表人或者负责人有夫妻、直系血亲、三代以内旁系血亲或者近姻亲关系；</w:t>
      </w:r>
    </w:p>
    <w:p w14:paraId="512A61D2">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3、与供应商有其他可能影响政府采购活动公平、公正进行的关系。</w:t>
      </w:r>
    </w:p>
    <w:p w14:paraId="2F2117E8">
      <w:pPr>
        <w:pStyle w:val="88"/>
        <w:numPr>
          <w:ilvl w:val="0"/>
          <w:numId w:val="0"/>
        </w:numPr>
        <w:spacing w:line="240" w:lineRule="auto"/>
        <w:ind w:left="420" w:leftChars="0"/>
        <w:rPr>
          <w:rFonts w:hint="eastAsia" w:ascii="仿宋" w:hAnsi="仿宋" w:eastAsia="仿宋" w:cs="仿宋"/>
          <w:color w:val="auto"/>
          <w:sz w:val="24"/>
          <w:szCs w:val="24"/>
          <w:highlight w:val="none"/>
          <w:lang w:eastAsia="zh-CN"/>
        </w:rPr>
      </w:pPr>
    </w:p>
    <w:p w14:paraId="4D41A155">
      <w:pPr>
        <w:pStyle w:val="29"/>
        <w:bidi w:val="0"/>
        <w:ind w:left="0" w:leftChars="0" w:firstLine="482" w:firstLineChars="200"/>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评标专家在政府采购活动中承担以下义务：</w:t>
      </w:r>
    </w:p>
    <w:p w14:paraId="072637CD">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①遵纪守法，客观、公正、廉洁地履行职责；</w:t>
      </w:r>
    </w:p>
    <w:p w14:paraId="327D1719">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②按照政府采购法律法规和采购文件的规定要求对供应商的资格条件和供应商提供的产品价格、技术、服务等方面严格进行评判，提供科学合理、公平公正的评审意见，参与起草评审报告，并予签字确认；</w:t>
      </w:r>
    </w:p>
    <w:p w14:paraId="52B35609">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③保守秘密。不得透露采购文件咨询情况，不得泄漏供应商的投标文件及知悉的商业秘密，不得向供应商透露评审情况；</w:t>
      </w:r>
    </w:p>
    <w:p w14:paraId="7153A45C">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④发现供应商在政府采购活动中有不正当竞争或恶意串通等违规行为，及时向政府采购评审工作的组织者或行政监管部门报告并加以制止；</w:t>
      </w:r>
    </w:p>
    <w:p w14:paraId="5260C749">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⑤发现采购人、招标代理机构及其工作人员在政府采购活动中有干预评审、发表倾向性和歧视性言论、受贿或者接受供应商的其他好处及其他违法违规行为，及时向行政监管部门报告；</w:t>
      </w:r>
    </w:p>
    <w:p w14:paraId="39D5F627">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⑥解答有关方面对政府采购评审工作中有关问题的询问，配合采购人或者招标代理机构答复供应商质疑，配合行政监管部门的投诉处理工作等事宜；</w:t>
      </w:r>
    </w:p>
    <w:p w14:paraId="440F345C">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⑦法律、法规和规章规定的其他义务。</w:t>
      </w:r>
    </w:p>
    <w:p w14:paraId="3BA72056">
      <w:pPr>
        <w:pStyle w:val="14"/>
        <w:bidi w:val="0"/>
        <w:rPr>
          <w:rFonts w:hint="eastAsia" w:ascii="仿宋" w:hAnsi="仿宋" w:eastAsia="仿宋" w:cs="仿宋"/>
          <w:b/>
          <w:bCs/>
          <w:color w:val="auto"/>
          <w:highlight w:val="none"/>
        </w:rPr>
      </w:pPr>
      <w:r>
        <w:rPr>
          <w:rFonts w:hint="eastAsia" w:ascii="仿宋" w:hAnsi="仿宋" w:eastAsia="仿宋" w:cs="仿宋"/>
          <w:b/>
          <w:bCs/>
          <w:color w:val="auto"/>
          <w:highlight w:val="none"/>
        </w:rPr>
        <w:t>评审专家在政府采购活动中应当遵守以下工作纪律：</w:t>
      </w:r>
    </w:p>
    <w:p w14:paraId="0854870D">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①应邀按时参加评审和咨询活动。遇特殊情况不能出席或途中遇阻不能按时参加评审或咨询的，应及时告知采购人或者招标代理机构，不得私自转托他人；</w:t>
      </w:r>
    </w:p>
    <w:p w14:paraId="74654E7D">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不得参加与自己有利害关系的政府采购项目的评审活动。对与自己有利害关系的评审项目，如受到邀请，应主动提出回避。行政监管部门、采购人或招标代理机构也可要求该评审专家回避；有利害关系主要是指三年内曾在参加该采购项目供应商中任职(包括一般工作) 或担任顾问，配偶或直系亲属在参加该采购项目的供应商中任职或担任顾问，与参加该采购项目供应商发生过法律纠纷，以及其他可能影响公正评审的情况；</w:t>
      </w:r>
    </w:p>
    <w:p w14:paraId="1355153F">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③评审或咨询过程中关闭通讯设备，不得与外界联系。因发生不可预见情况，确实需要与外界联系的，应当有在场工作人员陪同；</w:t>
      </w:r>
    </w:p>
    <w:p w14:paraId="01826FD3">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3254BB64">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⑤在咨询工作中，严格执行国家产业政策和产品标准，认真听取咨询方的合理要求， 提出科学合理的、无倾向性和歧视性的咨询方案，并对所提出的意见和建议承担个人责任；</w:t>
      </w:r>
    </w:p>
    <w:p w14:paraId="025E8BA5">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⑥法律、法规和规章规定的其他评审工作纪律。</w:t>
      </w:r>
    </w:p>
    <w:p w14:paraId="0433923C">
      <w:pPr>
        <w:pStyle w:val="88"/>
        <w:numPr>
          <w:ilvl w:val="0"/>
          <w:numId w:val="12"/>
        </w:numPr>
        <w:spacing w:line="240" w:lineRule="auto"/>
        <w:ind w:left="1080" w:leftChars="257" w:hanging="540" w:firstLineChars="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澄清和答疑：</w:t>
      </w:r>
    </w:p>
    <w:p w14:paraId="560DEC7F">
      <w:pPr>
        <w:pStyle w:val="88"/>
        <w:numPr>
          <w:ilvl w:val="0"/>
          <w:numId w:val="0"/>
        </w:numPr>
        <w:spacing w:line="240" w:lineRule="auto"/>
        <w:ind w:left="420" w:left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①</w:t>
      </w:r>
      <w:r>
        <w:rPr>
          <w:rFonts w:hint="eastAsia" w:ascii="仿宋" w:hAnsi="仿宋" w:eastAsia="仿宋" w:cs="仿宋"/>
          <w:color w:val="auto"/>
          <w:sz w:val="24"/>
          <w:szCs w:val="24"/>
          <w:highlight w:val="none"/>
          <w:lang w:eastAsia="zh-CN"/>
        </w:rPr>
        <w:t>为有助于对投标文件进行审查、评估和比较，评标委员会将对认为需要（不是所有）的投标人进行询标，请投标人澄清其投标内容，投标人有责任按照招标方通知的时间、方式指派专人进行答疑和澄清。投标人代表应在评标会结束前保持政采云及腾讯群在线，以便能及时的接受在线询标，询标时投标人代表应作书面记录，并对询问答疑的内容做出在线书面答复。</w:t>
      </w:r>
    </w:p>
    <w:p w14:paraId="0EAD9DD6">
      <w:pPr>
        <w:pStyle w:val="88"/>
        <w:numPr>
          <w:ilvl w:val="0"/>
          <w:numId w:val="0"/>
        </w:numPr>
        <w:spacing w:line="240" w:lineRule="auto"/>
        <w:ind w:left="420" w:leftChars="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②</w:t>
      </w:r>
      <w:r>
        <w:rPr>
          <w:rFonts w:hint="eastAsia" w:ascii="仿宋" w:hAnsi="仿宋" w:eastAsia="仿宋" w:cs="仿宋"/>
          <w:color w:val="auto"/>
          <w:sz w:val="24"/>
          <w:szCs w:val="24"/>
          <w:highlight w:val="none"/>
          <w:lang w:eastAsia="zh-CN"/>
        </w:rPr>
        <w:t>重要澄清的答复应是书面的，澄清答复不得对投标的价格、技术指标和参数等内容进行实质性修改。澄清文件须由投标人法定代表人或法人授权代表签字或加盖投标人公章后上传或者在线电子签章签字并作为投标文件的组成部分。</w:t>
      </w:r>
    </w:p>
    <w:p w14:paraId="6D8D1CD0">
      <w:pPr>
        <w:pStyle w:val="88"/>
        <w:numPr>
          <w:ilvl w:val="0"/>
          <w:numId w:val="0"/>
        </w:numPr>
        <w:spacing w:line="240" w:lineRule="auto"/>
        <w:ind w:left="420" w:left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③</w:t>
      </w:r>
      <w:r>
        <w:rPr>
          <w:rFonts w:hint="eastAsia" w:ascii="仿宋" w:hAnsi="仿宋" w:eastAsia="仿宋" w:cs="仿宋"/>
          <w:color w:val="auto"/>
          <w:sz w:val="24"/>
          <w:szCs w:val="24"/>
          <w:highlight w:val="none"/>
          <w:lang w:eastAsia="zh-CN"/>
        </w:rPr>
        <w:t>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14:paraId="6E2A6EB9">
      <w:pPr>
        <w:pStyle w:val="88"/>
        <w:numPr>
          <w:ilvl w:val="0"/>
          <w:numId w:val="0"/>
        </w:numPr>
        <w:spacing w:line="240" w:lineRule="auto"/>
        <w:ind w:left="420" w:left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④供应商提出的询问或者质疑超出采购人对采购代理机构委托授权范围的，采购代理机构应当告知供应商向采购人提出。</w:t>
      </w:r>
    </w:p>
    <w:p w14:paraId="5224D3CD">
      <w:pPr>
        <w:pStyle w:val="88"/>
        <w:numPr>
          <w:ilvl w:val="0"/>
          <w:numId w:val="0"/>
        </w:numPr>
        <w:spacing w:line="240" w:lineRule="auto"/>
        <w:ind w:left="420" w:leftChars="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b/>
          <w:bCs/>
          <w:color w:val="auto"/>
          <w:kern w:val="2"/>
          <w:sz w:val="24"/>
          <w:szCs w:val="24"/>
          <w:highlight w:val="none"/>
          <w:lang w:val="en-US" w:eastAsia="zh-CN" w:bidi="ar-SA"/>
        </w:rPr>
        <w:t>计算错误的修改</w:t>
      </w:r>
    </w:p>
    <w:p w14:paraId="57A19011">
      <w:pPr>
        <w:pStyle w:val="88"/>
        <w:numPr>
          <w:ilvl w:val="0"/>
          <w:numId w:val="0"/>
        </w:numPr>
        <w:tabs>
          <w:tab w:val="left" w:pos="1473"/>
        </w:tabs>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投标文件中如果出现计算上或累加上的算术错误，可按以下原则进行修改：</w:t>
      </w:r>
    </w:p>
    <w:p w14:paraId="1E294421">
      <w:pPr>
        <w:pStyle w:val="88"/>
        <w:numPr>
          <w:ilvl w:val="0"/>
          <w:numId w:val="13"/>
        </w:numPr>
        <w:tabs>
          <w:tab w:val="left" w:pos="1654"/>
        </w:tabs>
        <w:spacing w:before="1"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用数字表示的金额和用文字表示的金额不一致，应以文字表示的金额为准；</w:t>
      </w:r>
    </w:p>
    <w:p w14:paraId="3EE0D6B0">
      <w:pPr>
        <w:pStyle w:val="88"/>
        <w:numPr>
          <w:ilvl w:val="0"/>
          <w:numId w:val="13"/>
        </w:numPr>
        <w:tabs>
          <w:tab w:val="left" w:pos="165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单价和数量的乘积与总价不一致时，以单价为准，并修正总价；</w:t>
      </w:r>
    </w:p>
    <w:p w14:paraId="0734601A">
      <w:pPr>
        <w:pStyle w:val="88"/>
        <w:numPr>
          <w:ilvl w:val="0"/>
          <w:numId w:val="13"/>
        </w:numPr>
        <w:tabs>
          <w:tab w:val="left" w:pos="1654"/>
        </w:tabs>
        <w:spacing w:before="1"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单价金额小数点有明显错误的，以总价为准，修正单价。</w:t>
      </w:r>
    </w:p>
    <w:p w14:paraId="73545750">
      <w:pPr>
        <w:pStyle w:val="88"/>
        <w:numPr>
          <w:ilvl w:val="0"/>
          <w:numId w:val="0"/>
        </w:numPr>
        <w:tabs>
          <w:tab w:val="left" w:pos="1476"/>
        </w:tabs>
        <w:spacing w:line="240" w:lineRule="auto"/>
        <w:ind w:right="514" w:righ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按上述修正错误的方法调整的投标报价应对投标人具有约束力。如果投标人不接受修正后的价格，其投标将被拒绝。</w:t>
      </w:r>
    </w:p>
    <w:p w14:paraId="7EAEB58E">
      <w:pPr>
        <w:pStyle w:val="88"/>
        <w:numPr>
          <w:ilvl w:val="0"/>
          <w:numId w:val="0"/>
        </w:numPr>
        <w:spacing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对资格审查合格的投标人，由评标委员会按以下程序进行。</w:t>
      </w:r>
    </w:p>
    <w:p w14:paraId="65598E71">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（1）初步评审-符合性审查，符合性检查的内容及标准；</w:t>
      </w:r>
    </w:p>
    <w:p w14:paraId="186F69DB">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商务符合性审查，符合性检查的内容及标准；</w:t>
      </w:r>
    </w:p>
    <w:p w14:paraId="17ECFF4B">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（2）澄清有关问题；</w:t>
      </w:r>
    </w:p>
    <w:p w14:paraId="05DBDDF2">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（3）比较与评价；</w:t>
      </w:r>
    </w:p>
    <w:p w14:paraId="044FC494">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（4）推荐中标供应商名单；</w:t>
      </w:r>
    </w:p>
    <w:p w14:paraId="20030CB4">
      <w:pPr>
        <w:pStyle w:val="88"/>
        <w:numPr>
          <w:ilvl w:val="0"/>
          <w:numId w:val="0"/>
        </w:numPr>
        <w:spacing w:line="240" w:lineRule="auto"/>
        <w:ind w:left="42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（5）编写评标报告。</w:t>
      </w:r>
    </w:p>
    <w:p w14:paraId="58FCF4FD">
      <w:pPr>
        <w:pStyle w:val="94"/>
        <w:numPr>
          <w:ilvl w:val="1"/>
          <w:numId w:val="11"/>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rPr>
      </w:pPr>
      <w:bookmarkStart w:id="460" w:name="_Toc2453"/>
      <w:r>
        <w:rPr>
          <w:rFonts w:hint="eastAsia" w:ascii="仿宋" w:hAnsi="仿宋" w:eastAsia="仿宋" w:cs="仿宋"/>
          <w:color w:val="auto"/>
          <w:sz w:val="24"/>
          <w:szCs w:val="24"/>
          <w:highlight w:val="none"/>
        </w:rPr>
        <w:t>定标程序</w:t>
      </w:r>
      <w:bookmarkEnd w:id="460"/>
    </w:p>
    <w:p w14:paraId="2ACEF462">
      <w:pPr>
        <w:pStyle w:val="88"/>
        <w:keepNext w:val="0"/>
        <w:keepLines w:val="0"/>
        <w:pageBreakBefore w:val="0"/>
        <w:widowControl w:val="0"/>
        <w:numPr>
          <w:ilvl w:val="0"/>
          <w:numId w:val="0"/>
        </w:numPr>
        <w:tabs>
          <w:tab w:val="left" w:pos="1654"/>
        </w:tabs>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（1）采购代理机构应当在评标结束后2个工作日内将评标报告送采购人。</w:t>
      </w:r>
    </w:p>
    <w:p w14:paraId="24ACC89C">
      <w:pPr>
        <w:pStyle w:val="88"/>
        <w:keepNext w:val="0"/>
        <w:keepLines w:val="0"/>
        <w:pageBreakBefore w:val="0"/>
        <w:widowControl w:val="0"/>
        <w:numPr>
          <w:ilvl w:val="0"/>
          <w:numId w:val="0"/>
        </w:numPr>
        <w:tabs>
          <w:tab w:val="left" w:pos="1654"/>
        </w:tabs>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（2）采购人应当自收到评标报告之日起５个工作日内，在评标报告确定的中标候选人名单中按顺序确定中标人。中标候选人并列的，由采购人按照招标文件规定的方式确定中标人。</w:t>
      </w:r>
    </w:p>
    <w:p w14:paraId="1FB0CAD2">
      <w:pPr>
        <w:pStyle w:val="88"/>
        <w:keepNext w:val="0"/>
        <w:keepLines w:val="0"/>
        <w:pageBreakBefore w:val="0"/>
        <w:widowControl w:val="0"/>
        <w:numPr>
          <w:ilvl w:val="0"/>
          <w:numId w:val="0"/>
        </w:numPr>
        <w:tabs>
          <w:tab w:val="left" w:pos="1654"/>
        </w:tabs>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（3）采购人在收到评标报告5个工作日内未按评标报告推荐的中标候选人顺序确定中标人，又不能说明合法理由的，视同按评标报告推荐的顺序确定排名第一的中标候选人为中标人。</w:t>
      </w:r>
    </w:p>
    <w:p w14:paraId="645A1DF8">
      <w:pPr>
        <w:pStyle w:val="12"/>
        <w:tabs>
          <w:tab w:val="clear" w:pos="567"/>
        </w:tabs>
        <w:spacing w:before="0" w:line="360" w:lineRule="auto"/>
        <w:ind w:left="-181" w:leftChars="-86" w:firstLine="180" w:firstLineChars="75"/>
        <w:rPr>
          <w:rFonts w:hint="eastAsia" w:ascii="仿宋" w:hAnsi="仿宋" w:eastAsia="仿宋" w:cs="仿宋"/>
          <w:highlight w:val="none"/>
        </w:rPr>
      </w:pPr>
      <w:r>
        <w:rPr>
          <w:rFonts w:hint="eastAsia" w:ascii="仿宋" w:hAnsi="仿宋" w:eastAsia="仿宋" w:cs="仿宋"/>
          <w:color w:val="auto"/>
          <w:sz w:val="24"/>
          <w:szCs w:val="24"/>
          <w:highlight w:val="none"/>
          <w:lang w:val="en-US" w:eastAsia="zh-CN"/>
        </w:rPr>
        <w:t>（4）中标候选人并列式时的处理方式：</w:t>
      </w:r>
      <w:r>
        <w:rPr>
          <w:rFonts w:hint="eastAsia" w:ascii="仿宋" w:hAnsi="仿宋" w:eastAsia="仿宋" w:cs="仿宋"/>
          <w:color w:val="auto"/>
          <w:sz w:val="24"/>
          <w:szCs w:val="24"/>
          <w:highlight w:val="none"/>
          <w:u w:val="single"/>
          <w:lang w:val="en-US" w:eastAsia="zh-CN"/>
        </w:rPr>
        <w:t>报价最低者优先，如报价相同，则采用随机抽取的方式确定。</w:t>
      </w:r>
    </w:p>
    <w:p w14:paraId="04CCC4CB">
      <w:pPr>
        <w:pStyle w:val="94"/>
        <w:numPr>
          <w:ilvl w:val="1"/>
          <w:numId w:val="11"/>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rPr>
      </w:pPr>
      <w:bookmarkStart w:id="461" w:name="_Toc16338"/>
      <w:r>
        <w:rPr>
          <w:rFonts w:hint="eastAsia" w:ascii="仿宋" w:hAnsi="仿宋" w:eastAsia="仿宋" w:cs="仿宋"/>
          <w:color w:val="auto"/>
          <w:sz w:val="24"/>
          <w:szCs w:val="24"/>
          <w:highlight w:val="none"/>
        </w:rPr>
        <w:t>评标细则及标准（综合评分法）</w:t>
      </w:r>
      <w:bookmarkEnd w:id="461"/>
    </w:p>
    <w:p w14:paraId="7ACC8B7E">
      <w:pPr>
        <w:pStyle w:val="88"/>
        <w:numPr>
          <w:ilvl w:val="0"/>
          <w:numId w:val="0"/>
        </w:numPr>
        <w:spacing w:line="240" w:lineRule="auto"/>
        <w:ind w:right="511" w:rightChars="0" w:firstLine="230" w:firstLineChars="100"/>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lang w:val="en-US" w:eastAsia="zh-CN"/>
        </w:rPr>
        <w:t>5.1</w:t>
      </w:r>
      <w:r>
        <w:rPr>
          <w:rFonts w:hint="eastAsia" w:ascii="仿宋" w:hAnsi="仿宋" w:eastAsia="仿宋" w:cs="仿宋"/>
          <w:color w:val="auto"/>
          <w:spacing w:val="-5"/>
          <w:sz w:val="24"/>
          <w:szCs w:val="24"/>
          <w:highlight w:val="none"/>
        </w:rPr>
        <w:t>本次综合评分的主要因素是：</w:t>
      </w:r>
      <w:r>
        <w:rPr>
          <w:rFonts w:hint="eastAsia" w:ascii="仿宋" w:hAnsi="仿宋" w:eastAsia="仿宋" w:cs="仿宋"/>
          <w:color w:val="auto"/>
          <w:spacing w:val="-5"/>
          <w:sz w:val="24"/>
          <w:szCs w:val="24"/>
          <w:highlight w:val="none"/>
          <w:lang w:eastAsia="zh-CN"/>
        </w:rPr>
        <w:t>投标报价、技术或者服务水平、履约能力、售后服务、</w:t>
      </w:r>
      <w:r>
        <w:rPr>
          <w:rFonts w:hint="eastAsia" w:ascii="仿宋" w:hAnsi="仿宋" w:eastAsia="仿宋" w:cs="仿宋"/>
          <w:color w:val="auto"/>
          <w:spacing w:val="-5"/>
          <w:sz w:val="24"/>
          <w:szCs w:val="24"/>
          <w:highlight w:val="none"/>
        </w:rPr>
        <w:t>对招标</w:t>
      </w:r>
      <w:r>
        <w:rPr>
          <w:rFonts w:hint="eastAsia" w:ascii="仿宋" w:hAnsi="仿宋" w:eastAsia="仿宋" w:cs="仿宋"/>
          <w:color w:val="auto"/>
          <w:sz w:val="24"/>
          <w:szCs w:val="24"/>
          <w:highlight w:val="none"/>
        </w:rPr>
        <w:t>文件的响应程度等；</w:t>
      </w:r>
    </w:p>
    <w:p w14:paraId="6E2FFF55">
      <w:pPr>
        <w:pStyle w:val="88"/>
        <w:numPr>
          <w:ilvl w:val="0"/>
          <w:numId w:val="0"/>
        </w:numPr>
        <w:tabs>
          <w:tab w:val="left" w:pos="1593"/>
        </w:tabs>
        <w:spacing w:line="240" w:lineRule="auto"/>
        <w:ind w:right="511" w:rightChars="0" w:firstLine="232" w:firstLineChars="100"/>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lang w:val="en-US" w:eastAsia="zh-CN"/>
        </w:rPr>
        <w:t>5.2</w:t>
      </w:r>
      <w:r>
        <w:rPr>
          <w:rFonts w:hint="eastAsia" w:ascii="仿宋" w:hAnsi="仿宋" w:eastAsia="仿宋" w:cs="仿宋"/>
          <w:color w:val="auto"/>
          <w:spacing w:val="-4"/>
          <w:sz w:val="24"/>
          <w:szCs w:val="24"/>
          <w:highlight w:val="none"/>
        </w:rPr>
        <w:t>除价格因素外，评委会成员应依据投标文件规定的评分标准和方法独立对其他因素</w:t>
      </w:r>
      <w:r>
        <w:rPr>
          <w:rFonts w:hint="eastAsia" w:ascii="仿宋" w:hAnsi="仿宋" w:eastAsia="仿宋" w:cs="仿宋"/>
          <w:color w:val="auto"/>
          <w:sz w:val="24"/>
          <w:szCs w:val="24"/>
          <w:highlight w:val="none"/>
        </w:rPr>
        <w:t>进行比较打分；</w:t>
      </w:r>
    </w:p>
    <w:p w14:paraId="5E90370D">
      <w:pPr>
        <w:pStyle w:val="88"/>
        <w:numPr>
          <w:ilvl w:val="0"/>
          <w:numId w:val="0"/>
        </w:numPr>
        <w:tabs>
          <w:tab w:val="left" w:pos="1593"/>
        </w:tabs>
        <w:spacing w:before="38" w:line="240" w:lineRule="auto"/>
        <w:ind w:firstLine="234" w:firstLineChars="100"/>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lang w:val="en-US" w:eastAsia="zh-CN"/>
        </w:rPr>
        <w:t>5.3</w:t>
      </w:r>
      <w:r>
        <w:rPr>
          <w:rFonts w:hint="eastAsia" w:ascii="仿宋" w:hAnsi="仿宋" w:eastAsia="仿宋" w:cs="仿宋"/>
          <w:color w:val="auto"/>
          <w:spacing w:val="-3"/>
          <w:sz w:val="24"/>
          <w:szCs w:val="24"/>
          <w:highlight w:val="none"/>
        </w:rPr>
        <w:t>在评标过程中，投标文件响应招标文件出现的偏离，分为实质性偏离和非实质性偏</w:t>
      </w:r>
      <w:r>
        <w:rPr>
          <w:rFonts w:hint="eastAsia" w:ascii="仿宋" w:hAnsi="仿宋" w:eastAsia="仿宋" w:cs="仿宋"/>
          <w:color w:val="auto"/>
          <w:sz w:val="24"/>
          <w:szCs w:val="24"/>
          <w:highlight w:val="none"/>
        </w:rPr>
        <w:t>离。</w:t>
      </w:r>
    </w:p>
    <w:p w14:paraId="7F8DD6F1">
      <w:pPr>
        <w:pStyle w:val="88"/>
        <w:numPr>
          <w:ilvl w:val="0"/>
          <w:numId w:val="0"/>
        </w:numPr>
        <w:tabs>
          <w:tab w:val="left" w:pos="1814"/>
        </w:tabs>
        <w:spacing w:before="67" w:line="240" w:lineRule="auto"/>
        <w:ind w:firstLine="234" w:firstLineChars="100"/>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lang w:val="en-US" w:eastAsia="zh-CN"/>
        </w:rPr>
        <w:t>5.3.1</w:t>
      </w:r>
      <w:r>
        <w:rPr>
          <w:rFonts w:hint="eastAsia" w:ascii="仿宋" w:hAnsi="仿宋" w:eastAsia="仿宋" w:cs="仿宋"/>
          <w:color w:val="auto"/>
          <w:spacing w:val="-5"/>
          <w:sz w:val="24"/>
          <w:szCs w:val="24"/>
          <w:highlight w:val="none"/>
        </w:rPr>
        <w:t>实质性偏离是指投标文件未能实质响应招标文件的要求。以下情况属于重大偏离：</w:t>
      </w:r>
    </w:p>
    <w:p w14:paraId="7225F4E6">
      <w:pPr>
        <w:pStyle w:val="88"/>
        <w:numPr>
          <w:ilvl w:val="0"/>
          <w:numId w:val="0"/>
        </w:numPr>
        <w:tabs>
          <w:tab w:val="left" w:pos="177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未按招标文件</w:t>
      </w:r>
      <w:r>
        <w:rPr>
          <w:rFonts w:hint="eastAsia" w:ascii="仿宋" w:hAnsi="仿宋" w:eastAsia="仿宋" w:cs="仿宋"/>
          <w:color w:val="auto"/>
          <w:sz w:val="24"/>
          <w:szCs w:val="24"/>
          <w:highlight w:val="none"/>
          <w:lang w:eastAsia="zh-CN"/>
        </w:rPr>
        <w:t>规定</w:t>
      </w:r>
      <w:r>
        <w:rPr>
          <w:rFonts w:hint="eastAsia" w:ascii="仿宋" w:hAnsi="仿宋" w:eastAsia="仿宋" w:cs="仿宋"/>
          <w:color w:val="auto"/>
          <w:sz w:val="24"/>
          <w:szCs w:val="24"/>
          <w:highlight w:val="none"/>
        </w:rPr>
        <w:t>提交投标保证金</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w:t>
      </w:r>
    </w:p>
    <w:p w14:paraId="0327E844">
      <w:pPr>
        <w:pStyle w:val="88"/>
        <w:numPr>
          <w:ilvl w:val="0"/>
          <w:numId w:val="0"/>
        </w:numPr>
        <w:tabs>
          <w:tab w:val="left" w:pos="1777"/>
        </w:tabs>
        <w:spacing w:line="240" w:lineRule="auto"/>
        <w:ind w:right="513" w:righ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pacing w:val="-1"/>
          <w:sz w:val="24"/>
          <w:szCs w:val="24"/>
          <w:highlight w:val="none"/>
        </w:rPr>
        <w:t>投标</w:t>
      </w:r>
      <w:r>
        <w:rPr>
          <w:rFonts w:hint="eastAsia" w:ascii="仿宋" w:hAnsi="仿宋" w:eastAsia="仿宋" w:cs="仿宋"/>
          <w:color w:val="auto"/>
          <w:spacing w:val="-1"/>
          <w:sz w:val="24"/>
          <w:szCs w:val="24"/>
          <w:highlight w:val="none"/>
          <w:lang w:eastAsia="zh-CN"/>
        </w:rPr>
        <w:t>文件</w:t>
      </w:r>
      <w:r>
        <w:rPr>
          <w:rFonts w:hint="eastAsia" w:ascii="仿宋" w:hAnsi="仿宋" w:eastAsia="仿宋" w:cs="仿宋"/>
          <w:color w:val="auto"/>
          <w:spacing w:val="-1"/>
          <w:sz w:val="24"/>
          <w:szCs w:val="24"/>
          <w:highlight w:val="none"/>
        </w:rPr>
        <w:t>、法定代表人授权委托书、开标一览表没有按招标文件的规定和要求</w:t>
      </w:r>
      <w:r>
        <w:rPr>
          <w:rFonts w:hint="eastAsia" w:ascii="仿宋" w:hAnsi="仿宋" w:eastAsia="仿宋" w:cs="仿宋"/>
          <w:color w:val="auto"/>
          <w:spacing w:val="-1"/>
          <w:sz w:val="24"/>
          <w:szCs w:val="24"/>
          <w:highlight w:val="none"/>
          <w:lang w:eastAsia="zh-CN"/>
        </w:rPr>
        <w:t>签署、</w:t>
      </w:r>
      <w:r>
        <w:rPr>
          <w:rFonts w:hint="eastAsia" w:ascii="仿宋" w:hAnsi="仿宋" w:eastAsia="仿宋" w:cs="仿宋"/>
          <w:color w:val="auto"/>
          <w:sz w:val="24"/>
          <w:szCs w:val="24"/>
          <w:highlight w:val="none"/>
        </w:rPr>
        <w:t>盖章</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w:t>
      </w:r>
    </w:p>
    <w:p w14:paraId="5229F303">
      <w:pPr>
        <w:pStyle w:val="88"/>
        <w:numPr>
          <w:ilvl w:val="0"/>
          <w:numId w:val="0"/>
        </w:numPr>
        <w:tabs>
          <w:tab w:val="left" w:pos="1777"/>
        </w:tabs>
        <w:spacing w:line="240" w:lineRule="auto"/>
        <w:ind w:right="513" w:righ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）不具备招标文件中规定的资格要求的；</w:t>
      </w:r>
    </w:p>
    <w:p w14:paraId="3FD684EA">
      <w:pPr>
        <w:pStyle w:val="88"/>
        <w:numPr>
          <w:ilvl w:val="0"/>
          <w:numId w:val="0"/>
        </w:numPr>
        <w:tabs>
          <w:tab w:val="left" w:pos="177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投标人的投标报价超过了</w:t>
      </w:r>
      <w:r>
        <w:rPr>
          <w:rFonts w:hint="eastAsia" w:ascii="仿宋" w:hAnsi="仿宋" w:eastAsia="仿宋" w:cs="仿宋"/>
          <w:color w:val="auto"/>
          <w:sz w:val="24"/>
          <w:szCs w:val="24"/>
          <w:highlight w:val="none"/>
          <w:lang w:eastAsia="zh-CN"/>
        </w:rPr>
        <w:t>招标文件中规定的</w:t>
      </w:r>
      <w:r>
        <w:rPr>
          <w:rFonts w:hint="eastAsia" w:ascii="仿宋" w:hAnsi="仿宋" w:eastAsia="仿宋" w:cs="仿宋"/>
          <w:color w:val="auto"/>
          <w:sz w:val="24"/>
          <w:szCs w:val="24"/>
          <w:highlight w:val="none"/>
        </w:rPr>
        <w:t>预算</w:t>
      </w:r>
      <w:r>
        <w:rPr>
          <w:rFonts w:hint="eastAsia" w:ascii="仿宋" w:hAnsi="仿宋" w:eastAsia="仿宋" w:cs="仿宋"/>
          <w:color w:val="auto"/>
          <w:sz w:val="24"/>
          <w:szCs w:val="24"/>
          <w:highlight w:val="none"/>
          <w:lang w:eastAsia="zh-CN"/>
        </w:rPr>
        <w:t>金额最高限价的</w:t>
      </w:r>
      <w:r>
        <w:rPr>
          <w:rFonts w:hint="eastAsia" w:ascii="仿宋" w:hAnsi="仿宋" w:eastAsia="仿宋" w:cs="仿宋"/>
          <w:color w:val="auto"/>
          <w:sz w:val="24"/>
          <w:szCs w:val="24"/>
          <w:highlight w:val="none"/>
        </w:rPr>
        <w:t>；</w:t>
      </w:r>
    </w:p>
    <w:p w14:paraId="63D7CB6B">
      <w:pPr>
        <w:pStyle w:val="88"/>
        <w:numPr>
          <w:ilvl w:val="0"/>
          <w:numId w:val="0"/>
        </w:numPr>
        <w:tabs>
          <w:tab w:val="left" w:pos="177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投标文件中附有采购人不能接受的</w:t>
      </w:r>
      <w:r>
        <w:rPr>
          <w:rFonts w:hint="eastAsia" w:ascii="仿宋" w:hAnsi="仿宋" w:eastAsia="仿宋" w:cs="仿宋"/>
          <w:color w:val="auto"/>
          <w:sz w:val="24"/>
          <w:szCs w:val="24"/>
          <w:highlight w:val="none"/>
          <w:lang w:eastAsia="zh-CN"/>
        </w:rPr>
        <w:t>附加</w:t>
      </w:r>
      <w:r>
        <w:rPr>
          <w:rFonts w:hint="eastAsia" w:ascii="仿宋" w:hAnsi="仿宋" w:eastAsia="仿宋" w:cs="仿宋"/>
          <w:color w:val="auto"/>
          <w:sz w:val="24"/>
          <w:szCs w:val="24"/>
          <w:highlight w:val="none"/>
        </w:rPr>
        <w:t>条件；</w:t>
      </w:r>
    </w:p>
    <w:p w14:paraId="45C722EA">
      <w:pPr>
        <w:pStyle w:val="88"/>
        <w:numPr>
          <w:ilvl w:val="0"/>
          <w:numId w:val="0"/>
        </w:numPr>
        <w:tabs>
          <w:tab w:val="left" w:pos="177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投标产品的技术规格、技术标准明显不符合招标项目的要求</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w:t>
      </w:r>
    </w:p>
    <w:p w14:paraId="4B8AC3B8">
      <w:pPr>
        <w:pStyle w:val="88"/>
        <w:numPr>
          <w:ilvl w:val="0"/>
          <w:numId w:val="0"/>
        </w:numPr>
        <w:tabs>
          <w:tab w:val="left" w:pos="177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eastAsia="zh-CN"/>
        </w:rPr>
        <w:t>）评标委员会认为投标人的报价明显低于其他通过复核性审查投标人的报价，有可能影响产品质量或者不能诚信履约的，应当要求其在评标现场合理的时间内提供书面说明，必要时提交相关证明材料；投标人不能证明其报价合理性的，评标委员会应当将其作为</w:t>
      </w:r>
      <w:r>
        <w:rPr>
          <w:rFonts w:hint="eastAsia" w:ascii="仿宋" w:hAnsi="仿宋" w:eastAsia="仿宋" w:cs="仿宋"/>
          <w:b/>
          <w:bCs/>
          <w:color w:val="auto"/>
          <w:sz w:val="24"/>
          <w:szCs w:val="24"/>
          <w:highlight w:val="none"/>
          <w:lang w:eastAsia="zh-CN"/>
        </w:rPr>
        <w:t>无效投标</w:t>
      </w:r>
      <w:r>
        <w:rPr>
          <w:rFonts w:hint="eastAsia" w:ascii="仿宋" w:hAnsi="仿宋" w:eastAsia="仿宋" w:cs="仿宋"/>
          <w:color w:val="auto"/>
          <w:sz w:val="24"/>
          <w:szCs w:val="24"/>
          <w:highlight w:val="none"/>
          <w:lang w:eastAsia="zh-CN"/>
        </w:rPr>
        <w:t>处理；</w:t>
      </w:r>
    </w:p>
    <w:p w14:paraId="5C98A003">
      <w:pPr>
        <w:pStyle w:val="88"/>
        <w:numPr>
          <w:ilvl w:val="0"/>
          <w:numId w:val="0"/>
        </w:num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）法律、法规和招标文件规定的其他无效情形。</w:t>
      </w:r>
    </w:p>
    <w:p w14:paraId="67C1C938">
      <w:pPr>
        <w:pStyle w:val="88"/>
        <w:numPr>
          <w:ilvl w:val="0"/>
          <w:numId w:val="0"/>
        </w:numPr>
        <w:tabs>
          <w:tab w:val="left" w:pos="1774"/>
        </w:tabs>
        <w:spacing w:line="240" w:lineRule="auto"/>
        <w:ind w:left="0" w:leftChars="0" w:right="0" w:rightChars="0"/>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投标文件有上述情形之一的，作</w:t>
      </w:r>
      <w:r>
        <w:rPr>
          <w:rFonts w:hint="eastAsia" w:ascii="仿宋" w:hAnsi="仿宋" w:eastAsia="仿宋" w:cs="仿宋"/>
          <w:b/>
          <w:bCs/>
          <w:color w:val="auto"/>
          <w:spacing w:val="-1"/>
          <w:sz w:val="24"/>
          <w:szCs w:val="24"/>
          <w:highlight w:val="none"/>
        </w:rPr>
        <w:t>无效投标</w:t>
      </w:r>
      <w:r>
        <w:rPr>
          <w:rFonts w:hint="eastAsia" w:ascii="仿宋" w:hAnsi="仿宋" w:eastAsia="仿宋" w:cs="仿宋"/>
          <w:color w:val="auto"/>
          <w:spacing w:val="-1"/>
          <w:sz w:val="24"/>
          <w:szCs w:val="24"/>
          <w:highlight w:val="none"/>
        </w:rPr>
        <w:t>处理。</w:t>
      </w:r>
    </w:p>
    <w:p w14:paraId="1A2CAB09">
      <w:pPr>
        <w:pStyle w:val="88"/>
        <w:numPr>
          <w:ilvl w:val="0"/>
          <w:numId w:val="0"/>
        </w:numPr>
        <w:tabs>
          <w:tab w:val="left" w:pos="1833"/>
        </w:tabs>
        <w:spacing w:before="2" w:line="240" w:lineRule="auto"/>
        <w:ind w:right="511" w:rightChars="0"/>
        <w:jc w:val="both"/>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lang w:val="en-US" w:eastAsia="zh-CN"/>
        </w:rPr>
        <w:t>5.4</w:t>
      </w:r>
      <w:r>
        <w:rPr>
          <w:rFonts w:hint="eastAsia" w:ascii="仿宋" w:hAnsi="仿宋" w:eastAsia="仿宋" w:cs="仿宋"/>
          <w:color w:val="auto"/>
          <w:spacing w:val="-2"/>
          <w:sz w:val="24"/>
          <w:szCs w:val="24"/>
          <w:highlight w:val="none"/>
        </w:rPr>
        <w:t>非实质性偏离是指投标文件在实质上响应招标文件的要求，但在个别地方存在一</w:t>
      </w:r>
      <w:r>
        <w:rPr>
          <w:rFonts w:hint="eastAsia" w:ascii="仿宋" w:hAnsi="仿宋" w:eastAsia="仿宋" w:cs="仿宋"/>
          <w:color w:val="auto"/>
          <w:sz w:val="24"/>
          <w:szCs w:val="24"/>
          <w:highlight w:val="none"/>
        </w:rPr>
        <w:t>些不规则、不一致、不完整的内容，并且澄清、说明或者补正这些内容不会改变投标文件的实质性内容。以下情况属于非实质性偏离：</w:t>
      </w:r>
    </w:p>
    <w:p w14:paraId="42BE157A">
      <w:pPr>
        <w:pStyle w:val="88"/>
        <w:numPr>
          <w:ilvl w:val="0"/>
          <w:numId w:val="0"/>
        </w:numPr>
        <w:tabs>
          <w:tab w:val="left" w:pos="1654"/>
        </w:tabs>
        <w:spacing w:before="1"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文字表述的内容含义不明确；</w:t>
      </w:r>
    </w:p>
    <w:p w14:paraId="1089FDE6">
      <w:pPr>
        <w:pStyle w:val="88"/>
        <w:numPr>
          <w:ilvl w:val="0"/>
          <w:numId w:val="0"/>
        </w:numPr>
        <w:tabs>
          <w:tab w:val="left" w:pos="165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同类问题表述不一致；</w:t>
      </w:r>
    </w:p>
    <w:p w14:paraId="421580F9">
      <w:pPr>
        <w:pStyle w:val="88"/>
        <w:numPr>
          <w:ilvl w:val="0"/>
          <w:numId w:val="0"/>
        </w:numPr>
        <w:tabs>
          <w:tab w:val="left" w:pos="1654"/>
        </w:tabs>
        <w:spacing w:before="1"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有明显文字和计算错误；</w:t>
      </w:r>
    </w:p>
    <w:p w14:paraId="2444BC4E">
      <w:pPr>
        <w:pStyle w:val="88"/>
        <w:numPr>
          <w:ilvl w:val="0"/>
          <w:numId w:val="0"/>
        </w:numPr>
        <w:tabs>
          <w:tab w:val="left" w:pos="165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提供的技术信息和数据资料不完整；</w:t>
      </w:r>
    </w:p>
    <w:p w14:paraId="1C4BFE31">
      <w:pPr>
        <w:pStyle w:val="88"/>
        <w:numPr>
          <w:ilvl w:val="0"/>
          <w:numId w:val="0"/>
        </w:numPr>
        <w:tabs>
          <w:tab w:val="left" w:pos="165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投标文件未按招标文件要求进行装订或未编制目录、页码；</w:t>
      </w:r>
    </w:p>
    <w:p w14:paraId="431782B4">
      <w:pPr>
        <w:pStyle w:val="88"/>
        <w:numPr>
          <w:ilvl w:val="0"/>
          <w:numId w:val="0"/>
        </w:numPr>
        <w:tabs>
          <w:tab w:val="left" w:pos="1654"/>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评标委员会认定的其他非实质性偏离。</w:t>
      </w:r>
    </w:p>
    <w:p w14:paraId="6DFAF5AF">
      <w:pPr>
        <w:pStyle w:val="12"/>
        <w:spacing w:line="240" w:lineRule="auto"/>
        <w:ind w:right="510"/>
        <w:jc w:val="both"/>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投标文件有上述</w:t>
      </w:r>
      <w:r>
        <w:rPr>
          <w:rFonts w:hint="eastAsia" w:ascii="仿宋" w:hAnsi="仿宋" w:eastAsia="仿宋" w:cs="仿宋"/>
          <w:color w:val="auto"/>
          <w:spacing w:val="-6"/>
          <w:sz w:val="24"/>
          <w:szCs w:val="24"/>
          <w:highlight w:val="none"/>
        </w:rPr>
        <w:t>（1）--（6）</w:t>
      </w:r>
      <w:r>
        <w:rPr>
          <w:rFonts w:hint="eastAsia" w:ascii="仿宋" w:hAnsi="仿宋" w:eastAsia="仿宋" w:cs="仿宋"/>
          <w:color w:val="auto"/>
          <w:spacing w:val="-4"/>
          <w:sz w:val="24"/>
          <w:szCs w:val="24"/>
          <w:highlight w:val="none"/>
        </w:rPr>
        <w:t>情形之一的，视为投标文件制作不规范，按每一项非实质</w:t>
      </w:r>
      <w:r>
        <w:rPr>
          <w:rFonts w:hint="eastAsia" w:ascii="仿宋" w:hAnsi="仿宋" w:eastAsia="仿宋" w:cs="仿宋"/>
          <w:color w:val="auto"/>
          <w:sz w:val="24"/>
          <w:szCs w:val="24"/>
          <w:highlight w:val="none"/>
        </w:rPr>
        <w:t>性偏离进行扣分处理，直至该项分值扣完为止。评标委员会不接受投标人主动提出的澄清、说明或补正。</w:t>
      </w:r>
    </w:p>
    <w:p w14:paraId="10CF32BA">
      <w:pPr>
        <w:spacing w:line="240" w:lineRule="auto"/>
        <w:jc w:val="both"/>
        <w:rPr>
          <w:rFonts w:hint="eastAsia" w:ascii="仿宋" w:hAnsi="仿宋" w:eastAsia="仿宋" w:cs="仿宋"/>
          <w:color w:val="auto"/>
          <w:sz w:val="24"/>
          <w:szCs w:val="24"/>
          <w:highlight w:val="none"/>
        </w:rPr>
      </w:pPr>
    </w:p>
    <w:p w14:paraId="006FC7D0">
      <w:pPr>
        <w:pStyle w:val="88"/>
        <w:numPr>
          <w:ilvl w:val="0"/>
          <w:numId w:val="0"/>
        </w:numPr>
        <w:tabs>
          <w:tab w:val="left" w:pos="1653"/>
        </w:tabs>
        <w:spacing w:before="38" w:line="240" w:lineRule="auto"/>
        <w:ind w:right="511" w:rightChars="0"/>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lang w:val="en-US" w:eastAsia="zh-CN"/>
        </w:rPr>
        <w:t>5.5</w:t>
      </w:r>
      <w:r>
        <w:rPr>
          <w:rFonts w:hint="eastAsia" w:ascii="仿宋" w:hAnsi="仿宋" w:eastAsia="仿宋" w:cs="仿宋"/>
          <w:color w:val="auto"/>
          <w:spacing w:val="-7"/>
          <w:sz w:val="24"/>
          <w:szCs w:val="24"/>
          <w:highlight w:val="none"/>
        </w:rPr>
        <w:t>在投标文件初审过程中，如果出现评标委员会成员意见不一致的情况，按照少数服</w:t>
      </w:r>
      <w:r>
        <w:rPr>
          <w:rFonts w:hint="eastAsia" w:ascii="仿宋" w:hAnsi="仿宋" w:eastAsia="仿宋" w:cs="仿宋"/>
          <w:color w:val="auto"/>
          <w:sz w:val="24"/>
          <w:szCs w:val="24"/>
          <w:highlight w:val="none"/>
        </w:rPr>
        <w:t>从多数的原则确定。</w:t>
      </w:r>
    </w:p>
    <w:p w14:paraId="6CD596C8">
      <w:pPr>
        <w:pStyle w:val="88"/>
        <w:numPr>
          <w:ilvl w:val="0"/>
          <w:numId w:val="0"/>
        </w:numPr>
        <w:tabs>
          <w:tab w:val="left" w:pos="1653"/>
        </w:tabs>
        <w:spacing w:before="38" w:line="240" w:lineRule="auto"/>
        <w:ind w:left="1172" w:leftChars="0" w:right="511" w:rightChars="0"/>
        <w:rPr>
          <w:rFonts w:hint="eastAsia" w:ascii="仿宋" w:hAnsi="仿宋" w:eastAsia="仿宋" w:cs="仿宋"/>
          <w:b/>
          <w:color w:val="auto"/>
          <w:sz w:val="24"/>
          <w:szCs w:val="24"/>
          <w:highlight w:val="none"/>
          <w:vertAlign w:val="baseline"/>
        </w:rPr>
      </w:pPr>
    </w:p>
    <w:tbl>
      <w:tblPr>
        <w:tblStyle w:val="40"/>
        <w:tblpPr w:leftFromText="180" w:rightFromText="180" w:vertAnchor="text" w:tblpX="12139" w:tblpY="-1047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3"/>
      </w:tblGrid>
      <w:tr w14:paraId="4BFCE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383" w:type="dxa"/>
            <w:noWrap w:val="0"/>
            <w:vAlign w:val="top"/>
          </w:tcPr>
          <w:p w14:paraId="54DA4F70">
            <w:pPr>
              <w:pStyle w:val="9"/>
              <w:keepNext w:val="0"/>
              <w:keepLines w:val="0"/>
              <w:suppressLineNumbers w:val="0"/>
              <w:spacing w:before="0" w:beforeAutospacing="0" w:after="0" w:afterAutospacing="0"/>
              <w:ind w:left="0" w:right="0"/>
              <w:rPr>
                <w:rFonts w:hint="eastAsia" w:ascii="仿宋" w:hAnsi="仿宋" w:eastAsia="仿宋" w:cs="仿宋"/>
                <w:color w:val="auto"/>
                <w:highlight w:val="none"/>
                <w:vertAlign w:val="baseline"/>
                <w:lang w:val="en-US" w:eastAsia="zh-CN"/>
              </w:rPr>
            </w:pPr>
          </w:p>
        </w:tc>
      </w:tr>
    </w:tbl>
    <w:p w14:paraId="13D03208">
      <w:pPr>
        <w:pStyle w:val="94"/>
        <w:numPr>
          <w:ilvl w:val="0"/>
          <w:numId w:val="0"/>
        </w:numPr>
        <w:tabs>
          <w:tab w:val="left" w:pos="1297"/>
        </w:tabs>
        <w:spacing w:before="38" w:line="240" w:lineRule="auto"/>
        <w:outlineLvl w:val="1"/>
        <w:rPr>
          <w:rFonts w:hint="eastAsia" w:ascii="仿宋" w:hAnsi="仿宋" w:eastAsia="仿宋" w:cs="仿宋"/>
          <w:color w:val="auto"/>
          <w:sz w:val="24"/>
          <w:szCs w:val="24"/>
          <w:highlight w:val="none"/>
        </w:rPr>
      </w:pPr>
      <w:bookmarkStart w:id="462" w:name="_Toc9832"/>
      <w:r>
        <w:rPr>
          <w:rFonts w:hint="eastAsia" w:ascii="仿宋" w:hAnsi="仿宋" w:eastAsia="仿宋" w:cs="仿宋"/>
          <w:color w:val="auto"/>
          <w:sz w:val="24"/>
          <w:szCs w:val="24"/>
          <w:highlight w:val="none"/>
          <w:lang w:val="en-US" w:eastAsia="zh-CN"/>
        </w:rPr>
        <w:t>6.投标无效的情形：</w:t>
      </w:r>
      <w:bookmarkEnd w:id="462"/>
    </w:p>
    <w:p w14:paraId="14D2F912">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（1）单位负责人为同一人或者存在直接控股、管理关系的不同供应商，其相关投标将被认定为投标无效。</w:t>
      </w:r>
    </w:p>
    <w:p w14:paraId="32832621">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（2）供应商报价超过招标文件规定的预算金额或者分项、分包最高限价的，其投标将被认定为投标无效。</w:t>
      </w:r>
    </w:p>
    <w:p w14:paraId="3A7AB825">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3）供应商应认真阅读招标文件所有的事项、格式、条款和技术规范等。如供应商没有按照招标文件要求提交全部资料，或者投标文件没有对投标文件在各方面都做出实质性响应，可能导致其投标将被认定为投标无效。</w:t>
      </w:r>
    </w:p>
    <w:p w14:paraId="7DA3FA5E">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 xml:space="preserve"> （4）供应商应当对所投分包投标文件中“服务内容”所列的所有内容进行投标，如仅响应某一包中的部分内容，其该包投标将被认定为投标无效。</w:t>
      </w:r>
    </w:p>
    <w:p w14:paraId="369290AF">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（5）供应商未按本须知第12.1和12.3条规定提交投标保证金的，其投标资格将被认定为无效。</w:t>
      </w:r>
    </w:p>
    <w:p w14:paraId="569BA72F">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6）所有投标均以人民币报价。供应商的投标报价应遵守《中华人民共和国价格法》。同时，根据《中华人民共和国政府采购法》第二条的规定，为保证公平竞争，如有服务主体部分的赠予行为，其投标将被认定为投标无效。</w:t>
      </w:r>
    </w:p>
    <w:p w14:paraId="0A528C3B">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（7）供应商所报的各分项投标单价在合同履行过程中是固定不变的，不得以任何理由予以变更。任何包含价格调整要求的投标，其投标将被认定为投标无效。</w:t>
      </w:r>
    </w:p>
    <w:p w14:paraId="0F6DCC7D">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（8）投标应在供应商须知资料表中规定时间内保持有效。投标有效期不满足要求的投标，其投标将被认定为投标无效。</w:t>
      </w:r>
    </w:p>
    <w:p w14:paraId="0BB8FA4E">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（9）采购人或采购代理机构将在开标前1个工作日至投标截止后1小时的期间内查询供应商的信用记录。供应商存在不良信用记录的，其投标将被认定为投标无效。</w:t>
      </w:r>
    </w:p>
    <w:p w14:paraId="3AB94D03">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10）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14:paraId="3FD3426B">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11）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投标无效。</w:t>
      </w:r>
    </w:p>
    <w:p w14:paraId="48E187B8">
      <w:pPr>
        <w:widowControl/>
        <w:spacing w:line="400" w:lineRule="exact"/>
        <w:rPr>
          <w:rFonts w:hint="eastAsia" w:ascii="仿宋" w:hAnsi="仿宋" w:eastAsia="仿宋" w:cs="仿宋"/>
          <w:color w:val="auto"/>
          <w:spacing w:val="-1"/>
          <w:kern w:val="2"/>
          <w:sz w:val="24"/>
          <w:szCs w:val="24"/>
          <w:highlight w:val="none"/>
          <w:lang w:val="en-US" w:eastAsia="zh-CN" w:bidi="ar-SA"/>
        </w:rPr>
      </w:pPr>
      <w:r>
        <w:rPr>
          <w:rFonts w:hint="eastAsia" w:ascii="仿宋" w:hAnsi="仿宋" w:eastAsia="仿宋" w:cs="仿宋"/>
          <w:color w:val="auto"/>
          <w:spacing w:val="-1"/>
          <w:kern w:val="2"/>
          <w:sz w:val="24"/>
          <w:szCs w:val="24"/>
          <w:highlight w:val="none"/>
          <w:lang w:val="en-US" w:eastAsia="zh-CN" w:bidi="ar-SA"/>
        </w:rPr>
        <w:t>（12）如发现下列情况之一的，其投标将被认定为投标无效：未按招标文件规定的形式和金额提交投标保证金的；未按照招标文件规定要求签署、盖章的；未满足招标文件中技术条款的实质性要求；与其他供应商串通投标，或者与采购人串通投标；属于招标文件规定的其他投标无效情形；评标委员会认为供应商的报价明显低于其他通过符合性检查供应商的报价，有可能影响履约的，且供应商未按照规定证明其报价合理性的。</w:t>
      </w:r>
    </w:p>
    <w:p w14:paraId="3415B874">
      <w:pPr>
        <w:pStyle w:val="12"/>
        <w:tabs>
          <w:tab w:val="clear" w:pos="567"/>
        </w:tabs>
        <w:spacing w:before="0" w:line="360" w:lineRule="auto"/>
        <w:ind w:left="119" w:leftChars="28" w:hanging="60" w:hangingChars="25"/>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 </w:t>
      </w:r>
    </w:p>
    <w:p w14:paraId="056B7FAA">
      <w:pPr>
        <w:pStyle w:val="12"/>
        <w:tabs>
          <w:tab w:val="clear" w:pos="567"/>
        </w:tabs>
        <w:spacing w:before="0" w:line="360" w:lineRule="auto"/>
        <w:ind w:left="119" w:leftChars="28" w:hanging="60" w:hangingChars="25"/>
        <w:rPr>
          <w:rFonts w:hint="eastAsia" w:ascii="仿宋" w:hAnsi="仿宋" w:eastAsia="仿宋" w:cs="仿宋"/>
          <w:color w:val="auto"/>
          <w:highlight w:val="none"/>
        </w:rPr>
      </w:pPr>
    </w:p>
    <w:p w14:paraId="621ECFFD">
      <w:pPr>
        <w:pStyle w:val="12"/>
        <w:tabs>
          <w:tab w:val="clear" w:pos="567"/>
        </w:tabs>
        <w:spacing w:before="0" w:line="360" w:lineRule="auto"/>
        <w:ind w:left="119" w:leftChars="28" w:hanging="60" w:hangingChars="25"/>
        <w:rPr>
          <w:rFonts w:hint="eastAsia" w:ascii="仿宋" w:hAnsi="仿宋" w:eastAsia="仿宋" w:cs="仿宋"/>
          <w:color w:val="auto"/>
          <w:highlight w:val="none"/>
        </w:rPr>
      </w:pPr>
    </w:p>
    <w:p w14:paraId="39F0D594">
      <w:pPr>
        <w:pStyle w:val="88"/>
        <w:numPr>
          <w:ilvl w:val="0"/>
          <w:numId w:val="0"/>
        </w:numPr>
        <w:tabs>
          <w:tab w:val="left" w:pos="1476"/>
        </w:tabs>
        <w:spacing w:line="360" w:lineRule="auto"/>
        <w:ind w:right="-84" w:rightChars="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br w:type="page"/>
      </w:r>
      <w:r>
        <w:rPr>
          <w:rFonts w:hint="eastAsia" w:ascii="仿宋" w:hAnsi="仿宋" w:eastAsia="仿宋" w:cs="仿宋"/>
          <w:color w:val="auto"/>
          <w:kern w:val="2"/>
          <w:sz w:val="24"/>
          <w:szCs w:val="24"/>
          <w:highlight w:val="none"/>
          <w:lang w:val="en-US" w:eastAsia="zh-CN" w:bidi="ar-SA"/>
        </w:rPr>
        <w:t>注：1.</w:t>
      </w:r>
      <w:r>
        <w:rPr>
          <w:rFonts w:hint="eastAsia" w:ascii="仿宋" w:hAnsi="仿宋" w:eastAsia="仿宋" w:cs="仿宋"/>
          <w:b/>
          <w:bCs/>
          <w:color w:val="auto"/>
          <w:kern w:val="2"/>
          <w:sz w:val="24"/>
          <w:szCs w:val="24"/>
          <w:highlight w:val="none"/>
          <w:lang w:val="en-US" w:eastAsia="zh-CN" w:bidi="ar-SA"/>
        </w:rPr>
        <w:t>（本项目适用）</w:t>
      </w:r>
      <w:r>
        <w:rPr>
          <w:rFonts w:hint="eastAsia" w:ascii="仿宋" w:hAnsi="仿宋" w:eastAsia="仿宋" w:cs="仿宋"/>
          <w:color w:val="auto"/>
          <w:kern w:val="2"/>
          <w:sz w:val="24"/>
          <w:szCs w:val="24"/>
          <w:highlight w:val="none"/>
          <w:lang w:val="en-US" w:eastAsia="zh-CN" w:bidi="ar-SA"/>
        </w:rPr>
        <w:t>《政府采购促进中小企业发展管理办法》（财库[2020]46号）、《关于进一步加大政府采购支持中小企业力度的通知》（财库[2022]19号）、《财政部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对于未预留份额专门面向中小企业的采购项目，以及预留份额项目中的非预留部分采购包，采购人、采购代理机构应当对符合规定的小微企业报价给予</w:t>
      </w:r>
      <w:r>
        <w:rPr>
          <w:rFonts w:hint="eastAsia" w:ascii="仿宋" w:hAnsi="仿宋" w:eastAsia="仿宋" w:cs="仿宋"/>
          <w:color w:val="auto"/>
          <w:kern w:val="2"/>
          <w:sz w:val="24"/>
          <w:szCs w:val="24"/>
          <w:highlight w:val="none"/>
          <w:u w:val="single"/>
          <w:lang w:val="en-US" w:eastAsia="zh-CN" w:bidi="ar-SA"/>
        </w:rPr>
        <w:t xml:space="preserve">  10  %</w:t>
      </w:r>
      <w:r>
        <w:rPr>
          <w:rFonts w:hint="eastAsia" w:ascii="仿宋" w:hAnsi="仿宋" w:eastAsia="仿宋" w:cs="仿宋"/>
          <w:color w:val="auto"/>
          <w:kern w:val="2"/>
          <w:sz w:val="24"/>
          <w:szCs w:val="24"/>
          <w:highlight w:val="none"/>
          <w:lang w:val="en-US" w:eastAsia="zh-CN" w:bidi="ar-SA"/>
        </w:rPr>
        <w:t>的扣除，用扣除后的价格参加评审。对于同时属于小微企业、监狱企业或残疾人福利性单位的，不重复进行投标报价扣除。</w:t>
      </w:r>
    </w:p>
    <w:p w14:paraId="3B7FA8E7">
      <w:pPr>
        <w:widowControl/>
        <w:numPr>
          <w:ilvl w:val="0"/>
          <w:numId w:val="0"/>
        </w:num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2.投标人所投产品如被列入财政部与国家主管部门颁发的节能产品目录或环境标志产品目录或无线局域网产品目录，应提供相关证明，在评标时予以优先采购，具体优惠措施为：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color w:val="auto"/>
          <w:kern w:val="2"/>
          <w:sz w:val="24"/>
          <w:szCs w:val="24"/>
          <w:highlight w:val="none"/>
          <w:u w:val="single"/>
          <w:lang w:val="en-US" w:eastAsia="zh-CN" w:bidi="ar-SA"/>
        </w:rPr>
        <w:t>详见评标办法。</w:t>
      </w:r>
      <w:r>
        <w:rPr>
          <w:rFonts w:hint="eastAsia" w:ascii="仿宋" w:hAnsi="仿宋" w:eastAsia="仿宋" w:cs="仿宋"/>
          <w:color w:val="auto"/>
          <w:kern w:val="2"/>
          <w:sz w:val="24"/>
          <w:szCs w:val="24"/>
          <w:highlight w:val="none"/>
          <w:lang w:val="en-US" w:eastAsia="zh-CN" w:bidi="ar-SA"/>
        </w:rPr>
        <w:t xml:space="preserve">     </w:t>
      </w:r>
    </w:p>
    <w:p w14:paraId="3E16967F">
      <w:pPr>
        <w:pStyle w:val="12"/>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如采购人所采购产品为政府强制采购的节能产品，投标人所投产品的品牌及型号必须为清单中有效期内产品并提供证明文件，否则其投标将被认定为</w:t>
      </w:r>
      <w:r>
        <w:rPr>
          <w:rFonts w:hint="eastAsia" w:ascii="仿宋" w:hAnsi="仿宋" w:eastAsia="仿宋" w:cs="仿宋"/>
          <w:b/>
          <w:bCs/>
          <w:color w:val="auto"/>
          <w:highlight w:val="none"/>
        </w:rPr>
        <w:t>投标无效</w:t>
      </w:r>
      <w:r>
        <w:rPr>
          <w:rFonts w:hint="eastAsia" w:ascii="仿宋" w:hAnsi="仿宋" w:eastAsia="仿宋" w:cs="仿宋"/>
          <w:color w:val="auto"/>
          <w:highlight w:val="none"/>
        </w:rPr>
        <w:t>。</w:t>
      </w:r>
    </w:p>
    <w:p w14:paraId="1D449BA8">
      <w:pPr>
        <w:pStyle w:val="12"/>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.对创新产品或创新性企业的优惠措施为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eastAsia="zh-CN"/>
        </w:rPr>
        <w:t>无</w:t>
      </w:r>
      <w:r>
        <w:rPr>
          <w:rFonts w:hint="eastAsia" w:ascii="仿宋" w:hAnsi="仿宋" w:eastAsia="仿宋" w:cs="仿宋"/>
          <w:color w:val="auto"/>
          <w:highlight w:val="none"/>
          <w:u w:val="single"/>
        </w:rPr>
        <w:t xml:space="preserve">      </w:t>
      </w:r>
    </w:p>
    <w:p w14:paraId="15FDCC66">
      <w:pPr>
        <w:pStyle w:val="12"/>
        <w:tabs>
          <w:tab w:val="clear" w:pos="567"/>
        </w:tabs>
        <w:spacing w:before="0"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5.（</w:t>
      </w:r>
      <w:r>
        <w:rPr>
          <w:rFonts w:hint="eastAsia" w:ascii="仿宋" w:hAnsi="仿宋" w:eastAsia="仿宋" w:cs="仿宋"/>
          <w:b/>
          <w:bCs/>
          <w:color w:val="auto"/>
          <w:highlight w:val="none"/>
          <w:lang w:val="en-US" w:eastAsia="zh-CN"/>
        </w:rPr>
        <w:t>本项目适用</w:t>
      </w:r>
      <w:r>
        <w:rPr>
          <w:rFonts w:hint="eastAsia" w:ascii="仿宋" w:hAnsi="仿宋" w:eastAsia="仿宋" w:cs="仿宋"/>
          <w:color w:val="auto"/>
          <w:highlight w:val="none"/>
          <w:lang w:val="en-US" w:eastAsia="zh-CN"/>
        </w:rPr>
        <w:t>）</w:t>
      </w:r>
      <w:r>
        <w:rPr>
          <w:rFonts w:hint="eastAsia" w:ascii="仿宋" w:hAnsi="仿宋" w:eastAsia="仿宋" w:cs="仿宋"/>
          <w:color w:val="auto"/>
          <w:highlight w:val="none"/>
          <w:lang w:eastAsia="zh-CN"/>
        </w:rPr>
        <w:t>相同品牌产品</w:t>
      </w:r>
      <w:r>
        <w:rPr>
          <w:rFonts w:hint="eastAsia" w:ascii="仿宋" w:hAnsi="仿宋" w:eastAsia="仿宋" w:cs="仿宋"/>
          <w:color w:val="auto"/>
          <w:highlight w:val="none"/>
        </w:rPr>
        <w:t>处理办法</w:t>
      </w:r>
      <w:r>
        <w:rPr>
          <w:rFonts w:hint="eastAsia" w:ascii="仿宋" w:hAnsi="仿宋" w:eastAsia="仿宋" w:cs="仿宋"/>
          <w:color w:val="auto"/>
          <w:highlight w:val="none"/>
          <w:lang w:eastAsia="zh-CN"/>
        </w:rPr>
        <w:t>：非单一产品采购项目，采购人应当根据采购项目技术构成、产品价格比重等合理确定核心产品，并在招标文件中载明。多家投标人提供的核心产品品牌相同的，按以下规定处理</w:t>
      </w:r>
      <w:r>
        <w:rPr>
          <w:rFonts w:hint="eastAsia" w:ascii="仿宋" w:hAnsi="仿宋" w:eastAsia="仿宋" w:cs="仿宋"/>
          <w:color w:val="auto"/>
          <w:highlight w:val="none"/>
          <w:lang w:val="en-US" w:eastAsia="zh-CN"/>
        </w:rPr>
        <w:t>。</w:t>
      </w:r>
    </w:p>
    <w:p w14:paraId="4077A146">
      <w:pPr>
        <w:pStyle w:val="12"/>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rPr>
        <w:t>如采用最低评标</w:t>
      </w:r>
      <w:r>
        <w:rPr>
          <w:rFonts w:hint="eastAsia" w:ascii="仿宋" w:hAnsi="仿宋" w:eastAsia="仿宋" w:cs="仿宋"/>
          <w:color w:val="auto"/>
          <w:highlight w:val="none"/>
          <w:lang w:eastAsia="zh-CN"/>
        </w:rPr>
        <w:t>价</w:t>
      </w:r>
      <w:r>
        <w:rPr>
          <w:rFonts w:hint="eastAsia" w:ascii="仿宋" w:hAnsi="仿宋" w:eastAsia="仿宋" w:cs="仿宋"/>
          <w:color w:val="auto"/>
          <w:highlight w:val="none"/>
        </w:rPr>
        <w:t>法，则：</w:t>
      </w:r>
      <w:r>
        <w:rPr>
          <w:rFonts w:hint="eastAsia" w:ascii="仿宋" w:hAnsi="仿宋" w:eastAsia="仿宋" w:cs="仿宋"/>
          <w:color w:val="auto"/>
          <w:highlight w:val="none"/>
          <w:u w:val="single"/>
          <w:lang w:eastAsia="zh-CN"/>
        </w:rPr>
        <w:t>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r>
        <w:rPr>
          <w:rFonts w:hint="eastAsia" w:ascii="仿宋" w:hAnsi="仿宋" w:eastAsia="仿宋" w:cs="仿宋"/>
          <w:b/>
          <w:bCs/>
          <w:color w:val="auto"/>
          <w:highlight w:val="none"/>
          <w:u w:val="single"/>
          <w:lang w:eastAsia="zh-CN"/>
        </w:rPr>
        <w:t>规定：报价相同的，采用随机抽取方式确定</w:t>
      </w:r>
      <w:r>
        <w:rPr>
          <w:rFonts w:hint="eastAsia" w:ascii="仿宋" w:hAnsi="仿宋" w:eastAsia="仿宋" w:cs="仿宋"/>
          <w:color w:val="auto"/>
          <w:highlight w:val="none"/>
          <w:u w:val="single"/>
          <w:lang w:eastAsia="zh-CN"/>
        </w:rPr>
        <w:t>）</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5CEC5E1B">
      <w:pPr>
        <w:pStyle w:val="12"/>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rPr>
        <w:t>如采用综合评标法，则：</w:t>
      </w:r>
      <w:r>
        <w:rPr>
          <w:rFonts w:hint="eastAsia" w:ascii="仿宋" w:hAnsi="仿宋" w:eastAsia="仿宋" w:cs="仿宋"/>
          <w:color w:val="auto"/>
          <w:highlight w:val="none"/>
          <w:u w:val="single"/>
          <w:lang w:eastAsia="zh-CN"/>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r>
        <w:rPr>
          <w:rFonts w:hint="eastAsia" w:ascii="仿宋" w:hAnsi="仿宋" w:eastAsia="仿宋" w:cs="仿宋"/>
          <w:b/>
          <w:bCs/>
          <w:color w:val="auto"/>
          <w:highlight w:val="none"/>
          <w:u w:val="single"/>
          <w:lang w:eastAsia="zh-CN"/>
        </w:rPr>
        <w:t>规定：评审得分相同的，报价低的获得中标人推荐资格，报价分也相同的，采用随机抽取方式确定推荐资格</w:t>
      </w:r>
      <w:r>
        <w:rPr>
          <w:rFonts w:hint="eastAsia" w:ascii="仿宋" w:hAnsi="仿宋" w:eastAsia="仿宋" w:cs="仿宋"/>
          <w:color w:val="auto"/>
          <w:highlight w:val="none"/>
          <w:u w:val="single"/>
          <w:lang w:eastAsia="zh-CN"/>
        </w:rPr>
        <w:t>）</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3C9E533">
      <w:pPr>
        <w:pStyle w:val="12"/>
        <w:tabs>
          <w:tab w:val="clear" w:pos="567"/>
        </w:tabs>
        <w:spacing w:before="0"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 xml:space="preserve">.中标候选人并列时的处理方式：   </w:t>
      </w:r>
    </w:p>
    <w:p w14:paraId="65FDECE9">
      <w:pPr>
        <w:pStyle w:val="12"/>
        <w:tabs>
          <w:tab w:val="clear" w:pos="567"/>
        </w:tabs>
        <w:spacing w:before="0" w:line="360" w:lineRule="auto"/>
        <w:ind w:left="-181" w:leftChars="-86" w:firstLine="180" w:firstLineChars="75"/>
        <w:rPr>
          <w:rFonts w:hint="eastAsia" w:ascii="仿宋" w:hAnsi="仿宋" w:eastAsia="仿宋" w:cs="仿宋"/>
          <w:color w:val="auto"/>
          <w:highlight w:val="none"/>
        </w:rPr>
      </w:pPr>
      <w:r>
        <w:rPr>
          <w:rFonts w:hint="eastAsia" w:ascii="仿宋" w:hAnsi="仿宋" w:eastAsia="仿宋" w:cs="仿宋"/>
          <w:color w:val="auto"/>
          <w:highlight w:val="none"/>
        </w:rPr>
        <w:t>如采用最低评标办法，则：</w:t>
      </w:r>
      <w:r>
        <w:rPr>
          <w:rFonts w:hint="eastAsia" w:ascii="仿宋" w:hAnsi="仿宋" w:eastAsia="仿宋" w:cs="仿宋"/>
          <w:color w:val="auto"/>
          <w:highlight w:val="none"/>
          <w:u w:val="single"/>
          <w:lang w:eastAsia="zh-CN"/>
        </w:rPr>
        <w:t>采用随机抽取的方式确定</w:t>
      </w:r>
      <w:r>
        <w:rPr>
          <w:rFonts w:hint="eastAsia" w:ascii="仿宋" w:hAnsi="仿宋" w:eastAsia="仿宋" w:cs="仿宋"/>
          <w:color w:val="auto"/>
          <w:highlight w:val="none"/>
        </w:rPr>
        <w:t>；</w:t>
      </w:r>
    </w:p>
    <w:p w14:paraId="1CDF3450">
      <w:pPr>
        <w:pStyle w:val="12"/>
        <w:tabs>
          <w:tab w:val="clear" w:pos="567"/>
        </w:tabs>
        <w:spacing w:before="0" w:line="360" w:lineRule="auto"/>
        <w:ind w:left="119" w:leftChars="28" w:hanging="60" w:hangingChars="25"/>
        <w:rPr>
          <w:rFonts w:hint="eastAsia" w:ascii="仿宋" w:hAnsi="仿宋" w:eastAsia="仿宋" w:cs="仿宋"/>
          <w:color w:val="auto"/>
          <w:highlight w:val="none"/>
        </w:rPr>
      </w:pPr>
      <w:r>
        <w:rPr>
          <w:rFonts w:hint="eastAsia" w:ascii="仿宋" w:hAnsi="仿宋" w:eastAsia="仿宋" w:cs="仿宋"/>
          <w:color w:val="auto"/>
          <w:highlight w:val="none"/>
        </w:rPr>
        <w:t>如采用综合评标法，则：</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eastAsia="zh-CN"/>
        </w:rPr>
        <w:t>报价最低者优先，如报价相同，则采用随机抽取的方式确定</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571F2B6">
      <w:pPr>
        <w:pStyle w:val="12"/>
        <w:tabs>
          <w:tab w:val="clear" w:pos="567"/>
        </w:tabs>
        <w:spacing w:before="0" w:line="360" w:lineRule="auto"/>
        <w:ind w:left="-181" w:leftChars="-86" w:firstLine="660" w:firstLineChars="275"/>
        <w:rPr>
          <w:rFonts w:hint="eastAsia" w:ascii="仿宋" w:hAnsi="仿宋" w:eastAsia="仿宋" w:cs="仿宋"/>
        </w:rPr>
      </w:pPr>
      <w:r>
        <w:rPr>
          <w:rFonts w:hint="eastAsia" w:ascii="仿宋" w:hAnsi="仿宋" w:eastAsia="仿宋" w:cs="仿宋"/>
          <w:color w:val="auto"/>
          <w:highlight w:val="none"/>
        </w:rPr>
        <w:br w:type="page"/>
      </w:r>
    </w:p>
    <w:tbl>
      <w:tblPr>
        <w:tblStyle w:val="39"/>
        <w:tblW w:w="957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13"/>
        <w:gridCol w:w="6587"/>
        <w:gridCol w:w="625"/>
        <w:gridCol w:w="643"/>
        <w:gridCol w:w="534"/>
        <w:gridCol w:w="670"/>
      </w:tblGrid>
      <w:tr w14:paraId="294E68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5" w:hRule="atLeast"/>
          <w:jc w:val="center"/>
        </w:trPr>
        <w:tc>
          <w:tcPr>
            <w:tcW w:w="9572" w:type="dxa"/>
            <w:gridSpan w:val="6"/>
            <w:tcBorders>
              <w:top w:val="single" w:color="auto" w:sz="12" w:space="0"/>
              <w:left w:val="single" w:color="auto" w:sz="12" w:space="0"/>
              <w:bottom w:val="single" w:color="auto" w:sz="6" w:space="0"/>
              <w:right w:val="single" w:color="auto" w:sz="12" w:space="0"/>
            </w:tcBorders>
            <w:noWrap w:val="0"/>
            <w:vAlign w:val="center"/>
          </w:tcPr>
          <w:p w14:paraId="212CB83E">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bCs/>
                <w:color w:val="auto"/>
                <w:kern w:val="0"/>
                <w:sz w:val="32"/>
                <w:szCs w:val="32"/>
                <w:highlight w:val="none"/>
                <w:lang w:val="en-US" w:eastAsia="zh-CN"/>
              </w:rPr>
              <w:t>初步符合性审查</w:t>
            </w:r>
          </w:p>
        </w:tc>
      </w:tr>
      <w:tr w14:paraId="262D29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5" w:hRule="atLeast"/>
          <w:jc w:val="center"/>
        </w:trPr>
        <w:tc>
          <w:tcPr>
            <w:tcW w:w="7100" w:type="dxa"/>
            <w:gridSpan w:val="2"/>
            <w:vMerge w:val="restart"/>
            <w:tcBorders>
              <w:top w:val="single" w:color="auto" w:sz="12" w:space="0"/>
              <w:left w:val="single" w:color="auto" w:sz="12" w:space="0"/>
              <w:bottom w:val="single" w:color="auto" w:sz="6" w:space="0"/>
              <w:right w:val="single" w:color="auto" w:sz="4" w:space="0"/>
            </w:tcBorders>
            <w:noWrap w:val="0"/>
            <w:vAlign w:val="center"/>
          </w:tcPr>
          <w:p w14:paraId="4E6C265B">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评审内容</w:t>
            </w:r>
          </w:p>
        </w:tc>
        <w:tc>
          <w:tcPr>
            <w:tcW w:w="2472" w:type="dxa"/>
            <w:gridSpan w:val="4"/>
            <w:tcBorders>
              <w:top w:val="single" w:color="auto" w:sz="12" w:space="0"/>
              <w:left w:val="single" w:color="auto" w:sz="4" w:space="0"/>
              <w:bottom w:val="single" w:color="auto" w:sz="4" w:space="0"/>
              <w:right w:val="single" w:color="auto" w:sz="12" w:space="0"/>
            </w:tcBorders>
            <w:noWrap w:val="0"/>
            <w:vAlign w:val="center"/>
          </w:tcPr>
          <w:p w14:paraId="13C6E4A9">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投标企业名称</w:t>
            </w:r>
          </w:p>
        </w:tc>
      </w:tr>
      <w:tr w14:paraId="0F1C9F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7100" w:type="dxa"/>
            <w:gridSpan w:val="2"/>
            <w:vMerge w:val="continue"/>
            <w:tcBorders>
              <w:top w:val="single" w:color="auto" w:sz="12" w:space="0"/>
              <w:left w:val="single" w:color="auto" w:sz="12" w:space="0"/>
              <w:bottom w:val="single" w:color="auto" w:sz="6" w:space="0"/>
              <w:right w:val="single" w:color="auto" w:sz="4" w:space="0"/>
            </w:tcBorders>
            <w:noWrap w:val="0"/>
            <w:vAlign w:val="center"/>
          </w:tcPr>
          <w:p w14:paraId="00AF352D">
            <w:pPr>
              <w:keepNext w:val="0"/>
              <w:keepLines w:val="0"/>
              <w:widowControl/>
              <w:suppressLineNumbers w:val="0"/>
              <w:spacing w:before="0" w:beforeAutospacing="0" w:after="0" w:afterAutospacing="0" w:line="360" w:lineRule="auto"/>
              <w:ind w:left="0" w:right="0"/>
              <w:jc w:val="left"/>
              <w:rPr>
                <w:rFonts w:hint="eastAsia" w:ascii="仿宋" w:hAnsi="仿宋" w:eastAsia="仿宋" w:cs="仿宋"/>
                <w:b/>
                <w:color w:val="auto"/>
                <w:sz w:val="21"/>
                <w:szCs w:val="21"/>
                <w:highlight w:val="none"/>
              </w:rPr>
            </w:pPr>
          </w:p>
        </w:tc>
        <w:tc>
          <w:tcPr>
            <w:tcW w:w="625" w:type="dxa"/>
            <w:tcBorders>
              <w:top w:val="single" w:color="auto" w:sz="4" w:space="0"/>
              <w:left w:val="single" w:color="auto" w:sz="4" w:space="0"/>
              <w:bottom w:val="single" w:color="auto" w:sz="6" w:space="0"/>
              <w:right w:val="single" w:color="auto" w:sz="4" w:space="0"/>
            </w:tcBorders>
            <w:noWrap w:val="0"/>
            <w:vAlign w:val="top"/>
          </w:tcPr>
          <w:p w14:paraId="5579464F">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w:t>
            </w:r>
          </w:p>
        </w:tc>
        <w:tc>
          <w:tcPr>
            <w:tcW w:w="643" w:type="dxa"/>
            <w:tcBorders>
              <w:top w:val="single" w:color="auto" w:sz="4" w:space="0"/>
              <w:left w:val="single" w:color="auto" w:sz="4" w:space="0"/>
              <w:bottom w:val="single" w:color="auto" w:sz="6" w:space="0"/>
              <w:right w:val="single" w:color="auto" w:sz="6" w:space="0"/>
            </w:tcBorders>
            <w:noWrap w:val="0"/>
            <w:vAlign w:val="top"/>
          </w:tcPr>
          <w:p w14:paraId="714A3185">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w:t>
            </w:r>
          </w:p>
        </w:tc>
        <w:tc>
          <w:tcPr>
            <w:tcW w:w="534" w:type="dxa"/>
            <w:tcBorders>
              <w:top w:val="single" w:color="auto" w:sz="6" w:space="0"/>
              <w:left w:val="single" w:color="auto" w:sz="6" w:space="0"/>
              <w:bottom w:val="single" w:color="auto" w:sz="6" w:space="0"/>
              <w:right w:val="single" w:color="auto" w:sz="6" w:space="0"/>
            </w:tcBorders>
            <w:noWrap w:val="0"/>
            <w:vAlign w:val="center"/>
          </w:tcPr>
          <w:p w14:paraId="2D9A5773">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w:t>
            </w:r>
          </w:p>
        </w:tc>
        <w:tc>
          <w:tcPr>
            <w:tcW w:w="670" w:type="dxa"/>
            <w:tcBorders>
              <w:top w:val="single" w:color="auto" w:sz="6" w:space="0"/>
              <w:left w:val="single" w:color="auto" w:sz="6" w:space="0"/>
              <w:bottom w:val="single" w:color="auto" w:sz="6" w:space="0"/>
              <w:right w:val="single" w:color="auto" w:sz="12" w:space="0"/>
            </w:tcBorders>
            <w:noWrap w:val="0"/>
            <w:vAlign w:val="center"/>
          </w:tcPr>
          <w:p w14:paraId="090E8004">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w:t>
            </w:r>
          </w:p>
        </w:tc>
      </w:tr>
      <w:tr w14:paraId="30847C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710D55E8">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lang w:val="en-US" w:eastAsia="zh-CN"/>
              </w:rPr>
              <w:t>1</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1E285A14">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由政府立项核准、审批的采购项目，投标报价高于设定的采购预算价的；</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2687ABD9">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44FA970A">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4F487E39">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0C966BC5">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730933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50733F51">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rPr>
              <w:t>2</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680FD918">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供应商名称或组织机构与</w:t>
            </w:r>
            <w:r>
              <w:rPr>
                <w:rFonts w:hint="eastAsia" w:ascii="仿宋" w:hAnsi="仿宋" w:eastAsia="仿宋" w:cs="仿宋"/>
                <w:color w:val="auto"/>
                <w:kern w:val="0"/>
                <w:sz w:val="21"/>
                <w:szCs w:val="21"/>
                <w:highlight w:val="none"/>
                <w:lang w:eastAsia="zh-CN"/>
              </w:rPr>
              <w:t>获取</w:t>
            </w:r>
            <w:r>
              <w:rPr>
                <w:rFonts w:hint="eastAsia" w:ascii="仿宋" w:hAnsi="仿宋" w:eastAsia="仿宋" w:cs="仿宋"/>
                <w:color w:val="auto"/>
                <w:kern w:val="0"/>
                <w:sz w:val="21"/>
                <w:szCs w:val="21"/>
                <w:highlight w:val="none"/>
              </w:rPr>
              <w:t>招标文件时不一致，未提供有效证明文件；</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28DAC1E5">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1CABC4F3">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7F84A68D">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51471A03">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1D27C5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5B194192">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rPr>
              <w:t>3</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0B3D3505">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对招标文件主要条款和承诺存在重大出入或保留；</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0F2A194D">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3EB31C9D">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4CE9AE5A">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599DBD45">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33F721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58083EA0">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rPr>
              <w:t>4</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18D10E4C">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投标文件未按照招标文件要求编写、印鉴及签字；</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2DADB8B2">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067805DE">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7B14DE67">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68D96B5C">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6379DE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1CFCCA58">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rPr>
              <w:t>5</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12C6BBEB">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供应商未按招标文件要求的格式填写，内容不全或关键字迹模糊、无法辨认的情况；</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51FFD454">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5BC36A5D">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1931F96A">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39E4833A">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3145D2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43519907">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rPr>
              <w:t>6</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52185BEC">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供应商有违反招标投标纪律的情况；</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659D60E8">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44FED31B">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5D3D7B8E">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73946CF3">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3EF101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513" w:type="dxa"/>
            <w:tcBorders>
              <w:top w:val="single" w:color="auto" w:sz="6" w:space="0"/>
              <w:left w:val="single" w:color="auto" w:sz="12" w:space="0"/>
              <w:bottom w:val="single" w:color="auto" w:sz="6" w:space="0"/>
              <w:right w:val="single" w:color="auto" w:sz="6" w:space="0"/>
            </w:tcBorders>
            <w:noWrap w:val="0"/>
            <w:vAlign w:val="center"/>
          </w:tcPr>
          <w:p w14:paraId="27C3C9EA">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7</w:t>
            </w:r>
          </w:p>
        </w:tc>
        <w:tc>
          <w:tcPr>
            <w:tcW w:w="6587" w:type="dxa"/>
            <w:tcBorders>
              <w:top w:val="single" w:color="auto" w:sz="6" w:space="0"/>
              <w:left w:val="single" w:color="auto" w:sz="6" w:space="0"/>
              <w:bottom w:val="single" w:color="auto" w:sz="6" w:space="0"/>
              <w:right w:val="single" w:color="auto" w:sz="4" w:space="0"/>
            </w:tcBorders>
            <w:noWrap w:val="0"/>
            <w:vAlign w:val="bottom"/>
          </w:tcPr>
          <w:p w14:paraId="797A3687">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bCs/>
                <w:color w:val="auto"/>
                <w:sz w:val="21"/>
                <w:szCs w:val="21"/>
                <w:highlight w:val="none"/>
              </w:rPr>
              <w:t>未提供招标文件</w:t>
            </w:r>
            <w:r>
              <w:rPr>
                <w:rFonts w:hint="eastAsia" w:ascii="仿宋" w:hAnsi="仿宋" w:eastAsia="仿宋" w:cs="仿宋"/>
                <w:bCs/>
                <w:color w:val="auto"/>
                <w:kern w:val="0"/>
                <w:sz w:val="21"/>
                <w:szCs w:val="21"/>
                <w:highlight w:val="none"/>
              </w:rPr>
              <w:t>中规定的其他实质性要求；</w:t>
            </w:r>
          </w:p>
        </w:tc>
        <w:tc>
          <w:tcPr>
            <w:tcW w:w="625" w:type="dxa"/>
            <w:tcBorders>
              <w:top w:val="single" w:color="auto" w:sz="6" w:space="0"/>
              <w:left w:val="single" w:color="auto" w:sz="4" w:space="0"/>
              <w:bottom w:val="single" w:color="auto" w:sz="6" w:space="0"/>
              <w:right w:val="single" w:color="auto" w:sz="4" w:space="0"/>
            </w:tcBorders>
            <w:noWrap w:val="0"/>
            <w:vAlign w:val="center"/>
          </w:tcPr>
          <w:p w14:paraId="79816D24">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6" w:space="0"/>
              <w:right w:val="single" w:color="auto" w:sz="6" w:space="0"/>
            </w:tcBorders>
            <w:noWrap w:val="0"/>
            <w:vAlign w:val="center"/>
          </w:tcPr>
          <w:p w14:paraId="1FDE90F2">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6" w:space="0"/>
              <w:right w:val="single" w:color="auto" w:sz="4" w:space="0"/>
            </w:tcBorders>
            <w:noWrap w:val="0"/>
            <w:vAlign w:val="top"/>
          </w:tcPr>
          <w:p w14:paraId="2A440546">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4" w:space="0"/>
              <w:bottom w:val="single" w:color="auto" w:sz="6" w:space="0"/>
              <w:right w:val="single" w:color="auto" w:sz="12" w:space="0"/>
            </w:tcBorders>
            <w:noWrap w:val="0"/>
            <w:vAlign w:val="top"/>
          </w:tcPr>
          <w:p w14:paraId="75C61AEB">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r w14:paraId="2A5A70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7100" w:type="dxa"/>
            <w:gridSpan w:val="2"/>
            <w:tcBorders>
              <w:top w:val="single" w:color="auto" w:sz="6" w:space="0"/>
              <w:left w:val="single" w:color="auto" w:sz="12" w:space="0"/>
              <w:bottom w:val="single" w:color="auto" w:sz="12" w:space="0"/>
              <w:right w:val="single" w:color="auto" w:sz="4" w:space="0"/>
            </w:tcBorders>
            <w:noWrap w:val="0"/>
            <w:vAlign w:val="top"/>
          </w:tcPr>
          <w:p w14:paraId="2A29C1E2">
            <w:pPr>
              <w:keepNext w:val="0"/>
              <w:keepLines w:val="0"/>
              <w:widowControl/>
              <w:suppressLineNumbers w:val="0"/>
              <w:spacing w:before="0" w:beforeAutospacing="0" w:after="0" w:afterAutospacing="0" w:line="360" w:lineRule="auto"/>
              <w:ind w:left="0" w:right="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结论：是否通过评审</w:t>
            </w:r>
          </w:p>
          <w:p w14:paraId="24CC1D7F">
            <w:pPr>
              <w:keepNext w:val="0"/>
              <w:keepLines w:val="0"/>
              <w:widowControl/>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未通过初步评审的，为无效投标。</w:t>
            </w:r>
          </w:p>
        </w:tc>
        <w:tc>
          <w:tcPr>
            <w:tcW w:w="625" w:type="dxa"/>
            <w:tcBorders>
              <w:top w:val="single" w:color="auto" w:sz="6" w:space="0"/>
              <w:left w:val="single" w:color="auto" w:sz="4" w:space="0"/>
              <w:bottom w:val="single" w:color="auto" w:sz="12" w:space="0"/>
              <w:right w:val="single" w:color="auto" w:sz="4" w:space="0"/>
            </w:tcBorders>
            <w:noWrap w:val="0"/>
            <w:vAlign w:val="top"/>
          </w:tcPr>
          <w:p w14:paraId="52886C4B">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43" w:type="dxa"/>
            <w:tcBorders>
              <w:top w:val="single" w:color="auto" w:sz="6" w:space="0"/>
              <w:left w:val="single" w:color="auto" w:sz="4" w:space="0"/>
              <w:bottom w:val="single" w:color="auto" w:sz="12" w:space="0"/>
              <w:right w:val="single" w:color="auto" w:sz="6" w:space="0"/>
            </w:tcBorders>
            <w:noWrap w:val="0"/>
            <w:vAlign w:val="top"/>
          </w:tcPr>
          <w:p w14:paraId="46E8E2E9">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534" w:type="dxa"/>
            <w:tcBorders>
              <w:top w:val="single" w:color="auto" w:sz="6" w:space="0"/>
              <w:left w:val="single" w:color="auto" w:sz="6" w:space="0"/>
              <w:bottom w:val="single" w:color="auto" w:sz="12" w:space="0"/>
              <w:right w:val="single" w:color="auto" w:sz="6" w:space="0"/>
            </w:tcBorders>
            <w:noWrap w:val="0"/>
            <w:vAlign w:val="top"/>
          </w:tcPr>
          <w:p w14:paraId="191B8137">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c>
          <w:tcPr>
            <w:tcW w:w="670" w:type="dxa"/>
            <w:tcBorders>
              <w:top w:val="single" w:color="auto" w:sz="6" w:space="0"/>
              <w:left w:val="single" w:color="auto" w:sz="6" w:space="0"/>
              <w:bottom w:val="single" w:color="auto" w:sz="12" w:space="0"/>
              <w:right w:val="single" w:color="auto" w:sz="12" w:space="0"/>
            </w:tcBorders>
            <w:noWrap w:val="0"/>
            <w:vAlign w:val="top"/>
          </w:tcPr>
          <w:p w14:paraId="55E99BC0">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1"/>
                <w:szCs w:val="21"/>
                <w:highlight w:val="none"/>
              </w:rPr>
            </w:pPr>
          </w:p>
        </w:tc>
      </w:tr>
    </w:tbl>
    <w:p w14:paraId="4CCC7FEC">
      <w:pPr>
        <w:pStyle w:val="12"/>
        <w:spacing w:before="12" w:line="240" w:lineRule="auto"/>
        <w:rPr>
          <w:rFonts w:hint="eastAsia" w:ascii="仿宋" w:hAnsi="仿宋" w:eastAsia="仿宋" w:cs="仿宋"/>
          <w:color w:val="auto"/>
          <w:sz w:val="24"/>
          <w:szCs w:val="24"/>
          <w:highlight w:val="none"/>
        </w:rPr>
      </w:pPr>
    </w:p>
    <w:p w14:paraId="01F5431E">
      <w:pPr>
        <w:pStyle w:val="12"/>
        <w:spacing w:before="12" w:line="240" w:lineRule="auto"/>
        <w:rPr>
          <w:rFonts w:hint="eastAsia" w:ascii="仿宋" w:hAnsi="仿宋" w:eastAsia="仿宋" w:cs="仿宋"/>
          <w:color w:val="auto"/>
          <w:sz w:val="24"/>
          <w:szCs w:val="24"/>
          <w:highlight w:val="none"/>
        </w:rPr>
      </w:pPr>
    </w:p>
    <w:p w14:paraId="47E1717B">
      <w:pPr>
        <w:pStyle w:val="12"/>
        <w:spacing w:before="12" w:line="240" w:lineRule="auto"/>
        <w:rPr>
          <w:rFonts w:hint="eastAsia" w:ascii="仿宋" w:hAnsi="仿宋" w:eastAsia="仿宋" w:cs="仿宋"/>
          <w:color w:val="auto"/>
          <w:sz w:val="24"/>
          <w:szCs w:val="24"/>
          <w:highlight w:val="none"/>
        </w:rPr>
      </w:pPr>
    </w:p>
    <w:p w14:paraId="025A7AD7">
      <w:pPr>
        <w:rPr>
          <w:rFonts w:hint="eastAsia" w:ascii="仿宋" w:hAnsi="仿宋" w:eastAsia="仿宋" w:cs="仿宋"/>
          <w:color w:val="auto"/>
          <w:sz w:val="24"/>
          <w:szCs w:val="24"/>
          <w:highlight w:val="none"/>
        </w:rPr>
      </w:pPr>
    </w:p>
    <w:p w14:paraId="2AC66A08">
      <w:pPr>
        <w:pStyle w:val="27"/>
        <w:rPr>
          <w:rFonts w:hint="eastAsia" w:ascii="仿宋" w:hAnsi="仿宋" w:eastAsia="仿宋" w:cs="仿宋"/>
          <w:color w:val="auto"/>
          <w:sz w:val="24"/>
          <w:szCs w:val="24"/>
          <w:highlight w:val="none"/>
        </w:rPr>
      </w:pPr>
    </w:p>
    <w:p w14:paraId="6F717FB0">
      <w:pPr>
        <w:pStyle w:val="27"/>
        <w:rPr>
          <w:rFonts w:hint="eastAsia" w:ascii="仿宋" w:hAnsi="仿宋" w:eastAsia="仿宋" w:cs="仿宋"/>
          <w:color w:val="auto"/>
          <w:sz w:val="24"/>
          <w:szCs w:val="24"/>
          <w:highlight w:val="none"/>
        </w:rPr>
      </w:pPr>
    </w:p>
    <w:p w14:paraId="37132FC2">
      <w:pPr>
        <w:pStyle w:val="27"/>
        <w:rPr>
          <w:rFonts w:hint="eastAsia" w:ascii="仿宋" w:hAnsi="仿宋" w:eastAsia="仿宋" w:cs="仿宋"/>
          <w:color w:val="auto"/>
          <w:sz w:val="24"/>
          <w:szCs w:val="24"/>
          <w:highlight w:val="none"/>
        </w:rPr>
      </w:pPr>
    </w:p>
    <w:p w14:paraId="11FF12A5">
      <w:pPr>
        <w:pStyle w:val="27"/>
        <w:rPr>
          <w:rFonts w:hint="eastAsia" w:ascii="仿宋" w:hAnsi="仿宋" w:eastAsia="仿宋" w:cs="仿宋"/>
          <w:color w:val="auto"/>
          <w:sz w:val="24"/>
          <w:szCs w:val="24"/>
          <w:highlight w:val="none"/>
        </w:rPr>
      </w:pPr>
    </w:p>
    <w:p w14:paraId="1D430D41">
      <w:pPr>
        <w:pStyle w:val="27"/>
        <w:rPr>
          <w:rFonts w:hint="eastAsia" w:ascii="仿宋" w:hAnsi="仿宋" w:eastAsia="仿宋" w:cs="仿宋"/>
          <w:color w:val="auto"/>
          <w:sz w:val="24"/>
          <w:szCs w:val="24"/>
          <w:highlight w:val="none"/>
        </w:rPr>
      </w:pPr>
    </w:p>
    <w:p w14:paraId="7F750994">
      <w:pPr>
        <w:pStyle w:val="12"/>
        <w:spacing w:before="12" w:line="240" w:lineRule="auto"/>
        <w:rPr>
          <w:rFonts w:hint="eastAsia" w:ascii="仿宋" w:hAnsi="仿宋" w:eastAsia="仿宋" w:cs="仿宋"/>
          <w:color w:val="auto"/>
          <w:sz w:val="24"/>
          <w:szCs w:val="24"/>
          <w:highlight w:val="none"/>
        </w:rPr>
      </w:pPr>
    </w:p>
    <w:p w14:paraId="28116BA5">
      <w:pPr>
        <w:pStyle w:val="12"/>
        <w:spacing w:before="12" w:line="240" w:lineRule="auto"/>
        <w:rPr>
          <w:rFonts w:hint="eastAsia" w:ascii="仿宋" w:hAnsi="仿宋" w:eastAsia="仿宋" w:cs="仿宋"/>
          <w:color w:val="auto"/>
          <w:sz w:val="24"/>
          <w:szCs w:val="24"/>
          <w:highlight w:val="none"/>
        </w:rPr>
      </w:pPr>
    </w:p>
    <w:p w14:paraId="44B83DF0">
      <w:pPr>
        <w:pStyle w:val="12"/>
        <w:spacing w:before="12"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tbl>
      <w:tblPr>
        <w:tblStyle w:val="39"/>
        <w:tblW w:w="8700" w:type="dxa"/>
        <w:tblInd w:w="108" w:type="dxa"/>
        <w:tblLayout w:type="fixed"/>
        <w:tblCellMar>
          <w:top w:w="0" w:type="dxa"/>
          <w:left w:w="108" w:type="dxa"/>
          <w:bottom w:w="0" w:type="dxa"/>
          <w:right w:w="108" w:type="dxa"/>
        </w:tblCellMar>
      </w:tblPr>
      <w:tblGrid>
        <w:gridCol w:w="2126"/>
        <w:gridCol w:w="2127"/>
        <w:gridCol w:w="1417"/>
        <w:gridCol w:w="1418"/>
        <w:gridCol w:w="1612"/>
      </w:tblGrid>
      <w:tr w14:paraId="7BE4413C">
        <w:tblPrEx>
          <w:tblCellMar>
            <w:top w:w="0" w:type="dxa"/>
            <w:left w:w="108" w:type="dxa"/>
            <w:bottom w:w="0" w:type="dxa"/>
            <w:right w:w="108" w:type="dxa"/>
          </w:tblCellMar>
        </w:tblPrEx>
        <w:trPr>
          <w:trHeight w:val="585" w:hRule="atLeast"/>
        </w:trPr>
        <w:tc>
          <w:tcPr>
            <w:tcW w:w="8700" w:type="dxa"/>
            <w:gridSpan w:val="5"/>
            <w:tcBorders>
              <w:top w:val="nil"/>
              <w:left w:val="nil"/>
              <w:bottom w:val="single" w:color="auto" w:sz="4" w:space="0"/>
              <w:right w:val="nil"/>
            </w:tcBorders>
            <w:noWrap w:val="0"/>
            <w:vAlign w:val="center"/>
          </w:tcPr>
          <w:p w14:paraId="3A5798BE">
            <w:pPr>
              <w:keepNext w:val="0"/>
              <w:keepLines w:val="0"/>
              <w:widowControl/>
              <w:suppressLineNumbers w:val="0"/>
              <w:spacing w:before="0" w:beforeAutospacing="0" w:after="0" w:afterAutospacing="0"/>
              <w:ind w:left="0" w:right="0"/>
              <w:jc w:val="center"/>
              <w:rPr>
                <w:rFonts w:hint="eastAsia" w:ascii="仿宋" w:hAnsi="仿宋" w:eastAsia="仿宋" w:cs="仿宋"/>
                <w:b/>
                <w:bCs/>
                <w:color w:val="auto"/>
                <w:kern w:val="0"/>
                <w:sz w:val="32"/>
                <w:szCs w:val="32"/>
                <w:highlight w:val="none"/>
              </w:rPr>
            </w:pPr>
            <w:r>
              <w:rPr>
                <w:rFonts w:hint="eastAsia" w:ascii="仿宋" w:hAnsi="仿宋" w:eastAsia="仿宋" w:cs="仿宋"/>
                <w:b/>
                <w:bCs/>
                <w:color w:val="auto"/>
                <w:kern w:val="0"/>
                <w:sz w:val="32"/>
                <w:szCs w:val="32"/>
                <w:highlight w:val="none"/>
              </w:rPr>
              <w:t>商务符合性审查表</w:t>
            </w:r>
          </w:p>
        </w:tc>
      </w:tr>
      <w:tr w14:paraId="79B242DA">
        <w:tblPrEx>
          <w:tblCellMar>
            <w:top w:w="0" w:type="dxa"/>
            <w:left w:w="108" w:type="dxa"/>
            <w:bottom w:w="0" w:type="dxa"/>
            <w:right w:w="108" w:type="dxa"/>
          </w:tblCellMar>
        </w:tblPrEx>
        <w:trPr>
          <w:trHeight w:val="754" w:hRule="atLeast"/>
        </w:trPr>
        <w:tc>
          <w:tcPr>
            <w:tcW w:w="4253" w:type="dxa"/>
            <w:gridSpan w:val="2"/>
            <w:tcBorders>
              <w:top w:val="single" w:color="auto" w:sz="4" w:space="0"/>
              <w:left w:val="single" w:color="auto" w:sz="4" w:space="0"/>
              <w:bottom w:val="single" w:color="auto" w:sz="4" w:space="0"/>
              <w:right w:val="single" w:color="auto" w:sz="4" w:space="0"/>
            </w:tcBorders>
            <w:noWrap w:val="0"/>
            <w:vAlign w:val="center"/>
          </w:tcPr>
          <w:p w14:paraId="48D54B90">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审查事项</w:t>
            </w:r>
          </w:p>
        </w:tc>
        <w:tc>
          <w:tcPr>
            <w:tcW w:w="4447" w:type="dxa"/>
            <w:gridSpan w:val="3"/>
            <w:tcBorders>
              <w:top w:val="single" w:color="auto" w:sz="4" w:space="0"/>
              <w:left w:val="single" w:color="auto" w:sz="4" w:space="0"/>
              <w:bottom w:val="single" w:color="auto" w:sz="4" w:space="0"/>
              <w:right w:val="single" w:color="auto" w:sz="4" w:space="0"/>
            </w:tcBorders>
            <w:noWrap w:val="0"/>
            <w:vAlign w:val="center"/>
          </w:tcPr>
          <w:p w14:paraId="18A590DA">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投标人名称及审查情况</w:t>
            </w:r>
          </w:p>
        </w:tc>
      </w:tr>
      <w:tr w14:paraId="23BCECDA">
        <w:tblPrEx>
          <w:tblCellMar>
            <w:top w:w="0" w:type="dxa"/>
            <w:left w:w="108" w:type="dxa"/>
            <w:bottom w:w="0" w:type="dxa"/>
            <w:right w:w="108" w:type="dxa"/>
          </w:tblCellMar>
        </w:tblPrEx>
        <w:trPr>
          <w:trHeight w:val="57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75E2F349">
            <w:pPr>
              <w:keepNext w:val="0"/>
              <w:keepLines w:val="0"/>
              <w:widowControl/>
              <w:suppressLineNumbers w:val="0"/>
              <w:spacing w:before="0" w:beforeAutospacing="0" w:after="0" w:afterAutospacing="0"/>
              <w:ind w:left="0" w:right="0"/>
              <w:jc w:val="left"/>
              <w:rPr>
                <w:rFonts w:hint="eastAsia"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招标文件条款（投标人须知、投标人须知资料表条款号）</w:t>
            </w:r>
          </w:p>
        </w:tc>
        <w:tc>
          <w:tcPr>
            <w:tcW w:w="2127" w:type="dxa"/>
            <w:tcBorders>
              <w:top w:val="single" w:color="auto" w:sz="4" w:space="0"/>
              <w:left w:val="single" w:color="auto" w:sz="4" w:space="0"/>
              <w:bottom w:val="single" w:color="auto" w:sz="4" w:space="0"/>
              <w:right w:val="single" w:color="auto" w:sz="4" w:space="0"/>
            </w:tcBorders>
            <w:noWrap w:val="0"/>
            <w:vAlign w:val="center"/>
          </w:tcPr>
          <w:p w14:paraId="2C34958E">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2"/>
                <w:szCs w:val="22"/>
                <w:highlight w:val="none"/>
              </w:rPr>
            </w:pPr>
            <w:r>
              <w:rPr>
                <w:rFonts w:hint="eastAsia" w:ascii="仿宋" w:hAnsi="仿宋" w:eastAsia="仿宋" w:cs="仿宋"/>
                <w:b/>
                <w:color w:val="auto"/>
                <w:kern w:val="0"/>
                <w:sz w:val="22"/>
                <w:szCs w:val="22"/>
                <w:highlight w:val="none"/>
              </w:rPr>
              <w:t>本项目要求</w:t>
            </w:r>
          </w:p>
        </w:tc>
        <w:tc>
          <w:tcPr>
            <w:tcW w:w="1417" w:type="dxa"/>
            <w:tcBorders>
              <w:top w:val="single" w:color="auto" w:sz="4" w:space="0"/>
              <w:left w:val="single" w:color="auto" w:sz="4" w:space="0"/>
              <w:bottom w:val="single" w:color="auto" w:sz="4" w:space="0"/>
              <w:right w:val="single" w:color="auto" w:sz="4" w:space="0"/>
            </w:tcBorders>
            <w:noWrap w:val="0"/>
            <w:vAlign w:val="center"/>
          </w:tcPr>
          <w:p w14:paraId="42F42A49">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0E1140CD">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21560B7B">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2B13BB7E">
        <w:tblPrEx>
          <w:tblCellMar>
            <w:top w:w="0" w:type="dxa"/>
            <w:left w:w="108" w:type="dxa"/>
            <w:bottom w:w="0" w:type="dxa"/>
            <w:right w:w="108" w:type="dxa"/>
          </w:tblCellMar>
        </w:tblPrEx>
        <w:trPr>
          <w:trHeight w:val="9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7C9E1455">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中小企业投标要求（1.3.6）</w:t>
            </w:r>
          </w:p>
        </w:tc>
        <w:tc>
          <w:tcPr>
            <w:tcW w:w="2127" w:type="dxa"/>
            <w:tcBorders>
              <w:top w:val="single" w:color="auto" w:sz="4" w:space="0"/>
              <w:left w:val="nil"/>
              <w:bottom w:val="single" w:color="auto" w:sz="4" w:space="0"/>
              <w:right w:val="single" w:color="auto" w:sz="4" w:space="0"/>
            </w:tcBorders>
            <w:noWrap w:val="0"/>
            <w:vAlign w:val="center"/>
          </w:tcPr>
          <w:p w14:paraId="1C2A14F3">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 w:val="22"/>
                <w:szCs w:val="22"/>
                <w:highlight w:val="none"/>
                <w:lang w:val="en-US" w:eastAsia="zh-CN"/>
              </w:rPr>
              <w:t>本项目适宜面向中小企业采购（该项目不专门面向中小企业）</w:t>
            </w:r>
          </w:p>
        </w:tc>
        <w:tc>
          <w:tcPr>
            <w:tcW w:w="1417" w:type="dxa"/>
            <w:tcBorders>
              <w:top w:val="single" w:color="auto" w:sz="4" w:space="0"/>
              <w:left w:val="nil"/>
              <w:bottom w:val="single" w:color="auto" w:sz="4" w:space="0"/>
              <w:right w:val="single" w:color="auto" w:sz="4" w:space="0"/>
            </w:tcBorders>
            <w:noWrap w:val="0"/>
            <w:vAlign w:val="center"/>
          </w:tcPr>
          <w:p w14:paraId="0703C04A">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0F55B6D7">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04C84D32">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32C14632">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569DECDF">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联合体投标规定</w:t>
            </w:r>
          </w:p>
          <w:p w14:paraId="2D070A7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（1.4）</w:t>
            </w:r>
          </w:p>
        </w:tc>
        <w:tc>
          <w:tcPr>
            <w:tcW w:w="2127" w:type="dxa"/>
            <w:tcBorders>
              <w:top w:val="single" w:color="auto" w:sz="4" w:space="0"/>
              <w:left w:val="nil"/>
              <w:bottom w:val="single" w:color="auto" w:sz="4" w:space="0"/>
              <w:right w:val="single" w:color="auto" w:sz="4" w:space="0"/>
            </w:tcBorders>
            <w:noWrap w:val="0"/>
            <w:vAlign w:val="center"/>
          </w:tcPr>
          <w:p w14:paraId="63C2CCEF">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lang w:eastAsia="zh-CN"/>
              </w:rPr>
            </w:pPr>
            <w:r>
              <w:rPr>
                <w:rFonts w:hint="eastAsia" w:ascii="仿宋" w:hAnsi="仿宋" w:eastAsia="仿宋" w:cs="仿宋"/>
                <w:color w:val="0000FF"/>
                <w:kern w:val="0"/>
                <w:szCs w:val="21"/>
                <w:highlight w:val="none"/>
              </w:rPr>
              <w:t>本项目</w:t>
            </w:r>
            <w:r>
              <w:rPr>
                <w:rFonts w:hint="eastAsia" w:ascii="仿宋" w:hAnsi="仿宋" w:eastAsia="仿宋" w:cs="仿宋"/>
                <w:color w:val="0000FF"/>
                <w:kern w:val="0"/>
                <w:szCs w:val="21"/>
                <w:highlight w:val="none"/>
                <w:u w:val="single"/>
                <w:lang w:eastAsia="zh-CN"/>
              </w:rPr>
              <w:t>不</w:t>
            </w:r>
            <w:r>
              <w:rPr>
                <w:rFonts w:hint="eastAsia" w:ascii="仿宋" w:hAnsi="仿宋" w:eastAsia="仿宋" w:cs="仿宋"/>
                <w:i w:val="0"/>
                <w:iCs w:val="0"/>
                <w:color w:val="0000FF"/>
                <w:kern w:val="0"/>
                <w:szCs w:val="21"/>
                <w:highlight w:val="none"/>
                <w:u w:val="single"/>
              </w:rPr>
              <w:t>接受</w:t>
            </w:r>
            <w:r>
              <w:rPr>
                <w:rFonts w:hint="eastAsia" w:ascii="仿宋" w:hAnsi="仿宋" w:eastAsia="仿宋" w:cs="仿宋"/>
                <w:color w:val="0000FF"/>
                <w:kern w:val="0"/>
                <w:szCs w:val="21"/>
                <w:highlight w:val="none"/>
              </w:rPr>
              <w:t>联合体投标</w:t>
            </w:r>
          </w:p>
        </w:tc>
        <w:tc>
          <w:tcPr>
            <w:tcW w:w="1417" w:type="dxa"/>
            <w:tcBorders>
              <w:top w:val="single" w:color="auto" w:sz="4" w:space="0"/>
              <w:left w:val="nil"/>
              <w:bottom w:val="single" w:color="auto" w:sz="4" w:space="0"/>
              <w:right w:val="single" w:color="auto" w:sz="4" w:space="0"/>
            </w:tcBorders>
            <w:noWrap w:val="0"/>
            <w:vAlign w:val="center"/>
          </w:tcPr>
          <w:p w14:paraId="05220EB8">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5E7A3D6A">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03841988">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243357A3">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7F8F3AA6">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投标人的关联性</w:t>
            </w:r>
          </w:p>
          <w:p w14:paraId="4CAADA7E">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（1.5）</w:t>
            </w:r>
          </w:p>
        </w:tc>
        <w:tc>
          <w:tcPr>
            <w:tcW w:w="2127" w:type="dxa"/>
            <w:tcBorders>
              <w:top w:val="single" w:color="auto" w:sz="4" w:space="0"/>
              <w:left w:val="nil"/>
              <w:bottom w:val="single" w:color="auto" w:sz="4" w:space="0"/>
              <w:right w:val="single" w:color="auto" w:sz="4" w:space="0"/>
            </w:tcBorders>
            <w:noWrap w:val="0"/>
            <w:vAlign w:val="center"/>
          </w:tcPr>
          <w:p w14:paraId="7599EAE6">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在同一标包内，单位负责人为非同一人或者不存在直接控股、管理关系的不同供应商。</w:t>
            </w:r>
          </w:p>
        </w:tc>
        <w:tc>
          <w:tcPr>
            <w:tcW w:w="1417" w:type="dxa"/>
            <w:tcBorders>
              <w:top w:val="single" w:color="auto" w:sz="4" w:space="0"/>
              <w:left w:val="nil"/>
              <w:bottom w:val="single" w:color="auto" w:sz="4" w:space="0"/>
              <w:right w:val="single" w:color="auto" w:sz="4" w:space="0"/>
            </w:tcBorders>
            <w:noWrap w:val="0"/>
            <w:vAlign w:val="center"/>
          </w:tcPr>
          <w:p w14:paraId="0855B5C8">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0EAC29CC">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4769045D">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369FF033">
        <w:tblPrEx>
          <w:tblCellMar>
            <w:top w:w="0" w:type="dxa"/>
            <w:left w:w="108" w:type="dxa"/>
            <w:bottom w:w="0" w:type="dxa"/>
            <w:right w:w="108" w:type="dxa"/>
          </w:tblCellMar>
        </w:tblPrEx>
        <w:trPr>
          <w:trHeight w:val="1331"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6E2ECFFB">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未发现影响采购人决策行为（1.5）</w:t>
            </w:r>
          </w:p>
        </w:tc>
        <w:tc>
          <w:tcPr>
            <w:tcW w:w="2127" w:type="dxa"/>
            <w:tcBorders>
              <w:top w:val="single" w:color="auto" w:sz="4" w:space="0"/>
              <w:left w:val="nil"/>
              <w:bottom w:val="single" w:color="auto" w:sz="4" w:space="0"/>
              <w:right w:val="single" w:color="auto" w:sz="4" w:space="0"/>
            </w:tcBorders>
            <w:noWrap w:val="0"/>
            <w:vAlign w:val="center"/>
          </w:tcPr>
          <w:p w14:paraId="61FC4203">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投标人在投标过程中未向采购人提供、给予任何有价值的物品，影响其正常决策行为。</w:t>
            </w:r>
          </w:p>
        </w:tc>
        <w:tc>
          <w:tcPr>
            <w:tcW w:w="1417" w:type="dxa"/>
            <w:tcBorders>
              <w:top w:val="single" w:color="auto" w:sz="4" w:space="0"/>
              <w:left w:val="nil"/>
              <w:bottom w:val="single" w:color="auto" w:sz="4" w:space="0"/>
              <w:right w:val="single" w:color="auto" w:sz="4" w:space="0"/>
            </w:tcBorders>
            <w:noWrap w:val="0"/>
            <w:vAlign w:val="center"/>
          </w:tcPr>
          <w:p w14:paraId="5DBC6DF5">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5C3FBD81">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448F2C95">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75D1CACD">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53429932">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满足投标范围的完整性要求</w:t>
            </w:r>
          </w:p>
          <w:p w14:paraId="5A053F67">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（8.1）</w:t>
            </w:r>
          </w:p>
        </w:tc>
        <w:tc>
          <w:tcPr>
            <w:tcW w:w="2127" w:type="dxa"/>
            <w:tcBorders>
              <w:top w:val="single" w:color="auto" w:sz="4" w:space="0"/>
              <w:left w:val="nil"/>
              <w:bottom w:val="single" w:color="auto" w:sz="4" w:space="0"/>
              <w:right w:val="single" w:color="auto" w:sz="4" w:space="0"/>
            </w:tcBorders>
            <w:noWrap w:val="0"/>
            <w:vAlign w:val="center"/>
          </w:tcPr>
          <w:p w14:paraId="0780D291">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投标人对所投分包招标文件中所列的所有内容进行投标。</w:t>
            </w:r>
          </w:p>
        </w:tc>
        <w:tc>
          <w:tcPr>
            <w:tcW w:w="1417" w:type="dxa"/>
            <w:tcBorders>
              <w:top w:val="single" w:color="auto" w:sz="4" w:space="0"/>
              <w:left w:val="nil"/>
              <w:bottom w:val="single" w:color="auto" w:sz="4" w:space="0"/>
              <w:right w:val="single" w:color="auto" w:sz="4" w:space="0"/>
            </w:tcBorders>
            <w:noWrap w:val="0"/>
            <w:vAlign w:val="center"/>
          </w:tcPr>
          <w:p w14:paraId="50746833">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68DAD849">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2F7F0E9A">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183D4711">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4789D4EE">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未包含价格调整要求</w:t>
            </w:r>
          </w:p>
          <w:p w14:paraId="16A64D3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（11.4）</w:t>
            </w:r>
          </w:p>
        </w:tc>
        <w:tc>
          <w:tcPr>
            <w:tcW w:w="2127" w:type="dxa"/>
            <w:tcBorders>
              <w:top w:val="single" w:color="auto" w:sz="4" w:space="0"/>
              <w:left w:val="nil"/>
              <w:bottom w:val="single" w:color="auto" w:sz="4" w:space="0"/>
              <w:right w:val="single" w:color="auto" w:sz="4" w:space="0"/>
            </w:tcBorders>
            <w:noWrap w:val="0"/>
            <w:vAlign w:val="center"/>
          </w:tcPr>
          <w:p w14:paraId="3EB8DFA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投标人所报的各分项投标报价在合同履行过程中是固定不变的，不得以任何理由予以变更。</w:t>
            </w:r>
          </w:p>
        </w:tc>
        <w:tc>
          <w:tcPr>
            <w:tcW w:w="1417" w:type="dxa"/>
            <w:tcBorders>
              <w:top w:val="single" w:color="auto" w:sz="4" w:space="0"/>
              <w:left w:val="nil"/>
              <w:bottom w:val="single" w:color="auto" w:sz="4" w:space="0"/>
              <w:right w:val="single" w:color="auto" w:sz="4" w:space="0"/>
            </w:tcBorders>
            <w:noWrap w:val="0"/>
            <w:vAlign w:val="center"/>
          </w:tcPr>
          <w:p w14:paraId="3EDAAAA1">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3F1CAE09">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1A819EF2">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15780AFE">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3CFCDB14">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投标保证金（12.1）</w:t>
            </w:r>
          </w:p>
        </w:tc>
        <w:tc>
          <w:tcPr>
            <w:tcW w:w="2127" w:type="dxa"/>
            <w:tcBorders>
              <w:top w:val="single" w:color="auto" w:sz="4" w:space="0"/>
              <w:left w:val="nil"/>
              <w:bottom w:val="single" w:color="auto" w:sz="4" w:space="0"/>
              <w:right w:val="single" w:color="auto" w:sz="4" w:space="0"/>
            </w:tcBorders>
            <w:noWrap w:val="0"/>
            <w:vAlign w:val="center"/>
          </w:tcPr>
          <w:p w14:paraId="74F35D4A">
            <w:pPr>
              <w:keepNext w:val="0"/>
              <w:keepLines w:val="0"/>
              <w:widowControl/>
              <w:suppressLineNumbers w:val="0"/>
              <w:spacing w:before="0" w:beforeAutospacing="0" w:after="0" w:afterAutospacing="0"/>
              <w:ind w:left="0" w:right="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符合招标文件要求</w:t>
            </w:r>
          </w:p>
        </w:tc>
        <w:tc>
          <w:tcPr>
            <w:tcW w:w="1417" w:type="dxa"/>
            <w:tcBorders>
              <w:top w:val="single" w:color="auto" w:sz="4" w:space="0"/>
              <w:left w:val="nil"/>
              <w:bottom w:val="single" w:color="auto" w:sz="4" w:space="0"/>
              <w:right w:val="single" w:color="auto" w:sz="4" w:space="0"/>
            </w:tcBorders>
            <w:noWrap w:val="0"/>
            <w:vAlign w:val="center"/>
          </w:tcPr>
          <w:p w14:paraId="57B89043">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582B5BDC">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1CC818D2">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068CF54F">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58325AA7">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投标有效期满足要求</w:t>
            </w:r>
          </w:p>
          <w:p w14:paraId="56224D45">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（13.1）</w:t>
            </w:r>
          </w:p>
        </w:tc>
        <w:tc>
          <w:tcPr>
            <w:tcW w:w="2127" w:type="dxa"/>
            <w:tcBorders>
              <w:top w:val="single" w:color="auto" w:sz="4" w:space="0"/>
              <w:left w:val="nil"/>
              <w:bottom w:val="single" w:color="auto" w:sz="4" w:space="0"/>
              <w:right w:val="single" w:color="auto" w:sz="4" w:space="0"/>
            </w:tcBorders>
            <w:noWrap w:val="0"/>
            <w:vAlign w:val="center"/>
          </w:tcPr>
          <w:p w14:paraId="1E7696FF">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自提交投标文件截止之日起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120</w:t>
            </w:r>
            <w:r>
              <w:rPr>
                <w:rFonts w:hint="eastAsia" w:ascii="仿宋" w:hAnsi="仿宋" w:eastAsia="仿宋" w:cs="仿宋"/>
                <w:color w:val="auto"/>
                <w:szCs w:val="21"/>
                <w:highlight w:val="none"/>
                <w:u w:val="single"/>
              </w:rPr>
              <w:t xml:space="preserve"> 日</w:t>
            </w:r>
            <w:r>
              <w:rPr>
                <w:rFonts w:hint="eastAsia" w:ascii="仿宋" w:hAnsi="仿宋" w:eastAsia="仿宋" w:cs="仿宋"/>
                <w:color w:val="auto"/>
                <w:szCs w:val="21"/>
                <w:highlight w:val="none"/>
              </w:rPr>
              <w:t>历日内</w:t>
            </w:r>
          </w:p>
        </w:tc>
        <w:tc>
          <w:tcPr>
            <w:tcW w:w="1417" w:type="dxa"/>
            <w:tcBorders>
              <w:top w:val="single" w:color="auto" w:sz="4" w:space="0"/>
              <w:left w:val="nil"/>
              <w:bottom w:val="single" w:color="auto" w:sz="4" w:space="0"/>
              <w:right w:val="single" w:color="auto" w:sz="4" w:space="0"/>
            </w:tcBorders>
            <w:noWrap w:val="0"/>
            <w:vAlign w:val="center"/>
          </w:tcPr>
          <w:p w14:paraId="115FD217">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273652C9">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2EF97F88">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23756F4B">
        <w:tblPrEx>
          <w:tblCellMar>
            <w:top w:w="0" w:type="dxa"/>
            <w:left w:w="108" w:type="dxa"/>
            <w:bottom w:w="0" w:type="dxa"/>
            <w:right w:w="108" w:type="dxa"/>
          </w:tblCellMar>
        </w:tblPrEx>
        <w:trPr>
          <w:trHeight w:val="57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1C5D32DE">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投标文件的签署和盖章符合要求</w:t>
            </w:r>
          </w:p>
          <w:p w14:paraId="065ED3C9">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（14.2）</w:t>
            </w:r>
          </w:p>
        </w:tc>
        <w:tc>
          <w:tcPr>
            <w:tcW w:w="2127" w:type="dxa"/>
            <w:tcBorders>
              <w:top w:val="single" w:color="auto" w:sz="4" w:space="0"/>
              <w:left w:val="nil"/>
              <w:bottom w:val="single" w:color="auto" w:sz="4" w:space="0"/>
              <w:right w:val="single" w:color="auto" w:sz="4" w:space="0"/>
            </w:tcBorders>
            <w:noWrap w:val="0"/>
            <w:vAlign w:val="center"/>
          </w:tcPr>
          <w:p w14:paraId="0BE2E2C7">
            <w:pPr>
              <w:keepNext w:val="0"/>
              <w:keepLines w:val="0"/>
              <w:widowControl/>
              <w:suppressLineNumbers w:val="0"/>
              <w:spacing w:before="0" w:beforeAutospacing="0" w:after="0" w:afterAutospacing="0"/>
              <w:ind w:left="0" w:right="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按照招标文件规定要求签署、盖章。</w:t>
            </w:r>
          </w:p>
        </w:tc>
        <w:tc>
          <w:tcPr>
            <w:tcW w:w="1417" w:type="dxa"/>
            <w:tcBorders>
              <w:top w:val="single" w:color="auto" w:sz="4" w:space="0"/>
              <w:left w:val="nil"/>
              <w:bottom w:val="single" w:color="auto" w:sz="4" w:space="0"/>
              <w:right w:val="single" w:color="auto" w:sz="4" w:space="0"/>
            </w:tcBorders>
            <w:noWrap w:val="0"/>
            <w:vAlign w:val="center"/>
          </w:tcPr>
          <w:p w14:paraId="44E6AD59">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4927A6CC">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49E71793">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19C0EE9A">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537D51B0">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接受价格的算术修正</w:t>
            </w:r>
          </w:p>
          <w:p w14:paraId="660C0541">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（20.3）</w:t>
            </w:r>
          </w:p>
        </w:tc>
        <w:tc>
          <w:tcPr>
            <w:tcW w:w="2127" w:type="dxa"/>
            <w:tcBorders>
              <w:top w:val="single" w:color="auto" w:sz="4" w:space="0"/>
              <w:left w:val="nil"/>
              <w:bottom w:val="single" w:color="auto" w:sz="4" w:space="0"/>
              <w:right w:val="single" w:color="auto" w:sz="4" w:space="0"/>
            </w:tcBorders>
            <w:noWrap w:val="0"/>
            <w:vAlign w:val="center"/>
          </w:tcPr>
          <w:p w14:paraId="67A0C397">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投标文件报价出现前后不一致的，应按照招标文件规定的顺序修正。修正后的报价经投标人确认后产生约束力。</w:t>
            </w:r>
          </w:p>
        </w:tc>
        <w:tc>
          <w:tcPr>
            <w:tcW w:w="1417" w:type="dxa"/>
            <w:tcBorders>
              <w:top w:val="single" w:color="auto" w:sz="4" w:space="0"/>
              <w:left w:val="nil"/>
              <w:bottom w:val="single" w:color="auto" w:sz="4" w:space="0"/>
              <w:right w:val="single" w:color="auto" w:sz="4" w:space="0"/>
            </w:tcBorders>
            <w:noWrap w:val="0"/>
            <w:vAlign w:val="center"/>
          </w:tcPr>
          <w:p w14:paraId="354117CA">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360AF300">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332EF7AB">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4F9740E3">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1ADB55AC">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符合强制采购节能产品要求</w:t>
            </w:r>
          </w:p>
          <w:p w14:paraId="686F52F1">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（20.6）</w:t>
            </w:r>
          </w:p>
        </w:tc>
        <w:tc>
          <w:tcPr>
            <w:tcW w:w="2127" w:type="dxa"/>
            <w:tcBorders>
              <w:top w:val="single" w:color="auto" w:sz="4" w:space="0"/>
              <w:left w:val="nil"/>
              <w:bottom w:val="single" w:color="auto" w:sz="4" w:space="0"/>
              <w:right w:val="single" w:color="auto" w:sz="4" w:space="0"/>
            </w:tcBorders>
            <w:noWrap w:val="0"/>
            <w:vAlign w:val="center"/>
          </w:tcPr>
          <w:p w14:paraId="01AE4C6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rPr>
              <w:t>本项目</w:t>
            </w:r>
            <w:r>
              <w:rPr>
                <w:rFonts w:hint="default" w:ascii="仿宋" w:hAnsi="仿宋" w:eastAsia="仿宋" w:cs="仿宋"/>
                <w:i w:val="0"/>
                <w:iCs w:val="0"/>
                <w:color w:val="auto"/>
                <w:kern w:val="0"/>
                <w:szCs w:val="21"/>
                <w:highlight w:val="none"/>
                <w:u w:val="single"/>
                <w:lang w:eastAsia="zh-CN"/>
              </w:rPr>
              <w:t>不</w:t>
            </w:r>
            <w:r>
              <w:rPr>
                <w:rFonts w:hint="eastAsia" w:ascii="仿宋" w:hAnsi="仿宋" w:eastAsia="仿宋" w:cs="仿宋"/>
                <w:i w:val="0"/>
                <w:iCs w:val="0"/>
                <w:color w:val="auto"/>
                <w:kern w:val="0"/>
                <w:szCs w:val="21"/>
                <w:highlight w:val="none"/>
                <w:u w:val="single"/>
                <w:lang w:eastAsia="zh-CN"/>
              </w:rPr>
              <w:t>适用</w:t>
            </w:r>
          </w:p>
        </w:tc>
        <w:tc>
          <w:tcPr>
            <w:tcW w:w="1417" w:type="dxa"/>
            <w:tcBorders>
              <w:top w:val="single" w:color="auto" w:sz="4" w:space="0"/>
              <w:left w:val="nil"/>
              <w:bottom w:val="single" w:color="auto" w:sz="4" w:space="0"/>
              <w:right w:val="single" w:color="auto" w:sz="4" w:space="0"/>
            </w:tcBorders>
            <w:noWrap w:val="0"/>
            <w:vAlign w:val="center"/>
          </w:tcPr>
          <w:p w14:paraId="352CF863">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46A824C2">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43CA7240">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55F500C7">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7FC3414E">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未发现串通投标（22.2）</w:t>
            </w:r>
          </w:p>
        </w:tc>
        <w:tc>
          <w:tcPr>
            <w:tcW w:w="2127" w:type="dxa"/>
            <w:tcBorders>
              <w:top w:val="single" w:color="auto" w:sz="4" w:space="0"/>
              <w:left w:val="nil"/>
              <w:bottom w:val="single" w:color="auto" w:sz="4" w:space="0"/>
              <w:right w:val="single" w:color="auto" w:sz="4" w:space="0"/>
            </w:tcBorders>
            <w:noWrap w:val="0"/>
            <w:vAlign w:val="center"/>
          </w:tcPr>
          <w:p w14:paraId="07E99EF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未与其他投标人串通投标，或者与招标人串通投标。</w:t>
            </w:r>
          </w:p>
        </w:tc>
        <w:tc>
          <w:tcPr>
            <w:tcW w:w="1417" w:type="dxa"/>
            <w:tcBorders>
              <w:top w:val="single" w:color="auto" w:sz="4" w:space="0"/>
              <w:left w:val="nil"/>
              <w:bottom w:val="single" w:color="auto" w:sz="4" w:space="0"/>
              <w:right w:val="single" w:color="auto" w:sz="4" w:space="0"/>
            </w:tcBorders>
            <w:noWrap w:val="0"/>
            <w:vAlign w:val="center"/>
          </w:tcPr>
          <w:p w14:paraId="2BA6BC70">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69D6FF41">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44966A78">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32D0372E">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08541817">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报价说明可以接受（22.2）</w:t>
            </w:r>
          </w:p>
        </w:tc>
        <w:tc>
          <w:tcPr>
            <w:tcW w:w="2127" w:type="dxa"/>
            <w:tcBorders>
              <w:top w:val="single" w:color="auto" w:sz="4" w:space="0"/>
              <w:left w:val="nil"/>
              <w:bottom w:val="single" w:color="auto" w:sz="4" w:space="0"/>
              <w:right w:val="single" w:color="auto" w:sz="4" w:space="0"/>
            </w:tcBorders>
            <w:noWrap w:val="0"/>
            <w:vAlign w:val="center"/>
          </w:tcPr>
          <w:p w14:paraId="65FDBBEF">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投标人的报价明显低于其他通过符合性检查投标人的报价，有可能影响履约的，投标人能按照规定证明其报价合理性。</w:t>
            </w:r>
          </w:p>
        </w:tc>
        <w:tc>
          <w:tcPr>
            <w:tcW w:w="1417" w:type="dxa"/>
            <w:tcBorders>
              <w:top w:val="single" w:color="auto" w:sz="4" w:space="0"/>
              <w:left w:val="nil"/>
              <w:bottom w:val="single" w:color="auto" w:sz="4" w:space="0"/>
              <w:right w:val="single" w:color="auto" w:sz="4" w:space="0"/>
            </w:tcBorders>
            <w:noWrap w:val="0"/>
            <w:vAlign w:val="center"/>
          </w:tcPr>
          <w:p w14:paraId="4ADDBFFC">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21BD6F8B">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c>
          <w:tcPr>
            <w:tcW w:w="1612" w:type="dxa"/>
            <w:tcBorders>
              <w:top w:val="single" w:color="auto" w:sz="4" w:space="0"/>
              <w:left w:val="nil"/>
              <w:bottom w:val="single" w:color="auto" w:sz="4" w:space="0"/>
              <w:right w:val="single" w:color="auto" w:sz="4" w:space="0"/>
            </w:tcBorders>
            <w:noWrap w:val="0"/>
            <w:vAlign w:val="center"/>
          </w:tcPr>
          <w:p w14:paraId="386D83F5">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　</w:t>
            </w:r>
          </w:p>
        </w:tc>
      </w:tr>
      <w:tr w14:paraId="49820E81">
        <w:tblPrEx>
          <w:tblCellMar>
            <w:top w:w="0" w:type="dxa"/>
            <w:left w:w="108" w:type="dxa"/>
            <w:bottom w:w="0" w:type="dxa"/>
            <w:right w:w="108" w:type="dxa"/>
          </w:tblCellMar>
        </w:tblPrEx>
        <w:trPr>
          <w:trHeight w:val="510" w:hRule="atLeast"/>
        </w:trPr>
        <w:tc>
          <w:tcPr>
            <w:tcW w:w="2126" w:type="dxa"/>
            <w:tcBorders>
              <w:top w:val="single" w:color="auto" w:sz="4" w:space="0"/>
              <w:left w:val="single" w:color="auto" w:sz="4" w:space="0"/>
              <w:bottom w:val="single" w:color="auto" w:sz="4" w:space="0"/>
              <w:right w:val="single" w:color="auto" w:sz="4" w:space="0"/>
            </w:tcBorders>
            <w:noWrap w:val="0"/>
            <w:vAlign w:val="center"/>
          </w:tcPr>
          <w:p w14:paraId="4824BFF0">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r>
              <w:rPr>
                <w:rFonts w:hint="eastAsia" w:ascii="仿宋" w:hAnsi="仿宋" w:eastAsia="仿宋" w:cs="仿宋"/>
                <w:color w:val="auto"/>
                <w:sz w:val="22"/>
                <w:szCs w:val="22"/>
                <w:highlight w:val="none"/>
              </w:rPr>
              <w:t>无采购人不能接受的附加条件（22.2）</w:t>
            </w:r>
          </w:p>
        </w:tc>
        <w:tc>
          <w:tcPr>
            <w:tcW w:w="2127" w:type="dxa"/>
            <w:tcBorders>
              <w:top w:val="single" w:color="auto" w:sz="4" w:space="0"/>
              <w:left w:val="nil"/>
              <w:bottom w:val="single" w:color="auto" w:sz="4" w:space="0"/>
              <w:right w:val="single" w:color="auto" w:sz="4" w:space="0"/>
            </w:tcBorders>
            <w:noWrap w:val="0"/>
            <w:vAlign w:val="center"/>
          </w:tcPr>
          <w:p w14:paraId="75E73724">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投标文件未含有采购人不能接受的附加条件。</w:t>
            </w:r>
          </w:p>
        </w:tc>
        <w:tc>
          <w:tcPr>
            <w:tcW w:w="1417" w:type="dxa"/>
            <w:tcBorders>
              <w:top w:val="single" w:color="auto" w:sz="4" w:space="0"/>
              <w:left w:val="nil"/>
              <w:bottom w:val="single" w:color="auto" w:sz="4" w:space="0"/>
              <w:right w:val="single" w:color="auto" w:sz="4" w:space="0"/>
            </w:tcBorders>
            <w:noWrap w:val="0"/>
            <w:vAlign w:val="center"/>
          </w:tcPr>
          <w:p w14:paraId="0E0ECA27">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32F830C4">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04B98A85">
            <w:pPr>
              <w:keepNext w:val="0"/>
              <w:keepLines w:val="0"/>
              <w:widowControl/>
              <w:suppressLineNumbers w:val="0"/>
              <w:spacing w:before="0" w:beforeAutospacing="0" w:after="0" w:afterAutospacing="0"/>
              <w:ind w:left="0" w:right="0"/>
              <w:jc w:val="left"/>
              <w:rPr>
                <w:rFonts w:hint="eastAsia" w:ascii="仿宋" w:hAnsi="仿宋" w:eastAsia="仿宋" w:cs="仿宋"/>
                <w:color w:val="auto"/>
                <w:kern w:val="0"/>
                <w:sz w:val="22"/>
                <w:szCs w:val="22"/>
                <w:highlight w:val="none"/>
              </w:rPr>
            </w:pPr>
          </w:p>
        </w:tc>
      </w:tr>
      <w:tr w14:paraId="17B99CD1">
        <w:tblPrEx>
          <w:tblCellMar>
            <w:top w:w="0" w:type="dxa"/>
            <w:left w:w="108" w:type="dxa"/>
            <w:bottom w:w="0" w:type="dxa"/>
            <w:right w:w="108" w:type="dxa"/>
          </w:tblCellMar>
        </w:tblPrEx>
        <w:trPr>
          <w:trHeight w:val="774" w:hRule="atLeast"/>
        </w:trPr>
        <w:tc>
          <w:tcPr>
            <w:tcW w:w="4253" w:type="dxa"/>
            <w:gridSpan w:val="2"/>
            <w:tcBorders>
              <w:top w:val="single" w:color="auto" w:sz="4" w:space="0"/>
              <w:left w:val="single" w:color="auto" w:sz="4" w:space="0"/>
              <w:bottom w:val="single" w:color="auto" w:sz="4" w:space="0"/>
              <w:right w:val="single" w:color="auto" w:sz="4" w:space="0"/>
            </w:tcBorders>
            <w:noWrap w:val="0"/>
            <w:vAlign w:val="center"/>
          </w:tcPr>
          <w:p w14:paraId="265BE1F5">
            <w:pPr>
              <w:keepNext w:val="0"/>
              <w:keepLines w:val="0"/>
              <w:widowControl/>
              <w:suppressLineNumbers w:val="0"/>
              <w:spacing w:before="0" w:beforeAutospacing="0" w:after="0" w:afterAutospacing="0"/>
              <w:ind w:left="0" w:right="0"/>
              <w:jc w:val="center"/>
              <w:rPr>
                <w:rFonts w:hint="eastAsia" w:ascii="仿宋" w:hAnsi="仿宋" w:eastAsia="仿宋" w:cs="仿宋"/>
                <w:b/>
                <w:color w:val="auto"/>
                <w:szCs w:val="21"/>
                <w:highlight w:val="none"/>
              </w:rPr>
            </w:pPr>
            <w:r>
              <w:rPr>
                <w:rFonts w:hint="eastAsia" w:ascii="仿宋" w:hAnsi="仿宋" w:eastAsia="仿宋" w:cs="仿宋"/>
                <w:b/>
                <w:color w:val="auto"/>
                <w:kern w:val="0"/>
                <w:sz w:val="22"/>
                <w:szCs w:val="22"/>
                <w:highlight w:val="none"/>
              </w:rPr>
              <w:t>结论</w:t>
            </w:r>
          </w:p>
        </w:tc>
        <w:tc>
          <w:tcPr>
            <w:tcW w:w="1417" w:type="dxa"/>
            <w:tcBorders>
              <w:top w:val="single" w:color="auto" w:sz="4" w:space="0"/>
              <w:left w:val="nil"/>
              <w:bottom w:val="single" w:color="auto" w:sz="4" w:space="0"/>
              <w:right w:val="single" w:color="auto" w:sz="4" w:space="0"/>
            </w:tcBorders>
            <w:noWrap w:val="0"/>
            <w:vAlign w:val="center"/>
          </w:tcPr>
          <w:p w14:paraId="2E2354B6">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p>
        </w:tc>
        <w:tc>
          <w:tcPr>
            <w:tcW w:w="1418" w:type="dxa"/>
            <w:tcBorders>
              <w:top w:val="single" w:color="auto" w:sz="4" w:space="0"/>
              <w:left w:val="nil"/>
              <w:bottom w:val="single" w:color="auto" w:sz="4" w:space="0"/>
              <w:right w:val="single" w:color="auto" w:sz="4" w:space="0"/>
            </w:tcBorders>
            <w:noWrap w:val="0"/>
            <w:vAlign w:val="center"/>
          </w:tcPr>
          <w:p w14:paraId="4ED0BF07">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p>
        </w:tc>
        <w:tc>
          <w:tcPr>
            <w:tcW w:w="1612" w:type="dxa"/>
            <w:tcBorders>
              <w:top w:val="single" w:color="auto" w:sz="4" w:space="0"/>
              <w:left w:val="nil"/>
              <w:bottom w:val="single" w:color="auto" w:sz="4" w:space="0"/>
              <w:right w:val="single" w:color="auto" w:sz="4" w:space="0"/>
            </w:tcBorders>
            <w:noWrap w:val="0"/>
            <w:vAlign w:val="center"/>
          </w:tcPr>
          <w:p w14:paraId="132584E8">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2"/>
                <w:szCs w:val="22"/>
                <w:highlight w:val="none"/>
              </w:rPr>
            </w:pPr>
          </w:p>
        </w:tc>
      </w:tr>
    </w:tbl>
    <w:p w14:paraId="11870039">
      <w:pPr>
        <w:pStyle w:val="88"/>
        <w:numPr>
          <w:ilvl w:val="0"/>
          <w:numId w:val="0"/>
        </w:numPr>
        <w:tabs>
          <w:tab w:val="left" w:pos="1654"/>
        </w:tabs>
        <w:spacing w:line="240" w:lineRule="auto"/>
        <w:jc w:val="center"/>
        <w:rPr>
          <w:rFonts w:hint="eastAsia" w:ascii="仿宋" w:hAnsi="仿宋" w:eastAsia="仿宋" w:cs="仿宋"/>
          <w:b/>
          <w:bCs/>
          <w:color w:val="auto"/>
          <w:spacing w:val="-7"/>
          <w:sz w:val="28"/>
          <w:szCs w:val="28"/>
          <w:highlight w:val="none"/>
          <w:lang w:val="en-US" w:eastAsia="zh-CN"/>
        </w:rPr>
      </w:pPr>
      <w:r>
        <w:rPr>
          <w:rFonts w:hint="eastAsia" w:ascii="仿宋" w:hAnsi="仿宋" w:eastAsia="仿宋" w:cs="仿宋"/>
        </w:rPr>
        <w:br w:type="page"/>
      </w:r>
      <w:r>
        <w:rPr>
          <w:rFonts w:hint="eastAsia" w:ascii="仿宋" w:hAnsi="仿宋" w:eastAsia="仿宋" w:cs="仿宋"/>
          <w:b/>
          <w:bCs/>
          <w:color w:val="auto"/>
          <w:spacing w:val="-7"/>
          <w:sz w:val="28"/>
          <w:szCs w:val="28"/>
          <w:highlight w:val="none"/>
        </w:rPr>
        <w:t>综合评分明细表</w:t>
      </w:r>
    </w:p>
    <w:tbl>
      <w:tblPr>
        <w:tblStyle w:val="39"/>
        <w:tblW w:w="8753"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625"/>
        <w:gridCol w:w="1322"/>
        <w:gridCol w:w="494"/>
        <w:gridCol w:w="6312"/>
      </w:tblGrid>
      <w:tr w14:paraId="2A1A6C1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25" w:type="dxa"/>
            <w:vAlign w:val="center"/>
          </w:tcPr>
          <w:p w14:paraId="349A7C6E">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sz w:val="24"/>
                <w:szCs w:val="24"/>
                <w:lang w:val="en-US" w:eastAsia="zh-CN"/>
              </w:rPr>
            </w:pPr>
            <w:bookmarkStart w:id="463" w:name="_Toc507399904"/>
            <w:r>
              <w:rPr>
                <w:rFonts w:hint="eastAsia" w:ascii="方正仿宋_GB2312" w:hAnsi="方正仿宋_GB2312" w:eastAsia="方正仿宋_GB2312" w:cs="方正仿宋_GB2312"/>
                <w:sz w:val="24"/>
                <w:szCs w:val="24"/>
                <w:lang w:val="en-US" w:eastAsia="zh-CN"/>
              </w:rPr>
              <w:t>序号</w:t>
            </w:r>
          </w:p>
        </w:tc>
        <w:tc>
          <w:tcPr>
            <w:tcW w:w="1322" w:type="dxa"/>
            <w:vAlign w:val="center"/>
          </w:tcPr>
          <w:p w14:paraId="1FE83825">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评审因素分类</w:t>
            </w:r>
          </w:p>
        </w:tc>
        <w:tc>
          <w:tcPr>
            <w:tcW w:w="494" w:type="dxa"/>
            <w:vAlign w:val="center"/>
          </w:tcPr>
          <w:p w14:paraId="63163359">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分值</w:t>
            </w:r>
          </w:p>
        </w:tc>
        <w:tc>
          <w:tcPr>
            <w:tcW w:w="6312" w:type="dxa"/>
            <w:vAlign w:val="center"/>
          </w:tcPr>
          <w:p w14:paraId="788480A6">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详细描述</w:t>
            </w:r>
          </w:p>
        </w:tc>
      </w:tr>
      <w:tr w14:paraId="2D63EE0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526" w:hRule="atLeast"/>
        </w:trPr>
        <w:tc>
          <w:tcPr>
            <w:tcW w:w="625" w:type="dxa"/>
            <w:vAlign w:val="center"/>
          </w:tcPr>
          <w:p w14:paraId="0B9BCE1E">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1</w:t>
            </w:r>
          </w:p>
        </w:tc>
        <w:tc>
          <w:tcPr>
            <w:tcW w:w="1322" w:type="dxa"/>
            <w:vAlign w:val="center"/>
          </w:tcPr>
          <w:p w14:paraId="45439619">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价格分</w:t>
            </w:r>
          </w:p>
        </w:tc>
        <w:tc>
          <w:tcPr>
            <w:tcW w:w="494" w:type="dxa"/>
            <w:vAlign w:val="center"/>
          </w:tcPr>
          <w:p w14:paraId="4E0D3CDB">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30</w:t>
            </w:r>
          </w:p>
        </w:tc>
        <w:tc>
          <w:tcPr>
            <w:tcW w:w="6312" w:type="dxa"/>
            <w:vAlign w:val="center"/>
          </w:tcPr>
          <w:p w14:paraId="3A9F5864">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1.按照财政部《政府采购货物和服务招标投标管理办法》（财政部令第87号）的有关规定：价格分采用低价优先法计算，即满足招标文件要求且投标价格最低的投标报价为评标基准价，其价格分为满分。其他投标人的价格分统一按照下列公式计算：投标报价得分=（评标基准价/投标报价）×30%×100（计算分值时，百分比按四舍五入原则，保留小数点后二位数）</w:t>
            </w:r>
          </w:p>
          <w:p w14:paraId="590D7873">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2.（因落实政府采购政策进行价格扣除的，以扣除后的价格计算评标基准价和投标报价）</w:t>
            </w:r>
          </w:p>
          <w:p w14:paraId="3AD64D6F">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注：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BDB8C6F">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b/>
                <w:bCs/>
                <w:sz w:val="24"/>
                <w:szCs w:val="24"/>
                <w:lang w:val="en-US" w:eastAsia="zh-CN"/>
              </w:rPr>
              <w:t>注：投标报价超过采购预算价的按废标处理。</w:t>
            </w:r>
          </w:p>
        </w:tc>
      </w:tr>
      <w:tr w14:paraId="17A1EBB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200" w:hRule="atLeast"/>
        </w:trPr>
        <w:tc>
          <w:tcPr>
            <w:tcW w:w="625" w:type="dxa"/>
            <w:vAlign w:val="center"/>
          </w:tcPr>
          <w:p w14:paraId="1B0E8B78">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2</w:t>
            </w:r>
          </w:p>
        </w:tc>
        <w:tc>
          <w:tcPr>
            <w:tcW w:w="1322" w:type="dxa"/>
            <w:vAlign w:val="center"/>
          </w:tcPr>
          <w:p w14:paraId="5D8C6E73">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sz w:val="24"/>
                <w:szCs w:val="24"/>
                <w:lang w:val="en-US"/>
              </w:rPr>
            </w:pPr>
            <w:r>
              <w:rPr>
                <w:rFonts w:hint="eastAsia" w:ascii="仿宋" w:hAnsi="仿宋" w:eastAsia="仿宋" w:cs="仿宋"/>
                <w:i w:val="0"/>
                <w:iCs w:val="0"/>
                <w:color w:val="000000"/>
                <w:kern w:val="0"/>
                <w:sz w:val="24"/>
                <w:szCs w:val="24"/>
                <w:u w:val="none"/>
                <w:lang w:val="en-US" w:eastAsia="zh-CN" w:bidi="ar"/>
              </w:rPr>
              <w:t>类似业绩</w:t>
            </w:r>
          </w:p>
        </w:tc>
        <w:tc>
          <w:tcPr>
            <w:tcW w:w="494" w:type="dxa"/>
            <w:vAlign w:val="center"/>
          </w:tcPr>
          <w:p w14:paraId="19040037">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4</w:t>
            </w:r>
          </w:p>
        </w:tc>
        <w:tc>
          <w:tcPr>
            <w:tcW w:w="6312" w:type="dxa"/>
            <w:vAlign w:val="center"/>
          </w:tcPr>
          <w:p w14:paraId="277D4CDA">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投标人提供本公司近三年（2022年5月至投标截止日期）类似业绩证明材料的，每提供1份得2分，最高4分。</w:t>
            </w:r>
          </w:p>
          <w:p w14:paraId="4CBDBC2A">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b/>
                <w:bCs/>
                <w:sz w:val="24"/>
                <w:szCs w:val="24"/>
                <w:lang w:val="en-US" w:eastAsia="zh-CN"/>
              </w:rPr>
            </w:pPr>
            <w:r>
              <w:rPr>
                <w:rFonts w:hint="eastAsia" w:ascii="仿宋" w:hAnsi="仿宋" w:eastAsia="仿宋" w:cs="仿宋"/>
                <w:b/>
                <w:bCs/>
                <w:i w:val="0"/>
                <w:iCs w:val="0"/>
                <w:color w:val="000000"/>
                <w:kern w:val="0"/>
                <w:sz w:val="24"/>
                <w:szCs w:val="24"/>
                <w:u w:val="none"/>
                <w:lang w:val="en-US" w:eastAsia="zh-CN" w:bidi="ar"/>
              </w:rPr>
              <w:t>注：一份证明材料包含中标通知书、采购合同、验收报告</w:t>
            </w:r>
          </w:p>
        </w:tc>
      </w:tr>
      <w:tr w14:paraId="0FB06B5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200" w:hRule="atLeast"/>
        </w:trPr>
        <w:tc>
          <w:tcPr>
            <w:tcW w:w="625" w:type="dxa"/>
            <w:vAlign w:val="center"/>
          </w:tcPr>
          <w:p w14:paraId="71AF1FAF">
            <w:pPr>
              <w:keepNext w:val="0"/>
              <w:keepLines w:val="0"/>
              <w:suppressLineNumbers w:val="0"/>
              <w:spacing w:before="0" w:beforeAutospacing="0" w:after="0" w:afterAutospacing="0"/>
              <w:ind w:left="0" w:leftChars="0" w:right="0" w:rightChars="0"/>
              <w:jc w:val="center"/>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color w:val="auto"/>
                <w:sz w:val="24"/>
                <w:szCs w:val="24"/>
                <w:lang w:val="en-US" w:eastAsia="zh-CN"/>
              </w:rPr>
              <w:t>3</w:t>
            </w:r>
          </w:p>
        </w:tc>
        <w:tc>
          <w:tcPr>
            <w:tcW w:w="1322" w:type="dxa"/>
            <w:vAlign w:val="center"/>
          </w:tcPr>
          <w:p w14:paraId="4930E822">
            <w:pPr>
              <w:keepNext w:val="0"/>
              <w:keepLines w:val="0"/>
              <w:suppressLineNumbers w:val="0"/>
              <w:spacing w:before="0" w:beforeAutospacing="0" w:after="0" w:afterAutospacing="0"/>
              <w:ind w:left="0" w:leftChars="0" w:right="0" w:rightChars="0"/>
              <w:jc w:val="center"/>
              <w:rPr>
                <w:rFonts w:hint="eastAsia" w:ascii="方正仿宋_GB2312" w:hAnsi="方正仿宋_GB2312" w:eastAsia="方正仿宋_GB2312" w:cs="方正仿宋_GB2312"/>
                <w:sz w:val="22"/>
                <w:szCs w:val="22"/>
                <w:lang w:val="en-US" w:eastAsia="zh-CN"/>
              </w:rPr>
            </w:pPr>
            <w:r>
              <w:rPr>
                <w:rFonts w:hint="default" w:ascii="方正仿宋_GB2312" w:hAnsi="方正仿宋_GB2312" w:eastAsia="方正仿宋_GB2312" w:cs="方正仿宋_GB2312"/>
                <w:color w:val="000000"/>
                <w:sz w:val="22"/>
                <w:szCs w:val="22"/>
                <w:lang w:val="en-US" w:eastAsia="zh-CN"/>
              </w:rPr>
              <w:t>项目人员配置</w:t>
            </w:r>
          </w:p>
        </w:tc>
        <w:tc>
          <w:tcPr>
            <w:tcW w:w="494" w:type="dxa"/>
            <w:vAlign w:val="center"/>
          </w:tcPr>
          <w:p w14:paraId="51550180">
            <w:pPr>
              <w:keepNext w:val="0"/>
              <w:keepLines w:val="0"/>
              <w:suppressLineNumbers w:val="0"/>
              <w:spacing w:before="0" w:beforeAutospacing="0" w:after="0" w:afterAutospacing="0"/>
              <w:ind w:left="0" w:leftChars="0" w:right="0" w:rightChars="0"/>
              <w:jc w:val="center"/>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color w:val="000000"/>
                <w:sz w:val="22"/>
                <w:szCs w:val="22"/>
                <w:lang w:val="en-US" w:eastAsia="zh-CN"/>
              </w:rPr>
              <w:t>8</w:t>
            </w:r>
          </w:p>
        </w:tc>
        <w:tc>
          <w:tcPr>
            <w:tcW w:w="6312" w:type="dxa"/>
            <w:vAlign w:val="center"/>
          </w:tcPr>
          <w:p w14:paraId="1B6F511F">
            <w:pPr>
              <w:keepNext w:val="0"/>
              <w:keepLines w:val="0"/>
              <w:numPr>
                <w:ilvl w:val="0"/>
                <w:numId w:val="14"/>
              </w:numPr>
              <w:suppressLineNumbers w:val="0"/>
              <w:spacing w:before="0" w:beforeAutospacing="0" w:after="0" w:afterAutospacing="0"/>
              <w:ind w:left="0" w:right="0"/>
              <w:jc w:val="both"/>
              <w:rPr>
                <w:rFonts w:hint="eastAsia" w:ascii="方正仿宋_GB2312" w:hAnsi="方正仿宋_GB2312" w:eastAsia="方正仿宋_GB2312" w:cs="方正仿宋_GB2312"/>
                <w:color w:val="000000"/>
                <w:sz w:val="22"/>
                <w:szCs w:val="22"/>
                <w:lang w:val="en-US" w:eastAsia="zh-CN"/>
              </w:rPr>
            </w:pPr>
            <w:r>
              <w:rPr>
                <w:rFonts w:hint="eastAsia" w:ascii="方正仿宋_GB2312" w:hAnsi="方正仿宋_GB2312" w:eastAsia="方正仿宋_GB2312" w:cs="方正仿宋_GB2312"/>
                <w:color w:val="000000"/>
                <w:sz w:val="22"/>
                <w:szCs w:val="22"/>
                <w:lang w:val="en-US" w:eastAsia="zh-CN"/>
              </w:rPr>
              <w:t xml:space="preserve">根据本项目特点，为本项目拟派服务人员（包含管理人员、运输配送人员、装卸货人员、安装调试人员等），每提供一名得 0.5 分，最高得 3分。 </w:t>
            </w:r>
          </w:p>
          <w:p w14:paraId="7AAAA8A5">
            <w:pPr>
              <w:keepNext w:val="0"/>
              <w:keepLines w:val="0"/>
              <w:numPr>
                <w:ilvl w:val="0"/>
                <w:numId w:val="0"/>
              </w:numPr>
              <w:suppressLineNumbers w:val="0"/>
              <w:spacing w:before="0" w:beforeAutospacing="0" w:after="0" w:afterAutospacing="0"/>
              <w:ind w:left="0" w:right="0" w:rightChars="0"/>
              <w:jc w:val="both"/>
              <w:rPr>
                <w:rFonts w:hint="eastAsia" w:ascii="方正仿宋_GB2312" w:hAnsi="方正仿宋_GB2312" w:eastAsia="方正仿宋_GB2312" w:cs="方正仿宋_GB2312"/>
                <w:color w:val="000000"/>
                <w:sz w:val="22"/>
                <w:szCs w:val="22"/>
                <w:lang w:val="en-US" w:eastAsia="zh-CN"/>
              </w:rPr>
            </w:pPr>
            <w:r>
              <w:rPr>
                <w:rFonts w:hint="eastAsia" w:ascii="方正仿宋_GB2312" w:hAnsi="方正仿宋_GB2312" w:eastAsia="方正仿宋_GB2312" w:cs="方正仿宋_GB2312"/>
                <w:b/>
                <w:bCs/>
                <w:color w:val="000000"/>
                <w:sz w:val="22"/>
                <w:szCs w:val="22"/>
                <w:lang w:val="en-US" w:eastAsia="zh-CN"/>
              </w:rPr>
              <w:t>注：需提供上述人员身份证、联系电话、劳动合同，以上内容提供原件扫描件并加盖公章，不提供或提供不全的不得分</w:t>
            </w:r>
            <w:r>
              <w:rPr>
                <w:rFonts w:hint="eastAsia" w:ascii="方正仿宋_GB2312" w:hAnsi="方正仿宋_GB2312" w:eastAsia="方正仿宋_GB2312" w:cs="方正仿宋_GB2312"/>
                <w:color w:val="000000"/>
                <w:sz w:val="22"/>
                <w:szCs w:val="22"/>
                <w:lang w:val="en-US" w:eastAsia="zh-CN"/>
              </w:rPr>
              <w:t>；</w:t>
            </w:r>
          </w:p>
          <w:p w14:paraId="483E7D2B">
            <w:pPr>
              <w:keepNext w:val="0"/>
              <w:keepLines w:val="0"/>
              <w:numPr>
                <w:ilvl w:val="0"/>
                <w:numId w:val="0"/>
              </w:numPr>
              <w:suppressLineNumbers w:val="0"/>
              <w:spacing w:before="0" w:beforeAutospacing="0" w:after="0" w:afterAutospacing="0"/>
              <w:ind w:left="0" w:right="0"/>
              <w:jc w:val="both"/>
              <w:rPr>
                <w:rFonts w:hint="eastAsia" w:ascii="方正仿宋_GB2312" w:hAnsi="方正仿宋_GB2312" w:eastAsia="方正仿宋_GB2312" w:cs="方正仿宋_GB2312"/>
                <w:color w:val="000000"/>
                <w:sz w:val="22"/>
                <w:szCs w:val="22"/>
              </w:rPr>
            </w:pPr>
            <w:r>
              <w:rPr>
                <w:rFonts w:hint="eastAsia" w:ascii="方正仿宋_GB2312" w:hAnsi="方正仿宋_GB2312" w:eastAsia="方正仿宋_GB2312" w:cs="方正仿宋_GB2312"/>
                <w:color w:val="000000"/>
                <w:kern w:val="2"/>
                <w:sz w:val="22"/>
                <w:szCs w:val="22"/>
                <w:lang w:val="en-US" w:eastAsia="zh-CN" w:bidi="ar-SA"/>
              </w:rPr>
              <w:t>2、</w:t>
            </w:r>
            <w:r>
              <w:rPr>
                <w:rFonts w:hint="eastAsia" w:ascii="方正仿宋_GB2312" w:hAnsi="方正仿宋_GB2312" w:eastAsia="方正仿宋_GB2312" w:cs="方正仿宋_GB2312"/>
                <w:color w:val="000000"/>
                <w:sz w:val="22"/>
                <w:szCs w:val="22"/>
                <w:lang w:val="en-US" w:eastAsia="zh-CN"/>
              </w:rPr>
              <w:t>提供对本项目各个学校的人员配备方案，明确人员分工职责，确保人员安全防护措施，得2分；</w:t>
            </w:r>
          </w:p>
          <w:p w14:paraId="60152C0E">
            <w:pPr>
              <w:keepNext w:val="0"/>
              <w:keepLines w:val="0"/>
              <w:widowControl/>
              <w:suppressLineNumbers w:val="0"/>
              <w:spacing w:before="0" w:beforeAutospacing="0" w:after="0" w:afterAutospacing="0"/>
              <w:ind w:left="0" w:leftChars="0" w:right="0" w:rightChars="0"/>
              <w:jc w:val="left"/>
              <w:rPr>
                <w:rFonts w:hint="eastAsia" w:ascii="方正仿宋_GB2312" w:hAnsi="方正仿宋_GB2312" w:eastAsia="方正仿宋_GB2312" w:cs="方正仿宋_GB2312"/>
                <w:color w:val="000000"/>
                <w:sz w:val="22"/>
                <w:szCs w:val="22"/>
                <w:lang w:val="en-US" w:eastAsia="zh-CN"/>
              </w:rPr>
            </w:pPr>
            <w:r>
              <w:rPr>
                <w:rFonts w:hint="eastAsia" w:ascii="仿宋" w:hAnsi="仿宋" w:eastAsia="仿宋" w:cs="仿宋"/>
                <w:color w:val="000000"/>
                <w:kern w:val="0"/>
                <w:sz w:val="24"/>
                <w:szCs w:val="24"/>
                <w:lang w:val="en-US" w:eastAsia="zh-CN" w:bidi="ar"/>
              </w:rPr>
              <w:t>3、</w:t>
            </w:r>
            <w:r>
              <w:rPr>
                <w:rFonts w:ascii="仿宋" w:hAnsi="仿宋" w:eastAsia="仿宋" w:cs="仿宋"/>
                <w:color w:val="000000"/>
                <w:kern w:val="0"/>
                <w:sz w:val="24"/>
                <w:szCs w:val="24"/>
                <w:lang w:val="en-US" w:eastAsia="zh-CN" w:bidi="ar"/>
              </w:rPr>
              <w:t>针对此项目投入专用运输车辆，提供1辆得</w:t>
            </w:r>
            <w:r>
              <w:rPr>
                <w:rFonts w:hint="eastAsia" w:ascii="仿宋" w:hAnsi="仿宋" w:eastAsia="仿宋" w:cs="仿宋"/>
                <w:color w:val="000000"/>
                <w:kern w:val="0"/>
                <w:sz w:val="24"/>
                <w:szCs w:val="24"/>
                <w:lang w:val="en-US" w:eastAsia="zh-CN" w:bidi="ar"/>
              </w:rPr>
              <w:t>1分，</w:t>
            </w:r>
            <w:r>
              <w:rPr>
                <w:rFonts w:hint="eastAsia" w:ascii="方正仿宋_GB2312" w:hAnsi="方正仿宋_GB2312" w:eastAsia="方正仿宋_GB2312" w:cs="方正仿宋_GB2312"/>
                <w:color w:val="000000"/>
                <w:sz w:val="22"/>
                <w:szCs w:val="22"/>
                <w:lang w:val="en-US" w:eastAsia="zh-CN"/>
              </w:rPr>
              <w:t>最高得 3分</w:t>
            </w:r>
          </w:p>
          <w:p w14:paraId="322D613C">
            <w:pPr>
              <w:keepNext w:val="0"/>
              <w:keepLines w:val="0"/>
              <w:widowControl/>
              <w:suppressLineNumbers w:val="0"/>
              <w:spacing w:before="0" w:beforeAutospacing="0" w:after="0" w:afterAutospacing="0"/>
              <w:ind w:left="0" w:leftChars="0" w:right="0" w:rightChars="0"/>
              <w:jc w:val="left"/>
              <w:rPr>
                <w:rFonts w:hint="eastAsia" w:ascii="仿宋" w:hAnsi="仿宋" w:eastAsia="仿宋" w:cs="仿宋"/>
                <w:b/>
                <w:bCs/>
                <w:i w:val="0"/>
                <w:iCs w:val="0"/>
                <w:color w:val="000000"/>
                <w:kern w:val="0"/>
                <w:sz w:val="24"/>
                <w:szCs w:val="24"/>
                <w:u w:val="none"/>
                <w:lang w:val="en-US" w:eastAsia="zh-CN" w:bidi="ar"/>
              </w:rPr>
            </w:pPr>
            <w:r>
              <w:rPr>
                <w:rFonts w:hint="eastAsia" w:ascii="方正仿宋_GB2312" w:hAnsi="方正仿宋_GB2312" w:eastAsia="方正仿宋_GB2312" w:cs="方正仿宋_GB2312"/>
                <w:b/>
                <w:bCs/>
                <w:color w:val="000000"/>
                <w:sz w:val="22"/>
                <w:szCs w:val="22"/>
                <w:lang w:val="en-US" w:eastAsia="zh-CN"/>
              </w:rPr>
              <w:t>注：</w:t>
            </w:r>
            <w:r>
              <w:rPr>
                <w:rFonts w:hint="eastAsia" w:ascii="仿宋" w:hAnsi="仿宋" w:eastAsia="仿宋" w:cs="仿宋"/>
                <w:b/>
                <w:bCs/>
                <w:color w:val="000000"/>
                <w:kern w:val="0"/>
                <w:sz w:val="24"/>
                <w:szCs w:val="24"/>
                <w:lang w:val="en-US" w:eastAsia="zh-CN" w:bidi="ar"/>
              </w:rPr>
              <w:t>证明材料需提供：自有/租赁合同、行驶证等</w:t>
            </w:r>
            <w:r>
              <w:rPr>
                <w:rFonts w:hint="eastAsia" w:ascii="仿宋" w:hAnsi="仿宋" w:eastAsia="仿宋" w:cs="仿宋"/>
                <w:color w:val="000000"/>
                <w:kern w:val="0"/>
                <w:sz w:val="24"/>
                <w:szCs w:val="24"/>
                <w:lang w:val="en-US" w:eastAsia="zh-CN" w:bidi="ar"/>
              </w:rPr>
              <w:t>。</w:t>
            </w:r>
            <w:r>
              <w:rPr>
                <w:rFonts w:hint="eastAsia" w:ascii="方正仿宋_GB2312" w:hAnsi="方正仿宋_GB2312" w:eastAsia="方正仿宋_GB2312" w:cs="方正仿宋_GB2312"/>
                <w:color w:val="000000"/>
                <w:sz w:val="22"/>
                <w:szCs w:val="22"/>
                <w:lang w:val="en-US" w:eastAsia="zh-CN"/>
              </w:rPr>
              <w:t xml:space="preserve"> </w:t>
            </w:r>
            <w:r>
              <w:rPr>
                <w:rFonts w:hint="eastAsia" w:ascii="宋体" w:hAnsi="宋体" w:eastAsia="宋体" w:cs="宋体"/>
                <w:color w:val="auto"/>
                <w:sz w:val="24"/>
                <w:szCs w:val="24"/>
                <w:highlight w:val="none"/>
                <w:lang w:val="en-US" w:eastAsia="zh-CN"/>
              </w:rPr>
              <w:t xml:space="preserve"> </w:t>
            </w:r>
          </w:p>
        </w:tc>
      </w:tr>
      <w:tr w14:paraId="461D425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526" w:hRule="atLeast"/>
        </w:trPr>
        <w:tc>
          <w:tcPr>
            <w:tcW w:w="625" w:type="dxa"/>
            <w:vAlign w:val="center"/>
          </w:tcPr>
          <w:p w14:paraId="0D179CA5">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4</w:t>
            </w:r>
          </w:p>
        </w:tc>
        <w:tc>
          <w:tcPr>
            <w:tcW w:w="1322" w:type="dxa"/>
            <w:vAlign w:val="center"/>
          </w:tcPr>
          <w:p w14:paraId="2A598C9F">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sz w:val="22"/>
                <w:szCs w:val="22"/>
                <w:lang w:val="en-US" w:eastAsia="zh-CN"/>
              </w:rPr>
            </w:pPr>
            <w:r>
              <w:rPr>
                <w:rFonts w:hint="eastAsia" w:ascii="方正仿宋_GB2312" w:hAnsi="方正仿宋_GB2312" w:eastAsia="方正仿宋_GB2312" w:cs="方正仿宋_GB2312"/>
                <w:sz w:val="22"/>
                <w:szCs w:val="22"/>
                <w:lang w:val="en-US" w:eastAsia="zh-CN"/>
              </w:rPr>
              <w:t>技术参数响应</w:t>
            </w:r>
          </w:p>
        </w:tc>
        <w:tc>
          <w:tcPr>
            <w:tcW w:w="494" w:type="dxa"/>
            <w:vAlign w:val="center"/>
          </w:tcPr>
          <w:p w14:paraId="651BDF8B">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sz w:val="22"/>
                <w:szCs w:val="22"/>
                <w:lang w:val="en-US" w:eastAsia="zh-CN"/>
              </w:rPr>
            </w:pPr>
            <w:r>
              <w:rPr>
                <w:rFonts w:hint="eastAsia" w:ascii="方正仿宋_GB2312" w:hAnsi="方正仿宋_GB2312" w:eastAsia="方正仿宋_GB2312" w:cs="方正仿宋_GB2312"/>
                <w:sz w:val="22"/>
                <w:szCs w:val="22"/>
                <w:lang w:val="en-US" w:eastAsia="zh-CN"/>
              </w:rPr>
              <w:t>30</w:t>
            </w:r>
          </w:p>
        </w:tc>
        <w:tc>
          <w:tcPr>
            <w:tcW w:w="6312" w:type="dxa"/>
            <w:vAlign w:val="center"/>
          </w:tcPr>
          <w:p w14:paraId="74609CF4">
            <w:pPr>
              <w:keepNext w:val="0"/>
              <w:keepLines w:val="0"/>
              <w:numPr>
                <w:ilvl w:val="0"/>
                <w:numId w:val="0"/>
              </w:numPr>
              <w:suppressLineNumbers w:val="0"/>
              <w:spacing w:before="0" w:beforeAutospacing="0" w:after="0" w:afterAutospacing="0"/>
              <w:ind w:left="0" w:right="0"/>
              <w:jc w:val="both"/>
              <w:rPr>
                <w:rFonts w:hint="eastAsia" w:ascii="方正仿宋_GB2312" w:hAnsi="方正仿宋_GB2312" w:eastAsia="方正仿宋_GB2312" w:cs="方正仿宋_GB2312"/>
                <w:color w:val="000000"/>
                <w:sz w:val="22"/>
                <w:szCs w:val="22"/>
                <w:lang w:val="en-US" w:eastAsia="zh-CN"/>
              </w:rPr>
            </w:pPr>
            <w:bookmarkStart w:id="471" w:name="_GoBack"/>
            <w:r>
              <w:rPr>
                <w:rFonts w:hint="eastAsia" w:ascii="方正仿宋_GB2312" w:hAnsi="方正仿宋_GB2312" w:eastAsia="方正仿宋_GB2312" w:cs="方正仿宋_GB2312"/>
                <w:color w:val="000000"/>
                <w:sz w:val="22"/>
                <w:szCs w:val="22"/>
                <w:lang w:val="en-US" w:eastAsia="zh-CN"/>
              </w:rPr>
              <w:t>投标产品技术参数和配置完全满足或优于招标文件要求的得30分（</w:t>
            </w:r>
            <w:r>
              <w:rPr>
                <w:rFonts w:hint="eastAsia" w:ascii="方正仿宋_GB2312" w:hAnsi="方正仿宋_GB2312" w:eastAsia="方正仿宋_GB2312" w:cs="方正仿宋_GB2312"/>
                <w:b/>
                <w:bCs/>
                <w:color w:val="000000"/>
                <w:sz w:val="22"/>
                <w:szCs w:val="22"/>
                <w:lang w:val="en-US" w:eastAsia="zh-CN"/>
              </w:rPr>
              <w:t>要求有佐证材料，如无佐证材料的，将视为负偏离</w:t>
            </w:r>
            <w:r>
              <w:rPr>
                <w:rFonts w:hint="eastAsia" w:ascii="方正仿宋_GB2312" w:hAnsi="方正仿宋_GB2312" w:eastAsia="方正仿宋_GB2312" w:cs="方正仿宋_GB2312"/>
                <w:color w:val="000000"/>
                <w:sz w:val="22"/>
                <w:szCs w:val="22"/>
                <w:lang w:val="en-US" w:eastAsia="zh-CN"/>
              </w:rPr>
              <w:t>），</w:t>
            </w:r>
            <w:r>
              <w:rPr>
                <w:rFonts w:hint="eastAsia" w:ascii="方正仿宋_GB2312" w:hAnsi="方正仿宋_GB2312" w:eastAsia="方正仿宋_GB2312" w:cs="方正仿宋_GB2312"/>
                <w:color w:val="000000"/>
                <w:sz w:val="22"/>
                <w:szCs w:val="22"/>
                <w:highlight w:val="none"/>
                <w:lang w:val="en-US" w:eastAsia="zh-CN"/>
              </w:rPr>
              <w:t>“▲”项参数</w:t>
            </w:r>
            <w:r>
              <w:rPr>
                <w:rFonts w:hint="eastAsia" w:ascii="方正仿宋_GB2312" w:hAnsi="方正仿宋_GB2312" w:eastAsia="方正仿宋_GB2312" w:cs="方正仿宋_GB2312"/>
                <w:color w:val="000000"/>
                <w:sz w:val="22"/>
                <w:szCs w:val="22"/>
                <w:lang w:val="en-US" w:eastAsia="zh-CN"/>
              </w:rPr>
              <w:t>有一项不满足则视为对招标文件的实质性不响应；其他非加“▲”项参数每有一项不满足扣1分，扣完为止；</w:t>
            </w:r>
          </w:p>
          <w:p w14:paraId="08B15374">
            <w:pPr>
              <w:keepNext w:val="0"/>
              <w:keepLines w:val="0"/>
              <w:numPr>
                <w:ilvl w:val="0"/>
                <w:numId w:val="0"/>
              </w:numPr>
              <w:suppressLineNumbers w:val="0"/>
              <w:spacing w:before="0" w:beforeAutospacing="0" w:after="0" w:afterAutospacing="0"/>
              <w:ind w:left="0" w:right="0"/>
              <w:jc w:val="both"/>
              <w:rPr>
                <w:rFonts w:hint="eastAsia" w:ascii="方正仿宋_GB2312" w:hAnsi="方正仿宋_GB2312" w:eastAsia="方正仿宋_GB2312" w:cs="方正仿宋_GB2312"/>
                <w:color w:val="000000"/>
                <w:sz w:val="22"/>
                <w:szCs w:val="22"/>
                <w:lang w:val="en-US" w:eastAsia="zh-CN"/>
              </w:rPr>
            </w:pPr>
            <w:r>
              <w:rPr>
                <w:rFonts w:hint="eastAsia" w:ascii="方正仿宋_GB2312" w:hAnsi="方正仿宋_GB2312" w:eastAsia="方正仿宋_GB2312" w:cs="方正仿宋_GB2312"/>
                <w:b/>
                <w:bCs/>
                <w:color w:val="000000"/>
                <w:sz w:val="22"/>
                <w:szCs w:val="22"/>
                <w:lang w:val="en-US" w:eastAsia="zh-CN"/>
              </w:rPr>
              <w:t>注：参数里的内容为基础参数，所有项需提供国家权威机构出具的检测报告及全国认证认可信息公共服务平台查询结果截图进行佐证。</w:t>
            </w:r>
            <w:bookmarkEnd w:id="471"/>
          </w:p>
        </w:tc>
      </w:tr>
      <w:tr w14:paraId="324E5E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223" w:hRule="atLeast"/>
        </w:trPr>
        <w:tc>
          <w:tcPr>
            <w:tcW w:w="625" w:type="dxa"/>
            <w:vAlign w:val="center"/>
          </w:tcPr>
          <w:p w14:paraId="46135886">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5</w:t>
            </w:r>
          </w:p>
        </w:tc>
        <w:tc>
          <w:tcPr>
            <w:tcW w:w="1322" w:type="dxa"/>
            <w:vAlign w:val="center"/>
          </w:tcPr>
          <w:p w14:paraId="6C229B3E">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color w:val="auto"/>
                <w:sz w:val="22"/>
                <w:szCs w:val="22"/>
                <w:lang w:val="en-US" w:eastAsia="zh-CN"/>
              </w:rPr>
            </w:pPr>
            <w:r>
              <w:rPr>
                <w:rFonts w:hint="default" w:ascii="方正仿宋_GB2312" w:hAnsi="方正仿宋_GB2312" w:eastAsia="方正仿宋_GB2312" w:cs="方正仿宋_GB2312"/>
                <w:color w:val="auto"/>
                <w:sz w:val="22"/>
                <w:szCs w:val="22"/>
                <w:lang w:val="en-US" w:eastAsia="zh-CN"/>
              </w:rPr>
              <w:t>项目实施</w:t>
            </w:r>
            <w:r>
              <w:rPr>
                <w:rFonts w:hint="eastAsia" w:ascii="方正仿宋_GB2312" w:hAnsi="方正仿宋_GB2312" w:eastAsia="方正仿宋_GB2312" w:cs="方正仿宋_GB2312"/>
                <w:color w:val="auto"/>
                <w:sz w:val="22"/>
                <w:szCs w:val="22"/>
                <w:lang w:val="en-US" w:eastAsia="zh-CN"/>
              </w:rPr>
              <w:t>及质量保证</w:t>
            </w:r>
            <w:r>
              <w:rPr>
                <w:rFonts w:hint="default" w:ascii="方正仿宋_GB2312" w:hAnsi="方正仿宋_GB2312" w:eastAsia="方正仿宋_GB2312" w:cs="方正仿宋_GB2312"/>
                <w:color w:val="auto"/>
                <w:sz w:val="22"/>
                <w:szCs w:val="22"/>
                <w:lang w:val="en-US" w:eastAsia="zh-CN"/>
              </w:rPr>
              <w:t>方案</w:t>
            </w:r>
          </w:p>
        </w:tc>
        <w:tc>
          <w:tcPr>
            <w:tcW w:w="494" w:type="dxa"/>
            <w:vAlign w:val="center"/>
          </w:tcPr>
          <w:p w14:paraId="06563260">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6</w:t>
            </w:r>
          </w:p>
        </w:tc>
        <w:tc>
          <w:tcPr>
            <w:tcW w:w="6312" w:type="dxa"/>
            <w:vAlign w:val="center"/>
          </w:tcPr>
          <w:p w14:paraId="10E314C2">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供应商针对于本项目制定相应的实施方案进行综合打分，包含但不限于以下几个方面：</w:t>
            </w:r>
          </w:p>
          <w:p w14:paraId="18F4CDA4">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①项目需求分析方案；</w:t>
            </w:r>
          </w:p>
          <w:p w14:paraId="01A29290">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②工作进度计划；</w:t>
            </w:r>
          </w:p>
          <w:p w14:paraId="0BCF4685">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③服务人员架构；</w:t>
            </w:r>
          </w:p>
          <w:p w14:paraId="1673913A">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④服务保障措施；</w:t>
            </w:r>
          </w:p>
          <w:p w14:paraId="16A8F30D">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⑤安全文明施工措施等；</w:t>
            </w:r>
          </w:p>
          <w:p w14:paraId="26DA831C">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⑥质量保障目标措施；</w:t>
            </w:r>
          </w:p>
          <w:p w14:paraId="646055D8">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评分依据：以上方案内容完整清晰明确、方案完整，适用本项有利于实施的，满足项目实际需求的，满分为6分，每缺少一项内容扣1分，每有一处缺陷扣0.5分，扣完为止。</w:t>
            </w:r>
          </w:p>
          <w:p w14:paraId="04CABB51">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b/>
                <w:bCs/>
                <w:color w:val="auto"/>
                <w:sz w:val="22"/>
                <w:szCs w:val="22"/>
                <w:lang w:val="en-US" w:eastAsia="zh-CN"/>
              </w:rPr>
              <w:t>（缺陷是指：在不适用项目实际情况的情形、凭空编造、笼统描述、内容前后不一致、内容无法连贯、前后逻辑错误、涉及的规范及标准错误、地点区域错误、直接套用其他项目方案、与项目实施特点不匹配、不符合或不满足采购需求实际等等任意一种不利于项目实施情况。）</w:t>
            </w:r>
          </w:p>
        </w:tc>
      </w:tr>
      <w:tr w14:paraId="49708D5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711" w:hRule="atLeast"/>
        </w:trPr>
        <w:tc>
          <w:tcPr>
            <w:tcW w:w="625" w:type="dxa"/>
            <w:vAlign w:val="center"/>
          </w:tcPr>
          <w:p w14:paraId="615CCFA0">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6</w:t>
            </w:r>
          </w:p>
        </w:tc>
        <w:tc>
          <w:tcPr>
            <w:tcW w:w="1322" w:type="dxa"/>
            <w:vAlign w:val="center"/>
          </w:tcPr>
          <w:p w14:paraId="50E05263">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sz w:val="22"/>
                <w:szCs w:val="22"/>
                <w:lang w:val="en-US" w:eastAsia="zh-CN"/>
              </w:rPr>
            </w:pPr>
            <w:r>
              <w:rPr>
                <w:rFonts w:hint="eastAsia" w:ascii="方正仿宋_GB2312" w:hAnsi="方正仿宋_GB2312" w:eastAsia="方正仿宋_GB2312" w:cs="方正仿宋_GB2312"/>
                <w:sz w:val="22"/>
                <w:szCs w:val="22"/>
                <w:lang w:val="en-US" w:eastAsia="zh-CN"/>
              </w:rPr>
              <w:t>备品备件</w:t>
            </w:r>
          </w:p>
        </w:tc>
        <w:tc>
          <w:tcPr>
            <w:tcW w:w="494" w:type="dxa"/>
            <w:vAlign w:val="center"/>
          </w:tcPr>
          <w:p w14:paraId="76E5480C">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sz w:val="22"/>
                <w:szCs w:val="22"/>
                <w:lang w:val="en-US" w:eastAsia="zh-CN"/>
              </w:rPr>
            </w:pPr>
            <w:r>
              <w:rPr>
                <w:rFonts w:hint="eastAsia" w:ascii="方正仿宋_GB2312" w:hAnsi="方正仿宋_GB2312" w:eastAsia="方正仿宋_GB2312" w:cs="方正仿宋_GB2312"/>
                <w:sz w:val="22"/>
                <w:szCs w:val="22"/>
                <w:lang w:val="en-US" w:eastAsia="zh-CN"/>
              </w:rPr>
              <w:t>6</w:t>
            </w:r>
          </w:p>
        </w:tc>
        <w:tc>
          <w:tcPr>
            <w:tcW w:w="6312" w:type="dxa"/>
            <w:vAlign w:val="center"/>
          </w:tcPr>
          <w:p w14:paraId="36837F14">
            <w:pPr>
              <w:keepNext w:val="0"/>
              <w:keepLines w:val="0"/>
              <w:numPr>
                <w:ilvl w:val="0"/>
                <w:numId w:val="0"/>
              </w:numPr>
              <w:suppressLineNumbers w:val="0"/>
              <w:spacing w:before="0" w:beforeAutospacing="0" w:after="0" w:afterAutospacing="0"/>
              <w:ind w:left="0" w:right="0" w:rightChars="0"/>
              <w:rPr>
                <w:rFonts w:hint="eastAsia"/>
                <w:lang w:val="en-US" w:eastAsia="zh-CN"/>
              </w:rPr>
            </w:pPr>
            <w:r>
              <w:rPr>
                <w:rFonts w:hint="eastAsia" w:ascii="仿宋" w:hAnsi="仿宋" w:eastAsia="仿宋"/>
                <w:color w:val="auto"/>
                <w:sz w:val="24"/>
                <w:highlight w:val="none"/>
                <w:lang w:val="en-US" w:eastAsia="zh-CN"/>
              </w:rPr>
              <w:t>投标人需根据本项目实际情况，保障</w:t>
            </w:r>
            <w:r>
              <w:rPr>
                <w:rFonts w:hint="default" w:ascii="方正仿宋_GB2312" w:hAnsi="方正仿宋_GB2312" w:eastAsia="方正仿宋_GB2312" w:cs="方正仿宋_GB2312"/>
                <w:b w:val="0"/>
                <w:bCs w:val="0"/>
                <w:sz w:val="22"/>
                <w:szCs w:val="22"/>
                <w:lang w:val="en-US" w:eastAsia="zh-CN"/>
              </w:rPr>
              <w:t>库存充裕且种类齐全；</w:t>
            </w:r>
            <w:r>
              <w:rPr>
                <w:rFonts w:hint="eastAsia" w:ascii="仿宋" w:hAnsi="仿宋" w:eastAsia="仿宋"/>
                <w:color w:val="auto"/>
                <w:sz w:val="24"/>
                <w:highlight w:val="none"/>
                <w:lang w:val="en-US" w:eastAsia="zh-CN"/>
              </w:rPr>
              <w:t>免费提供包括但不限于零部件、易损</w:t>
            </w:r>
            <w:r>
              <w:rPr>
                <w:rFonts w:hint="default" w:ascii="方正仿宋_GB2312" w:hAnsi="方正仿宋_GB2312" w:eastAsia="方正仿宋_GB2312" w:cs="方正仿宋_GB2312"/>
                <w:b w:val="0"/>
                <w:bCs w:val="0"/>
                <w:sz w:val="22"/>
                <w:szCs w:val="22"/>
                <w:lang w:val="en-US" w:eastAsia="zh-CN"/>
              </w:rPr>
              <w:t>工具</w:t>
            </w:r>
            <w:r>
              <w:rPr>
                <w:rFonts w:hint="eastAsia" w:ascii="方正仿宋_GB2312" w:hAnsi="方正仿宋_GB2312" w:eastAsia="方正仿宋_GB2312" w:cs="方正仿宋_GB2312"/>
                <w:b w:val="0"/>
                <w:bCs w:val="0"/>
                <w:sz w:val="22"/>
                <w:szCs w:val="22"/>
                <w:lang w:val="en-US" w:eastAsia="zh-CN"/>
              </w:rPr>
              <w:t>、</w:t>
            </w:r>
            <w:r>
              <w:rPr>
                <w:rFonts w:hint="eastAsia" w:ascii="仿宋" w:hAnsi="仿宋" w:eastAsia="仿宋"/>
                <w:color w:val="auto"/>
                <w:sz w:val="24"/>
                <w:highlight w:val="none"/>
                <w:lang w:val="en-US" w:eastAsia="zh-CN"/>
              </w:rPr>
              <w:t>易耗备品备件配备清单（备品备件必需与原厂货物匹配），清单应当包含名称、数量、品牌、型号、规格参数等，提供得2分，满分6分，不提供不得分。</w:t>
            </w:r>
          </w:p>
          <w:p w14:paraId="00979FE2">
            <w:pPr>
              <w:keepNext w:val="0"/>
              <w:keepLines w:val="0"/>
              <w:suppressLineNumbers w:val="0"/>
              <w:spacing w:before="0" w:beforeAutospacing="0" w:after="0" w:afterAutospacing="0"/>
              <w:ind w:left="0" w:right="0"/>
              <w:jc w:val="both"/>
              <w:rPr>
                <w:rFonts w:hint="default" w:ascii="方正仿宋_GB2312" w:hAnsi="方正仿宋_GB2312" w:eastAsia="方正仿宋_GB2312" w:cs="方正仿宋_GB2312"/>
                <w:b/>
                <w:bCs/>
                <w:sz w:val="22"/>
                <w:szCs w:val="22"/>
                <w:lang w:val="en-US" w:eastAsia="zh-CN"/>
              </w:rPr>
            </w:pPr>
            <w:r>
              <w:rPr>
                <w:rFonts w:hint="eastAsia" w:ascii="方正仿宋_GB2312" w:hAnsi="方正仿宋_GB2312" w:eastAsia="方正仿宋_GB2312" w:cs="方正仿宋_GB2312"/>
                <w:b/>
                <w:bCs/>
                <w:sz w:val="22"/>
                <w:szCs w:val="22"/>
                <w:lang w:val="en-US" w:eastAsia="zh-CN"/>
              </w:rPr>
              <w:t>注：</w:t>
            </w:r>
            <w:r>
              <w:rPr>
                <w:rFonts w:hint="default" w:ascii="方正仿宋_GB2312" w:hAnsi="方正仿宋_GB2312" w:eastAsia="方正仿宋_GB2312" w:cs="方正仿宋_GB2312"/>
                <w:b/>
                <w:bCs/>
                <w:sz w:val="22"/>
                <w:szCs w:val="22"/>
                <w:lang w:val="en-US" w:eastAsia="zh-CN"/>
              </w:rPr>
              <w:t>供应商需提供备品、备件明细表（需附图）</w:t>
            </w:r>
            <w:r>
              <w:rPr>
                <w:rFonts w:hint="eastAsia" w:ascii="方正仿宋_GB2312" w:hAnsi="方正仿宋_GB2312" w:eastAsia="方正仿宋_GB2312" w:cs="方正仿宋_GB2312"/>
                <w:b/>
                <w:bCs/>
                <w:sz w:val="22"/>
                <w:szCs w:val="22"/>
                <w:lang w:val="en-US" w:eastAsia="zh-CN"/>
              </w:rPr>
              <w:t>及列表清单，重复不得分</w:t>
            </w:r>
            <w:r>
              <w:rPr>
                <w:rFonts w:hint="default" w:ascii="方正仿宋_GB2312" w:hAnsi="方正仿宋_GB2312" w:eastAsia="方正仿宋_GB2312" w:cs="方正仿宋_GB2312"/>
                <w:b/>
                <w:bCs/>
                <w:sz w:val="22"/>
                <w:szCs w:val="22"/>
                <w:lang w:val="en-US" w:eastAsia="zh-CN"/>
              </w:rPr>
              <w:t>。</w:t>
            </w:r>
          </w:p>
        </w:tc>
      </w:tr>
      <w:tr w14:paraId="32F11F8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711" w:hRule="atLeast"/>
        </w:trPr>
        <w:tc>
          <w:tcPr>
            <w:tcW w:w="625" w:type="dxa"/>
            <w:vAlign w:val="center"/>
          </w:tcPr>
          <w:p w14:paraId="5B333EC1">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7</w:t>
            </w:r>
          </w:p>
        </w:tc>
        <w:tc>
          <w:tcPr>
            <w:tcW w:w="1322" w:type="dxa"/>
            <w:vAlign w:val="center"/>
          </w:tcPr>
          <w:p w14:paraId="3C1C2FA2">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sz w:val="22"/>
                <w:szCs w:val="22"/>
                <w:lang w:val="en-US" w:eastAsia="zh-CN"/>
              </w:rPr>
            </w:pPr>
            <w:r>
              <w:rPr>
                <w:rFonts w:hint="eastAsia" w:ascii="方正仿宋_GB2312" w:hAnsi="方正仿宋_GB2312" w:eastAsia="方正仿宋_GB2312" w:cs="方正仿宋_GB2312"/>
                <w:sz w:val="22"/>
                <w:szCs w:val="22"/>
                <w:lang w:val="en-US" w:eastAsia="zh-CN"/>
              </w:rPr>
              <w:t>认证体系</w:t>
            </w:r>
          </w:p>
        </w:tc>
        <w:tc>
          <w:tcPr>
            <w:tcW w:w="494" w:type="dxa"/>
            <w:vAlign w:val="center"/>
          </w:tcPr>
          <w:p w14:paraId="5D383ED3">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sz w:val="22"/>
                <w:szCs w:val="22"/>
                <w:lang w:val="en-US" w:eastAsia="zh-CN"/>
              </w:rPr>
            </w:pPr>
            <w:r>
              <w:rPr>
                <w:rFonts w:hint="eastAsia" w:ascii="方正仿宋_GB2312" w:hAnsi="方正仿宋_GB2312" w:eastAsia="方正仿宋_GB2312" w:cs="方正仿宋_GB2312"/>
                <w:sz w:val="22"/>
                <w:szCs w:val="22"/>
                <w:lang w:val="en-US" w:eastAsia="zh-CN"/>
              </w:rPr>
              <w:t>3</w:t>
            </w:r>
          </w:p>
        </w:tc>
        <w:tc>
          <w:tcPr>
            <w:tcW w:w="6312" w:type="dxa"/>
            <w:vAlign w:val="center"/>
          </w:tcPr>
          <w:p w14:paraId="2BD89CA7">
            <w:pPr>
              <w:keepNext w:val="0"/>
              <w:keepLines w:val="0"/>
              <w:numPr>
                <w:ilvl w:val="0"/>
                <w:numId w:val="0"/>
              </w:numPr>
              <w:suppressLineNumbers w:val="0"/>
              <w:spacing w:before="0" w:beforeAutospacing="0" w:after="0" w:afterAutospacing="0"/>
              <w:ind w:left="0" w:right="0" w:rightChars="0"/>
              <w:rPr>
                <w:rFonts w:hint="eastAsia" w:ascii="仿宋" w:hAnsi="仿宋" w:eastAsia="仿宋" w:cs="Times New Roman"/>
                <w:color w:val="auto"/>
                <w:sz w:val="24"/>
                <w:highlight w:val="none"/>
                <w:lang w:val="en-US" w:eastAsia="zh-CN"/>
              </w:rPr>
            </w:pPr>
            <w:r>
              <w:rPr>
                <w:rFonts w:hint="eastAsia" w:ascii="仿宋" w:hAnsi="仿宋" w:eastAsia="仿宋" w:cs="Times New Roman"/>
                <w:color w:val="auto"/>
                <w:kern w:val="2"/>
                <w:sz w:val="24"/>
                <w:szCs w:val="24"/>
                <w:lang w:val="en-US" w:eastAsia="zh-CN" w:bidi="ar-SA"/>
              </w:rPr>
              <w:t>1、</w:t>
            </w:r>
            <w:r>
              <w:rPr>
                <w:rFonts w:hint="eastAsia" w:ascii="仿宋" w:hAnsi="仿宋" w:eastAsia="仿宋" w:cs="Times New Roman"/>
                <w:color w:val="auto"/>
                <w:sz w:val="24"/>
                <w:highlight w:val="none"/>
                <w:lang w:val="en-US" w:eastAsia="zh-CN"/>
              </w:rPr>
              <w:t>投标人具备有效期内的质量管理体系认证、职业健康安全管理体系认证、环境管理体系认证，每提供一个得 1 分，最高得3分。</w:t>
            </w:r>
          </w:p>
          <w:p w14:paraId="14E0E3AB">
            <w:pPr>
              <w:keepNext w:val="0"/>
              <w:keepLines w:val="0"/>
              <w:numPr>
                <w:ilvl w:val="0"/>
                <w:numId w:val="0"/>
              </w:numPr>
              <w:suppressLineNumbers w:val="0"/>
              <w:spacing w:before="0" w:beforeAutospacing="0" w:after="0" w:afterAutospacing="0"/>
              <w:ind w:left="0" w:right="0" w:rightChars="0"/>
              <w:rPr>
                <w:rFonts w:hint="eastAsia" w:ascii="方正仿宋_GB2312" w:hAnsi="方正仿宋_GB2312" w:eastAsia="方正仿宋_GB2312" w:cs="方正仿宋_GB2312"/>
                <w:b/>
                <w:bCs/>
                <w:sz w:val="22"/>
                <w:szCs w:val="22"/>
                <w:lang w:val="en-US" w:eastAsia="zh-CN"/>
              </w:rPr>
            </w:pPr>
            <w:r>
              <w:rPr>
                <w:rFonts w:hint="eastAsia" w:ascii="方正仿宋_GB2312" w:hAnsi="方正仿宋_GB2312" w:eastAsia="方正仿宋_GB2312" w:cs="方正仿宋_GB2312"/>
                <w:b/>
                <w:bCs/>
                <w:sz w:val="22"/>
                <w:szCs w:val="22"/>
                <w:lang w:val="en-US" w:eastAsia="zh-CN"/>
              </w:rPr>
              <w:t>注：提供相关证明材料加盖投标人或所投产品制造商公章，否则不得分。</w:t>
            </w:r>
          </w:p>
        </w:tc>
      </w:tr>
      <w:tr w14:paraId="4D990B6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25" w:type="dxa"/>
            <w:vAlign w:val="center"/>
          </w:tcPr>
          <w:p w14:paraId="74031587">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8</w:t>
            </w:r>
          </w:p>
        </w:tc>
        <w:tc>
          <w:tcPr>
            <w:tcW w:w="1322" w:type="dxa"/>
            <w:vAlign w:val="center"/>
          </w:tcPr>
          <w:p w14:paraId="129F17C4">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color w:val="auto"/>
                <w:sz w:val="22"/>
                <w:szCs w:val="22"/>
                <w:lang w:val="en-US" w:eastAsia="zh-CN"/>
              </w:rPr>
            </w:pPr>
            <w:r>
              <w:rPr>
                <w:rFonts w:hint="default" w:ascii="方正仿宋_GB2312" w:hAnsi="方正仿宋_GB2312" w:eastAsia="方正仿宋_GB2312" w:cs="方正仿宋_GB2312"/>
                <w:color w:val="auto"/>
                <w:sz w:val="22"/>
                <w:szCs w:val="22"/>
                <w:lang w:val="en-US" w:eastAsia="zh-CN"/>
              </w:rPr>
              <w:t>售后服务</w:t>
            </w:r>
          </w:p>
        </w:tc>
        <w:tc>
          <w:tcPr>
            <w:tcW w:w="494" w:type="dxa"/>
            <w:vAlign w:val="center"/>
          </w:tcPr>
          <w:p w14:paraId="5B926A96">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6</w:t>
            </w:r>
          </w:p>
        </w:tc>
        <w:tc>
          <w:tcPr>
            <w:tcW w:w="6312" w:type="dxa"/>
            <w:vAlign w:val="center"/>
          </w:tcPr>
          <w:p w14:paraId="5AB558F0">
            <w:pPr>
              <w:pStyle w:val="38"/>
              <w:keepNext w:val="0"/>
              <w:keepLines w:val="0"/>
              <w:numPr>
                <w:ilvl w:val="0"/>
                <w:numId w:val="15"/>
              </w:numPr>
              <w:suppressLineNumbers w:val="0"/>
              <w:spacing w:before="0" w:beforeAutospacing="0" w:after="0" w:afterAutospacing="0"/>
              <w:ind w:left="0" w:leftChars="0" w:right="0" w:firstLine="0" w:firstLineChars="0"/>
              <w:jc w:val="left"/>
              <w:rPr>
                <w:rFonts w:hint="eastAsia" w:ascii="方正仿宋_GB2312" w:hAnsi="方正仿宋_GB2312" w:eastAsia="方正仿宋_GB2312" w:cs="方正仿宋_GB2312"/>
                <w:color w:val="auto"/>
                <w:kern w:val="2"/>
                <w:sz w:val="22"/>
                <w:szCs w:val="22"/>
                <w:lang w:val="en-US" w:eastAsia="zh-CN" w:bidi="ar-SA"/>
              </w:rPr>
            </w:pPr>
            <w:r>
              <w:rPr>
                <w:rFonts w:hint="eastAsia" w:ascii="方正仿宋_GB2312" w:hAnsi="方正仿宋_GB2312" w:eastAsia="方正仿宋_GB2312" w:cs="方正仿宋_GB2312"/>
                <w:color w:val="auto"/>
                <w:kern w:val="2"/>
                <w:sz w:val="22"/>
                <w:szCs w:val="22"/>
                <w:lang w:val="en-US" w:eastAsia="zh-CN" w:bidi="ar-SA"/>
              </w:rPr>
              <w:t>针对本项目所有过程中出现的问题做出①售后时间、售后服务计划②售后问题应对措施③售后质量保证，满分3分，每有一项缺失或者不符合项目实际或难以实行扣1分，扣完为止。</w:t>
            </w:r>
          </w:p>
          <w:p w14:paraId="329B38C5">
            <w:pPr>
              <w:pStyle w:val="38"/>
              <w:keepNext w:val="0"/>
              <w:keepLines w:val="0"/>
              <w:numPr>
                <w:ilvl w:val="0"/>
                <w:numId w:val="15"/>
              </w:numPr>
              <w:suppressLineNumbers w:val="0"/>
              <w:spacing w:before="0" w:beforeAutospacing="0" w:after="0" w:afterAutospacing="0"/>
              <w:ind w:left="0" w:leftChars="0" w:right="0" w:firstLine="0" w:firstLineChars="0"/>
              <w:jc w:val="left"/>
              <w:rPr>
                <w:rFonts w:hint="eastAsia" w:ascii="方正仿宋_GB2312" w:hAnsi="方正仿宋_GB2312" w:eastAsia="方正仿宋_GB2312" w:cs="方正仿宋_GB2312"/>
                <w:color w:val="auto"/>
                <w:kern w:val="2"/>
                <w:sz w:val="22"/>
                <w:szCs w:val="22"/>
                <w:lang w:val="en-US" w:eastAsia="zh-CN" w:bidi="ar-SA"/>
              </w:rPr>
            </w:pPr>
            <w:r>
              <w:rPr>
                <w:rFonts w:hint="eastAsia" w:ascii="方正仿宋_GB2312" w:hAnsi="方正仿宋_GB2312" w:eastAsia="方正仿宋_GB2312" w:cs="方正仿宋_GB2312"/>
                <w:color w:val="auto"/>
                <w:kern w:val="2"/>
                <w:sz w:val="22"/>
                <w:szCs w:val="22"/>
                <w:lang w:val="en-US" w:eastAsia="zh-CN" w:bidi="ar-SA"/>
              </w:rPr>
              <w:t>供应商设有售后服务机构且能满足第5章售后时效要求，并配备2名及以上持有特种作业操作证书的工作人员，得3分，不提供不得分</w:t>
            </w:r>
          </w:p>
          <w:p w14:paraId="26E7CD53">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rPr>
            </w:pPr>
            <w:r>
              <w:rPr>
                <w:rFonts w:hint="eastAsia" w:ascii="方正仿宋_GB2312" w:hAnsi="方正仿宋_GB2312" w:eastAsia="方正仿宋_GB2312" w:cs="方正仿宋_GB2312"/>
                <w:b/>
                <w:bCs/>
                <w:sz w:val="22"/>
                <w:szCs w:val="22"/>
                <w:lang w:val="en-US" w:eastAsia="zh-CN"/>
              </w:rPr>
              <w:t>注：提供售后服务点，有效的租赁合同或房产证、清晰的带有现场经纬度的场地照片，人员身份证、操作证书、劳动/劳务合同。</w:t>
            </w:r>
          </w:p>
        </w:tc>
      </w:tr>
      <w:tr w14:paraId="70FC4BF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25" w:type="dxa"/>
            <w:vAlign w:val="center"/>
          </w:tcPr>
          <w:p w14:paraId="7859D940">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9</w:t>
            </w:r>
          </w:p>
        </w:tc>
        <w:tc>
          <w:tcPr>
            <w:tcW w:w="1322" w:type="dxa"/>
            <w:vAlign w:val="center"/>
          </w:tcPr>
          <w:p w14:paraId="7101A88F">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项目设计及使用调试方案</w:t>
            </w:r>
          </w:p>
        </w:tc>
        <w:tc>
          <w:tcPr>
            <w:tcW w:w="494" w:type="dxa"/>
            <w:vAlign w:val="center"/>
          </w:tcPr>
          <w:p w14:paraId="6442A305">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5</w:t>
            </w:r>
          </w:p>
        </w:tc>
        <w:tc>
          <w:tcPr>
            <w:tcW w:w="6312" w:type="dxa"/>
            <w:vAlign w:val="center"/>
          </w:tcPr>
          <w:p w14:paraId="4E3A7E1A">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供应商针对本项目提供调试使用方案进行综合打分，包含但不限于以下几个方面：</w:t>
            </w:r>
          </w:p>
          <w:p w14:paraId="7DB8EFC0">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①产品选型依据；</w:t>
            </w:r>
          </w:p>
          <w:p w14:paraId="6B6146EA">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②模拟效果图；</w:t>
            </w:r>
          </w:p>
          <w:p w14:paraId="5EAFE3E5">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③等照度图；</w:t>
            </w:r>
          </w:p>
          <w:p w14:paraId="67123877">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④点照度图及伪色图；</w:t>
            </w:r>
          </w:p>
          <w:p w14:paraId="3107F1C8">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⑤调试人员的安排；</w:t>
            </w:r>
          </w:p>
          <w:p w14:paraId="0C4865A8">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评分依据：以上方案内容完整清晰明确、使用调试方案满足项目实际需求的，满分为5分，每缺少一项内容扣1分，每有一处缺陷扣0.5分，扣完为止。</w:t>
            </w:r>
          </w:p>
          <w:p w14:paraId="05570E00">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b/>
                <w:bCs/>
                <w:color w:val="auto"/>
                <w:sz w:val="22"/>
                <w:szCs w:val="22"/>
                <w:lang w:val="en-US" w:eastAsia="zh-CN"/>
              </w:rPr>
              <w:t>（缺陷是指：在不适用项目实际情况的情形、凭空编造、笼统描述、内容前后不一致、内容无法连贯、前后逻辑错误、涉及的规范及标准错误、地点区域错误、直接套用其他项目方案、与项目实施特点不匹配、不符合或不满足采购需求实际等等任意一种不利于项目实施情况。）</w:t>
            </w:r>
          </w:p>
        </w:tc>
      </w:tr>
      <w:tr w14:paraId="40DDAC5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25" w:type="dxa"/>
            <w:vAlign w:val="center"/>
          </w:tcPr>
          <w:p w14:paraId="6043BFB3">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10</w:t>
            </w:r>
          </w:p>
        </w:tc>
        <w:tc>
          <w:tcPr>
            <w:tcW w:w="1322" w:type="dxa"/>
            <w:vAlign w:val="center"/>
          </w:tcPr>
          <w:p w14:paraId="6BF347CD">
            <w:pPr>
              <w:keepNext w:val="0"/>
              <w:keepLines w:val="0"/>
              <w:suppressLineNumbers w:val="0"/>
              <w:spacing w:before="0" w:beforeAutospacing="0" w:after="0" w:afterAutospacing="0"/>
              <w:ind w:left="0" w:right="0"/>
              <w:jc w:val="center"/>
              <w:rPr>
                <w:rFonts w:hint="eastAsia"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合理化建议</w:t>
            </w:r>
          </w:p>
        </w:tc>
        <w:tc>
          <w:tcPr>
            <w:tcW w:w="494" w:type="dxa"/>
            <w:vAlign w:val="center"/>
          </w:tcPr>
          <w:p w14:paraId="1A4900F5">
            <w:pPr>
              <w:keepNext w:val="0"/>
              <w:keepLines w:val="0"/>
              <w:suppressLineNumbers w:val="0"/>
              <w:spacing w:before="0" w:beforeAutospacing="0" w:after="0" w:afterAutospacing="0"/>
              <w:ind w:left="0" w:right="0"/>
              <w:jc w:val="center"/>
              <w:rPr>
                <w:rFonts w:hint="default" w:ascii="方正仿宋_GB2312" w:hAnsi="方正仿宋_GB2312" w:eastAsia="方正仿宋_GB2312" w:cs="方正仿宋_GB2312"/>
                <w:color w:val="auto"/>
                <w:sz w:val="22"/>
                <w:szCs w:val="22"/>
                <w:lang w:val="en-US" w:eastAsia="zh-CN"/>
              </w:rPr>
            </w:pPr>
            <w:r>
              <w:rPr>
                <w:rFonts w:hint="eastAsia" w:ascii="方正仿宋_GB2312" w:hAnsi="方正仿宋_GB2312" w:eastAsia="方正仿宋_GB2312" w:cs="方正仿宋_GB2312"/>
                <w:color w:val="auto"/>
                <w:sz w:val="22"/>
                <w:szCs w:val="22"/>
                <w:lang w:val="en-US" w:eastAsia="zh-CN"/>
              </w:rPr>
              <w:t>2</w:t>
            </w:r>
          </w:p>
        </w:tc>
        <w:tc>
          <w:tcPr>
            <w:tcW w:w="6312" w:type="dxa"/>
            <w:vAlign w:val="center"/>
          </w:tcPr>
          <w:p w14:paraId="34C15734">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b w:val="0"/>
                <w:bCs w:val="0"/>
                <w:color w:val="auto"/>
                <w:sz w:val="22"/>
                <w:szCs w:val="22"/>
                <w:lang w:val="en-US" w:eastAsia="zh-CN"/>
              </w:rPr>
            </w:pPr>
            <w:r>
              <w:rPr>
                <w:rFonts w:hint="eastAsia" w:ascii="方正仿宋_GB2312" w:hAnsi="方正仿宋_GB2312" w:eastAsia="方正仿宋_GB2312" w:cs="方正仿宋_GB2312"/>
                <w:b w:val="0"/>
                <w:bCs w:val="0"/>
                <w:color w:val="auto"/>
                <w:sz w:val="22"/>
                <w:szCs w:val="22"/>
                <w:lang w:val="en-US" w:eastAsia="zh-CN"/>
              </w:rPr>
              <w:t>①针对本项目实际在投标文件中提出有利于该项目实施合理化建议（与本项目相似且与时俱进的成功方案）每提供一条得0.5分，最多得1分；未提供不得分，不符合项目实际需要的不予得分。</w:t>
            </w:r>
          </w:p>
          <w:p w14:paraId="4D35DEE9">
            <w:pPr>
              <w:keepNext w:val="0"/>
              <w:keepLines w:val="0"/>
              <w:suppressLineNumbers w:val="0"/>
              <w:spacing w:before="0" w:beforeAutospacing="0" w:after="0" w:afterAutospacing="0"/>
              <w:ind w:left="0" w:right="0"/>
              <w:jc w:val="both"/>
              <w:rPr>
                <w:rFonts w:hint="eastAsia" w:ascii="方正仿宋_GB2312" w:hAnsi="方正仿宋_GB2312" w:eastAsia="方正仿宋_GB2312" w:cs="方正仿宋_GB2312"/>
                <w:b/>
                <w:bCs/>
                <w:color w:val="auto"/>
                <w:sz w:val="22"/>
                <w:szCs w:val="22"/>
                <w:lang w:val="en-US" w:eastAsia="zh-CN"/>
              </w:rPr>
            </w:pPr>
            <w:r>
              <w:rPr>
                <w:rFonts w:hint="eastAsia" w:ascii="方正仿宋_GB2312" w:hAnsi="方正仿宋_GB2312" w:eastAsia="方正仿宋_GB2312" w:cs="方正仿宋_GB2312"/>
                <w:b w:val="0"/>
                <w:bCs w:val="0"/>
                <w:color w:val="auto"/>
                <w:sz w:val="22"/>
                <w:szCs w:val="22"/>
                <w:lang w:val="en-US" w:eastAsia="zh-CN"/>
              </w:rPr>
              <w:t>②提供一个具有有效增值服务承诺得0.5分，最多得1分。</w:t>
            </w:r>
          </w:p>
        </w:tc>
      </w:tr>
    </w:tbl>
    <w:p w14:paraId="09F918AE">
      <w:pPr>
        <w:spacing w:line="240" w:lineRule="auto"/>
        <w:jc w:val="center"/>
        <w:rPr>
          <w:rFonts w:hint="eastAsia" w:ascii="仿宋" w:hAnsi="仿宋" w:eastAsia="仿宋" w:cs="仿宋"/>
          <w:b/>
          <w:bCs/>
          <w:color w:val="auto"/>
          <w:spacing w:val="-7"/>
          <w:sz w:val="28"/>
          <w:szCs w:val="28"/>
          <w:highlight w:val="none"/>
        </w:rPr>
      </w:pPr>
    </w:p>
    <w:p w14:paraId="5EFB56E8">
      <w:pPr>
        <w:spacing w:line="240" w:lineRule="auto"/>
        <w:jc w:val="center"/>
        <w:rPr>
          <w:rFonts w:hint="eastAsia" w:ascii="仿宋" w:hAnsi="仿宋" w:eastAsia="仿宋" w:cs="仿宋"/>
          <w:b/>
          <w:bCs/>
          <w:color w:val="auto"/>
          <w:kern w:val="0"/>
          <w:sz w:val="52"/>
          <w:szCs w:val="52"/>
          <w:highlight w:val="none"/>
          <w:lang w:eastAsia="zh-CN"/>
        </w:rPr>
        <w:sectPr>
          <w:pgSz w:w="11910" w:h="16840"/>
          <w:pgMar w:top="1440" w:right="1797" w:bottom="1440" w:left="1797" w:header="0" w:footer="913" w:gutter="0"/>
          <w:pgBorders>
            <w:top w:val="none" w:sz="0" w:space="0"/>
            <w:left w:val="none" w:sz="0" w:space="0"/>
            <w:bottom w:val="none" w:sz="0" w:space="0"/>
            <w:right w:val="none" w:sz="0" w:space="0"/>
          </w:pgBorders>
          <w:pgNumType w:fmt="decimal"/>
          <w:cols w:space="720" w:num="1"/>
        </w:sectPr>
      </w:pPr>
    </w:p>
    <w:p w14:paraId="50C4C7CC">
      <w:pPr>
        <w:spacing w:line="240" w:lineRule="auto"/>
        <w:jc w:val="center"/>
        <w:rPr>
          <w:rFonts w:hint="eastAsia" w:ascii="仿宋" w:hAnsi="仿宋" w:eastAsia="仿宋" w:cs="仿宋"/>
          <w:b/>
          <w:bCs/>
          <w:color w:val="auto"/>
          <w:kern w:val="0"/>
          <w:sz w:val="52"/>
          <w:szCs w:val="52"/>
          <w:highlight w:val="none"/>
          <w:lang w:eastAsia="zh-CN"/>
        </w:rPr>
      </w:pPr>
    </w:p>
    <w:p w14:paraId="7C881D27">
      <w:pPr>
        <w:spacing w:line="240" w:lineRule="auto"/>
        <w:jc w:val="center"/>
        <w:rPr>
          <w:rFonts w:hint="eastAsia" w:ascii="仿宋" w:hAnsi="仿宋" w:eastAsia="仿宋" w:cs="仿宋"/>
          <w:b/>
          <w:bCs/>
          <w:color w:val="auto"/>
          <w:kern w:val="0"/>
          <w:sz w:val="52"/>
          <w:szCs w:val="52"/>
          <w:highlight w:val="none"/>
          <w:lang w:eastAsia="zh-CN"/>
        </w:rPr>
      </w:pPr>
    </w:p>
    <w:p w14:paraId="6927453F">
      <w:pPr>
        <w:spacing w:line="240" w:lineRule="auto"/>
        <w:jc w:val="center"/>
        <w:rPr>
          <w:rFonts w:hint="eastAsia" w:ascii="仿宋" w:hAnsi="仿宋" w:eastAsia="仿宋" w:cs="仿宋"/>
          <w:b/>
          <w:bCs/>
          <w:color w:val="auto"/>
          <w:kern w:val="0"/>
          <w:sz w:val="52"/>
          <w:szCs w:val="52"/>
          <w:highlight w:val="none"/>
          <w:lang w:eastAsia="zh-CN"/>
        </w:rPr>
      </w:pPr>
      <w:r>
        <w:rPr>
          <w:rFonts w:hint="eastAsia" w:ascii="仿宋" w:hAnsi="仿宋" w:eastAsia="仿宋" w:cs="仿宋"/>
          <w:b/>
          <w:bCs/>
          <w:color w:val="auto"/>
          <w:kern w:val="0"/>
          <w:sz w:val="52"/>
          <w:szCs w:val="52"/>
          <w:highlight w:val="none"/>
          <w:lang w:eastAsia="zh-CN"/>
        </w:rPr>
        <w:t xml:space="preserve">莎车县教育设施设备购置（中小学护眼灯改造）项目（二次） </w:t>
      </w:r>
    </w:p>
    <w:p w14:paraId="4056A09B">
      <w:pPr>
        <w:pStyle w:val="27"/>
        <w:rPr>
          <w:rFonts w:hint="eastAsia" w:ascii="仿宋" w:hAnsi="仿宋" w:eastAsia="仿宋" w:cs="仿宋"/>
          <w:b/>
          <w:bCs/>
          <w:color w:val="auto"/>
          <w:kern w:val="0"/>
          <w:sz w:val="44"/>
          <w:szCs w:val="44"/>
          <w:highlight w:val="none"/>
        </w:rPr>
      </w:pPr>
    </w:p>
    <w:p w14:paraId="08C3437A">
      <w:pPr>
        <w:pStyle w:val="27"/>
        <w:rPr>
          <w:rFonts w:hint="eastAsia" w:ascii="仿宋" w:hAnsi="仿宋" w:eastAsia="仿宋" w:cs="仿宋"/>
          <w:b/>
          <w:bCs/>
          <w:color w:val="auto"/>
          <w:kern w:val="0"/>
          <w:sz w:val="44"/>
          <w:szCs w:val="44"/>
          <w:highlight w:val="none"/>
        </w:rPr>
      </w:pPr>
    </w:p>
    <w:p w14:paraId="17212ABB">
      <w:pPr>
        <w:bidi w:val="0"/>
        <w:rPr>
          <w:rFonts w:hint="eastAsia" w:ascii="仿宋" w:hAnsi="仿宋" w:eastAsia="仿宋" w:cs="仿宋"/>
          <w:color w:val="auto"/>
          <w:highlight w:val="none"/>
        </w:rPr>
      </w:pPr>
    </w:p>
    <w:p w14:paraId="5462D67C">
      <w:pPr>
        <w:pStyle w:val="27"/>
        <w:rPr>
          <w:rFonts w:hint="eastAsia" w:ascii="仿宋" w:hAnsi="仿宋" w:eastAsia="仿宋" w:cs="仿宋"/>
          <w:b/>
          <w:bCs/>
          <w:color w:val="auto"/>
          <w:kern w:val="0"/>
          <w:sz w:val="44"/>
          <w:szCs w:val="44"/>
          <w:highlight w:val="none"/>
        </w:rPr>
      </w:pPr>
    </w:p>
    <w:p w14:paraId="775804EA">
      <w:pPr>
        <w:pStyle w:val="27"/>
        <w:rPr>
          <w:rFonts w:hint="eastAsia" w:ascii="仿宋" w:hAnsi="仿宋" w:eastAsia="仿宋" w:cs="仿宋"/>
          <w:b/>
          <w:bCs/>
          <w:color w:val="auto"/>
          <w:kern w:val="0"/>
          <w:sz w:val="44"/>
          <w:szCs w:val="44"/>
          <w:highlight w:val="none"/>
        </w:rPr>
      </w:pPr>
    </w:p>
    <w:p w14:paraId="79276D59">
      <w:pPr>
        <w:pStyle w:val="27"/>
        <w:rPr>
          <w:rFonts w:hint="eastAsia" w:ascii="仿宋" w:hAnsi="仿宋" w:eastAsia="仿宋" w:cs="仿宋"/>
          <w:b/>
          <w:bCs/>
          <w:color w:val="auto"/>
          <w:kern w:val="0"/>
          <w:sz w:val="44"/>
          <w:szCs w:val="44"/>
          <w:highlight w:val="none"/>
        </w:rPr>
      </w:pPr>
    </w:p>
    <w:p w14:paraId="3F833A57">
      <w:pPr>
        <w:spacing w:line="240" w:lineRule="atLeast"/>
        <w:ind w:left="1080" w:leftChars="257" w:hanging="540"/>
        <w:jc w:val="center"/>
        <w:rPr>
          <w:rFonts w:hint="eastAsia" w:ascii="仿宋" w:hAnsi="仿宋" w:eastAsia="仿宋" w:cs="仿宋"/>
          <w:b/>
          <w:bCs/>
          <w:color w:val="auto"/>
          <w:kern w:val="0"/>
          <w:sz w:val="48"/>
          <w:szCs w:val="48"/>
          <w:highlight w:val="none"/>
        </w:rPr>
      </w:pPr>
      <w:r>
        <w:rPr>
          <w:rFonts w:hint="eastAsia" w:ascii="仿宋" w:hAnsi="仿宋" w:eastAsia="仿宋" w:cs="仿宋"/>
          <w:b/>
          <w:bCs/>
          <w:color w:val="auto"/>
          <w:kern w:val="0"/>
          <w:sz w:val="48"/>
          <w:szCs w:val="48"/>
          <w:highlight w:val="none"/>
        </w:rPr>
        <w:t>招标文件（</w:t>
      </w:r>
      <w:r>
        <w:rPr>
          <w:rFonts w:hint="eastAsia" w:ascii="仿宋" w:hAnsi="仿宋" w:eastAsia="仿宋" w:cs="仿宋"/>
          <w:b/>
          <w:color w:val="auto"/>
          <w:sz w:val="48"/>
          <w:szCs w:val="48"/>
          <w:highlight w:val="none"/>
        </w:rPr>
        <w:t>第</w:t>
      </w:r>
      <w:r>
        <w:rPr>
          <w:rFonts w:hint="eastAsia" w:ascii="仿宋" w:hAnsi="仿宋" w:eastAsia="仿宋" w:cs="仿宋"/>
          <w:b/>
          <w:color w:val="auto"/>
          <w:sz w:val="48"/>
          <w:szCs w:val="48"/>
          <w:highlight w:val="none"/>
          <w:lang w:eastAsia="zh-CN"/>
        </w:rPr>
        <w:t>三</w:t>
      </w:r>
      <w:r>
        <w:rPr>
          <w:rFonts w:hint="eastAsia" w:ascii="仿宋" w:hAnsi="仿宋" w:eastAsia="仿宋" w:cs="仿宋"/>
          <w:b/>
          <w:color w:val="auto"/>
          <w:sz w:val="48"/>
          <w:szCs w:val="48"/>
          <w:highlight w:val="none"/>
        </w:rPr>
        <w:t>册</w:t>
      </w:r>
      <w:r>
        <w:rPr>
          <w:rFonts w:hint="eastAsia" w:ascii="仿宋" w:hAnsi="仿宋" w:eastAsia="仿宋" w:cs="仿宋"/>
          <w:b/>
          <w:bCs/>
          <w:color w:val="auto"/>
          <w:kern w:val="0"/>
          <w:sz w:val="48"/>
          <w:szCs w:val="48"/>
          <w:highlight w:val="none"/>
        </w:rPr>
        <w:t>）</w:t>
      </w:r>
    </w:p>
    <w:p w14:paraId="3A390D2F">
      <w:pPr>
        <w:pStyle w:val="38"/>
        <w:rPr>
          <w:rFonts w:hint="eastAsia" w:ascii="仿宋" w:hAnsi="仿宋" w:eastAsia="仿宋" w:cs="仿宋"/>
          <w:color w:val="auto"/>
          <w:highlight w:val="none"/>
        </w:rPr>
      </w:pPr>
    </w:p>
    <w:p w14:paraId="38304410">
      <w:pPr>
        <w:rPr>
          <w:rFonts w:hint="eastAsia" w:ascii="仿宋" w:hAnsi="仿宋" w:eastAsia="仿宋" w:cs="仿宋"/>
          <w:color w:val="auto"/>
          <w:highlight w:val="none"/>
        </w:rPr>
      </w:pPr>
    </w:p>
    <w:p w14:paraId="5203B888">
      <w:pPr>
        <w:pStyle w:val="38"/>
        <w:rPr>
          <w:rFonts w:hint="eastAsia" w:ascii="仿宋" w:hAnsi="仿宋" w:eastAsia="仿宋" w:cs="仿宋"/>
          <w:color w:val="auto"/>
          <w:highlight w:val="none"/>
        </w:rPr>
      </w:pPr>
    </w:p>
    <w:p w14:paraId="64D71FC4">
      <w:pPr>
        <w:pStyle w:val="38"/>
        <w:rPr>
          <w:rFonts w:hint="eastAsia" w:ascii="仿宋" w:hAnsi="仿宋" w:eastAsia="仿宋" w:cs="仿宋"/>
          <w:color w:val="auto"/>
          <w:highlight w:val="none"/>
        </w:rPr>
      </w:pPr>
    </w:p>
    <w:p w14:paraId="6804A83B">
      <w:pPr>
        <w:pStyle w:val="38"/>
        <w:spacing w:line="240" w:lineRule="auto"/>
        <w:ind w:firstLine="0" w:firstLineChars="0"/>
        <w:rPr>
          <w:rFonts w:hint="eastAsia" w:ascii="仿宋" w:hAnsi="仿宋" w:eastAsia="仿宋" w:cs="仿宋"/>
          <w:color w:val="auto"/>
          <w:highlight w:val="none"/>
        </w:rPr>
      </w:pPr>
    </w:p>
    <w:p w14:paraId="336BC993">
      <w:pPr>
        <w:pStyle w:val="38"/>
        <w:rPr>
          <w:rFonts w:hint="eastAsia" w:ascii="仿宋" w:hAnsi="仿宋" w:eastAsia="仿宋" w:cs="仿宋"/>
          <w:color w:val="auto"/>
          <w:highlight w:val="none"/>
        </w:rPr>
      </w:pPr>
    </w:p>
    <w:p w14:paraId="0F9E9A3C">
      <w:pPr>
        <w:pStyle w:val="38"/>
        <w:rPr>
          <w:rFonts w:hint="eastAsia" w:ascii="仿宋" w:hAnsi="仿宋" w:eastAsia="仿宋" w:cs="仿宋"/>
          <w:color w:val="auto"/>
          <w:highlight w:val="none"/>
        </w:rPr>
      </w:pPr>
    </w:p>
    <w:p w14:paraId="5E90D0AA">
      <w:pPr>
        <w:pStyle w:val="38"/>
        <w:rPr>
          <w:rFonts w:hint="eastAsia" w:ascii="仿宋" w:hAnsi="仿宋" w:eastAsia="仿宋" w:cs="仿宋"/>
          <w:color w:val="auto"/>
          <w:highlight w:val="none"/>
        </w:rPr>
      </w:pPr>
    </w:p>
    <w:p w14:paraId="300EFAD0">
      <w:pPr>
        <w:pStyle w:val="38"/>
        <w:rPr>
          <w:rFonts w:hint="eastAsia" w:ascii="仿宋" w:hAnsi="仿宋" w:eastAsia="仿宋" w:cs="仿宋"/>
          <w:color w:val="auto"/>
          <w:highlight w:val="none"/>
        </w:rPr>
      </w:pPr>
    </w:p>
    <w:p w14:paraId="2E3813EC">
      <w:pPr>
        <w:pStyle w:val="38"/>
        <w:rPr>
          <w:rFonts w:hint="eastAsia" w:ascii="仿宋" w:hAnsi="仿宋" w:eastAsia="仿宋" w:cs="仿宋"/>
          <w:color w:val="auto"/>
          <w:highlight w:val="none"/>
        </w:rPr>
      </w:pPr>
    </w:p>
    <w:tbl>
      <w:tblPr>
        <w:tblStyle w:val="40"/>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051"/>
        <w:gridCol w:w="6471"/>
      </w:tblGrid>
      <w:tr w14:paraId="1157B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052" w:type="dxa"/>
            <w:noWrap w:val="0"/>
            <w:vAlign w:val="top"/>
          </w:tcPr>
          <w:p w14:paraId="7D0A5596">
            <w:pPr>
              <w:pStyle w:val="38"/>
              <w:keepNext w:val="0"/>
              <w:keepLines w:val="0"/>
              <w:suppressLineNumbers w:val="0"/>
              <w:spacing w:before="0" w:beforeAutospacing="0" w:after="0" w:afterAutospacing="0"/>
              <w:ind w:left="0" w:leftChars="0" w:right="0" w:firstLine="0" w:firstLineChars="0"/>
              <w:jc w:val="distribute"/>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采购代理机构：</w:t>
            </w:r>
          </w:p>
        </w:tc>
        <w:tc>
          <w:tcPr>
            <w:tcW w:w="6476" w:type="dxa"/>
            <w:noWrap w:val="0"/>
            <w:vAlign w:val="top"/>
          </w:tcPr>
          <w:p w14:paraId="64E92344">
            <w:pPr>
              <w:pStyle w:val="38"/>
              <w:keepNext w:val="0"/>
              <w:keepLines w:val="0"/>
              <w:suppressLineNumbers w:val="0"/>
              <w:spacing w:before="0" w:beforeAutospacing="0" w:after="0" w:afterAutospacing="0"/>
              <w:ind w:left="0" w:leftChars="0" w:right="0" w:firstLine="0" w:firstLineChars="0"/>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新疆新华远景工程造价咨询有限公司</w:t>
            </w:r>
          </w:p>
        </w:tc>
      </w:tr>
      <w:tr w14:paraId="161F88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052" w:type="dxa"/>
            <w:noWrap w:val="0"/>
            <w:vAlign w:val="top"/>
          </w:tcPr>
          <w:p w14:paraId="0C74D7DA">
            <w:pPr>
              <w:pStyle w:val="38"/>
              <w:keepNext w:val="0"/>
              <w:keepLines w:val="0"/>
              <w:suppressLineNumbers w:val="0"/>
              <w:spacing w:before="0" w:beforeAutospacing="0" w:after="0" w:afterAutospacing="0"/>
              <w:ind w:left="0" w:leftChars="0" w:right="0" w:firstLine="0" w:firstLineChars="0"/>
              <w:jc w:val="distribute"/>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发出日期：</w:t>
            </w:r>
          </w:p>
        </w:tc>
        <w:tc>
          <w:tcPr>
            <w:tcW w:w="6476" w:type="dxa"/>
            <w:noWrap w:val="0"/>
            <w:vAlign w:val="top"/>
          </w:tcPr>
          <w:p w14:paraId="2C2A9A7E">
            <w:pPr>
              <w:keepNext w:val="0"/>
              <w:keepLines w:val="0"/>
              <w:suppressLineNumbers w:val="0"/>
              <w:bidi w:val="0"/>
              <w:spacing w:before="0" w:beforeAutospacing="0" w:after="0" w:afterAutospacing="0"/>
              <w:ind w:left="0" w:right="0"/>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二〇二五年四月</w:t>
            </w:r>
          </w:p>
        </w:tc>
      </w:tr>
    </w:tbl>
    <w:p w14:paraId="24CB692D">
      <w:pPr>
        <w:pStyle w:val="38"/>
        <w:rPr>
          <w:rFonts w:hint="eastAsia" w:ascii="仿宋" w:hAnsi="仿宋" w:eastAsia="仿宋" w:cs="仿宋"/>
          <w:color w:val="auto"/>
          <w:highlight w:val="none"/>
        </w:rPr>
      </w:pPr>
    </w:p>
    <w:p w14:paraId="4D5A34F6">
      <w:pPr>
        <w:jc w:val="center"/>
        <w:outlineLvl w:val="9"/>
        <w:rPr>
          <w:rStyle w:val="48"/>
          <w:rFonts w:hint="eastAsia" w:ascii="仿宋" w:hAnsi="仿宋" w:eastAsia="仿宋" w:cs="仿宋"/>
          <w:color w:val="auto"/>
          <w:highlight w:val="none"/>
          <w:lang w:eastAsia="zh-CN"/>
        </w:rPr>
      </w:pPr>
      <w:bookmarkStart w:id="464" w:name="_Toc6865"/>
      <w:bookmarkStart w:id="465" w:name="_Toc515647833"/>
      <w:bookmarkStart w:id="466" w:name="_Toc4796"/>
    </w:p>
    <w:p w14:paraId="180519BF">
      <w:pPr>
        <w:jc w:val="center"/>
        <w:outlineLvl w:val="0"/>
        <w:rPr>
          <w:rStyle w:val="48"/>
          <w:rFonts w:hint="eastAsia" w:ascii="仿宋" w:hAnsi="仿宋" w:eastAsia="仿宋" w:cs="仿宋"/>
          <w:color w:val="auto"/>
          <w:highlight w:val="none"/>
          <w:lang w:eastAsia="zh-CN"/>
        </w:rPr>
      </w:pPr>
      <w:r>
        <w:rPr>
          <w:rStyle w:val="48"/>
          <w:rFonts w:hint="eastAsia" w:ascii="仿宋" w:hAnsi="仿宋" w:eastAsia="仿宋" w:cs="仿宋"/>
          <w:color w:val="auto"/>
          <w:highlight w:val="none"/>
          <w:lang w:eastAsia="zh-CN"/>
        </w:rPr>
        <w:br w:type="page"/>
      </w:r>
      <w:bookmarkStart w:id="467" w:name="_Toc6642"/>
    </w:p>
    <w:p w14:paraId="71A2F003">
      <w:pPr>
        <w:jc w:val="center"/>
        <w:outlineLvl w:val="0"/>
        <w:rPr>
          <w:rFonts w:hint="eastAsia" w:ascii="仿宋" w:hAnsi="仿宋" w:eastAsia="仿宋" w:cs="仿宋"/>
          <w:color w:val="auto"/>
          <w:highlight w:val="none"/>
        </w:rPr>
      </w:pPr>
      <w:r>
        <w:rPr>
          <w:rFonts w:hint="eastAsia" w:ascii="仿宋" w:hAnsi="仿宋" w:eastAsia="仿宋" w:cs="仿宋"/>
          <w:b/>
          <w:color w:val="auto"/>
          <w:kern w:val="44"/>
          <w:sz w:val="32"/>
          <w:szCs w:val="20"/>
          <w:highlight w:val="none"/>
          <w:lang w:val="en-US" w:eastAsia="zh-CN" w:bidi="ar-SA"/>
        </w:rPr>
        <w:t>第7章  政府采购合同</w:t>
      </w:r>
      <w:bookmarkEnd w:id="463"/>
      <w:bookmarkEnd w:id="464"/>
      <w:bookmarkEnd w:id="465"/>
      <w:bookmarkEnd w:id="466"/>
      <w:bookmarkEnd w:id="467"/>
      <w:bookmarkStart w:id="468" w:name="_Hlt487972895"/>
      <w:bookmarkEnd w:id="468"/>
      <w:bookmarkStart w:id="469" w:name="_Toc487900382"/>
      <w:bookmarkStart w:id="470" w:name="_Toc216513788"/>
    </w:p>
    <w:bookmarkEnd w:id="469"/>
    <w:bookmarkEnd w:id="470"/>
    <w:p w14:paraId="4A9E45BD">
      <w:pPr>
        <w:spacing w:line="240" w:lineRule="atLeast"/>
        <w:rPr>
          <w:rFonts w:hint="eastAsia" w:ascii="仿宋" w:hAnsi="仿宋" w:eastAsia="仿宋" w:cs="仿宋"/>
          <w:b/>
          <w:color w:val="auto"/>
          <w:kern w:val="44"/>
          <w:sz w:val="32"/>
          <w:szCs w:val="20"/>
          <w:highlight w:val="none"/>
        </w:rPr>
      </w:pPr>
    </w:p>
    <w:p w14:paraId="3C502D3C">
      <w:pPr>
        <w:pStyle w:val="12"/>
        <w:spacing w:after="0"/>
        <w:jc w:val="center"/>
        <w:rPr>
          <w:rFonts w:hint="eastAsia" w:ascii="宋体" w:hAnsi="宋体" w:cs="宋体"/>
          <w:b/>
          <w:bCs/>
          <w:spacing w:val="-20"/>
          <w:kern w:val="44"/>
          <w:sz w:val="48"/>
          <w:szCs w:val="48"/>
        </w:rPr>
      </w:pPr>
    </w:p>
    <w:p w14:paraId="591F9A93">
      <w:pPr>
        <w:pStyle w:val="12"/>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231D7A58">
      <w:pPr>
        <w:pStyle w:val="12"/>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03D248A9">
      <w:pPr>
        <w:rPr>
          <w:rFonts w:ascii="宋体" w:hAnsi="宋体" w:cs="宋体"/>
          <w:b/>
          <w:bCs/>
          <w:spacing w:val="-20"/>
          <w:kern w:val="44"/>
          <w:sz w:val="40"/>
          <w:szCs w:val="40"/>
        </w:rPr>
      </w:pPr>
    </w:p>
    <w:p w14:paraId="4954159F">
      <w:pPr>
        <w:rPr>
          <w:rFonts w:ascii="宋体" w:hAnsi="宋体" w:cs="宋体"/>
          <w:b/>
          <w:bCs/>
          <w:spacing w:val="-20"/>
          <w:kern w:val="44"/>
          <w:sz w:val="40"/>
          <w:szCs w:val="40"/>
        </w:rPr>
      </w:pPr>
    </w:p>
    <w:p w14:paraId="338B7EF0">
      <w:pPr>
        <w:rPr>
          <w:rFonts w:ascii="宋体" w:hAnsi="宋体" w:cs="宋体"/>
          <w:b/>
          <w:bCs/>
          <w:spacing w:val="-20"/>
          <w:kern w:val="44"/>
          <w:sz w:val="40"/>
          <w:szCs w:val="40"/>
        </w:rPr>
      </w:pPr>
    </w:p>
    <w:p w14:paraId="05BA3DD2">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4765E741">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6AA857C8">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05DCC875">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1829B3AF">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515C3312"/>
    <w:p w14:paraId="671CD13C">
      <w:pPr>
        <w:rPr>
          <w:rFonts w:eastAsia="黑体"/>
          <w:sz w:val="44"/>
          <w:szCs w:val="44"/>
        </w:rPr>
      </w:pPr>
      <w:r>
        <w:rPr>
          <w:rFonts w:eastAsia="黑体"/>
          <w:sz w:val="44"/>
          <w:szCs w:val="44"/>
        </w:rPr>
        <w:br w:type="page"/>
      </w:r>
    </w:p>
    <w:p w14:paraId="4D084753">
      <w:pPr>
        <w:rPr>
          <w:rFonts w:eastAsia="黑体"/>
          <w:sz w:val="44"/>
          <w:szCs w:val="44"/>
        </w:rPr>
      </w:pPr>
    </w:p>
    <w:p w14:paraId="6C8C2BD4">
      <w:pPr>
        <w:rPr>
          <w:rFonts w:eastAsia="黑体"/>
          <w:sz w:val="44"/>
          <w:szCs w:val="44"/>
        </w:rPr>
      </w:pPr>
    </w:p>
    <w:p w14:paraId="69000B1D">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60094FCE">
      <w:pPr>
        <w:ind w:firstLine="640" w:firstLineChars="200"/>
        <w:rPr>
          <w:rFonts w:hint="eastAsia" w:ascii="仿宋_GB2312" w:hAnsi="仿宋_GB2312" w:eastAsia="仿宋_GB2312" w:cs="仿宋_GB2312"/>
          <w:sz w:val="32"/>
          <w:szCs w:val="32"/>
          <w:lang w:val="en-US" w:eastAsia="zh-CN"/>
        </w:rPr>
      </w:pPr>
    </w:p>
    <w:p w14:paraId="37B9665C">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5A3495AD">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309ACD62">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4C2D1198">
      <w:pPr>
        <w:ind w:firstLine="880" w:firstLineChars="200"/>
        <w:jc w:val="both"/>
        <w:rPr>
          <w:rFonts w:eastAsia="黑体"/>
          <w:sz w:val="44"/>
          <w:szCs w:val="44"/>
        </w:rPr>
        <w:sectPr>
          <w:headerReference r:id="rId14" w:type="default"/>
          <w:footerReference r:id="rId15"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6209A5E9">
      <w:pPr>
        <w:pStyle w:val="4"/>
        <w:adjustRightInd w:val="0"/>
        <w:snapToGrid w:val="0"/>
        <w:spacing w:beforeLines="0" w:line="400" w:lineRule="exact"/>
        <w:jc w:val="center"/>
        <w:rPr>
          <w:rFonts w:hint="eastAsia" w:ascii="黑体" w:hAnsi="黑体" w:eastAsia="黑体"/>
          <w:sz w:val="28"/>
          <w:szCs w:val="28"/>
        </w:rPr>
      </w:pPr>
    </w:p>
    <w:p w14:paraId="4234C062">
      <w:pPr>
        <w:pStyle w:val="4"/>
        <w:adjustRightInd w:val="0"/>
        <w:snapToGrid w:val="0"/>
        <w:spacing w:beforeLines="0" w:line="400" w:lineRule="exact"/>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p>
    <w:p w14:paraId="1FEDEAF6">
      <w:pPr>
        <w:pStyle w:val="4"/>
        <w:adjustRightInd w:val="0"/>
        <w:snapToGrid w:val="0"/>
        <w:spacing w:beforeLines="0" w:line="400" w:lineRule="exact"/>
        <w:jc w:val="center"/>
        <w:rPr>
          <w:rFonts w:hint="eastAsia" w:ascii="黑体" w:hAnsi="华文中宋" w:eastAsia="黑体"/>
          <w:b w:val="0"/>
          <w:bCs w:val="0"/>
          <w:sz w:val="28"/>
          <w:szCs w:val="28"/>
        </w:rPr>
      </w:pPr>
    </w:p>
    <w:p w14:paraId="4060B842">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36B5D9A1">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06E0BC81">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45530F20">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2278F7E9">
      <w:pPr>
        <w:spacing w:beforeLines="0" w:line="400" w:lineRule="exact"/>
        <w:rPr>
          <w:rFonts w:hint="default" w:eastAsia="宋体"/>
          <w:lang w:val="en-US" w:eastAsia="zh-CN"/>
        </w:rPr>
      </w:pPr>
    </w:p>
    <w:p w14:paraId="62205FF1">
      <w:pPr>
        <w:pStyle w:val="14"/>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44336C98">
      <w:pPr>
        <w:numPr>
          <w:ilvl w:val="0"/>
          <w:numId w:val="16"/>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项目信息</w:t>
      </w:r>
    </w:p>
    <w:p w14:paraId="6F994B58">
      <w:pPr>
        <w:pStyle w:val="14"/>
        <w:numPr>
          <w:ilvl w:val="0"/>
          <w:numId w:val="17"/>
        </w:numPr>
        <w:adjustRightInd w:val="0"/>
        <w:snapToGrid w:val="0"/>
        <w:spacing w:before="0" w:beforeLines="0" w:after="0" w:line="400" w:lineRule="exact"/>
        <w:ind w:left="0" w:leftChars="0" w:firstLine="48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44212DB3">
      <w:pPr>
        <w:pStyle w:val="14"/>
        <w:numPr>
          <w:ilvl w:val="0"/>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2471EF82">
      <w:pPr>
        <w:pStyle w:val="14"/>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1DB825CF">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5EEBB686">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4B94C0D0">
      <w:pPr>
        <w:numPr>
          <w:ilvl w:val="0"/>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4AD70C5C">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58C81BFB">
      <w:pPr>
        <w:numPr>
          <w:ilvl w:val="0"/>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5171BC21">
      <w:pPr>
        <w:numPr>
          <w:ilvl w:val="0"/>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7BE88B0B">
      <w:pPr>
        <w:numPr>
          <w:ilvl w:val="0"/>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4CC0BBD2">
      <w:pPr>
        <w:pStyle w:val="11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17F743BB">
      <w:pPr>
        <w:pStyle w:val="11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01D2C0C8">
      <w:pPr>
        <w:pStyle w:val="112"/>
        <w:numPr>
          <w:ilvl w:val="0"/>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AC1E5EC">
      <w:pPr>
        <w:pStyle w:val="112"/>
        <w:numPr>
          <w:ilvl w:val="0"/>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61BEAE3E">
      <w:pPr>
        <w:pStyle w:val="112"/>
        <w:numPr>
          <w:ilvl w:val="0"/>
          <w:numId w:val="0"/>
        </w:numPr>
        <w:adjustRightInd w:val="0"/>
        <w:snapToGrid w:val="0"/>
        <w:spacing w:before="0" w:beforeLines="0" w:line="400" w:lineRule="exact"/>
        <w:ind w:firstLine="0" w:firstLineChars="0"/>
        <w:rPr>
          <w:rFonts w:hint="eastAsia" w:ascii="宋体" w:hAnsi="宋体" w:eastAsia="宋体" w:cs="宋体"/>
          <w:iCs w:val="0"/>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rPr>
        <w:t>是</w:t>
      </w:r>
      <w:r>
        <w:rPr>
          <w:rFonts w:hint="eastAsia" w:ascii="宋体" w:hAnsi="宋体" w:eastAsia="宋体" w:cs="宋体"/>
          <w:iCs w:val="0"/>
          <w:sz w:val="21"/>
          <w:szCs w:val="21"/>
          <w:lang w:eastAsia="zh-CN"/>
        </w:rPr>
        <w:t>，《政府采购品目分类目录》底级品目名称</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数量：</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宋体" w:hAnsi="宋体" w:eastAsia="宋体" w:cs="宋体"/>
          <w:iCs w:val="0"/>
          <w:sz w:val="21"/>
          <w:szCs w:val="21"/>
          <w:lang w:val="en-US" w:eastAsia="zh-CN"/>
        </w:rPr>
        <w:t xml:space="preserve"> </w:t>
      </w:r>
    </w:p>
    <w:p w14:paraId="6331F1FE">
      <w:pPr>
        <w:pStyle w:val="112"/>
        <w:numPr>
          <w:ilvl w:val="0"/>
          <w:numId w:val="0"/>
        </w:numPr>
        <w:adjustRightInd w:val="0"/>
        <w:snapToGrid w:val="0"/>
        <w:spacing w:before="0" w:beforeLines="0" w:line="400" w:lineRule="exact"/>
        <w:ind w:firstLine="0" w:firstLineChars="0"/>
        <w:rPr>
          <w:rFonts w:hint="eastAsia" w:ascii="宋体" w:hAnsi="宋体" w:eastAsia="宋体" w:cs="宋体"/>
          <w:iCs w:val="0"/>
          <w:sz w:val="21"/>
          <w:szCs w:val="21"/>
          <w:lang w:eastAsia="zh-CN"/>
        </w:rPr>
      </w:pP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否</w:t>
      </w:r>
    </w:p>
    <w:p w14:paraId="2CD42185">
      <w:pPr>
        <w:pStyle w:val="112"/>
        <w:numPr>
          <w:ilvl w:val="0"/>
          <w:numId w:val="0"/>
        </w:numPr>
        <w:adjustRightInd w:val="0"/>
        <w:snapToGrid w:val="0"/>
        <w:spacing w:before="0" w:beforeLines="0" w:line="400" w:lineRule="exact"/>
        <w:ind w:left="0" w:firstLine="0" w:firstLineChars="0"/>
        <w:rPr>
          <w:rFonts w:hint="eastAsia" w:ascii="宋体" w:hAnsi="宋体" w:eastAsia="宋体" w:cs="宋体"/>
          <w:iCs w:val="0"/>
          <w:sz w:val="21"/>
          <w:szCs w:val="21"/>
          <w:lang w:val="en-US" w:eastAsia="zh-CN"/>
        </w:rPr>
      </w:pPr>
      <w:r>
        <w:rPr>
          <w:rFonts w:hint="eastAsia" w:ascii="宋体" w:hAnsi="宋体" w:eastAsia="宋体" w:cs="宋体"/>
          <w:iCs w:val="0"/>
          <w:sz w:val="21"/>
          <w:szCs w:val="21"/>
          <w:lang w:val="en-US" w:eastAsia="zh-CN"/>
        </w:rPr>
        <w:t xml:space="preserve">    （</w:t>
      </w:r>
      <w:r>
        <w:rPr>
          <w:rFonts w:hint="default" w:ascii="宋体" w:hAnsi="宋体" w:eastAsia="宋体" w:cs="宋体"/>
          <w:iCs w:val="0"/>
          <w:sz w:val="21"/>
          <w:szCs w:val="21"/>
          <w:lang w:val="en" w:eastAsia="zh-CN"/>
        </w:rPr>
        <w:t>4</w:t>
      </w:r>
      <w:r>
        <w:rPr>
          <w:rFonts w:hint="eastAsia" w:ascii="宋体" w:hAnsi="宋体" w:eastAsia="宋体" w:cs="宋体"/>
          <w:iCs w:val="0"/>
          <w:sz w:val="21"/>
          <w:szCs w:val="21"/>
          <w:lang w:val="en-US" w:eastAsia="zh-CN"/>
        </w:rPr>
        <w:t>）政府采购组织形式：</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政府集中采购</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val="en-US" w:eastAsia="zh-CN"/>
        </w:rPr>
        <w:t xml:space="preserve">部门集中采购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val="en-US" w:eastAsia="zh-CN"/>
        </w:rPr>
        <w:t>分散采购</w:t>
      </w:r>
    </w:p>
    <w:p w14:paraId="51F0F281">
      <w:pPr>
        <w:pStyle w:val="112"/>
        <w:numPr>
          <w:ilvl w:val="0"/>
          <w:numId w:val="0"/>
        </w:numPr>
        <w:adjustRightInd w:val="0"/>
        <w:snapToGrid w:val="0"/>
        <w:spacing w:before="0" w:beforeLines="0" w:line="400" w:lineRule="exact"/>
        <w:ind w:left="0" w:firstLine="420" w:firstLineChars="0"/>
        <w:rPr>
          <w:rFonts w:hint="eastAsia" w:ascii="宋体" w:hAnsi="宋体" w:eastAsia="宋体" w:cs="宋体"/>
          <w:iCs w:val="0"/>
          <w:sz w:val="21"/>
          <w:szCs w:val="21"/>
          <w:lang w:eastAsia="zh-CN"/>
        </w:rPr>
      </w:pPr>
      <w:r>
        <w:rPr>
          <w:rFonts w:hint="eastAsia" w:ascii="宋体" w:hAnsi="宋体" w:eastAsia="宋体" w:cs="宋体"/>
          <w:iCs w:val="0"/>
          <w:sz w:val="21"/>
          <w:szCs w:val="21"/>
          <w:lang w:val="en-US" w:eastAsia="zh-CN"/>
        </w:rPr>
        <w:t>（</w:t>
      </w:r>
      <w:r>
        <w:rPr>
          <w:rFonts w:hint="default" w:ascii="宋体" w:hAnsi="宋体" w:eastAsia="宋体" w:cs="宋体"/>
          <w:iCs w:val="0"/>
          <w:sz w:val="21"/>
          <w:szCs w:val="21"/>
          <w:lang w:val="en" w:eastAsia="zh-CN"/>
        </w:rPr>
        <w:t>5</w:t>
      </w:r>
      <w:r>
        <w:rPr>
          <w:rFonts w:hint="eastAsia" w:ascii="宋体" w:hAnsi="宋体" w:eastAsia="宋体" w:cs="宋体"/>
          <w:iCs w:val="0"/>
          <w:sz w:val="21"/>
          <w:szCs w:val="21"/>
          <w:lang w:val="en-US" w:eastAsia="zh-CN"/>
        </w:rPr>
        <w:t>）政府采购方式：</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公开招标</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邀请招标</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竞争性谈判</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竞争性磋商</w:t>
      </w:r>
    </w:p>
    <w:p w14:paraId="4DBF1C4E">
      <w:pPr>
        <w:pStyle w:val="112"/>
        <w:numPr>
          <w:ilvl w:val="0"/>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询价</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单一来源</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框架协议</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00472DD4">
      <w:pPr>
        <w:pStyle w:val="112"/>
        <w:numPr>
          <w:ilvl w:val="0"/>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2D7412CC">
      <w:pPr>
        <w:pStyle w:val="112"/>
        <w:numPr>
          <w:ilvl w:val="0"/>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4757BC22">
      <w:pPr>
        <w:numPr>
          <w:ilvl w:val="0"/>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color="auto" w:fill="auto"/>
          <w:lang w:eastAsia="zh-CN"/>
        </w:rPr>
        <w:t>购</w:t>
      </w:r>
      <w:r>
        <w:rPr>
          <w:rFonts w:hint="eastAsia" w:ascii="宋体" w:hAnsi="宋体"/>
          <w:w w:val="100"/>
          <w:szCs w:val="21"/>
          <w:shd w:val="clear" w:color="auto" w:fill="auto"/>
        </w:rPr>
        <w:t>合同</w:t>
      </w:r>
      <w:r>
        <w:rPr>
          <w:rFonts w:hint="eastAsia" w:ascii="宋体" w:hAnsi="宋体"/>
          <w:w w:val="100"/>
          <w:szCs w:val="21"/>
          <w:shd w:val="clear" w:color="auto" w:fill="auto"/>
          <w:lang w:eastAsia="zh-CN"/>
        </w:rPr>
        <w:t>（中小企业预留合同）</w:t>
      </w:r>
      <w:r>
        <w:rPr>
          <w:rFonts w:hint="eastAsia" w:ascii="宋体" w:hAnsi="宋体"/>
          <w:szCs w:val="21"/>
          <w:shd w:val="clear" w:color="auto" w:fill="auto"/>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07299CC5">
      <w:pPr>
        <w:numPr>
          <w:ilvl w:val="0"/>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10CE6E4A">
      <w:pPr>
        <w:numPr>
          <w:ilvl w:val="0"/>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DD394F3">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14FFE674">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3740A81E">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F1AF1B9">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73F21892">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49701690">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4B7E874A">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4AE3E729">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6C9698A8">
      <w:pPr>
        <w:numPr>
          <w:ilvl w:val="0"/>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26D1E2F3">
      <w:pPr>
        <w:pStyle w:val="112"/>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12C625CD">
      <w:pPr>
        <w:numPr>
          <w:ilvl w:val="0"/>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3ED74704">
      <w:pPr>
        <w:numPr>
          <w:ilvl w:val="0"/>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34405F1B">
      <w:pPr>
        <w:numPr>
          <w:ilvl w:val="0"/>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720E3793">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3FF8F799">
      <w:pPr>
        <w:numPr>
          <w:ilvl w:val="0"/>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2A2083DA">
      <w:pPr>
        <w:numPr>
          <w:ilvl w:val="0"/>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01203F09">
      <w:pPr>
        <w:numPr>
          <w:ilvl w:val="0"/>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0648233C">
      <w:pPr>
        <w:numPr>
          <w:ilvl w:val="0"/>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58962A94">
      <w:pPr>
        <w:numPr>
          <w:ilvl w:val="0"/>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054431EE">
      <w:pPr>
        <w:numPr>
          <w:ilvl w:val="0"/>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12AA9656">
      <w:pPr>
        <w:numPr>
          <w:ilvl w:val="0"/>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3E41426B">
      <w:pPr>
        <w:numPr>
          <w:ilvl w:val="0"/>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6584A091">
      <w:pPr>
        <w:pStyle w:val="112"/>
        <w:numPr>
          <w:ilvl w:val="0"/>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6291942C">
      <w:pPr>
        <w:pStyle w:val="112"/>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61175993">
      <w:pPr>
        <w:numPr>
          <w:ilvl w:val="0"/>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1E64C021">
      <w:pPr>
        <w:pStyle w:val="112"/>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2F5D98F0">
      <w:pPr>
        <w:numPr>
          <w:ilvl w:val="0"/>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23B54258">
      <w:pPr>
        <w:numPr>
          <w:ilvl w:val="0"/>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4D6174E1">
      <w:pPr>
        <w:numPr>
          <w:ilvl w:val="0"/>
          <w:numId w:val="16"/>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合同金额</w:t>
      </w:r>
    </w:p>
    <w:p w14:paraId="7A19A0CA">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F9378AB">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4DF140A">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3AE017ED">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1C3D8783">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49FBE6EC">
      <w:pPr>
        <w:numPr>
          <w:ilvl w:val="0"/>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3357C2FB">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37926E59">
      <w:pPr>
        <w:pStyle w:val="91"/>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0C79D8C8">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11BB5B05">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3D1D171F">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66993EEC">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4AEEA4EB">
      <w:pPr>
        <w:numPr>
          <w:ilvl w:val="0"/>
          <w:numId w:val="16"/>
        </w:numPr>
        <w:adjustRightInd w:val="0"/>
        <w:snapToGrid w:val="0"/>
        <w:spacing w:before="0" w:beforeLines="0" w:line="400" w:lineRule="exact"/>
        <w:ind w:firstLine="422" w:firstLineChars="200"/>
        <w:rPr>
          <w:rFonts w:ascii="宋体" w:hAnsi="宋体"/>
          <w:b/>
          <w:bCs w:val="0"/>
          <w:szCs w:val="21"/>
          <w:u w:val="single"/>
        </w:rPr>
      </w:pPr>
      <w:r>
        <w:rPr>
          <w:rFonts w:hint="eastAsia" w:ascii="宋体" w:hAnsi="宋体"/>
          <w:b/>
          <w:bCs w:val="0"/>
          <w:szCs w:val="21"/>
        </w:rPr>
        <w:t>合同履行</w:t>
      </w:r>
    </w:p>
    <w:p w14:paraId="303596EC">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2E199321">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73A08B61">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5F6BE026">
      <w:pPr>
        <w:pStyle w:val="112"/>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28FD347B">
      <w:pPr>
        <w:pStyle w:val="112"/>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04CA9AD2">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6C9BB06C">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3F376CFE">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szCs w:val="21"/>
          <w:u w:val="single"/>
        </w:rPr>
        <w:t xml:space="preserve">              </w:t>
      </w:r>
      <w:r>
        <w:rPr>
          <w:rFonts w:hint="eastAsia" w:ascii="宋体" w:hAnsi="宋体" w:cs="宋体"/>
          <w:szCs w:val="21"/>
          <w:u w:val="single"/>
        </w:rPr>
        <w:t xml:space="preserve">                                                </w:t>
      </w:r>
    </w:p>
    <w:p w14:paraId="04741B10">
      <w:pPr>
        <w:numPr>
          <w:ilvl w:val="0"/>
          <w:numId w:val="16"/>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合同验收</w:t>
      </w:r>
    </w:p>
    <w:p w14:paraId="18DBF214">
      <w:pPr>
        <w:numPr>
          <w:ilvl w:val="0"/>
          <w:numId w:val="18"/>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7DA0505A">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243081BD">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3EB99BAE">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0D453B69">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3B72D57C">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725334C2">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230CD736">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46CE39C9">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2BDB022A">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2D8A9BCE">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2FE14841">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4E61F6A4">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46F6D94B">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24D1F6A3">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38522B78">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549A7C98">
      <w:pPr>
        <w:pStyle w:val="112"/>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1B1E24ED">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350C3001">
      <w:pPr>
        <w:numPr>
          <w:ilvl w:val="0"/>
          <w:numId w:val="16"/>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组成合同的文件</w:t>
      </w:r>
    </w:p>
    <w:p w14:paraId="61BAE0A5">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2F548A4F">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77E8285C">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52BBF79A">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4A5A0DFA">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21261360">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0A71FDC3">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41CA21BC">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46439B89">
      <w:pPr>
        <w:pStyle w:val="112"/>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kern w:val="2"/>
          <w:sz w:val="21"/>
          <w:szCs w:val="21"/>
          <w:highlight w:val="none"/>
          <w:lang w:eastAsia="zh-CN"/>
        </w:rPr>
        <w:t>国家法律、行政法规和规章制度规定或合同约定的作为合同组成部分的其他文件</w:t>
      </w:r>
    </w:p>
    <w:p w14:paraId="3767FBB5">
      <w:pPr>
        <w:numPr>
          <w:ilvl w:val="0"/>
          <w:numId w:val="16"/>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合同生效</w:t>
      </w:r>
    </w:p>
    <w:p w14:paraId="39C28ED6">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2B50FFA1">
      <w:pPr>
        <w:numPr>
          <w:ilvl w:val="0"/>
          <w:numId w:val="16"/>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合同份数</w:t>
      </w:r>
    </w:p>
    <w:p w14:paraId="4097119E">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2BDE2E98">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7F7E6AA1">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276A9E4D">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55B46F04">
      <w:pPr>
        <w:pStyle w:val="91"/>
        <w:spacing w:beforeLines="0" w:line="400" w:lineRule="exact"/>
      </w:pPr>
    </w:p>
    <w:p w14:paraId="0E18CB85">
      <w:pPr>
        <w:pStyle w:val="4"/>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14:paraId="7D3CC5E4">
      <w:pPr>
        <w:rPr>
          <w:rFonts w:hint="eastAsia"/>
        </w:rPr>
      </w:pPr>
      <w:r>
        <w:rPr>
          <w:rFonts w:hint="eastAsia"/>
        </w:rPr>
        <w:br w:type="page"/>
      </w:r>
    </w:p>
    <w:p w14:paraId="2F68741B">
      <w:pPr>
        <w:pStyle w:val="91"/>
        <w:rPr>
          <w:rFonts w:hint="eastAsia"/>
        </w:rPr>
      </w:pPr>
    </w:p>
    <w:tbl>
      <w:tblPr>
        <w:tblStyle w:val="39"/>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891"/>
        <w:gridCol w:w="2412"/>
        <w:gridCol w:w="1979"/>
        <w:gridCol w:w="2116"/>
      </w:tblGrid>
      <w:tr w14:paraId="6EBA9EF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90" w:hRule="atLeast"/>
        </w:trPr>
        <w:tc>
          <w:tcPr>
            <w:tcW w:w="2562" w:type="pct"/>
            <w:gridSpan w:val="2"/>
            <w:tcBorders>
              <w:bottom w:val="single" w:color="auto" w:sz="2" w:space="0"/>
              <w:right w:val="single" w:color="auto" w:sz="2" w:space="0"/>
            </w:tcBorders>
            <w:noWrap w:val="0"/>
            <w:vAlign w:val="center"/>
          </w:tcPr>
          <w:p w14:paraId="16C1A82C">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rPr>
            </w:pPr>
            <w:r>
              <w:rPr>
                <w:rFonts w:hint="default" w:ascii="Times New Roman" w:hAnsi="Times New Roman" w:cs="Times New Roman"/>
                <w:szCs w:val="21"/>
              </w:rPr>
              <w:t>甲方</w:t>
            </w:r>
            <w:r>
              <w:rPr>
                <w:rFonts w:hint="eastAsia" w:ascii="Times New Roman" w:hAnsi="Times New Roman" w:cs="Times New Roman"/>
                <w:szCs w:val="21"/>
              </w:rPr>
              <w:t>（采购人</w:t>
            </w:r>
            <w:r>
              <w:rPr>
                <w:rFonts w:hint="eastAsia" w:ascii="宋体" w:hAnsi="宋体" w:cs="Times New Roman"/>
                <w:szCs w:val="21"/>
                <w:lang w:eastAsia="zh-CN"/>
              </w:rPr>
              <w:t>、受采购人委托签订合同的单位</w:t>
            </w:r>
            <w:r>
              <w:rPr>
                <w:rFonts w:hint="eastAsia" w:ascii="宋体" w:hAnsi="宋体" w:cs="Times New Roman"/>
                <w:szCs w:val="21"/>
              </w:rPr>
              <w:t>或</w:t>
            </w:r>
            <w:r>
              <w:rPr>
                <w:rFonts w:hint="eastAsia" w:ascii="Times New Roman" w:hAnsi="Times New Roman" w:cs="Times New Roman"/>
                <w:szCs w:val="21"/>
              </w:rPr>
              <w:t>采购文件约定的合同甲方）</w:t>
            </w:r>
          </w:p>
        </w:tc>
        <w:tc>
          <w:tcPr>
            <w:tcW w:w="2437" w:type="pct"/>
            <w:gridSpan w:val="2"/>
            <w:tcBorders>
              <w:left w:val="single" w:color="auto" w:sz="2" w:space="0"/>
              <w:bottom w:val="single" w:color="auto" w:sz="2" w:space="0"/>
            </w:tcBorders>
            <w:noWrap w:val="0"/>
            <w:vAlign w:val="center"/>
          </w:tcPr>
          <w:p w14:paraId="146E9368">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rPr>
            </w:pPr>
            <w:r>
              <w:rPr>
                <w:rFonts w:hint="default" w:ascii="Times New Roman" w:hAnsi="Times New Roman" w:cs="Times New Roman"/>
                <w:szCs w:val="21"/>
              </w:rPr>
              <w:t>乙方</w:t>
            </w:r>
            <w:r>
              <w:rPr>
                <w:rFonts w:hint="eastAsia" w:ascii="Times New Roman" w:hAnsi="Times New Roman" w:cs="Times New Roman"/>
                <w:szCs w:val="21"/>
              </w:rPr>
              <w:t>（供应商）</w:t>
            </w:r>
          </w:p>
        </w:tc>
      </w:tr>
      <w:tr w14:paraId="391F539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noWrap w:val="0"/>
            <w:vAlign w:val="center"/>
          </w:tcPr>
          <w:p w14:paraId="6C4F5B57">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单位名称</w:t>
            </w:r>
            <w:r>
              <w:rPr>
                <w:rFonts w:hint="eastAsia" w:ascii="Times New Roman" w:hAnsi="Times New Roman" w:cs="Times New Roman"/>
                <w:szCs w:val="21"/>
              </w:rPr>
              <w:t>（公章</w:t>
            </w:r>
            <w:r>
              <w:rPr>
                <w:rFonts w:hint="eastAsia" w:ascii="Times New Roman" w:hAnsi="Times New Roman" w:cs="Times New Roman"/>
                <w:szCs w:val="21"/>
                <w:lang w:eastAsia="zh-CN"/>
              </w:rPr>
              <w:t>或合同章</w:t>
            </w:r>
            <w:r>
              <w:rPr>
                <w:rFonts w:hint="eastAsia" w:ascii="Times New Roman" w:hAnsi="Times New Roman" w:cs="Times New Roman"/>
                <w:szCs w:val="21"/>
              </w:rPr>
              <w:t>）</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CE7AC6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993D8F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单位名称</w:t>
            </w:r>
            <w:r>
              <w:rPr>
                <w:rFonts w:hint="eastAsia" w:ascii="Times New Roman" w:hAnsi="Times New Roman" w:cs="Times New Roman"/>
                <w:szCs w:val="21"/>
              </w:rPr>
              <w:t>（公章</w:t>
            </w:r>
            <w:r>
              <w:rPr>
                <w:rFonts w:hint="eastAsia" w:ascii="Times New Roman" w:hAnsi="Times New Roman" w:cs="Times New Roman"/>
                <w:szCs w:val="21"/>
                <w:lang w:eastAsia="zh-CN"/>
              </w:rPr>
              <w:t>或合同章</w:t>
            </w:r>
            <w:r>
              <w:rPr>
                <w:rFonts w:hint="eastAsia" w:ascii="Times New Roman" w:hAnsi="Times New Roman" w:cs="Times New Roman"/>
                <w:szCs w:val="21"/>
              </w:rPr>
              <w:t>）</w:t>
            </w:r>
          </w:p>
        </w:tc>
        <w:tc>
          <w:tcPr>
            <w:tcW w:w="1259" w:type="pct"/>
            <w:tcBorders>
              <w:top w:val="single" w:color="auto" w:sz="2" w:space="0"/>
              <w:left w:val="single" w:color="auto" w:sz="2" w:space="0"/>
              <w:bottom w:val="single" w:color="auto" w:sz="2" w:space="0"/>
            </w:tcBorders>
            <w:noWrap w:val="0"/>
            <w:vAlign w:val="center"/>
          </w:tcPr>
          <w:p w14:paraId="0F97F56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2B7C612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noWrap w:val="0"/>
            <w:vAlign w:val="center"/>
          </w:tcPr>
          <w:p w14:paraId="745D12FE">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法定代表人</w:t>
            </w:r>
          </w:p>
          <w:p w14:paraId="2EE4C18B">
            <w:pPr>
              <w:keepNext w:val="0"/>
              <w:keepLines w:val="0"/>
              <w:suppressLineNumbers w:val="0"/>
              <w:adjustRightInd w:val="0"/>
              <w:snapToGrid w:val="0"/>
              <w:spacing w:before="0" w:beforeAutospacing="0" w:after="0" w:afterAutospacing="0" w:line="300" w:lineRule="exact"/>
              <w:ind w:left="0" w:right="0" w:firstLine="100" w:firstLineChars="48"/>
              <w:jc w:val="center"/>
              <w:rPr>
                <w:rFonts w:hint="default" w:ascii="Times New Roman" w:hAnsi="Times New Roman" w:cs="Times New Roman"/>
                <w:szCs w:val="21"/>
              </w:rPr>
            </w:pPr>
            <w:r>
              <w:rPr>
                <w:rFonts w:hint="eastAsia" w:ascii="Times New Roman" w:hAnsi="Times New Roman" w:cs="Times New Roman"/>
                <w:szCs w:val="21"/>
              </w:rPr>
              <w:t>或其</w:t>
            </w:r>
            <w:r>
              <w:rPr>
                <w:rFonts w:hint="default" w:ascii="Times New Roman" w:hAnsi="Times New Roman" w:cs="Times New Roman"/>
                <w:szCs w:val="21"/>
              </w:rPr>
              <w:t>委托代理人</w:t>
            </w:r>
            <w:r>
              <w:rPr>
                <w:rFonts w:hint="eastAsia" w:ascii="Times New Roman" w:hAnsi="Times New Roman" w:cs="Times New Roman"/>
                <w:szCs w:val="21"/>
              </w:rPr>
              <w:t>（签章）</w:t>
            </w:r>
          </w:p>
        </w:tc>
        <w:tc>
          <w:tcPr>
            <w:tcW w:w="1436" w:type="pct"/>
            <w:vMerge w:val="restart"/>
            <w:tcBorders>
              <w:top w:val="single" w:color="auto" w:sz="2" w:space="0"/>
              <w:left w:val="single" w:color="auto" w:sz="2" w:space="0"/>
              <w:right w:val="single" w:color="auto" w:sz="2" w:space="0"/>
            </w:tcBorders>
            <w:noWrap w:val="0"/>
            <w:vAlign w:val="center"/>
          </w:tcPr>
          <w:p w14:paraId="5DA26EF0">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right w:val="single" w:color="auto" w:sz="2" w:space="0"/>
            </w:tcBorders>
            <w:noWrap w:val="0"/>
            <w:vAlign w:val="center"/>
          </w:tcPr>
          <w:p w14:paraId="3DDD049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法定代表人</w:t>
            </w:r>
          </w:p>
          <w:p w14:paraId="5CA7E9DC">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eastAsia" w:ascii="Times New Roman" w:hAnsi="Times New Roman" w:cs="Times New Roman"/>
                <w:szCs w:val="21"/>
              </w:rPr>
              <w:t>或其</w:t>
            </w:r>
            <w:r>
              <w:rPr>
                <w:rFonts w:hint="default" w:ascii="Times New Roman" w:hAnsi="Times New Roman" w:cs="Times New Roman"/>
                <w:szCs w:val="21"/>
              </w:rPr>
              <w:t>委托代理人</w:t>
            </w:r>
            <w:r>
              <w:rPr>
                <w:rFonts w:hint="eastAsia" w:ascii="Times New Roman" w:hAnsi="Times New Roman" w:cs="Times New Roman"/>
                <w:szCs w:val="21"/>
              </w:rPr>
              <w:t>（签章）</w:t>
            </w:r>
          </w:p>
        </w:tc>
        <w:tc>
          <w:tcPr>
            <w:tcW w:w="1259" w:type="pct"/>
            <w:tcBorders>
              <w:top w:val="single" w:color="auto" w:sz="2" w:space="0"/>
              <w:left w:val="single" w:color="auto" w:sz="2" w:space="0"/>
              <w:bottom w:val="single" w:color="auto" w:sz="2" w:space="0"/>
            </w:tcBorders>
            <w:noWrap w:val="0"/>
            <w:vAlign w:val="center"/>
          </w:tcPr>
          <w:p w14:paraId="6642BB1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r>
      <w:tr w14:paraId="05C4DA6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noWrap w:val="0"/>
            <w:vAlign w:val="center"/>
          </w:tcPr>
          <w:p w14:paraId="6CAC7C40">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436" w:type="pct"/>
            <w:vMerge w:val="continue"/>
            <w:tcBorders>
              <w:left w:val="single" w:color="auto" w:sz="2" w:space="0"/>
              <w:bottom w:val="single" w:color="auto" w:sz="2" w:space="0"/>
              <w:right w:val="single" w:color="auto" w:sz="2" w:space="0"/>
            </w:tcBorders>
            <w:noWrap w:val="0"/>
            <w:vAlign w:val="center"/>
          </w:tcPr>
          <w:p w14:paraId="373CFB1E">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C9D83E7">
            <w:pPr>
              <w:keepNext w:val="0"/>
              <w:keepLines w:val="0"/>
              <w:suppressLineNumbers w:val="0"/>
              <w:adjustRightInd w:val="0"/>
              <w:snapToGrid w:val="0"/>
              <w:spacing w:before="0" w:beforeAutospacing="0" w:after="0" w:afterAutospacing="0" w:line="300" w:lineRule="exact"/>
              <w:ind w:left="0" w:right="0"/>
              <w:jc w:val="center"/>
              <w:rPr>
                <w:rFonts w:hint="eastAsia" w:ascii="Times New Roman" w:hAnsi="Times New Roman" w:eastAsia="宋体" w:cs="Times New Roman"/>
                <w:szCs w:val="21"/>
                <w:lang w:eastAsia="zh-CN"/>
              </w:rPr>
            </w:pPr>
            <w:r>
              <w:rPr>
                <w:rFonts w:hint="eastAsia" w:ascii="Times New Roman" w:hAnsi="Times New Roman" w:cs="Times New Roman"/>
                <w:szCs w:val="21"/>
                <w:lang w:eastAsia="zh-CN"/>
              </w:rPr>
              <w:t>拥有者性别</w:t>
            </w:r>
          </w:p>
        </w:tc>
        <w:tc>
          <w:tcPr>
            <w:tcW w:w="1259" w:type="pct"/>
            <w:tcBorders>
              <w:top w:val="single" w:color="auto" w:sz="2" w:space="0"/>
              <w:left w:val="single" w:color="auto" w:sz="2" w:space="0"/>
              <w:bottom w:val="single" w:color="auto" w:sz="2" w:space="0"/>
            </w:tcBorders>
            <w:noWrap w:val="0"/>
            <w:vAlign w:val="center"/>
          </w:tcPr>
          <w:p w14:paraId="4304029D">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3E7D434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AD9789F">
            <w:pPr>
              <w:keepNext w:val="0"/>
              <w:keepLines w:val="0"/>
              <w:suppressLineNumbers w:val="0"/>
              <w:adjustRightInd w:val="0"/>
              <w:snapToGrid w:val="0"/>
              <w:spacing w:before="0" w:beforeAutospacing="0" w:after="0" w:afterAutospacing="0" w:line="300" w:lineRule="exact"/>
              <w:ind w:left="0" w:right="0"/>
              <w:jc w:val="center"/>
              <w:rPr>
                <w:rFonts w:hint="eastAsia" w:ascii="Times New Roman" w:hAnsi="Times New Roman" w:eastAsia="宋体" w:cs="Times New Roman"/>
                <w:szCs w:val="21"/>
                <w:lang w:eastAsia="zh-CN"/>
              </w:rPr>
            </w:pPr>
            <w:r>
              <w:rPr>
                <w:rFonts w:hint="eastAsia" w:ascii="Times New Roman" w:hAnsi="Times New Roman" w:cs="Times New Roman"/>
                <w:szCs w:val="21"/>
                <w:lang w:eastAsia="zh-CN"/>
              </w:rPr>
              <w:t>住</w:t>
            </w:r>
            <w:r>
              <w:rPr>
                <w:rFonts w:hint="eastAsia" w:ascii="Times New Roman" w:hAnsi="Times New Roman" w:cs="Times New Roman"/>
                <w:szCs w:val="21"/>
                <w:lang w:val="en-US" w:eastAsia="zh-CN"/>
              </w:rPr>
              <w:t xml:space="preserve">  </w:t>
            </w:r>
            <w:r>
              <w:rPr>
                <w:rFonts w:hint="eastAsia" w:ascii="Times New Roman" w:hAnsi="Times New Roman" w:cs="Times New Roman"/>
                <w:szCs w:val="21"/>
                <w:lang w:eastAsia="zh-CN"/>
              </w:rPr>
              <w:t>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31659D1D">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1EB86C33">
            <w:pPr>
              <w:keepNext w:val="0"/>
              <w:keepLines w:val="0"/>
              <w:suppressLineNumbers w:val="0"/>
              <w:adjustRightInd w:val="0"/>
              <w:snapToGrid w:val="0"/>
              <w:spacing w:before="0" w:beforeAutospacing="0" w:after="0" w:afterAutospacing="0" w:line="300" w:lineRule="exact"/>
              <w:ind w:left="0" w:right="0"/>
              <w:jc w:val="center"/>
              <w:rPr>
                <w:rFonts w:hint="eastAsia" w:ascii="Times New Roman" w:hAnsi="Times New Roman" w:eastAsia="宋体" w:cs="Times New Roman"/>
                <w:szCs w:val="21"/>
                <w:lang w:eastAsia="zh-CN"/>
              </w:rPr>
            </w:pPr>
            <w:r>
              <w:rPr>
                <w:rFonts w:hint="eastAsia" w:ascii="Times New Roman" w:hAnsi="Times New Roman" w:cs="Times New Roman"/>
                <w:szCs w:val="21"/>
                <w:lang w:eastAsia="zh-CN"/>
              </w:rPr>
              <w:t>住</w:t>
            </w:r>
            <w:r>
              <w:rPr>
                <w:rFonts w:hint="eastAsia" w:ascii="Times New Roman" w:hAnsi="Times New Roman" w:cs="Times New Roman"/>
                <w:szCs w:val="21"/>
                <w:lang w:val="en-US" w:eastAsia="zh-CN"/>
              </w:rPr>
              <w:t xml:space="preserve">  </w:t>
            </w:r>
            <w:r>
              <w:rPr>
                <w:rFonts w:hint="eastAsia" w:ascii="Times New Roman" w:hAnsi="Times New Roman" w:cs="Times New Roman"/>
                <w:szCs w:val="21"/>
                <w:lang w:eastAsia="zh-CN"/>
              </w:rPr>
              <w:t>所</w:t>
            </w:r>
          </w:p>
        </w:tc>
        <w:tc>
          <w:tcPr>
            <w:tcW w:w="1259" w:type="pct"/>
            <w:tcBorders>
              <w:top w:val="single" w:color="auto" w:sz="2" w:space="0"/>
              <w:left w:val="single" w:color="auto" w:sz="2" w:space="0"/>
              <w:bottom w:val="single" w:color="auto" w:sz="2" w:space="0"/>
            </w:tcBorders>
            <w:noWrap w:val="0"/>
            <w:vAlign w:val="center"/>
          </w:tcPr>
          <w:p w14:paraId="3ED89891">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0335FD2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5B5463C">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联 系 人</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E482DD4">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02D783D1">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联 系 人</w:t>
            </w:r>
          </w:p>
        </w:tc>
        <w:tc>
          <w:tcPr>
            <w:tcW w:w="1259" w:type="pct"/>
            <w:tcBorders>
              <w:top w:val="single" w:color="auto" w:sz="2" w:space="0"/>
              <w:left w:val="single" w:color="auto" w:sz="2" w:space="0"/>
              <w:bottom w:val="single" w:color="auto" w:sz="2" w:space="0"/>
            </w:tcBorders>
            <w:noWrap w:val="0"/>
            <w:vAlign w:val="center"/>
          </w:tcPr>
          <w:p w14:paraId="0B77363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14DE37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D2CDA34">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联系电话</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FEC6467">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20609F1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联系电话</w:t>
            </w:r>
          </w:p>
        </w:tc>
        <w:tc>
          <w:tcPr>
            <w:tcW w:w="1259" w:type="pct"/>
            <w:tcBorders>
              <w:top w:val="single" w:color="auto" w:sz="2" w:space="0"/>
              <w:left w:val="single" w:color="auto" w:sz="2" w:space="0"/>
              <w:bottom w:val="single" w:color="auto" w:sz="2" w:space="0"/>
            </w:tcBorders>
            <w:noWrap w:val="0"/>
            <w:vAlign w:val="center"/>
          </w:tcPr>
          <w:p w14:paraId="39E1C596">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2103C90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1D7303F">
            <w:pPr>
              <w:keepNext w:val="0"/>
              <w:keepLines w:val="0"/>
              <w:suppressLineNumbers w:val="0"/>
              <w:adjustRightInd w:val="0"/>
              <w:snapToGrid w:val="0"/>
              <w:spacing w:before="0" w:beforeAutospacing="0" w:after="0" w:afterAutospacing="0" w:line="300" w:lineRule="exact"/>
              <w:ind w:left="0" w:right="0"/>
              <w:jc w:val="center"/>
              <w:rPr>
                <w:rFonts w:hint="eastAsia" w:ascii="Times New Roman" w:hAnsi="Times New Roman" w:eastAsia="宋体" w:cs="Times New Roman"/>
                <w:szCs w:val="21"/>
                <w:lang w:eastAsia="zh-CN"/>
              </w:rPr>
            </w:pPr>
            <w:r>
              <w:rPr>
                <w:rFonts w:hint="eastAsia" w:ascii="Times New Roman" w:hAnsi="Times New Roman" w:cs="Times New Roman"/>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D55B7A9">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062906E">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eastAsia" w:ascii="Times New Roman" w:hAnsi="Times New Roman" w:cs="Times New Roman"/>
                <w:szCs w:val="21"/>
                <w:lang w:eastAsia="zh-CN"/>
              </w:rPr>
              <w:t>通信地址</w:t>
            </w:r>
          </w:p>
        </w:tc>
        <w:tc>
          <w:tcPr>
            <w:tcW w:w="1259" w:type="pct"/>
            <w:tcBorders>
              <w:top w:val="single" w:color="auto" w:sz="2" w:space="0"/>
              <w:left w:val="single" w:color="auto" w:sz="2" w:space="0"/>
              <w:bottom w:val="single" w:color="auto" w:sz="2" w:space="0"/>
            </w:tcBorders>
            <w:noWrap w:val="0"/>
            <w:vAlign w:val="center"/>
          </w:tcPr>
          <w:p w14:paraId="7AF15F5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1CB8A83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338E695">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邮政编码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24812B0E">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26ED1FB7">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邮政编码</w:t>
            </w:r>
          </w:p>
        </w:tc>
        <w:tc>
          <w:tcPr>
            <w:tcW w:w="1259" w:type="pct"/>
            <w:tcBorders>
              <w:top w:val="single" w:color="auto" w:sz="2" w:space="0"/>
              <w:left w:val="single" w:color="auto" w:sz="2" w:space="0"/>
              <w:bottom w:val="single" w:color="auto" w:sz="2" w:space="0"/>
            </w:tcBorders>
            <w:noWrap w:val="0"/>
            <w:vAlign w:val="center"/>
          </w:tcPr>
          <w:p w14:paraId="5277953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6009A12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2BA77C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eastAsia" w:ascii="Times New Roman" w:hAnsi="Times New Roman" w:cs="Times New Roman"/>
                <w:szCs w:val="21"/>
              </w:rPr>
              <w:t>电子邮箱</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0A450DD">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6521D9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eastAsia" w:ascii="Times New Roman" w:hAnsi="Times New Roman" w:cs="Times New Roman"/>
                <w:szCs w:val="21"/>
              </w:rPr>
              <w:t>电子邮箱</w:t>
            </w:r>
          </w:p>
        </w:tc>
        <w:tc>
          <w:tcPr>
            <w:tcW w:w="1259" w:type="pct"/>
            <w:tcBorders>
              <w:top w:val="single" w:color="auto" w:sz="2" w:space="0"/>
              <w:left w:val="single" w:color="auto" w:sz="2" w:space="0"/>
              <w:bottom w:val="single" w:color="auto" w:sz="2" w:space="0"/>
            </w:tcBorders>
            <w:noWrap w:val="0"/>
            <w:vAlign w:val="center"/>
          </w:tcPr>
          <w:p w14:paraId="5E3A91F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6B59423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BA7B858">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eastAsia" w:ascii="Times New Roman" w:hAnsi="Times New Roman" w:cs="Times New Roman"/>
                <w:szCs w:val="21"/>
              </w:rPr>
              <w:t>统一社会信用代码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747BE39">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22C451E">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eastAsia" w:ascii="Times New Roman" w:hAnsi="Times New Roman" w:cs="Times New Roman"/>
                <w:szCs w:val="21"/>
              </w:rPr>
              <w:t>统一社会信用代码</w:t>
            </w:r>
          </w:p>
        </w:tc>
        <w:tc>
          <w:tcPr>
            <w:tcW w:w="1259" w:type="pct"/>
            <w:tcBorders>
              <w:top w:val="single" w:color="auto" w:sz="2" w:space="0"/>
              <w:left w:val="single" w:color="auto" w:sz="2" w:space="0"/>
              <w:bottom w:val="single" w:color="auto" w:sz="2" w:space="0"/>
            </w:tcBorders>
            <w:noWrap w:val="0"/>
            <w:vAlign w:val="center"/>
          </w:tcPr>
          <w:p w14:paraId="2A96F221">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58EF51A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7D0A1C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E152AE8">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57ED814">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开户名称</w:t>
            </w:r>
          </w:p>
        </w:tc>
        <w:tc>
          <w:tcPr>
            <w:tcW w:w="1259" w:type="pct"/>
            <w:tcBorders>
              <w:top w:val="single" w:color="auto" w:sz="2" w:space="0"/>
              <w:left w:val="single" w:color="auto" w:sz="2" w:space="0"/>
              <w:bottom w:val="single" w:color="auto" w:sz="2" w:space="0"/>
            </w:tcBorders>
            <w:noWrap w:val="0"/>
            <w:vAlign w:val="center"/>
          </w:tcPr>
          <w:p w14:paraId="63CA71D7">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0554333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7FFAFAC">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3684C7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086BB0A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开户银行</w:t>
            </w:r>
          </w:p>
        </w:tc>
        <w:tc>
          <w:tcPr>
            <w:tcW w:w="1259" w:type="pct"/>
            <w:tcBorders>
              <w:top w:val="single" w:color="auto" w:sz="2" w:space="0"/>
              <w:left w:val="single" w:color="auto" w:sz="2" w:space="0"/>
              <w:bottom w:val="single" w:color="auto" w:sz="2" w:space="0"/>
            </w:tcBorders>
            <w:noWrap w:val="0"/>
            <w:vAlign w:val="center"/>
          </w:tcPr>
          <w:p w14:paraId="6F6079A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6653663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0F83B29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1D0B99C">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06C8C948">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zCs w:val="21"/>
              </w:rPr>
            </w:pPr>
            <w:r>
              <w:rPr>
                <w:rFonts w:hint="default" w:ascii="Times New Roman" w:hAnsi="Times New Roman" w:cs="Times New Roman"/>
                <w:szCs w:val="21"/>
              </w:rPr>
              <w:t>银行账号</w:t>
            </w:r>
          </w:p>
        </w:tc>
        <w:tc>
          <w:tcPr>
            <w:tcW w:w="1259" w:type="pct"/>
            <w:tcBorders>
              <w:top w:val="single" w:color="auto" w:sz="2" w:space="0"/>
              <w:left w:val="single" w:color="auto" w:sz="2" w:space="0"/>
              <w:bottom w:val="single" w:color="auto" w:sz="2" w:space="0"/>
            </w:tcBorders>
            <w:noWrap w:val="0"/>
            <w:vAlign w:val="center"/>
          </w:tcPr>
          <w:p w14:paraId="64A6487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cs="Times New Roman"/>
                <w:spacing w:val="20"/>
                <w:szCs w:val="21"/>
              </w:rPr>
            </w:pPr>
          </w:p>
        </w:tc>
      </w:tr>
      <w:tr w14:paraId="225CC90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0"/>
            <w:vAlign w:val="center"/>
          </w:tcPr>
          <w:p w14:paraId="262991A7">
            <w:pPr>
              <w:pStyle w:val="14"/>
              <w:keepNext w:val="0"/>
              <w:keepLines w:val="0"/>
              <w:suppressLineNumbers w:val="0"/>
              <w:adjustRightInd w:val="0"/>
              <w:snapToGrid w:val="0"/>
              <w:spacing w:before="156" w:beforeLines="50" w:beforeAutospacing="0" w:after="0" w:afterAutospacing="0" w:line="360" w:lineRule="auto"/>
              <w:ind w:left="0" w:leftChars="0" w:right="0"/>
              <w:jc w:val="left"/>
              <w:rPr>
                <w:rFonts w:hint="default"/>
                <w:spacing w:val="20"/>
                <w:szCs w:val="21"/>
              </w:rPr>
            </w:pPr>
            <w:r>
              <w:rPr>
                <w:rFonts w:hint="eastAsia" w:ascii="宋体" w:hAnsi="宋体"/>
                <w:szCs w:val="21"/>
              </w:rPr>
              <w:t>注：涉及联合体或其他合同主体的信息应按上表格式加列。</w:t>
            </w:r>
          </w:p>
        </w:tc>
      </w:tr>
    </w:tbl>
    <w:p w14:paraId="55B36BF8">
      <w:pPr>
        <w:pStyle w:val="4"/>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r>
        <w:rPr>
          <w:rFonts w:hint="eastAsia" w:ascii="黑体" w:hAnsi="黑体" w:eastAsia="黑体"/>
          <w:b w:val="0"/>
          <w:bCs w:val="0"/>
          <w:sz w:val="28"/>
          <w:szCs w:val="28"/>
        </w:rPr>
        <w:t>第二节 政府采购合同通用条款</w:t>
      </w:r>
    </w:p>
    <w:p w14:paraId="6C298792">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39D60C3E">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rPr>
        <w:t>1.1合同当事人</w:t>
      </w:r>
    </w:p>
    <w:p w14:paraId="00474FF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1E39B2B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1C0681D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szCs w:val="21"/>
        </w:rPr>
        <w:t>依法参与合同缔结或履行，享有权利、承担义务的合同当事人</w:t>
      </w:r>
      <w:r>
        <w:rPr>
          <w:rFonts w:hint="eastAsia" w:ascii="宋体" w:hAnsi="宋体"/>
          <w:color w:val="auto"/>
          <w:szCs w:val="21"/>
          <w:highlight w:val="none"/>
        </w:rPr>
        <w:t>。</w:t>
      </w:r>
    </w:p>
    <w:p w14:paraId="1EEEE56C">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1C71EBF9">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szCs w:val="21"/>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14632FBA">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5E79D641">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szCs w:val="21"/>
          <w:highlight w:val="none"/>
        </w:rPr>
        <w:t>包括软件）及相关的其备品备件、工具、手册及</w:t>
      </w:r>
      <w:r>
        <w:rPr>
          <w:rFonts w:hint="default" w:ascii="宋体" w:hAnsi="宋体"/>
          <w:color w:val="000000"/>
          <w:szCs w:val="21"/>
          <w:highlight w:val="none"/>
          <w:lang w:val="en"/>
        </w:rPr>
        <w:t>其他</w:t>
      </w:r>
      <w:r>
        <w:rPr>
          <w:rFonts w:hint="eastAsia" w:ascii="宋体" w:hAnsi="宋体"/>
          <w:color w:val="000000"/>
          <w:szCs w:val="21"/>
          <w:highlight w:val="none"/>
        </w:rPr>
        <w:t>技术资料和材料</w:t>
      </w:r>
      <w:r>
        <w:rPr>
          <w:rFonts w:hint="eastAsia" w:ascii="宋体" w:hAnsi="宋体"/>
          <w:color w:val="000000"/>
          <w:szCs w:val="21"/>
          <w:highlight w:val="none"/>
          <w:lang w:eastAsia="zh-CN"/>
        </w:rPr>
        <w:t>等</w:t>
      </w:r>
      <w:r>
        <w:rPr>
          <w:rFonts w:hint="eastAsia" w:ascii="宋体" w:hAnsi="宋体"/>
          <w:color w:val="000000"/>
          <w:szCs w:val="21"/>
          <w:highlight w:val="none"/>
        </w:rPr>
        <w:t>。</w:t>
      </w:r>
    </w:p>
    <w:p w14:paraId="5253C677">
      <w:pPr>
        <w:adjustRightInd w:val="0"/>
        <w:snapToGrid w:val="0"/>
        <w:spacing w:before="0" w:line="400" w:lineRule="exact"/>
        <w:ind w:firstLine="420" w:firstLineChars="200"/>
        <w:jc w:val="left"/>
        <w:rPr>
          <w:rFonts w:hint="eastAsia" w:ascii="宋体" w:hAnsi="宋体" w:eastAsia="宋体"/>
          <w:color w:val="000000"/>
          <w:szCs w:val="21"/>
          <w:highlight w:val="yellow"/>
          <w:lang w:eastAsia="zh-CN"/>
        </w:rPr>
      </w:pPr>
      <w:r>
        <w:rPr>
          <w:rFonts w:hint="eastAsia" w:ascii="宋体" w:hAnsi="宋体"/>
          <w:color w:val="000000"/>
          <w:szCs w:val="21"/>
          <w:highlight w:val="none"/>
        </w:rPr>
        <w:t>（</w:t>
      </w:r>
      <w:r>
        <w:rPr>
          <w:rFonts w:hint="eastAsia" w:ascii="宋体" w:hAnsi="宋体"/>
          <w:color w:val="000000"/>
          <w:szCs w:val="21"/>
          <w:highlight w:val="none"/>
          <w:lang w:val="en-US" w:eastAsia="zh-CN"/>
        </w:rPr>
        <w:t>4</w:t>
      </w:r>
      <w:r>
        <w:rPr>
          <w:rFonts w:hint="eastAsia" w:ascii="宋体" w:hAnsi="宋体"/>
          <w:color w:val="000000"/>
          <w:szCs w:val="21"/>
          <w:highlight w:val="none"/>
        </w:rPr>
        <w:t>）“</w:t>
      </w:r>
      <w:r>
        <w:rPr>
          <w:rFonts w:hint="eastAsia" w:ascii="宋体" w:hAnsi="宋体"/>
          <w:color w:val="auto"/>
          <w:szCs w:val="21"/>
          <w:highlight w:val="none"/>
          <w:lang w:val="en-US" w:eastAsia="zh-CN"/>
        </w:rPr>
        <w:t>相关</w:t>
      </w:r>
      <w:r>
        <w:rPr>
          <w:rFonts w:hint="eastAsia" w:ascii="宋体" w:hAnsi="宋体"/>
          <w:color w:val="000000"/>
          <w:szCs w:val="21"/>
          <w:highlight w:val="none"/>
        </w:rPr>
        <w:t>服务”系指根据合同规定，乙方应提供的</w:t>
      </w:r>
      <w:r>
        <w:rPr>
          <w:rFonts w:hint="eastAsia" w:ascii="宋体" w:hAnsi="宋体"/>
          <w:color w:val="000000"/>
          <w:szCs w:val="21"/>
          <w:highlight w:val="none"/>
          <w:lang w:val="en-US" w:eastAsia="zh-CN"/>
        </w:rPr>
        <w:t>与货物有关的</w:t>
      </w:r>
      <w:r>
        <w:rPr>
          <w:rFonts w:hint="eastAsia" w:ascii="宋体" w:hAnsi="宋体"/>
          <w:color w:val="000000"/>
          <w:szCs w:val="21"/>
          <w:highlight w:val="none"/>
        </w:rPr>
        <w:t>技术、管理和</w:t>
      </w:r>
      <w:r>
        <w:rPr>
          <w:rFonts w:hint="default" w:ascii="宋体" w:hAnsi="宋体"/>
          <w:color w:val="000000"/>
          <w:szCs w:val="21"/>
          <w:highlight w:val="none"/>
          <w:lang w:val="en"/>
        </w:rPr>
        <w:t>其他</w:t>
      </w:r>
      <w:r>
        <w:rPr>
          <w:rFonts w:hint="eastAsia" w:ascii="宋体" w:hAnsi="宋体"/>
          <w:color w:val="000000"/>
          <w:szCs w:val="21"/>
          <w:highlight w:val="none"/>
        </w:rPr>
        <w:t>服务，包括但不限于：管理和质量保证、运输、保险、检验、现场准备、安装、集成、调试、培训、维修、</w:t>
      </w:r>
      <w:r>
        <w:rPr>
          <w:rFonts w:hint="eastAsia" w:ascii="宋体" w:hAnsi="宋体"/>
          <w:color w:val="000000"/>
          <w:szCs w:val="21"/>
          <w:highlight w:val="none"/>
          <w:lang w:eastAsia="zh-CN"/>
        </w:rPr>
        <w:t>废弃处置、</w:t>
      </w:r>
      <w:r>
        <w:rPr>
          <w:rFonts w:hint="eastAsia" w:ascii="宋体" w:hAnsi="宋体"/>
          <w:color w:val="000000"/>
          <w:szCs w:val="21"/>
          <w:highlight w:val="none"/>
        </w:rPr>
        <w:t>技术支持等以及合同中规定乙方应承担的</w:t>
      </w:r>
      <w:r>
        <w:rPr>
          <w:rFonts w:hint="default" w:ascii="宋体" w:hAnsi="宋体"/>
          <w:color w:val="000000"/>
          <w:szCs w:val="21"/>
          <w:highlight w:val="none"/>
          <w:lang w:val="en"/>
        </w:rPr>
        <w:t>其他</w:t>
      </w:r>
      <w:r>
        <w:rPr>
          <w:rFonts w:hint="eastAsia" w:ascii="宋体" w:hAnsi="宋体"/>
          <w:color w:val="000000"/>
          <w:szCs w:val="21"/>
          <w:highlight w:val="none"/>
        </w:rPr>
        <w:t>义务。</w:t>
      </w:r>
    </w:p>
    <w:p w14:paraId="29A041AF">
      <w:pPr>
        <w:adjustRightInd w:val="0"/>
        <w:snapToGrid w:val="0"/>
        <w:spacing w:before="0" w:line="400" w:lineRule="exact"/>
        <w:ind w:firstLine="420" w:firstLineChars="200"/>
        <w:jc w:val="left"/>
        <w:rPr>
          <w:rFonts w:hint="eastAsia" w:ascii="宋体" w:hAnsi="宋体" w:eastAsia="宋体"/>
          <w:color w:val="000000"/>
          <w:szCs w:val="21"/>
          <w:highlight w:val="yellow"/>
          <w:lang w:eastAsia="zh-CN"/>
        </w:rPr>
      </w:pPr>
      <w:r>
        <w:rPr>
          <w:rFonts w:hint="eastAsia" w:ascii="宋体" w:hAnsi="宋体"/>
          <w:color w:val="000000"/>
          <w:szCs w:val="21"/>
          <w:highlight w:val="none"/>
        </w:rPr>
        <w:t>（</w:t>
      </w:r>
      <w:r>
        <w:rPr>
          <w:rFonts w:hint="eastAsia" w:ascii="宋体" w:hAnsi="宋体"/>
          <w:color w:val="000000"/>
          <w:szCs w:val="21"/>
          <w:highlight w:val="none"/>
          <w:lang w:val="en-US" w:eastAsia="zh-CN"/>
        </w:rPr>
        <w:t>5</w:t>
      </w:r>
      <w:r>
        <w:rPr>
          <w:rFonts w:hint="eastAsia" w:ascii="宋体" w:hAnsi="宋体"/>
          <w:color w:val="000000"/>
          <w:szCs w:val="21"/>
          <w:highlight w:val="none"/>
        </w:rPr>
        <w:t>）“分包”系指中标</w:t>
      </w:r>
      <w:r>
        <w:rPr>
          <w:rFonts w:hint="eastAsia" w:ascii="宋体" w:hAnsi="宋体"/>
          <w:color w:val="000000"/>
          <w:szCs w:val="21"/>
          <w:highlight w:val="none"/>
          <w:lang w:eastAsia="zh-CN"/>
        </w:rPr>
        <w:t>（</w:t>
      </w:r>
      <w:r>
        <w:rPr>
          <w:rFonts w:hint="eastAsia" w:ascii="宋体" w:hAnsi="宋体"/>
          <w:color w:val="000000"/>
          <w:szCs w:val="21"/>
          <w:highlight w:val="none"/>
        </w:rPr>
        <w:t>成交</w:t>
      </w:r>
      <w:r>
        <w:rPr>
          <w:rFonts w:hint="eastAsia" w:ascii="宋体" w:hAnsi="宋体"/>
          <w:color w:val="000000"/>
          <w:szCs w:val="21"/>
          <w:highlight w:val="none"/>
          <w:lang w:eastAsia="zh-CN"/>
        </w:rPr>
        <w:t>）</w:t>
      </w:r>
      <w:r>
        <w:rPr>
          <w:rFonts w:hint="eastAsia" w:ascii="宋体" w:hAnsi="宋体"/>
          <w:color w:val="000000"/>
          <w:szCs w:val="21"/>
          <w:highlight w:val="none"/>
        </w:rPr>
        <w:t>供应商按采购文件、投标（响应）文件的规定，根据分包意向协议，将中标</w:t>
      </w:r>
      <w:r>
        <w:rPr>
          <w:rFonts w:hint="eastAsia" w:ascii="宋体" w:hAnsi="宋体"/>
          <w:color w:val="000000"/>
          <w:szCs w:val="21"/>
          <w:highlight w:val="none"/>
          <w:lang w:eastAsia="zh-CN"/>
        </w:rPr>
        <w:t>（</w:t>
      </w:r>
      <w:r>
        <w:rPr>
          <w:rFonts w:hint="eastAsia" w:ascii="宋体" w:hAnsi="宋体"/>
          <w:color w:val="000000"/>
          <w:szCs w:val="21"/>
          <w:highlight w:val="none"/>
        </w:rPr>
        <w:t>成交</w:t>
      </w:r>
      <w:r>
        <w:rPr>
          <w:rFonts w:hint="eastAsia" w:ascii="宋体" w:hAnsi="宋体"/>
          <w:color w:val="000000"/>
          <w:szCs w:val="21"/>
          <w:highlight w:val="none"/>
          <w:lang w:eastAsia="zh-CN"/>
        </w:rPr>
        <w:t>）</w:t>
      </w:r>
      <w:r>
        <w:rPr>
          <w:rFonts w:hint="eastAsia" w:ascii="宋体" w:hAnsi="宋体"/>
          <w:color w:val="000000"/>
          <w:szCs w:val="21"/>
          <w:highlight w:val="none"/>
        </w:rPr>
        <w:t>项目中的部分履约内容，分给具有相应资质条件的供应商履行合同的行为。</w:t>
      </w:r>
    </w:p>
    <w:p w14:paraId="005D5001">
      <w:pPr>
        <w:tabs>
          <w:tab w:val="left" w:pos="570"/>
          <w:tab w:val="left" w:pos="9240"/>
          <w:tab w:val="left" w:pos="9555"/>
        </w:tabs>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rPr>
        <w:t>（</w:t>
      </w:r>
      <w:r>
        <w:rPr>
          <w:rFonts w:hint="eastAsia" w:ascii="宋体" w:hAnsi="宋体"/>
          <w:color w:val="000000"/>
          <w:szCs w:val="21"/>
          <w:highlight w:val="none"/>
          <w:lang w:val="en-US" w:eastAsia="zh-CN"/>
        </w:rPr>
        <w:t>6</w:t>
      </w:r>
      <w:r>
        <w:rPr>
          <w:rFonts w:hint="eastAsia" w:ascii="宋体" w:hAnsi="宋体"/>
          <w:color w:val="000000"/>
          <w:szCs w:val="21"/>
          <w:highlight w:val="none"/>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szCs w:val="21"/>
          <w:highlight w:val="none"/>
          <w:lang w:eastAsia="zh-CN"/>
        </w:rPr>
        <w:t>。</w:t>
      </w:r>
      <w:r>
        <w:rPr>
          <w:rFonts w:hint="eastAsia" w:ascii="宋体" w:hAnsi="宋体"/>
          <w:color w:val="000000"/>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szCs w:val="21"/>
          <w:highlight w:val="none"/>
          <w:lang w:eastAsia="zh-CN"/>
        </w:rPr>
        <w:t>甲方</w:t>
      </w:r>
      <w:r>
        <w:rPr>
          <w:rFonts w:hint="eastAsia" w:ascii="宋体" w:hAnsi="宋体"/>
          <w:color w:val="000000"/>
          <w:szCs w:val="21"/>
          <w:highlight w:val="none"/>
        </w:rPr>
        <w:t>承担连带责任。联合体具体要求见【</w:t>
      </w:r>
      <w:r>
        <w:rPr>
          <w:rFonts w:hint="eastAsia" w:ascii="宋体" w:hAnsi="宋体"/>
          <w:b/>
          <w:bCs/>
          <w:color w:val="000000"/>
          <w:szCs w:val="21"/>
          <w:highlight w:val="none"/>
        </w:rPr>
        <w:t>政府采购合同专用条款</w:t>
      </w:r>
      <w:r>
        <w:rPr>
          <w:rFonts w:hint="eastAsia" w:ascii="宋体" w:hAnsi="宋体"/>
          <w:color w:val="000000"/>
          <w:szCs w:val="21"/>
          <w:highlight w:val="none"/>
        </w:rPr>
        <w:t>】。</w:t>
      </w:r>
    </w:p>
    <w:p w14:paraId="743342D0">
      <w:pPr>
        <w:tabs>
          <w:tab w:val="left" w:pos="570"/>
          <w:tab w:val="left" w:pos="9240"/>
          <w:tab w:val="left" w:pos="9555"/>
        </w:tabs>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rPr>
        <w:t>（</w:t>
      </w:r>
      <w:r>
        <w:rPr>
          <w:rFonts w:hint="eastAsia" w:ascii="宋体" w:hAnsi="宋体"/>
          <w:color w:val="000000"/>
          <w:szCs w:val="21"/>
          <w:highlight w:val="none"/>
          <w:lang w:val="en-US" w:eastAsia="zh-CN"/>
        </w:rPr>
        <w:t>7</w:t>
      </w:r>
      <w:r>
        <w:rPr>
          <w:rFonts w:hint="eastAsia" w:ascii="宋体" w:hAnsi="宋体"/>
          <w:color w:val="000000"/>
          <w:szCs w:val="21"/>
          <w:highlight w:val="none"/>
        </w:rPr>
        <w:t>）其他术语解释，见【</w:t>
      </w:r>
      <w:r>
        <w:rPr>
          <w:rFonts w:hint="eastAsia" w:ascii="宋体" w:hAnsi="宋体"/>
          <w:b/>
          <w:bCs/>
          <w:color w:val="000000"/>
          <w:szCs w:val="21"/>
          <w:highlight w:val="none"/>
        </w:rPr>
        <w:t>政府采购合同专用条款</w:t>
      </w:r>
      <w:r>
        <w:rPr>
          <w:rFonts w:hint="eastAsia" w:ascii="宋体" w:hAnsi="宋体"/>
          <w:color w:val="000000"/>
          <w:szCs w:val="21"/>
          <w:highlight w:val="none"/>
        </w:rPr>
        <w:t>】。</w:t>
      </w:r>
    </w:p>
    <w:p w14:paraId="1C19FA98">
      <w:pPr>
        <w:numPr>
          <w:ilvl w:val="0"/>
          <w:numId w:val="19"/>
        </w:numPr>
        <w:autoSpaceDE w:val="0"/>
        <w:autoSpaceDN w:val="0"/>
        <w:adjustRightInd w:val="0"/>
        <w:snapToGrid w:val="0"/>
        <w:spacing w:before="0" w:line="400" w:lineRule="exact"/>
        <w:jc w:val="left"/>
        <w:rPr>
          <w:rFonts w:ascii="宋体" w:hAnsi="宋体"/>
          <w:b/>
          <w:bCs/>
          <w:color w:val="000000"/>
          <w:sz w:val="24"/>
          <w:highlight w:val="none"/>
        </w:rPr>
      </w:pPr>
      <w:r>
        <w:rPr>
          <w:rFonts w:hint="eastAsia" w:ascii="宋体" w:hAnsi="宋体"/>
          <w:b/>
          <w:color w:val="000000"/>
          <w:sz w:val="24"/>
          <w:highlight w:val="none"/>
        </w:rPr>
        <w:t>合同标的及金额</w:t>
      </w:r>
    </w:p>
    <w:p w14:paraId="74812F33">
      <w:pPr>
        <w:autoSpaceDE w:val="0"/>
        <w:autoSpaceDN w:val="0"/>
        <w:adjustRightInd w:val="0"/>
        <w:snapToGrid w:val="0"/>
        <w:spacing w:before="0" w:line="400" w:lineRule="exact"/>
        <w:ind w:firstLine="420" w:firstLineChars="200"/>
        <w:jc w:val="left"/>
        <w:rPr>
          <w:rFonts w:ascii="宋体" w:hAnsi="宋体"/>
          <w:b/>
          <w:bCs/>
          <w:i/>
          <w:iCs/>
          <w:color w:val="000000"/>
          <w:szCs w:val="21"/>
          <w:highlight w:val="none"/>
        </w:rPr>
      </w:pPr>
      <w:r>
        <w:rPr>
          <w:rFonts w:hint="eastAsia" w:ascii="宋体" w:hAnsi="宋体"/>
          <w:color w:val="000000"/>
          <w:szCs w:val="21"/>
          <w:highlight w:val="none"/>
          <w:lang w:eastAsia="zh-CN"/>
        </w:rPr>
        <w:t>2</w:t>
      </w:r>
      <w:r>
        <w:rPr>
          <w:rFonts w:hint="eastAsia" w:ascii="宋体" w:hAnsi="宋体"/>
          <w:color w:val="000000"/>
          <w:szCs w:val="21"/>
          <w:highlight w:val="none"/>
        </w:rPr>
        <w:t>.1 合同标的及金额应与中标（成交）结果一致。乙方为履行本合同而发生的所有费用均应包含在合同</w:t>
      </w:r>
      <w:r>
        <w:rPr>
          <w:rFonts w:hint="eastAsia" w:ascii="宋体" w:hAnsi="宋体"/>
          <w:color w:val="000000"/>
          <w:szCs w:val="21"/>
          <w:highlight w:val="none"/>
          <w:lang w:eastAsia="zh-CN"/>
        </w:rPr>
        <w:t>价款</w:t>
      </w:r>
      <w:r>
        <w:rPr>
          <w:rFonts w:hint="eastAsia" w:ascii="宋体" w:hAnsi="宋体"/>
          <w:color w:val="000000"/>
          <w:szCs w:val="21"/>
          <w:highlight w:val="none"/>
        </w:rPr>
        <w:t>中，甲方不再另行支付</w:t>
      </w:r>
      <w:r>
        <w:rPr>
          <w:rFonts w:hint="default" w:ascii="宋体" w:hAnsi="宋体"/>
          <w:color w:val="000000"/>
          <w:szCs w:val="21"/>
          <w:highlight w:val="none"/>
          <w:lang w:val="en"/>
        </w:rPr>
        <w:t>其他</w:t>
      </w:r>
      <w:r>
        <w:rPr>
          <w:rFonts w:hint="eastAsia" w:ascii="宋体" w:hAnsi="宋体"/>
          <w:color w:val="000000"/>
          <w:szCs w:val="21"/>
          <w:highlight w:val="none"/>
        </w:rPr>
        <w:t>任何费用。</w:t>
      </w:r>
    </w:p>
    <w:p w14:paraId="4B3C386A">
      <w:pPr>
        <w:adjustRightInd w:val="0"/>
        <w:snapToGrid w:val="0"/>
        <w:spacing w:before="0" w:line="400" w:lineRule="exact"/>
        <w:jc w:val="left"/>
        <w:rPr>
          <w:rFonts w:ascii="宋体" w:hAnsi="宋体"/>
          <w:b/>
          <w:color w:val="000000"/>
          <w:sz w:val="24"/>
          <w:highlight w:val="none"/>
        </w:rPr>
      </w:pPr>
      <w:r>
        <w:rPr>
          <w:rFonts w:hint="eastAsia" w:ascii="宋体" w:hAnsi="宋体"/>
          <w:b/>
          <w:color w:val="000000"/>
          <w:sz w:val="24"/>
          <w:highlight w:val="none"/>
          <w:lang w:eastAsia="zh-CN"/>
        </w:rPr>
        <w:t>3</w:t>
      </w:r>
      <w:r>
        <w:rPr>
          <w:rFonts w:hint="eastAsia" w:ascii="宋体" w:hAnsi="宋体"/>
          <w:b/>
          <w:color w:val="000000"/>
          <w:sz w:val="24"/>
          <w:highlight w:val="none"/>
          <w:lang w:val="en-US" w:eastAsia="zh-CN"/>
        </w:rPr>
        <w:t xml:space="preserve">. </w:t>
      </w:r>
      <w:r>
        <w:rPr>
          <w:rFonts w:hint="eastAsia" w:ascii="宋体" w:hAnsi="宋体"/>
          <w:b/>
          <w:color w:val="000000"/>
          <w:sz w:val="24"/>
          <w:highlight w:val="none"/>
        </w:rPr>
        <w:t>履行合同的时间、地点和方式</w:t>
      </w:r>
    </w:p>
    <w:p w14:paraId="3115BF5E">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3</w:t>
      </w:r>
      <w:r>
        <w:rPr>
          <w:rFonts w:hint="eastAsia" w:ascii="宋体" w:hAnsi="宋体"/>
          <w:color w:val="000000"/>
          <w:szCs w:val="21"/>
          <w:highlight w:val="none"/>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4AFEED8D">
      <w:pPr>
        <w:autoSpaceDE w:val="0"/>
        <w:autoSpaceDN w:val="0"/>
        <w:adjustRightInd w:val="0"/>
        <w:snapToGrid w:val="0"/>
        <w:spacing w:before="0" w:line="400" w:lineRule="exact"/>
        <w:jc w:val="left"/>
        <w:rPr>
          <w:rFonts w:ascii="宋体" w:hAnsi="宋体"/>
          <w:b/>
          <w:bCs/>
          <w:color w:val="000000"/>
          <w:sz w:val="24"/>
          <w:highlight w:val="none"/>
        </w:rPr>
      </w:pPr>
      <w:r>
        <w:rPr>
          <w:rFonts w:hint="eastAsia" w:ascii="宋体" w:hAnsi="宋体"/>
          <w:b/>
          <w:bCs/>
          <w:color w:val="000000"/>
          <w:sz w:val="24"/>
          <w:highlight w:val="none"/>
          <w:lang w:eastAsia="zh-CN"/>
        </w:rPr>
        <w:t>4</w:t>
      </w:r>
      <w:r>
        <w:rPr>
          <w:rFonts w:hint="eastAsia" w:ascii="宋体" w:hAnsi="宋体"/>
          <w:b/>
          <w:bCs/>
          <w:color w:val="000000"/>
          <w:sz w:val="24"/>
          <w:highlight w:val="none"/>
          <w:lang w:val="en-US" w:eastAsia="zh-CN"/>
        </w:rPr>
        <w:t xml:space="preserve">. </w:t>
      </w:r>
      <w:r>
        <w:rPr>
          <w:rFonts w:hint="eastAsia" w:ascii="宋体" w:hAnsi="宋体"/>
          <w:b/>
          <w:bCs/>
          <w:color w:val="000000"/>
          <w:sz w:val="24"/>
          <w:highlight w:val="none"/>
        </w:rPr>
        <w:t>甲方的权利和义务</w:t>
      </w:r>
    </w:p>
    <w:p w14:paraId="5CFDFA89">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4</w:t>
      </w:r>
      <w:r>
        <w:rPr>
          <w:rFonts w:hint="eastAsia" w:ascii="宋体" w:hAnsi="宋体"/>
          <w:color w:val="000000"/>
          <w:szCs w:val="21"/>
          <w:highlight w:val="none"/>
        </w:rPr>
        <w:t>.1</w:t>
      </w:r>
      <w:r>
        <w:rPr>
          <w:rFonts w:ascii="宋体" w:hAnsi="宋体"/>
          <w:color w:val="000000"/>
          <w:szCs w:val="21"/>
          <w:highlight w:val="none"/>
        </w:rPr>
        <w:t xml:space="preserve"> 签署合同后，甲方</w:t>
      </w:r>
      <w:r>
        <w:rPr>
          <w:rFonts w:hint="eastAsia" w:ascii="宋体" w:hAnsi="宋体"/>
          <w:color w:val="000000"/>
          <w:szCs w:val="21"/>
          <w:highlight w:val="none"/>
          <w:lang w:eastAsia="zh-CN"/>
        </w:rPr>
        <w:t>应</w:t>
      </w:r>
      <w:r>
        <w:rPr>
          <w:rFonts w:ascii="宋体" w:hAnsi="宋体"/>
          <w:color w:val="000000"/>
          <w:szCs w:val="21"/>
          <w:highlight w:val="none"/>
        </w:rPr>
        <w:t>确定</w:t>
      </w:r>
      <w:r>
        <w:rPr>
          <w:rFonts w:hint="eastAsia" w:ascii="宋体" w:hAnsi="宋体"/>
          <w:color w:val="000000"/>
          <w:szCs w:val="21"/>
          <w:highlight w:val="none"/>
          <w:lang w:val="en-US" w:eastAsia="zh-CN"/>
        </w:rPr>
        <w:t>项目负责人（或项目联系人）</w:t>
      </w:r>
      <w:r>
        <w:rPr>
          <w:rFonts w:ascii="宋体" w:hAnsi="宋体"/>
          <w:color w:val="000000"/>
          <w:szCs w:val="21"/>
          <w:highlight w:val="none"/>
        </w:rPr>
        <w:t>，负责与本合同有关的事务。</w:t>
      </w:r>
      <w:r>
        <w:rPr>
          <w:rFonts w:hint="eastAsia" w:ascii="宋体" w:hAnsi="宋体"/>
          <w:color w:val="000000"/>
          <w:szCs w:val="21"/>
          <w:highlight w:val="none"/>
        </w:rPr>
        <w:t>甲方有权对乙方的履约行为进行检查，并</w:t>
      </w:r>
      <w:r>
        <w:rPr>
          <w:rFonts w:ascii="宋体" w:hAnsi="宋体"/>
          <w:color w:val="000000"/>
          <w:szCs w:val="21"/>
          <w:highlight w:val="none"/>
        </w:rPr>
        <w:t>及时确认乙方提交的事项</w:t>
      </w:r>
      <w:r>
        <w:rPr>
          <w:rFonts w:hint="eastAsia" w:ascii="宋体" w:hAnsi="宋体"/>
          <w:color w:val="000000"/>
          <w:szCs w:val="21"/>
          <w:highlight w:val="none"/>
        </w:rPr>
        <w:t>。甲方应当</w:t>
      </w:r>
      <w:r>
        <w:rPr>
          <w:rFonts w:ascii="宋体" w:hAnsi="宋体"/>
          <w:color w:val="000000"/>
          <w:szCs w:val="21"/>
          <w:highlight w:val="none"/>
        </w:rPr>
        <w:t>配合乙方完成</w:t>
      </w:r>
      <w:r>
        <w:rPr>
          <w:rFonts w:hint="eastAsia" w:ascii="宋体" w:hAnsi="宋体"/>
          <w:color w:val="000000"/>
          <w:szCs w:val="21"/>
          <w:highlight w:val="none"/>
        </w:rPr>
        <w:t>相关项目</w:t>
      </w:r>
      <w:r>
        <w:rPr>
          <w:rFonts w:ascii="宋体" w:hAnsi="宋体"/>
          <w:color w:val="000000"/>
          <w:szCs w:val="21"/>
          <w:highlight w:val="none"/>
        </w:rPr>
        <w:t>实施工作。</w:t>
      </w:r>
    </w:p>
    <w:p w14:paraId="2E21EEDB">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4</w:t>
      </w:r>
      <w:r>
        <w:rPr>
          <w:rFonts w:hint="eastAsia" w:ascii="宋体" w:hAnsi="宋体"/>
          <w:color w:val="000000"/>
          <w:szCs w:val="21"/>
          <w:highlight w:val="none"/>
        </w:rPr>
        <w:t xml:space="preserve">.2 </w:t>
      </w:r>
      <w:r>
        <w:rPr>
          <w:rFonts w:ascii="宋体" w:hAnsi="宋体"/>
          <w:color w:val="000000"/>
          <w:szCs w:val="21"/>
          <w:highlight w:val="none"/>
        </w:rPr>
        <w:t>甲方有权要求乙方按时提交各阶段有关</w:t>
      </w:r>
      <w:r>
        <w:rPr>
          <w:rFonts w:hint="eastAsia" w:ascii="宋体" w:hAnsi="宋体"/>
          <w:color w:val="000000"/>
          <w:szCs w:val="21"/>
          <w:highlight w:val="none"/>
        </w:rPr>
        <w:t>安排计划</w:t>
      </w:r>
      <w:r>
        <w:rPr>
          <w:rFonts w:ascii="宋体" w:hAnsi="宋体"/>
          <w:color w:val="000000"/>
          <w:szCs w:val="21"/>
          <w:highlight w:val="none"/>
        </w:rPr>
        <w:t>，并有权</w:t>
      </w:r>
      <w:r>
        <w:rPr>
          <w:rFonts w:hint="eastAsia" w:ascii="宋体" w:hAnsi="宋体"/>
          <w:color w:val="000000"/>
          <w:szCs w:val="21"/>
          <w:highlight w:val="none"/>
        </w:rPr>
        <w:t>定期核对乙方提供货物数量、规格、质量等内容。甲方</w:t>
      </w:r>
      <w:r>
        <w:rPr>
          <w:rFonts w:ascii="宋体" w:hAnsi="宋体"/>
          <w:color w:val="000000"/>
          <w:szCs w:val="21"/>
          <w:highlight w:val="none"/>
        </w:rPr>
        <w:t>有权督促乙方工作并要求乙方</w:t>
      </w:r>
      <w:r>
        <w:rPr>
          <w:rFonts w:hint="eastAsia" w:ascii="宋体" w:hAnsi="宋体"/>
          <w:color w:val="000000"/>
          <w:szCs w:val="21"/>
          <w:highlight w:val="none"/>
        </w:rPr>
        <w:t>更</w:t>
      </w:r>
      <w:r>
        <w:rPr>
          <w:rFonts w:ascii="宋体" w:hAnsi="宋体"/>
          <w:color w:val="000000"/>
          <w:szCs w:val="21"/>
          <w:highlight w:val="none"/>
        </w:rPr>
        <w:t>换不符合要求的</w:t>
      </w:r>
      <w:r>
        <w:rPr>
          <w:rFonts w:hint="eastAsia" w:ascii="宋体" w:hAnsi="宋体"/>
          <w:color w:val="000000"/>
          <w:szCs w:val="21"/>
          <w:highlight w:val="none"/>
        </w:rPr>
        <w:t>货物</w:t>
      </w:r>
      <w:r>
        <w:rPr>
          <w:rFonts w:ascii="宋体" w:hAnsi="宋体"/>
          <w:color w:val="000000"/>
          <w:szCs w:val="21"/>
          <w:highlight w:val="none"/>
        </w:rPr>
        <w:t>。</w:t>
      </w:r>
    </w:p>
    <w:p w14:paraId="054CCB74">
      <w:pPr>
        <w:autoSpaceDE w:val="0"/>
        <w:autoSpaceDN w:val="0"/>
        <w:adjustRightInd w:val="0"/>
        <w:snapToGrid w:val="0"/>
        <w:spacing w:before="0" w:line="400" w:lineRule="exact"/>
        <w:ind w:firstLine="420" w:firstLineChars="200"/>
        <w:jc w:val="left"/>
        <w:rPr>
          <w:rFonts w:hint="eastAsia" w:ascii="宋体" w:hAnsi="宋体"/>
          <w:color w:val="000000"/>
          <w:szCs w:val="21"/>
          <w:highlight w:val="none"/>
        </w:rPr>
      </w:pPr>
      <w:r>
        <w:rPr>
          <w:rFonts w:hint="eastAsia" w:ascii="宋体" w:hAnsi="宋体"/>
          <w:color w:val="000000"/>
          <w:szCs w:val="21"/>
          <w:highlight w:val="none"/>
          <w:lang w:eastAsia="zh-CN"/>
        </w:rPr>
        <w:t>4</w:t>
      </w:r>
      <w:r>
        <w:rPr>
          <w:rFonts w:hint="eastAsia" w:ascii="宋体" w:hAnsi="宋体"/>
          <w:color w:val="000000"/>
          <w:szCs w:val="21"/>
          <w:highlight w:val="none"/>
        </w:rPr>
        <w:t>.</w:t>
      </w:r>
      <w:r>
        <w:rPr>
          <w:rFonts w:ascii="宋体" w:hAnsi="宋体"/>
          <w:color w:val="000000"/>
          <w:szCs w:val="21"/>
          <w:highlight w:val="none"/>
        </w:rPr>
        <w:t>3</w:t>
      </w:r>
      <w:r>
        <w:rPr>
          <w:rFonts w:hint="eastAsia" w:ascii="宋体" w:hAnsi="宋体"/>
          <w:color w:val="000000"/>
          <w:szCs w:val="21"/>
          <w:highlight w:val="none"/>
        </w:rPr>
        <w:t xml:space="preserve"> </w:t>
      </w:r>
      <w:r>
        <w:rPr>
          <w:rFonts w:ascii="宋体" w:hAnsi="宋体"/>
          <w:color w:val="000000"/>
          <w:szCs w:val="21"/>
          <w:highlight w:val="none"/>
        </w:rPr>
        <w:t>甲方</w:t>
      </w:r>
      <w:r>
        <w:rPr>
          <w:rFonts w:hint="eastAsia" w:ascii="宋体" w:hAnsi="宋体"/>
          <w:color w:val="000000"/>
          <w:szCs w:val="21"/>
          <w:highlight w:val="none"/>
        </w:rPr>
        <w:t>有权要求乙方对缺陷部分予以修复，并按合同约定享有货物保修及其他合同约定的权利。</w:t>
      </w:r>
    </w:p>
    <w:p w14:paraId="447CCF0C">
      <w:pPr>
        <w:snapToGrid w:val="0"/>
        <w:spacing w:line="400" w:lineRule="exact"/>
        <w:ind w:firstLine="420" w:firstLineChars="200"/>
        <w:rPr>
          <w:rFonts w:hint="eastAsia" w:eastAsia="华文楷体"/>
          <w:lang w:val="en-US" w:eastAsia="zh-CN"/>
        </w:rPr>
      </w:pPr>
      <w:r>
        <w:rPr>
          <w:rFonts w:hint="default" w:ascii="宋体" w:hAnsi="宋体"/>
          <w:color w:val="000000"/>
          <w:szCs w:val="21"/>
          <w:highlight w:val="none"/>
          <w:lang w:val="en-US" w:eastAsia="zh-CN"/>
        </w:rPr>
        <w:t>4.4 甲方应当按照合同约定及时对交付的货物进行验收</w:t>
      </w:r>
      <w:r>
        <w:rPr>
          <w:rFonts w:hint="eastAsia" w:ascii="宋体" w:hAnsi="宋体"/>
          <w:color w:val="000000"/>
          <w:szCs w:val="21"/>
          <w:highlight w:val="none"/>
          <w:lang w:val="en-US" w:eastAsia="zh-CN"/>
        </w:rPr>
        <w:t>，</w:t>
      </w:r>
      <w:r>
        <w:rPr>
          <w:rFonts w:hint="eastAsia" w:ascii="宋体" w:hAnsi="宋体" w:cs="宋体"/>
          <w:b w:val="0"/>
          <w:bCs w:val="0"/>
          <w:szCs w:val="21"/>
          <w:highlight w:val="none"/>
          <w:lang w:eastAsia="zh-CN"/>
        </w:rPr>
        <w:t>未</w:t>
      </w:r>
      <w:r>
        <w:rPr>
          <w:rFonts w:hint="eastAsia" w:ascii="宋体" w:hAnsi="宋体"/>
          <w:color w:val="000000"/>
          <w:szCs w:val="21"/>
          <w:highlight w:val="none"/>
          <w:lang w:val="en-US" w:eastAsia="zh-CN"/>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szCs w:val="21"/>
          <w:highlight w:val="none"/>
          <w:lang w:val="en-US" w:eastAsia="zh-CN"/>
        </w:rPr>
        <w:t>视为验收通过。</w:t>
      </w:r>
    </w:p>
    <w:p w14:paraId="6A0E8454">
      <w:pPr>
        <w:autoSpaceDE w:val="0"/>
        <w:autoSpaceDN w:val="0"/>
        <w:adjustRightInd w:val="0"/>
        <w:snapToGrid w:val="0"/>
        <w:spacing w:line="400" w:lineRule="exact"/>
        <w:ind w:firstLine="420" w:firstLineChars="200"/>
        <w:jc w:val="left"/>
        <w:rPr>
          <w:rFonts w:hint="eastAsia" w:ascii="宋体" w:hAnsi="宋体"/>
          <w:color w:val="000000"/>
          <w:szCs w:val="21"/>
          <w:highlight w:val="none"/>
        </w:rPr>
      </w:pPr>
      <w:r>
        <w:rPr>
          <w:rFonts w:hint="default" w:ascii="宋体" w:hAnsi="宋体"/>
          <w:color w:val="000000"/>
          <w:szCs w:val="21"/>
          <w:highlight w:val="none"/>
          <w:lang w:eastAsia="zh-CN"/>
        </w:rPr>
        <w:t>4</w:t>
      </w:r>
      <w:r>
        <w:rPr>
          <w:rFonts w:hint="eastAsia" w:ascii="宋体" w:hAnsi="宋体"/>
          <w:color w:val="000000"/>
          <w:szCs w:val="21"/>
          <w:highlight w:val="none"/>
        </w:rPr>
        <w:t>.</w:t>
      </w:r>
      <w:r>
        <w:rPr>
          <w:rFonts w:hint="default" w:ascii="宋体" w:hAnsi="宋体"/>
          <w:color w:val="000000"/>
          <w:szCs w:val="21"/>
          <w:highlight w:val="none"/>
          <w:lang w:val="en-US" w:eastAsia="zh-CN"/>
        </w:rPr>
        <w:t>5</w:t>
      </w:r>
      <w:r>
        <w:rPr>
          <w:rFonts w:ascii="宋体" w:hAnsi="宋体"/>
          <w:color w:val="000000"/>
          <w:szCs w:val="21"/>
          <w:highlight w:val="none"/>
        </w:rPr>
        <w:t xml:space="preserve"> </w:t>
      </w:r>
      <w:r>
        <w:rPr>
          <w:rFonts w:hint="eastAsia" w:ascii="宋体" w:hAnsi="宋体"/>
          <w:color w:val="000000"/>
          <w:szCs w:val="21"/>
          <w:highlight w:val="none"/>
        </w:rPr>
        <w:t>甲方应当根据合同约定</w:t>
      </w:r>
      <w:r>
        <w:rPr>
          <w:rFonts w:hint="eastAsia" w:ascii="宋体" w:hAnsi="宋体"/>
          <w:color w:val="000000"/>
          <w:szCs w:val="21"/>
          <w:highlight w:val="none"/>
          <w:lang w:eastAsia="zh-CN"/>
        </w:rPr>
        <w:t>及</w:t>
      </w:r>
      <w:r>
        <w:rPr>
          <w:rFonts w:hint="eastAsia" w:ascii="宋体" w:hAnsi="宋体"/>
          <w:color w:val="000000"/>
          <w:szCs w:val="21"/>
          <w:highlight w:val="none"/>
        </w:rPr>
        <w:t>时向乙方支付</w:t>
      </w:r>
      <w:r>
        <w:rPr>
          <w:rFonts w:hint="eastAsia" w:ascii="宋体" w:hAnsi="宋体"/>
          <w:color w:val="000000"/>
          <w:szCs w:val="21"/>
          <w:highlight w:val="none"/>
          <w:lang w:eastAsia="zh-CN"/>
        </w:rPr>
        <w:t>合同价款</w:t>
      </w:r>
      <w:r>
        <w:rPr>
          <w:rFonts w:hint="default" w:ascii="宋体" w:hAnsi="宋体"/>
          <w:color w:val="000000"/>
          <w:szCs w:val="21"/>
          <w:highlight w:val="none"/>
          <w:lang w:eastAsia="zh-CN"/>
        </w:rPr>
        <w:t>，不得以内部人员变更、履行内部付款流程等为由，拒绝或迟延支付。</w:t>
      </w:r>
    </w:p>
    <w:p w14:paraId="0FCF7D10">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4</w:t>
      </w:r>
      <w:r>
        <w:rPr>
          <w:rFonts w:hint="eastAsia" w:ascii="宋体" w:hAnsi="宋体"/>
          <w:color w:val="000000"/>
          <w:szCs w:val="21"/>
          <w:highlight w:val="none"/>
        </w:rPr>
        <w:t>.</w:t>
      </w:r>
      <w:r>
        <w:rPr>
          <w:rFonts w:hint="eastAsia" w:ascii="宋体" w:hAnsi="宋体"/>
          <w:color w:val="000000"/>
          <w:szCs w:val="21"/>
          <w:highlight w:val="none"/>
          <w:lang w:val="en-US" w:eastAsia="zh-CN"/>
        </w:rPr>
        <w:t>6</w:t>
      </w:r>
      <w:r>
        <w:rPr>
          <w:rFonts w:ascii="宋体" w:hAnsi="宋体"/>
          <w:color w:val="000000"/>
          <w:szCs w:val="21"/>
          <w:highlight w:val="none"/>
        </w:rPr>
        <w:t xml:space="preserve"> </w:t>
      </w:r>
      <w:r>
        <w:rPr>
          <w:rFonts w:hint="eastAsia" w:ascii="宋体" w:hAnsi="宋体"/>
          <w:color w:val="000000"/>
          <w:szCs w:val="21"/>
          <w:highlight w:val="none"/>
        </w:rPr>
        <w:t>国家法律法规规定</w:t>
      </w:r>
      <w:r>
        <w:rPr>
          <w:rFonts w:hint="eastAsia" w:ascii="宋体" w:hAnsi="宋体"/>
          <w:color w:val="000000"/>
          <w:szCs w:val="21"/>
          <w:highlight w:val="none"/>
          <w:lang w:eastAsia="zh-CN"/>
        </w:rPr>
        <w:t>及</w:t>
      </w:r>
      <w:r>
        <w:rPr>
          <w:rFonts w:hint="eastAsia" w:ascii="宋体" w:hAnsi="宋体" w:eastAsia="宋体" w:cs="宋体"/>
          <w:b/>
          <w:bCs/>
          <w:szCs w:val="21"/>
          <w:highlight w:val="none"/>
        </w:rPr>
        <w:t>【政府采购合同专用条款】</w:t>
      </w:r>
      <w:r>
        <w:rPr>
          <w:rFonts w:hint="eastAsia" w:ascii="宋体" w:hAnsi="宋体"/>
          <w:color w:val="000000"/>
          <w:szCs w:val="21"/>
          <w:highlight w:val="none"/>
          <w:lang w:eastAsia="zh-CN"/>
        </w:rPr>
        <w:t>约定应</w:t>
      </w:r>
      <w:r>
        <w:rPr>
          <w:rFonts w:hint="eastAsia" w:ascii="宋体" w:hAnsi="宋体"/>
          <w:color w:val="000000"/>
          <w:szCs w:val="21"/>
          <w:highlight w:val="none"/>
        </w:rPr>
        <w:t>由甲方承担的其他义务和责任。</w:t>
      </w:r>
    </w:p>
    <w:p w14:paraId="46340D42">
      <w:pPr>
        <w:autoSpaceDE w:val="0"/>
        <w:autoSpaceDN w:val="0"/>
        <w:adjustRightInd w:val="0"/>
        <w:snapToGrid w:val="0"/>
        <w:spacing w:before="0" w:line="400" w:lineRule="exact"/>
        <w:jc w:val="left"/>
        <w:rPr>
          <w:rFonts w:ascii="宋体" w:hAnsi="宋体"/>
          <w:b/>
          <w:bCs/>
          <w:color w:val="000000"/>
          <w:sz w:val="24"/>
          <w:highlight w:val="none"/>
        </w:rPr>
      </w:pPr>
      <w:r>
        <w:rPr>
          <w:rFonts w:hint="eastAsia" w:ascii="宋体" w:hAnsi="宋体"/>
          <w:b/>
          <w:bCs/>
          <w:color w:val="000000"/>
          <w:sz w:val="24"/>
          <w:highlight w:val="none"/>
          <w:lang w:eastAsia="zh-CN"/>
        </w:rPr>
        <w:t>5</w:t>
      </w:r>
      <w:r>
        <w:rPr>
          <w:rFonts w:hint="eastAsia" w:ascii="宋体" w:hAnsi="宋体"/>
          <w:b/>
          <w:bCs/>
          <w:color w:val="000000"/>
          <w:sz w:val="24"/>
          <w:highlight w:val="none"/>
          <w:lang w:val="en-US" w:eastAsia="zh-CN"/>
        </w:rPr>
        <w:t xml:space="preserve">. </w:t>
      </w:r>
      <w:r>
        <w:rPr>
          <w:rFonts w:hint="eastAsia" w:ascii="宋体" w:hAnsi="宋体"/>
          <w:b/>
          <w:bCs/>
          <w:color w:val="000000"/>
          <w:sz w:val="24"/>
          <w:highlight w:val="none"/>
        </w:rPr>
        <w:t>乙方的权利和义务</w:t>
      </w:r>
    </w:p>
    <w:p w14:paraId="232E9A6D">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5</w:t>
      </w:r>
      <w:r>
        <w:rPr>
          <w:rFonts w:hint="eastAsia" w:ascii="宋体" w:hAnsi="宋体"/>
          <w:color w:val="000000"/>
          <w:szCs w:val="21"/>
          <w:highlight w:val="none"/>
        </w:rPr>
        <w:t xml:space="preserve">.1 </w:t>
      </w:r>
      <w:r>
        <w:rPr>
          <w:rFonts w:ascii="宋体" w:hAnsi="宋体"/>
          <w:color w:val="000000"/>
          <w:szCs w:val="21"/>
          <w:highlight w:val="none"/>
        </w:rPr>
        <w:t>签署合同后，乙方</w:t>
      </w:r>
      <w:r>
        <w:rPr>
          <w:rFonts w:hint="eastAsia" w:ascii="宋体" w:hAnsi="宋体"/>
          <w:color w:val="000000"/>
          <w:szCs w:val="21"/>
          <w:highlight w:val="none"/>
          <w:lang w:eastAsia="zh-CN"/>
        </w:rPr>
        <w:t>应</w:t>
      </w:r>
      <w:r>
        <w:rPr>
          <w:rFonts w:ascii="宋体" w:hAnsi="宋体"/>
          <w:color w:val="000000"/>
          <w:szCs w:val="21"/>
          <w:highlight w:val="none"/>
        </w:rPr>
        <w:t>确定</w:t>
      </w:r>
      <w:r>
        <w:rPr>
          <w:rFonts w:hint="eastAsia" w:ascii="宋体" w:hAnsi="宋体"/>
          <w:color w:val="000000"/>
          <w:szCs w:val="21"/>
          <w:highlight w:val="none"/>
          <w:lang w:val="en-US" w:eastAsia="zh-CN"/>
        </w:rPr>
        <w:t>项目负责人（或项目联系人）</w:t>
      </w:r>
      <w:r>
        <w:rPr>
          <w:rFonts w:ascii="宋体" w:hAnsi="宋体"/>
          <w:color w:val="000000"/>
          <w:szCs w:val="21"/>
          <w:highlight w:val="none"/>
        </w:rPr>
        <w:t>，负责与本合同有关的事务。</w:t>
      </w:r>
    </w:p>
    <w:p w14:paraId="34366B56">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5</w:t>
      </w:r>
      <w:r>
        <w:rPr>
          <w:rFonts w:hint="eastAsia" w:ascii="宋体" w:hAnsi="宋体"/>
          <w:color w:val="000000"/>
          <w:szCs w:val="21"/>
          <w:highlight w:val="none"/>
        </w:rPr>
        <w:t>.</w:t>
      </w:r>
      <w:r>
        <w:rPr>
          <w:rFonts w:ascii="宋体" w:hAnsi="宋体"/>
          <w:color w:val="000000"/>
          <w:szCs w:val="21"/>
          <w:highlight w:val="none"/>
        </w:rPr>
        <w:t>2 乙方应按照合同要求</w:t>
      </w:r>
      <w:r>
        <w:rPr>
          <w:rFonts w:hint="eastAsia" w:ascii="宋体" w:hAnsi="宋体"/>
          <w:color w:val="000000"/>
          <w:szCs w:val="21"/>
          <w:highlight w:val="none"/>
        </w:rPr>
        <w:t>履约</w:t>
      </w:r>
      <w:r>
        <w:rPr>
          <w:rFonts w:ascii="宋体" w:hAnsi="宋体"/>
          <w:color w:val="000000"/>
          <w:szCs w:val="21"/>
          <w:highlight w:val="none"/>
        </w:rPr>
        <w:t>，充分合理安排，确保</w:t>
      </w:r>
      <w:r>
        <w:rPr>
          <w:rFonts w:hint="eastAsia" w:ascii="宋体" w:hAnsi="宋体"/>
          <w:color w:val="000000"/>
          <w:szCs w:val="21"/>
          <w:highlight w:val="none"/>
        </w:rPr>
        <w:t>提供的货物</w:t>
      </w:r>
      <w:r>
        <w:rPr>
          <w:rFonts w:hint="eastAsia" w:ascii="宋体" w:hAnsi="宋体"/>
          <w:color w:val="000000"/>
          <w:szCs w:val="21"/>
          <w:highlight w:val="none"/>
          <w:lang w:eastAsia="zh-CN"/>
        </w:rPr>
        <w:t>及相关</w:t>
      </w:r>
      <w:r>
        <w:rPr>
          <w:rFonts w:hint="eastAsia" w:ascii="宋体" w:hAnsi="宋体"/>
          <w:color w:val="000000"/>
          <w:szCs w:val="21"/>
          <w:highlight w:val="none"/>
        </w:rPr>
        <w:t>服务符合合同</w:t>
      </w:r>
      <w:r>
        <w:rPr>
          <w:rFonts w:hint="eastAsia" w:ascii="宋体" w:hAnsi="宋体"/>
          <w:color w:val="000000"/>
          <w:szCs w:val="21"/>
          <w:highlight w:val="none"/>
          <w:lang w:eastAsia="zh-CN"/>
        </w:rPr>
        <w:t>有关</w:t>
      </w:r>
      <w:r>
        <w:rPr>
          <w:rFonts w:ascii="宋体" w:hAnsi="宋体"/>
          <w:color w:val="000000"/>
          <w:szCs w:val="21"/>
          <w:highlight w:val="none"/>
        </w:rPr>
        <w:t>要求</w:t>
      </w:r>
      <w:r>
        <w:rPr>
          <w:rFonts w:hint="eastAsia" w:ascii="宋体" w:hAnsi="宋体"/>
          <w:color w:val="000000"/>
          <w:szCs w:val="21"/>
          <w:highlight w:val="none"/>
        </w:rPr>
        <w:t>。接受项目行业管理部门及政府有关部门的指导，配合甲方的履约检查</w:t>
      </w:r>
      <w:r>
        <w:rPr>
          <w:rFonts w:hint="eastAsia" w:ascii="宋体" w:hAnsi="宋体"/>
          <w:color w:val="000000"/>
          <w:szCs w:val="21"/>
          <w:highlight w:val="none"/>
          <w:lang w:eastAsia="zh-CN"/>
        </w:rPr>
        <w:t>及验收</w:t>
      </w:r>
      <w:r>
        <w:rPr>
          <w:rFonts w:hint="eastAsia" w:ascii="宋体" w:hAnsi="宋体"/>
          <w:color w:val="000000"/>
          <w:szCs w:val="21"/>
          <w:highlight w:val="none"/>
        </w:rPr>
        <w:t>，并</w:t>
      </w:r>
      <w:r>
        <w:rPr>
          <w:rFonts w:ascii="宋体" w:hAnsi="宋体"/>
          <w:color w:val="000000"/>
          <w:szCs w:val="21"/>
          <w:highlight w:val="none"/>
        </w:rPr>
        <w:t>负责项目实施过程中的所有协调工作。</w:t>
      </w:r>
    </w:p>
    <w:p w14:paraId="091DFBDB">
      <w:pPr>
        <w:pStyle w:val="12"/>
        <w:spacing w:after="0" w:line="400" w:lineRule="exact"/>
        <w:ind w:firstLine="422" w:firstLineChars="176"/>
        <w:rPr>
          <w:rFonts w:ascii="宋体" w:hAnsi="宋体" w:cs="宋体"/>
          <w:color w:val="000000"/>
          <w:szCs w:val="21"/>
          <w:highlight w:val="none"/>
        </w:rPr>
      </w:pPr>
      <w:r>
        <w:rPr>
          <w:rFonts w:hint="eastAsia" w:ascii="宋体" w:hAnsi="宋体"/>
          <w:color w:val="000000"/>
          <w:szCs w:val="21"/>
          <w:highlight w:val="none"/>
          <w:lang w:eastAsia="zh-CN"/>
        </w:rPr>
        <w:t>5</w:t>
      </w:r>
      <w:r>
        <w:rPr>
          <w:rFonts w:hint="eastAsia" w:ascii="宋体" w:hAnsi="宋体"/>
          <w:color w:val="000000"/>
          <w:szCs w:val="21"/>
          <w:highlight w:val="none"/>
        </w:rPr>
        <w:t>.</w:t>
      </w:r>
      <w:r>
        <w:rPr>
          <w:rFonts w:ascii="宋体" w:hAnsi="宋体"/>
          <w:color w:val="000000"/>
          <w:szCs w:val="21"/>
          <w:highlight w:val="none"/>
        </w:rPr>
        <w:t>3</w:t>
      </w:r>
      <w:r>
        <w:rPr>
          <w:rFonts w:hint="eastAsia" w:ascii="宋体" w:hAnsi="宋体"/>
          <w:color w:val="000000"/>
          <w:szCs w:val="21"/>
          <w:highlight w:val="none"/>
        </w:rPr>
        <w:t>乙方有权</w:t>
      </w:r>
      <w:r>
        <w:rPr>
          <w:rFonts w:hint="eastAsia" w:ascii="宋体" w:hAnsi="宋体" w:cs="宋体"/>
          <w:color w:val="000000"/>
          <w:szCs w:val="21"/>
          <w:highlight w:val="none"/>
        </w:rPr>
        <w:t>根据合同约定向甲方收取</w:t>
      </w:r>
      <w:r>
        <w:rPr>
          <w:rFonts w:hint="eastAsia" w:ascii="宋体" w:hAnsi="宋体" w:cs="宋体"/>
          <w:color w:val="000000"/>
          <w:szCs w:val="21"/>
          <w:highlight w:val="none"/>
          <w:lang w:eastAsia="zh-CN"/>
        </w:rPr>
        <w:t>合同价款</w:t>
      </w:r>
      <w:r>
        <w:rPr>
          <w:rFonts w:hint="eastAsia" w:ascii="宋体" w:hAnsi="宋体" w:cs="宋体"/>
          <w:color w:val="000000"/>
          <w:szCs w:val="21"/>
          <w:highlight w:val="none"/>
        </w:rPr>
        <w:t>。</w:t>
      </w:r>
    </w:p>
    <w:p w14:paraId="320A799D">
      <w:pPr>
        <w:pStyle w:val="12"/>
        <w:spacing w:after="0" w:line="400" w:lineRule="exact"/>
        <w:ind w:firstLine="422" w:firstLineChars="176"/>
        <w:rPr>
          <w:rFonts w:ascii="宋体" w:hAnsi="宋体" w:cs="宋体"/>
          <w:color w:val="000000"/>
          <w:szCs w:val="21"/>
          <w:highlight w:val="none"/>
        </w:rPr>
      </w:pPr>
      <w:r>
        <w:rPr>
          <w:rFonts w:hint="eastAsia" w:ascii="宋体" w:hAnsi="宋体"/>
          <w:color w:val="000000"/>
          <w:szCs w:val="21"/>
          <w:highlight w:val="none"/>
          <w:lang w:eastAsia="zh-CN"/>
        </w:rPr>
        <w:t>5</w:t>
      </w:r>
      <w:r>
        <w:rPr>
          <w:rFonts w:hint="eastAsia" w:ascii="宋体" w:hAnsi="宋体"/>
          <w:color w:val="000000"/>
          <w:szCs w:val="21"/>
          <w:highlight w:val="none"/>
        </w:rPr>
        <w:t>.</w:t>
      </w:r>
      <w:r>
        <w:rPr>
          <w:rFonts w:ascii="宋体" w:hAnsi="宋体"/>
          <w:color w:val="000000"/>
          <w:szCs w:val="21"/>
          <w:highlight w:val="none"/>
        </w:rPr>
        <w:t>4</w:t>
      </w:r>
      <w:r>
        <w:rPr>
          <w:rFonts w:hint="eastAsia" w:ascii="宋体" w:hAnsi="宋体" w:cs="宋体"/>
          <w:color w:val="000000"/>
          <w:szCs w:val="21"/>
          <w:highlight w:val="none"/>
        </w:rPr>
        <w:t>国家法律法规规定</w:t>
      </w:r>
      <w:r>
        <w:rPr>
          <w:rFonts w:hint="eastAsia" w:ascii="宋体" w:hAnsi="宋体"/>
          <w:color w:val="000000"/>
          <w:szCs w:val="21"/>
          <w:highlight w:val="none"/>
          <w:lang w:eastAsia="zh-CN"/>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szCs w:val="21"/>
          <w:highlight w:val="none"/>
        </w:rPr>
        <w:t>由乙方承担的其他义务和责任。</w:t>
      </w:r>
    </w:p>
    <w:p w14:paraId="2A8D8DBB">
      <w:pPr>
        <w:numPr>
          <w:ilvl w:val="0"/>
          <w:numId w:val="20"/>
        </w:numPr>
        <w:autoSpaceDE w:val="0"/>
        <w:autoSpaceDN w:val="0"/>
        <w:adjustRightInd w:val="0"/>
        <w:snapToGrid w:val="0"/>
        <w:spacing w:before="0" w:line="400" w:lineRule="exact"/>
        <w:jc w:val="left"/>
        <w:rPr>
          <w:rFonts w:hint="eastAsia" w:ascii="宋体" w:hAnsi="宋体"/>
          <w:b/>
          <w:bCs/>
          <w:color w:val="000000"/>
          <w:sz w:val="24"/>
          <w:highlight w:val="none"/>
        </w:rPr>
      </w:pPr>
      <w:r>
        <w:rPr>
          <w:rFonts w:hint="eastAsia" w:ascii="宋体" w:hAnsi="宋体"/>
          <w:b/>
          <w:bCs/>
          <w:color w:val="000000"/>
          <w:sz w:val="24"/>
          <w:highlight w:val="none"/>
        </w:rPr>
        <w:t>合同履</w:t>
      </w:r>
      <w:r>
        <w:rPr>
          <w:rFonts w:hint="eastAsia" w:ascii="宋体" w:hAnsi="宋体"/>
          <w:b/>
          <w:bCs/>
          <w:color w:val="000000"/>
          <w:sz w:val="24"/>
          <w:highlight w:val="none"/>
          <w:lang w:val="en-US" w:eastAsia="zh-CN"/>
        </w:rPr>
        <w:t>行</w:t>
      </w:r>
    </w:p>
    <w:p w14:paraId="5E0F802D">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6</w:t>
      </w:r>
      <w:r>
        <w:rPr>
          <w:rFonts w:hint="eastAsia" w:ascii="宋体" w:hAnsi="宋体"/>
          <w:color w:val="000000"/>
          <w:szCs w:val="21"/>
          <w:highlight w:val="none"/>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szCs w:val="21"/>
          <w:highlight w:val="none"/>
        </w:rPr>
        <w:t>约定顺序履行合同义务；如果没有先后顺序的，应当同时履行。</w:t>
      </w:r>
    </w:p>
    <w:p w14:paraId="7F8D3825">
      <w:pPr>
        <w:autoSpaceDE w:val="0"/>
        <w:autoSpaceDN w:val="0"/>
        <w:adjustRightInd w:val="0"/>
        <w:snapToGrid w:val="0"/>
        <w:spacing w:before="0" w:line="400" w:lineRule="exact"/>
        <w:ind w:firstLine="420" w:firstLineChars="200"/>
        <w:jc w:val="left"/>
      </w:pPr>
      <w:r>
        <w:rPr>
          <w:rFonts w:hint="eastAsia" w:ascii="宋体" w:hAnsi="宋体"/>
          <w:color w:val="000000"/>
          <w:szCs w:val="21"/>
          <w:highlight w:val="none"/>
          <w:lang w:eastAsia="zh-CN"/>
        </w:rPr>
        <w:t>6</w:t>
      </w:r>
      <w:r>
        <w:rPr>
          <w:rFonts w:hint="eastAsia" w:ascii="宋体" w:hAnsi="宋体"/>
          <w:color w:val="000000"/>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5C7A603C">
      <w:pPr>
        <w:adjustRightInd w:val="0"/>
        <w:snapToGrid w:val="0"/>
        <w:spacing w:before="0" w:line="400" w:lineRule="exact"/>
        <w:jc w:val="left"/>
        <w:rPr>
          <w:rFonts w:ascii="宋体" w:hAnsi="宋体"/>
          <w:b/>
          <w:bCs/>
          <w:color w:val="000000"/>
          <w:sz w:val="24"/>
          <w:highlight w:val="none"/>
        </w:rPr>
      </w:pPr>
      <w:r>
        <w:rPr>
          <w:rFonts w:hint="eastAsia" w:ascii="宋体" w:hAnsi="宋体"/>
          <w:b/>
          <w:bCs/>
          <w:color w:val="000000"/>
          <w:sz w:val="24"/>
          <w:highlight w:val="none"/>
          <w:lang w:eastAsia="zh-CN"/>
        </w:rPr>
        <w:t>7</w:t>
      </w:r>
      <w:r>
        <w:rPr>
          <w:rFonts w:hint="eastAsia" w:ascii="宋体" w:hAnsi="宋体"/>
          <w:b/>
          <w:bCs/>
          <w:color w:val="000000"/>
          <w:sz w:val="24"/>
          <w:highlight w:val="none"/>
          <w:lang w:val="en-US" w:eastAsia="zh-CN"/>
        </w:rPr>
        <w:t xml:space="preserve">. </w:t>
      </w:r>
      <w:r>
        <w:rPr>
          <w:rFonts w:hint="eastAsia" w:ascii="宋体" w:hAnsi="宋体"/>
          <w:b/>
          <w:bCs/>
          <w:color w:val="000000"/>
          <w:sz w:val="24"/>
          <w:highlight w:val="none"/>
        </w:rPr>
        <w:t>货物包装、运输</w:t>
      </w:r>
      <w:r>
        <w:rPr>
          <w:rFonts w:hint="eastAsia" w:ascii="宋体" w:hAnsi="宋体"/>
          <w:b/>
          <w:bCs/>
          <w:color w:val="000000"/>
          <w:sz w:val="24"/>
          <w:highlight w:val="none"/>
          <w:lang w:eastAsia="zh-CN"/>
        </w:rPr>
        <w:t>、</w:t>
      </w:r>
      <w:r>
        <w:rPr>
          <w:rFonts w:hint="eastAsia" w:ascii="宋体" w:hAnsi="宋体"/>
          <w:b/>
          <w:bCs/>
          <w:color w:val="000000"/>
          <w:sz w:val="24"/>
          <w:highlight w:val="none"/>
        </w:rPr>
        <w:t>保险</w:t>
      </w:r>
      <w:r>
        <w:rPr>
          <w:rFonts w:hint="eastAsia" w:ascii="宋体" w:hAnsi="宋体"/>
          <w:b/>
          <w:bCs/>
          <w:color w:val="000000"/>
          <w:sz w:val="24"/>
          <w:highlight w:val="none"/>
          <w:lang w:eastAsia="zh-CN"/>
        </w:rPr>
        <w:t>和交付</w:t>
      </w:r>
      <w:r>
        <w:rPr>
          <w:rFonts w:hint="eastAsia" w:ascii="宋体" w:hAnsi="宋体"/>
          <w:b/>
          <w:bCs/>
          <w:color w:val="000000"/>
          <w:sz w:val="24"/>
          <w:highlight w:val="none"/>
        </w:rPr>
        <w:t>要求</w:t>
      </w:r>
    </w:p>
    <w:p w14:paraId="735273C9">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7</w:t>
      </w:r>
      <w:r>
        <w:rPr>
          <w:rFonts w:hint="eastAsia" w:ascii="宋体" w:hAnsi="宋体"/>
          <w:color w:val="000000"/>
          <w:szCs w:val="21"/>
          <w:highlight w:val="none"/>
        </w:rPr>
        <w:t>.1 本合同</w:t>
      </w:r>
      <w:r>
        <w:rPr>
          <w:rFonts w:hint="eastAsia" w:ascii="宋体" w:hAnsi="宋体"/>
          <w:bCs/>
          <w:color w:val="000000"/>
          <w:szCs w:val="21"/>
          <w:highlight w:val="none"/>
        </w:rPr>
        <w:t>涉及商品包装</w:t>
      </w:r>
      <w:r>
        <w:rPr>
          <w:rFonts w:hint="eastAsia" w:ascii="宋体" w:hAnsi="宋体"/>
          <w:bCs/>
          <w:color w:val="000000"/>
          <w:szCs w:val="21"/>
          <w:highlight w:val="none"/>
          <w:lang w:eastAsia="zh-CN"/>
        </w:rPr>
        <w:t>、</w:t>
      </w:r>
      <w:r>
        <w:rPr>
          <w:rFonts w:hint="eastAsia" w:ascii="宋体" w:hAnsi="宋体"/>
          <w:bCs/>
          <w:color w:val="000000"/>
          <w:szCs w:val="21"/>
          <w:highlight w:val="none"/>
        </w:rPr>
        <w:t>快递包装的，</w:t>
      </w:r>
      <w:r>
        <w:rPr>
          <w:rFonts w:hint="eastAsia" w:ascii="宋体" w:hAnsi="宋体"/>
          <w:color w:val="000000"/>
          <w:szCs w:val="21"/>
          <w:highlight w:val="none"/>
        </w:rPr>
        <w:t>除</w:t>
      </w:r>
      <w:r>
        <w:rPr>
          <w:rFonts w:hint="eastAsia" w:ascii="宋体" w:hAnsi="宋体"/>
          <w:b/>
          <w:color w:val="000000"/>
          <w:szCs w:val="21"/>
          <w:highlight w:val="none"/>
        </w:rPr>
        <w:t>【政府采购合同专用条款】</w:t>
      </w:r>
      <w:r>
        <w:rPr>
          <w:rFonts w:hint="eastAsia" w:ascii="宋体" w:hAnsi="宋体"/>
          <w:bCs/>
          <w:color w:val="000000"/>
          <w:szCs w:val="21"/>
          <w:highlight w:val="none"/>
        </w:rPr>
        <w:t>另有</w:t>
      </w:r>
      <w:r>
        <w:rPr>
          <w:rFonts w:hint="eastAsia" w:ascii="宋体" w:hAnsi="宋体"/>
          <w:bCs/>
          <w:color w:val="000000"/>
          <w:szCs w:val="21"/>
          <w:highlight w:val="none"/>
          <w:lang w:eastAsia="zh-CN"/>
        </w:rPr>
        <w:t>约</w:t>
      </w:r>
      <w:r>
        <w:rPr>
          <w:rFonts w:hint="eastAsia" w:ascii="宋体" w:hAnsi="宋体"/>
          <w:bCs/>
          <w:color w:val="000000"/>
          <w:szCs w:val="21"/>
          <w:highlight w:val="none"/>
        </w:rPr>
        <w:t>定</w:t>
      </w:r>
      <w:r>
        <w:rPr>
          <w:rFonts w:hint="eastAsia" w:ascii="宋体" w:hAnsi="宋体"/>
          <w:bCs/>
          <w:color w:val="000000"/>
          <w:szCs w:val="21"/>
          <w:highlight w:val="none"/>
          <w:lang w:eastAsia="zh-CN"/>
        </w:rPr>
        <w:t>外</w:t>
      </w:r>
      <w:r>
        <w:rPr>
          <w:rFonts w:hint="eastAsia" w:ascii="宋体" w:hAnsi="宋体"/>
          <w:bCs/>
          <w:color w:val="000000"/>
          <w:szCs w:val="21"/>
          <w:highlight w:val="none"/>
        </w:rPr>
        <w:t>，</w:t>
      </w:r>
      <w:r>
        <w:rPr>
          <w:rFonts w:hint="eastAsia" w:ascii="宋体" w:hAnsi="宋体"/>
          <w:color w:val="000000"/>
          <w:szCs w:val="21"/>
          <w:highlight w:val="none"/>
        </w:rPr>
        <w:t>包装应适应远距离运输、防潮、防震、防锈和防野蛮装卸等要求，确保货物安全无损地运抵</w:t>
      </w:r>
      <w:r>
        <w:rPr>
          <w:rFonts w:hint="eastAsia" w:ascii="宋体" w:hAnsi="宋体"/>
          <w:b/>
          <w:color w:val="000000"/>
          <w:szCs w:val="21"/>
          <w:highlight w:val="none"/>
        </w:rPr>
        <w:t>【政府采购合同专用条款】</w:t>
      </w:r>
      <w:r>
        <w:rPr>
          <w:rFonts w:hint="eastAsia" w:ascii="宋体" w:hAnsi="宋体"/>
          <w:b w:val="0"/>
          <w:bCs/>
          <w:color w:val="000000"/>
          <w:szCs w:val="21"/>
          <w:highlight w:val="none"/>
          <w:lang w:eastAsia="zh-CN"/>
        </w:rPr>
        <w:t>约定的</w:t>
      </w:r>
      <w:r>
        <w:rPr>
          <w:rFonts w:hint="eastAsia" w:ascii="宋体" w:hAnsi="宋体"/>
          <w:color w:val="000000"/>
          <w:szCs w:val="21"/>
          <w:highlight w:val="none"/>
        </w:rPr>
        <w:t>指定现场。</w:t>
      </w:r>
    </w:p>
    <w:p w14:paraId="53C3D73A">
      <w:pPr>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7</w:t>
      </w:r>
      <w:r>
        <w:rPr>
          <w:rFonts w:hint="eastAsia" w:ascii="宋体" w:hAnsi="宋体"/>
          <w:color w:val="000000"/>
          <w:szCs w:val="21"/>
          <w:highlight w:val="none"/>
        </w:rPr>
        <w:t>.2 除</w:t>
      </w:r>
      <w:r>
        <w:rPr>
          <w:rFonts w:hint="eastAsia" w:ascii="宋体" w:hAnsi="宋体"/>
          <w:b/>
          <w:color w:val="000000"/>
          <w:szCs w:val="21"/>
          <w:highlight w:val="none"/>
        </w:rPr>
        <w:t>【政府采购合同专用条款】</w:t>
      </w:r>
      <w:r>
        <w:rPr>
          <w:rFonts w:hint="eastAsia" w:ascii="宋体" w:hAnsi="宋体"/>
          <w:bCs/>
          <w:color w:val="000000"/>
          <w:szCs w:val="21"/>
          <w:highlight w:val="none"/>
        </w:rPr>
        <w:t>另有</w:t>
      </w:r>
      <w:r>
        <w:rPr>
          <w:rFonts w:hint="eastAsia" w:ascii="宋体" w:hAnsi="宋体"/>
          <w:bCs/>
          <w:color w:val="000000"/>
          <w:szCs w:val="21"/>
          <w:highlight w:val="none"/>
          <w:lang w:eastAsia="zh-CN"/>
        </w:rPr>
        <w:t>约</w:t>
      </w:r>
      <w:r>
        <w:rPr>
          <w:rFonts w:hint="eastAsia" w:ascii="宋体" w:hAnsi="宋体"/>
          <w:bCs/>
          <w:color w:val="000000"/>
          <w:szCs w:val="21"/>
          <w:highlight w:val="none"/>
        </w:rPr>
        <w:t>定</w:t>
      </w:r>
      <w:r>
        <w:rPr>
          <w:rFonts w:hint="eastAsia" w:ascii="宋体" w:hAnsi="宋体"/>
          <w:bCs/>
          <w:color w:val="000000"/>
          <w:szCs w:val="21"/>
          <w:highlight w:val="none"/>
          <w:lang w:eastAsia="zh-CN"/>
        </w:rPr>
        <w:t>外</w:t>
      </w:r>
      <w:r>
        <w:rPr>
          <w:rFonts w:hint="eastAsia" w:ascii="宋体" w:hAnsi="宋体"/>
          <w:bCs/>
          <w:color w:val="000000"/>
          <w:szCs w:val="21"/>
          <w:highlight w:val="none"/>
        </w:rPr>
        <w:t>，</w:t>
      </w:r>
      <w:r>
        <w:rPr>
          <w:rFonts w:hint="eastAsia" w:ascii="宋体" w:hAnsi="宋体"/>
          <w:color w:val="000000"/>
          <w:szCs w:val="21"/>
          <w:highlight w:val="none"/>
        </w:rPr>
        <w:t>乙方负责办理将货物运抵本合同规定的交货地点</w:t>
      </w:r>
      <w:r>
        <w:rPr>
          <w:rFonts w:hint="eastAsia" w:ascii="宋体" w:hAnsi="宋体"/>
          <w:color w:val="000000"/>
          <w:szCs w:val="21"/>
          <w:highlight w:val="none"/>
          <w:lang w:eastAsia="zh-CN"/>
        </w:rPr>
        <w:t>，并装卸、交付至甲方</w:t>
      </w:r>
      <w:r>
        <w:rPr>
          <w:rFonts w:hint="eastAsia" w:ascii="宋体" w:hAnsi="宋体"/>
          <w:color w:val="000000"/>
          <w:szCs w:val="21"/>
          <w:highlight w:val="none"/>
        </w:rPr>
        <w:t>的一切运输事项，相关费用应</w:t>
      </w:r>
      <w:r>
        <w:rPr>
          <w:rFonts w:hint="eastAsia" w:ascii="宋体" w:hAnsi="宋体"/>
          <w:color w:val="000000"/>
          <w:szCs w:val="21"/>
          <w:highlight w:val="none"/>
          <w:lang w:eastAsia="zh-CN"/>
        </w:rPr>
        <w:t>包含</w:t>
      </w:r>
      <w:r>
        <w:rPr>
          <w:rFonts w:hint="eastAsia" w:ascii="宋体" w:hAnsi="宋体"/>
          <w:color w:val="000000"/>
          <w:szCs w:val="21"/>
          <w:highlight w:val="none"/>
        </w:rPr>
        <w:t>在合同</w:t>
      </w:r>
      <w:r>
        <w:rPr>
          <w:rFonts w:hint="eastAsia" w:ascii="宋体" w:hAnsi="宋体"/>
          <w:color w:val="000000"/>
          <w:szCs w:val="21"/>
          <w:highlight w:val="none"/>
          <w:lang w:eastAsia="zh-CN"/>
        </w:rPr>
        <w:t>价款</w:t>
      </w:r>
      <w:r>
        <w:rPr>
          <w:rFonts w:hint="eastAsia" w:ascii="宋体" w:hAnsi="宋体"/>
          <w:color w:val="000000"/>
          <w:szCs w:val="21"/>
          <w:highlight w:val="none"/>
        </w:rPr>
        <w:t>中。</w:t>
      </w:r>
    </w:p>
    <w:p w14:paraId="20B5D7C0">
      <w:pPr>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7</w:t>
      </w:r>
      <w:r>
        <w:rPr>
          <w:rFonts w:hint="eastAsia" w:ascii="宋体" w:hAnsi="宋体"/>
          <w:color w:val="000000"/>
          <w:szCs w:val="21"/>
          <w:highlight w:val="none"/>
        </w:rPr>
        <w:t>.3 货物保险要求按</w:t>
      </w:r>
      <w:r>
        <w:rPr>
          <w:rFonts w:hint="eastAsia" w:ascii="宋体" w:hAnsi="宋体"/>
          <w:b/>
          <w:color w:val="000000"/>
          <w:szCs w:val="21"/>
          <w:highlight w:val="none"/>
        </w:rPr>
        <w:t>【政府采购合同专用条款】</w:t>
      </w:r>
      <w:r>
        <w:rPr>
          <w:rFonts w:hint="eastAsia" w:ascii="宋体" w:hAnsi="宋体"/>
          <w:bCs/>
          <w:color w:val="000000"/>
          <w:szCs w:val="21"/>
          <w:highlight w:val="none"/>
        </w:rPr>
        <w:t>规定执行</w:t>
      </w:r>
      <w:r>
        <w:rPr>
          <w:rFonts w:hint="eastAsia" w:ascii="宋体" w:hAnsi="宋体"/>
          <w:color w:val="000000"/>
          <w:szCs w:val="21"/>
          <w:highlight w:val="none"/>
        </w:rPr>
        <w:t>。</w:t>
      </w:r>
    </w:p>
    <w:p w14:paraId="7CB85D09">
      <w:pPr>
        <w:autoSpaceDE w:val="0"/>
        <w:autoSpaceDN w:val="0"/>
        <w:adjustRightInd w:val="0"/>
        <w:snapToGrid w:val="0"/>
        <w:spacing w:before="0" w:line="400" w:lineRule="exact"/>
        <w:ind w:firstLine="420" w:firstLineChars="200"/>
        <w:jc w:val="left"/>
        <w:rPr>
          <w:rFonts w:hint="eastAsia" w:ascii="宋体" w:hAnsi="宋体"/>
          <w:color w:val="000000"/>
          <w:szCs w:val="21"/>
          <w:highlight w:val="none"/>
        </w:rPr>
      </w:pPr>
      <w:r>
        <w:rPr>
          <w:rFonts w:hint="eastAsia" w:ascii="宋体" w:hAnsi="宋体"/>
          <w:color w:val="000000"/>
          <w:szCs w:val="21"/>
          <w:highlight w:val="none"/>
          <w:lang w:eastAsia="zh-CN"/>
        </w:rPr>
        <w:t>7</w:t>
      </w:r>
      <w:r>
        <w:rPr>
          <w:rFonts w:hint="eastAsia" w:ascii="宋体" w:hAnsi="宋体"/>
          <w:color w:val="000000"/>
          <w:szCs w:val="21"/>
          <w:highlight w:val="none"/>
        </w:rPr>
        <w:t xml:space="preserve">.4 </w:t>
      </w:r>
      <w:r>
        <w:rPr>
          <w:rFonts w:hint="eastAsia" w:ascii="宋体" w:hAnsi="宋体"/>
          <w:color w:val="000000"/>
          <w:szCs w:val="21"/>
          <w:highlight w:val="none"/>
          <w:lang w:val="en-US" w:eastAsia="zh-CN"/>
        </w:rPr>
        <w:t>除采购活动</w:t>
      </w:r>
      <w:r>
        <w:rPr>
          <w:rFonts w:hint="eastAsia" w:ascii="宋体" w:hAnsi="宋体"/>
          <w:color w:val="000000"/>
          <w:szCs w:val="21"/>
          <w:highlight w:val="none"/>
        </w:rPr>
        <w:t>对商品包装</w:t>
      </w:r>
      <w:r>
        <w:rPr>
          <w:rFonts w:hint="eastAsia" w:ascii="宋体" w:hAnsi="宋体"/>
          <w:color w:val="000000"/>
          <w:szCs w:val="21"/>
          <w:highlight w:val="none"/>
          <w:lang w:eastAsia="zh-CN"/>
        </w:rPr>
        <w:t>、</w:t>
      </w:r>
      <w:r>
        <w:rPr>
          <w:rFonts w:hint="eastAsia" w:ascii="宋体" w:hAnsi="宋体"/>
          <w:color w:val="000000"/>
          <w:szCs w:val="21"/>
          <w:highlight w:val="none"/>
        </w:rPr>
        <w:t>快递包装</w:t>
      </w:r>
      <w:r>
        <w:rPr>
          <w:rFonts w:hint="eastAsia" w:ascii="宋体" w:hAnsi="宋体"/>
          <w:color w:val="000000"/>
          <w:szCs w:val="21"/>
          <w:highlight w:val="none"/>
          <w:lang w:val="en-US" w:eastAsia="zh-CN"/>
        </w:rPr>
        <w:t>达成具体约定外</w:t>
      </w:r>
      <w:r>
        <w:rPr>
          <w:rFonts w:hint="eastAsia" w:ascii="宋体" w:hAnsi="宋体"/>
          <w:color w:val="000000"/>
          <w:szCs w:val="21"/>
          <w:highlight w:val="none"/>
        </w:rPr>
        <w:t>，乙方提供产品及相关快递服务</w:t>
      </w:r>
      <w:r>
        <w:rPr>
          <w:rFonts w:hint="eastAsia" w:ascii="宋体" w:hAnsi="宋体"/>
          <w:color w:val="000000"/>
          <w:szCs w:val="21"/>
          <w:highlight w:val="none"/>
          <w:lang w:val="en-US" w:eastAsia="zh-CN"/>
        </w:rPr>
        <w:t>涉及到</w:t>
      </w:r>
      <w:r>
        <w:rPr>
          <w:rFonts w:hint="eastAsia" w:ascii="宋体" w:hAnsi="宋体"/>
          <w:color w:val="000000"/>
          <w:szCs w:val="21"/>
          <w:highlight w:val="none"/>
        </w:rPr>
        <w:t>具体包装要求</w:t>
      </w:r>
      <w:r>
        <w:rPr>
          <w:rFonts w:hint="eastAsia" w:ascii="宋体" w:hAnsi="宋体"/>
          <w:color w:val="000000"/>
          <w:szCs w:val="21"/>
          <w:highlight w:val="none"/>
          <w:lang w:val="en-US" w:eastAsia="zh-CN"/>
        </w:rPr>
        <w:t>的，</w:t>
      </w:r>
      <w:r>
        <w:rPr>
          <w:rFonts w:hint="eastAsia" w:ascii="宋体" w:hAnsi="宋体"/>
          <w:color w:val="000000"/>
          <w:szCs w:val="21"/>
          <w:highlight w:val="none"/>
        </w:rPr>
        <w:t>应</w:t>
      </w:r>
      <w:r>
        <w:rPr>
          <w:rFonts w:hint="eastAsia" w:ascii="宋体" w:hAnsi="宋体"/>
          <w:color w:val="000000"/>
          <w:szCs w:val="21"/>
          <w:highlight w:val="none"/>
          <w:lang w:val="en-US" w:eastAsia="zh-CN"/>
        </w:rPr>
        <w:t>不低于</w:t>
      </w:r>
      <w:r>
        <w:rPr>
          <w:rFonts w:hint="eastAsia" w:ascii="宋体" w:hAnsi="宋体"/>
          <w:color w:val="000000"/>
          <w:szCs w:val="21"/>
          <w:highlight w:val="none"/>
        </w:rPr>
        <w:t>《商品包装政府采购需求标准（试行）</w:t>
      </w:r>
      <w:r>
        <w:rPr>
          <w:rFonts w:hint="eastAsia" w:ascii="宋体" w:hAnsi="宋体"/>
          <w:color w:val="000000"/>
          <w:szCs w:val="21"/>
          <w:highlight w:val="none"/>
          <w:lang w:eastAsia="zh-CN"/>
        </w:rPr>
        <w:t>》《</w:t>
      </w:r>
      <w:r>
        <w:rPr>
          <w:rFonts w:hint="eastAsia" w:ascii="宋体" w:hAnsi="宋体"/>
          <w:color w:val="000000"/>
          <w:szCs w:val="21"/>
          <w:highlight w:val="none"/>
        </w:rPr>
        <w:t>快递包装政府采购需求标准（试行）》</w:t>
      </w:r>
      <w:r>
        <w:rPr>
          <w:rFonts w:hint="eastAsia" w:ascii="宋体" w:hAnsi="宋体"/>
          <w:color w:val="000000"/>
          <w:szCs w:val="21"/>
          <w:highlight w:val="none"/>
          <w:lang w:val="en-US" w:eastAsia="zh-CN"/>
        </w:rPr>
        <w:t>标准</w:t>
      </w:r>
      <w:r>
        <w:rPr>
          <w:rFonts w:hint="eastAsia" w:ascii="宋体" w:hAnsi="宋体"/>
          <w:color w:val="000000"/>
          <w:szCs w:val="21"/>
          <w:highlight w:val="none"/>
        </w:rPr>
        <w:t>，并作为履约验收的内容，必要时甲方可以要求乙方在履约验收环节出具检测报告。</w:t>
      </w:r>
    </w:p>
    <w:p w14:paraId="5AA44EF9">
      <w:pPr>
        <w:autoSpaceDE w:val="0"/>
        <w:autoSpaceDN w:val="0"/>
        <w:adjustRightInd w:val="0"/>
        <w:snapToGrid w:val="0"/>
        <w:spacing w:before="0" w:line="400" w:lineRule="exact"/>
        <w:ind w:firstLine="420" w:firstLineChars="200"/>
        <w:jc w:val="left"/>
        <w:rPr>
          <w:rFonts w:hint="eastAsia" w:ascii="宋体" w:hAnsi="宋体"/>
          <w:color w:val="000000"/>
          <w:szCs w:val="21"/>
          <w:highlight w:val="none"/>
        </w:rPr>
      </w:pPr>
      <w:r>
        <w:rPr>
          <w:rFonts w:hint="eastAsia" w:ascii="宋体" w:hAnsi="宋体"/>
          <w:color w:val="000000"/>
          <w:szCs w:val="21"/>
          <w:highlight w:val="none"/>
          <w:lang w:val="en-US" w:eastAsia="zh-CN"/>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6FD5820E">
      <w:pPr>
        <w:pStyle w:val="112"/>
        <w:rPr>
          <w:rFonts w:hint="default" w:eastAsia="华文楷体"/>
          <w:sz w:val="21"/>
          <w:lang w:val="en-US" w:eastAsia="zh-CN"/>
        </w:rPr>
      </w:pPr>
      <w:r>
        <w:rPr>
          <w:rFonts w:hint="eastAsia" w:ascii="宋体" w:hAnsi="宋体" w:eastAsia="宋体" w:cs="Times New Roman"/>
          <w:color w:val="000000"/>
          <w:kern w:val="2"/>
          <w:sz w:val="21"/>
          <w:szCs w:val="21"/>
          <w:highlight w:val="none"/>
          <w:lang w:val="en-US" w:eastAsia="zh-CN"/>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kern w:val="2"/>
          <w:sz w:val="21"/>
          <w:szCs w:val="21"/>
          <w:highlight w:val="none"/>
          <w:lang w:eastAsia="zh-CN"/>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20EA2238">
      <w:pPr>
        <w:adjustRightInd w:val="0"/>
        <w:snapToGrid w:val="0"/>
        <w:spacing w:before="0" w:line="400" w:lineRule="exact"/>
        <w:jc w:val="left"/>
        <w:rPr>
          <w:rFonts w:ascii="宋体" w:hAnsi="宋体"/>
          <w:b/>
          <w:color w:val="auto"/>
          <w:sz w:val="24"/>
          <w:highlight w:val="none"/>
        </w:rPr>
      </w:pPr>
      <w:r>
        <w:rPr>
          <w:rFonts w:hint="eastAsia" w:ascii="宋体" w:hAnsi="宋体"/>
          <w:b/>
          <w:color w:val="000000"/>
          <w:sz w:val="24"/>
          <w:highlight w:val="none"/>
          <w:lang w:eastAsia="zh-CN"/>
        </w:rPr>
        <w:t>8</w:t>
      </w:r>
      <w:r>
        <w:rPr>
          <w:rFonts w:hint="eastAsia" w:ascii="宋体" w:hAnsi="宋体"/>
          <w:b/>
          <w:color w:val="000000"/>
          <w:sz w:val="24"/>
          <w:highlight w:val="none"/>
          <w:lang w:val="en-US" w:eastAsia="zh-CN"/>
        </w:rPr>
        <w:t xml:space="preserve">. </w:t>
      </w:r>
      <w:r>
        <w:rPr>
          <w:rFonts w:hint="eastAsia" w:ascii="宋体" w:hAnsi="宋体"/>
          <w:b/>
          <w:color w:val="auto"/>
          <w:sz w:val="24"/>
          <w:highlight w:val="none"/>
        </w:rPr>
        <w:t>质量标准和保证</w:t>
      </w:r>
    </w:p>
    <w:p w14:paraId="725218FA">
      <w:pPr>
        <w:pStyle w:val="17"/>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51ED072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52DB7615">
      <w:pPr>
        <w:pStyle w:val="17"/>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58461C0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0DBC640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268C229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14036AE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3D0A8D6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3210A44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5AA0AFF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000000"/>
          <w:szCs w:val="21"/>
          <w:highlight w:val="none"/>
          <w:lang w:eastAsia="zh-CN"/>
        </w:rPr>
        <w:t>追究</w:t>
      </w:r>
      <w:r>
        <w:rPr>
          <w:rFonts w:hint="eastAsia" w:ascii="宋体" w:hAnsi="宋体"/>
          <w:color w:val="auto"/>
          <w:szCs w:val="21"/>
          <w:highlight w:val="none"/>
        </w:rPr>
        <w:t>乙方</w:t>
      </w:r>
      <w:r>
        <w:rPr>
          <w:rFonts w:hint="eastAsia" w:ascii="宋体" w:hAnsi="宋体"/>
          <w:color w:val="000000"/>
          <w:szCs w:val="21"/>
          <w:highlight w:val="none"/>
          <w:lang w:eastAsia="zh-CN"/>
        </w:rPr>
        <w:t>的违约责任</w:t>
      </w:r>
      <w:r>
        <w:rPr>
          <w:rFonts w:hint="eastAsia" w:ascii="宋体" w:hAnsi="宋体"/>
          <w:color w:val="auto"/>
          <w:szCs w:val="21"/>
          <w:highlight w:val="none"/>
        </w:rPr>
        <w:t>。</w:t>
      </w:r>
    </w:p>
    <w:p w14:paraId="44F050AC">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0F10810E">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sz w:val="24"/>
          <w:highlight w:val="none"/>
          <w:lang w:eastAsia="zh-CN"/>
        </w:rPr>
        <w:t>9</w:t>
      </w:r>
      <w:r>
        <w:rPr>
          <w:rFonts w:hint="eastAsia" w:ascii="宋体" w:hAnsi="宋体"/>
          <w:b/>
          <w:bCs/>
          <w:color w:val="auto"/>
          <w:sz w:val="24"/>
          <w:highlight w:val="none"/>
        </w:rPr>
        <w:t>.</w:t>
      </w:r>
      <w:r>
        <w:rPr>
          <w:rFonts w:hint="eastAsia" w:ascii="宋体" w:hAnsi="宋体"/>
          <w:b/>
          <w:bCs/>
          <w:color w:val="000000"/>
          <w:sz w:val="24"/>
          <w:highlight w:val="none"/>
          <w:lang w:val="en-US" w:eastAsia="zh-CN"/>
        </w:rPr>
        <w:t xml:space="preserve"> </w:t>
      </w:r>
      <w:r>
        <w:rPr>
          <w:rFonts w:hint="eastAsia" w:ascii="宋体" w:hAnsi="宋体"/>
          <w:b/>
          <w:bCs/>
          <w:color w:val="auto"/>
          <w:sz w:val="24"/>
          <w:highlight w:val="none"/>
        </w:rPr>
        <w:t>权利瑕疵担保</w:t>
      </w:r>
    </w:p>
    <w:p w14:paraId="4602FBDD">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9</w:t>
      </w:r>
      <w:r>
        <w:rPr>
          <w:rFonts w:hint="eastAsia" w:ascii="宋体" w:hAnsi="宋体"/>
          <w:color w:val="000000"/>
          <w:szCs w:val="21"/>
          <w:highlight w:val="none"/>
        </w:rPr>
        <w:t>.1 乙方保证对其出售的货物享有合法的权利。</w:t>
      </w:r>
    </w:p>
    <w:p w14:paraId="282012B7">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9</w:t>
      </w:r>
      <w:r>
        <w:rPr>
          <w:rFonts w:hint="eastAsia" w:ascii="宋体" w:hAnsi="宋体"/>
          <w:color w:val="000000"/>
          <w:szCs w:val="21"/>
          <w:highlight w:val="none"/>
        </w:rPr>
        <w:t xml:space="preserve">.2 </w:t>
      </w:r>
      <w:r>
        <w:rPr>
          <w:rFonts w:hint="eastAsia" w:ascii="宋体" w:hAnsi="宋体" w:eastAsia="宋体" w:cs="宋体"/>
          <w:szCs w:val="15"/>
        </w:rPr>
        <w:t>乙方保证在交付的货物上不存在抵押权等担保物权。</w:t>
      </w:r>
    </w:p>
    <w:p w14:paraId="577F243E">
      <w:pPr>
        <w:autoSpaceDE w:val="0"/>
        <w:autoSpaceDN w:val="0"/>
        <w:adjustRightInd w:val="0"/>
        <w:snapToGrid w:val="0"/>
        <w:spacing w:before="0" w:line="400" w:lineRule="exact"/>
        <w:ind w:firstLine="420" w:firstLineChars="200"/>
        <w:jc w:val="left"/>
        <w:rPr>
          <w:rFonts w:ascii="宋体" w:hAnsi="宋体"/>
          <w:color w:val="000000"/>
          <w:szCs w:val="21"/>
          <w:highlight w:val="none"/>
        </w:rPr>
      </w:pPr>
      <w:r>
        <w:rPr>
          <w:rFonts w:hint="eastAsia" w:ascii="宋体" w:hAnsi="宋体"/>
          <w:color w:val="000000"/>
          <w:szCs w:val="21"/>
          <w:highlight w:val="none"/>
          <w:lang w:eastAsia="zh-CN"/>
        </w:rPr>
        <w:t>9</w:t>
      </w:r>
      <w:r>
        <w:rPr>
          <w:rFonts w:hint="eastAsia" w:ascii="宋体" w:hAnsi="宋体"/>
          <w:color w:val="000000"/>
          <w:szCs w:val="21"/>
          <w:highlight w:val="none"/>
        </w:rPr>
        <w:t>.3 如甲方使用</w:t>
      </w:r>
      <w:r>
        <w:rPr>
          <w:rFonts w:hint="eastAsia" w:ascii="宋体" w:hAnsi="宋体"/>
          <w:color w:val="000000"/>
          <w:szCs w:val="21"/>
          <w:highlight w:val="none"/>
          <w:lang w:val="en-US" w:eastAsia="zh-CN"/>
        </w:rPr>
        <w:t>上述</w:t>
      </w:r>
      <w:r>
        <w:rPr>
          <w:rFonts w:hint="eastAsia" w:ascii="宋体" w:hAnsi="宋体"/>
          <w:color w:val="000000"/>
          <w:szCs w:val="21"/>
          <w:highlight w:val="none"/>
        </w:rPr>
        <w:t>货物构成</w:t>
      </w:r>
      <w:r>
        <w:rPr>
          <w:rFonts w:hint="eastAsia" w:ascii="宋体" w:hAnsi="宋体"/>
          <w:color w:val="000000"/>
          <w:szCs w:val="21"/>
          <w:highlight w:val="none"/>
          <w:lang w:val="en-US" w:eastAsia="zh-CN"/>
        </w:rPr>
        <w:t>对第三人</w:t>
      </w:r>
      <w:r>
        <w:rPr>
          <w:rFonts w:hint="eastAsia" w:ascii="宋体" w:hAnsi="宋体"/>
          <w:color w:val="000000"/>
          <w:szCs w:val="21"/>
          <w:highlight w:val="none"/>
        </w:rPr>
        <w:t>侵权的，则由乙方承担全部责任。</w:t>
      </w:r>
    </w:p>
    <w:p w14:paraId="57CB916C">
      <w:pPr>
        <w:autoSpaceDE w:val="0"/>
        <w:autoSpaceDN w:val="0"/>
        <w:adjustRightInd w:val="0"/>
        <w:snapToGrid w:val="0"/>
        <w:spacing w:before="0" w:line="400" w:lineRule="exact"/>
        <w:jc w:val="left"/>
        <w:rPr>
          <w:rFonts w:ascii="宋体" w:hAnsi="宋体"/>
          <w:b/>
          <w:bCs/>
          <w:color w:val="000000"/>
          <w:sz w:val="24"/>
          <w:highlight w:val="none"/>
        </w:rPr>
      </w:pPr>
      <w:r>
        <w:rPr>
          <w:rFonts w:hint="eastAsia" w:ascii="宋体" w:hAnsi="宋体"/>
          <w:b/>
          <w:bCs/>
          <w:color w:val="000000"/>
          <w:sz w:val="24"/>
          <w:highlight w:val="none"/>
        </w:rPr>
        <w:t>1</w:t>
      </w:r>
      <w:r>
        <w:rPr>
          <w:rFonts w:hint="eastAsia" w:ascii="宋体" w:hAnsi="宋体"/>
          <w:b/>
          <w:bCs/>
          <w:color w:val="000000"/>
          <w:sz w:val="24"/>
          <w:highlight w:val="none"/>
          <w:lang w:eastAsia="zh-CN"/>
        </w:rPr>
        <w:t>0</w:t>
      </w:r>
      <w:r>
        <w:rPr>
          <w:rFonts w:hint="eastAsia" w:ascii="宋体" w:hAnsi="宋体"/>
          <w:b/>
          <w:bCs/>
          <w:color w:val="000000"/>
          <w:sz w:val="24"/>
          <w:highlight w:val="none"/>
        </w:rPr>
        <w:t>.</w:t>
      </w:r>
      <w:r>
        <w:rPr>
          <w:rFonts w:hint="eastAsia" w:ascii="宋体" w:hAnsi="宋体"/>
          <w:b/>
          <w:bCs/>
          <w:color w:val="000000"/>
          <w:sz w:val="24"/>
          <w:highlight w:val="none"/>
          <w:lang w:val="en-US" w:eastAsia="zh-CN"/>
        </w:rPr>
        <w:t xml:space="preserve"> </w:t>
      </w:r>
      <w:r>
        <w:rPr>
          <w:rFonts w:hint="eastAsia" w:ascii="宋体" w:hAnsi="宋体"/>
          <w:b/>
          <w:bCs/>
          <w:color w:val="000000"/>
          <w:sz w:val="24"/>
          <w:highlight w:val="none"/>
        </w:rPr>
        <w:t>知识产权保护</w:t>
      </w:r>
    </w:p>
    <w:p w14:paraId="787C3F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szCs w:val="21"/>
          <w:highlight w:val="none"/>
        </w:rPr>
        <w:t>1</w:t>
      </w:r>
      <w:r>
        <w:rPr>
          <w:rFonts w:hint="eastAsia" w:ascii="宋体" w:hAnsi="宋体"/>
          <w:color w:val="000000"/>
          <w:szCs w:val="21"/>
          <w:highlight w:val="none"/>
          <w:lang w:eastAsia="zh-CN"/>
        </w:rPr>
        <w:t>0</w:t>
      </w:r>
      <w:r>
        <w:rPr>
          <w:rFonts w:hint="eastAsia" w:ascii="宋体" w:hAnsi="宋体"/>
          <w:color w:val="000000"/>
          <w:szCs w:val="21"/>
          <w:highlight w:val="none"/>
        </w:rPr>
        <w:t>.1 乙方对其所销售的货物应当享有知识产权或经权利人合法授权，保证没有侵犯任</w:t>
      </w:r>
      <w:r>
        <w:rPr>
          <w:rFonts w:hint="eastAsia" w:ascii="宋体" w:hAnsi="宋体"/>
          <w:color w:val="auto"/>
          <w:szCs w:val="21"/>
          <w:highlight w:val="none"/>
        </w:rPr>
        <w:t>何第三人的知识产权等权利。</w:t>
      </w:r>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r>
        <w:rPr>
          <w:rFonts w:hint="eastAsia" w:ascii="宋体" w:hAnsi="宋体"/>
          <w:color w:val="auto"/>
          <w:szCs w:val="21"/>
          <w:highlight w:val="none"/>
        </w:rPr>
        <w:t>。</w:t>
      </w:r>
    </w:p>
    <w:p w14:paraId="726AFC5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7A42BE69">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6DBFD3F2">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29963CDD">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149B6AB7">
      <w:pPr>
        <w:pStyle w:val="4"/>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color="auto" w:fill="auto"/>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3BADB5E4">
      <w:pPr>
        <w:pStyle w:val="12"/>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10E587E9">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60429701">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4B7F6C4A">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057C2D51">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3ACDF8A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576E5A8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753B624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6220FFC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636916A8">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3C97CE00">
      <w:pPr>
        <w:pStyle w:val="112"/>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2C78B88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1ABFAAA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3D527ABF">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282D0772">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0777E62C">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4E3C60DE">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41791A4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0E53F8AF">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2F35E28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04992BF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68CD8479">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6244BDF3">
      <w:pPr>
        <w:numPr>
          <w:ilvl w:val="0"/>
          <w:numId w:val="21"/>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7783A0DF">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46D3935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14C5DB6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0A30E9A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6B09E3BD">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598CBE6D">
      <w:pPr>
        <w:pStyle w:val="112"/>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26E1EC3B">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2E27E9EC">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692817F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3ECFE9D4">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269BD5DD">
      <w:pPr>
        <w:pStyle w:val="112"/>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13176347">
      <w:pPr>
        <w:pStyle w:val="112"/>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7BD47BA5">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38EEC31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1D4AB22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0B2B62F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46E878F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565B5C6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18DF027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1D840092">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72D85B75">
      <w:pPr>
        <w:pStyle w:val="11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4A571A3D">
      <w:pPr>
        <w:pStyle w:val="11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248CFB06">
      <w:pPr>
        <w:pStyle w:val="11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0EB9BED3">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001CA996">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3864B56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0EF22F7F">
      <w:pPr>
        <w:pStyle w:val="12"/>
        <w:spacing w:after="0" w:line="400" w:lineRule="exact"/>
        <w:ind w:firstLine="48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5FB24605">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658F8987">
      <w:pPr>
        <w:pStyle w:val="11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6DBB2CFA">
      <w:pPr>
        <w:pStyle w:val="11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24F7C8B0">
      <w:pPr>
        <w:numPr>
          <w:ilvl w:val="0"/>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50E6F3BD">
      <w:pPr>
        <w:pStyle w:val="11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1111E043">
      <w:pPr>
        <w:pStyle w:val="112"/>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350E56B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5480A365">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1B338E4B">
      <w:pPr>
        <w:numPr>
          <w:ilvl w:val="0"/>
          <w:numId w:val="22"/>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42012871">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3CAE36E2">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p>
    <w:p w14:paraId="39EE88C9">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53786FDB">
      <w:pPr>
        <w:pStyle w:val="4"/>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p>
    <w:tbl>
      <w:tblPr>
        <w:tblStyle w:val="39"/>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46E8CC4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3E3537F4">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528F1676">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第1.2（</w:t>
            </w:r>
            <w:r>
              <w:rPr>
                <w:rFonts w:hint="eastAsia" w:ascii="宋体" w:hAnsi="宋体" w:cs="Times New Roman"/>
                <w:szCs w:val="21"/>
                <w:lang w:val="en-US" w:eastAsia="zh-CN"/>
              </w:rPr>
              <w:t>6</w:t>
            </w:r>
            <w:r>
              <w:rPr>
                <w:rFonts w:hint="eastAsia" w:ascii="宋体" w:hAnsi="宋体" w:cs="Times New Roman"/>
                <w:szCs w:val="21"/>
              </w:rPr>
              <w:t>）项</w:t>
            </w:r>
          </w:p>
        </w:tc>
        <w:tc>
          <w:tcPr>
            <w:tcW w:w="1742" w:type="dxa"/>
            <w:noWrap w:val="0"/>
            <w:vAlign w:val="center"/>
          </w:tcPr>
          <w:p w14:paraId="1E5477B4">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r>
              <w:rPr>
                <w:rFonts w:hint="eastAsia" w:ascii="宋体" w:hAnsi="宋体" w:cs="Times New Roman"/>
                <w:szCs w:val="21"/>
                <w:lang w:eastAsia="zh-CN"/>
              </w:rPr>
              <w:t>联合体具体要求</w:t>
            </w:r>
          </w:p>
        </w:tc>
        <w:tc>
          <w:tcPr>
            <w:tcW w:w="5170" w:type="dxa"/>
            <w:noWrap w:val="0"/>
            <w:vAlign w:val="center"/>
          </w:tcPr>
          <w:p w14:paraId="601CB053">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p>
        </w:tc>
      </w:tr>
      <w:tr w14:paraId="14B296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noWrap w:val="0"/>
            <w:vAlign w:val="center"/>
          </w:tcPr>
          <w:p w14:paraId="7913FA2C">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48B2F091">
            <w:pPr>
              <w:keepNext w:val="0"/>
              <w:keepLines w:val="0"/>
              <w:suppressLineNumbers w:val="0"/>
              <w:adjustRightInd w:val="0"/>
              <w:snapToGrid w:val="0"/>
              <w:spacing w:before="0" w:beforeAutospacing="0" w:after="0" w:afterAutospacing="0"/>
              <w:ind w:left="0" w:right="0"/>
              <w:jc w:val="center"/>
              <w:rPr>
                <w:rFonts w:hint="eastAsia" w:ascii="宋体" w:hAnsi="宋体" w:eastAsia="宋体" w:cs="Times New Roman"/>
                <w:kern w:val="2"/>
                <w:sz w:val="21"/>
                <w:szCs w:val="21"/>
                <w:lang w:val="en-US" w:eastAsia="zh-CN" w:bidi="ar-SA"/>
              </w:rPr>
            </w:pPr>
            <w:r>
              <w:rPr>
                <w:rFonts w:hint="eastAsia" w:ascii="宋体" w:hAnsi="宋体" w:cs="Times New Roman"/>
                <w:szCs w:val="21"/>
              </w:rPr>
              <w:t>第1.2（</w:t>
            </w:r>
            <w:r>
              <w:rPr>
                <w:rFonts w:hint="eastAsia" w:ascii="宋体" w:hAnsi="宋体" w:cs="Times New Roman"/>
                <w:szCs w:val="21"/>
                <w:lang w:val="en-US" w:eastAsia="zh-CN"/>
              </w:rPr>
              <w:t>7</w:t>
            </w:r>
            <w:r>
              <w:rPr>
                <w:rFonts w:hint="eastAsia" w:ascii="宋体" w:hAnsi="宋体" w:cs="Times New Roman"/>
                <w:szCs w:val="21"/>
              </w:rPr>
              <w:t>）项</w:t>
            </w:r>
          </w:p>
        </w:tc>
        <w:tc>
          <w:tcPr>
            <w:tcW w:w="1742" w:type="dxa"/>
            <w:noWrap w:val="0"/>
            <w:vAlign w:val="center"/>
          </w:tcPr>
          <w:p w14:paraId="55B4E9A1">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kern w:val="2"/>
                <w:sz w:val="21"/>
                <w:szCs w:val="21"/>
                <w:lang w:val="en-US" w:eastAsia="zh-CN" w:bidi="ar-SA"/>
              </w:rPr>
            </w:pPr>
            <w:r>
              <w:rPr>
                <w:rFonts w:hint="eastAsia" w:ascii="宋体" w:hAnsi="宋体" w:cs="Times New Roman"/>
                <w:szCs w:val="21"/>
              </w:rPr>
              <w:t>其他术语解释</w:t>
            </w:r>
          </w:p>
        </w:tc>
        <w:tc>
          <w:tcPr>
            <w:tcW w:w="5170" w:type="dxa"/>
            <w:noWrap w:val="0"/>
            <w:vAlign w:val="center"/>
          </w:tcPr>
          <w:p w14:paraId="2B5BA7C8">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0D907A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0EFC4B3C">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3392504C">
            <w:pPr>
              <w:keepNext w:val="0"/>
              <w:keepLines w:val="0"/>
              <w:suppressLineNumbers w:val="0"/>
              <w:adjustRightInd w:val="0"/>
              <w:snapToGrid w:val="0"/>
              <w:spacing w:before="0" w:beforeAutospacing="0" w:after="0" w:afterAutospacing="0"/>
              <w:ind w:left="0" w:right="0"/>
              <w:jc w:val="center"/>
              <w:rPr>
                <w:rFonts w:hint="default" w:ascii="宋体" w:hAnsi="宋体" w:eastAsia="宋体" w:cs="Times New Roman"/>
                <w:szCs w:val="21"/>
                <w:lang w:val="en-US" w:eastAsia="zh-CN"/>
              </w:rPr>
            </w:pPr>
            <w:r>
              <w:rPr>
                <w:rFonts w:hint="eastAsia" w:ascii="宋体" w:hAnsi="宋体" w:cs="Times New Roman"/>
                <w:szCs w:val="21"/>
                <w:lang w:eastAsia="zh-CN"/>
              </w:rPr>
              <w:t>第</w:t>
            </w:r>
            <w:r>
              <w:rPr>
                <w:rFonts w:hint="eastAsia" w:ascii="宋体" w:hAnsi="宋体" w:cs="Times New Roman"/>
                <w:szCs w:val="21"/>
                <w:lang w:val="en-US" w:eastAsia="zh-CN"/>
              </w:rPr>
              <w:t>4.4款</w:t>
            </w:r>
          </w:p>
        </w:tc>
        <w:tc>
          <w:tcPr>
            <w:tcW w:w="1742" w:type="dxa"/>
            <w:noWrap w:val="0"/>
            <w:vAlign w:val="center"/>
          </w:tcPr>
          <w:p w14:paraId="69BEC50E">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szCs w:val="21"/>
                <w:lang w:eastAsia="zh-CN"/>
              </w:rPr>
            </w:pPr>
            <w:r>
              <w:rPr>
                <w:rFonts w:hint="eastAsia" w:ascii="宋体" w:hAnsi="宋体" w:cs="Times New Roman"/>
                <w:szCs w:val="21"/>
                <w:lang w:eastAsia="zh-CN"/>
              </w:rPr>
              <w:t>履约验收中甲方提出异议或作出说明的期限</w:t>
            </w:r>
          </w:p>
        </w:tc>
        <w:tc>
          <w:tcPr>
            <w:tcW w:w="5170" w:type="dxa"/>
            <w:noWrap w:val="0"/>
            <w:vAlign w:val="center"/>
          </w:tcPr>
          <w:p w14:paraId="3E73E284">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690F2CE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17C67DB">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563E8F34">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rPr>
            </w:pPr>
            <w:r>
              <w:rPr>
                <w:rFonts w:hint="eastAsia" w:ascii="宋体" w:hAnsi="宋体" w:cs="Times New Roman"/>
                <w:szCs w:val="21"/>
                <w:lang w:eastAsia="zh-CN"/>
              </w:rPr>
              <w:t>第</w:t>
            </w:r>
            <w:r>
              <w:rPr>
                <w:rFonts w:hint="eastAsia" w:ascii="宋体" w:hAnsi="宋体" w:cs="Times New Roman"/>
                <w:szCs w:val="21"/>
                <w:lang w:val="en-US" w:eastAsia="zh-CN"/>
              </w:rPr>
              <w:t>4.6款</w:t>
            </w:r>
          </w:p>
        </w:tc>
        <w:tc>
          <w:tcPr>
            <w:tcW w:w="1742" w:type="dxa"/>
            <w:noWrap w:val="0"/>
            <w:vAlign w:val="center"/>
          </w:tcPr>
          <w:p w14:paraId="5B96277F">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szCs w:val="21"/>
                <w:lang w:eastAsia="zh-CN"/>
              </w:rPr>
            </w:pPr>
            <w:r>
              <w:rPr>
                <w:rFonts w:hint="eastAsia" w:ascii="宋体" w:hAnsi="宋体" w:cs="Times New Roman"/>
                <w:szCs w:val="21"/>
                <w:lang w:eastAsia="zh-CN"/>
              </w:rPr>
              <w:t>约定甲方承担的其他义务和责任</w:t>
            </w:r>
          </w:p>
        </w:tc>
        <w:tc>
          <w:tcPr>
            <w:tcW w:w="5170" w:type="dxa"/>
            <w:noWrap w:val="0"/>
            <w:vAlign w:val="center"/>
          </w:tcPr>
          <w:p w14:paraId="1F28D8CC">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7080FC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52E72BEC">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lang w:eastAsia="zh-CN"/>
              </w:rPr>
            </w:pPr>
            <w:r>
              <w:rPr>
                <w:rFonts w:hint="eastAsia" w:ascii="宋体" w:hAnsi="宋体" w:cs="Times New Roman"/>
                <w:szCs w:val="21"/>
                <w:lang w:eastAsia="zh-CN"/>
              </w:rPr>
              <w:t>第二节</w:t>
            </w:r>
          </w:p>
          <w:p w14:paraId="4C826C1B">
            <w:pPr>
              <w:keepNext w:val="0"/>
              <w:keepLines w:val="0"/>
              <w:suppressLineNumbers w:val="0"/>
              <w:snapToGrid w:val="0"/>
              <w:spacing w:before="0" w:beforeAutospacing="0" w:after="0" w:afterAutospacing="0"/>
              <w:ind w:left="0" w:right="0"/>
              <w:jc w:val="center"/>
              <w:rPr>
                <w:rFonts w:hint="default" w:ascii="Times New Roman" w:hAnsi="Times New Roman" w:cs="Times New Roman"/>
                <w:lang w:val="en-US" w:eastAsia="zh-CN"/>
              </w:rPr>
            </w:pPr>
            <w:r>
              <w:rPr>
                <w:rFonts w:hint="eastAsia" w:ascii="宋体" w:hAnsi="宋体" w:cs="Times New Roman"/>
                <w:szCs w:val="21"/>
                <w:lang w:eastAsia="zh-CN"/>
              </w:rPr>
              <w:t>第</w:t>
            </w:r>
            <w:r>
              <w:rPr>
                <w:rFonts w:hint="eastAsia" w:ascii="宋体" w:hAnsi="宋体" w:cs="Times New Roman"/>
                <w:szCs w:val="21"/>
                <w:lang w:val="en-US" w:eastAsia="zh-CN"/>
              </w:rPr>
              <w:t>5.4款</w:t>
            </w:r>
          </w:p>
        </w:tc>
        <w:tc>
          <w:tcPr>
            <w:tcW w:w="1742" w:type="dxa"/>
            <w:noWrap w:val="0"/>
            <w:vAlign w:val="center"/>
          </w:tcPr>
          <w:p w14:paraId="6F75D790">
            <w:pPr>
              <w:keepNext w:val="0"/>
              <w:keepLines w:val="0"/>
              <w:suppressLineNumbers w:val="0"/>
              <w:adjustRightInd w:val="0"/>
              <w:snapToGrid w:val="0"/>
              <w:spacing w:before="0" w:beforeAutospacing="0" w:after="0" w:afterAutospacing="0"/>
              <w:ind w:left="0" w:right="0"/>
              <w:jc w:val="left"/>
              <w:rPr>
                <w:rFonts w:hint="eastAsia" w:ascii="宋体" w:hAnsi="宋体" w:cs="Times New Roman"/>
                <w:szCs w:val="21"/>
                <w:lang w:eastAsia="zh-CN"/>
              </w:rPr>
            </w:pPr>
            <w:r>
              <w:rPr>
                <w:rFonts w:hint="eastAsia" w:ascii="宋体" w:hAnsi="宋体" w:cs="Times New Roman"/>
                <w:szCs w:val="21"/>
                <w:lang w:eastAsia="zh-CN"/>
              </w:rPr>
              <w:t>约定乙方承担的其他义务和责任</w:t>
            </w:r>
          </w:p>
        </w:tc>
        <w:tc>
          <w:tcPr>
            <w:tcW w:w="5170" w:type="dxa"/>
            <w:noWrap w:val="0"/>
            <w:vAlign w:val="center"/>
          </w:tcPr>
          <w:p w14:paraId="6690BC15">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24C3DC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3C2A550C">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lang w:eastAsia="zh-CN"/>
              </w:rPr>
            </w:pPr>
            <w:r>
              <w:rPr>
                <w:rFonts w:hint="eastAsia" w:ascii="宋体" w:hAnsi="宋体" w:cs="Times New Roman"/>
                <w:szCs w:val="21"/>
                <w:lang w:eastAsia="zh-CN"/>
              </w:rPr>
              <w:t>第二节</w:t>
            </w:r>
          </w:p>
          <w:p w14:paraId="783676C6">
            <w:pPr>
              <w:keepNext w:val="0"/>
              <w:keepLines w:val="0"/>
              <w:suppressLineNumbers w:val="0"/>
              <w:snapToGrid w:val="0"/>
              <w:spacing w:before="0" w:beforeAutospacing="0" w:after="0" w:afterAutospacing="0"/>
              <w:ind w:left="0" w:right="0"/>
              <w:jc w:val="center"/>
              <w:rPr>
                <w:rFonts w:hint="eastAsia" w:ascii="宋体" w:hAnsi="宋体" w:cs="Times New Roman"/>
                <w:szCs w:val="21"/>
                <w:lang w:eastAsia="zh-CN"/>
              </w:rPr>
            </w:pPr>
            <w:r>
              <w:rPr>
                <w:rFonts w:hint="eastAsia" w:ascii="宋体" w:hAnsi="宋体" w:cs="Times New Roman"/>
                <w:szCs w:val="21"/>
                <w:lang w:eastAsia="zh-CN"/>
              </w:rPr>
              <w:t>第</w:t>
            </w:r>
            <w:r>
              <w:rPr>
                <w:rFonts w:hint="eastAsia" w:ascii="宋体" w:hAnsi="宋体" w:cs="Times New Roman"/>
                <w:szCs w:val="21"/>
                <w:lang w:val="en-US" w:eastAsia="zh-CN"/>
              </w:rPr>
              <w:t>6.1款</w:t>
            </w:r>
          </w:p>
        </w:tc>
        <w:tc>
          <w:tcPr>
            <w:tcW w:w="1742" w:type="dxa"/>
            <w:noWrap w:val="0"/>
            <w:vAlign w:val="center"/>
          </w:tcPr>
          <w:p w14:paraId="0D8B740A">
            <w:pPr>
              <w:keepNext w:val="0"/>
              <w:keepLines w:val="0"/>
              <w:suppressLineNumbers w:val="0"/>
              <w:adjustRightInd w:val="0"/>
              <w:snapToGrid w:val="0"/>
              <w:spacing w:before="0" w:beforeAutospacing="0" w:after="0" w:afterAutospacing="0"/>
              <w:ind w:left="0" w:right="0"/>
              <w:jc w:val="left"/>
              <w:rPr>
                <w:rFonts w:hint="eastAsia" w:ascii="宋体" w:hAnsi="宋体" w:cs="Times New Roman"/>
                <w:szCs w:val="21"/>
                <w:lang w:eastAsia="zh-CN"/>
              </w:rPr>
            </w:pPr>
            <w:r>
              <w:rPr>
                <w:rFonts w:hint="eastAsia" w:ascii="宋体" w:hAnsi="宋体" w:cs="Times New Roman"/>
                <w:szCs w:val="21"/>
                <w:lang w:eastAsia="zh-CN"/>
              </w:rPr>
              <w:t>履行合同义务的顺序</w:t>
            </w:r>
          </w:p>
        </w:tc>
        <w:tc>
          <w:tcPr>
            <w:tcW w:w="5170" w:type="dxa"/>
            <w:noWrap w:val="0"/>
            <w:vAlign w:val="center"/>
          </w:tcPr>
          <w:p w14:paraId="059C63C8">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7108C80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noWrap w:val="0"/>
            <w:vAlign w:val="center"/>
          </w:tcPr>
          <w:p w14:paraId="30248A3F">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04C7651B">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w:t>
            </w:r>
            <w:r>
              <w:rPr>
                <w:rFonts w:hint="eastAsia" w:ascii="宋体" w:hAnsi="宋体" w:cs="Times New Roman"/>
                <w:szCs w:val="21"/>
                <w:lang w:val="en-US" w:eastAsia="zh-CN"/>
              </w:rPr>
              <w:t>7</w:t>
            </w:r>
            <w:r>
              <w:rPr>
                <w:rFonts w:hint="eastAsia" w:ascii="宋体" w:hAnsi="宋体" w:cs="Times New Roman"/>
                <w:szCs w:val="21"/>
              </w:rPr>
              <w:t>.1</w:t>
            </w:r>
            <w:r>
              <w:rPr>
                <w:rFonts w:hint="eastAsia" w:ascii="宋体" w:hAnsi="宋体" w:cs="Times New Roman"/>
                <w:szCs w:val="21"/>
                <w:lang w:val="en-US" w:eastAsia="zh-CN"/>
              </w:rPr>
              <w:t>款</w:t>
            </w:r>
          </w:p>
        </w:tc>
        <w:tc>
          <w:tcPr>
            <w:tcW w:w="1742" w:type="dxa"/>
            <w:noWrap w:val="0"/>
            <w:vAlign w:val="center"/>
          </w:tcPr>
          <w:p w14:paraId="1C898EA7">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r>
              <w:rPr>
                <w:rFonts w:hint="eastAsia" w:ascii="宋体" w:hAnsi="宋体" w:cs="Times New Roman"/>
                <w:szCs w:val="21"/>
              </w:rPr>
              <w:t>包装</w:t>
            </w:r>
            <w:r>
              <w:rPr>
                <w:rFonts w:hint="eastAsia" w:ascii="宋体" w:hAnsi="宋体" w:cs="Times New Roman"/>
                <w:szCs w:val="21"/>
                <w:lang w:eastAsia="zh-CN"/>
              </w:rPr>
              <w:t>特殊要求</w:t>
            </w:r>
          </w:p>
        </w:tc>
        <w:tc>
          <w:tcPr>
            <w:tcW w:w="5170" w:type="dxa"/>
            <w:noWrap w:val="0"/>
            <w:vAlign w:val="center"/>
          </w:tcPr>
          <w:p w14:paraId="1301AD59">
            <w:pPr>
              <w:keepNext w:val="0"/>
              <w:keepLines w:val="0"/>
              <w:suppressLineNumbers w:val="0"/>
              <w:spacing w:before="0" w:beforeAutospacing="0" w:after="0" w:afterAutospacing="0"/>
              <w:ind w:left="0" w:right="0"/>
              <w:rPr>
                <w:rFonts w:hint="default" w:ascii="Times New Roman" w:hAnsi="Times New Roman" w:cs="Times New Roman"/>
              </w:rPr>
            </w:pPr>
          </w:p>
        </w:tc>
      </w:tr>
      <w:tr w14:paraId="074727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noWrap w:val="0"/>
            <w:vAlign w:val="center"/>
          </w:tcPr>
          <w:p w14:paraId="25C49FE2">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rPr>
            </w:pPr>
          </w:p>
        </w:tc>
        <w:tc>
          <w:tcPr>
            <w:tcW w:w="1742" w:type="dxa"/>
            <w:noWrap w:val="0"/>
            <w:vAlign w:val="center"/>
          </w:tcPr>
          <w:p w14:paraId="2C7DA149">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szCs w:val="21"/>
                <w:lang w:eastAsia="zh-CN"/>
              </w:rPr>
            </w:pPr>
            <w:r>
              <w:rPr>
                <w:rFonts w:hint="eastAsia" w:ascii="宋体" w:hAnsi="宋体" w:cs="Times New Roman"/>
                <w:szCs w:val="21"/>
                <w:lang w:eastAsia="zh-CN"/>
              </w:rPr>
              <w:t>指定现场</w:t>
            </w:r>
          </w:p>
        </w:tc>
        <w:tc>
          <w:tcPr>
            <w:tcW w:w="5170" w:type="dxa"/>
            <w:noWrap w:val="0"/>
            <w:vAlign w:val="center"/>
          </w:tcPr>
          <w:p w14:paraId="1EFB3D0D">
            <w:pPr>
              <w:keepNext w:val="0"/>
              <w:keepLines w:val="0"/>
              <w:suppressLineNumbers w:val="0"/>
              <w:spacing w:before="0" w:beforeAutospacing="0" w:after="0" w:afterAutospacing="0"/>
              <w:ind w:left="0" w:right="0"/>
              <w:rPr>
                <w:rFonts w:hint="eastAsia" w:ascii="Times New Roman" w:hAnsi="Times New Roman" w:cs="Times New Roman"/>
              </w:rPr>
            </w:pPr>
          </w:p>
        </w:tc>
      </w:tr>
      <w:tr w14:paraId="58291D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noWrap w:val="0"/>
            <w:vAlign w:val="center"/>
          </w:tcPr>
          <w:p w14:paraId="437A7B4F">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1C6E4346">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rPr>
            </w:pPr>
            <w:r>
              <w:rPr>
                <w:rFonts w:hint="eastAsia" w:ascii="宋体" w:hAnsi="宋体" w:cs="Times New Roman"/>
                <w:szCs w:val="21"/>
              </w:rPr>
              <w:t>第</w:t>
            </w:r>
            <w:r>
              <w:rPr>
                <w:rFonts w:hint="eastAsia" w:ascii="宋体" w:hAnsi="宋体" w:cs="Times New Roman"/>
                <w:szCs w:val="21"/>
                <w:lang w:val="en-US" w:eastAsia="zh-CN"/>
              </w:rPr>
              <w:t>7</w:t>
            </w:r>
            <w:r>
              <w:rPr>
                <w:rFonts w:hint="eastAsia" w:ascii="宋体" w:hAnsi="宋体" w:cs="Times New Roman"/>
                <w:szCs w:val="21"/>
              </w:rPr>
              <w:t>.2</w:t>
            </w:r>
            <w:r>
              <w:rPr>
                <w:rFonts w:hint="eastAsia" w:ascii="宋体" w:hAnsi="宋体" w:cs="Times New Roman"/>
                <w:szCs w:val="21"/>
                <w:lang w:val="en-US" w:eastAsia="zh-CN"/>
              </w:rPr>
              <w:t>款</w:t>
            </w:r>
          </w:p>
        </w:tc>
        <w:tc>
          <w:tcPr>
            <w:tcW w:w="1742" w:type="dxa"/>
            <w:noWrap w:val="0"/>
            <w:vAlign w:val="center"/>
          </w:tcPr>
          <w:p w14:paraId="04363529">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szCs w:val="21"/>
                <w:lang w:eastAsia="zh-CN"/>
              </w:rPr>
            </w:pPr>
            <w:r>
              <w:rPr>
                <w:rFonts w:hint="eastAsia" w:ascii="宋体" w:hAnsi="宋体" w:cs="Times New Roman"/>
                <w:szCs w:val="21"/>
                <w:lang w:eastAsia="zh-CN"/>
              </w:rPr>
              <w:t>运输特殊要求</w:t>
            </w:r>
          </w:p>
        </w:tc>
        <w:tc>
          <w:tcPr>
            <w:tcW w:w="5170" w:type="dxa"/>
            <w:noWrap w:val="0"/>
            <w:vAlign w:val="center"/>
          </w:tcPr>
          <w:p w14:paraId="202B4599">
            <w:pPr>
              <w:keepNext w:val="0"/>
              <w:keepLines w:val="0"/>
              <w:suppressLineNumbers w:val="0"/>
              <w:spacing w:before="0" w:beforeAutospacing="0" w:after="0" w:afterAutospacing="0"/>
              <w:ind w:left="0" w:right="0"/>
              <w:rPr>
                <w:rFonts w:hint="eastAsia" w:ascii="Times New Roman" w:hAnsi="Times New Roman" w:cs="Times New Roman"/>
              </w:rPr>
            </w:pPr>
          </w:p>
        </w:tc>
      </w:tr>
      <w:tr w14:paraId="536C1A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noWrap w:val="0"/>
            <w:vAlign w:val="center"/>
          </w:tcPr>
          <w:p w14:paraId="1AB3C61A">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55345CB5">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rPr>
            </w:pPr>
            <w:r>
              <w:rPr>
                <w:rFonts w:hint="eastAsia" w:ascii="宋体" w:hAnsi="宋体" w:cs="Times New Roman"/>
                <w:szCs w:val="21"/>
              </w:rPr>
              <w:t>第</w:t>
            </w:r>
            <w:r>
              <w:rPr>
                <w:rFonts w:hint="eastAsia" w:ascii="宋体" w:hAnsi="宋体" w:cs="Times New Roman"/>
                <w:szCs w:val="21"/>
                <w:lang w:val="en-US" w:eastAsia="zh-CN"/>
              </w:rPr>
              <w:t>7</w:t>
            </w:r>
            <w:r>
              <w:rPr>
                <w:rFonts w:hint="eastAsia" w:ascii="宋体" w:hAnsi="宋体" w:cs="Times New Roman"/>
                <w:szCs w:val="21"/>
              </w:rPr>
              <w:t>.3</w:t>
            </w:r>
            <w:r>
              <w:rPr>
                <w:rFonts w:hint="eastAsia" w:ascii="宋体" w:hAnsi="宋体" w:cs="Times New Roman"/>
                <w:szCs w:val="21"/>
                <w:lang w:val="en-US" w:eastAsia="zh-CN"/>
              </w:rPr>
              <w:t>款</w:t>
            </w:r>
          </w:p>
        </w:tc>
        <w:tc>
          <w:tcPr>
            <w:tcW w:w="1742" w:type="dxa"/>
            <w:noWrap w:val="0"/>
            <w:vAlign w:val="center"/>
          </w:tcPr>
          <w:p w14:paraId="5245D62B">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szCs w:val="21"/>
                <w:lang w:eastAsia="zh-CN"/>
              </w:rPr>
            </w:pPr>
            <w:r>
              <w:rPr>
                <w:rFonts w:hint="eastAsia" w:ascii="宋体" w:hAnsi="宋体" w:cs="Times New Roman"/>
                <w:szCs w:val="21"/>
                <w:lang w:eastAsia="zh-CN"/>
              </w:rPr>
              <w:t>保险要求</w:t>
            </w:r>
          </w:p>
        </w:tc>
        <w:tc>
          <w:tcPr>
            <w:tcW w:w="5170" w:type="dxa"/>
            <w:noWrap w:val="0"/>
            <w:vAlign w:val="center"/>
          </w:tcPr>
          <w:p w14:paraId="2A5F36C3">
            <w:pPr>
              <w:keepNext w:val="0"/>
              <w:keepLines w:val="0"/>
              <w:suppressLineNumbers w:val="0"/>
              <w:spacing w:before="0" w:beforeAutospacing="0" w:after="0" w:afterAutospacing="0"/>
              <w:ind w:left="0" w:right="0"/>
              <w:rPr>
                <w:rFonts w:hint="eastAsia" w:ascii="Times New Roman" w:hAnsi="Times New Roman" w:cs="Times New Roman"/>
              </w:rPr>
            </w:pPr>
          </w:p>
        </w:tc>
      </w:tr>
      <w:tr w14:paraId="253351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112A7BAE">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0A6939AD">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w:t>
            </w:r>
            <w:r>
              <w:rPr>
                <w:rFonts w:hint="eastAsia" w:ascii="宋体" w:hAnsi="宋体" w:cs="Times New Roman"/>
                <w:szCs w:val="21"/>
                <w:lang w:val="en-US" w:eastAsia="zh-CN"/>
              </w:rPr>
              <w:t>8</w:t>
            </w:r>
            <w:r>
              <w:rPr>
                <w:rFonts w:hint="eastAsia" w:ascii="宋体" w:hAnsi="宋体" w:cs="Times New Roman"/>
                <w:szCs w:val="21"/>
              </w:rPr>
              <w:t>.2（1）项</w:t>
            </w:r>
          </w:p>
        </w:tc>
        <w:tc>
          <w:tcPr>
            <w:tcW w:w="1742" w:type="dxa"/>
            <w:noWrap w:val="0"/>
            <w:vAlign w:val="center"/>
          </w:tcPr>
          <w:p w14:paraId="69893EC6">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r>
              <w:rPr>
                <w:rFonts w:hint="eastAsia" w:ascii="宋体" w:hAnsi="宋体" w:cs="Times New Roman"/>
                <w:szCs w:val="21"/>
              </w:rPr>
              <w:t>质量保证期</w:t>
            </w:r>
          </w:p>
        </w:tc>
        <w:tc>
          <w:tcPr>
            <w:tcW w:w="5170" w:type="dxa"/>
            <w:noWrap w:val="0"/>
            <w:vAlign w:val="center"/>
          </w:tcPr>
          <w:p w14:paraId="1338137C">
            <w:pPr>
              <w:keepNext w:val="0"/>
              <w:keepLines w:val="0"/>
              <w:suppressLineNumbers w:val="0"/>
              <w:autoSpaceDE w:val="0"/>
              <w:autoSpaceDN w:val="0"/>
              <w:adjustRightInd w:val="0"/>
              <w:snapToGrid w:val="0"/>
              <w:spacing w:before="0" w:beforeAutospacing="0" w:after="0" w:afterAutospacing="0"/>
              <w:ind w:left="0" w:right="0" w:firstLine="420" w:firstLineChars="200"/>
              <w:jc w:val="left"/>
              <w:rPr>
                <w:rFonts w:hint="default" w:ascii="宋体" w:hAnsi="宋体" w:cs="Times New Roman"/>
                <w:szCs w:val="21"/>
              </w:rPr>
            </w:pPr>
          </w:p>
        </w:tc>
      </w:tr>
      <w:tr w14:paraId="757DB6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76F11828">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77EB7347">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w:t>
            </w:r>
            <w:r>
              <w:rPr>
                <w:rFonts w:hint="eastAsia" w:ascii="宋体" w:hAnsi="宋体" w:cs="Times New Roman"/>
                <w:szCs w:val="21"/>
                <w:lang w:val="en-US" w:eastAsia="zh-CN"/>
              </w:rPr>
              <w:t>8</w:t>
            </w:r>
            <w:r>
              <w:rPr>
                <w:rFonts w:hint="eastAsia" w:ascii="宋体" w:hAnsi="宋体" w:cs="Times New Roman"/>
                <w:szCs w:val="21"/>
              </w:rPr>
              <w:t>.2（3）项</w:t>
            </w:r>
          </w:p>
        </w:tc>
        <w:tc>
          <w:tcPr>
            <w:tcW w:w="1742" w:type="dxa"/>
            <w:noWrap w:val="0"/>
            <w:vAlign w:val="center"/>
          </w:tcPr>
          <w:p w14:paraId="3A1E0729">
            <w:pPr>
              <w:keepNext w:val="0"/>
              <w:keepLines w:val="0"/>
              <w:suppressLineNumbers w:val="0"/>
              <w:adjustRightInd w:val="0"/>
              <w:snapToGrid w:val="0"/>
              <w:spacing w:before="0" w:beforeAutospacing="0" w:after="0" w:afterAutospacing="0"/>
              <w:ind w:left="0" w:right="0"/>
              <w:jc w:val="left"/>
              <w:rPr>
                <w:rFonts w:hint="eastAsia" w:ascii="宋体" w:hAnsi="宋体" w:cs="Times New Roman"/>
                <w:szCs w:val="21"/>
                <w:lang w:eastAsia="zh-CN"/>
              </w:rPr>
            </w:pPr>
            <w:r>
              <w:rPr>
                <w:rFonts w:hint="eastAsia" w:ascii="宋体" w:hAnsi="宋体" w:cs="Times New Roman"/>
                <w:szCs w:val="21"/>
                <w:lang w:eastAsia="zh-CN"/>
              </w:rPr>
              <w:t>货物质量缺陷</w:t>
            </w:r>
          </w:p>
          <w:p w14:paraId="31E181B8">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r>
              <w:rPr>
                <w:rFonts w:hint="eastAsia" w:ascii="宋体" w:hAnsi="宋体" w:cs="Times New Roman"/>
                <w:szCs w:val="21"/>
              </w:rPr>
              <w:t>响应时间</w:t>
            </w:r>
          </w:p>
        </w:tc>
        <w:tc>
          <w:tcPr>
            <w:tcW w:w="5170" w:type="dxa"/>
            <w:noWrap w:val="0"/>
            <w:vAlign w:val="center"/>
          </w:tcPr>
          <w:p w14:paraId="7023078A">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p>
        </w:tc>
      </w:tr>
      <w:tr w14:paraId="641561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49FA09D2">
            <w:pPr>
              <w:keepNext w:val="0"/>
              <w:keepLines w:val="0"/>
              <w:suppressLineNumbers w:val="0"/>
              <w:snapToGrid w:val="0"/>
              <w:spacing w:before="0" w:beforeAutospacing="0" w:after="0" w:afterAutospacing="0"/>
              <w:ind w:left="0" w:right="0"/>
              <w:jc w:val="center"/>
              <w:rPr>
                <w:rFonts w:hint="eastAsia" w:ascii="宋体" w:hAnsi="宋体" w:cs="宋体"/>
                <w:szCs w:val="21"/>
                <w:lang w:val="en-US" w:eastAsia="zh-CN"/>
              </w:rPr>
            </w:pPr>
            <w:r>
              <w:rPr>
                <w:rFonts w:hint="eastAsia" w:ascii="宋体" w:hAnsi="宋体" w:cs="宋体"/>
                <w:szCs w:val="21"/>
                <w:lang w:val="en-US" w:eastAsia="zh-CN"/>
              </w:rPr>
              <w:t>第二节</w:t>
            </w:r>
          </w:p>
          <w:p w14:paraId="31716229">
            <w:pPr>
              <w:pStyle w:val="112"/>
              <w:keepNext w:val="0"/>
              <w:keepLines w:val="0"/>
              <w:widowControl/>
              <w:suppressLineNumbers w:val="0"/>
              <w:spacing w:before="0" w:beforeAutospacing="0" w:after="0" w:afterAutospacing="0"/>
              <w:ind w:left="0" w:right="0" w:firstLine="0" w:firstLineChars="0"/>
              <w:jc w:val="center"/>
              <w:rPr>
                <w:rFonts w:hint="default"/>
                <w:kern w:val="2"/>
                <w:lang w:val="en-US" w:eastAsia="zh-CN"/>
              </w:rPr>
            </w:pPr>
            <w:r>
              <w:rPr>
                <w:rFonts w:hint="eastAsia" w:ascii="宋体" w:hAnsi="宋体" w:eastAsia="宋体" w:cs="宋体"/>
                <w:kern w:val="2"/>
                <w:szCs w:val="21"/>
                <w:lang w:val="en-US" w:eastAsia="zh-CN"/>
              </w:rPr>
              <w:t>第11.1款</w:t>
            </w:r>
          </w:p>
        </w:tc>
        <w:tc>
          <w:tcPr>
            <w:tcW w:w="1742" w:type="dxa"/>
            <w:noWrap w:val="0"/>
            <w:vAlign w:val="center"/>
          </w:tcPr>
          <w:p w14:paraId="3BA1B4C0">
            <w:pPr>
              <w:keepNext w:val="0"/>
              <w:keepLines w:val="0"/>
              <w:suppressLineNumbers w:val="0"/>
              <w:adjustRightInd w:val="0"/>
              <w:snapToGrid w:val="0"/>
              <w:spacing w:before="0" w:beforeAutospacing="0" w:after="0" w:afterAutospacing="0"/>
              <w:ind w:left="0" w:right="0"/>
              <w:jc w:val="both"/>
              <w:rPr>
                <w:rFonts w:hint="default" w:ascii="宋体" w:hAnsi="宋体" w:eastAsia="宋体" w:cs="Times New Roman"/>
                <w:szCs w:val="21"/>
                <w:lang w:val="en-US" w:eastAsia="zh-CN"/>
              </w:rPr>
            </w:pPr>
            <w:r>
              <w:rPr>
                <w:rFonts w:hint="eastAsia" w:ascii="宋体" w:hAnsi="宋体" w:cs="Times New Roman"/>
                <w:szCs w:val="21"/>
                <w:lang w:val="en-US" w:eastAsia="zh-CN"/>
              </w:rPr>
              <w:t>其他应当保密的信息</w:t>
            </w:r>
          </w:p>
        </w:tc>
        <w:tc>
          <w:tcPr>
            <w:tcW w:w="5170" w:type="dxa"/>
            <w:noWrap w:val="0"/>
            <w:vAlign w:val="center"/>
          </w:tcPr>
          <w:p w14:paraId="2330C3A2">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p>
        </w:tc>
      </w:tr>
      <w:tr w14:paraId="6DAFF7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noWrap w:val="0"/>
            <w:vAlign w:val="center"/>
          </w:tcPr>
          <w:p w14:paraId="545FF37B">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32A86E6F">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第1</w:t>
            </w:r>
            <w:r>
              <w:rPr>
                <w:rFonts w:hint="eastAsia" w:ascii="宋体" w:hAnsi="宋体" w:cs="Times New Roman"/>
                <w:szCs w:val="21"/>
                <w:lang w:val="en-US" w:eastAsia="zh-CN"/>
              </w:rPr>
              <w:t>2</w:t>
            </w:r>
            <w:r>
              <w:rPr>
                <w:rFonts w:hint="eastAsia" w:ascii="宋体" w:hAnsi="宋体" w:cs="Times New Roman"/>
                <w:szCs w:val="21"/>
              </w:rPr>
              <w:t>.2款</w:t>
            </w:r>
          </w:p>
        </w:tc>
        <w:tc>
          <w:tcPr>
            <w:tcW w:w="1742" w:type="dxa"/>
            <w:noWrap w:val="0"/>
            <w:vAlign w:val="center"/>
          </w:tcPr>
          <w:p w14:paraId="7CBEFFF9">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szCs w:val="21"/>
                <w:lang w:eastAsia="zh-CN"/>
              </w:rPr>
            </w:pPr>
            <w:r>
              <w:rPr>
                <w:rFonts w:hint="eastAsia" w:ascii="宋体" w:hAnsi="宋体" w:cs="Times New Roman"/>
                <w:szCs w:val="21"/>
              </w:rPr>
              <w:t>合同价款支付</w:t>
            </w:r>
            <w:r>
              <w:rPr>
                <w:rFonts w:hint="eastAsia" w:ascii="宋体" w:hAnsi="宋体" w:cs="Times New Roman"/>
                <w:szCs w:val="21"/>
                <w:lang w:eastAsia="zh-CN"/>
              </w:rPr>
              <w:t>时间</w:t>
            </w:r>
          </w:p>
        </w:tc>
        <w:tc>
          <w:tcPr>
            <w:tcW w:w="5170" w:type="dxa"/>
            <w:noWrap w:val="0"/>
            <w:vAlign w:val="center"/>
          </w:tcPr>
          <w:p w14:paraId="2EAC95A4">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p>
        </w:tc>
      </w:tr>
      <w:tr w14:paraId="27044A9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noWrap w:val="0"/>
            <w:vAlign w:val="center"/>
          </w:tcPr>
          <w:p w14:paraId="4B82AE8A">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rPr>
            </w:pPr>
            <w:r>
              <w:rPr>
                <w:rFonts w:hint="eastAsia" w:ascii="宋体" w:hAnsi="宋体" w:cs="Times New Roman"/>
                <w:szCs w:val="21"/>
              </w:rPr>
              <w:t>第二节</w:t>
            </w:r>
          </w:p>
          <w:p w14:paraId="6D3AB687">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rPr>
            </w:pPr>
            <w:r>
              <w:rPr>
                <w:rFonts w:hint="eastAsia" w:ascii="宋体" w:hAnsi="宋体" w:cs="Times New Roman"/>
                <w:szCs w:val="21"/>
              </w:rPr>
              <w:t>第</w:t>
            </w:r>
            <w:r>
              <w:rPr>
                <w:rFonts w:hint="eastAsia" w:ascii="宋体" w:hAnsi="宋体" w:cs="Times New Roman"/>
                <w:szCs w:val="21"/>
                <w:lang w:val="en-US" w:eastAsia="zh-CN"/>
              </w:rPr>
              <w:t>13.2</w:t>
            </w:r>
            <w:r>
              <w:rPr>
                <w:rFonts w:hint="eastAsia" w:ascii="宋体" w:hAnsi="宋体" w:cs="Times New Roman"/>
                <w:szCs w:val="21"/>
              </w:rPr>
              <w:t>款</w:t>
            </w:r>
          </w:p>
        </w:tc>
        <w:tc>
          <w:tcPr>
            <w:tcW w:w="1742" w:type="dxa"/>
            <w:noWrap w:val="0"/>
            <w:vAlign w:val="center"/>
          </w:tcPr>
          <w:p w14:paraId="20EC69BA">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szCs w:val="21"/>
                <w:lang w:val="en-US" w:eastAsia="zh-CN"/>
              </w:rPr>
            </w:pPr>
            <w:r>
              <w:rPr>
                <w:rFonts w:hint="eastAsia" w:ascii="宋体" w:hAnsi="宋体" w:cs="Times New Roman"/>
                <w:szCs w:val="21"/>
                <w:lang w:val="en-US" w:eastAsia="zh-CN"/>
              </w:rPr>
              <w:t>履约保证金不予退还的情形</w:t>
            </w:r>
          </w:p>
        </w:tc>
        <w:tc>
          <w:tcPr>
            <w:tcW w:w="5170" w:type="dxa"/>
            <w:noWrap w:val="0"/>
            <w:vAlign w:val="center"/>
          </w:tcPr>
          <w:p w14:paraId="7A9CAE0E">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p>
        </w:tc>
      </w:tr>
      <w:tr w14:paraId="7EA1EEB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71E1EF90">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rPr>
            </w:pPr>
            <w:r>
              <w:rPr>
                <w:rFonts w:hint="eastAsia" w:ascii="宋体" w:hAnsi="宋体" w:cs="Times New Roman"/>
                <w:szCs w:val="21"/>
              </w:rPr>
              <w:t>第二节</w:t>
            </w:r>
          </w:p>
          <w:p w14:paraId="53DBA1DD">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rPr>
            </w:pPr>
            <w:r>
              <w:rPr>
                <w:rFonts w:hint="eastAsia" w:ascii="宋体" w:hAnsi="宋体" w:cs="Times New Roman"/>
                <w:szCs w:val="21"/>
              </w:rPr>
              <w:t>第</w:t>
            </w:r>
            <w:r>
              <w:rPr>
                <w:rFonts w:hint="eastAsia" w:ascii="宋体" w:hAnsi="宋体" w:cs="Times New Roman"/>
                <w:szCs w:val="21"/>
                <w:lang w:val="en-US" w:eastAsia="zh-CN"/>
              </w:rPr>
              <w:t>13.3</w:t>
            </w:r>
            <w:r>
              <w:rPr>
                <w:rFonts w:hint="eastAsia" w:ascii="宋体" w:hAnsi="宋体" w:cs="Times New Roman"/>
                <w:szCs w:val="21"/>
              </w:rPr>
              <w:t>款</w:t>
            </w:r>
          </w:p>
        </w:tc>
        <w:tc>
          <w:tcPr>
            <w:tcW w:w="1742" w:type="dxa"/>
            <w:noWrap w:val="0"/>
            <w:vAlign w:val="center"/>
          </w:tcPr>
          <w:p w14:paraId="62831804">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r>
              <w:rPr>
                <w:rFonts w:hint="eastAsia" w:ascii="宋体" w:hAnsi="宋体" w:cs="Times New Roman"/>
                <w:szCs w:val="21"/>
              </w:rPr>
              <w:t>履约保证金退还时间及</w:t>
            </w:r>
            <w:r>
              <w:rPr>
                <w:rFonts w:hint="eastAsia" w:ascii="宋体" w:hAnsi="宋体" w:cs="Times New Roman"/>
                <w:szCs w:val="21"/>
                <w:lang w:eastAsia="zh-CN"/>
              </w:rPr>
              <w:t>逾期退还的</w:t>
            </w:r>
            <w:r>
              <w:rPr>
                <w:rFonts w:hint="eastAsia" w:ascii="宋体" w:hAnsi="宋体" w:cs="Times New Roman"/>
                <w:szCs w:val="21"/>
              </w:rPr>
              <w:t>违约金</w:t>
            </w:r>
          </w:p>
        </w:tc>
        <w:tc>
          <w:tcPr>
            <w:tcW w:w="5170" w:type="dxa"/>
            <w:noWrap w:val="0"/>
            <w:vAlign w:val="center"/>
          </w:tcPr>
          <w:p w14:paraId="5CAF39D8">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p>
        </w:tc>
      </w:tr>
      <w:tr w14:paraId="3B48AF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noWrap w:val="0"/>
            <w:vAlign w:val="center"/>
          </w:tcPr>
          <w:p w14:paraId="274C315E">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4568C4D8">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rPr>
            </w:pPr>
            <w:r>
              <w:rPr>
                <w:rFonts w:hint="eastAsia" w:ascii="宋体" w:hAnsi="宋体" w:cs="Times New Roman"/>
                <w:szCs w:val="21"/>
              </w:rPr>
              <w:t>第1</w:t>
            </w:r>
            <w:r>
              <w:rPr>
                <w:rFonts w:hint="eastAsia" w:ascii="宋体" w:hAnsi="宋体" w:cs="Times New Roman"/>
                <w:szCs w:val="21"/>
                <w:lang w:val="en-US" w:eastAsia="zh-CN"/>
              </w:rPr>
              <w:t>4</w:t>
            </w:r>
            <w:r>
              <w:rPr>
                <w:rFonts w:hint="eastAsia" w:ascii="宋体" w:hAnsi="宋体" w:cs="Times New Roman"/>
                <w:szCs w:val="21"/>
              </w:rPr>
              <w:t>.1（</w:t>
            </w:r>
            <w:r>
              <w:rPr>
                <w:rFonts w:hint="eastAsia" w:ascii="宋体" w:hAnsi="宋体" w:cs="Times New Roman"/>
                <w:szCs w:val="21"/>
                <w:lang w:val="en-US" w:eastAsia="zh-CN"/>
              </w:rPr>
              <w:t>3</w:t>
            </w:r>
            <w:r>
              <w:rPr>
                <w:rFonts w:hint="eastAsia" w:ascii="宋体" w:hAnsi="宋体" w:cs="Times New Roman"/>
                <w:szCs w:val="21"/>
              </w:rPr>
              <w:t>）项</w:t>
            </w:r>
          </w:p>
        </w:tc>
        <w:tc>
          <w:tcPr>
            <w:tcW w:w="1742" w:type="dxa"/>
            <w:noWrap w:val="0"/>
            <w:vAlign w:val="center"/>
          </w:tcPr>
          <w:p w14:paraId="210F48ED">
            <w:pPr>
              <w:keepNext w:val="0"/>
              <w:keepLines w:val="0"/>
              <w:suppressLineNumbers w:val="0"/>
              <w:adjustRightInd w:val="0"/>
              <w:snapToGrid w:val="0"/>
              <w:spacing w:before="0" w:beforeAutospacing="0" w:after="0" w:afterAutospacing="0"/>
              <w:ind w:left="0" w:right="0"/>
              <w:jc w:val="left"/>
              <w:rPr>
                <w:rFonts w:hint="eastAsia" w:ascii="宋体" w:hAnsi="宋体" w:cs="Times New Roman"/>
                <w:szCs w:val="21"/>
                <w:lang w:val="en-US" w:eastAsia="zh-CN"/>
              </w:rPr>
            </w:pPr>
            <w:r>
              <w:rPr>
                <w:rFonts w:hint="eastAsia" w:ascii="宋体" w:hAnsi="宋体" w:cs="Times New Roman"/>
                <w:szCs w:val="21"/>
                <w:lang w:val="en-US" w:eastAsia="zh-CN"/>
              </w:rPr>
              <w:t>运行监督、维修期限</w:t>
            </w:r>
          </w:p>
        </w:tc>
        <w:tc>
          <w:tcPr>
            <w:tcW w:w="5170" w:type="dxa"/>
            <w:noWrap w:val="0"/>
            <w:vAlign w:val="center"/>
          </w:tcPr>
          <w:p w14:paraId="5E020F64">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p>
        </w:tc>
      </w:tr>
      <w:tr w14:paraId="27E9BB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noWrap w:val="0"/>
            <w:vAlign w:val="center"/>
          </w:tcPr>
          <w:p w14:paraId="446D2F90">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1D9004DA">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rPr>
            </w:pPr>
            <w:r>
              <w:rPr>
                <w:rFonts w:hint="eastAsia" w:ascii="宋体" w:hAnsi="宋体" w:cs="Times New Roman"/>
                <w:szCs w:val="21"/>
              </w:rPr>
              <w:t>第1</w:t>
            </w:r>
            <w:r>
              <w:rPr>
                <w:rFonts w:hint="eastAsia" w:ascii="宋体" w:hAnsi="宋体" w:cs="Times New Roman"/>
                <w:szCs w:val="21"/>
                <w:lang w:val="en-US" w:eastAsia="zh-CN"/>
              </w:rPr>
              <w:t>4</w:t>
            </w:r>
            <w:r>
              <w:rPr>
                <w:rFonts w:hint="eastAsia" w:ascii="宋体" w:hAnsi="宋体" w:cs="Times New Roman"/>
                <w:szCs w:val="21"/>
              </w:rPr>
              <w:t>.1（</w:t>
            </w:r>
            <w:r>
              <w:rPr>
                <w:rFonts w:hint="eastAsia" w:ascii="宋体" w:hAnsi="宋体" w:cs="Times New Roman"/>
                <w:szCs w:val="21"/>
                <w:lang w:val="en-US" w:eastAsia="zh-CN"/>
              </w:rPr>
              <w:t>5</w:t>
            </w:r>
            <w:r>
              <w:rPr>
                <w:rFonts w:hint="eastAsia" w:ascii="宋体" w:hAnsi="宋体" w:cs="Times New Roman"/>
                <w:szCs w:val="21"/>
              </w:rPr>
              <w:t>）项</w:t>
            </w:r>
          </w:p>
        </w:tc>
        <w:tc>
          <w:tcPr>
            <w:tcW w:w="1742" w:type="dxa"/>
            <w:noWrap w:val="0"/>
            <w:vAlign w:val="center"/>
          </w:tcPr>
          <w:p w14:paraId="6E940714">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szCs w:val="21"/>
                <w:lang w:val="en-US" w:eastAsia="zh-CN"/>
              </w:rPr>
            </w:pPr>
            <w:r>
              <w:rPr>
                <w:rFonts w:hint="eastAsia" w:ascii="宋体" w:hAnsi="宋体" w:cs="Times New Roman"/>
                <w:szCs w:val="21"/>
                <w:lang w:val="en-US" w:eastAsia="zh-CN"/>
              </w:rPr>
              <w:t>货物回收的约定</w:t>
            </w:r>
          </w:p>
        </w:tc>
        <w:tc>
          <w:tcPr>
            <w:tcW w:w="5170" w:type="dxa"/>
            <w:noWrap w:val="0"/>
            <w:vAlign w:val="center"/>
          </w:tcPr>
          <w:p w14:paraId="6C54A105">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p>
        </w:tc>
      </w:tr>
      <w:tr w14:paraId="74DC20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CEB0AD8">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4E1EFEFE">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第1</w:t>
            </w:r>
            <w:r>
              <w:rPr>
                <w:rFonts w:hint="eastAsia" w:ascii="宋体" w:hAnsi="宋体" w:cs="Times New Roman"/>
                <w:szCs w:val="21"/>
                <w:lang w:val="en-US" w:eastAsia="zh-CN"/>
              </w:rPr>
              <w:t>4</w:t>
            </w:r>
            <w:r>
              <w:rPr>
                <w:rFonts w:hint="eastAsia" w:ascii="宋体" w:hAnsi="宋体" w:cs="Times New Roman"/>
                <w:szCs w:val="21"/>
              </w:rPr>
              <w:t>.1（</w:t>
            </w:r>
            <w:r>
              <w:rPr>
                <w:rFonts w:hint="eastAsia" w:ascii="宋体" w:hAnsi="宋体" w:cs="Times New Roman"/>
                <w:szCs w:val="21"/>
                <w:lang w:val="en-US" w:eastAsia="zh-CN"/>
              </w:rPr>
              <w:t>6</w:t>
            </w:r>
            <w:r>
              <w:rPr>
                <w:rFonts w:hint="eastAsia" w:ascii="宋体" w:hAnsi="宋体" w:cs="Times New Roman"/>
                <w:szCs w:val="21"/>
              </w:rPr>
              <w:t>）项</w:t>
            </w:r>
          </w:p>
        </w:tc>
        <w:tc>
          <w:tcPr>
            <w:tcW w:w="1742" w:type="dxa"/>
            <w:noWrap w:val="0"/>
            <w:vAlign w:val="center"/>
          </w:tcPr>
          <w:p w14:paraId="7C280BDD">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r>
              <w:rPr>
                <w:rFonts w:hint="eastAsia" w:ascii="宋体" w:hAnsi="宋体" w:cs="Times New Roman"/>
                <w:szCs w:val="21"/>
              </w:rPr>
              <w:t>乙方提供的其他服务</w:t>
            </w:r>
          </w:p>
        </w:tc>
        <w:tc>
          <w:tcPr>
            <w:tcW w:w="5170" w:type="dxa"/>
            <w:noWrap w:val="0"/>
            <w:vAlign w:val="center"/>
          </w:tcPr>
          <w:p w14:paraId="3546F9B9">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p>
        </w:tc>
      </w:tr>
      <w:tr w14:paraId="50B0BB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5DE9552">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04A671AD">
            <w:pPr>
              <w:keepNext w:val="0"/>
              <w:keepLines w:val="0"/>
              <w:suppressLineNumbers w:val="0"/>
              <w:adjustRightInd w:val="0"/>
              <w:snapToGrid w:val="0"/>
              <w:spacing w:before="0" w:beforeAutospacing="0" w:after="0" w:afterAutospacing="0"/>
              <w:ind w:left="0" w:right="0"/>
              <w:jc w:val="center"/>
              <w:rPr>
                <w:rFonts w:hint="default" w:ascii="宋体" w:hAnsi="宋体" w:eastAsia="宋体" w:cs="Times New Roman"/>
                <w:szCs w:val="21"/>
                <w:lang w:val="en-US" w:eastAsia="zh-CN"/>
              </w:rPr>
            </w:pPr>
            <w:r>
              <w:rPr>
                <w:rFonts w:hint="eastAsia" w:ascii="宋体" w:hAnsi="宋体" w:cs="Times New Roman"/>
                <w:szCs w:val="21"/>
              </w:rPr>
              <w:t>第1</w:t>
            </w:r>
            <w:r>
              <w:rPr>
                <w:rFonts w:hint="eastAsia" w:ascii="宋体" w:hAnsi="宋体" w:cs="Times New Roman"/>
                <w:szCs w:val="21"/>
                <w:lang w:val="en-US" w:eastAsia="zh-CN"/>
              </w:rPr>
              <w:t>5</w:t>
            </w:r>
            <w:r>
              <w:rPr>
                <w:rFonts w:hint="eastAsia" w:ascii="宋体" w:hAnsi="宋体" w:cs="Times New Roman"/>
                <w:szCs w:val="21"/>
              </w:rPr>
              <w:t>.</w:t>
            </w:r>
            <w:r>
              <w:rPr>
                <w:rFonts w:hint="eastAsia" w:ascii="宋体" w:hAnsi="宋体" w:cs="Times New Roman"/>
                <w:szCs w:val="21"/>
                <w:lang w:val="en-US" w:eastAsia="zh-CN"/>
              </w:rPr>
              <w:t>1款</w:t>
            </w:r>
          </w:p>
        </w:tc>
        <w:tc>
          <w:tcPr>
            <w:tcW w:w="1742" w:type="dxa"/>
            <w:noWrap w:val="0"/>
            <w:vAlign w:val="center"/>
          </w:tcPr>
          <w:p w14:paraId="481B2DAA">
            <w:pPr>
              <w:keepNext w:val="0"/>
              <w:keepLines w:val="0"/>
              <w:suppressLineNumbers w:val="0"/>
              <w:adjustRightInd w:val="0"/>
              <w:snapToGrid w:val="0"/>
              <w:spacing w:before="0" w:beforeAutospacing="0" w:after="0" w:afterAutospacing="0"/>
              <w:ind w:left="0" w:right="0"/>
              <w:jc w:val="left"/>
              <w:rPr>
                <w:rFonts w:hint="eastAsia" w:ascii="宋体" w:hAnsi="宋体" w:cs="Times New Roman"/>
                <w:szCs w:val="21"/>
              </w:rPr>
            </w:pPr>
            <w:r>
              <w:rPr>
                <w:rFonts w:hint="eastAsia" w:ascii="宋体" w:hAnsi="宋体" w:cs="Times New Roman"/>
                <w:color w:val="auto"/>
                <w:szCs w:val="21"/>
                <w:highlight w:val="none"/>
                <w:lang w:eastAsia="zh-CN"/>
              </w:rPr>
              <w:t>修理、重作、更换相关具体规定</w:t>
            </w:r>
          </w:p>
        </w:tc>
        <w:tc>
          <w:tcPr>
            <w:tcW w:w="5170" w:type="dxa"/>
            <w:noWrap w:val="0"/>
            <w:vAlign w:val="center"/>
          </w:tcPr>
          <w:p w14:paraId="40863055">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p>
        </w:tc>
      </w:tr>
      <w:tr w14:paraId="1B5327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7498ABE7">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78B23AEB">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第1</w:t>
            </w:r>
            <w:r>
              <w:rPr>
                <w:rFonts w:hint="eastAsia" w:ascii="宋体" w:hAnsi="宋体" w:cs="Times New Roman"/>
                <w:szCs w:val="21"/>
                <w:lang w:val="en-US" w:eastAsia="zh-CN"/>
              </w:rPr>
              <w:t>5</w:t>
            </w:r>
            <w:r>
              <w:rPr>
                <w:rFonts w:hint="eastAsia" w:ascii="宋体" w:hAnsi="宋体" w:cs="Times New Roman"/>
                <w:szCs w:val="21"/>
              </w:rPr>
              <w:t>.2（2）项</w:t>
            </w:r>
          </w:p>
        </w:tc>
        <w:tc>
          <w:tcPr>
            <w:tcW w:w="1742" w:type="dxa"/>
            <w:noWrap w:val="0"/>
            <w:vAlign w:val="center"/>
          </w:tcPr>
          <w:p w14:paraId="57062788">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r>
              <w:rPr>
                <w:rFonts w:hint="eastAsia" w:ascii="宋体" w:hAnsi="宋体" w:cs="Times New Roman"/>
                <w:szCs w:val="21"/>
              </w:rPr>
              <w:t>迟延交货赔偿费</w:t>
            </w:r>
          </w:p>
        </w:tc>
        <w:tc>
          <w:tcPr>
            <w:tcW w:w="5170" w:type="dxa"/>
            <w:noWrap w:val="0"/>
            <w:vAlign w:val="center"/>
          </w:tcPr>
          <w:p w14:paraId="2C1A0FDF">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u w:val="single"/>
              </w:rPr>
            </w:pPr>
          </w:p>
        </w:tc>
      </w:tr>
      <w:tr w14:paraId="6A7D8BB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6C39431">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4744B1C0">
            <w:pPr>
              <w:keepNext w:val="0"/>
              <w:keepLines w:val="0"/>
              <w:suppressLineNumbers w:val="0"/>
              <w:adjustRightInd w:val="0"/>
              <w:snapToGrid w:val="0"/>
              <w:spacing w:before="0" w:beforeAutospacing="0" w:after="0" w:afterAutospacing="0"/>
              <w:ind w:left="0" w:right="0"/>
              <w:jc w:val="center"/>
              <w:rPr>
                <w:rFonts w:hint="eastAsia" w:ascii="宋体" w:hAnsi="宋体" w:cs="Times New Roman"/>
                <w:szCs w:val="21"/>
              </w:rPr>
            </w:pPr>
            <w:r>
              <w:rPr>
                <w:rFonts w:hint="eastAsia" w:ascii="宋体" w:hAnsi="宋体" w:cs="Times New Roman"/>
                <w:szCs w:val="21"/>
              </w:rPr>
              <w:t>第1</w:t>
            </w:r>
            <w:r>
              <w:rPr>
                <w:rFonts w:hint="eastAsia" w:ascii="宋体" w:hAnsi="宋体" w:cs="Times New Roman"/>
                <w:szCs w:val="21"/>
                <w:lang w:val="en-US" w:eastAsia="zh-CN"/>
              </w:rPr>
              <w:t>5</w:t>
            </w:r>
            <w:r>
              <w:rPr>
                <w:rFonts w:hint="eastAsia" w:ascii="宋体" w:hAnsi="宋体" w:cs="Times New Roman"/>
                <w:szCs w:val="21"/>
              </w:rPr>
              <w:t>.</w:t>
            </w:r>
            <w:r>
              <w:rPr>
                <w:rFonts w:hint="eastAsia" w:ascii="宋体" w:hAnsi="宋体" w:cs="Times New Roman"/>
                <w:szCs w:val="21"/>
                <w:lang w:val="en-US" w:eastAsia="zh-CN"/>
              </w:rPr>
              <w:t>3款</w:t>
            </w:r>
          </w:p>
        </w:tc>
        <w:tc>
          <w:tcPr>
            <w:tcW w:w="1742" w:type="dxa"/>
            <w:noWrap w:val="0"/>
            <w:vAlign w:val="center"/>
          </w:tcPr>
          <w:p w14:paraId="47438EDC">
            <w:pPr>
              <w:keepNext w:val="0"/>
              <w:keepLines w:val="0"/>
              <w:suppressLineNumbers w:val="0"/>
              <w:adjustRightInd w:val="0"/>
              <w:snapToGrid w:val="0"/>
              <w:spacing w:before="0" w:beforeAutospacing="0" w:after="0" w:afterAutospacing="0"/>
              <w:ind w:left="0" w:right="0"/>
              <w:jc w:val="left"/>
              <w:rPr>
                <w:rFonts w:hint="eastAsia" w:ascii="宋体" w:hAnsi="宋体" w:cs="Times New Roman"/>
                <w:szCs w:val="21"/>
              </w:rPr>
            </w:pPr>
            <w:r>
              <w:rPr>
                <w:rFonts w:hint="eastAsia" w:ascii="宋体" w:hAnsi="宋体" w:cs="Times New Roman"/>
                <w:szCs w:val="21"/>
              </w:rPr>
              <w:t>逾期付款利息</w:t>
            </w:r>
          </w:p>
        </w:tc>
        <w:tc>
          <w:tcPr>
            <w:tcW w:w="5170" w:type="dxa"/>
            <w:noWrap w:val="0"/>
            <w:vAlign w:val="center"/>
          </w:tcPr>
          <w:p w14:paraId="7C0591E9">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u w:val="single"/>
              </w:rPr>
            </w:pPr>
          </w:p>
        </w:tc>
      </w:tr>
      <w:tr w14:paraId="7A81C85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noWrap w:val="0"/>
            <w:vAlign w:val="center"/>
          </w:tcPr>
          <w:p w14:paraId="073168EB">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7072C485">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第1</w:t>
            </w:r>
            <w:r>
              <w:rPr>
                <w:rFonts w:hint="eastAsia" w:ascii="宋体" w:hAnsi="宋体" w:cs="Times New Roman"/>
                <w:szCs w:val="21"/>
                <w:lang w:val="en-US" w:eastAsia="zh-CN"/>
              </w:rPr>
              <w:t>5</w:t>
            </w:r>
            <w:r>
              <w:rPr>
                <w:rFonts w:hint="eastAsia" w:ascii="宋体" w:hAnsi="宋体" w:cs="Times New Roman"/>
                <w:szCs w:val="21"/>
              </w:rPr>
              <w:t>.4</w:t>
            </w:r>
            <w:r>
              <w:rPr>
                <w:rFonts w:hint="eastAsia" w:ascii="宋体" w:hAnsi="宋体" w:cs="Times New Roman"/>
                <w:szCs w:val="21"/>
                <w:lang w:val="en-US" w:eastAsia="zh-CN"/>
              </w:rPr>
              <w:t>款</w:t>
            </w:r>
          </w:p>
        </w:tc>
        <w:tc>
          <w:tcPr>
            <w:tcW w:w="1742" w:type="dxa"/>
            <w:tcBorders>
              <w:left w:val="single" w:color="auto" w:sz="2" w:space="0"/>
              <w:bottom w:val="single" w:color="auto" w:sz="2" w:space="0"/>
              <w:right w:val="single" w:color="auto" w:sz="2" w:space="0"/>
            </w:tcBorders>
            <w:noWrap w:val="0"/>
            <w:vAlign w:val="center"/>
          </w:tcPr>
          <w:p w14:paraId="097EFCEA">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r>
              <w:rPr>
                <w:rFonts w:hint="eastAsia" w:ascii="宋体" w:hAnsi="宋体" w:cs="Times New Roman"/>
                <w:szCs w:val="21"/>
              </w:rPr>
              <w:t>其他违约责任</w:t>
            </w:r>
          </w:p>
        </w:tc>
        <w:tc>
          <w:tcPr>
            <w:tcW w:w="5170" w:type="dxa"/>
            <w:tcBorders>
              <w:left w:val="single" w:color="auto" w:sz="2" w:space="0"/>
              <w:bottom w:val="single" w:color="auto" w:sz="2" w:space="0"/>
            </w:tcBorders>
            <w:noWrap w:val="0"/>
            <w:vAlign w:val="center"/>
          </w:tcPr>
          <w:p w14:paraId="1FBC202F">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u w:val="single"/>
              </w:rPr>
            </w:pPr>
          </w:p>
        </w:tc>
      </w:tr>
      <w:tr w14:paraId="0E1E53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noWrap w:val="0"/>
            <w:vAlign w:val="center"/>
          </w:tcPr>
          <w:p w14:paraId="39432ED4">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3F4F85B1">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w:t>
            </w:r>
            <w:r>
              <w:rPr>
                <w:rFonts w:hint="eastAsia" w:ascii="宋体" w:hAnsi="宋体" w:cs="Times New Roman"/>
                <w:szCs w:val="21"/>
                <w:lang w:val="en-US" w:eastAsia="zh-CN"/>
              </w:rPr>
              <w:t>19</w:t>
            </w:r>
            <w:r>
              <w:rPr>
                <w:rFonts w:hint="eastAsia" w:ascii="宋体" w:hAnsi="宋体" w:cs="Times New Roman"/>
                <w:szCs w:val="21"/>
              </w:rPr>
              <w:t>.2</w:t>
            </w:r>
            <w:r>
              <w:rPr>
                <w:rFonts w:hint="eastAsia" w:ascii="宋体" w:hAnsi="宋体" w:cs="Times New Roman"/>
                <w:szCs w:val="21"/>
                <w:lang w:val="en-US" w:eastAsia="zh-CN"/>
              </w:rPr>
              <w:t>款</w:t>
            </w:r>
          </w:p>
        </w:tc>
        <w:tc>
          <w:tcPr>
            <w:tcW w:w="1742" w:type="dxa"/>
            <w:tcBorders>
              <w:top w:val="single" w:color="auto" w:sz="2" w:space="0"/>
              <w:left w:val="single" w:color="auto" w:sz="2" w:space="0"/>
              <w:right w:val="single" w:color="auto" w:sz="2" w:space="0"/>
            </w:tcBorders>
            <w:noWrap w:val="0"/>
            <w:vAlign w:val="center"/>
          </w:tcPr>
          <w:p w14:paraId="10330F8F">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r>
              <w:rPr>
                <w:rFonts w:hint="eastAsia" w:ascii="宋体" w:hAnsi="宋体" w:cs="Times New Roman"/>
                <w:szCs w:val="21"/>
                <w:lang w:val="en-US" w:eastAsia="zh-CN"/>
              </w:rPr>
              <w:t>解决争议的方法</w:t>
            </w:r>
          </w:p>
        </w:tc>
        <w:tc>
          <w:tcPr>
            <w:tcW w:w="5170" w:type="dxa"/>
            <w:tcBorders>
              <w:top w:val="single" w:color="auto" w:sz="2" w:space="0"/>
              <w:left w:val="single" w:color="auto" w:sz="2" w:space="0"/>
            </w:tcBorders>
            <w:noWrap w:val="0"/>
            <w:vAlign w:val="center"/>
          </w:tcPr>
          <w:p w14:paraId="5A680959">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0B6C64CB">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24D4497C">
            <w:pPr>
              <w:keepNext w:val="0"/>
              <w:keepLines w:val="0"/>
              <w:suppressLineNumbers w:val="0"/>
              <w:adjustRightInd w:val="0"/>
              <w:snapToGrid w:val="0"/>
              <w:spacing w:before="0" w:beforeAutospacing="0" w:after="0" w:afterAutospacing="0"/>
              <w:ind w:left="0" w:right="0" w:firstLine="0" w:firstLineChars="0"/>
              <w:jc w:val="left"/>
              <w:rPr>
                <w:rFonts w:hint="default" w:ascii="宋体" w:hAnsi="宋体" w:cs="Times New Roman"/>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4D5921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noWrap w:val="0"/>
            <w:vAlign w:val="center"/>
          </w:tcPr>
          <w:p w14:paraId="25186207">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第二节</w:t>
            </w:r>
          </w:p>
          <w:p w14:paraId="6B713548">
            <w:pPr>
              <w:keepNext w:val="0"/>
              <w:keepLines w:val="0"/>
              <w:suppressLineNumbers w:val="0"/>
              <w:adjustRightInd w:val="0"/>
              <w:snapToGrid w:val="0"/>
              <w:spacing w:before="0" w:beforeAutospacing="0" w:after="0" w:afterAutospacing="0"/>
              <w:ind w:left="0" w:right="0"/>
              <w:jc w:val="center"/>
              <w:rPr>
                <w:rFonts w:hint="default" w:ascii="宋体" w:hAnsi="宋体" w:cs="Times New Roman"/>
                <w:szCs w:val="21"/>
              </w:rPr>
            </w:pPr>
            <w:r>
              <w:rPr>
                <w:rFonts w:hint="eastAsia" w:ascii="宋体" w:hAnsi="宋体" w:cs="Times New Roman"/>
                <w:szCs w:val="21"/>
              </w:rPr>
              <w:t>第2</w:t>
            </w:r>
            <w:r>
              <w:rPr>
                <w:rFonts w:hint="eastAsia" w:ascii="宋体" w:hAnsi="宋体" w:cs="Times New Roman"/>
                <w:szCs w:val="21"/>
                <w:lang w:val="en-US" w:eastAsia="zh-CN"/>
              </w:rPr>
              <w:t>3.1</w:t>
            </w:r>
            <w:r>
              <w:rPr>
                <w:rFonts w:hint="eastAsia" w:ascii="宋体" w:hAnsi="宋体" w:cs="Times New Roman"/>
                <w:szCs w:val="21"/>
                <w:lang w:eastAsia="zh-CN"/>
              </w:rPr>
              <w:t>款</w:t>
            </w:r>
          </w:p>
        </w:tc>
        <w:tc>
          <w:tcPr>
            <w:tcW w:w="1742" w:type="dxa"/>
            <w:noWrap w:val="0"/>
            <w:vAlign w:val="center"/>
          </w:tcPr>
          <w:p w14:paraId="0FA0AB65">
            <w:pPr>
              <w:keepNext w:val="0"/>
              <w:keepLines w:val="0"/>
              <w:suppressLineNumbers w:val="0"/>
              <w:adjustRightInd w:val="0"/>
              <w:snapToGrid w:val="0"/>
              <w:spacing w:before="0" w:beforeAutospacing="0" w:after="0" w:afterAutospacing="0"/>
              <w:ind w:left="0" w:right="0"/>
              <w:jc w:val="left"/>
              <w:rPr>
                <w:rFonts w:hint="default" w:ascii="宋体" w:hAnsi="宋体" w:cs="Times New Roman"/>
                <w:szCs w:val="21"/>
              </w:rPr>
            </w:pPr>
            <w:r>
              <w:rPr>
                <w:rFonts w:hint="eastAsia" w:ascii="宋体" w:hAnsi="宋体" w:cs="Times New Roman"/>
                <w:bCs/>
                <w:color w:val="auto"/>
                <w:szCs w:val="21"/>
                <w:highlight w:val="none"/>
                <w:lang w:eastAsia="zh-CN"/>
              </w:rPr>
              <w:t>其他专用条款</w:t>
            </w:r>
          </w:p>
        </w:tc>
        <w:tc>
          <w:tcPr>
            <w:tcW w:w="5170" w:type="dxa"/>
            <w:noWrap w:val="0"/>
            <w:vAlign w:val="center"/>
          </w:tcPr>
          <w:p w14:paraId="29D792EC">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szCs w:val="21"/>
                <w:lang w:val="en-US" w:eastAsia="zh-CN"/>
              </w:rPr>
            </w:pPr>
          </w:p>
        </w:tc>
      </w:tr>
    </w:tbl>
    <w:p w14:paraId="5AD25B28">
      <w:pPr>
        <w:rPr>
          <w:rFonts w:hint="eastAsia" w:ascii="仿宋" w:hAnsi="仿宋" w:eastAsia="仿宋" w:cs="仿宋"/>
          <w:color w:val="auto"/>
          <w:highlight w:val="none"/>
        </w:rPr>
      </w:pPr>
    </w:p>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0ACBF03F-91DA-46F0-BF8E-E58A7DC8C7F6}"/>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2" w:fontKey="{FEC6F148-4CBA-4A9B-8DB8-56DCC859E72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embedRegular r:id="rId3" w:fontKey="{6D937482-DA22-492D-BDBB-8206E8F3EEF2}"/>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embedRegular r:id="rId4" w:fontKey="{0EB28DC0-2F1A-435A-A6C6-DA29465196F8}"/>
  </w:font>
  <w:font w:name="Noto Sans Mono CJK JP Regular">
    <w:altName w:val="方正公文仿宋"/>
    <w:panose1 w:val="00000000000000000000"/>
    <w:charset w:val="00"/>
    <w:family w:val="auto"/>
    <w:pitch w:val="default"/>
    <w:sig w:usb0="00000000" w:usb1="00000000" w:usb2="00000000" w:usb3="00000000" w:csb0="00040001" w:csb1="00000000"/>
  </w:font>
  <w:font w:name="方正公文小标宋">
    <w:altName w:val="宋体"/>
    <w:panose1 w:val="02000500000000000000"/>
    <w:charset w:val="86"/>
    <w:family w:val="auto"/>
    <w:pitch w:val="default"/>
    <w:sig w:usb0="00000000" w:usb1="00000000" w:usb2="00000016" w:usb3="00000000" w:csb0="00040001" w:csb1="00000000"/>
  </w:font>
  <w:font w:name="Tahoma">
    <w:panose1 w:val="020B0604030504040204"/>
    <w:charset w:val="00"/>
    <w:family w:val="auto"/>
    <w:pitch w:val="default"/>
    <w:sig w:usb0="E1002EFF" w:usb1="C000605B" w:usb2="00000029" w:usb3="00000000" w:csb0="200101FF" w:csb1="20280000"/>
  </w:font>
  <w:font w:name="华文楷体">
    <w:panose1 w:val="02010600040101010101"/>
    <w:charset w:val="86"/>
    <w:family w:val="auto"/>
    <w:pitch w:val="default"/>
    <w:sig w:usb0="00000287" w:usb1="080F0000" w:usb2="00000000" w:usb3="00000000" w:csb0="0004009F" w:csb1="DFD70000"/>
    <w:embedRegular r:id="rId5" w:fontKey="{023D08D2-AE07-486A-B7AB-4EC8EED362F8}"/>
  </w:font>
  <w:font w:name="楷体">
    <w:panose1 w:val="02010609060101010101"/>
    <w:charset w:val="86"/>
    <w:family w:val="modern"/>
    <w:pitch w:val="default"/>
    <w:sig w:usb0="800002BF" w:usb1="38CF7CFA" w:usb2="00000016" w:usb3="00000000" w:csb0="00040001" w:csb1="00000000"/>
    <w:embedRegular r:id="rId6" w:fontKey="{856045E4-7C14-42DB-B082-22BF1C9D271F}"/>
  </w:font>
  <w:font w:name="方正仿宋_GB2312">
    <w:panose1 w:val="02000000000000000000"/>
    <w:charset w:val="86"/>
    <w:family w:val="auto"/>
    <w:pitch w:val="default"/>
    <w:sig w:usb0="A00002BF" w:usb1="184F6CFA" w:usb2="00000012" w:usb3="00000000" w:csb0="00040001" w:csb1="00000000"/>
    <w:embedRegular r:id="rId7" w:fontKey="{3E2717A5-5D26-45B9-BB2C-61CD3707372C}"/>
  </w:font>
  <w:font w:name="华文中宋">
    <w:panose1 w:val="02010600040101010101"/>
    <w:charset w:val="86"/>
    <w:family w:val="auto"/>
    <w:pitch w:val="default"/>
    <w:sig w:usb0="00000287" w:usb1="080F0000" w:usb2="00000000" w:usb3="00000000" w:csb0="0004009F" w:csb1="DFD70000"/>
    <w:embedRegular r:id="rId8" w:fontKey="{EEF83A57-D347-4CD4-90A3-E2676A462A48}"/>
  </w:font>
  <w:font w:name="汉仪书宋二S">
    <w:altName w:val="宋体"/>
    <w:panose1 w:val="00000000000000000000"/>
    <w:charset w:val="00"/>
    <w:family w:val="auto"/>
    <w:pitch w:val="default"/>
    <w:sig w:usb0="00000000" w:usb1="00000000" w:usb2="00000000" w:usb3="00000000" w:csb0="00040001" w:csb1="00000000"/>
    <w:embedRegular r:id="rId9" w:fontKey="{3FECDEF3-AB74-426B-BA5F-E03AAF581843}"/>
  </w:font>
  <w:font w:name="方正公文仿宋">
    <w:panose1 w:val="02000500000000000000"/>
    <w:charset w:val="86"/>
    <w:family w:val="auto"/>
    <w:pitch w:val="default"/>
    <w:sig w:usb0="A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2FA708">
    <w:pPr>
      <w:tabs>
        <w:tab w:val="center" w:pos="4153"/>
        <w:tab w:val="right" w:pos="8306"/>
      </w:tabs>
      <w:ind w:right="360" w:firstLine="360"/>
      <w:jc w:val="right"/>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47C9D">
    <w:pPr>
      <w:tabs>
        <w:tab w:val="center" w:pos="4153"/>
        <w:tab w:val="right" w:pos="8306"/>
      </w:tabs>
      <w:ind w:right="360" w:firstLine="360"/>
      <w:jc w:val="right"/>
      <w:rPr>
        <w:rFonts w:hint="eastAsia"/>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3961FA">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B3961FA">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5C364">
    <w:pPr>
      <w:tabs>
        <w:tab w:val="center" w:pos="4153"/>
        <w:tab w:val="right" w:pos="8306"/>
      </w:tabs>
      <w:ind w:right="360"/>
      <w:jc w:val="both"/>
      <w:rPr>
        <w:rFonts w:hint="eastAsia"/>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DB1CA95">
                          <w:pPr>
                            <w:pStyle w:val="22"/>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107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kqT2OEBAADBAwAADgAAAGRycy9lMm9Eb2MueG1srVPNjtMwEL4j8Q6W&#10;7zRpJaCqmq6AahESAqSFB3Adp7HkP3mmTcoDwBtw4sKd5+pz7NhJurB72cNekvHM+Jv5vhmvr3pr&#10;2FFF0N5VfD4rOVNO+lq7fcW/fb1+seQMULhaGO9UxU8K+NXm+bN1F1Zq4VtvahUZgThYdaHiLWJY&#10;FQXIVlkBMx+Uo2DjoxVIx7gv6ig6QremWJTlq6LzsQ7RSwVA3u0Q5CNifAygbxot1dbLg1UOB9So&#10;jECiBK0OwDe526ZREj83DShkpuLEFPOXipC9S99isxarfRSh1XJsQTymhXucrNCOil6gtgIFO0T9&#10;AMpqGT34BmfS22IgkhUhFvPynjY3rQgqcyGpIVxEh6eDlZ+OXyLTdcUXnDlhaeDnXz/Pv/+e//xg&#10;8/L1y6RQF2BFiTeBUrF/63vam8kP5EzE+yba9CdKjOKk7+mir+qRyXRpuVguSwpJik0Hwi/urocI&#10;+F55y5JR8UgDzLqK40fAIXVKSdWcv9bG5CEa95+DMJOnSL0PPSYL+10/Etr5+kR86CVQndbH75x1&#10;tAcVd7T2nJkPjmROKzMZcTJ2kyGcpIsVR84G8x0Oq3UIUe/bvGypKQhvDkidZgKpjaH22B1NNksw&#10;bmFanX/POevu5W1u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6pebnPAAAABQEAAA8AAAAAAAAA&#10;AQAgAAAAIgAAAGRycy9kb3ducmV2LnhtbFBLAQIUABQAAAAIAIdO4kAySpPY4QEAAMEDAAAOAAAA&#10;AAAAAAEAIAAAAB4BAABkcnMvZTJvRG9jLnhtbFBLBQYAAAAABgAGAFkBAABxBQAAAAA=&#10;">
              <v:fill on="f" focussize="0,0"/>
              <v:stroke on="f"/>
              <v:imagedata o:title=""/>
              <o:lock v:ext="edit" aspectratio="f"/>
              <v:textbox inset="0mm,0mm,0mm,0mm" style="mso-fit-shape-to-text:t;">
                <w:txbxContent>
                  <w:p w14:paraId="6DB1CA95">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A5A2B">
    <w:pPr>
      <w:tabs>
        <w:tab w:val="center" w:pos="4153"/>
        <w:tab w:val="right" w:pos="8306"/>
      </w:tabs>
      <w:ind w:right="360"/>
      <w:jc w:val="both"/>
      <w:rPr>
        <w:rFonts w:hint="eastAsia"/>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A0B270C">
                          <w:pPr>
                            <w:pStyle w:val="22"/>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107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bBEYOEBAADBAwAADgAAAGRycy9lMm9Eb2MueG1srVPNjtMwEL4j8Q6W&#10;7zRpkZaqaroCqkVICJAWHsB1nMaS/zTjNikPAG/AiQt3nqvPwdhJuuzuZQ9ckvHM+Jv5vhmvr3tr&#10;2FEBau8qPp+VnCknfa3dvuJfv9y8WHKGUbhaGO9UxU8K+fXm+bN1F1Zq4VtvagWMQByuulDxNsaw&#10;KgqUrbICZz4oR8HGgxWRjrAvahAdoVtTLMryqug81AG8VIjk3Q5BPiLCUwB902iptl4erHJxQAVl&#10;RCRK2OqAfJO7bRol46emQRWZqTgxjflLRcjepW+xWYvVHkRotRxbEE9p4QEnK7SjoheorYiCHUA/&#10;grJagkffxJn0thiIZEWIxbx8oM1tK4LKXEhqDBfR8f/Byo/Hz8B0XfGXnDlhaeDnnz/Ov/6cf39n&#10;8/LVVVKoC7iixNtAqbF/43vam8mP5EzE+wZs+hMlRnHS93TRV/WRyXRpuVguSwpJik0Hwi/urgfA&#10;+E55y5JRcaABZl3F8QPGIXVKSdWcv9HG5CEad89BmMlTpN6HHpMV+10/Etr5+kR86CVQndbDN846&#10;2oOKO1p7zsx7RzKnlZkMmIzdZAgn6WLFI2eD+TYOq3UIoPdtXrbUFIbXh0idZgKpjaH22B1NNksw&#10;bmFanX/POevu5W3+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6pebnPAAAABQEAAA8AAAAAAAAA&#10;AQAgAAAAIgAAAGRycy9kb3ducmV2LnhtbFBLAQIUABQAAAAIAIdO4kD1sERg4QEAAMEDAAAOAAAA&#10;AAAAAAEAIAAAAB4BAABkcnMvZTJvRG9jLnhtbFBLBQYAAAAABgAGAFkBAABxBQAAAAA=&#10;">
              <v:fill on="f" focussize="0,0"/>
              <v:stroke on="f"/>
              <v:imagedata o:title=""/>
              <o:lock v:ext="edit" aspectratio="f"/>
              <v:textbox inset="0mm,0mm,0mm,0mm" style="mso-fit-shape-to-text:t;">
                <w:txbxContent>
                  <w:p w14:paraId="4A0B270C">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3E6CDE">
    <w:pPr>
      <w:pStyle w:val="22"/>
      <w:ind w:right="360" w:firstLine="360"/>
      <w:jc w:val="right"/>
      <w:rPr>
        <w:rFonts w:hint="eastAsi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0283149">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25</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80"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OWeksoBAACcAwAADgAAAGRycy9lMm9Eb2MueG1srVNLbtswEN0XyB0I&#10;7mPJXgSCYDloYaQoULQF0h6ApkiLAH/g0JZ8geYGWXXTfc/lc3RISXabbrLohhrODN/MezNa3w9G&#10;k6MIoJxt6HJRUiIsd62y+4Z++/pwW1ECkdmWaWdFQ08C6P3m5s2697VYuc7pVgSCIBbq3je0i9HX&#10;RQG8E4bBwnlhMShdMCziNeyLNrAe0Y0uVmV5V/QutD44LgDQux2DdEIMrwF0Uiouto4fjLBxRA1C&#10;s4iUoFMe6CZ3K6Xg8bOUICLRDUWmMZ9YBO1dOovNmtX7wHyn+NQCe00LLzgZpiwWvUBtWWTkENQ/&#10;UEbx4MDJuODOFCORrAiyWJYvtHnsmBeZC0oN/iI6/D9Y/un4JRDVNvSOEssMDvz8/HT+8ev88ztZ&#10;llVWqPdQY+Kjx9Q4vHMD7k1SLvkBnYn4IINJX6REMI76ni76iiESnh5Vq6oqMcQxNl8Qp7g+9wHi&#10;e+EMSUZDAw4w68qOHyGOqXNKqmbdg9I6D1HbvxyImTzFtcdkxWE3TI3vXHtCPj3OvqEWV50S/cGi&#10;tGlNZiPMxm42Dj6ofZf3KNUD//YQsYncW6owwk6FcWiZ3bRgaSv+vOes60+1+Q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AOWeksoBAACcAwAADgAAAAAAAAABACAAAAAeAQAAZHJzL2Uyb0Rv&#10;Yy54bWxQSwUGAAAAAAYABgBZAQAAWgUAAAAA&#10;">
              <v:fill on="f" focussize="0,0"/>
              <v:stroke on="f"/>
              <v:imagedata o:title=""/>
              <o:lock v:ext="edit" aspectratio="f"/>
              <v:textbox inset="0mm,0mm,0mm,0mm" style="mso-fit-shape-to-text:t;">
                <w:txbxContent>
                  <w:p w14:paraId="30283149">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25</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3288F">
    <w:pPr>
      <w:pStyle w:val="22"/>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5FA30D3">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33</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82"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SfwCcsBAACcAwAADgAAAGRycy9lMm9Eb2MueG1srVNLbtswEN0XyB0I&#10;7mPKXrSCYDlIYKQIELQF0h6ApiiLAH/g0JZ8gfYGXXXTfc/lc3RISU6bbrLohhrODN/MezNa3wxG&#10;k6MMoJyt6XJRUCKtcI2y+5p++Xx/XVICkduGa2dlTU8S6M3m6s2695Vcuc7pRgaCIBaq3te0i9FX&#10;jIHopOGwcF5aDLYuGB7xGvasCbxHdKPZqijest6FxgcnJAB6t2OQTojhNYCubZWQWycORto4ogap&#10;eURK0CkPdJO7bVsp4se2BRmJrikyjfnEImjv0sk2a17tA/edElML/DUtvOBkuLJY9AK15ZGTQ1D/&#10;QBklggPXxoVwho1EsiLIYlm80Oap415mLig1+Ivo8P9gxYfjp0BUU9N3lFhucODn79/OP36df34l&#10;y6JcJYV6DxUmPnlMjcOdG3BvZj+gMxEf2mDSFykRjKO+p4u+cohEpEflqiwLDAmMzRfEZ8/PfYD4&#10;XjpDklHTgAPMuvLjI8QxdU5J1ay7V1rnIWr7lwMxk4el3scekxWH3TAR2rnmhHx6nH1NLa46JfrB&#10;orRpTWYjzMZuNg4+qH2X9yjVA397iNhE7i1VGGGnwji0zG5asLQVf95z1vNPtfk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Mkn8AnLAQAAnAMAAA4AAAAAAAAAAQAgAAAAHgEAAGRycy9lMm9E&#10;b2MueG1sUEsFBgAAAAAGAAYAWQEAAFsFAAAAAA==&#10;">
              <v:fill on="f" focussize="0,0"/>
              <v:stroke on="f"/>
              <v:imagedata o:title=""/>
              <o:lock v:ext="edit" aspectratio="f"/>
              <v:textbox inset="0mm,0mm,0mm,0mm" style="mso-fit-shape-to-text:t;">
                <w:txbxContent>
                  <w:p w14:paraId="65FA30D3">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33</w:t>
                    </w:r>
                    <w:r>
                      <w:rPr>
                        <w:rFonts w:hint="eastAsia"/>
                        <w:lang w:eastAsia="zh-CN"/>
                      </w:rPr>
                      <w:fldChar w:fldCharType="end"/>
                    </w:r>
                  </w:p>
                </w:txbxContent>
              </v:textbox>
            </v:shape>
          </w:pict>
        </mc:Fallback>
      </mc:AlternateContent>
    </w:r>
  </w:p>
  <w:p w14:paraId="27F5E563">
    <w:pPr>
      <w:pStyle w:val="22"/>
      <w:ind w:right="360"/>
      <w:jc w:val="right"/>
      <w:rPr>
        <w:rFonts w:hint="eastAsia"/>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B5541">
    <w:pPr>
      <w:tabs>
        <w:tab w:val="center" w:pos="4153"/>
        <w:tab w:val="right" w:pos="8306"/>
      </w:tabs>
      <w:jc w:val="cente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D3E48DD">
                          <w:pPr>
                            <w:pStyle w:val="22"/>
                          </w:pPr>
                          <w:r>
                            <w:fldChar w:fldCharType="begin"/>
                          </w:r>
                          <w:r>
                            <w:instrText xml:space="preserve"> PAGE  \* MERGEFORMAT </w:instrText>
                          </w:r>
                          <w:r>
                            <w:fldChar w:fldCharType="separate"/>
                          </w:r>
                          <w:r>
                            <w:t>29</w:t>
                          </w:r>
                          <w:r>
                            <w:fldChar w:fldCharType="end"/>
                          </w:r>
                        </w:p>
                      </w:txbxContent>
                    </wps:txbx>
                    <wps:bodyPr vert="horz" wrap="none" lIns="0" tIns="0" rIns="0" bIns="0" anchor="t" anchorCtr="0" upright="0">
                      <a:spAutoFit/>
                    </wps:bodyPr>
                  </wps:wsp>
                </a:graphicData>
              </a:graphic>
            </wp:anchor>
          </w:drawing>
        </mc:Choice>
        <mc:Fallback>
          <w:pict>
            <v:shape id="文本框 107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PsPaeEBAADBAwAADgAAAGRycy9lMm9Eb2MueG1srVPBjtMwEL0j8Q+W&#10;7zRphdiqaroCqkVICJAWPsB1nMaS7bE8bpPyAfAHnLhw57v6HYydpMvuXvbAJRnPjN/MezNeX/fW&#10;sKMKqMFVfD4rOVNOQq3dvuJfv9y8WHKGUbhaGHCq4ieF/Hrz/Nm68yu1gBZMrQIjEIerzle8jdGv&#10;igJlq6zAGXjlKNhAsCLSMeyLOoiO0K0pFmX5qugg1D6AVIjk3Q5BPiKGpwBC02iptiAPVrk4oAZl&#10;RCRK2GqPfJO7bRol46emQRWZqTgxjflLRcjepW+xWYvVPgjfajm2IJ7SwgNOVmhHRS9QWxEFOwT9&#10;CMpqGQChiTMJthiIZEWIxbx8oM1tK7zKXEhq9BfR8f/Byo/Hz4HpuuIvOXPC0sDPP3+cf/05//7O&#10;5uXVVVKo87iixFtPqbF/Az3tzeRHcibifRNs+hMlRnHS93TRV/WRyXRpuVguSwpJik0Hwi/urvuA&#10;8Z0Cy5JR8UADzLqK4weMQ+qUkqo5uNHG5CEad89BmMlTpN6HHpMV+10/EtpBfSI+9BKoTgvhG2cd&#10;7UHFHa09Z+a9I5nTykxGmIzdZAgn6WLFI2eD+TYOq3XwQe/bvGypKfSvD5E6zQRSG0PtsTuabJZg&#10;3MK0Ov+ec9bdy9v8B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6pebnPAAAABQEAAA8AAAAAAAAA&#10;AQAgAAAAIgAAAGRycy9kb3ducmV2LnhtbFBLAQIUABQAAAAIAIdO4kBk+w9p4QEAAMEDAAAOAAAA&#10;AAAAAAEAIAAAAB4BAABkcnMvZTJvRG9jLnhtbFBLBQYAAAAABgAGAFkBAABxBQAAAAA=&#10;">
              <v:fill on="f" focussize="0,0"/>
              <v:stroke on="f"/>
              <v:imagedata o:title=""/>
              <o:lock v:ext="edit" aspectratio="f"/>
              <v:textbox inset="0mm,0mm,0mm,0mm" style="mso-fit-shape-to-text:t;">
                <w:txbxContent>
                  <w:p w14:paraId="0D3E48DD">
                    <w:pPr>
                      <w:pStyle w:val="22"/>
                    </w:pPr>
                    <w:r>
                      <w:fldChar w:fldCharType="begin"/>
                    </w:r>
                    <w:r>
                      <w:instrText xml:space="preserve"> PAGE  \* MERGEFORMAT </w:instrText>
                    </w:r>
                    <w:r>
                      <w:fldChar w:fldCharType="separate"/>
                    </w:r>
                    <w:r>
                      <w:t>29</w:t>
                    </w:r>
                    <w:r>
                      <w:fldChar w:fldCharType="end"/>
                    </w:r>
                  </w:p>
                </w:txbxContent>
              </v:textbox>
            </v:shape>
          </w:pict>
        </mc:Fallback>
      </mc:AlternateContent>
    </w:r>
  </w:p>
  <w:p w14:paraId="617C06E1">
    <w:pPr>
      <w:tabs>
        <w:tab w:val="center" w:pos="4153"/>
        <w:tab w:val="right" w:pos="8306"/>
      </w:tabs>
      <w:ind w:right="360"/>
      <w:jc w:val="right"/>
      <w:rPr>
        <w:rFonts w:hint="eastAsi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F57F83">
    <w:pPr>
      <w:pStyle w:val="12"/>
      <w:spacing w:line="14" w:lineRule="auto"/>
      <w:rPr>
        <w:sz w:val="12"/>
      </w:rPr>
    </w:pPr>
    <w:r>
      <w:rPr>
        <w:sz w:val="12"/>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C62FAE6">
                          <w:pPr>
                            <w:pStyle w:val="22"/>
                          </w:pPr>
                          <w:r>
                            <w:fldChar w:fldCharType="begin"/>
                          </w:r>
                          <w:r>
                            <w:instrText xml:space="preserve"> PAGE  \* MERGEFORMAT </w:instrText>
                          </w:r>
                          <w:r>
                            <w:fldChar w:fldCharType="separate"/>
                          </w:r>
                          <w:r>
                            <w:t>63</w:t>
                          </w:r>
                          <w:r>
                            <w:fldChar w:fldCharType="end"/>
                          </w:r>
                        </w:p>
                      </w:txbxContent>
                    </wps:txbx>
                    <wps:bodyPr vert="horz" wrap="none" lIns="0" tIns="0" rIns="0" bIns="0" anchor="t" anchorCtr="0" upright="0">
                      <a:spAutoFit/>
                    </wps:bodyPr>
                  </wps:wsp>
                </a:graphicData>
              </a:graphic>
            </wp:anchor>
          </w:drawing>
        </mc:Choice>
        <mc:Fallback>
          <w:pict>
            <v:shape id="文本框 1079"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uVEh+EBAADBAwAADgAAAGRycy9lMm9Eb2MueG1srVPBjtMwEL0j8Q+W&#10;7zRpJaBETVdAtQgJAdLCB7iO01iyPZY9bVI+AP6AExfufFe/g7HTdNndyx64JOOZ8Zt5b8arq8Ea&#10;dlAhanA1n89KzpST0Gi3q/nXL9fPlpxFFK4RBpyq+VFFfrV++mTV+0otoAPTqMAIxMWq9zXvEH1V&#10;FFF2yoo4A68cBVsIViAdw65ogugJ3ZpiUZYvih5C4wNIFSN5N2OQnxHDYwChbbVUG5B7qxyOqEEZ&#10;gUQpdtpHvs7dtq2S+Klto0Jmak5MMX+pCNnb9C3WK1HtgvCdlucWxGNauMfJCu2o6AVqI1CwfdAP&#10;oKyWASK0OJNgi5FIVoRYzMt72tx0wqvMhaSO/iJ6/H+w8uPhc2C6qflzzpywNPDTzx+nX39Ov7+z&#10;efnyVVKo97GixBtPqTi8gYH2ZvJHcibiQxts+hMlRnHS93jRVw3IZLq0XCyXJYUkxaYD4Re3132I&#10;+E6BZcmoeaABZl3F4UPEMXVKSdUcXGtj8hCNu+MgzOQpUu9jj8nCYTucCW2hORIfeglUp4PwjbOe&#10;9qDmjtaeM/PekcxpZSYjTMZ2MoSTdLHmyNlovsVxtfY+6F2Xly01Ff3rPVKnmUBqY6x97o4mmyU4&#10;b2FanX/POev25a3/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6pebnPAAAABQEAAA8AAAAAAAAA&#10;AQAgAAAAIgAAAGRycy9kb3ducmV2LnhtbFBLAQIUABQAAAAIAIdO4kCe5USH4QEAAMEDAAAOAAAA&#10;AAAAAAEAIAAAAB4BAABkcnMvZTJvRG9jLnhtbFBLBQYAAAAABgAGAFkBAABxBQAAAAA=&#10;">
              <v:fill on="f" focussize="0,0"/>
              <v:stroke on="f"/>
              <v:imagedata o:title=""/>
              <o:lock v:ext="edit" aspectratio="f"/>
              <v:textbox inset="0mm,0mm,0mm,0mm" style="mso-fit-shape-to-text:t;">
                <w:txbxContent>
                  <w:p w14:paraId="3C62FAE6">
                    <w:pPr>
                      <w:pStyle w:val="22"/>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07E0FD">
    <w:pPr>
      <w:pStyle w:val="22"/>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9FF3E8">
                          <w:pPr>
                            <w:pStyle w:val="22"/>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69FF3E8">
                    <w:pPr>
                      <w:pStyle w:val="22"/>
                    </w:pPr>
                    <w:r>
                      <w:fldChar w:fldCharType="begin"/>
                    </w:r>
                    <w:r>
                      <w:instrText xml:space="preserve"> PAGE  \* MERGEFORMAT </w:instrText>
                    </w:r>
                    <w:r>
                      <w:fldChar w:fldCharType="separate"/>
                    </w:r>
                    <w:r>
                      <w:t>37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982DB4">
    <w:pPr>
      <w:pStyle w:val="2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4404D">
    <w:pPr>
      <w:pStyle w:val="23"/>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A01230">
    <w:pPr>
      <w:pStyle w:val="23"/>
      <w:pBdr>
        <w:bottom w:val="none" w:color="auto" w:sz="0" w:space="0"/>
      </w:pBdr>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7A2FC">
    <w:pPr>
      <w:pStyle w:val="2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5E304E"/>
    <w:multiLevelType w:val="singleLevel"/>
    <w:tmpl w:val="885E304E"/>
    <w:lvl w:ilvl="0" w:tentative="0">
      <w:start w:val="6"/>
      <w:numFmt w:val="chineseCounting"/>
      <w:suff w:val="nothing"/>
      <w:lvlText w:val="%1、"/>
      <w:lvlJc w:val="left"/>
      <w:rPr>
        <w:rFonts w:hint="eastAsia"/>
      </w:r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4F06988"/>
    <w:multiLevelType w:val="multilevel"/>
    <w:tmpl w:val="D4F06988"/>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F3EC9784"/>
    <w:multiLevelType w:val="singleLevel"/>
    <w:tmpl w:val="F3EC9784"/>
    <w:lvl w:ilvl="0" w:tentative="0">
      <w:start w:val="1"/>
      <w:numFmt w:val="decimal"/>
      <w:suff w:val="nothing"/>
      <w:lvlText w:val="%1、"/>
      <w:lvlJc w:val="left"/>
    </w:lvl>
  </w:abstractNum>
  <w:abstractNum w:abstractNumId="8">
    <w:nsid w:val="FFEFC674"/>
    <w:multiLevelType w:val="singleLevel"/>
    <w:tmpl w:val="FFEFC674"/>
    <w:lvl w:ilvl="0" w:tentative="0">
      <w:start w:val="1"/>
      <w:numFmt w:val="decimal"/>
      <w:suff w:val="nothing"/>
      <w:lvlText w:val="（%1）"/>
      <w:lvlJc w:val="left"/>
    </w:lvl>
  </w:abstractNum>
  <w:abstractNum w:abstractNumId="9">
    <w:nsid w:val="051423B4"/>
    <w:multiLevelType w:val="singleLevel"/>
    <w:tmpl w:val="051423B4"/>
    <w:lvl w:ilvl="0" w:tentative="0">
      <w:start w:val="8"/>
      <w:numFmt w:val="decimal"/>
      <w:suff w:val="nothing"/>
      <w:lvlText w:val="%1）"/>
      <w:lvlJc w:val="left"/>
    </w:lvl>
  </w:abstractNum>
  <w:abstractNum w:abstractNumId="10">
    <w:nsid w:val="0C02CDE8"/>
    <w:multiLevelType w:val="singleLevel"/>
    <w:tmpl w:val="0C02CDE8"/>
    <w:lvl w:ilvl="0" w:tentative="0">
      <w:start w:val="1"/>
      <w:numFmt w:val="chineseCounting"/>
      <w:suff w:val="nothing"/>
      <w:lvlText w:val="（%1）"/>
      <w:lvlJc w:val="left"/>
      <w:rPr>
        <w:rFonts w:hint="eastAsia"/>
      </w:rPr>
    </w:lvl>
  </w:abstractNum>
  <w:abstractNum w:abstractNumId="11">
    <w:nsid w:val="155E6A8F"/>
    <w:multiLevelType w:val="multilevel"/>
    <w:tmpl w:val="155E6A8F"/>
    <w:lvl w:ilvl="0" w:tentative="0">
      <w:start w:val="1"/>
      <w:numFmt w:val="decimal"/>
      <w:lvlText w:val="（%1）"/>
      <w:lvlJc w:val="left"/>
      <w:pPr>
        <w:tabs>
          <w:tab w:val="left" w:pos="1571"/>
        </w:tabs>
        <w:ind w:left="1571" w:hanging="720"/>
      </w:pPr>
      <w:rPr>
        <w:rFonts w:ascii="仿宋_GB2312" w:hAnsi="宋体" w:eastAsia="仿宋_GB2312" w:cs="Times New Roman"/>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12">
    <w:nsid w:val="1E987334"/>
    <w:multiLevelType w:val="singleLevel"/>
    <w:tmpl w:val="1E987334"/>
    <w:lvl w:ilvl="0" w:tentative="0">
      <w:start w:val="1"/>
      <w:numFmt w:val="decimal"/>
      <w:suff w:val="nothing"/>
      <w:lvlText w:val="%1、"/>
      <w:lvlJc w:val="left"/>
    </w:lvl>
  </w:abstractNum>
  <w:abstractNum w:abstractNumId="13">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4">
    <w:nsid w:val="362600FE"/>
    <w:multiLevelType w:val="multilevel"/>
    <w:tmpl w:val="362600FE"/>
    <w:lvl w:ilvl="0" w:tentative="0">
      <w:start w:val="1"/>
      <w:numFmt w:val="decimal"/>
      <w:lvlText w:val="（%1）"/>
      <w:lvlJc w:val="left"/>
      <w:pPr>
        <w:ind w:left="1653" w:hanging="601"/>
      </w:pPr>
      <w:rPr>
        <w:rFonts w:hint="default" w:ascii="宋体" w:hAnsi="宋体" w:eastAsia="宋体" w:cs="宋体"/>
        <w:w w:val="100"/>
        <w:sz w:val="22"/>
        <w:szCs w:val="22"/>
      </w:rPr>
    </w:lvl>
    <w:lvl w:ilvl="1" w:tentative="0">
      <w:start w:val="0"/>
      <w:numFmt w:val="bullet"/>
      <w:lvlText w:val="•"/>
      <w:lvlJc w:val="left"/>
      <w:pPr>
        <w:ind w:left="2566" w:hanging="601"/>
      </w:pPr>
      <w:rPr>
        <w:rFonts w:hint="default"/>
      </w:rPr>
    </w:lvl>
    <w:lvl w:ilvl="2" w:tentative="0">
      <w:start w:val="0"/>
      <w:numFmt w:val="bullet"/>
      <w:lvlText w:val="•"/>
      <w:lvlJc w:val="left"/>
      <w:pPr>
        <w:ind w:left="3473" w:hanging="601"/>
      </w:pPr>
      <w:rPr>
        <w:rFonts w:hint="default"/>
      </w:rPr>
    </w:lvl>
    <w:lvl w:ilvl="3" w:tentative="0">
      <w:start w:val="0"/>
      <w:numFmt w:val="bullet"/>
      <w:lvlText w:val="•"/>
      <w:lvlJc w:val="left"/>
      <w:pPr>
        <w:ind w:left="4380" w:hanging="601"/>
      </w:pPr>
      <w:rPr>
        <w:rFonts w:hint="default"/>
      </w:rPr>
    </w:lvl>
    <w:lvl w:ilvl="4" w:tentative="0">
      <w:start w:val="0"/>
      <w:numFmt w:val="bullet"/>
      <w:lvlText w:val="•"/>
      <w:lvlJc w:val="left"/>
      <w:pPr>
        <w:ind w:left="5286" w:hanging="601"/>
      </w:pPr>
      <w:rPr>
        <w:rFonts w:hint="default"/>
      </w:rPr>
    </w:lvl>
    <w:lvl w:ilvl="5" w:tentative="0">
      <w:start w:val="0"/>
      <w:numFmt w:val="bullet"/>
      <w:lvlText w:val="•"/>
      <w:lvlJc w:val="left"/>
      <w:pPr>
        <w:ind w:left="6193" w:hanging="601"/>
      </w:pPr>
      <w:rPr>
        <w:rFonts w:hint="default"/>
      </w:rPr>
    </w:lvl>
    <w:lvl w:ilvl="6" w:tentative="0">
      <w:start w:val="0"/>
      <w:numFmt w:val="bullet"/>
      <w:lvlText w:val="•"/>
      <w:lvlJc w:val="left"/>
      <w:pPr>
        <w:ind w:left="7100" w:hanging="601"/>
      </w:pPr>
      <w:rPr>
        <w:rFonts w:hint="default"/>
      </w:rPr>
    </w:lvl>
    <w:lvl w:ilvl="7" w:tentative="0">
      <w:start w:val="0"/>
      <w:numFmt w:val="bullet"/>
      <w:lvlText w:val="•"/>
      <w:lvlJc w:val="left"/>
      <w:pPr>
        <w:ind w:left="8006" w:hanging="601"/>
      </w:pPr>
      <w:rPr>
        <w:rFonts w:hint="default"/>
      </w:rPr>
    </w:lvl>
    <w:lvl w:ilvl="8" w:tentative="0">
      <w:start w:val="0"/>
      <w:numFmt w:val="bullet"/>
      <w:lvlText w:val="•"/>
      <w:lvlJc w:val="left"/>
      <w:pPr>
        <w:ind w:left="8913" w:hanging="601"/>
      </w:pPr>
      <w:rPr>
        <w:rFonts w:hint="default"/>
      </w:rPr>
    </w:lvl>
  </w:abstractNum>
  <w:abstractNum w:abstractNumId="15">
    <w:nsid w:val="43874994"/>
    <w:multiLevelType w:val="multilevel"/>
    <w:tmpl w:val="43874994"/>
    <w:lvl w:ilvl="0" w:tentative="0">
      <w:start w:val="1"/>
      <w:numFmt w:val="decimal"/>
      <w:lvlText w:val="%1."/>
      <w:lvlJc w:val="left"/>
      <w:pPr>
        <w:ind w:left="460" w:hanging="360"/>
      </w:pPr>
      <w:rPr>
        <w:rFonts w:hint="default" w:ascii="宋体" w:hAnsi="宋体" w:eastAsia="宋体" w:cs="宋体"/>
        <w:w w:val="100"/>
        <w:sz w:val="24"/>
        <w:szCs w:val="24"/>
      </w:rPr>
    </w:lvl>
    <w:lvl w:ilvl="1" w:tentative="0">
      <w:start w:val="1"/>
      <w:numFmt w:val="decimal"/>
      <w:lvlText w:val="%2."/>
      <w:lvlJc w:val="left"/>
      <w:pPr>
        <w:ind w:left="1296" w:hanging="244"/>
      </w:pPr>
      <w:rPr>
        <w:rFonts w:hint="default" w:ascii="宋体" w:hAnsi="宋体" w:eastAsia="宋体" w:cs="宋体"/>
        <w:b/>
        <w:bCs/>
        <w:spacing w:val="0"/>
        <w:w w:val="99"/>
        <w:sz w:val="22"/>
        <w:szCs w:val="22"/>
      </w:rPr>
    </w:lvl>
    <w:lvl w:ilvl="2" w:tentative="0">
      <w:start w:val="1"/>
      <w:numFmt w:val="decimal"/>
      <w:lvlText w:val="%2.%3"/>
      <w:lvlJc w:val="left"/>
      <w:pPr>
        <w:ind w:left="1561" w:hanging="423"/>
      </w:pPr>
      <w:rPr>
        <w:rFonts w:hint="default" w:ascii="宋体" w:hAnsi="宋体" w:eastAsia="宋体" w:cs="宋体"/>
        <w:w w:val="100"/>
        <w:sz w:val="24"/>
        <w:szCs w:val="24"/>
      </w:rPr>
    </w:lvl>
    <w:lvl w:ilvl="3" w:tentative="0">
      <w:start w:val="1"/>
      <w:numFmt w:val="decimal"/>
      <w:lvlText w:val="%2.%3.%4"/>
      <w:lvlJc w:val="left"/>
      <w:pPr>
        <w:ind w:left="2111" w:hanging="641"/>
      </w:pPr>
      <w:rPr>
        <w:rFonts w:hint="default" w:ascii="宋体" w:hAnsi="宋体" w:eastAsia="宋体" w:cs="宋体"/>
        <w:w w:val="100"/>
        <w:sz w:val="24"/>
        <w:szCs w:val="24"/>
      </w:rPr>
    </w:lvl>
    <w:lvl w:ilvl="4" w:tentative="0">
      <w:start w:val="0"/>
      <w:numFmt w:val="bullet"/>
      <w:lvlText w:val="•"/>
      <w:lvlJc w:val="left"/>
      <w:pPr>
        <w:ind w:left="1820" w:hanging="641"/>
      </w:pPr>
      <w:rPr>
        <w:rFonts w:hint="default"/>
      </w:rPr>
    </w:lvl>
    <w:lvl w:ilvl="5" w:tentative="0">
      <w:start w:val="0"/>
      <w:numFmt w:val="bullet"/>
      <w:lvlText w:val="•"/>
      <w:lvlJc w:val="left"/>
      <w:pPr>
        <w:ind w:left="3094" w:hanging="641"/>
      </w:pPr>
      <w:rPr>
        <w:rFonts w:hint="default"/>
      </w:rPr>
    </w:lvl>
    <w:lvl w:ilvl="6" w:tentative="0">
      <w:start w:val="0"/>
      <w:numFmt w:val="bullet"/>
      <w:lvlText w:val="•"/>
      <w:lvlJc w:val="left"/>
      <w:pPr>
        <w:ind w:left="4369" w:hanging="641"/>
      </w:pPr>
      <w:rPr>
        <w:rFonts w:hint="default"/>
      </w:rPr>
    </w:lvl>
    <w:lvl w:ilvl="7" w:tentative="0">
      <w:start w:val="0"/>
      <w:numFmt w:val="bullet"/>
      <w:lvlText w:val="•"/>
      <w:lvlJc w:val="left"/>
      <w:pPr>
        <w:ind w:left="5643" w:hanging="641"/>
      </w:pPr>
      <w:rPr>
        <w:rFonts w:hint="default"/>
      </w:rPr>
    </w:lvl>
    <w:lvl w:ilvl="8" w:tentative="0">
      <w:start w:val="0"/>
      <w:numFmt w:val="bullet"/>
      <w:lvlText w:val="•"/>
      <w:lvlJc w:val="left"/>
      <w:pPr>
        <w:ind w:left="6918" w:hanging="641"/>
      </w:pPr>
      <w:rPr>
        <w:rFonts w:hint="default"/>
      </w:rPr>
    </w:lvl>
  </w:abstractNum>
  <w:abstractNum w:abstractNumId="16">
    <w:nsid w:val="479B5BBA"/>
    <w:multiLevelType w:val="multilevel"/>
    <w:tmpl w:val="479B5BBA"/>
    <w:lvl w:ilvl="0" w:tentative="0">
      <w:start w:val="1"/>
      <w:numFmt w:val="chineseCountingThousand"/>
      <w:suff w:val="space"/>
      <w:lvlText w:val="第 %1 章"/>
      <w:lvlJc w:val="left"/>
      <w:pPr>
        <w:ind w:left="4543" w:hanging="431"/>
      </w:pPr>
      <w:rPr>
        <w:rFonts w:hint="default" w:ascii="Times New Roman" w:hAnsi="Times New Roman" w:eastAsia="黑体"/>
        <w:b w:val="0"/>
        <w:i w:val="0"/>
        <w:sz w:val="44"/>
      </w:rPr>
    </w:lvl>
    <w:lvl w:ilvl="1" w:tentative="0">
      <w:start w:val="1"/>
      <w:numFmt w:val="decimal"/>
      <w:isLgl/>
      <w:suff w:val="space"/>
      <w:lvlText w:val="%1.%2"/>
      <w:lvlJc w:val="left"/>
      <w:pPr>
        <w:ind w:left="4112" w:hanging="567"/>
      </w:pPr>
      <w:rPr>
        <w:rFonts w:hint="eastAsia" w:ascii="Arial" w:hAnsi="Arial" w:eastAsia="黑体" w:cs="Times New Roman"/>
        <w:b w:val="0"/>
        <w:bCs w:val="0"/>
        <w:i w:val="0"/>
        <w:iCs w:val="0"/>
        <w:caps w:val="0"/>
        <w:smallCaps w:val="0"/>
        <w:strike w:val="0"/>
        <w:dstrike w:val="0"/>
        <w:vanish w:val="0"/>
        <w:color w:val="auto"/>
        <w:spacing w:val="0"/>
        <w:w w:val="100"/>
        <w:kern w:val="2"/>
        <w:position w:val="0"/>
        <w:sz w:val="36"/>
        <w:u w:val="none"/>
        <w:shd w:val="clear" w:color="auto" w:fill="auto"/>
        <w:vertAlign w:val="baseline"/>
      </w:rPr>
    </w:lvl>
    <w:lvl w:ilvl="2" w:tentative="0">
      <w:start w:val="1"/>
      <w:numFmt w:val="decimal"/>
      <w:isLgl/>
      <w:suff w:val="space"/>
      <w:lvlText w:val="%1.%2.%3"/>
      <w:lvlJc w:val="left"/>
      <w:pPr>
        <w:ind w:left="4690" w:hanging="720"/>
      </w:pPr>
      <w:rPr>
        <w:rFonts w:hint="eastAsia" w:ascii="Times New Roman" w:hAnsi="Times New Roman" w:cs="Times New Roman"/>
        <w:b w:val="0"/>
        <w:bCs w:val="0"/>
        <w:i w:val="0"/>
        <w:iCs w:val="0"/>
        <w:caps w:val="0"/>
        <w:smallCaps w:val="0"/>
        <w:strike w:val="0"/>
        <w:dstrike w:val="0"/>
        <w:vanish w:val="0"/>
        <w:color w:val="000000"/>
        <w:spacing w:val="0"/>
        <w:position w:val="0"/>
        <w:u w:val="none"/>
        <w:vertAlign w:val="baseline"/>
      </w:rPr>
    </w:lvl>
    <w:lvl w:ilvl="3" w:tentative="0">
      <w:start w:val="1"/>
      <w:numFmt w:val="decimal"/>
      <w:pStyle w:val="2"/>
      <w:isLgl/>
      <w:suff w:val="space"/>
      <w:lvlText w:val="%1.%2.%3.%4"/>
      <w:lvlJc w:val="left"/>
      <w:pPr>
        <w:ind w:left="2424" w:hanging="864"/>
      </w:pPr>
      <w:rPr>
        <w:rFonts w:hint="default" w:ascii="Arial" w:hAnsi="Arial" w:eastAsia="黑体"/>
        <w:b w:val="0"/>
        <w:i w:val="0"/>
        <w:sz w:val="30"/>
      </w:rPr>
    </w:lvl>
    <w:lvl w:ilvl="4" w:tentative="0">
      <w:start w:val="1"/>
      <w:numFmt w:val="decimal"/>
      <w:pStyle w:val="6"/>
      <w:isLgl/>
      <w:suff w:val="space"/>
      <w:lvlText w:val="%1.%2.%3.%4.%5"/>
      <w:lvlJc w:val="left"/>
      <w:pPr>
        <w:ind w:left="1848" w:hanging="1008"/>
      </w:pPr>
      <w:rPr>
        <w:rFonts w:hint="default" w:ascii="Arial" w:hAnsi="Arial" w:eastAsia="黑体"/>
        <w:b w:val="0"/>
        <w:i w:val="0"/>
        <w:sz w:val="28"/>
      </w:rPr>
    </w:lvl>
    <w:lvl w:ilvl="5" w:tentative="0">
      <w:start w:val="1"/>
      <w:numFmt w:val="decimal"/>
      <w:pStyle w:val="7"/>
      <w:lvlText w:val="%1.%2.%3.%4.%5.%6"/>
      <w:lvlJc w:val="left"/>
      <w:pPr>
        <w:tabs>
          <w:tab w:val="left" w:pos="1992"/>
        </w:tabs>
        <w:ind w:left="1992" w:hanging="1152"/>
      </w:pPr>
      <w:rPr>
        <w:rFonts w:hint="eastAsia"/>
      </w:rPr>
    </w:lvl>
    <w:lvl w:ilvl="6" w:tentative="0">
      <w:start w:val="1"/>
      <w:numFmt w:val="decimal"/>
      <w:lvlText w:val="%1.%2.%3.%4.%5.%6.%7"/>
      <w:lvlJc w:val="left"/>
      <w:pPr>
        <w:tabs>
          <w:tab w:val="left" w:pos="2136"/>
        </w:tabs>
        <w:ind w:left="2136" w:hanging="1296"/>
      </w:pPr>
      <w:rPr>
        <w:rFonts w:hint="eastAsia"/>
      </w:rPr>
    </w:lvl>
    <w:lvl w:ilvl="7" w:tentative="0">
      <w:start w:val="1"/>
      <w:numFmt w:val="decimal"/>
      <w:lvlText w:val="%1.%2.%3.%4.%5.%6.%7.%8"/>
      <w:lvlJc w:val="left"/>
      <w:pPr>
        <w:tabs>
          <w:tab w:val="left" w:pos="2280"/>
        </w:tabs>
        <w:ind w:left="2280" w:hanging="1440"/>
      </w:pPr>
      <w:rPr>
        <w:rFonts w:hint="eastAsia"/>
      </w:rPr>
    </w:lvl>
    <w:lvl w:ilvl="8" w:tentative="0">
      <w:start w:val="1"/>
      <w:numFmt w:val="decimal"/>
      <w:lvlText w:val="%1.%2.%3.%4.%5.%6.%7.%8.%9"/>
      <w:lvlJc w:val="left"/>
      <w:pPr>
        <w:tabs>
          <w:tab w:val="left" w:pos="2424"/>
        </w:tabs>
        <w:ind w:left="2424" w:hanging="1584"/>
      </w:pPr>
      <w:rPr>
        <w:rFonts w:hint="eastAsia"/>
      </w:rPr>
    </w:lvl>
  </w:abstractNum>
  <w:abstractNum w:abstractNumId="17">
    <w:nsid w:val="4B6A1982"/>
    <w:multiLevelType w:val="singleLevel"/>
    <w:tmpl w:val="4B6A1982"/>
    <w:lvl w:ilvl="0" w:tentative="0">
      <w:start w:val="2"/>
      <w:numFmt w:val="decimal"/>
      <w:lvlText w:val="%1."/>
      <w:lvlJc w:val="left"/>
      <w:pPr>
        <w:tabs>
          <w:tab w:val="left" w:pos="312"/>
        </w:tabs>
      </w:pPr>
    </w:lvl>
  </w:abstractNum>
  <w:abstractNum w:abstractNumId="18">
    <w:nsid w:val="61762FFD"/>
    <w:multiLevelType w:val="singleLevel"/>
    <w:tmpl w:val="61762FFD"/>
    <w:lvl w:ilvl="0" w:tentative="0">
      <w:start w:val="1"/>
      <w:numFmt w:val="decimal"/>
      <w:suff w:val="space"/>
      <w:lvlText w:val="%1."/>
      <w:lvlJc w:val="left"/>
    </w:lvl>
  </w:abstractNum>
  <w:abstractNum w:abstractNumId="19">
    <w:nsid w:val="66E4770E"/>
    <w:multiLevelType w:val="multilevel"/>
    <w:tmpl w:val="66E4770E"/>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20">
    <w:nsid w:val="671A2298"/>
    <w:multiLevelType w:val="multilevel"/>
    <w:tmpl w:val="671A2298"/>
    <w:lvl w:ilvl="0" w:tentative="0">
      <w:start w:val="1"/>
      <w:numFmt w:val="decimal"/>
      <w:lvlText w:val="（%1）"/>
      <w:lvlJc w:val="left"/>
      <w:pPr>
        <w:tabs>
          <w:tab w:val="left" w:pos="1200"/>
        </w:tabs>
        <w:ind w:left="1200" w:hanging="720"/>
      </w:pPr>
      <w:rPr>
        <w:rFonts w:hint="eastAsia"/>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1">
    <w:nsid w:val="7A0F6431"/>
    <w:multiLevelType w:val="singleLevel"/>
    <w:tmpl w:val="7A0F6431"/>
    <w:lvl w:ilvl="0" w:tentative="0">
      <w:start w:val="1"/>
      <w:numFmt w:val="decimal"/>
      <w:suff w:val="space"/>
      <w:lvlText w:val="%1."/>
      <w:lvlJc w:val="left"/>
    </w:lvl>
  </w:abstractNum>
  <w:num w:numId="1">
    <w:abstractNumId w:val="16"/>
  </w:num>
  <w:num w:numId="2">
    <w:abstractNumId w:val="13"/>
  </w:num>
  <w:num w:numId="3">
    <w:abstractNumId w:val="19"/>
  </w:num>
  <w:num w:numId="4">
    <w:abstractNumId w:val="3"/>
  </w:num>
  <w:num w:numId="5">
    <w:abstractNumId w:val="11"/>
  </w:num>
  <w:num w:numId="6">
    <w:abstractNumId w:val="10"/>
  </w:num>
  <w:num w:numId="7">
    <w:abstractNumId w:val="17"/>
  </w:num>
  <w:num w:numId="8">
    <w:abstractNumId w:val="18"/>
  </w:num>
  <w:num w:numId="9">
    <w:abstractNumId w:val="9"/>
  </w:num>
  <w:num w:numId="10">
    <w:abstractNumId w:val="0"/>
  </w:num>
  <w:num w:numId="11">
    <w:abstractNumId w:val="15"/>
  </w:num>
  <w:num w:numId="12">
    <w:abstractNumId w:val="20"/>
  </w:num>
  <w:num w:numId="13">
    <w:abstractNumId w:val="14"/>
  </w:num>
  <w:num w:numId="14">
    <w:abstractNumId w:val="7"/>
  </w:num>
  <w:num w:numId="15">
    <w:abstractNumId w:val="12"/>
  </w:num>
  <w:num w:numId="16">
    <w:abstractNumId w:val="21"/>
  </w:num>
  <w:num w:numId="17">
    <w:abstractNumId w:val="2"/>
  </w:num>
  <w:num w:numId="18">
    <w:abstractNumId w:val="8"/>
  </w:num>
  <w:num w:numId="19">
    <w:abstractNumId w:val="5"/>
  </w:num>
  <w:num w:numId="20">
    <w:abstractNumId w:val="4"/>
  </w:num>
  <w:num w:numId="21">
    <w:abstractNumId w:val="1"/>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CTIVE" w:val="03年范本稿123.doc"/>
    <w:docVar w:name="commondata" w:val="eyJoZGlkIjoiOTZmY2EzNmM3YjFjN2YwYTMzOWM5YWEwOThkYzY4YWEifQ=="/>
    <w:docVar w:name="KSO_WPS_MARK_KEY" w:val="5bfc85a4-91fd-4d31-bd6a-481bc70267ca"/>
    <w:docVar w:name="VTCASE" w:val="4"/>
    <w:docVar w:name="VTCommandPending" w:val="NONE"/>
  </w:docVars>
  <w:rsids>
    <w:rsidRoot w:val="00172A27"/>
    <w:rsid w:val="000004CD"/>
    <w:rsid w:val="00001783"/>
    <w:rsid w:val="00001797"/>
    <w:rsid w:val="0000273B"/>
    <w:rsid w:val="000041A8"/>
    <w:rsid w:val="000055D7"/>
    <w:rsid w:val="00013FA6"/>
    <w:rsid w:val="0001529F"/>
    <w:rsid w:val="000157E2"/>
    <w:rsid w:val="0001697A"/>
    <w:rsid w:val="000169E1"/>
    <w:rsid w:val="00020D78"/>
    <w:rsid w:val="00021486"/>
    <w:rsid w:val="00021AE8"/>
    <w:rsid w:val="00022E94"/>
    <w:rsid w:val="000313B5"/>
    <w:rsid w:val="00032B95"/>
    <w:rsid w:val="000333A8"/>
    <w:rsid w:val="000434F9"/>
    <w:rsid w:val="00043533"/>
    <w:rsid w:val="00045D67"/>
    <w:rsid w:val="0004677C"/>
    <w:rsid w:val="000538CC"/>
    <w:rsid w:val="000541C7"/>
    <w:rsid w:val="00054A8E"/>
    <w:rsid w:val="00055A71"/>
    <w:rsid w:val="00056583"/>
    <w:rsid w:val="00056932"/>
    <w:rsid w:val="00057BB2"/>
    <w:rsid w:val="0006019D"/>
    <w:rsid w:val="00060C6A"/>
    <w:rsid w:val="000612B3"/>
    <w:rsid w:val="00061B68"/>
    <w:rsid w:val="00063750"/>
    <w:rsid w:val="00065379"/>
    <w:rsid w:val="000673C5"/>
    <w:rsid w:val="00070907"/>
    <w:rsid w:val="000719AB"/>
    <w:rsid w:val="00073852"/>
    <w:rsid w:val="00076670"/>
    <w:rsid w:val="00080B56"/>
    <w:rsid w:val="00080FC7"/>
    <w:rsid w:val="00081D11"/>
    <w:rsid w:val="00083115"/>
    <w:rsid w:val="0009075B"/>
    <w:rsid w:val="00093645"/>
    <w:rsid w:val="000942B7"/>
    <w:rsid w:val="00096150"/>
    <w:rsid w:val="00096F54"/>
    <w:rsid w:val="000A31C4"/>
    <w:rsid w:val="000A3727"/>
    <w:rsid w:val="000A49C1"/>
    <w:rsid w:val="000A799B"/>
    <w:rsid w:val="000B3242"/>
    <w:rsid w:val="000B3392"/>
    <w:rsid w:val="000B362F"/>
    <w:rsid w:val="000B366A"/>
    <w:rsid w:val="000B6C50"/>
    <w:rsid w:val="000C0FDF"/>
    <w:rsid w:val="000C15AF"/>
    <w:rsid w:val="000C3524"/>
    <w:rsid w:val="000C5071"/>
    <w:rsid w:val="000C55ED"/>
    <w:rsid w:val="000C6F86"/>
    <w:rsid w:val="000D10E4"/>
    <w:rsid w:val="000D1613"/>
    <w:rsid w:val="000D19C1"/>
    <w:rsid w:val="000D4E69"/>
    <w:rsid w:val="000D5125"/>
    <w:rsid w:val="000D7812"/>
    <w:rsid w:val="000E1288"/>
    <w:rsid w:val="000E3784"/>
    <w:rsid w:val="000E37E0"/>
    <w:rsid w:val="000E47A0"/>
    <w:rsid w:val="000E597F"/>
    <w:rsid w:val="000E5BFC"/>
    <w:rsid w:val="000E5D71"/>
    <w:rsid w:val="000E694F"/>
    <w:rsid w:val="000E7158"/>
    <w:rsid w:val="000E74D4"/>
    <w:rsid w:val="000F2D05"/>
    <w:rsid w:val="000F2EEE"/>
    <w:rsid w:val="000F4234"/>
    <w:rsid w:val="000F6215"/>
    <w:rsid w:val="000F63C8"/>
    <w:rsid w:val="000F6581"/>
    <w:rsid w:val="00102417"/>
    <w:rsid w:val="001032CC"/>
    <w:rsid w:val="00105B0B"/>
    <w:rsid w:val="0011024E"/>
    <w:rsid w:val="00112163"/>
    <w:rsid w:val="00114579"/>
    <w:rsid w:val="00115BF1"/>
    <w:rsid w:val="0012032C"/>
    <w:rsid w:val="0012244B"/>
    <w:rsid w:val="001224B5"/>
    <w:rsid w:val="00122643"/>
    <w:rsid w:val="0012425B"/>
    <w:rsid w:val="001244F8"/>
    <w:rsid w:val="001247F0"/>
    <w:rsid w:val="001252D8"/>
    <w:rsid w:val="001257D4"/>
    <w:rsid w:val="00131E0D"/>
    <w:rsid w:val="0013359E"/>
    <w:rsid w:val="00135135"/>
    <w:rsid w:val="00137694"/>
    <w:rsid w:val="00141EAC"/>
    <w:rsid w:val="00143652"/>
    <w:rsid w:val="0014627C"/>
    <w:rsid w:val="0015142E"/>
    <w:rsid w:val="00157C74"/>
    <w:rsid w:val="00157D8E"/>
    <w:rsid w:val="00161678"/>
    <w:rsid w:val="00161D71"/>
    <w:rsid w:val="00162805"/>
    <w:rsid w:val="00165014"/>
    <w:rsid w:val="001669D4"/>
    <w:rsid w:val="0017180F"/>
    <w:rsid w:val="001733C3"/>
    <w:rsid w:val="00173BFF"/>
    <w:rsid w:val="00174749"/>
    <w:rsid w:val="00174FCA"/>
    <w:rsid w:val="00175AFB"/>
    <w:rsid w:val="00176F12"/>
    <w:rsid w:val="001770BE"/>
    <w:rsid w:val="00177A3E"/>
    <w:rsid w:val="00183E4B"/>
    <w:rsid w:val="00186BF0"/>
    <w:rsid w:val="00187B13"/>
    <w:rsid w:val="00187EB4"/>
    <w:rsid w:val="0019618B"/>
    <w:rsid w:val="00196FA0"/>
    <w:rsid w:val="001A3B44"/>
    <w:rsid w:val="001A4571"/>
    <w:rsid w:val="001A5EEB"/>
    <w:rsid w:val="001A62A5"/>
    <w:rsid w:val="001B4216"/>
    <w:rsid w:val="001B49A4"/>
    <w:rsid w:val="001B521B"/>
    <w:rsid w:val="001B5CC8"/>
    <w:rsid w:val="001B6587"/>
    <w:rsid w:val="001C0582"/>
    <w:rsid w:val="001C058D"/>
    <w:rsid w:val="001C24DD"/>
    <w:rsid w:val="001C54C3"/>
    <w:rsid w:val="001C577E"/>
    <w:rsid w:val="001D027D"/>
    <w:rsid w:val="001D4A1E"/>
    <w:rsid w:val="001D70E9"/>
    <w:rsid w:val="001E181E"/>
    <w:rsid w:val="001E1DCD"/>
    <w:rsid w:val="001E4481"/>
    <w:rsid w:val="001E44EF"/>
    <w:rsid w:val="001E6C1A"/>
    <w:rsid w:val="001E7629"/>
    <w:rsid w:val="001E7846"/>
    <w:rsid w:val="001E7E8B"/>
    <w:rsid w:val="001F2F0B"/>
    <w:rsid w:val="001F3130"/>
    <w:rsid w:val="001F5903"/>
    <w:rsid w:val="001F7292"/>
    <w:rsid w:val="002001DC"/>
    <w:rsid w:val="002032B0"/>
    <w:rsid w:val="00203778"/>
    <w:rsid w:val="0020407A"/>
    <w:rsid w:val="00210AE7"/>
    <w:rsid w:val="002123C7"/>
    <w:rsid w:val="002124BD"/>
    <w:rsid w:val="00213411"/>
    <w:rsid w:val="00216D4F"/>
    <w:rsid w:val="00216E43"/>
    <w:rsid w:val="00220866"/>
    <w:rsid w:val="0022181C"/>
    <w:rsid w:val="002231A4"/>
    <w:rsid w:val="00223245"/>
    <w:rsid w:val="002235CA"/>
    <w:rsid w:val="00224447"/>
    <w:rsid w:val="00224A77"/>
    <w:rsid w:val="0022671D"/>
    <w:rsid w:val="0023090E"/>
    <w:rsid w:val="00231C64"/>
    <w:rsid w:val="00232C22"/>
    <w:rsid w:val="0023318A"/>
    <w:rsid w:val="00236A9B"/>
    <w:rsid w:val="0023715B"/>
    <w:rsid w:val="00237592"/>
    <w:rsid w:val="00244A0E"/>
    <w:rsid w:val="00244F73"/>
    <w:rsid w:val="002501BB"/>
    <w:rsid w:val="002509CA"/>
    <w:rsid w:val="00250C1D"/>
    <w:rsid w:val="00251A29"/>
    <w:rsid w:val="00251B89"/>
    <w:rsid w:val="00253615"/>
    <w:rsid w:val="00253950"/>
    <w:rsid w:val="00254F7E"/>
    <w:rsid w:val="0025569E"/>
    <w:rsid w:val="002564FE"/>
    <w:rsid w:val="002603EB"/>
    <w:rsid w:val="00261FEB"/>
    <w:rsid w:val="00264327"/>
    <w:rsid w:val="002650F1"/>
    <w:rsid w:val="00266403"/>
    <w:rsid w:val="00266406"/>
    <w:rsid w:val="002679CA"/>
    <w:rsid w:val="00272722"/>
    <w:rsid w:val="0027349C"/>
    <w:rsid w:val="002745E7"/>
    <w:rsid w:val="002760AC"/>
    <w:rsid w:val="00276E33"/>
    <w:rsid w:val="00277935"/>
    <w:rsid w:val="00277E8E"/>
    <w:rsid w:val="00280DD6"/>
    <w:rsid w:val="00282496"/>
    <w:rsid w:val="00283033"/>
    <w:rsid w:val="002854DC"/>
    <w:rsid w:val="0028616B"/>
    <w:rsid w:val="00290CDE"/>
    <w:rsid w:val="00290DE2"/>
    <w:rsid w:val="002959CC"/>
    <w:rsid w:val="002A0C27"/>
    <w:rsid w:val="002A2315"/>
    <w:rsid w:val="002A2732"/>
    <w:rsid w:val="002A3153"/>
    <w:rsid w:val="002A6C9C"/>
    <w:rsid w:val="002C10AC"/>
    <w:rsid w:val="002C2AE8"/>
    <w:rsid w:val="002C2FF3"/>
    <w:rsid w:val="002C3A5A"/>
    <w:rsid w:val="002C4449"/>
    <w:rsid w:val="002C4ABE"/>
    <w:rsid w:val="002C71EC"/>
    <w:rsid w:val="002C7548"/>
    <w:rsid w:val="002C780B"/>
    <w:rsid w:val="002C7E47"/>
    <w:rsid w:val="002D2C13"/>
    <w:rsid w:val="002D2FFB"/>
    <w:rsid w:val="002D4E0A"/>
    <w:rsid w:val="002D4E16"/>
    <w:rsid w:val="002D505C"/>
    <w:rsid w:val="002D5DF8"/>
    <w:rsid w:val="002E334D"/>
    <w:rsid w:val="002E486A"/>
    <w:rsid w:val="002E53C0"/>
    <w:rsid w:val="002E766C"/>
    <w:rsid w:val="002F02C8"/>
    <w:rsid w:val="002F0A07"/>
    <w:rsid w:val="002F2D5F"/>
    <w:rsid w:val="002F46DC"/>
    <w:rsid w:val="002F5145"/>
    <w:rsid w:val="002F5CB9"/>
    <w:rsid w:val="002F5E9B"/>
    <w:rsid w:val="002F683C"/>
    <w:rsid w:val="00310C52"/>
    <w:rsid w:val="0031140B"/>
    <w:rsid w:val="00314E3D"/>
    <w:rsid w:val="00317120"/>
    <w:rsid w:val="003171BB"/>
    <w:rsid w:val="0032100C"/>
    <w:rsid w:val="003212C2"/>
    <w:rsid w:val="00321921"/>
    <w:rsid w:val="00321926"/>
    <w:rsid w:val="00327707"/>
    <w:rsid w:val="0033060D"/>
    <w:rsid w:val="003318F3"/>
    <w:rsid w:val="00331ECA"/>
    <w:rsid w:val="00333919"/>
    <w:rsid w:val="00334F3E"/>
    <w:rsid w:val="003379AF"/>
    <w:rsid w:val="00337C5C"/>
    <w:rsid w:val="00343E4C"/>
    <w:rsid w:val="00351550"/>
    <w:rsid w:val="003528B8"/>
    <w:rsid w:val="00352BC8"/>
    <w:rsid w:val="00355D82"/>
    <w:rsid w:val="00356CAF"/>
    <w:rsid w:val="003612A6"/>
    <w:rsid w:val="003671F3"/>
    <w:rsid w:val="00367712"/>
    <w:rsid w:val="00367C88"/>
    <w:rsid w:val="00367DB2"/>
    <w:rsid w:val="00370B19"/>
    <w:rsid w:val="00371C8C"/>
    <w:rsid w:val="00373408"/>
    <w:rsid w:val="003748EB"/>
    <w:rsid w:val="00375DCD"/>
    <w:rsid w:val="00376F36"/>
    <w:rsid w:val="003800A6"/>
    <w:rsid w:val="0038151E"/>
    <w:rsid w:val="00382FFA"/>
    <w:rsid w:val="00383B0A"/>
    <w:rsid w:val="0038491D"/>
    <w:rsid w:val="00387606"/>
    <w:rsid w:val="00391DD2"/>
    <w:rsid w:val="003925E1"/>
    <w:rsid w:val="00393D74"/>
    <w:rsid w:val="003943A7"/>
    <w:rsid w:val="00396A66"/>
    <w:rsid w:val="003A0E06"/>
    <w:rsid w:val="003A1A69"/>
    <w:rsid w:val="003A37B8"/>
    <w:rsid w:val="003A582F"/>
    <w:rsid w:val="003A6B66"/>
    <w:rsid w:val="003A6B72"/>
    <w:rsid w:val="003B020F"/>
    <w:rsid w:val="003B3917"/>
    <w:rsid w:val="003B41D9"/>
    <w:rsid w:val="003B4356"/>
    <w:rsid w:val="003B5422"/>
    <w:rsid w:val="003B643A"/>
    <w:rsid w:val="003B7293"/>
    <w:rsid w:val="003B7D7E"/>
    <w:rsid w:val="003C0EF3"/>
    <w:rsid w:val="003C1EBB"/>
    <w:rsid w:val="003C53B2"/>
    <w:rsid w:val="003C6422"/>
    <w:rsid w:val="003C6C9A"/>
    <w:rsid w:val="003D6961"/>
    <w:rsid w:val="003E2C77"/>
    <w:rsid w:val="003E2C89"/>
    <w:rsid w:val="003E3C14"/>
    <w:rsid w:val="003E6516"/>
    <w:rsid w:val="003E747A"/>
    <w:rsid w:val="003F0149"/>
    <w:rsid w:val="003F11BD"/>
    <w:rsid w:val="003F4748"/>
    <w:rsid w:val="003F61AC"/>
    <w:rsid w:val="00401267"/>
    <w:rsid w:val="00401B70"/>
    <w:rsid w:val="00402836"/>
    <w:rsid w:val="0040298F"/>
    <w:rsid w:val="0040367C"/>
    <w:rsid w:val="00404B23"/>
    <w:rsid w:val="00405154"/>
    <w:rsid w:val="004109B8"/>
    <w:rsid w:val="0041238C"/>
    <w:rsid w:val="00412829"/>
    <w:rsid w:val="0041314E"/>
    <w:rsid w:val="00414EDB"/>
    <w:rsid w:val="004164DF"/>
    <w:rsid w:val="0042141B"/>
    <w:rsid w:val="00425FB2"/>
    <w:rsid w:val="004261AF"/>
    <w:rsid w:val="00426BB0"/>
    <w:rsid w:val="00427182"/>
    <w:rsid w:val="00433EEA"/>
    <w:rsid w:val="004408B0"/>
    <w:rsid w:val="004408EE"/>
    <w:rsid w:val="00441C7F"/>
    <w:rsid w:val="00441E5E"/>
    <w:rsid w:val="0044524F"/>
    <w:rsid w:val="0044654E"/>
    <w:rsid w:val="004504F2"/>
    <w:rsid w:val="00450C1F"/>
    <w:rsid w:val="00455240"/>
    <w:rsid w:val="0045705D"/>
    <w:rsid w:val="00457AEF"/>
    <w:rsid w:val="0046046C"/>
    <w:rsid w:val="004663F3"/>
    <w:rsid w:val="00467553"/>
    <w:rsid w:val="00471F78"/>
    <w:rsid w:val="00473B94"/>
    <w:rsid w:val="00473DC2"/>
    <w:rsid w:val="0047556E"/>
    <w:rsid w:val="00475991"/>
    <w:rsid w:val="00475B13"/>
    <w:rsid w:val="00480D8D"/>
    <w:rsid w:val="004814E5"/>
    <w:rsid w:val="004827CD"/>
    <w:rsid w:val="00484641"/>
    <w:rsid w:val="004846F8"/>
    <w:rsid w:val="00485EFC"/>
    <w:rsid w:val="00490A94"/>
    <w:rsid w:val="004911E4"/>
    <w:rsid w:val="004912F4"/>
    <w:rsid w:val="004922BC"/>
    <w:rsid w:val="00492CE8"/>
    <w:rsid w:val="00493558"/>
    <w:rsid w:val="00493EC9"/>
    <w:rsid w:val="00494ECE"/>
    <w:rsid w:val="00495251"/>
    <w:rsid w:val="00495B0C"/>
    <w:rsid w:val="004963A5"/>
    <w:rsid w:val="004A1759"/>
    <w:rsid w:val="004A2275"/>
    <w:rsid w:val="004A3872"/>
    <w:rsid w:val="004A3AC0"/>
    <w:rsid w:val="004A42D0"/>
    <w:rsid w:val="004A4ED0"/>
    <w:rsid w:val="004A6F61"/>
    <w:rsid w:val="004B0706"/>
    <w:rsid w:val="004B22B1"/>
    <w:rsid w:val="004B46E5"/>
    <w:rsid w:val="004B6542"/>
    <w:rsid w:val="004B72A3"/>
    <w:rsid w:val="004C1E33"/>
    <w:rsid w:val="004C6870"/>
    <w:rsid w:val="004D29A3"/>
    <w:rsid w:val="004D4D48"/>
    <w:rsid w:val="004D5250"/>
    <w:rsid w:val="004D6AD9"/>
    <w:rsid w:val="004E0517"/>
    <w:rsid w:val="004E0C12"/>
    <w:rsid w:val="004E13F0"/>
    <w:rsid w:val="004E4854"/>
    <w:rsid w:val="004E5FCE"/>
    <w:rsid w:val="004F036B"/>
    <w:rsid w:val="004F052D"/>
    <w:rsid w:val="004F0E54"/>
    <w:rsid w:val="004F7B7E"/>
    <w:rsid w:val="00500138"/>
    <w:rsid w:val="00501785"/>
    <w:rsid w:val="00503724"/>
    <w:rsid w:val="00504E3C"/>
    <w:rsid w:val="00507AD5"/>
    <w:rsid w:val="00513F7C"/>
    <w:rsid w:val="005149B8"/>
    <w:rsid w:val="005168FA"/>
    <w:rsid w:val="005175C0"/>
    <w:rsid w:val="00520001"/>
    <w:rsid w:val="00521717"/>
    <w:rsid w:val="0052391C"/>
    <w:rsid w:val="0052393A"/>
    <w:rsid w:val="00523EB0"/>
    <w:rsid w:val="00530C3F"/>
    <w:rsid w:val="00532B1D"/>
    <w:rsid w:val="00533524"/>
    <w:rsid w:val="00534347"/>
    <w:rsid w:val="00540C55"/>
    <w:rsid w:val="00542227"/>
    <w:rsid w:val="005422EB"/>
    <w:rsid w:val="0054426F"/>
    <w:rsid w:val="0054508F"/>
    <w:rsid w:val="00546F3A"/>
    <w:rsid w:val="005475C6"/>
    <w:rsid w:val="00550C61"/>
    <w:rsid w:val="00552FBA"/>
    <w:rsid w:val="00554D9D"/>
    <w:rsid w:val="00555A82"/>
    <w:rsid w:val="00556C52"/>
    <w:rsid w:val="0056008C"/>
    <w:rsid w:val="00570A8A"/>
    <w:rsid w:val="00571BE1"/>
    <w:rsid w:val="0057268E"/>
    <w:rsid w:val="00573C95"/>
    <w:rsid w:val="005750B7"/>
    <w:rsid w:val="005806C7"/>
    <w:rsid w:val="00582CA5"/>
    <w:rsid w:val="00582FE9"/>
    <w:rsid w:val="0058511B"/>
    <w:rsid w:val="005852AF"/>
    <w:rsid w:val="00586FF5"/>
    <w:rsid w:val="005A0332"/>
    <w:rsid w:val="005A1737"/>
    <w:rsid w:val="005A1914"/>
    <w:rsid w:val="005A1D6F"/>
    <w:rsid w:val="005A378B"/>
    <w:rsid w:val="005A3804"/>
    <w:rsid w:val="005A40B3"/>
    <w:rsid w:val="005B1361"/>
    <w:rsid w:val="005B177D"/>
    <w:rsid w:val="005B3B4A"/>
    <w:rsid w:val="005B4C4C"/>
    <w:rsid w:val="005B7966"/>
    <w:rsid w:val="005C0341"/>
    <w:rsid w:val="005C3CDD"/>
    <w:rsid w:val="005D2B33"/>
    <w:rsid w:val="005D4B36"/>
    <w:rsid w:val="005D5B37"/>
    <w:rsid w:val="005D6D35"/>
    <w:rsid w:val="005E1062"/>
    <w:rsid w:val="005E12BD"/>
    <w:rsid w:val="005E132E"/>
    <w:rsid w:val="005E1F41"/>
    <w:rsid w:val="005E305E"/>
    <w:rsid w:val="005E3ECC"/>
    <w:rsid w:val="005E53A4"/>
    <w:rsid w:val="005F1F63"/>
    <w:rsid w:val="005F324D"/>
    <w:rsid w:val="005F4C0F"/>
    <w:rsid w:val="006011F9"/>
    <w:rsid w:val="006016B0"/>
    <w:rsid w:val="00602247"/>
    <w:rsid w:val="006054AE"/>
    <w:rsid w:val="00606661"/>
    <w:rsid w:val="00610597"/>
    <w:rsid w:val="00612A91"/>
    <w:rsid w:val="00615BD4"/>
    <w:rsid w:val="006176D9"/>
    <w:rsid w:val="0062063C"/>
    <w:rsid w:val="00621EEA"/>
    <w:rsid w:val="00622049"/>
    <w:rsid w:val="006267AC"/>
    <w:rsid w:val="006275F8"/>
    <w:rsid w:val="00630C8F"/>
    <w:rsid w:val="0063126C"/>
    <w:rsid w:val="006321D9"/>
    <w:rsid w:val="00635ACD"/>
    <w:rsid w:val="00645991"/>
    <w:rsid w:val="00645F9B"/>
    <w:rsid w:val="006462F4"/>
    <w:rsid w:val="00646C7B"/>
    <w:rsid w:val="00653EEF"/>
    <w:rsid w:val="00656DB1"/>
    <w:rsid w:val="0065706C"/>
    <w:rsid w:val="006570F3"/>
    <w:rsid w:val="006574CA"/>
    <w:rsid w:val="00661709"/>
    <w:rsid w:val="00663087"/>
    <w:rsid w:val="00666E6E"/>
    <w:rsid w:val="00667926"/>
    <w:rsid w:val="00672A07"/>
    <w:rsid w:val="00672A3D"/>
    <w:rsid w:val="00673284"/>
    <w:rsid w:val="00673C56"/>
    <w:rsid w:val="00674E3C"/>
    <w:rsid w:val="00684218"/>
    <w:rsid w:val="00684A17"/>
    <w:rsid w:val="0068548A"/>
    <w:rsid w:val="00686ACA"/>
    <w:rsid w:val="006904AF"/>
    <w:rsid w:val="006911F9"/>
    <w:rsid w:val="00695821"/>
    <w:rsid w:val="0069607D"/>
    <w:rsid w:val="006960C5"/>
    <w:rsid w:val="006A05F8"/>
    <w:rsid w:val="006A0897"/>
    <w:rsid w:val="006A27B1"/>
    <w:rsid w:val="006A4246"/>
    <w:rsid w:val="006A56B9"/>
    <w:rsid w:val="006A64EB"/>
    <w:rsid w:val="006A7750"/>
    <w:rsid w:val="006A7FD4"/>
    <w:rsid w:val="006B0E91"/>
    <w:rsid w:val="006B1891"/>
    <w:rsid w:val="006B37AE"/>
    <w:rsid w:val="006B3C07"/>
    <w:rsid w:val="006B476E"/>
    <w:rsid w:val="006B7254"/>
    <w:rsid w:val="006B73B9"/>
    <w:rsid w:val="006C0F43"/>
    <w:rsid w:val="006C2D51"/>
    <w:rsid w:val="006C4083"/>
    <w:rsid w:val="006C4B81"/>
    <w:rsid w:val="006C517C"/>
    <w:rsid w:val="006C5CAA"/>
    <w:rsid w:val="006C6855"/>
    <w:rsid w:val="006C7F43"/>
    <w:rsid w:val="006D0CE9"/>
    <w:rsid w:val="006D16F3"/>
    <w:rsid w:val="006D49E3"/>
    <w:rsid w:val="006D4C2C"/>
    <w:rsid w:val="006D62FF"/>
    <w:rsid w:val="006E019F"/>
    <w:rsid w:val="006E18C4"/>
    <w:rsid w:val="006E3E50"/>
    <w:rsid w:val="006E402A"/>
    <w:rsid w:val="006E525F"/>
    <w:rsid w:val="006E74F5"/>
    <w:rsid w:val="006E7DCA"/>
    <w:rsid w:val="006F03B7"/>
    <w:rsid w:val="006F2035"/>
    <w:rsid w:val="006F28EE"/>
    <w:rsid w:val="006F42C2"/>
    <w:rsid w:val="006F602A"/>
    <w:rsid w:val="006F7412"/>
    <w:rsid w:val="00704E65"/>
    <w:rsid w:val="0071025E"/>
    <w:rsid w:val="007105A5"/>
    <w:rsid w:val="00710B8D"/>
    <w:rsid w:val="00712CF9"/>
    <w:rsid w:val="00713024"/>
    <w:rsid w:val="00713EA1"/>
    <w:rsid w:val="00715D6B"/>
    <w:rsid w:val="00717F6B"/>
    <w:rsid w:val="007212F0"/>
    <w:rsid w:val="00722EC6"/>
    <w:rsid w:val="00723FF6"/>
    <w:rsid w:val="0072460B"/>
    <w:rsid w:val="00726876"/>
    <w:rsid w:val="007269B1"/>
    <w:rsid w:val="00730DF7"/>
    <w:rsid w:val="0073123A"/>
    <w:rsid w:val="007331F6"/>
    <w:rsid w:val="0073362F"/>
    <w:rsid w:val="00733A3E"/>
    <w:rsid w:val="00736B54"/>
    <w:rsid w:val="00740605"/>
    <w:rsid w:val="00740FA5"/>
    <w:rsid w:val="007440A8"/>
    <w:rsid w:val="00747B97"/>
    <w:rsid w:val="00747DD4"/>
    <w:rsid w:val="00751820"/>
    <w:rsid w:val="00751B7E"/>
    <w:rsid w:val="00752AB2"/>
    <w:rsid w:val="00754193"/>
    <w:rsid w:val="007556C8"/>
    <w:rsid w:val="00756FA1"/>
    <w:rsid w:val="007605DF"/>
    <w:rsid w:val="0076244A"/>
    <w:rsid w:val="00762D9D"/>
    <w:rsid w:val="00763FD6"/>
    <w:rsid w:val="0076431D"/>
    <w:rsid w:val="00766DE9"/>
    <w:rsid w:val="007678A5"/>
    <w:rsid w:val="00770841"/>
    <w:rsid w:val="00771F67"/>
    <w:rsid w:val="00772012"/>
    <w:rsid w:val="0077418F"/>
    <w:rsid w:val="00774C01"/>
    <w:rsid w:val="007823C9"/>
    <w:rsid w:val="007835B7"/>
    <w:rsid w:val="007863E1"/>
    <w:rsid w:val="007910D3"/>
    <w:rsid w:val="0079336E"/>
    <w:rsid w:val="007A5BD0"/>
    <w:rsid w:val="007B4B46"/>
    <w:rsid w:val="007B5E5F"/>
    <w:rsid w:val="007B6CA0"/>
    <w:rsid w:val="007B6F71"/>
    <w:rsid w:val="007C06F8"/>
    <w:rsid w:val="007C27E5"/>
    <w:rsid w:val="007C2E24"/>
    <w:rsid w:val="007C3F78"/>
    <w:rsid w:val="007C4B09"/>
    <w:rsid w:val="007C6167"/>
    <w:rsid w:val="007C6EB8"/>
    <w:rsid w:val="007C7809"/>
    <w:rsid w:val="007D13B9"/>
    <w:rsid w:val="007D2774"/>
    <w:rsid w:val="007D71F7"/>
    <w:rsid w:val="007E024C"/>
    <w:rsid w:val="007E160E"/>
    <w:rsid w:val="007E1BDD"/>
    <w:rsid w:val="007E700C"/>
    <w:rsid w:val="007E7388"/>
    <w:rsid w:val="007F1BAF"/>
    <w:rsid w:val="007F1F1C"/>
    <w:rsid w:val="007F2277"/>
    <w:rsid w:val="007F433C"/>
    <w:rsid w:val="007F4428"/>
    <w:rsid w:val="008004B0"/>
    <w:rsid w:val="008045D9"/>
    <w:rsid w:val="00806C8A"/>
    <w:rsid w:val="0080702C"/>
    <w:rsid w:val="00807165"/>
    <w:rsid w:val="00812094"/>
    <w:rsid w:val="0081333B"/>
    <w:rsid w:val="008140D7"/>
    <w:rsid w:val="0081547E"/>
    <w:rsid w:val="0081653B"/>
    <w:rsid w:val="00821DF6"/>
    <w:rsid w:val="00823CCC"/>
    <w:rsid w:val="00827179"/>
    <w:rsid w:val="0083029A"/>
    <w:rsid w:val="00830426"/>
    <w:rsid w:val="00830E02"/>
    <w:rsid w:val="00831C83"/>
    <w:rsid w:val="00831E0A"/>
    <w:rsid w:val="008322BB"/>
    <w:rsid w:val="008343C4"/>
    <w:rsid w:val="00835847"/>
    <w:rsid w:val="00835C6F"/>
    <w:rsid w:val="00837429"/>
    <w:rsid w:val="0083745B"/>
    <w:rsid w:val="00840252"/>
    <w:rsid w:val="00840420"/>
    <w:rsid w:val="00842DE3"/>
    <w:rsid w:val="00844F5E"/>
    <w:rsid w:val="00846701"/>
    <w:rsid w:val="0085232F"/>
    <w:rsid w:val="00854E2A"/>
    <w:rsid w:val="008550CD"/>
    <w:rsid w:val="00857E3A"/>
    <w:rsid w:val="00861135"/>
    <w:rsid w:val="00864495"/>
    <w:rsid w:val="0086449D"/>
    <w:rsid w:val="008651BC"/>
    <w:rsid w:val="00867059"/>
    <w:rsid w:val="00867A5A"/>
    <w:rsid w:val="008711B1"/>
    <w:rsid w:val="00871FBA"/>
    <w:rsid w:val="00872119"/>
    <w:rsid w:val="008722FB"/>
    <w:rsid w:val="00877EA2"/>
    <w:rsid w:val="008808CA"/>
    <w:rsid w:val="00887D93"/>
    <w:rsid w:val="00890912"/>
    <w:rsid w:val="00890D7D"/>
    <w:rsid w:val="008917B4"/>
    <w:rsid w:val="0089189B"/>
    <w:rsid w:val="008933C7"/>
    <w:rsid w:val="008941B9"/>
    <w:rsid w:val="00894216"/>
    <w:rsid w:val="008959F9"/>
    <w:rsid w:val="00896786"/>
    <w:rsid w:val="00897413"/>
    <w:rsid w:val="008A118C"/>
    <w:rsid w:val="008A46DC"/>
    <w:rsid w:val="008A4806"/>
    <w:rsid w:val="008A4BF4"/>
    <w:rsid w:val="008A510D"/>
    <w:rsid w:val="008A5EDE"/>
    <w:rsid w:val="008A7A4E"/>
    <w:rsid w:val="008A7C4F"/>
    <w:rsid w:val="008B2FA8"/>
    <w:rsid w:val="008B3253"/>
    <w:rsid w:val="008B3F5C"/>
    <w:rsid w:val="008C020E"/>
    <w:rsid w:val="008C2F9E"/>
    <w:rsid w:val="008D03EA"/>
    <w:rsid w:val="008D16BD"/>
    <w:rsid w:val="008D17A7"/>
    <w:rsid w:val="008D2E91"/>
    <w:rsid w:val="008D58E2"/>
    <w:rsid w:val="008D6283"/>
    <w:rsid w:val="008D7FB0"/>
    <w:rsid w:val="008E050B"/>
    <w:rsid w:val="008E0C60"/>
    <w:rsid w:val="008E1010"/>
    <w:rsid w:val="008E2C2E"/>
    <w:rsid w:val="008E72A8"/>
    <w:rsid w:val="008F0627"/>
    <w:rsid w:val="008F1FF1"/>
    <w:rsid w:val="008F2498"/>
    <w:rsid w:val="008F41FB"/>
    <w:rsid w:val="008F4B49"/>
    <w:rsid w:val="008F5977"/>
    <w:rsid w:val="008F5C9B"/>
    <w:rsid w:val="009039C8"/>
    <w:rsid w:val="00904BCF"/>
    <w:rsid w:val="00905B77"/>
    <w:rsid w:val="00906FD6"/>
    <w:rsid w:val="009079D0"/>
    <w:rsid w:val="00907DCD"/>
    <w:rsid w:val="009104AA"/>
    <w:rsid w:val="00914466"/>
    <w:rsid w:val="00915D8A"/>
    <w:rsid w:val="00917746"/>
    <w:rsid w:val="009209A5"/>
    <w:rsid w:val="00920F98"/>
    <w:rsid w:val="00922448"/>
    <w:rsid w:val="009228BB"/>
    <w:rsid w:val="00922FDA"/>
    <w:rsid w:val="009244DF"/>
    <w:rsid w:val="00927EF6"/>
    <w:rsid w:val="00930D45"/>
    <w:rsid w:val="00930E14"/>
    <w:rsid w:val="00933885"/>
    <w:rsid w:val="009338DA"/>
    <w:rsid w:val="00936E93"/>
    <w:rsid w:val="00937FDA"/>
    <w:rsid w:val="00947632"/>
    <w:rsid w:val="0094786C"/>
    <w:rsid w:val="00947B9F"/>
    <w:rsid w:val="00947FB4"/>
    <w:rsid w:val="00952D2F"/>
    <w:rsid w:val="00952D60"/>
    <w:rsid w:val="00952E44"/>
    <w:rsid w:val="00953D9C"/>
    <w:rsid w:val="00955447"/>
    <w:rsid w:val="00955A17"/>
    <w:rsid w:val="00957C50"/>
    <w:rsid w:val="00960E12"/>
    <w:rsid w:val="0096331F"/>
    <w:rsid w:val="00963914"/>
    <w:rsid w:val="00963A90"/>
    <w:rsid w:val="009729D8"/>
    <w:rsid w:val="0097453F"/>
    <w:rsid w:val="00974577"/>
    <w:rsid w:val="00975045"/>
    <w:rsid w:val="00975D66"/>
    <w:rsid w:val="00976670"/>
    <w:rsid w:val="00976BC3"/>
    <w:rsid w:val="00976E64"/>
    <w:rsid w:val="00977929"/>
    <w:rsid w:val="0098426D"/>
    <w:rsid w:val="00993B1F"/>
    <w:rsid w:val="00993F70"/>
    <w:rsid w:val="0099428D"/>
    <w:rsid w:val="00995932"/>
    <w:rsid w:val="00996D49"/>
    <w:rsid w:val="009A1C77"/>
    <w:rsid w:val="009A51E6"/>
    <w:rsid w:val="009A5BC5"/>
    <w:rsid w:val="009A61AA"/>
    <w:rsid w:val="009A747C"/>
    <w:rsid w:val="009A7DAC"/>
    <w:rsid w:val="009B2B6E"/>
    <w:rsid w:val="009B3C1F"/>
    <w:rsid w:val="009B7D7E"/>
    <w:rsid w:val="009C10F7"/>
    <w:rsid w:val="009C11A4"/>
    <w:rsid w:val="009C11B1"/>
    <w:rsid w:val="009C1722"/>
    <w:rsid w:val="009C6235"/>
    <w:rsid w:val="009C6E76"/>
    <w:rsid w:val="009D00B8"/>
    <w:rsid w:val="009D3E42"/>
    <w:rsid w:val="009D682E"/>
    <w:rsid w:val="009E40F9"/>
    <w:rsid w:val="009E5844"/>
    <w:rsid w:val="009E653F"/>
    <w:rsid w:val="009E7C9A"/>
    <w:rsid w:val="009F4C6D"/>
    <w:rsid w:val="009F5062"/>
    <w:rsid w:val="00A01D25"/>
    <w:rsid w:val="00A0624A"/>
    <w:rsid w:val="00A06830"/>
    <w:rsid w:val="00A12892"/>
    <w:rsid w:val="00A149DF"/>
    <w:rsid w:val="00A1634D"/>
    <w:rsid w:val="00A1707B"/>
    <w:rsid w:val="00A32694"/>
    <w:rsid w:val="00A33A18"/>
    <w:rsid w:val="00A350BE"/>
    <w:rsid w:val="00A35C8A"/>
    <w:rsid w:val="00A36343"/>
    <w:rsid w:val="00A36638"/>
    <w:rsid w:val="00A36B9A"/>
    <w:rsid w:val="00A4149B"/>
    <w:rsid w:val="00A51ECF"/>
    <w:rsid w:val="00A5335D"/>
    <w:rsid w:val="00A53EBD"/>
    <w:rsid w:val="00A56524"/>
    <w:rsid w:val="00A610B8"/>
    <w:rsid w:val="00A61208"/>
    <w:rsid w:val="00A6244D"/>
    <w:rsid w:val="00A62660"/>
    <w:rsid w:val="00A62D2C"/>
    <w:rsid w:val="00A64D6A"/>
    <w:rsid w:val="00A66A0F"/>
    <w:rsid w:val="00A67FB0"/>
    <w:rsid w:val="00A700BE"/>
    <w:rsid w:val="00A7038D"/>
    <w:rsid w:val="00A73440"/>
    <w:rsid w:val="00A75908"/>
    <w:rsid w:val="00A75D01"/>
    <w:rsid w:val="00A76B01"/>
    <w:rsid w:val="00A813D7"/>
    <w:rsid w:val="00A83AD0"/>
    <w:rsid w:val="00A83BB1"/>
    <w:rsid w:val="00A87807"/>
    <w:rsid w:val="00A90332"/>
    <w:rsid w:val="00A94426"/>
    <w:rsid w:val="00A9734B"/>
    <w:rsid w:val="00A97D26"/>
    <w:rsid w:val="00AA06C5"/>
    <w:rsid w:val="00AA1669"/>
    <w:rsid w:val="00AA3A8E"/>
    <w:rsid w:val="00AA5BB8"/>
    <w:rsid w:val="00AA5D50"/>
    <w:rsid w:val="00AA6487"/>
    <w:rsid w:val="00AB001E"/>
    <w:rsid w:val="00AB2D04"/>
    <w:rsid w:val="00AB318B"/>
    <w:rsid w:val="00AB7D6A"/>
    <w:rsid w:val="00AC0A22"/>
    <w:rsid w:val="00AC3A3F"/>
    <w:rsid w:val="00AD190D"/>
    <w:rsid w:val="00AD2DAB"/>
    <w:rsid w:val="00AE1BBB"/>
    <w:rsid w:val="00AE2F4C"/>
    <w:rsid w:val="00AE3B4A"/>
    <w:rsid w:val="00AE4A87"/>
    <w:rsid w:val="00AE673D"/>
    <w:rsid w:val="00AE749B"/>
    <w:rsid w:val="00AF0629"/>
    <w:rsid w:val="00AF1BF1"/>
    <w:rsid w:val="00AF32B8"/>
    <w:rsid w:val="00AF3CB3"/>
    <w:rsid w:val="00AF531B"/>
    <w:rsid w:val="00AF5337"/>
    <w:rsid w:val="00AF53C2"/>
    <w:rsid w:val="00AF71F6"/>
    <w:rsid w:val="00AF7C60"/>
    <w:rsid w:val="00B005C5"/>
    <w:rsid w:val="00B00BD6"/>
    <w:rsid w:val="00B02305"/>
    <w:rsid w:val="00B02E23"/>
    <w:rsid w:val="00B060D5"/>
    <w:rsid w:val="00B1175D"/>
    <w:rsid w:val="00B12731"/>
    <w:rsid w:val="00B12AA5"/>
    <w:rsid w:val="00B146BC"/>
    <w:rsid w:val="00B14DF1"/>
    <w:rsid w:val="00B153B3"/>
    <w:rsid w:val="00B17CBB"/>
    <w:rsid w:val="00B20BBF"/>
    <w:rsid w:val="00B217CC"/>
    <w:rsid w:val="00B25447"/>
    <w:rsid w:val="00B271C9"/>
    <w:rsid w:val="00B31C57"/>
    <w:rsid w:val="00B32F09"/>
    <w:rsid w:val="00B33D96"/>
    <w:rsid w:val="00B33E36"/>
    <w:rsid w:val="00B34F0E"/>
    <w:rsid w:val="00B35F5F"/>
    <w:rsid w:val="00B36F78"/>
    <w:rsid w:val="00B3755E"/>
    <w:rsid w:val="00B404A6"/>
    <w:rsid w:val="00B40A63"/>
    <w:rsid w:val="00B41213"/>
    <w:rsid w:val="00B45C45"/>
    <w:rsid w:val="00B46918"/>
    <w:rsid w:val="00B47277"/>
    <w:rsid w:val="00B56FB7"/>
    <w:rsid w:val="00B577A6"/>
    <w:rsid w:val="00B607BE"/>
    <w:rsid w:val="00B61E09"/>
    <w:rsid w:val="00B6274D"/>
    <w:rsid w:val="00B62B63"/>
    <w:rsid w:val="00B64D41"/>
    <w:rsid w:val="00B66CB3"/>
    <w:rsid w:val="00B66D6E"/>
    <w:rsid w:val="00B67351"/>
    <w:rsid w:val="00B706C6"/>
    <w:rsid w:val="00B739CF"/>
    <w:rsid w:val="00B7475F"/>
    <w:rsid w:val="00B80B07"/>
    <w:rsid w:val="00B8178C"/>
    <w:rsid w:val="00B81BF0"/>
    <w:rsid w:val="00B82E33"/>
    <w:rsid w:val="00B82ECB"/>
    <w:rsid w:val="00B8310B"/>
    <w:rsid w:val="00B83C8B"/>
    <w:rsid w:val="00B85BAF"/>
    <w:rsid w:val="00B90874"/>
    <w:rsid w:val="00B90BFA"/>
    <w:rsid w:val="00B93044"/>
    <w:rsid w:val="00B931B0"/>
    <w:rsid w:val="00B93ED9"/>
    <w:rsid w:val="00B95CDD"/>
    <w:rsid w:val="00B95E2C"/>
    <w:rsid w:val="00BA2C17"/>
    <w:rsid w:val="00BA40F3"/>
    <w:rsid w:val="00BA5F6B"/>
    <w:rsid w:val="00BA6BD0"/>
    <w:rsid w:val="00BB0589"/>
    <w:rsid w:val="00BB1AF8"/>
    <w:rsid w:val="00BB2E2A"/>
    <w:rsid w:val="00BB4B39"/>
    <w:rsid w:val="00BC3515"/>
    <w:rsid w:val="00BC3A1F"/>
    <w:rsid w:val="00BC59C2"/>
    <w:rsid w:val="00BD02CC"/>
    <w:rsid w:val="00BD22C7"/>
    <w:rsid w:val="00BD277B"/>
    <w:rsid w:val="00BD530D"/>
    <w:rsid w:val="00BE205B"/>
    <w:rsid w:val="00BE264E"/>
    <w:rsid w:val="00BE4E80"/>
    <w:rsid w:val="00BE68B4"/>
    <w:rsid w:val="00C029B6"/>
    <w:rsid w:val="00C03B0F"/>
    <w:rsid w:val="00C03E68"/>
    <w:rsid w:val="00C05139"/>
    <w:rsid w:val="00C11035"/>
    <w:rsid w:val="00C124B7"/>
    <w:rsid w:val="00C16AB3"/>
    <w:rsid w:val="00C17224"/>
    <w:rsid w:val="00C17685"/>
    <w:rsid w:val="00C20CBD"/>
    <w:rsid w:val="00C223A5"/>
    <w:rsid w:val="00C23A93"/>
    <w:rsid w:val="00C23BCF"/>
    <w:rsid w:val="00C2546E"/>
    <w:rsid w:val="00C2648A"/>
    <w:rsid w:val="00C2711D"/>
    <w:rsid w:val="00C275B4"/>
    <w:rsid w:val="00C310A0"/>
    <w:rsid w:val="00C351DB"/>
    <w:rsid w:val="00C36A88"/>
    <w:rsid w:val="00C44141"/>
    <w:rsid w:val="00C53EEF"/>
    <w:rsid w:val="00C55A01"/>
    <w:rsid w:val="00C56A39"/>
    <w:rsid w:val="00C57DD6"/>
    <w:rsid w:val="00C603FA"/>
    <w:rsid w:val="00C607D5"/>
    <w:rsid w:val="00C62A8F"/>
    <w:rsid w:val="00C634E0"/>
    <w:rsid w:val="00C671BC"/>
    <w:rsid w:val="00C70919"/>
    <w:rsid w:val="00C759E4"/>
    <w:rsid w:val="00C75BEC"/>
    <w:rsid w:val="00C80D96"/>
    <w:rsid w:val="00C83560"/>
    <w:rsid w:val="00C836E3"/>
    <w:rsid w:val="00C83A19"/>
    <w:rsid w:val="00C8527E"/>
    <w:rsid w:val="00C855D2"/>
    <w:rsid w:val="00C85E96"/>
    <w:rsid w:val="00C86FBD"/>
    <w:rsid w:val="00C9128F"/>
    <w:rsid w:val="00C91666"/>
    <w:rsid w:val="00C91C98"/>
    <w:rsid w:val="00C9219D"/>
    <w:rsid w:val="00C923D5"/>
    <w:rsid w:val="00C94E84"/>
    <w:rsid w:val="00CA0D9F"/>
    <w:rsid w:val="00CA18FB"/>
    <w:rsid w:val="00CA1BD1"/>
    <w:rsid w:val="00CA1CEF"/>
    <w:rsid w:val="00CB030A"/>
    <w:rsid w:val="00CB125C"/>
    <w:rsid w:val="00CB455B"/>
    <w:rsid w:val="00CB4D87"/>
    <w:rsid w:val="00CC4E6E"/>
    <w:rsid w:val="00CC6E0A"/>
    <w:rsid w:val="00CC7617"/>
    <w:rsid w:val="00CC7935"/>
    <w:rsid w:val="00CD17D1"/>
    <w:rsid w:val="00CD20F9"/>
    <w:rsid w:val="00CD66FB"/>
    <w:rsid w:val="00CD67D5"/>
    <w:rsid w:val="00CE6D2A"/>
    <w:rsid w:val="00CE70E4"/>
    <w:rsid w:val="00CF0889"/>
    <w:rsid w:val="00CF2156"/>
    <w:rsid w:val="00CF41C5"/>
    <w:rsid w:val="00CF4D7B"/>
    <w:rsid w:val="00CF5500"/>
    <w:rsid w:val="00CF6914"/>
    <w:rsid w:val="00CF7F30"/>
    <w:rsid w:val="00D003AF"/>
    <w:rsid w:val="00D049C3"/>
    <w:rsid w:val="00D062A5"/>
    <w:rsid w:val="00D07715"/>
    <w:rsid w:val="00D106FE"/>
    <w:rsid w:val="00D10ED3"/>
    <w:rsid w:val="00D125E8"/>
    <w:rsid w:val="00D12D3B"/>
    <w:rsid w:val="00D13D7B"/>
    <w:rsid w:val="00D14535"/>
    <w:rsid w:val="00D15FDA"/>
    <w:rsid w:val="00D161B7"/>
    <w:rsid w:val="00D21A22"/>
    <w:rsid w:val="00D21ED8"/>
    <w:rsid w:val="00D22A32"/>
    <w:rsid w:val="00D23012"/>
    <w:rsid w:val="00D24FF0"/>
    <w:rsid w:val="00D26EC1"/>
    <w:rsid w:val="00D2709A"/>
    <w:rsid w:val="00D30569"/>
    <w:rsid w:val="00D31F30"/>
    <w:rsid w:val="00D31F45"/>
    <w:rsid w:val="00D335BB"/>
    <w:rsid w:val="00D34B05"/>
    <w:rsid w:val="00D37504"/>
    <w:rsid w:val="00D37996"/>
    <w:rsid w:val="00D42F06"/>
    <w:rsid w:val="00D4725F"/>
    <w:rsid w:val="00D47EAE"/>
    <w:rsid w:val="00D54091"/>
    <w:rsid w:val="00D54B9A"/>
    <w:rsid w:val="00D54F2F"/>
    <w:rsid w:val="00D557F5"/>
    <w:rsid w:val="00D61100"/>
    <w:rsid w:val="00D61C45"/>
    <w:rsid w:val="00D62AEF"/>
    <w:rsid w:val="00D62CE1"/>
    <w:rsid w:val="00D64DD6"/>
    <w:rsid w:val="00D6587C"/>
    <w:rsid w:val="00D72607"/>
    <w:rsid w:val="00D72C4E"/>
    <w:rsid w:val="00D7438A"/>
    <w:rsid w:val="00D756CA"/>
    <w:rsid w:val="00D77713"/>
    <w:rsid w:val="00D7798A"/>
    <w:rsid w:val="00D8307B"/>
    <w:rsid w:val="00D8327C"/>
    <w:rsid w:val="00D836F7"/>
    <w:rsid w:val="00D84645"/>
    <w:rsid w:val="00D864F8"/>
    <w:rsid w:val="00D879A3"/>
    <w:rsid w:val="00D9012D"/>
    <w:rsid w:val="00D93123"/>
    <w:rsid w:val="00DA527C"/>
    <w:rsid w:val="00DA5B6B"/>
    <w:rsid w:val="00DA700C"/>
    <w:rsid w:val="00DB2EF0"/>
    <w:rsid w:val="00DB4640"/>
    <w:rsid w:val="00DB72D0"/>
    <w:rsid w:val="00DC44F4"/>
    <w:rsid w:val="00DD027E"/>
    <w:rsid w:val="00DD0447"/>
    <w:rsid w:val="00DD05BB"/>
    <w:rsid w:val="00DD688C"/>
    <w:rsid w:val="00DE2783"/>
    <w:rsid w:val="00DE27B8"/>
    <w:rsid w:val="00DE3D55"/>
    <w:rsid w:val="00DE5707"/>
    <w:rsid w:val="00DE70C6"/>
    <w:rsid w:val="00DF0DB1"/>
    <w:rsid w:val="00DF21A8"/>
    <w:rsid w:val="00DF3A84"/>
    <w:rsid w:val="00DF7C6E"/>
    <w:rsid w:val="00E01663"/>
    <w:rsid w:val="00E01A46"/>
    <w:rsid w:val="00E04FDE"/>
    <w:rsid w:val="00E07A39"/>
    <w:rsid w:val="00E104EF"/>
    <w:rsid w:val="00E125CB"/>
    <w:rsid w:val="00E13C7D"/>
    <w:rsid w:val="00E13EDF"/>
    <w:rsid w:val="00E146EE"/>
    <w:rsid w:val="00E165C9"/>
    <w:rsid w:val="00E17165"/>
    <w:rsid w:val="00E202E6"/>
    <w:rsid w:val="00E21B3E"/>
    <w:rsid w:val="00E21F7E"/>
    <w:rsid w:val="00E224C3"/>
    <w:rsid w:val="00E22BB4"/>
    <w:rsid w:val="00E23B83"/>
    <w:rsid w:val="00E23FD1"/>
    <w:rsid w:val="00E25D87"/>
    <w:rsid w:val="00E27377"/>
    <w:rsid w:val="00E300EC"/>
    <w:rsid w:val="00E31E46"/>
    <w:rsid w:val="00E332F5"/>
    <w:rsid w:val="00E34AE2"/>
    <w:rsid w:val="00E37601"/>
    <w:rsid w:val="00E42235"/>
    <w:rsid w:val="00E43B3E"/>
    <w:rsid w:val="00E4414C"/>
    <w:rsid w:val="00E443BA"/>
    <w:rsid w:val="00E45FB7"/>
    <w:rsid w:val="00E470CE"/>
    <w:rsid w:val="00E50F94"/>
    <w:rsid w:val="00E528C9"/>
    <w:rsid w:val="00E5462E"/>
    <w:rsid w:val="00E62AD0"/>
    <w:rsid w:val="00E65605"/>
    <w:rsid w:val="00E65AFF"/>
    <w:rsid w:val="00E6767D"/>
    <w:rsid w:val="00E7411A"/>
    <w:rsid w:val="00E77A83"/>
    <w:rsid w:val="00E85972"/>
    <w:rsid w:val="00E90E9C"/>
    <w:rsid w:val="00E9512C"/>
    <w:rsid w:val="00EA0077"/>
    <w:rsid w:val="00EA0E38"/>
    <w:rsid w:val="00EA1872"/>
    <w:rsid w:val="00EA604E"/>
    <w:rsid w:val="00EA6536"/>
    <w:rsid w:val="00EA7167"/>
    <w:rsid w:val="00EB0026"/>
    <w:rsid w:val="00EB0384"/>
    <w:rsid w:val="00EB39F8"/>
    <w:rsid w:val="00EB3AE8"/>
    <w:rsid w:val="00EB6196"/>
    <w:rsid w:val="00EB67F0"/>
    <w:rsid w:val="00EB6B0C"/>
    <w:rsid w:val="00EB6F46"/>
    <w:rsid w:val="00EC058C"/>
    <w:rsid w:val="00EC1BDE"/>
    <w:rsid w:val="00EC1F4B"/>
    <w:rsid w:val="00ED1413"/>
    <w:rsid w:val="00ED1663"/>
    <w:rsid w:val="00ED50F5"/>
    <w:rsid w:val="00ED6BE1"/>
    <w:rsid w:val="00ED7099"/>
    <w:rsid w:val="00ED7757"/>
    <w:rsid w:val="00EE027B"/>
    <w:rsid w:val="00EE31DF"/>
    <w:rsid w:val="00EE7916"/>
    <w:rsid w:val="00EF1C6E"/>
    <w:rsid w:val="00EF2C80"/>
    <w:rsid w:val="00EF4D3B"/>
    <w:rsid w:val="00EF6A34"/>
    <w:rsid w:val="00EF7579"/>
    <w:rsid w:val="00EF7950"/>
    <w:rsid w:val="00F0030B"/>
    <w:rsid w:val="00F00BE0"/>
    <w:rsid w:val="00F016BD"/>
    <w:rsid w:val="00F026F0"/>
    <w:rsid w:val="00F0680A"/>
    <w:rsid w:val="00F06ED0"/>
    <w:rsid w:val="00F12013"/>
    <w:rsid w:val="00F12999"/>
    <w:rsid w:val="00F13822"/>
    <w:rsid w:val="00F14565"/>
    <w:rsid w:val="00F14A70"/>
    <w:rsid w:val="00F175A5"/>
    <w:rsid w:val="00F230F1"/>
    <w:rsid w:val="00F27B8D"/>
    <w:rsid w:val="00F304FB"/>
    <w:rsid w:val="00F313F8"/>
    <w:rsid w:val="00F315AB"/>
    <w:rsid w:val="00F33F07"/>
    <w:rsid w:val="00F35871"/>
    <w:rsid w:val="00F35D52"/>
    <w:rsid w:val="00F35F8C"/>
    <w:rsid w:val="00F36C93"/>
    <w:rsid w:val="00F373E1"/>
    <w:rsid w:val="00F42574"/>
    <w:rsid w:val="00F45257"/>
    <w:rsid w:val="00F45CA2"/>
    <w:rsid w:val="00F45D78"/>
    <w:rsid w:val="00F46154"/>
    <w:rsid w:val="00F46AD5"/>
    <w:rsid w:val="00F47DCD"/>
    <w:rsid w:val="00F50CA4"/>
    <w:rsid w:val="00F50CDF"/>
    <w:rsid w:val="00F50CE7"/>
    <w:rsid w:val="00F51438"/>
    <w:rsid w:val="00F52A8D"/>
    <w:rsid w:val="00F5301A"/>
    <w:rsid w:val="00F549E7"/>
    <w:rsid w:val="00F5550D"/>
    <w:rsid w:val="00F618BB"/>
    <w:rsid w:val="00F6302F"/>
    <w:rsid w:val="00F67625"/>
    <w:rsid w:val="00F76B14"/>
    <w:rsid w:val="00F81487"/>
    <w:rsid w:val="00F85F21"/>
    <w:rsid w:val="00F90CF5"/>
    <w:rsid w:val="00F91AD8"/>
    <w:rsid w:val="00F922B1"/>
    <w:rsid w:val="00FA1CBD"/>
    <w:rsid w:val="00FA56EF"/>
    <w:rsid w:val="00FA5D99"/>
    <w:rsid w:val="00FA6505"/>
    <w:rsid w:val="00FA72F6"/>
    <w:rsid w:val="00FB10A3"/>
    <w:rsid w:val="00FB36D4"/>
    <w:rsid w:val="00FB3B0F"/>
    <w:rsid w:val="00FB510B"/>
    <w:rsid w:val="00FB5D1B"/>
    <w:rsid w:val="00FB75F9"/>
    <w:rsid w:val="00FB7C5A"/>
    <w:rsid w:val="00FC1C97"/>
    <w:rsid w:val="00FC26BF"/>
    <w:rsid w:val="00FC423E"/>
    <w:rsid w:val="00FC523E"/>
    <w:rsid w:val="00FC6CE0"/>
    <w:rsid w:val="00FC7232"/>
    <w:rsid w:val="00FC7525"/>
    <w:rsid w:val="00FD1A30"/>
    <w:rsid w:val="00FD418F"/>
    <w:rsid w:val="00FD4365"/>
    <w:rsid w:val="00FD4D39"/>
    <w:rsid w:val="00FD4F52"/>
    <w:rsid w:val="00FD532F"/>
    <w:rsid w:val="00FE1EF3"/>
    <w:rsid w:val="00FE315D"/>
    <w:rsid w:val="00FE3182"/>
    <w:rsid w:val="00FE41E1"/>
    <w:rsid w:val="00FE55F1"/>
    <w:rsid w:val="00FF213C"/>
    <w:rsid w:val="00FF4D81"/>
    <w:rsid w:val="00FF75F5"/>
    <w:rsid w:val="0103164E"/>
    <w:rsid w:val="0106405D"/>
    <w:rsid w:val="010C3E21"/>
    <w:rsid w:val="01101675"/>
    <w:rsid w:val="011473B7"/>
    <w:rsid w:val="01167762"/>
    <w:rsid w:val="011B6997"/>
    <w:rsid w:val="01284C10"/>
    <w:rsid w:val="012E3330"/>
    <w:rsid w:val="013637D1"/>
    <w:rsid w:val="01395070"/>
    <w:rsid w:val="014B08FF"/>
    <w:rsid w:val="01514167"/>
    <w:rsid w:val="01541EA9"/>
    <w:rsid w:val="01543C57"/>
    <w:rsid w:val="01545A05"/>
    <w:rsid w:val="0156352C"/>
    <w:rsid w:val="01592D24"/>
    <w:rsid w:val="015B3238"/>
    <w:rsid w:val="015B4FE6"/>
    <w:rsid w:val="016025FC"/>
    <w:rsid w:val="01633E9B"/>
    <w:rsid w:val="016A347B"/>
    <w:rsid w:val="01761E20"/>
    <w:rsid w:val="01775986"/>
    <w:rsid w:val="01785B98"/>
    <w:rsid w:val="0179129D"/>
    <w:rsid w:val="018067FB"/>
    <w:rsid w:val="01822573"/>
    <w:rsid w:val="01825D39"/>
    <w:rsid w:val="01826A17"/>
    <w:rsid w:val="018372BC"/>
    <w:rsid w:val="0187402D"/>
    <w:rsid w:val="018A58CB"/>
    <w:rsid w:val="018E7ABF"/>
    <w:rsid w:val="018F2EE2"/>
    <w:rsid w:val="018F6A3E"/>
    <w:rsid w:val="019404F8"/>
    <w:rsid w:val="0198796C"/>
    <w:rsid w:val="01995B0E"/>
    <w:rsid w:val="019A5F8D"/>
    <w:rsid w:val="019B3634"/>
    <w:rsid w:val="019D55FE"/>
    <w:rsid w:val="019D73AC"/>
    <w:rsid w:val="019E3125"/>
    <w:rsid w:val="01AD6E7F"/>
    <w:rsid w:val="01AE15BA"/>
    <w:rsid w:val="01AF5332"/>
    <w:rsid w:val="01B110AA"/>
    <w:rsid w:val="01B464A4"/>
    <w:rsid w:val="01BD17FD"/>
    <w:rsid w:val="01BE7323"/>
    <w:rsid w:val="01C133B8"/>
    <w:rsid w:val="01C40DDD"/>
    <w:rsid w:val="01C456AC"/>
    <w:rsid w:val="01CC1A40"/>
    <w:rsid w:val="01D134FA"/>
    <w:rsid w:val="01D152A8"/>
    <w:rsid w:val="01DB1C83"/>
    <w:rsid w:val="01DD3C4D"/>
    <w:rsid w:val="01E07299"/>
    <w:rsid w:val="01F40F97"/>
    <w:rsid w:val="01F80A87"/>
    <w:rsid w:val="01FA47FF"/>
    <w:rsid w:val="020F2171"/>
    <w:rsid w:val="02145195"/>
    <w:rsid w:val="021F7DC1"/>
    <w:rsid w:val="022C24DE"/>
    <w:rsid w:val="022E26FA"/>
    <w:rsid w:val="022F6BF0"/>
    <w:rsid w:val="02315D47"/>
    <w:rsid w:val="02331ABF"/>
    <w:rsid w:val="0233386D"/>
    <w:rsid w:val="024261A6"/>
    <w:rsid w:val="024B4ABA"/>
    <w:rsid w:val="02510197"/>
    <w:rsid w:val="02555ED9"/>
    <w:rsid w:val="025739FF"/>
    <w:rsid w:val="025D4D8E"/>
    <w:rsid w:val="025D6B3C"/>
    <w:rsid w:val="0264611C"/>
    <w:rsid w:val="02693733"/>
    <w:rsid w:val="02725307"/>
    <w:rsid w:val="0281282A"/>
    <w:rsid w:val="02906F11"/>
    <w:rsid w:val="02935B81"/>
    <w:rsid w:val="02954528"/>
    <w:rsid w:val="029A1B3E"/>
    <w:rsid w:val="029A7D90"/>
    <w:rsid w:val="029B70E4"/>
    <w:rsid w:val="02A3645B"/>
    <w:rsid w:val="02AE1145"/>
    <w:rsid w:val="02B0310F"/>
    <w:rsid w:val="02B20C36"/>
    <w:rsid w:val="02B40E52"/>
    <w:rsid w:val="02B71B0E"/>
    <w:rsid w:val="02BA21E0"/>
    <w:rsid w:val="02BC3862"/>
    <w:rsid w:val="02BC7D06"/>
    <w:rsid w:val="02BE582C"/>
    <w:rsid w:val="02BF64DF"/>
    <w:rsid w:val="02C10E79"/>
    <w:rsid w:val="02C1356F"/>
    <w:rsid w:val="02CE17E8"/>
    <w:rsid w:val="02D212D8"/>
    <w:rsid w:val="02D45050"/>
    <w:rsid w:val="02DA1F3A"/>
    <w:rsid w:val="02DC5A07"/>
    <w:rsid w:val="02DF57A3"/>
    <w:rsid w:val="02E37041"/>
    <w:rsid w:val="02EB64A7"/>
    <w:rsid w:val="02ED4364"/>
    <w:rsid w:val="02EF1E8A"/>
    <w:rsid w:val="02F778BD"/>
    <w:rsid w:val="02FE3E7B"/>
    <w:rsid w:val="03011BBD"/>
    <w:rsid w:val="0308368E"/>
    <w:rsid w:val="030A6CC4"/>
    <w:rsid w:val="030D0562"/>
    <w:rsid w:val="030D40BE"/>
    <w:rsid w:val="03121468"/>
    <w:rsid w:val="0316433C"/>
    <w:rsid w:val="03195159"/>
    <w:rsid w:val="03196F07"/>
    <w:rsid w:val="031C2553"/>
    <w:rsid w:val="03280EF8"/>
    <w:rsid w:val="032D650E"/>
    <w:rsid w:val="032D6DE7"/>
    <w:rsid w:val="03354231"/>
    <w:rsid w:val="033B35FB"/>
    <w:rsid w:val="033C2BF5"/>
    <w:rsid w:val="03411FB9"/>
    <w:rsid w:val="034B4BE6"/>
    <w:rsid w:val="03511AD9"/>
    <w:rsid w:val="035148F2"/>
    <w:rsid w:val="03525F75"/>
    <w:rsid w:val="0356223D"/>
    <w:rsid w:val="035717DD"/>
    <w:rsid w:val="03655CA8"/>
    <w:rsid w:val="036A1510"/>
    <w:rsid w:val="036F6B27"/>
    <w:rsid w:val="037759DB"/>
    <w:rsid w:val="037979A5"/>
    <w:rsid w:val="03802AE2"/>
    <w:rsid w:val="03822C68"/>
    <w:rsid w:val="0388408C"/>
    <w:rsid w:val="0394658D"/>
    <w:rsid w:val="039C5442"/>
    <w:rsid w:val="039F2BBC"/>
    <w:rsid w:val="03B17C92"/>
    <w:rsid w:val="03B44E81"/>
    <w:rsid w:val="03B60BF9"/>
    <w:rsid w:val="03B75CC0"/>
    <w:rsid w:val="03B95FF4"/>
    <w:rsid w:val="03C01FEA"/>
    <w:rsid w:val="03C2759E"/>
    <w:rsid w:val="03C30C20"/>
    <w:rsid w:val="03C85AA2"/>
    <w:rsid w:val="03C9092D"/>
    <w:rsid w:val="03D66BA6"/>
    <w:rsid w:val="03D96AC5"/>
    <w:rsid w:val="03DB240E"/>
    <w:rsid w:val="03E219EE"/>
    <w:rsid w:val="03E312C3"/>
    <w:rsid w:val="03E5328D"/>
    <w:rsid w:val="03F217C1"/>
    <w:rsid w:val="03F67248"/>
    <w:rsid w:val="03FA6D38"/>
    <w:rsid w:val="03FF434E"/>
    <w:rsid w:val="040354C1"/>
    <w:rsid w:val="04043713"/>
    <w:rsid w:val="04051239"/>
    <w:rsid w:val="0408409C"/>
    <w:rsid w:val="04117BDE"/>
    <w:rsid w:val="04133956"/>
    <w:rsid w:val="04180F6C"/>
    <w:rsid w:val="04194CE4"/>
    <w:rsid w:val="041D47A4"/>
    <w:rsid w:val="041F054D"/>
    <w:rsid w:val="04221DEB"/>
    <w:rsid w:val="04247911"/>
    <w:rsid w:val="042518DB"/>
    <w:rsid w:val="04275653"/>
    <w:rsid w:val="04277401"/>
    <w:rsid w:val="042913CB"/>
    <w:rsid w:val="04293179"/>
    <w:rsid w:val="042D7C0E"/>
    <w:rsid w:val="0431202E"/>
    <w:rsid w:val="043438CC"/>
    <w:rsid w:val="04447FB3"/>
    <w:rsid w:val="04461F7D"/>
    <w:rsid w:val="04477AA3"/>
    <w:rsid w:val="044B1342"/>
    <w:rsid w:val="044C6E68"/>
    <w:rsid w:val="045F303F"/>
    <w:rsid w:val="04602913"/>
    <w:rsid w:val="046643CE"/>
    <w:rsid w:val="04671EF4"/>
    <w:rsid w:val="04674E6C"/>
    <w:rsid w:val="04700DA8"/>
    <w:rsid w:val="04706FFA"/>
    <w:rsid w:val="0475016D"/>
    <w:rsid w:val="04762137"/>
    <w:rsid w:val="047A5783"/>
    <w:rsid w:val="04826D2E"/>
    <w:rsid w:val="04877EA0"/>
    <w:rsid w:val="04900C60"/>
    <w:rsid w:val="049525BD"/>
    <w:rsid w:val="049820AD"/>
    <w:rsid w:val="049A5E25"/>
    <w:rsid w:val="049D6ACC"/>
    <w:rsid w:val="04A86794"/>
    <w:rsid w:val="04BA0275"/>
    <w:rsid w:val="04C17856"/>
    <w:rsid w:val="04D05CEB"/>
    <w:rsid w:val="04D550AF"/>
    <w:rsid w:val="04ED26DD"/>
    <w:rsid w:val="04F36F01"/>
    <w:rsid w:val="05025778"/>
    <w:rsid w:val="05071955"/>
    <w:rsid w:val="0508379F"/>
    <w:rsid w:val="05087233"/>
    <w:rsid w:val="05090EC0"/>
    <w:rsid w:val="050B36B6"/>
    <w:rsid w:val="050E236F"/>
    <w:rsid w:val="05123C0E"/>
    <w:rsid w:val="05137986"/>
    <w:rsid w:val="051E25B2"/>
    <w:rsid w:val="051E3875"/>
    <w:rsid w:val="051F457C"/>
    <w:rsid w:val="052027CE"/>
    <w:rsid w:val="05281683"/>
    <w:rsid w:val="052851DF"/>
    <w:rsid w:val="052B1173"/>
    <w:rsid w:val="0532605E"/>
    <w:rsid w:val="0533125B"/>
    <w:rsid w:val="053E601B"/>
    <w:rsid w:val="05410997"/>
    <w:rsid w:val="05432019"/>
    <w:rsid w:val="05453FE3"/>
    <w:rsid w:val="05485881"/>
    <w:rsid w:val="0548762F"/>
    <w:rsid w:val="054B3D3B"/>
    <w:rsid w:val="054F4EE9"/>
    <w:rsid w:val="055373A5"/>
    <w:rsid w:val="05551D4C"/>
    <w:rsid w:val="05575AC4"/>
    <w:rsid w:val="055E50A5"/>
    <w:rsid w:val="056106F1"/>
    <w:rsid w:val="05614B95"/>
    <w:rsid w:val="05687CD1"/>
    <w:rsid w:val="05706B86"/>
    <w:rsid w:val="05746676"/>
    <w:rsid w:val="058C0013"/>
    <w:rsid w:val="05942874"/>
    <w:rsid w:val="05997B94"/>
    <w:rsid w:val="059B1E55"/>
    <w:rsid w:val="05A70DBE"/>
    <w:rsid w:val="05AA2098"/>
    <w:rsid w:val="05B11678"/>
    <w:rsid w:val="05B178CA"/>
    <w:rsid w:val="05B20F4D"/>
    <w:rsid w:val="05B41169"/>
    <w:rsid w:val="05B9052D"/>
    <w:rsid w:val="05C50C80"/>
    <w:rsid w:val="05C80770"/>
    <w:rsid w:val="05D37841"/>
    <w:rsid w:val="05D44561"/>
    <w:rsid w:val="05DC421B"/>
    <w:rsid w:val="05E82BC0"/>
    <w:rsid w:val="05EA6938"/>
    <w:rsid w:val="05F6352F"/>
    <w:rsid w:val="06007F0A"/>
    <w:rsid w:val="060914B4"/>
    <w:rsid w:val="060C68AF"/>
    <w:rsid w:val="060F2843"/>
    <w:rsid w:val="06112117"/>
    <w:rsid w:val="061121E6"/>
    <w:rsid w:val="061F2A86"/>
    <w:rsid w:val="0624009C"/>
    <w:rsid w:val="06250AAB"/>
    <w:rsid w:val="06257970"/>
    <w:rsid w:val="062E0F1B"/>
    <w:rsid w:val="062F07EF"/>
    <w:rsid w:val="062F259D"/>
    <w:rsid w:val="063302DF"/>
    <w:rsid w:val="06341E69"/>
    <w:rsid w:val="06377530"/>
    <w:rsid w:val="063A78C0"/>
    <w:rsid w:val="063F4ED6"/>
    <w:rsid w:val="063F6C84"/>
    <w:rsid w:val="06450013"/>
    <w:rsid w:val="064A5629"/>
    <w:rsid w:val="064E336B"/>
    <w:rsid w:val="06584B06"/>
    <w:rsid w:val="06585F98"/>
    <w:rsid w:val="065D407D"/>
    <w:rsid w:val="066E1317"/>
    <w:rsid w:val="0671705A"/>
    <w:rsid w:val="0672200D"/>
    <w:rsid w:val="067D155B"/>
    <w:rsid w:val="06824DC3"/>
    <w:rsid w:val="0686402E"/>
    <w:rsid w:val="06910BEE"/>
    <w:rsid w:val="06963AFE"/>
    <w:rsid w:val="069F7723"/>
    <w:rsid w:val="06A27213"/>
    <w:rsid w:val="06AB5586"/>
    <w:rsid w:val="06B64308"/>
    <w:rsid w:val="06BE6A51"/>
    <w:rsid w:val="06C278B5"/>
    <w:rsid w:val="06C90C44"/>
    <w:rsid w:val="06CB44B7"/>
    <w:rsid w:val="06CF5125"/>
    <w:rsid w:val="06DA69AD"/>
    <w:rsid w:val="06DD649D"/>
    <w:rsid w:val="06E23AB3"/>
    <w:rsid w:val="06EB0BBA"/>
    <w:rsid w:val="06EE20B1"/>
    <w:rsid w:val="07034156"/>
    <w:rsid w:val="071874D5"/>
    <w:rsid w:val="071A4FFB"/>
    <w:rsid w:val="071C5217"/>
    <w:rsid w:val="07261BF2"/>
    <w:rsid w:val="07287718"/>
    <w:rsid w:val="072B545A"/>
    <w:rsid w:val="072D4D2F"/>
    <w:rsid w:val="073018FB"/>
    <w:rsid w:val="07322F04"/>
    <w:rsid w:val="07342561"/>
    <w:rsid w:val="073A744C"/>
    <w:rsid w:val="073E6F3C"/>
    <w:rsid w:val="073F4A62"/>
    <w:rsid w:val="074327A4"/>
    <w:rsid w:val="07481B68"/>
    <w:rsid w:val="074A1D85"/>
    <w:rsid w:val="074F4C03"/>
    <w:rsid w:val="075A189C"/>
    <w:rsid w:val="075A7AEE"/>
    <w:rsid w:val="075B63E2"/>
    <w:rsid w:val="075D28A2"/>
    <w:rsid w:val="075E313A"/>
    <w:rsid w:val="07626558"/>
    <w:rsid w:val="076D7821"/>
    <w:rsid w:val="077216DE"/>
    <w:rsid w:val="07723089"/>
    <w:rsid w:val="07740BAF"/>
    <w:rsid w:val="0775523F"/>
    <w:rsid w:val="0776134C"/>
    <w:rsid w:val="077741FC"/>
    <w:rsid w:val="077E558A"/>
    <w:rsid w:val="07866B35"/>
    <w:rsid w:val="0797489E"/>
    <w:rsid w:val="07990616"/>
    <w:rsid w:val="07A20EDD"/>
    <w:rsid w:val="07AB7D7F"/>
    <w:rsid w:val="07B134A9"/>
    <w:rsid w:val="07B1625B"/>
    <w:rsid w:val="07B23486"/>
    <w:rsid w:val="07B516BC"/>
    <w:rsid w:val="07B74F40"/>
    <w:rsid w:val="07BB67DE"/>
    <w:rsid w:val="07BE007D"/>
    <w:rsid w:val="07C03DF5"/>
    <w:rsid w:val="07C05BA3"/>
    <w:rsid w:val="07C733D5"/>
    <w:rsid w:val="07CA07CF"/>
    <w:rsid w:val="07CD02C0"/>
    <w:rsid w:val="07D23B28"/>
    <w:rsid w:val="07D41268"/>
    <w:rsid w:val="07D72EEC"/>
    <w:rsid w:val="07D93108"/>
    <w:rsid w:val="07D96E9C"/>
    <w:rsid w:val="07DB401C"/>
    <w:rsid w:val="07DC0503"/>
    <w:rsid w:val="07DF7E70"/>
    <w:rsid w:val="07E01DA1"/>
    <w:rsid w:val="07E07FF3"/>
    <w:rsid w:val="07E31891"/>
    <w:rsid w:val="07E5385B"/>
    <w:rsid w:val="07E67F1D"/>
    <w:rsid w:val="07EC2E3C"/>
    <w:rsid w:val="07EC6998"/>
    <w:rsid w:val="07F414F5"/>
    <w:rsid w:val="07F43A9E"/>
    <w:rsid w:val="07F615C4"/>
    <w:rsid w:val="07F910B5"/>
    <w:rsid w:val="08030185"/>
    <w:rsid w:val="080A32C2"/>
    <w:rsid w:val="080A5070"/>
    <w:rsid w:val="080F2686"/>
    <w:rsid w:val="08114650"/>
    <w:rsid w:val="081303C8"/>
    <w:rsid w:val="081859DF"/>
    <w:rsid w:val="081C4DA3"/>
    <w:rsid w:val="0822060B"/>
    <w:rsid w:val="0825634E"/>
    <w:rsid w:val="082A6064"/>
    <w:rsid w:val="082D0D5E"/>
    <w:rsid w:val="082F2D28"/>
    <w:rsid w:val="082F4AD6"/>
    <w:rsid w:val="083420ED"/>
    <w:rsid w:val="08346591"/>
    <w:rsid w:val="08362309"/>
    <w:rsid w:val="08362BC8"/>
    <w:rsid w:val="084560A8"/>
    <w:rsid w:val="084E7652"/>
    <w:rsid w:val="08534B88"/>
    <w:rsid w:val="085D7896"/>
    <w:rsid w:val="08634780"/>
    <w:rsid w:val="08640C24"/>
    <w:rsid w:val="087071EE"/>
    <w:rsid w:val="08713341"/>
    <w:rsid w:val="08730E67"/>
    <w:rsid w:val="087573C0"/>
    <w:rsid w:val="087F5A5E"/>
    <w:rsid w:val="088E3EF3"/>
    <w:rsid w:val="08955281"/>
    <w:rsid w:val="089963F4"/>
    <w:rsid w:val="089D4136"/>
    <w:rsid w:val="08A2799E"/>
    <w:rsid w:val="08A52FEB"/>
    <w:rsid w:val="08B35707"/>
    <w:rsid w:val="08B5322E"/>
    <w:rsid w:val="08B84ACC"/>
    <w:rsid w:val="08C47915"/>
    <w:rsid w:val="08C571E9"/>
    <w:rsid w:val="08C90A87"/>
    <w:rsid w:val="08CE2541"/>
    <w:rsid w:val="08CE78BD"/>
    <w:rsid w:val="08D00067"/>
    <w:rsid w:val="08D31906"/>
    <w:rsid w:val="08D5567E"/>
    <w:rsid w:val="08D613F6"/>
    <w:rsid w:val="08DB6A0C"/>
    <w:rsid w:val="08E43B13"/>
    <w:rsid w:val="08E753B1"/>
    <w:rsid w:val="08E91129"/>
    <w:rsid w:val="08F0070A"/>
    <w:rsid w:val="08F062C2"/>
    <w:rsid w:val="08F33D56"/>
    <w:rsid w:val="090146C5"/>
    <w:rsid w:val="09016473"/>
    <w:rsid w:val="090715AF"/>
    <w:rsid w:val="09077801"/>
    <w:rsid w:val="09081D34"/>
    <w:rsid w:val="090B19E1"/>
    <w:rsid w:val="0910646C"/>
    <w:rsid w:val="09137F54"/>
    <w:rsid w:val="09151F1E"/>
    <w:rsid w:val="09175C96"/>
    <w:rsid w:val="09185B72"/>
    <w:rsid w:val="0922463B"/>
    <w:rsid w:val="09297778"/>
    <w:rsid w:val="092B34F0"/>
    <w:rsid w:val="092D4DAB"/>
    <w:rsid w:val="093A1985"/>
    <w:rsid w:val="093C74AB"/>
    <w:rsid w:val="09410F65"/>
    <w:rsid w:val="09436A8B"/>
    <w:rsid w:val="09491A2C"/>
    <w:rsid w:val="094C3466"/>
    <w:rsid w:val="094E71DE"/>
    <w:rsid w:val="09510A7C"/>
    <w:rsid w:val="095A3DD5"/>
    <w:rsid w:val="0960548E"/>
    <w:rsid w:val="096802A0"/>
    <w:rsid w:val="096D3B08"/>
    <w:rsid w:val="096E0694"/>
    <w:rsid w:val="0970184A"/>
    <w:rsid w:val="097053A7"/>
    <w:rsid w:val="09726D61"/>
    <w:rsid w:val="09727371"/>
    <w:rsid w:val="09772BD9"/>
    <w:rsid w:val="097D3E59"/>
    <w:rsid w:val="09815806"/>
    <w:rsid w:val="09834B42"/>
    <w:rsid w:val="098E3A7F"/>
    <w:rsid w:val="098F1CD1"/>
    <w:rsid w:val="099739D0"/>
    <w:rsid w:val="099866AB"/>
    <w:rsid w:val="099E0166"/>
    <w:rsid w:val="09A60DC8"/>
    <w:rsid w:val="09AC6517"/>
    <w:rsid w:val="09AF4121"/>
    <w:rsid w:val="09B259BF"/>
    <w:rsid w:val="09B42F1C"/>
    <w:rsid w:val="09C35E1E"/>
    <w:rsid w:val="09C53944"/>
    <w:rsid w:val="09C6146A"/>
    <w:rsid w:val="09C83435"/>
    <w:rsid w:val="09C95AF0"/>
    <w:rsid w:val="09CA0F5B"/>
    <w:rsid w:val="09CF6571"/>
    <w:rsid w:val="09D73678"/>
    <w:rsid w:val="09D9119E"/>
    <w:rsid w:val="09E15530"/>
    <w:rsid w:val="09E55D95"/>
    <w:rsid w:val="09EC7123"/>
    <w:rsid w:val="09F47D86"/>
    <w:rsid w:val="09F9539C"/>
    <w:rsid w:val="09FB2800"/>
    <w:rsid w:val="09FD121A"/>
    <w:rsid w:val="0A03446D"/>
    <w:rsid w:val="0A037FC9"/>
    <w:rsid w:val="0A0F2E11"/>
    <w:rsid w:val="0A0F4BBF"/>
    <w:rsid w:val="0A171CC6"/>
    <w:rsid w:val="0A195A3E"/>
    <w:rsid w:val="0A1B17B6"/>
    <w:rsid w:val="0A1B58FF"/>
    <w:rsid w:val="0A256191"/>
    <w:rsid w:val="0A2C5771"/>
    <w:rsid w:val="0A312D88"/>
    <w:rsid w:val="0A40121D"/>
    <w:rsid w:val="0A40746F"/>
    <w:rsid w:val="0A432ABB"/>
    <w:rsid w:val="0A456833"/>
    <w:rsid w:val="0A4A3E4A"/>
    <w:rsid w:val="0A51342A"/>
    <w:rsid w:val="0A5151D8"/>
    <w:rsid w:val="0A516F86"/>
    <w:rsid w:val="0A590531"/>
    <w:rsid w:val="0A5B6057"/>
    <w:rsid w:val="0A5D1DCF"/>
    <w:rsid w:val="0A5D206A"/>
    <w:rsid w:val="0A5E7487"/>
    <w:rsid w:val="0A60366D"/>
    <w:rsid w:val="0A634F0B"/>
    <w:rsid w:val="0A690774"/>
    <w:rsid w:val="0A692E8E"/>
    <w:rsid w:val="0A6A1AB0"/>
    <w:rsid w:val="0A6C2012"/>
    <w:rsid w:val="0A6D7B49"/>
    <w:rsid w:val="0A6F565E"/>
    <w:rsid w:val="0A747118"/>
    <w:rsid w:val="0A7B1045"/>
    <w:rsid w:val="0A821835"/>
    <w:rsid w:val="0A8455AD"/>
    <w:rsid w:val="0A84735B"/>
    <w:rsid w:val="0A8729A8"/>
    <w:rsid w:val="0A8A2498"/>
    <w:rsid w:val="0A8D3D36"/>
    <w:rsid w:val="0A951569"/>
    <w:rsid w:val="0A960E3D"/>
    <w:rsid w:val="0A9B46A5"/>
    <w:rsid w:val="0AA236FF"/>
    <w:rsid w:val="0AA417AC"/>
    <w:rsid w:val="0AA479FE"/>
    <w:rsid w:val="0AA51080"/>
    <w:rsid w:val="0AAE6F90"/>
    <w:rsid w:val="0AB45767"/>
    <w:rsid w:val="0ABF65E6"/>
    <w:rsid w:val="0AC92FC0"/>
    <w:rsid w:val="0AC97464"/>
    <w:rsid w:val="0ACA2CA7"/>
    <w:rsid w:val="0ACC0D02"/>
    <w:rsid w:val="0AD100C7"/>
    <w:rsid w:val="0AD11D45"/>
    <w:rsid w:val="0AD32091"/>
    <w:rsid w:val="0AD656DD"/>
    <w:rsid w:val="0ADB2CF4"/>
    <w:rsid w:val="0ADF0F5E"/>
    <w:rsid w:val="0ADF4C24"/>
    <w:rsid w:val="0AE0655C"/>
    <w:rsid w:val="0AE4604C"/>
    <w:rsid w:val="0AE71698"/>
    <w:rsid w:val="0AE903B8"/>
    <w:rsid w:val="0AF04AB4"/>
    <w:rsid w:val="0AF3003D"/>
    <w:rsid w:val="0AF47DF3"/>
    <w:rsid w:val="0AF67B2D"/>
    <w:rsid w:val="0AFF2E86"/>
    <w:rsid w:val="0B016BFE"/>
    <w:rsid w:val="0B04049C"/>
    <w:rsid w:val="0B0926BC"/>
    <w:rsid w:val="0B095AB3"/>
    <w:rsid w:val="0B097861"/>
    <w:rsid w:val="0B0B182B"/>
    <w:rsid w:val="0B1701D0"/>
    <w:rsid w:val="0B1873A5"/>
    <w:rsid w:val="0B1A6CF9"/>
    <w:rsid w:val="0B1B1342"/>
    <w:rsid w:val="0B256440"/>
    <w:rsid w:val="0B2B77D7"/>
    <w:rsid w:val="0B2D6095"/>
    <w:rsid w:val="0B372620"/>
    <w:rsid w:val="0B422D73"/>
    <w:rsid w:val="0B444D3D"/>
    <w:rsid w:val="0B4D1E43"/>
    <w:rsid w:val="0B521208"/>
    <w:rsid w:val="0B5221AF"/>
    <w:rsid w:val="0B5605CC"/>
    <w:rsid w:val="0B5A630E"/>
    <w:rsid w:val="0B5B5EC2"/>
    <w:rsid w:val="0B5C5BE2"/>
    <w:rsid w:val="0B5D7BAD"/>
    <w:rsid w:val="0B5F3925"/>
    <w:rsid w:val="0B633694"/>
    <w:rsid w:val="0B642CE9"/>
    <w:rsid w:val="0B680A2B"/>
    <w:rsid w:val="0B7218AA"/>
    <w:rsid w:val="0B7462A1"/>
    <w:rsid w:val="0B792C38"/>
    <w:rsid w:val="0B7C44D7"/>
    <w:rsid w:val="0B7D1FFD"/>
    <w:rsid w:val="0B896BF3"/>
    <w:rsid w:val="0B8B296C"/>
    <w:rsid w:val="0B8D0492"/>
    <w:rsid w:val="0B925AA8"/>
    <w:rsid w:val="0B980BE5"/>
    <w:rsid w:val="0B994743"/>
    <w:rsid w:val="0B996E37"/>
    <w:rsid w:val="0BA16641"/>
    <w:rsid w:val="0BA47589"/>
    <w:rsid w:val="0BA852CC"/>
    <w:rsid w:val="0BA94BA0"/>
    <w:rsid w:val="0BB05F2E"/>
    <w:rsid w:val="0BB21CA6"/>
    <w:rsid w:val="0BB2614A"/>
    <w:rsid w:val="0BB377CC"/>
    <w:rsid w:val="0BC813B2"/>
    <w:rsid w:val="0BCD2653"/>
    <w:rsid w:val="0BD53BE7"/>
    <w:rsid w:val="0BDE0CED"/>
    <w:rsid w:val="0BDE6F3F"/>
    <w:rsid w:val="0BE1433A"/>
    <w:rsid w:val="0BEB6F66"/>
    <w:rsid w:val="0BEF4CA9"/>
    <w:rsid w:val="0BF40511"/>
    <w:rsid w:val="0C0C4022"/>
    <w:rsid w:val="0C104C1F"/>
    <w:rsid w:val="0C175FAD"/>
    <w:rsid w:val="0C1A784C"/>
    <w:rsid w:val="0C1B5A9E"/>
    <w:rsid w:val="0C1E10EA"/>
    <w:rsid w:val="0C236700"/>
    <w:rsid w:val="0C261DCE"/>
    <w:rsid w:val="0C2D757F"/>
    <w:rsid w:val="0C3923C8"/>
    <w:rsid w:val="0C3B3464"/>
    <w:rsid w:val="0C3B7EEE"/>
    <w:rsid w:val="0C3D1EB8"/>
    <w:rsid w:val="0C41076F"/>
    <w:rsid w:val="0C445A9E"/>
    <w:rsid w:val="0C474054"/>
    <w:rsid w:val="0C4A0131"/>
    <w:rsid w:val="0C4D7C21"/>
    <w:rsid w:val="0C547201"/>
    <w:rsid w:val="0C57284E"/>
    <w:rsid w:val="0C5745FC"/>
    <w:rsid w:val="0C580AA0"/>
    <w:rsid w:val="0C5D60B6"/>
    <w:rsid w:val="0C5E3BDC"/>
    <w:rsid w:val="0C5E598A"/>
    <w:rsid w:val="0C605BA6"/>
    <w:rsid w:val="0C607954"/>
    <w:rsid w:val="0C61547A"/>
    <w:rsid w:val="0C632FA1"/>
    <w:rsid w:val="0C727688"/>
    <w:rsid w:val="0C7962FE"/>
    <w:rsid w:val="0C801DA5"/>
    <w:rsid w:val="0C807FF6"/>
    <w:rsid w:val="0C874EE1"/>
    <w:rsid w:val="0C8A677F"/>
    <w:rsid w:val="0C8F023A"/>
    <w:rsid w:val="0CA041F5"/>
    <w:rsid w:val="0CAC6BB6"/>
    <w:rsid w:val="0CAD246E"/>
    <w:rsid w:val="0CAF4438"/>
    <w:rsid w:val="0CB33F28"/>
    <w:rsid w:val="0CB47CA0"/>
    <w:rsid w:val="0CB641E8"/>
    <w:rsid w:val="0CB657C6"/>
    <w:rsid w:val="0CB67574"/>
    <w:rsid w:val="0CBD0903"/>
    <w:rsid w:val="0CBD6B55"/>
    <w:rsid w:val="0CC06645"/>
    <w:rsid w:val="0CC2416B"/>
    <w:rsid w:val="0CC34F37"/>
    <w:rsid w:val="0CC7352F"/>
    <w:rsid w:val="0CCA3020"/>
    <w:rsid w:val="0CD45C4C"/>
    <w:rsid w:val="0CEA1C84"/>
    <w:rsid w:val="0CF27FD7"/>
    <w:rsid w:val="0CF62067"/>
    <w:rsid w:val="0CFD33F5"/>
    <w:rsid w:val="0CFF0F1B"/>
    <w:rsid w:val="0D006A41"/>
    <w:rsid w:val="0D020643"/>
    <w:rsid w:val="0D026C5D"/>
    <w:rsid w:val="0D027920"/>
    <w:rsid w:val="0D062877"/>
    <w:rsid w:val="0D076022"/>
    <w:rsid w:val="0D136775"/>
    <w:rsid w:val="0D1F15BD"/>
    <w:rsid w:val="0D240982"/>
    <w:rsid w:val="0D2564A8"/>
    <w:rsid w:val="0D270472"/>
    <w:rsid w:val="0D2E13F2"/>
    <w:rsid w:val="0D2E35AF"/>
    <w:rsid w:val="0D366907"/>
    <w:rsid w:val="0D395874"/>
    <w:rsid w:val="0D3A63F7"/>
    <w:rsid w:val="0D4E59FF"/>
    <w:rsid w:val="0D505C1B"/>
    <w:rsid w:val="0D5D5C42"/>
    <w:rsid w:val="0D6671EC"/>
    <w:rsid w:val="0D7116ED"/>
    <w:rsid w:val="0D782A7C"/>
    <w:rsid w:val="0D784C24"/>
    <w:rsid w:val="0D7A4A46"/>
    <w:rsid w:val="0D7D4536"/>
    <w:rsid w:val="0D814026"/>
    <w:rsid w:val="0D841421"/>
    <w:rsid w:val="0D844E64"/>
    <w:rsid w:val="0D864353"/>
    <w:rsid w:val="0D887163"/>
    <w:rsid w:val="0D8A1F3D"/>
    <w:rsid w:val="0D8B27AF"/>
    <w:rsid w:val="0D950425"/>
    <w:rsid w:val="0D957AD2"/>
    <w:rsid w:val="0D975FF4"/>
    <w:rsid w:val="0D9A2BAA"/>
    <w:rsid w:val="0D9C49BC"/>
    <w:rsid w:val="0DA129FB"/>
    <w:rsid w:val="0DA815B3"/>
    <w:rsid w:val="0DA90385"/>
    <w:rsid w:val="0DA9532B"/>
    <w:rsid w:val="0DAE46EF"/>
    <w:rsid w:val="0DAE649D"/>
    <w:rsid w:val="0DB77A48"/>
    <w:rsid w:val="0DB8556E"/>
    <w:rsid w:val="0DBB6D5E"/>
    <w:rsid w:val="0DBC0BBA"/>
    <w:rsid w:val="0DBE0DD6"/>
    <w:rsid w:val="0DC44067"/>
    <w:rsid w:val="0DC45CC1"/>
    <w:rsid w:val="0DC7755F"/>
    <w:rsid w:val="0DC932D7"/>
    <w:rsid w:val="0DCB34F3"/>
    <w:rsid w:val="0DCF792E"/>
    <w:rsid w:val="0DD4773F"/>
    <w:rsid w:val="0DD505F0"/>
    <w:rsid w:val="0DD6470C"/>
    <w:rsid w:val="0DD8176C"/>
    <w:rsid w:val="0DD81E33"/>
    <w:rsid w:val="0DDA3736"/>
    <w:rsid w:val="0DDC125D"/>
    <w:rsid w:val="0DE04A0B"/>
    <w:rsid w:val="0DE574E6"/>
    <w:rsid w:val="0DE85ED6"/>
    <w:rsid w:val="0DEA5E6A"/>
    <w:rsid w:val="0DEB4982"/>
    <w:rsid w:val="0DEB76F2"/>
    <w:rsid w:val="0DEE0F90"/>
    <w:rsid w:val="0DF447F8"/>
    <w:rsid w:val="0DFC18FF"/>
    <w:rsid w:val="0DFC36FB"/>
    <w:rsid w:val="0DFE7425"/>
    <w:rsid w:val="0DFF319D"/>
    <w:rsid w:val="0E082052"/>
    <w:rsid w:val="0E0D74C3"/>
    <w:rsid w:val="0E121122"/>
    <w:rsid w:val="0E15651D"/>
    <w:rsid w:val="0E1C5AFD"/>
    <w:rsid w:val="0E1F1149"/>
    <w:rsid w:val="0E26072A"/>
    <w:rsid w:val="0E263B19"/>
    <w:rsid w:val="0E2C21E4"/>
    <w:rsid w:val="0E3015A8"/>
    <w:rsid w:val="0E356BBF"/>
    <w:rsid w:val="0E372937"/>
    <w:rsid w:val="0E375F44"/>
    <w:rsid w:val="0E3E7DA6"/>
    <w:rsid w:val="0E4114E6"/>
    <w:rsid w:val="0E415563"/>
    <w:rsid w:val="0E464928"/>
    <w:rsid w:val="0E506DB7"/>
    <w:rsid w:val="0E5559B0"/>
    <w:rsid w:val="0E5B4877"/>
    <w:rsid w:val="0E601E8E"/>
    <w:rsid w:val="0E653000"/>
    <w:rsid w:val="0E6574A4"/>
    <w:rsid w:val="0E6B25E0"/>
    <w:rsid w:val="0E7C3317"/>
    <w:rsid w:val="0E7D2A40"/>
    <w:rsid w:val="0E7E0566"/>
    <w:rsid w:val="0E811E04"/>
    <w:rsid w:val="0E85495D"/>
    <w:rsid w:val="0E9008CD"/>
    <w:rsid w:val="0E910299"/>
    <w:rsid w:val="0E921AA5"/>
    <w:rsid w:val="0E971374"/>
    <w:rsid w:val="0E9B2EC6"/>
    <w:rsid w:val="0E9F65F4"/>
    <w:rsid w:val="0EA76379"/>
    <w:rsid w:val="0EA77ABC"/>
    <w:rsid w:val="0EAB648E"/>
    <w:rsid w:val="0EAC0C2F"/>
    <w:rsid w:val="0EB2020F"/>
    <w:rsid w:val="0EB37705"/>
    <w:rsid w:val="0EB6385C"/>
    <w:rsid w:val="0EB67D00"/>
    <w:rsid w:val="0EBD108E"/>
    <w:rsid w:val="0EC51CF1"/>
    <w:rsid w:val="0ED41C4B"/>
    <w:rsid w:val="0EE02FCE"/>
    <w:rsid w:val="0EE26D46"/>
    <w:rsid w:val="0EE7435D"/>
    <w:rsid w:val="0EE91E83"/>
    <w:rsid w:val="0EEA1757"/>
    <w:rsid w:val="0EEA5BFB"/>
    <w:rsid w:val="0EEC54CF"/>
    <w:rsid w:val="0EF10D38"/>
    <w:rsid w:val="0EF34E2C"/>
    <w:rsid w:val="0EF44384"/>
    <w:rsid w:val="0EF64C2F"/>
    <w:rsid w:val="0EFC3B45"/>
    <w:rsid w:val="0EFE3455"/>
    <w:rsid w:val="0F0103B1"/>
    <w:rsid w:val="0F011B8B"/>
    <w:rsid w:val="0F0D26CC"/>
    <w:rsid w:val="0F126021"/>
    <w:rsid w:val="0F155CD5"/>
    <w:rsid w:val="0F16254C"/>
    <w:rsid w:val="0F184ADA"/>
    <w:rsid w:val="0F191599"/>
    <w:rsid w:val="0F234C69"/>
    <w:rsid w:val="0F24110D"/>
    <w:rsid w:val="0F247CAD"/>
    <w:rsid w:val="0F25585D"/>
    <w:rsid w:val="0F276507"/>
    <w:rsid w:val="0F29227F"/>
    <w:rsid w:val="0F2C6178"/>
    <w:rsid w:val="0F3330FE"/>
    <w:rsid w:val="0F334EAC"/>
    <w:rsid w:val="0F360E40"/>
    <w:rsid w:val="0F39623B"/>
    <w:rsid w:val="0F3B6457"/>
    <w:rsid w:val="0F44355D"/>
    <w:rsid w:val="0F4470B9"/>
    <w:rsid w:val="0F4B669A"/>
    <w:rsid w:val="0F4C0664"/>
    <w:rsid w:val="0F4E0A0C"/>
    <w:rsid w:val="0F517A28"/>
    <w:rsid w:val="0F621C35"/>
    <w:rsid w:val="0F655282"/>
    <w:rsid w:val="0F6634D4"/>
    <w:rsid w:val="0F7554C5"/>
    <w:rsid w:val="0F7A0AA7"/>
    <w:rsid w:val="0F7A6F7F"/>
    <w:rsid w:val="0F7F6343"/>
    <w:rsid w:val="0F804919"/>
    <w:rsid w:val="0F84395A"/>
    <w:rsid w:val="0F8442F1"/>
    <w:rsid w:val="0F8E75B2"/>
    <w:rsid w:val="0F9A13CF"/>
    <w:rsid w:val="0F9C5147"/>
    <w:rsid w:val="0FA1669B"/>
    <w:rsid w:val="0FA20284"/>
    <w:rsid w:val="0FB40478"/>
    <w:rsid w:val="0FC33A40"/>
    <w:rsid w:val="0FD20B69"/>
    <w:rsid w:val="0FD77F2D"/>
    <w:rsid w:val="0FD85A54"/>
    <w:rsid w:val="0FDD12BC"/>
    <w:rsid w:val="0FDF3286"/>
    <w:rsid w:val="0FDF5034"/>
    <w:rsid w:val="0FEE34C9"/>
    <w:rsid w:val="0FFA07FB"/>
    <w:rsid w:val="100920B1"/>
    <w:rsid w:val="100B407B"/>
    <w:rsid w:val="100E76C7"/>
    <w:rsid w:val="100F5919"/>
    <w:rsid w:val="10142F30"/>
    <w:rsid w:val="101A2510"/>
    <w:rsid w:val="101C0036"/>
    <w:rsid w:val="102962AF"/>
    <w:rsid w:val="10374E70"/>
    <w:rsid w:val="104906FF"/>
    <w:rsid w:val="104B091B"/>
    <w:rsid w:val="104F5C21"/>
    <w:rsid w:val="10507CE0"/>
    <w:rsid w:val="105651B6"/>
    <w:rsid w:val="105C48D7"/>
    <w:rsid w:val="10656D47"/>
    <w:rsid w:val="1066305F"/>
    <w:rsid w:val="106A6FF4"/>
    <w:rsid w:val="107240FA"/>
    <w:rsid w:val="107F4121"/>
    <w:rsid w:val="10802373"/>
    <w:rsid w:val="10806817"/>
    <w:rsid w:val="10817E99"/>
    <w:rsid w:val="10953945"/>
    <w:rsid w:val="109B53FF"/>
    <w:rsid w:val="109E6C9D"/>
    <w:rsid w:val="10AC760C"/>
    <w:rsid w:val="10B75AD1"/>
    <w:rsid w:val="10B95885"/>
    <w:rsid w:val="10BF0E4F"/>
    <w:rsid w:val="10C009C2"/>
    <w:rsid w:val="10C20BDE"/>
    <w:rsid w:val="10C34956"/>
    <w:rsid w:val="10CA6968"/>
    <w:rsid w:val="10EF538B"/>
    <w:rsid w:val="10F60887"/>
    <w:rsid w:val="10F66AD9"/>
    <w:rsid w:val="10F845FF"/>
    <w:rsid w:val="10FB7C4C"/>
    <w:rsid w:val="11005262"/>
    <w:rsid w:val="11034D52"/>
    <w:rsid w:val="11056D1C"/>
    <w:rsid w:val="110A4333"/>
    <w:rsid w:val="111164AB"/>
    <w:rsid w:val="111927C8"/>
    <w:rsid w:val="111B209C"/>
    <w:rsid w:val="111D4066"/>
    <w:rsid w:val="111E393A"/>
    <w:rsid w:val="111F7DDE"/>
    <w:rsid w:val="11254CC9"/>
    <w:rsid w:val="112C42A9"/>
    <w:rsid w:val="11312DC0"/>
    <w:rsid w:val="113373E5"/>
    <w:rsid w:val="11366ED6"/>
    <w:rsid w:val="113B273E"/>
    <w:rsid w:val="113E38EC"/>
    <w:rsid w:val="113F222E"/>
    <w:rsid w:val="11423ACC"/>
    <w:rsid w:val="114333A1"/>
    <w:rsid w:val="114701EB"/>
    <w:rsid w:val="114B1B78"/>
    <w:rsid w:val="11511F61"/>
    <w:rsid w:val="115455AE"/>
    <w:rsid w:val="116972AB"/>
    <w:rsid w:val="116B3023"/>
    <w:rsid w:val="11716160"/>
    <w:rsid w:val="11733C86"/>
    <w:rsid w:val="117619C8"/>
    <w:rsid w:val="117874EE"/>
    <w:rsid w:val="117D2D56"/>
    <w:rsid w:val="11812847"/>
    <w:rsid w:val="11875983"/>
    <w:rsid w:val="118848CF"/>
    <w:rsid w:val="11902A8A"/>
    <w:rsid w:val="119105B0"/>
    <w:rsid w:val="11991213"/>
    <w:rsid w:val="119A56B6"/>
    <w:rsid w:val="119B31DD"/>
    <w:rsid w:val="11A93B4C"/>
    <w:rsid w:val="11AC53EA"/>
    <w:rsid w:val="11B60016"/>
    <w:rsid w:val="11BD13A5"/>
    <w:rsid w:val="11BF511D"/>
    <w:rsid w:val="11C049F1"/>
    <w:rsid w:val="11C10E95"/>
    <w:rsid w:val="11C11380"/>
    <w:rsid w:val="11C269BB"/>
    <w:rsid w:val="11C73FD2"/>
    <w:rsid w:val="11C75D80"/>
    <w:rsid w:val="11CB5870"/>
    <w:rsid w:val="11CE5360"/>
    <w:rsid w:val="11D3768E"/>
    <w:rsid w:val="11DA5AB3"/>
    <w:rsid w:val="11E37FA7"/>
    <w:rsid w:val="11E91075"/>
    <w:rsid w:val="11EE155E"/>
    <w:rsid w:val="11EE5FC9"/>
    <w:rsid w:val="11F1104F"/>
    <w:rsid w:val="11F33019"/>
    <w:rsid w:val="11FC1ECD"/>
    <w:rsid w:val="120174E4"/>
    <w:rsid w:val="1202325C"/>
    <w:rsid w:val="12092462"/>
    <w:rsid w:val="120E7E53"/>
    <w:rsid w:val="120F2891"/>
    <w:rsid w:val="121200F6"/>
    <w:rsid w:val="12135469"/>
    <w:rsid w:val="12152F8F"/>
    <w:rsid w:val="121D403F"/>
    <w:rsid w:val="122431D2"/>
    <w:rsid w:val="122F0A2C"/>
    <w:rsid w:val="12374CB3"/>
    <w:rsid w:val="123D6042"/>
    <w:rsid w:val="123F000C"/>
    <w:rsid w:val="12411FD6"/>
    <w:rsid w:val="12442667"/>
    <w:rsid w:val="1246139A"/>
    <w:rsid w:val="12463148"/>
    <w:rsid w:val="124666C8"/>
    <w:rsid w:val="12496F44"/>
    <w:rsid w:val="124A24AF"/>
    <w:rsid w:val="124B4C03"/>
    <w:rsid w:val="124B69B1"/>
    <w:rsid w:val="12505D75"/>
    <w:rsid w:val="12535865"/>
    <w:rsid w:val="12555A81"/>
    <w:rsid w:val="125848EC"/>
    <w:rsid w:val="125A3098"/>
    <w:rsid w:val="125C0BBE"/>
    <w:rsid w:val="12614426"/>
    <w:rsid w:val="12665599"/>
    <w:rsid w:val="12681311"/>
    <w:rsid w:val="126C4A67"/>
    <w:rsid w:val="127759F8"/>
    <w:rsid w:val="127777A6"/>
    <w:rsid w:val="127A55B4"/>
    <w:rsid w:val="127B54E8"/>
    <w:rsid w:val="12851EC3"/>
    <w:rsid w:val="1286241A"/>
    <w:rsid w:val="128B3251"/>
    <w:rsid w:val="12942106"/>
    <w:rsid w:val="129B31AF"/>
    <w:rsid w:val="129E4D32"/>
    <w:rsid w:val="129F7C67"/>
    <w:rsid w:val="12AF0CEE"/>
    <w:rsid w:val="12BB3B36"/>
    <w:rsid w:val="12BC340B"/>
    <w:rsid w:val="12C10A21"/>
    <w:rsid w:val="12C16C73"/>
    <w:rsid w:val="12CF75E2"/>
    <w:rsid w:val="12D76496"/>
    <w:rsid w:val="12DF5486"/>
    <w:rsid w:val="12E2233F"/>
    <w:rsid w:val="12E235A9"/>
    <w:rsid w:val="12E32012"/>
    <w:rsid w:val="12E60488"/>
    <w:rsid w:val="12EA7F78"/>
    <w:rsid w:val="12F6691D"/>
    <w:rsid w:val="130946C9"/>
    <w:rsid w:val="130F5C30"/>
    <w:rsid w:val="13135720"/>
    <w:rsid w:val="13143247"/>
    <w:rsid w:val="131E5E73"/>
    <w:rsid w:val="131E7C21"/>
    <w:rsid w:val="1323348A"/>
    <w:rsid w:val="13261758"/>
    <w:rsid w:val="132711CC"/>
    <w:rsid w:val="1329181A"/>
    <w:rsid w:val="132F7BC5"/>
    <w:rsid w:val="13353083"/>
    <w:rsid w:val="13380DD8"/>
    <w:rsid w:val="133E02C4"/>
    <w:rsid w:val="133E2072"/>
    <w:rsid w:val="133E4052"/>
    <w:rsid w:val="13426006"/>
    <w:rsid w:val="1344521A"/>
    <w:rsid w:val="13460D42"/>
    <w:rsid w:val="134715A1"/>
    <w:rsid w:val="134F24D1"/>
    <w:rsid w:val="135B2C24"/>
    <w:rsid w:val="135D473D"/>
    <w:rsid w:val="1360023A"/>
    <w:rsid w:val="136046DE"/>
    <w:rsid w:val="13645ACB"/>
    <w:rsid w:val="13693592"/>
    <w:rsid w:val="136A2E67"/>
    <w:rsid w:val="136B2FF2"/>
    <w:rsid w:val="13710699"/>
    <w:rsid w:val="13765CAF"/>
    <w:rsid w:val="137B32C6"/>
    <w:rsid w:val="13854144"/>
    <w:rsid w:val="13985C26"/>
    <w:rsid w:val="139879D4"/>
    <w:rsid w:val="139A199E"/>
    <w:rsid w:val="13A740BB"/>
    <w:rsid w:val="13AC16D1"/>
    <w:rsid w:val="13AD4F94"/>
    <w:rsid w:val="13B16CE7"/>
    <w:rsid w:val="13BF1404"/>
    <w:rsid w:val="13C91FE9"/>
    <w:rsid w:val="13CC3B21"/>
    <w:rsid w:val="13CE5AEB"/>
    <w:rsid w:val="13CF471A"/>
    <w:rsid w:val="13D11138"/>
    <w:rsid w:val="13D36C5E"/>
    <w:rsid w:val="13D74550"/>
    <w:rsid w:val="13DF5603"/>
    <w:rsid w:val="13E9022F"/>
    <w:rsid w:val="13E957B5"/>
    <w:rsid w:val="13EB21F9"/>
    <w:rsid w:val="13EC5F71"/>
    <w:rsid w:val="13F54664"/>
    <w:rsid w:val="13F56BD4"/>
    <w:rsid w:val="14096B23"/>
    <w:rsid w:val="141334FE"/>
    <w:rsid w:val="141C495F"/>
    <w:rsid w:val="141D75E8"/>
    <w:rsid w:val="14207171"/>
    <w:rsid w:val="14215C1B"/>
    <w:rsid w:val="14223741"/>
    <w:rsid w:val="142A67B4"/>
    <w:rsid w:val="142B0848"/>
    <w:rsid w:val="142C2815"/>
    <w:rsid w:val="143129F0"/>
    <w:rsid w:val="14327E28"/>
    <w:rsid w:val="143771ED"/>
    <w:rsid w:val="14412BB2"/>
    <w:rsid w:val="1444190A"/>
    <w:rsid w:val="14496F20"/>
    <w:rsid w:val="14506500"/>
    <w:rsid w:val="14537D9F"/>
    <w:rsid w:val="1454194E"/>
    <w:rsid w:val="14627FE2"/>
    <w:rsid w:val="14667AD2"/>
    <w:rsid w:val="14686756"/>
    <w:rsid w:val="146B333A"/>
    <w:rsid w:val="146B50E8"/>
    <w:rsid w:val="146F2D0E"/>
    <w:rsid w:val="14700951"/>
    <w:rsid w:val="147541B9"/>
    <w:rsid w:val="147F2942"/>
    <w:rsid w:val="148461AA"/>
    <w:rsid w:val="14891A12"/>
    <w:rsid w:val="148937C0"/>
    <w:rsid w:val="148B578A"/>
    <w:rsid w:val="14904B4F"/>
    <w:rsid w:val="14962FFE"/>
    <w:rsid w:val="14977C8B"/>
    <w:rsid w:val="14A14FAE"/>
    <w:rsid w:val="14A32AD4"/>
    <w:rsid w:val="14A423A8"/>
    <w:rsid w:val="14A80D09"/>
    <w:rsid w:val="14AA3E63"/>
    <w:rsid w:val="14AD5701"/>
    <w:rsid w:val="14AE3227"/>
    <w:rsid w:val="14AE7A5B"/>
    <w:rsid w:val="14AF76CB"/>
    <w:rsid w:val="14B7657F"/>
    <w:rsid w:val="14BC6537"/>
    <w:rsid w:val="14BE16BC"/>
    <w:rsid w:val="14C36CD2"/>
    <w:rsid w:val="14C71D43"/>
    <w:rsid w:val="14CB202B"/>
    <w:rsid w:val="14D62EA9"/>
    <w:rsid w:val="14ED3D4F"/>
    <w:rsid w:val="14F055ED"/>
    <w:rsid w:val="14FC3F92"/>
    <w:rsid w:val="150F1F18"/>
    <w:rsid w:val="15107A3E"/>
    <w:rsid w:val="151439D2"/>
    <w:rsid w:val="1514752E"/>
    <w:rsid w:val="151574F7"/>
    <w:rsid w:val="15190FE8"/>
    <w:rsid w:val="15197EAA"/>
    <w:rsid w:val="151C4634"/>
    <w:rsid w:val="151C5C19"/>
    <w:rsid w:val="151E65FF"/>
    <w:rsid w:val="152359C3"/>
    <w:rsid w:val="1528122B"/>
    <w:rsid w:val="15282FD9"/>
    <w:rsid w:val="15284D87"/>
    <w:rsid w:val="153D4CD7"/>
    <w:rsid w:val="15436065"/>
    <w:rsid w:val="15455939"/>
    <w:rsid w:val="154A73F4"/>
    <w:rsid w:val="155344FA"/>
    <w:rsid w:val="15542020"/>
    <w:rsid w:val="155838BF"/>
    <w:rsid w:val="15597637"/>
    <w:rsid w:val="155C2C83"/>
    <w:rsid w:val="15610299"/>
    <w:rsid w:val="15632263"/>
    <w:rsid w:val="1564320E"/>
    <w:rsid w:val="156F6E5A"/>
    <w:rsid w:val="157601E9"/>
    <w:rsid w:val="15785D0F"/>
    <w:rsid w:val="15790616"/>
    <w:rsid w:val="158B01CB"/>
    <w:rsid w:val="158D108E"/>
    <w:rsid w:val="158F3058"/>
    <w:rsid w:val="15916DD0"/>
    <w:rsid w:val="15966195"/>
    <w:rsid w:val="15A078BC"/>
    <w:rsid w:val="15A24B3A"/>
    <w:rsid w:val="15A5287C"/>
    <w:rsid w:val="15A5462A"/>
    <w:rsid w:val="15AC7766"/>
    <w:rsid w:val="15AE34DE"/>
    <w:rsid w:val="15AE733A"/>
    <w:rsid w:val="15B914BE"/>
    <w:rsid w:val="15BD5E17"/>
    <w:rsid w:val="15C342FB"/>
    <w:rsid w:val="15C64DAB"/>
    <w:rsid w:val="15CE1DD3"/>
    <w:rsid w:val="15DE18EA"/>
    <w:rsid w:val="15DF5D8E"/>
    <w:rsid w:val="15E96C0C"/>
    <w:rsid w:val="15F31839"/>
    <w:rsid w:val="15FA4976"/>
    <w:rsid w:val="15FB249C"/>
    <w:rsid w:val="15FF3D3A"/>
    <w:rsid w:val="16077093"/>
    <w:rsid w:val="160B6B83"/>
    <w:rsid w:val="16135A37"/>
    <w:rsid w:val="16145F86"/>
    <w:rsid w:val="1618304E"/>
    <w:rsid w:val="1626576B"/>
    <w:rsid w:val="1629525B"/>
    <w:rsid w:val="162E2871"/>
    <w:rsid w:val="163F682C"/>
    <w:rsid w:val="164125A5"/>
    <w:rsid w:val="16465E0D"/>
    <w:rsid w:val="16500A3A"/>
    <w:rsid w:val="165E7A3D"/>
    <w:rsid w:val="165F2A2B"/>
    <w:rsid w:val="166444E5"/>
    <w:rsid w:val="1666200B"/>
    <w:rsid w:val="166D339A"/>
    <w:rsid w:val="1672275E"/>
    <w:rsid w:val="16726C02"/>
    <w:rsid w:val="16734728"/>
    <w:rsid w:val="167F4E7B"/>
    <w:rsid w:val="16810BF3"/>
    <w:rsid w:val="168129A1"/>
    <w:rsid w:val="168D3A3C"/>
    <w:rsid w:val="1693354C"/>
    <w:rsid w:val="169D3553"/>
    <w:rsid w:val="16A42B33"/>
    <w:rsid w:val="16A668AC"/>
    <w:rsid w:val="16B965DF"/>
    <w:rsid w:val="16BE1E47"/>
    <w:rsid w:val="16C805D0"/>
    <w:rsid w:val="16CA259A"/>
    <w:rsid w:val="16CD208A"/>
    <w:rsid w:val="16E42F30"/>
    <w:rsid w:val="16E95732"/>
    <w:rsid w:val="16E96798"/>
    <w:rsid w:val="16EA49EA"/>
    <w:rsid w:val="16EF0253"/>
    <w:rsid w:val="16F21AF1"/>
    <w:rsid w:val="16F93153"/>
    <w:rsid w:val="16F94C2D"/>
    <w:rsid w:val="16FC296F"/>
    <w:rsid w:val="17011D34"/>
    <w:rsid w:val="17033CFE"/>
    <w:rsid w:val="17035AAC"/>
    <w:rsid w:val="171001C9"/>
    <w:rsid w:val="17203A74"/>
    <w:rsid w:val="17231CAA"/>
    <w:rsid w:val="17237EFC"/>
    <w:rsid w:val="172A1253"/>
    <w:rsid w:val="173043C7"/>
    <w:rsid w:val="1732013F"/>
    <w:rsid w:val="1735378C"/>
    <w:rsid w:val="17367C2F"/>
    <w:rsid w:val="173B5246"/>
    <w:rsid w:val="173C4B1A"/>
    <w:rsid w:val="1740285C"/>
    <w:rsid w:val="17424826"/>
    <w:rsid w:val="175329EC"/>
    <w:rsid w:val="17545076"/>
    <w:rsid w:val="175C73AE"/>
    <w:rsid w:val="175D340E"/>
    <w:rsid w:val="176127D3"/>
    <w:rsid w:val="17620A24"/>
    <w:rsid w:val="17654071"/>
    <w:rsid w:val="1767428D"/>
    <w:rsid w:val="177E3384"/>
    <w:rsid w:val="178D1819"/>
    <w:rsid w:val="178D35C8"/>
    <w:rsid w:val="178F5592"/>
    <w:rsid w:val="178F7340"/>
    <w:rsid w:val="17942BA8"/>
    <w:rsid w:val="179D1A5D"/>
    <w:rsid w:val="179E3A27"/>
    <w:rsid w:val="17A56B63"/>
    <w:rsid w:val="17A96653"/>
    <w:rsid w:val="17BD5C5B"/>
    <w:rsid w:val="17C4348D"/>
    <w:rsid w:val="17C43C1A"/>
    <w:rsid w:val="17C70888"/>
    <w:rsid w:val="17CF3BE0"/>
    <w:rsid w:val="17CF3EFF"/>
    <w:rsid w:val="17D32356"/>
    <w:rsid w:val="17D336D0"/>
    <w:rsid w:val="17D82A95"/>
    <w:rsid w:val="17D86F39"/>
    <w:rsid w:val="17D920F9"/>
    <w:rsid w:val="17D9680D"/>
    <w:rsid w:val="17DA4A5F"/>
    <w:rsid w:val="17DB07D7"/>
    <w:rsid w:val="17DE4E1A"/>
    <w:rsid w:val="17E21B65"/>
    <w:rsid w:val="17E7717C"/>
    <w:rsid w:val="17EE22B8"/>
    <w:rsid w:val="17F11DA8"/>
    <w:rsid w:val="17F17FFA"/>
    <w:rsid w:val="17F673BF"/>
    <w:rsid w:val="17FB6783"/>
    <w:rsid w:val="17FD6923"/>
    <w:rsid w:val="17FF2717"/>
    <w:rsid w:val="1800023D"/>
    <w:rsid w:val="18055854"/>
    <w:rsid w:val="1807337A"/>
    <w:rsid w:val="180A2E6A"/>
    <w:rsid w:val="180E64B6"/>
    <w:rsid w:val="181250E3"/>
    <w:rsid w:val="18147845"/>
    <w:rsid w:val="18155A97"/>
    <w:rsid w:val="18221F62"/>
    <w:rsid w:val="18267CA4"/>
    <w:rsid w:val="18273A1C"/>
    <w:rsid w:val="182757CA"/>
    <w:rsid w:val="182A7068"/>
    <w:rsid w:val="182C1032"/>
    <w:rsid w:val="18316649"/>
    <w:rsid w:val="18381785"/>
    <w:rsid w:val="183B1275"/>
    <w:rsid w:val="183B3024"/>
    <w:rsid w:val="1840063A"/>
    <w:rsid w:val="18441ED8"/>
    <w:rsid w:val="18475E6C"/>
    <w:rsid w:val="18477C1A"/>
    <w:rsid w:val="184B14B9"/>
    <w:rsid w:val="185650AD"/>
    <w:rsid w:val="18574301"/>
    <w:rsid w:val="185760AF"/>
    <w:rsid w:val="1859748B"/>
    <w:rsid w:val="185D11EC"/>
    <w:rsid w:val="186407CC"/>
    <w:rsid w:val="186C142F"/>
    <w:rsid w:val="18752259"/>
    <w:rsid w:val="187C5B16"/>
    <w:rsid w:val="187D363C"/>
    <w:rsid w:val="18820C52"/>
    <w:rsid w:val="18842C1C"/>
    <w:rsid w:val="18893D8F"/>
    <w:rsid w:val="188E5849"/>
    <w:rsid w:val="18904498"/>
    <w:rsid w:val="18932E60"/>
    <w:rsid w:val="189B3AC2"/>
    <w:rsid w:val="18A3471E"/>
    <w:rsid w:val="18AB63FB"/>
    <w:rsid w:val="18AB740B"/>
    <w:rsid w:val="18BC5F12"/>
    <w:rsid w:val="18C1275A"/>
    <w:rsid w:val="18C179CD"/>
    <w:rsid w:val="18C80D5B"/>
    <w:rsid w:val="18C82B09"/>
    <w:rsid w:val="18CB25F9"/>
    <w:rsid w:val="18CD0291"/>
    <w:rsid w:val="18CD6371"/>
    <w:rsid w:val="18D019BE"/>
    <w:rsid w:val="18D314AE"/>
    <w:rsid w:val="18D33CBD"/>
    <w:rsid w:val="18D47700"/>
    <w:rsid w:val="18DC4807"/>
    <w:rsid w:val="18EE62E8"/>
    <w:rsid w:val="18F41B50"/>
    <w:rsid w:val="18FA6A3B"/>
    <w:rsid w:val="18FC6C57"/>
    <w:rsid w:val="18FE477D"/>
    <w:rsid w:val="18FF22A3"/>
    <w:rsid w:val="19063631"/>
    <w:rsid w:val="190A1374"/>
    <w:rsid w:val="190F0738"/>
    <w:rsid w:val="19102702"/>
    <w:rsid w:val="192B12EA"/>
    <w:rsid w:val="192B4DF7"/>
    <w:rsid w:val="192C753C"/>
    <w:rsid w:val="192E125B"/>
    <w:rsid w:val="192F2B88"/>
    <w:rsid w:val="19377C8F"/>
    <w:rsid w:val="19393A07"/>
    <w:rsid w:val="193C7053"/>
    <w:rsid w:val="193E726F"/>
    <w:rsid w:val="193F21E0"/>
    <w:rsid w:val="19467ED2"/>
    <w:rsid w:val="19516FA3"/>
    <w:rsid w:val="19550115"/>
    <w:rsid w:val="195A572B"/>
    <w:rsid w:val="195F2D42"/>
    <w:rsid w:val="19614D0C"/>
    <w:rsid w:val="19650358"/>
    <w:rsid w:val="19670574"/>
    <w:rsid w:val="196C651D"/>
    <w:rsid w:val="19742C91"/>
    <w:rsid w:val="197607B7"/>
    <w:rsid w:val="19801636"/>
    <w:rsid w:val="19921369"/>
    <w:rsid w:val="199307ED"/>
    <w:rsid w:val="199B6470"/>
    <w:rsid w:val="19A277FE"/>
    <w:rsid w:val="19A40A22"/>
    <w:rsid w:val="19AE61A3"/>
    <w:rsid w:val="19B27315"/>
    <w:rsid w:val="19B80DD0"/>
    <w:rsid w:val="19BA6371"/>
    <w:rsid w:val="19C07C84"/>
    <w:rsid w:val="19CA0B03"/>
    <w:rsid w:val="19CF1C75"/>
    <w:rsid w:val="19CF7EC7"/>
    <w:rsid w:val="19D7627D"/>
    <w:rsid w:val="19DB2105"/>
    <w:rsid w:val="19DC4392"/>
    <w:rsid w:val="19E576EB"/>
    <w:rsid w:val="19E73463"/>
    <w:rsid w:val="19EA2F53"/>
    <w:rsid w:val="19EA6AAF"/>
    <w:rsid w:val="19EC0A79"/>
    <w:rsid w:val="19F44E85"/>
    <w:rsid w:val="19F811CC"/>
    <w:rsid w:val="19F90D7B"/>
    <w:rsid w:val="19FE07AD"/>
    <w:rsid w:val="1A004525"/>
    <w:rsid w:val="1A046220"/>
    <w:rsid w:val="1A057D8D"/>
    <w:rsid w:val="1A0A7151"/>
    <w:rsid w:val="1A0C2EC9"/>
    <w:rsid w:val="1A136006"/>
    <w:rsid w:val="1A2024D1"/>
    <w:rsid w:val="1A21737F"/>
    <w:rsid w:val="1A304E0A"/>
    <w:rsid w:val="1A3348FA"/>
    <w:rsid w:val="1A34329C"/>
    <w:rsid w:val="1A444411"/>
    <w:rsid w:val="1A450189"/>
    <w:rsid w:val="1A473F02"/>
    <w:rsid w:val="1A4964D8"/>
    <w:rsid w:val="1A4C59BC"/>
    <w:rsid w:val="1A4E34E2"/>
    <w:rsid w:val="1A4E703E"/>
    <w:rsid w:val="1A512FD2"/>
    <w:rsid w:val="1A530AF8"/>
    <w:rsid w:val="1A5403CD"/>
    <w:rsid w:val="1A645229"/>
    <w:rsid w:val="1A68624C"/>
    <w:rsid w:val="1A703458"/>
    <w:rsid w:val="1A7647E7"/>
    <w:rsid w:val="1A7840BB"/>
    <w:rsid w:val="1A7D3DC7"/>
    <w:rsid w:val="1A8B0292"/>
    <w:rsid w:val="1A8D5BE9"/>
    <w:rsid w:val="1A91517D"/>
    <w:rsid w:val="1A933344"/>
    <w:rsid w:val="1A951111"/>
    <w:rsid w:val="1A9609E5"/>
    <w:rsid w:val="1A9A2283"/>
    <w:rsid w:val="1AA475A6"/>
    <w:rsid w:val="1AA72BF2"/>
    <w:rsid w:val="1AA974C6"/>
    <w:rsid w:val="1AAB26E2"/>
    <w:rsid w:val="1AAD645B"/>
    <w:rsid w:val="1AAE5D2F"/>
    <w:rsid w:val="1AAE63AE"/>
    <w:rsid w:val="1AB5583C"/>
    <w:rsid w:val="1AB570BD"/>
    <w:rsid w:val="1AB64BE3"/>
    <w:rsid w:val="1AB8095B"/>
    <w:rsid w:val="1ABC48F0"/>
    <w:rsid w:val="1AC15E40"/>
    <w:rsid w:val="1AC612CA"/>
    <w:rsid w:val="1AC94917"/>
    <w:rsid w:val="1AD25EC1"/>
    <w:rsid w:val="1AD80FFE"/>
    <w:rsid w:val="1ADB5C6C"/>
    <w:rsid w:val="1ADC6D40"/>
    <w:rsid w:val="1ADF05DE"/>
    <w:rsid w:val="1AE40C9E"/>
    <w:rsid w:val="1AF57E02"/>
    <w:rsid w:val="1AF6583C"/>
    <w:rsid w:val="1AFD474E"/>
    <w:rsid w:val="1AFF2A2E"/>
    <w:rsid w:val="1B0B3181"/>
    <w:rsid w:val="1B1C538E"/>
    <w:rsid w:val="1B1E590D"/>
    <w:rsid w:val="1B245FF1"/>
    <w:rsid w:val="1B2D759B"/>
    <w:rsid w:val="1B311BC4"/>
    <w:rsid w:val="1B3267BA"/>
    <w:rsid w:val="1B3679AD"/>
    <w:rsid w:val="1B386A83"/>
    <w:rsid w:val="1B397CEE"/>
    <w:rsid w:val="1B414DF5"/>
    <w:rsid w:val="1B446693"/>
    <w:rsid w:val="1B4548E5"/>
    <w:rsid w:val="1B46240B"/>
    <w:rsid w:val="1B473137"/>
    <w:rsid w:val="1B496E6A"/>
    <w:rsid w:val="1B4A3CA9"/>
    <w:rsid w:val="1B4D19EC"/>
    <w:rsid w:val="1B593EEC"/>
    <w:rsid w:val="1B6034CD"/>
    <w:rsid w:val="1B610FF3"/>
    <w:rsid w:val="1B654F02"/>
    <w:rsid w:val="1B682381"/>
    <w:rsid w:val="1B684130"/>
    <w:rsid w:val="1B6F54BE"/>
    <w:rsid w:val="1B6F7443"/>
    <w:rsid w:val="1B742AD4"/>
    <w:rsid w:val="1B7A7D1C"/>
    <w:rsid w:val="1B7B66B5"/>
    <w:rsid w:val="1B854CE1"/>
    <w:rsid w:val="1B886580"/>
    <w:rsid w:val="1B8A679C"/>
    <w:rsid w:val="1B8D003A"/>
    <w:rsid w:val="1B972C67"/>
    <w:rsid w:val="1B9B2757"/>
    <w:rsid w:val="1BAB04C0"/>
    <w:rsid w:val="1BB67591"/>
    <w:rsid w:val="1BB92BDD"/>
    <w:rsid w:val="1BBB0703"/>
    <w:rsid w:val="1BBC26CD"/>
    <w:rsid w:val="1BC27E9A"/>
    <w:rsid w:val="1BCD48DA"/>
    <w:rsid w:val="1BD87507"/>
    <w:rsid w:val="1BDC68CC"/>
    <w:rsid w:val="1BE51C24"/>
    <w:rsid w:val="1BE547F8"/>
    <w:rsid w:val="1BE774DC"/>
    <w:rsid w:val="1BEA0FE8"/>
    <w:rsid w:val="1BEC4D61"/>
    <w:rsid w:val="1BFB5DF8"/>
    <w:rsid w:val="1C055E22"/>
    <w:rsid w:val="1C1222ED"/>
    <w:rsid w:val="1C136791"/>
    <w:rsid w:val="1C185B56"/>
    <w:rsid w:val="1C1E6EE4"/>
    <w:rsid w:val="1C2224B0"/>
    <w:rsid w:val="1C224C26"/>
    <w:rsid w:val="1C225F98"/>
    <w:rsid w:val="1C2362A8"/>
    <w:rsid w:val="1C272EF4"/>
    <w:rsid w:val="1C295FB5"/>
    <w:rsid w:val="1C297D63"/>
    <w:rsid w:val="1C2A3ADB"/>
    <w:rsid w:val="1C387FA6"/>
    <w:rsid w:val="1C4921B3"/>
    <w:rsid w:val="1C497DA3"/>
    <w:rsid w:val="1C556DAA"/>
    <w:rsid w:val="1C5841A4"/>
    <w:rsid w:val="1C591B70"/>
    <w:rsid w:val="1C5B5A42"/>
    <w:rsid w:val="1C5D17BA"/>
    <w:rsid w:val="1C5E5533"/>
    <w:rsid w:val="1C632B49"/>
    <w:rsid w:val="1C6449AB"/>
    <w:rsid w:val="1C646FED"/>
    <w:rsid w:val="1C730FDE"/>
    <w:rsid w:val="1C7865F4"/>
    <w:rsid w:val="1C7D00AF"/>
    <w:rsid w:val="1C86718F"/>
    <w:rsid w:val="1C876837"/>
    <w:rsid w:val="1C8D3846"/>
    <w:rsid w:val="1C9571A6"/>
    <w:rsid w:val="1C986C96"/>
    <w:rsid w:val="1CA05B4B"/>
    <w:rsid w:val="1CA218C3"/>
    <w:rsid w:val="1CA4563B"/>
    <w:rsid w:val="1CA53161"/>
    <w:rsid w:val="1CAB3B4C"/>
    <w:rsid w:val="1CAE0268"/>
    <w:rsid w:val="1CB05D8E"/>
    <w:rsid w:val="1CB33AD0"/>
    <w:rsid w:val="1CB57848"/>
    <w:rsid w:val="1CB6536F"/>
    <w:rsid w:val="1CB6711D"/>
    <w:rsid w:val="1CBA6C0D"/>
    <w:rsid w:val="1CBD04AB"/>
    <w:rsid w:val="1CC31397"/>
    <w:rsid w:val="1CC96E50"/>
    <w:rsid w:val="1CCC6940"/>
    <w:rsid w:val="1CDC3027"/>
    <w:rsid w:val="1CE617B0"/>
    <w:rsid w:val="1CE7377A"/>
    <w:rsid w:val="1CE819CC"/>
    <w:rsid w:val="1CEC2B3E"/>
    <w:rsid w:val="1CEE2D5A"/>
    <w:rsid w:val="1CF00880"/>
    <w:rsid w:val="1CF245F9"/>
    <w:rsid w:val="1CF85987"/>
    <w:rsid w:val="1D036806"/>
    <w:rsid w:val="1D077978"/>
    <w:rsid w:val="1D102CD1"/>
    <w:rsid w:val="1D1722B1"/>
    <w:rsid w:val="1D1A1C25"/>
    <w:rsid w:val="1D1A2726"/>
    <w:rsid w:val="1D300C7D"/>
    <w:rsid w:val="1D320A97"/>
    <w:rsid w:val="1D3541D9"/>
    <w:rsid w:val="1D392227"/>
    <w:rsid w:val="1D3E6FE0"/>
    <w:rsid w:val="1D444728"/>
    <w:rsid w:val="1D4F2685"/>
    <w:rsid w:val="1D547137"/>
    <w:rsid w:val="1D5D57EA"/>
    <w:rsid w:val="1D635DB9"/>
    <w:rsid w:val="1D682B0D"/>
    <w:rsid w:val="1D6D3C7F"/>
    <w:rsid w:val="1D76333F"/>
    <w:rsid w:val="1D772D50"/>
    <w:rsid w:val="1D80245F"/>
    <w:rsid w:val="1D840FC9"/>
    <w:rsid w:val="1D85546D"/>
    <w:rsid w:val="1D8666D1"/>
    <w:rsid w:val="1D880AB9"/>
    <w:rsid w:val="1D8A4831"/>
    <w:rsid w:val="1D8B05A9"/>
    <w:rsid w:val="1D8D3444"/>
    <w:rsid w:val="1D903E12"/>
    <w:rsid w:val="1D905BC0"/>
    <w:rsid w:val="1D921938"/>
    <w:rsid w:val="1D994A74"/>
    <w:rsid w:val="1D9A07EC"/>
    <w:rsid w:val="1D9E652E"/>
    <w:rsid w:val="1DA13929"/>
    <w:rsid w:val="1DA84CB7"/>
    <w:rsid w:val="1DAA4ED3"/>
    <w:rsid w:val="1DAD0520"/>
    <w:rsid w:val="1DB63878"/>
    <w:rsid w:val="1DB7314C"/>
    <w:rsid w:val="1DB93368"/>
    <w:rsid w:val="1DBE272D"/>
    <w:rsid w:val="1DC064A5"/>
    <w:rsid w:val="1DC55869"/>
    <w:rsid w:val="1DC738B3"/>
    <w:rsid w:val="1DCF493A"/>
    <w:rsid w:val="1DD2650A"/>
    <w:rsid w:val="1DD957B9"/>
    <w:rsid w:val="1DE859FC"/>
    <w:rsid w:val="1DEC54EC"/>
    <w:rsid w:val="1DF63C75"/>
    <w:rsid w:val="1E002D45"/>
    <w:rsid w:val="1E012619"/>
    <w:rsid w:val="1E0C3498"/>
    <w:rsid w:val="1E114F52"/>
    <w:rsid w:val="1E1265D5"/>
    <w:rsid w:val="1E1F070E"/>
    <w:rsid w:val="1E25455A"/>
    <w:rsid w:val="1E28404A"/>
    <w:rsid w:val="1E29229C"/>
    <w:rsid w:val="1E2A1B70"/>
    <w:rsid w:val="1E30754B"/>
    <w:rsid w:val="1E3173A3"/>
    <w:rsid w:val="1E3649B9"/>
    <w:rsid w:val="1E3824DF"/>
    <w:rsid w:val="1E3B1FCF"/>
    <w:rsid w:val="1E3E2D25"/>
    <w:rsid w:val="1E430DCA"/>
    <w:rsid w:val="1E4507E4"/>
    <w:rsid w:val="1E4E1D03"/>
    <w:rsid w:val="1E5170FD"/>
    <w:rsid w:val="1E544141"/>
    <w:rsid w:val="1E5D0198"/>
    <w:rsid w:val="1E5D3F45"/>
    <w:rsid w:val="1E6210B8"/>
    <w:rsid w:val="1E672DC4"/>
    <w:rsid w:val="1E676920"/>
    <w:rsid w:val="1E707ECB"/>
    <w:rsid w:val="1E7554E1"/>
    <w:rsid w:val="1E763007"/>
    <w:rsid w:val="1E764DB5"/>
    <w:rsid w:val="1E8079E2"/>
    <w:rsid w:val="1E8C6387"/>
    <w:rsid w:val="1E94348E"/>
    <w:rsid w:val="1EA062D6"/>
    <w:rsid w:val="1EA25BAA"/>
    <w:rsid w:val="1EB04546"/>
    <w:rsid w:val="1EB26790"/>
    <w:rsid w:val="1EC014EF"/>
    <w:rsid w:val="1EC024D4"/>
    <w:rsid w:val="1EC21DA9"/>
    <w:rsid w:val="1EC57AEB"/>
    <w:rsid w:val="1EC664F8"/>
    <w:rsid w:val="1ED65854"/>
    <w:rsid w:val="1ED67C62"/>
    <w:rsid w:val="1EDA6951"/>
    <w:rsid w:val="1EEC32CA"/>
    <w:rsid w:val="1EF1268E"/>
    <w:rsid w:val="1EF74148"/>
    <w:rsid w:val="1F022AED"/>
    <w:rsid w:val="1F02489B"/>
    <w:rsid w:val="1F071EB1"/>
    <w:rsid w:val="1F073C5F"/>
    <w:rsid w:val="1F134CFA"/>
    <w:rsid w:val="1F166EB8"/>
    <w:rsid w:val="1F170346"/>
    <w:rsid w:val="1F1840BF"/>
    <w:rsid w:val="1F1C595D"/>
    <w:rsid w:val="1F220A99"/>
    <w:rsid w:val="1F242A63"/>
    <w:rsid w:val="1F291E28"/>
    <w:rsid w:val="1F2B5BA0"/>
    <w:rsid w:val="1F2C5E1E"/>
    <w:rsid w:val="1F2D6848"/>
    <w:rsid w:val="1F2D7B6A"/>
    <w:rsid w:val="1F301408"/>
    <w:rsid w:val="1F331A12"/>
    <w:rsid w:val="1F3454E9"/>
    <w:rsid w:val="1F38206B"/>
    <w:rsid w:val="1F38650F"/>
    <w:rsid w:val="1F3B3C7C"/>
    <w:rsid w:val="1F3E1D77"/>
    <w:rsid w:val="1F3F164B"/>
    <w:rsid w:val="1F4E7AE0"/>
    <w:rsid w:val="1F51312D"/>
    <w:rsid w:val="1F5817D8"/>
    <w:rsid w:val="1F5A46D7"/>
    <w:rsid w:val="1F5C044F"/>
    <w:rsid w:val="1F5F1CED"/>
    <w:rsid w:val="1F75506D"/>
    <w:rsid w:val="1F7A08D5"/>
    <w:rsid w:val="1F7F413E"/>
    <w:rsid w:val="1F811C64"/>
    <w:rsid w:val="1F833C2E"/>
    <w:rsid w:val="1F864856"/>
    <w:rsid w:val="1F8B663F"/>
    <w:rsid w:val="1F9C31EC"/>
    <w:rsid w:val="1F9F033C"/>
    <w:rsid w:val="1FA164E3"/>
    <w:rsid w:val="1FAD1142"/>
    <w:rsid w:val="1FB30B39"/>
    <w:rsid w:val="1FC102B2"/>
    <w:rsid w:val="1FC447F8"/>
    <w:rsid w:val="1FC55FF4"/>
    <w:rsid w:val="1FC87893"/>
    <w:rsid w:val="1FC97167"/>
    <w:rsid w:val="1FD47FE6"/>
    <w:rsid w:val="1FD60202"/>
    <w:rsid w:val="1FD7674C"/>
    <w:rsid w:val="1FD77AD6"/>
    <w:rsid w:val="1FDB301F"/>
    <w:rsid w:val="1FE27D80"/>
    <w:rsid w:val="1FE83CDD"/>
    <w:rsid w:val="1FEF3071"/>
    <w:rsid w:val="1FF468DA"/>
    <w:rsid w:val="1FF91559"/>
    <w:rsid w:val="200942D0"/>
    <w:rsid w:val="200E038C"/>
    <w:rsid w:val="20144886"/>
    <w:rsid w:val="20176124"/>
    <w:rsid w:val="201A79C2"/>
    <w:rsid w:val="201C373B"/>
    <w:rsid w:val="20232D1B"/>
    <w:rsid w:val="20254CE5"/>
    <w:rsid w:val="20270A5D"/>
    <w:rsid w:val="20280331"/>
    <w:rsid w:val="202C6073"/>
    <w:rsid w:val="203211B0"/>
    <w:rsid w:val="20346CD6"/>
    <w:rsid w:val="203805B3"/>
    <w:rsid w:val="2040567B"/>
    <w:rsid w:val="20482782"/>
    <w:rsid w:val="20580C17"/>
    <w:rsid w:val="2059498F"/>
    <w:rsid w:val="205B4263"/>
    <w:rsid w:val="205D447F"/>
    <w:rsid w:val="20607ACB"/>
    <w:rsid w:val="20670E5A"/>
    <w:rsid w:val="206A1427"/>
    <w:rsid w:val="206B7F2F"/>
    <w:rsid w:val="206C2914"/>
    <w:rsid w:val="206C6470"/>
    <w:rsid w:val="207417C9"/>
    <w:rsid w:val="2079293B"/>
    <w:rsid w:val="207B2B57"/>
    <w:rsid w:val="208C2574"/>
    <w:rsid w:val="208D63E6"/>
    <w:rsid w:val="2099122F"/>
    <w:rsid w:val="209B0B03"/>
    <w:rsid w:val="209C287F"/>
    <w:rsid w:val="209D2ACD"/>
    <w:rsid w:val="209E23A2"/>
    <w:rsid w:val="20A025BE"/>
    <w:rsid w:val="20A91472"/>
    <w:rsid w:val="20AA6F98"/>
    <w:rsid w:val="20AF0CAD"/>
    <w:rsid w:val="20B10327"/>
    <w:rsid w:val="20C22534"/>
    <w:rsid w:val="20C52024"/>
    <w:rsid w:val="20CE0ED9"/>
    <w:rsid w:val="20D93AEE"/>
    <w:rsid w:val="20DD111C"/>
    <w:rsid w:val="20DE6C42"/>
    <w:rsid w:val="20E00C0C"/>
    <w:rsid w:val="20E06E5E"/>
    <w:rsid w:val="20E12842"/>
    <w:rsid w:val="20E424AA"/>
    <w:rsid w:val="20E56222"/>
    <w:rsid w:val="20E652A4"/>
    <w:rsid w:val="20EE50D7"/>
    <w:rsid w:val="20EF48A3"/>
    <w:rsid w:val="20F326ED"/>
    <w:rsid w:val="20F46465"/>
    <w:rsid w:val="21026DD4"/>
    <w:rsid w:val="21132D8F"/>
    <w:rsid w:val="21182154"/>
    <w:rsid w:val="211A5ECC"/>
    <w:rsid w:val="2123319E"/>
    <w:rsid w:val="21254871"/>
    <w:rsid w:val="2127683B"/>
    <w:rsid w:val="2129610F"/>
    <w:rsid w:val="212D20A3"/>
    <w:rsid w:val="213827F6"/>
    <w:rsid w:val="213B5E42"/>
    <w:rsid w:val="213D1BBA"/>
    <w:rsid w:val="21464F13"/>
    <w:rsid w:val="21486EDD"/>
    <w:rsid w:val="21494A03"/>
    <w:rsid w:val="214B2529"/>
    <w:rsid w:val="214D6992"/>
    <w:rsid w:val="214E3DC8"/>
    <w:rsid w:val="21521B0A"/>
    <w:rsid w:val="21570ECE"/>
    <w:rsid w:val="21584C46"/>
    <w:rsid w:val="21635AC5"/>
    <w:rsid w:val="21701F90"/>
    <w:rsid w:val="21723F5A"/>
    <w:rsid w:val="2173382E"/>
    <w:rsid w:val="217D46AD"/>
    <w:rsid w:val="218477E9"/>
    <w:rsid w:val="21891C0B"/>
    <w:rsid w:val="219709C9"/>
    <w:rsid w:val="219D1AFF"/>
    <w:rsid w:val="21A3266E"/>
    <w:rsid w:val="21AE4866"/>
    <w:rsid w:val="21B00981"/>
    <w:rsid w:val="21B31E7D"/>
    <w:rsid w:val="21B7196D"/>
    <w:rsid w:val="21B87493"/>
    <w:rsid w:val="21BA2B72"/>
    <w:rsid w:val="21BE0F4D"/>
    <w:rsid w:val="21BE719F"/>
    <w:rsid w:val="21C3620C"/>
    <w:rsid w:val="21C61BB0"/>
    <w:rsid w:val="21CA5B44"/>
    <w:rsid w:val="21D27BAA"/>
    <w:rsid w:val="21D544E9"/>
    <w:rsid w:val="21DE15EF"/>
    <w:rsid w:val="21E12E8E"/>
    <w:rsid w:val="21E14C3C"/>
    <w:rsid w:val="21E27646"/>
    <w:rsid w:val="21E62252"/>
    <w:rsid w:val="21EA7F94"/>
    <w:rsid w:val="21ED35E0"/>
    <w:rsid w:val="21ED538F"/>
    <w:rsid w:val="21F726B1"/>
    <w:rsid w:val="21FC1A76"/>
    <w:rsid w:val="21FF5648"/>
    <w:rsid w:val="220426D8"/>
    <w:rsid w:val="22056B7C"/>
    <w:rsid w:val="220D3C83"/>
    <w:rsid w:val="22155EFF"/>
    <w:rsid w:val="221B014E"/>
    <w:rsid w:val="222039B6"/>
    <w:rsid w:val="2221772E"/>
    <w:rsid w:val="222B5EB7"/>
    <w:rsid w:val="22356D36"/>
    <w:rsid w:val="22372AAE"/>
    <w:rsid w:val="22486A69"/>
    <w:rsid w:val="224A0A33"/>
    <w:rsid w:val="224C47AB"/>
    <w:rsid w:val="224F1BA5"/>
    <w:rsid w:val="2250591D"/>
    <w:rsid w:val="2253194F"/>
    <w:rsid w:val="22543660"/>
    <w:rsid w:val="2256684B"/>
    <w:rsid w:val="22592A24"/>
    <w:rsid w:val="225B2C40"/>
    <w:rsid w:val="225C2514"/>
    <w:rsid w:val="226006F6"/>
    <w:rsid w:val="22617B2B"/>
    <w:rsid w:val="22735103"/>
    <w:rsid w:val="227B5090"/>
    <w:rsid w:val="227C4964"/>
    <w:rsid w:val="22813D29"/>
    <w:rsid w:val="228201CD"/>
    <w:rsid w:val="22853819"/>
    <w:rsid w:val="228A52D3"/>
    <w:rsid w:val="228F28EA"/>
    <w:rsid w:val="22916662"/>
    <w:rsid w:val="22925F36"/>
    <w:rsid w:val="22947F00"/>
    <w:rsid w:val="229677D4"/>
    <w:rsid w:val="229E2B2D"/>
    <w:rsid w:val="22A16179"/>
    <w:rsid w:val="22A30143"/>
    <w:rsid w:val="22AA7723"/>
    <w:rsid w:val="22B42350"/>
    <w:rsid w:val="22B440FE"/>
    <w:rsid w:val="22B72FCA"/>
    <w:rsid w:val="22BB36DF"/>
    <w:rsid w:val="22BD1205"/>
    <w:rsid w:val="22C04851"/>
    <w:rsid w:val="22C407E5"/>
    <w:rsid w:val="22CA3922"/>
    <w:rsid w:val="22CA56D0"/>
    <w:rsid w:val="22CC1448"/>
    <w:rsid w:val="22CD6F6E"/>
    <w:rsid w:val="22CF0F38"/>
    <w:rsid w:val="22D12F02"/>
    <w:rsid w:val="22D30A28"/>
    <w:rsid w:val="22D447A0"/>
    <w:rsid w:val="22DD5403"/>
    <w:rsid w:val="22E61AD1"/>
    <w:rsid w:val="23040BE2"/>
    <w:rsid w:val="231352C9"/>
    <w:rsid w:val="23137077"/>
    <w:rsid w:val="23160915"/>
    <w:rsid w:val="23164DB9"/>
    <w:rsid w:val="231A6657"/>
    <w:rsid w:val="23207452"/>
    <w:rsid w:val="232079E6"/>
    <w:rsid w:val="232272BA"/>
    <w:rsid w:val="23241284"/>
    <w:rsid w:val="232A43C0"/>
    <w:rsid w:val="232E3EB1"/>
    <w:rsid w:val="232F19D7"/>
    <w:rsid w:val="23377209"/>
    <w:rsid w:val="233A0BA3"/>
    <w:rsid w:val="233A2855"/>
    <w:rsid w:val="234731C4"/>
    <w:rsid w:val="234E4553"/>
    <w:rsid w:val="23582CFD"/>
    <w:rsid w:val="23614286"/>
    <w:rsid w:val="2364528E"/>
    <w:rsid w:val="236B6EB3"/>
    <w:rsid w:val="236D2C2B"/>
    <w:rsid w:val="23700025"/>
    <w:rsid w:val="23716593"/>
    <w:rsid w:val="237B69CA"/>
    <w:rsid w:val="237D6BE6"/>
    <w:rsid w:val="238B1303"/>
    <w:rsid w:val="238B4C82"/>
    <w:rsid w:val="23907C91"/>
    <w:rsid w:val="2392443F"/>
    <w:rsid w:val="239448A4"/>
    <w:rsid w:val="2395665B"/>
    <w:rsid w:val="2398757C"/>
    <w:rsid w:val="239C706C"/>
    <w:rsid w:val="23A622B4"/>
    <w:rsid w:val="23A979DB"/>
    <w:rsid w:val="23AE0B4E"/>
    <w:rsid w:val="23C6058D"/>
    <w:rsid w:val="23C87E61"/>
    <w:rsid w:val="23C91E2B"/>
    <w:rsid w:val="23D04F68"/>
    <w:rsid w:val="23D305B4"/>
    <w:rsid w:val="23D902C0"/>
    <w:rsid w:val="23D94172"/>
    <w:rsid w:val="23DE7685"/>
    <w:rsid w:val="23E80503"/>
    <w:rsid w:val="23F24EDE"/>
    <w:rsid w:val="23FA0237"/>
    <w:rsid w:val="24030E99"/>
    <w:rsid w:val="240F3CE2"/>
    <w:rsid w:val="24111CD9"/>
    <w:rsid w:val="241412F8"/>
    <w:rsid w:val="24141C6F"/>
    <w:rsid w:val="241A2687"/>
    <w:rsid w:val="241A4435"/>
    <w:rsid w:val="242A28CA"/>
    <w:rsid w:val="242F7EE0"/>
    <w:rsid w:val="24360DB2"/>
    <w:rsid w:val="243948BB"/>
    <w:rsid w:val="2446347C"/>
    <w:rsid w:val="244D0366"/>
    <w:rsid w:val="244D65B8"/>
    <w:rsid w:val="244F2331"/>
    <w:rsid w:val="245416F5"/>
    <w:rsid w:val="24575689"/>
    <w:rsid w:val="24577437"/>
    <w:rsid w:val="245C0B6C"/>
    <w:rsid w:val="245C2C9F"/>
    <w:rsid w:val="24612064"/>
    <w:rsid w:val="24635DDC"/>
    <w:rsid w:val="246758CC"/>
    <w:rsid w:val="24763D61"/>
    <w:rsid w:val="247732CE"/>
    <w:rsid w:val="24777E85"/>
    <w:rsid w:val="24805C1D"/>
    <w:rsid w:val="2483647E"/>
    <w:rsid w:val="24855FEE"/>
    <w:rsid w:val="248D4C07"/>
    <w:rsid w:val="2492221D"/>
    <w:rsid w:val="2496440F"/>
    <w:rsid w:val="24973CD7"/>
    <w:rsid w:val="24A00DDE"/>
    <w:rsid w:val="24A26904"/>
    <w:rsid w:val="24A3267C"/>
    <w:rsid w:val="24A501A2"/>
    <w:rsid w:val="24AA57B9"/>
    <w:rsid w:val="24AF7273"/>
    <w:rsid w:val="24B623B0"/>
    <w:rsid w:val="24B77ED6"/>
    <w:rsid w:val="24BD373E"/>
    <w:rsid w:val="24C34ACD"/>
    <w:rsid w:val="24C70119"/>
    <w:rsid w:val="24CC3981"/>
    <w:rsid w:val="24CF3471"/>
    <w:rsid w:val="24D34D10"/>
    <w:rsid w:val="24D80578"/>
    <w:rsid w:val="24E231A5"/>
    <w:rsid w:val="24E24F53"/>
    <w:rsid w:val="24E707BB"/>
    <w:rsid w:val="24F36825"/>
    <w:rsid w:val="24F46A34"/>
    <w:rsid w:val="24F66C50"/>
    <w:rsid w:val="2504718E"/>
    <w:rsid w:val="250749E2"/>
    <w:rsid w:val="25096983"/>
    <w:rsid w:val="250D0F04"/>
    <w:rsid w:val="250F386E"/>
    <w:rsid w:val="251175E6"/>
    <w:rsid w:val="25137802"/>
    <w:rsid w:val="25161906"/>
    <w:rsid w:val="251A293E"/>
    <w:rsid w:val="252512E3"/>
    <w:rsid w:val="25253091"/>
    <w:rsid w:val="25284930"/>
    <w:rsid w:val="25290DD3"/>
    <w:rsid w:val="252D66FD"/>
    <w:rsid w:val="252E1F46"/>
    <w:rsid w:val="253908EB"/>
    <w:rsid w:val="253A4D8F"/>
    <w:rsid w:val="253F23A5"/>
    <w:rsid w:val="254259F1"/>
    <w:rsid w:val="25445D9E"/>
    <w:rsid w:val="254479BB"/>
    <w:rsid w:val="254F6B4D"/>
    <w:rsid w:val="255816B9"/>
    <w:rsid w:val="255F65A3"/>
    <w:rsid w:val="25643BBA"/>
    <w:rsid w:val="25695674"/>
    <w:rsid w:val="256A4F48"/>
    <w:rsid w:val="256F255E"/>
    <w:rsid w:val="25783B09"/>
    <w:rsid w:val="25787665"/>
    <w:rsid w:val="257F27A2"/>
    <w:rsid w:val="2580651A"/>
    <w:rsid w:val="25822292"/>
    <w:rsid w:val="25826736"/>
    <w:rsid w:val="25861D82"/>
    <w:rsid w:val="25875AFA"/>
    <w:rsid w:val="25944EBB"/>
    <w:rsid w:val="25950217"/>
    <w:rsid w:val="25954AAB"/>
    <w:rsid w:val="259B3353"/>
    <w:rsid w:val="259C588F"/>
    <w:rsid w:val="25A62424"/>
    <w:rsid w:val="25A8619C"/>
    <w:rsid w:val="25AB346A"/>
    <w:rsid w:val="25AB3597"/>
    <w:rsid w:val="25B032A3"/>
    <w:rsid w:val="25BD776E"/>
    <w:rsid w:val="25BF7042"/>
    <w:rsid w:val="25C64874"/>
    <w:rsid w:val="25D02FFD"/>
    <w:rsid w:val="25D074A1"/>
    <w:rsid w:val="25D24FC7"/>
    <w:rsid w:val="25D725DE"/>
    <w:rsid w:val="25E90563"/>
    <w:rsid w:val="25E940BF"/>
    <w:rsid w:val="25F25669"/>
    <w:rsid w:val="25F5515A"/>
    <w:rsid w:val="25FA451E"/>
    <w:rsid w:val="26084E8D"/>
    <w:rsid w:val="2610789E"/>
    <w:rsid w:val="26123616"/>
    <w:rsid w:val="263A1E25"/>
    <w:rsid w:val="263D4A6F"/>
    <w:rsid w:val="264628A4"/>
    <w:rsid w:val="26467763"/>
    <w:rsid w:val="265303C3"/>
    <w:rsid w:val="26541E80"/>
    <w:rsid w:val="2657371E"/>
    <w:rsid w:val="265B26B4"/>
    <w:rsid w:val="265D7087"/>
    <w:rsid w:val="265E2CFF"/>
    <w:rsid w:val="266D2C13"/>
    <w:rsid w:val="267442D0"/>
    <w:rsid w:val="26906C30"/>
    <w:rsid w:val="269A360B"/>
    <w:rsid w:val="269B7AAF"/>
    <w:rsid w:val="26A06E73"/>
    <w:rsid w:val="26A12BEB"/>
    <w:rsid w:val="26A34BB6"/>
    <w:rsid w:val="26A5448A"/>
    <w:rsid w:val="26A60202"/>
    <w:rsid w:val="26A81988"/>
    <w:rsid w:val="26AF70B6"/>
    <w:rsid w:val="26B172D2"/>
    <w:rsid w:val="26B648E9"/>
    <w:rsid w:val="26B96187"/>
    <w:rsid w:val="26BF6F42"/>
    <w:rsid w:val="26CA3EF0"/>
    <w:rsid w:val="26CB1A16"/>
    <w:rsid w:val="26CD578F"/>
    <w:rsid w:val="26CF57CC"/>
    <w:rsid w:val="26D44D6F"/>
    <w:rsid w:val="26D62895"/>
    <w:rsid w:val="26D92385"/>
    <w:rsid w:val="26DA41FF"/>
    <w:rsid w:val="26DB60FD"/>
    <w:rsid w:val="26DD1E76"/>
    <w:rsid w:val="26E256DE"/>
    <w:rsid w:val="26EC36BA"/>
    <w:rsid w:val="26F176CF"/>
    <w:rsid w:val="26F251F5"/>
    <w:rsid w:val="26F63906"/>
    <w:rsid w:val="26F70A5D"/>
    <w:rsid w:val="26F7280B"/>
    <w:rsid w:val="26F96584"/>
    <w:rsid w:val="27022042"/>
    <w:rsid w:val="270513CC"/>
    <w:rsid w:val="27127645"/>
    <w:rsid w:val="27167136"/>
    <w:rsid w:val="27174C5C"/>
    <w:rsid w:val="27223D2C"/>
    <w:rsid w:val="27241AAA"/>
    <w:rsid w:val="272C2868"/>
    <w:rsid w:val="27363334"/>
    <w:rsid w:val="273B094A"/>
    <w:rsid w:val="273D2914"/>
    <w:rsid w:val="27404DC7"/>
    <w:rsid w:val="27441EF5"/>
    <w:rsid w:val="274C6FFB"/>
    <w:rsid w:val="275B723E"/>
    <w:rsid w:val="27602AA7"/>
    <w:rsid w:val="2769195B"/>
    <w:rsid w:val="276C144B"/>
    <w:rsid w:val="276C29FF"/>
    <w:rsid w:val="276F7982"/>
    <w:rsid w:val="27702CEA"/>
    <w:rsid w:val="27723922"/>
    <w:rsid w:val="27750300"/>
    <w:rsid w:val="27781B9E"/>
    <w:rsid w:val="277A5916"/>
    <w:rsid w:val="27822A1D"/>
    <w:rsid w:val="278247CB"/>
    <w:rsid w:val="27893DAB"/>
    <w:rsid w:val="27930786"/>
    <w:rsid w:val="27932534"/>
    <w:rsid w:val="279F712B"/>
    <w:rsid w:val="27A012F8"/>
    <w:rsid w:val="27A6670B"/>
    <w:rsid w:val="27A72484"/>
    <w:rsid w:val="27AA5AD0"/>
    <w:rsid w:val="27B13177"/>
    <w:rsid w:val="27B20448"/>
    <w:rsid w:val="27B83B2E"/>
    <w:rsid w:val="27BB1A8B"/>
    <w:rsid w:val="27BD3A55"/>
    <w:rsid w:val="27C22E19"/>
    <w:rsid w:val="27C923FA"/>
    <w:rsid w:val="27CA2A7A"/>
    <w:rsid w:val="27CB7F20"/>
    <w:rsid w:val="27CC3C98"/>
    <w:rsid w:val="27DA0163"/>
    <w:rsid w:val="27E64D5A"/>
    <w:rsid w:val="27EC60E8"/>
    <w:rsid w:val="27F154AD"/>
    <w:rsid w:val="27F258DB"/>
    <w:rsid w:val="27FF6A4F"/>
    <w:rsid w:val="280276BA"/>
    <w:rsid w:val="280E605F"/>
    <w:rsid w:val="281713B7"/>
    <w:rsid w:val="282E04AF"/>
    <w:rsid w:val="283310F0"/>
    <w:rsid w:val="28377363"/>
    <w:rsid w:val="283E4B96"/>
    <w:rsid w:val="28445F24"/>
    <w:rsid w:val="2847771B"/>
    <w:rsid w:val="28485A15"/>
    <w:rsid w:val="284D302B"/>
    <w:rsid w:val="28520641"/>
    <w:rsid w:val="28610884"/>
    <w:rsid w:val="286363AA"/>
    <w:rsid w:val="286F11F3"/>
    <w:rsid w:val="287265EE"/>
    <w:rsid w:val="287961D1"/>
    <w:rsid w:val="287C56BE"/>
    <w:rsid w:val="287D545A"/>
    <w:rsid w:val="287E5ACE"/>
    <w:rsid w:val="287F6F5C"/>
    <w:rsid w:val="288307FB"/>
    <w:rsid w:val="28846321"/>
    <w:rsid w:val="28855A7D"/>
    <w:rsid w:val="288602EB"/>
    <w:rsid w:val="288A2F7F"/>
    <w:rsid w:val="28911ACC"/>
    <w:rsid w:val="28916946"/>
    <w:rsid w:val="2899001E"/>
    <w:rsid w:val="28A54C15"/>
    <w:rsid w:val="28A7421F"/>
    <w:rsid w:val="28AD3ACA"/>
    <w:rsid w:val="28AF7842"/>
    <w:rsid w:val="28B430AA"/>
    <w:rsid w:val="28B74948"/>
    <w:rsid w:val="28B766F6"/>
    <w:rsid w:val="28BE1833"/>
    <w:rsid w:val="28C11323"/>
    <w:rsid w:val="28CA642A"/>
    <w:rsid w:val="28CD7CC8"/>
    <w:rsid w:val="28D15A0A"/>
    <w:rsid w:val="28D177B8"/>
    <w:rsid w:val="28D41056"/>
    <w:rsid w:val="28D70B46"/>
    <w:rsid w:val="28D92B11"/>
    <w:rsid w:val="28DE1ED5"/>
    <w:rsid w:val="28DE2A6B"/>
    <w:rsid w:val="28DF17A9"/>
    <w:rsid w:val="28E072CF"/>
    <w:rsid w:val="28E10056"/>
    <w:rsid w:val="28ED036A"/>
    <w:rsid w:val="28EF7C3E"/>
    <w:rsid w:val="28F11C08"/>
    <w:rsid w:val="28F147A8"/>
    <w:rsid w:val="28FC235B"/>
    <w:rsid w:val="28FD69FA"/>
    <w:rsid w:val="29143B49"/>
    <w:rsid w:val="29183639"/>
    <w:rsid w:val="291B0A33"/>
    <w:rsid w:val="291C43A2"/>
    <w:rsid w:val="291D0C4F"/>
    <w:rsid w:val="29220014"/>
    <w:rsid w:val="29226266"/>
    <w:rsid w:val="2927387C"/>
    <w:rsid w:val="292813A2"/>
    <w:rsid w:val="292A511A"/>
    <w:rsid w:val="292F0982"/>
    <w:rsid w:val="29332221"/>
    <w:rsid w:val="2934651F"/>
    <w:rsid w:val="293715E5"/>
    <w:rsid w:val="29373393"/>
    <w:rsid w:val="293B2E83"/>
    <w:rsid w:val="294A756A"/>
    <w:rsid w:val="294D2BB7"/>
    <w:rsid w:val="295108F9"/>
    <w:rsid w:val="29534671"/>
    <w:rsid w:val="29587103"/>
    <w:rsid w:val="296543A4"/>
    <w:rsid w:val="2967011C"/>
    <w:rsid w:val="296B6CBA"/>
    <w:rsid w:val="296C74E1"/>
    <w:rsid w:val="2973086F"/>
    <w:rsid w:val="29752839"/>
    <w:rsid w:val="297840D8"/>
    <w:rsid w:val="29890093"/>
    <w:rsid w:val="298E7457"/>
    <w:rsid w:val="298F31CF"/>
    <w:rsid w:val="298F4F7D"/>
    <w:rsid w:val="29982084"/>
    <w:rsid w:val="299A22A0"/>
    <w:rsid w:val="299D3B3E"/>
    <w:rsid w:val="29A30A29"/>
    <w:rsid w:val="29AC3D55"/>
    <w:rsid w:val="29AE5D4B"/>
    <w:rsid w:val="29B13146"/>
    <w:rsid w:val="29B175E9"/>
    <w:rsid w:val="29BD5F8E"/>
    <w:rsid w:val="29C15A7E"/>
    <w:rsid w:val="29C323D4"/>
    <w:rsid w:val="29C56BF1"/>
    <w:rsid w:val="29C9048F"/>
    <w:rsid w:val="29CC61D1"/>
    <w:rsid w:val="29CE1F49"/>
    <w:rsid w:val="29D11A3A"/>
    <w:rsid w:val="29D33D5E"/>
    <w:rsid w:val="29D46E34"/>
    <w:rsid w:val="29D55086"/>
    <w:rsid w:val="29D82DC8"/>
    <w:rsid w:val="29DD218D"/>
    <w:rsid w:val="29DF7CB3"/>
    <w:rsid w:val="29E057D9"/>
    <w:rsid w:val="29E2548B"/>
    <w:rsid w:val="29E4351B"/>
    <w:rsid w:val="29E452C9"/>
    <w:rsid w:val="29EB624B"/>
    <w:rsid w:val="29F1029B"/>
    <w:rsid w:val="29F714A0"/>
    <w:rsid w:val="2A0B4F4C"/>
    <w:rsid w:val="2A0C4820"/>
    <w:rsid w:val="2A104310"/>
    <w:rsid w:val="2A17569E"/>
    <w:rsid w:val="2A1A6F3D"/>
    <w:rsid w:val="2A1D4C7F"/>
    <w:rsid w:val="2A21310B"/>
    <w:rsid w:val="2A24600D"/>
    <w:rsid w:val="2A247DBB"/>
    <w:rsid w:val="2A2D4EC2"/>
    <w:rsid w:val="2A331DAD"/>
    <w:rsid w:val="2A351FC9"/>
    <w:rsid w:val="2A36189D"/>
    <w:rsid w:val="2A37772A"/>
    <w:rsid w:val="2A392CAE"/>
    <w:rsid w:val="2A3D0E7D"/>
    <w:rsid w:val="2A41271B"/>
    <w:rsid w:val="2A4160C7"/>
    <w:rsid w:val="2A420242"/>
    <w:rsid w:val="2A426D35"/>
    <w:rsid w:val="2A472991"/>
    <w:rsid w:val="2A497822"/>
    <w:rsid w:val="2A4E653F"/>
    <w:rsid w:val="2A584DF9"/>
    <w:rsid w:val="2A636B36"/>
    <w:rsid w:val="2A655CA5"/>
    <w:rsid w:val="2A677CA8"/>
    <w:rsid w:val="2A697EC4"/>
    <w:rsid w:val="2A7E3970"/>
    <w:rsid w:val="2A7F1496"/>
    <w:rsid w:val="2A7F4FF2"/>
    <w:rsid w:val="2A84085A"/>
    <w:rsid w:val="2A88659C"/>
    <w:rsid w:val="2A8D770F"/>
    <w:rsid w:val="2A8E5B5E"/>
    <w:rsid w:val="2A8F792B"/>
    <w:rsid w:val="2A90742C"/>
    <w:rsid w:val="2A930A9D"/>
    <w:rsid w:val="2A9434E8"/>
    <w:rsid w:val="2A97233B"/>
    <w:rsid w:val="2AA1765E"/>
    <w:rsid w:val="2AA607D0"/>
    <w:rsid w:val="2AA64C74"/>
    <w:rsid w:val="2AA8279A"/>
    <w:rsid w:val="2AAE58D7"/>
    <w:rsid w:val="2AB32EED"/>
    <w:rsid w:val="2AB54EB7"/>
    <w:rsid w:val="2ABB25E3"/>
    <w:rsid w:val="2ABF25ED"/>
    <w:rsid w:val="2AC31382"/>
    <w:rsid w:val="2AC33130"/>
    <w:rsid w:val="2AC3330D"/>
    <w:rsid w:val="2AC5587F"/>
    <w:rsid w:val="2AC86999"/>
    <w:rsid w:val="2ACA2711"/>
    <w:rsid w:val="2ACF5F79"/>
    <w:rsid w:val="2AD73080"/>
    <w:rsid w:val="2AD90BA6"/>
    <w:rsid w:val="2AD92954"/>
    <w:rsid w:val="2AE015D7"/>
    <w:rsid w:val="2AE61515"/>
    <w:rsid w:val="2AEF3F25"/>
    <w:rsid w:val="2AF27EBA"/>
    <w:rsid w:val="2AF43C32"/>
    <w:rsid w:val="2AF459E0"/>
    <w:rsid w:val="2AF4778E"/>
    <w:rsid w:val="2AFE685E"/>
    <w:rsid w:val="2B013C59"/>
    <w:rsid w:val="2B02634F"/>
    <w:rsid w:val="2B0A0D5F"/>
    <w:rsid w:val="2B1E480B"/>
    <w:rsid w:val="2B1F7399"/>
    <w:rsid w:val="2B232BDB"/>
    <w:rsid w:val="2B285689"/>
    <w:rsid w:val="2B2A3917"/>
    <w:rsid w:val="2B32482A"/>
    <w:rsid w:val="2B367DA6"/>
    <w:rsid w:val="2B3758CC"/>
    <w:rsid w:val="2B3B360F"/>
    <w:rsid w:val="2B4C723F"/>
    <w:rsid w:val="2B520958"/>
    <w:rsid w:val="2B5446D0"/>
    <w:rsid w:val="2B54647E"/>
    <w:rsid w:val="2B5621F6"/>
    <w:rsid w:val="2B6058E0"/>
    <w:rsid w:val="2B612949"/>
    <w:rsid w:val="2B6366C1"/>
    <w:rsid w:val="2B69794E"/>
    <w:rsid w:val="2B7663F5"/>
    <w:rsid w:val="2B8F74B6"/>
    <w:rsid w:val="2B97636B"/>
    <w:rsid w:val="2B980A61"/>
    <w:rsid w:val="2B9E76FA"/>
    <w:rsid w:val="2B9E7BC7"/>
    <w:rsid w:val="2BA03472"/>
    <w:rsid w:val="2BA411B4"/>
    <w:rsid w:val="2BA5645F"/>
    <w:rsid w:val="2BAE12E7"/>
    <w:rsid w:val="2BB4516F"/>
    <w:rsid w:val="2BB62C95"/>
    <w:rsid w:val="2BB94533"/>
    <w:rsid w:val="2BBB02AC"/>
    <w:rsid w:val="2BD17ACF"/>
    <w:rsid w:val="2BD33847"/>
    <w:rsid w:val="2BD66E93"/>
    <w:rsid w:val="2BDB6BA0"/>
    <w:rsid w:val="2BE07D12"/>
    <w:rsid w:val="2BE23A8A"/>
    <w:rsid w:val="2BE95450"/>
    <w:rsid w:val="2BEA1CFB"/>
    <w:rsid w:val="2BEB4B93"/>
    <w:rsid w:val="2BF26F01"/>
    <w:rsid w:val="2BF33EE9"/>
    <w:rsid w:val="2BF51A0F"/>
    <w:rsid w:val="2C0440A1"/>
    <w:rsid w:val="2C10541E"/>
    <w:rsid w:val="2C11611D"/>
    <w:rsid w:val="2C126E5A"/>
    <w:rsid w:val="2C1C51EE"/>
    <w:rsid w:val="2C210A56"/>
    <w:rsid w:val="2C2643AF"/>
    <w:rsid w:val="2C2A71DF"/>
    <w:rsid w:val="2C2E3173"/>
    <w:rsid w:val="2C3F712F"/>
    <w:rsid w:val="2C464019"/>
    <w:rsid w:val="2C475FE3"/>
    <w:rsid w:val="2C486D9A"/>
    <w:rsid w:val="2C4B5AD3"/>
    <w:rsid w:val="2C4C35F9"/>
    <w:rsid w:val="2C4C3F30"/>
    <w:rsid w:val="2C4C53A8"/>
    <w:rsid w:val="2C5030EA"/>
    <w:rsid w:val="2C506C46"/>
    <w:rsid w:val="2C526E62"/>
    <w:rsid w:val="2C536736"/>
    <w:rsid w:val="2C5F332D"/>
    <w:rsid w:val="2C5F50DB"/>
    <w:rsid w:val="2C673F8F"/>
    <w:rsid w:val="2C6941AB"/>
    <w:rsid w:val="2C6B1CD2"/>
    <w:rsid w:val="2C6B3A80"/>
    <w:rsid w:val="2C6D5A4A"/>
    <w:rsid w:val="2C6E3570"/>
    <w:rsid w:val="2C7C5C8D"/>
    <w:rsid w:val="2C7F577D"/>
    <w:rsid w:val="2C826E81"/>
    <w:rsid w:val="2C862667"/>
    <w:rsid w:val="2C8D1C48"/>
    <w:rsid w:val="2C970D19"/>
    <w:rsid w:val="2C9805ED"/>
    <w:rsid w:val="2C9E3E55"/>
    <w:rsid w:val="2CA014EB"/>
    <w:rsid w:val="2CA13945"/>
    <w:rsid w:val="2CA451E4"/>
    <w:rsid w:val="2CA70830"/>
    <w:rsid w:val="2CA84CD4"/>
    <w:rsid w:val="2CAA0A5A"/>
    <w:rsid w:val="2CAF6062"/>
    <w:rsid w:val="2CB76CC5"/>
    <w:rsid w:val="2CBD5CF7"/>
    <w:rsid w:val="2CC17B44"/>
    <w:rsid w:val="2CC76232"/>
    <w:rsid w:val="2CC87124"/>
    <w:rsid w:val="2CC969F8"/>
    <w:rsid w:val="2CD258AD"/>
    <w:rsid w:val="2CD3327F"/>
    <w:rsid w:val="2CD77367"/>
    <w:rsid w:val="2CDA29B3"/>
    <w:rsid w:val="2CE101E6"/>
    <w:rsid w:val="2CED0939"/>
    <w:rsid w:val="2CED6B8B"/>
    <w:rsid w:val="2CF03F85"/>
    <w:rsid w:val="2CF271A5"/>
    <w:rsid w:val="2CF33A75"/>
    <w:rsid w:val="2CFA4E04"/>
    <w:rsid w:val="2CFF066C"/>
    <w:rsid w:val="2D0363AE"/>
    <w:rsid w:val="2D041698"/>
    <w:rsid w:val="2D087520"/>
    <w:rsid w:val="2D0B7011"/>
    <w:rsid w:val="2D0D4B37"/>
    <w:rsid w:val="2D1063D5"/>
    <w:rsid w:val="2D1C2FCC"/>
    <w:rsid w:val="2D1D3FF2"/>
    <w:rsid w:val="2D1E0AF2"/>
    <w:rsid w:val="2D281971"/>
    <w:rsid w:val="2D395076"/>
    <w:rsid w:val="2D3E1194"/>
    <w:rsid w:val="2D426A09"/>
    <w:rsid w:val="2D4367AA"/>
    <w:rsid w:val="2D450775"/>
    <w:rsid w:val="2D46629B"/>
    <w:rsid w:val="2D524C40"/>
    <w:rsid w:val="2D563C6B"/>
    <w:rsid w:val="2D564730"/>
    <w:rsid w:val="2D69305E"/>
    <w:rsid w:val="2D6F57F1"/>
    <w:rsid w:val="2D744BB6"/>
    <w:rsid w:val="2D79041E"/>
    <w:rsid w:val="2D7C3A6A"/>
    <w:rsid w:val="2D7E3C87"/>
    <w:rsid w:val="2D8044A8"/>
    <w:rsid w:val="2D83304B"/>
    <w:rsid w:val="2D8400D7"/>
    <w:rsid w:val="2D851D9A"/>
    <w:rsid w:val="2D960FD0"/>
    <w:rsid w:val="2D9708A4"/>
    <w:rsid w:val="2D9C5EBB"/>
    <w:rsid w:val="2DA30834"/>
    <w:rsid w:val="2DAD00C8"/>
    <w:rsid w:val="2DB256DE"/>
    <w:rsid w:val="2DBA2F11"/>
    <w:rsid w:val="2DC07DFB"/>
    <w:rsid w:val="2DC378EB"/>
    <w:rsid w:val="2DC84F02"/>
    <w:rsid w:val="2DD41AF8"/>
    <w:rsid w:val="2DD92C6B"/>
    <w:rsid w:val="2DD9710F"/>
    <w:rsid w:val="2DDD6BFF"/>
    <w:rsid w:val="2DDF4725"/>
    <w:rsid w:val="2DE13A8A"/>
    <w:rsid w:val="2DE33AEA"/>
    <w:rsid w:val="2DE41D3C"/>
    <w:rsid w:val="2DE55AB4"/>
    <w:rsid w:val="2DE75388"/>
    <w:rsid w:val="2DEC6E42"/>
    <w:rsid w:val="2DF8044C"/>
    <w:rsid w:val="2E183793"/>
    <w:rsid w:val="2E1A575D"/>
    <w:rsid w:val="2E20089A"/>
    <w:rsid w:val="2E2959A0"/>
    <w:rsid w:val="2E2E1209"/>
    <w:rsid w:val="2E2E2FB7"/>
    <w:rsid w:val="2E341F8D"/>
    <w:rsid w:val="2E3C2288"/>
    <w:rsid w:val="2E424CB4"/>
    <w:rsid w:val="2E4E7A03"/>
    <w:rsid w:val="2E580034"/>
    <w:rsid w:val="2E5A0250"/>
    <w:rsid w:val="2E5F13C2"/>
    <w:rsid w:val="2E67471B"/>
    <w:rsid w:val="2E690493"/>
    <w:rsid w:val="2E725599"/>
    <w:rsid w:val="2E81758A"/>
    <w:rsid w:val="2E861045"/>
    <w:rsid w:val="2E8C5F2F"/>
    <w:rsid w:val="2E8E1CA7"/>
    <w:rsid w:val="2E8E25B7"/>
    <w:rsid w:val="2E9372BE"/>
    <w:rsid w:val="2E960B5C"/>
    <w:rsid w:val="2E9A0862"/>
    <w:rsid w:val="2EA65243"/>
    <w:rsid w:val="2EAD65D1"/>
    <w:rsid w:val="2EAE5EA6"/>
    <w:rsid w:val="2EB11513"/>
    <w:rsid w:val="2EB711FE"/>
    <w:rsid w:val="2EBA0CEE"/>
    <w:rsid w:val="2EC61441"/>
    <w:rsid w:val="2ECE404F"/>
    <w:rsid w:val="2ED00512"/>
    <w:rsid w:val="2ED05F2C"/>
    <w:rsid w:val="2ED26038"/>
    <w:rsid w:val="2ED7364E"/>
    <w:rsid w:val="2EDC6EB7"/>
    <w:rsid w:val="2EDD678B"/>
    <w:rsid w:val="2EDE0726"/>
    <w:rsid w:val="2EE23DA1"/>
    <w:rsid w:val="2EE32F12"/>
    <w:rsid w:val="2EE3501E"/>
    <w:rsid w:val="2EE43FBD"/>
    <w:rsid w:val="2EE93382"/>
    <w:rsid w:val="2EEB70FA"/>
    <w:rsid w:val="2EEE2746"/>
    <w:rsid w:val="2EEF5E4C"/>
    <w:rsid w:val="2EF557BC"/>
    <w:rsid w:val="2EFF4953"/>
    <w:rsid w:val="2F063F34"/>
    <w:rsid w:val="2F0D7070"/>
    <w:rsid w:val="2F133481"/>
    <w:rsid w:val="2F135ACB"/>
    <w:rsid w:val="2F1877C3"/>
    <w:rsid w:val="2F1C3757"/>
    <w:rsid w:val="2F285C58"/>
    <w:rsid w:val="2F300FB0"/>
    <w:rsid w:val="2F324D29"/>
    <w:rsid w:val="2F3320DE"/>
    <w:rsid w:val="2F3A3BDD"/>
    <w:rsid w:val="2F407445"/>
    <w:rsid w:val="2F503401"/>
    <w:rsid w:val="2F560A17"/>
    <w:rsid w:val="2F5A7DDB"/>
    <w:rsid w:val="2F5B427F"/>
    <w:rsid w:val="2F5C507D"/>
    <w:rsid w:val="2F662C24"/>
    <w:rsid w:val="2F6D3490"/>
    <w:rsid w:val="2F6D7B0F"/>
    <w:rsid w:val="2F6F3887"/>
    <w:rsid w:val="2F7075FF"/>
    <w:rsid w:val="2F77273B"/>
    <w:rsid w:val="2F792957"/>
    <w:rsid w:val="2F7B10A8"/>
    <w:rsid w:val="2F7E3ACA"/>
    <w:rsid w:val="2F880DEC"/>
    <w:rsid w:val="2F963509"/>
    <w:rsid w:val="2F971030"/>
    <w:rsid w:val="2F996B56"/>
    <w:rsid w:val="2F9B28CE"/>
    <w:rsid w:val="2FA23C5C"/>
    <w:rsid w:val="2FAA1469"/>
    <w:rsid w:val="2FAD2601"/>
    <w:rsid w:val="2FB13E9F"/>
    <w:rsid w:val="2FB35E69"/>
    <w:rsid w:val="2FBB2F70"/>
    <w:rsid w:val="2FC11C09"/>
    <w:rsid w:val="2FC260AC"/>
    <w:rsid w:val="2FC5794B"/>
    <w:rsid w:val="2FC71915"/>
    <w:rsid w:val="2FCC0CD9"/>
    <w:rsid w:val="2FCF2577"/>
    <w:rsid w:val="2FD162F0"/>
    <w:rsid w:val="2FD45DE0"/>
    <w:rsid w:val="2FD83F7E"/>
    <w:rsid w:val="2FD91648"/>
    <w:rsid w:val="2FE7396B"/>
    <w:rsid w:val="2FEA115F"/>
    <w:rsid w:val="2FEC3129"/>
    <w:rsid w:val="2FF975F4"/>
    <w:rsid w:val="30006BD5"/>
    <w:rsid w:val="30071D11"/>
    <w:rsid w:val="300D7D4A"/>
    <w:rsid w:val="300F506A"/>
    <w:rsid w:val="301461DC"/>
    <w:rsid w:val="30191A45"/>
    <w:rsid w:val="302544BC"/>
    <w:rsid w:val="302C1778"/>
    <w:rsid w:val="302C5C1C"/>
    <w:rsid w:val="3038011D"/>
    <w:rsid w:val="30384C45"/>
    <w:rsid w:val="303B5E5F"/>
    <w:rsid w:val="30461790"/>
    <w:rsid w:val="304940D8"/>
    <w:rsid w:val="304A7E50"/>
    <w:rsid w:val="304C5976"/>
    <w:rsid w:val="30534F57"/>
    <w:rsid w:val="30536D05"/>
    <w:rsid w:val="305413C9"/>
    <w:rsid w:val="30562C99"/>
    <w:rsid w:val="305A4537"/>
    <w:rsid w:val="305B02AF"/>
    <w:rsid w:val="305D4027"/>
    <w:rsid w:val="305E56A9"/>
    <w:rsid w:val="305F4CF6"/>
    <w:rsid w:val="306233EC"/>
    <w:rsid w:val="3062519A"/>
    <w:rsid w:val="306311C4"/>
    <w:rsid w:val="306727B0"/>
    <w:rsid w:val="306A22A0"/>
    <w:rsid w:val="306B04F2"/>
    <w:rsid w:val="306E3B3E"/>
    <w:rsid w:val="30703D5A"/>
    <w:rsid w:val="307B44AD"/>
    <w:rsid w:val="30890978"/>
    <w:rsid w:val="30894E1C"/>
    <w:rsid w:val="308A649E"/>
    <w:rsid w:val="308E24B5"/>
    <w:rsid w:val="3094752D"/>
    <w:rsid w:val="309612E7"/>
    <w:rsid w:val="309D08C8"/>
    <w:rsid w:val="30B11C7D"/>
    <w:rsid w:val="30B33C47"/>
    <w:rsid w:val="30B654E5"/>
    <w:rsid w:val="30BB2AFC"/>
    <w:rsid w:val="30BC6FA0"/>
    <w:rsid w:val="30C6397A"/>
    <w:rsid w:val="30C776F3"/>
    <w:rsid w:val="30D00355"/>
    <w:rsid w:val="30D36097"/>
    <w:rsid w:val="30D75B88"/>
    <w:rsid w:val="30DA7426"/>
    <w:rsid w:val="30DD2A72"/>
    <w:rsid w:val="30EB1633"/>
    <w:rsid w:val="30F54260"/>
    <w:rsid w:val="30FA3624"/>
    <w:rsid w:val="30FB1EEF"/>
    <w:rsid w:val="310224D9"/>
    <w:rsid w:val="310B75DF"/>
    <w:rsid w:val="31102E48"/>
    <w:rsid w:val="311A1F18"/>
    <w:rsid w:val="311E37B6"/>
    <w:rsid w:val="312003F1"/>
    <w:rsid w:val="312132A7"/>
    <w:rsid w:val="312468F3"/>
    <w:rsid w:val="31271F3F"/>
    <w:rsid w:val="312B7C81"/>
    <w:rsid w:val="312D57A8"/>
    <w:rsid w:val="313308E4"/>
    <w:rsid w:val="313703D4"/>
    <w:rsid w:val="313A1C72"/>
    <w:rsid w:val="313E3CF9"/>
    <w:rsid w:val="313F372D"/>
    <w:rsid w:val="314107E5"/>
    <w:rsid w:val="3143321D"/>
    <w:rsid w:val="314D5E4A"/>
    <w:rsid w:val="3152520E"/>
    <w:rsid w:val="31532D34"/>
    <w:rsid w:val="315A40C3"/>
    <w:rsid w:val="315E09D5"/>
    <w:rsid w:val="31681200"/>
    <w:rsid w:val="31684A32"/>
    <w:rsid w:val="317653A0"/>
    <w:rsid w:val="3179279B"/>
    <w:rsid w:val="317C228B"/>
    <w:rsid w:val="317E1D05"/>
    <w:rsid w:val="318178A1"/>
    <w:rsid w:val="319121DA"/>
    <w:rsid w:val="319677F1"/>
    <w:rsid w:val="319D02D5"/>
    <w:rsid w:val="31A35A6A"/>
    <w:rsid w:val="31A6555A"/>
    <w:rsid w:val="31A83080"/>
    <w:rsid w:val="31AC0DC2"/>
    <w:rsid w:val="31AC7822"/>
    <w:rsid w:val="31B41A25"/>
    <w:rsid w:val="31B859B9"/>
    <w:rsid w:val="31B934DF"/>
    <w:rsid w:val="31BC4D7D"/>
    <w:rsid w:val="31C679AA"/>
    <w:rsid w:val="31C83722"/>
    <w:rsid w:val="31CD79A4"/>
    <w:rsid w:val="31CF685F"/>
    <w:rsid w:val="31D43E75"/>
    <w:rsid w:val="31DB3455"/>
    <w:rsid w:val="31DD5420"/>
    <w:rsid w:val="31E367AE"/>
    <w:rsid w:val="31EF6F01"/>
    <w:rsid w:val="31F12C79"/>
    <w:rsid w:val="31F2254D"/>
    <w:rsid w:val="31F255AF"/>
    <w:rsid w:val="31FB7654"/>
    <w:rsid w:val="31FD161E"/>
    <w:rsid w:val="31FE7C49"/>
    <w:rsid w:val="32004C6A"/>
    <w:rsid w:val="32026C34"/>
    <w:rsid w:val="32032B23"/>
    <w:rsid w:val="32105CA4"/>
    <w:rsid w:val="3216623C"/>
    <w:rsid w:val="32171FB4"/>
    <w:rsid w:val="3219034B"/>
    <w:rsid w:val="321921D0"/>
    <w:rsid w:val="3220530C"/>
    <w:rsid w:val="322070BA"/>
    <w:rsid w:val="3227669B"/>
    <w:rsid w:val="322A7F37"/>
    <w:rsid w:val="32324544"/>
    <w:rsid w:val="323808A8"/>
    <w:rsid w:val="3239017C"/>
    <w:rsid w:val="324463DD"/>
    <w:rsid w:val="324A4137"/>
    <w:rsid w:val="324C6101"/>
    <w:rsid w:val="324E00CB"/>
    <w:rsid w:val="325154C6"/>
    <w:rsid w:val="32544FB6"/>
    <w:rsid w:val="325B00F2"/>
    <w:rsid w:val="325B4596"/>
    <w:rsid w:val="32625925"/>
    <w:rsid w:val="326571C3"/>
    <w:rsid w:val="32672F3B"/>
    <w:rsid w:val="32676A97"/>
    <w:rsid w:val="326C0551"/>
    <w:rsid w:val="3277050E"/>
    <w:rsid w:val="32785148"/>
    <w:rsid w:val="327B2543"/>
    <w:rsid w:val="327B69E7"/>
    <w:rsid w:val="32876D44"/>
    <w:rsid w:val="328C4750"/>
    <w:rsid w:val="32904240"/>
    <w:rsid w:val="32931A70"/>
    <w:rsid w:val="32931F82"/>
    <w:rsid w:val="32981347"/>
    <w:rsid w:val="329B0E37"/>
    <w:rsid w:val="329D070B"/>
    <w:rsid w:val="32AB107A"/>
    <w:rsid w:val="32AD1D1E"/>
    <w:rsid w:val="32AE46C6"/>
    <w:rsid w:val="32B1065A"/>
    <w:rsid w:val="32B55A55"/>
    <w:rsid w:val="32BC3287"/>
    <w:rsid w:val="32BD0DAD"/>
    <w:rsid w:val="32BD6371"/>
    <w:rsid w:val="32BF4B25"/>
    <w:rsid w:val="32C97752"/>
    <w:rsid w:val="32CC0FF0"/>
    <w:rsid w:val="32D0096E"/>
    <w:rsid w:val="32D228C1"/>
    <w:rsid w:val="32DA7B71"/>
    <w:rsid w:val="32DB1233"/>
    <w:rsid w:val="32DC56D7"/>
    <w:rsid w:val="32E93950"/>
    <w:rsid w:val="32EA65B6"/>
    <w:rsid w:val="32F56799"/>
    <w:rsid w:val="32FD564D"/>
    <w:rsid w:val="32FE5564"/>
    <w:rsid w:val="32FF3174"/>
    <w:rsid w:val="33010C9A"/>
    <w:rsid w:val="330662B0"/>
    <w:rsid w:val="330668C7"/>
    <w:rsid w:val="330864CC"/>
    <w:rsid w:val="33092244"/>
    <w:rsid w:val="33174961"/>
    <w:rsid w:val="331D1F7D"/>
    <w:rsid w:val="331F3816"/>
    <w:rsid w:val="33274478"/>
    <w:rsid w:val="332D7CE1"/>
    <w:rsid w:val="332E3A59"/>
    <w:rsid w:val="333C6176"/>
    <w:rsid w:val="334119DE"/>
    <w:rsid w:val="33492641"/>
    <w:rsid w:val="334B0167"/>
    <w:rsid w:val="334D0383"/>
    <w:rsid w:val="334D2131"/>
    <w:rsid w:val="335C4122"/>
    <w:rsid w:val="335D0B51"/>
    <w:rsid w:val="335D7E9A"/>
    <w:rsid w:val="335E433E"/>
    <w:rsid w:val="335F1E64"/>
    <w:rsid w:val="336D23E5"/>
    <w:rsid w:val="336E0395"/>
    <w:rsid w:val="336E7E90"/>
    <w:rsid w:val="33727DEA"/>
    <w:rsid w:val="337C47C4"/>
    <w:rsid w:val="33833DA5"/>
    <w:rsid w:val="33843679"/>
    <w:rsid w:val="338B4374"/>
    <w:rsid w:val="338D077F"/>
    <w:rsid w:val="338F274A"/>
    <w:rsid w:val="33945FB2"/>
    <w:rsid w:val="339E473B"/>
    <w:rsid w:val="33A04957"/>
    <w:rsid w:val="33A45AC9"/>
    <w:rsid w:val="33AF4B9A"/>
    <w:rsid w:val="33B26438"/>
    <w:rsid w:val="33C663E2"/>
    <w:rsid w:val="33C66680"/>
    <w:rsid w:val="33D20888"/>
    <w:rsid w:val="33DC5263"/>
    <w:rsid w:val="33E67E90"/>
    <w:rsid w:val="33EF5A15"/>
    <w:rsid w:val="33F94067"/>
    <w:rsid w:val="33F97DCE"/>
    <w:rsid w:val="33FB393B"/>
    <w:rsid w:val="340139A0"/>
    <w:rsid w:val="34022C78"/>
    <w:rsid w:val="34076784"/>
    <w:rsid w:val="340F5638"/>
    <w:rsid w:val="34125129"/>
    <w:rsid w:val="34142C4F"/>
    <w:rsid w:val="34164C19"/>
    <w:rsid w:val="341669C7"/>
    <w:rsid w:val="34182AF8"/>
    <w:rsid w:val="341D5FA7"/>
    <w:rsid w:val="341E3ACD"/>
    <w:rsid w:val="342310E4"/>
    <w:rsid w:val="34264EE9"/>
    <w:rsid w:val="342D5ABF"/>
    <w:rsid w:val="342F7A89"/>
    <w:rsid w:val="3431735D"/>
    <w:rsid w:val="34403A44"/>
    <w:rsid w:val="34452E08"/>
    <w:rsid w:val="344572AC"/>
    <w:rsid w:val="34496D9C"/>
    <w:rsid w:val="34533777"/>
    <w:rsid w:val="34627E5E"/>
    <w:rsid w:val="34637732"/>
    <w:rsid w:val="346644D8"/>
    <w:rsid w:val="346720DE"/>
    <w:rsid w:val="34761214"/>
    <w:rsid w:val="34767465"/>
    <w:rsid w:val="347E631A"/>
    <w:rsid w:val="348778C5"/>
    <w:rsid w:val="348E47AF"/>
    <w:rsid w:val="348F0527"/>
    <w:rsid w:val="34931DC5"/>
    <w:rsid w:val="34A55F9D"/>
    <w:rsid w:val="34AE1BA1"/>
    <w:rsid w:val="34B0549C"/>
    <w:rsid w:val="34B1049E"/>
    <w:rsid w:val="34B30DCC"/>
    <w:rsid w:val="34B34216"/>
    <w:rsid w:val="34B35455"/>
    <w:rsid w:val="34B87A7E"/>
    <w:rsid w:val="34BA6286"/>
    <w:rsid w:val="34BB30CA"/>
    <w:rsid w:val="34BB3C1A"/>
    <w:rsid w:val="34C06933"/>
    <w:rsid w:val="34C5119A"/>
    <w:rsid w:val="34C93A39"/>
    <w:rsid w:val="34CB5A03"/>
    <w:rsid w:val="34CE2DFE"/>
    <w:rsid w:val="34D32B0A"/>
    <w:rsid w:val="34D84DA0"/>
    <w:rsid w:val="34E645EB"/>
    <w:rsid w:val="34E72111"/>
    <w:rsid w:val="34E940DB"/>
    <w:rsid w:val="34F52A80"/>
    <w:rsid w:val="34F62354"/>
    <w:rsid w:val="34FF56AD"/>
    <w:rsid w:val="35011425"/>
    <w:rsid w:val="35066A3B"/>
    <w:rsid w:val="350902DA"/>
    <w:rsid w:val="35141C21"/>
    <w:rsid w:val="351647A5"/>
    <w:rsid w:val="351C000D"/>
    <w:rsid w:val="351D1FD7"/>
    <w:rsid w:val="351F5D4F"/>
    <w:rsid w:val="35211A09"/>
    <w:rsid w:val="35213875"/>
    <w:rsid w:val="352670DE"/>
    <w:rsid w:val="35281527"/>
    <w:rsid w:val="352944D8"/>
    <w:rsid w:val="35494B7A"/>
    <w:rsid w:val="354B444E"/>
    <w:rsid w:val="35584DBD"/>
    <w:rsid w:val="35586B6B"/>
    <w:rsid w:val="355A0B35"/>
    <w:rsid w:val="355A28E3"/>
    <w:rsid w:val="35610116"/>
    <w:rsid w:val="35611EC4"/>
    <w:rsid w:val="356B5D6B"/>
    <w:rsid w:val="357165DC"/>
    <w:rsid w:val="357716E7"/>
    <w:rsid w:val="357A11D7"/>
    <w:rsid w:val="357C0AAC"/>
    <w:rsid w:val="357E0CC8"/>
    <w:rsid w:val="3583008C"/>
    <w:rsid w:val="35847960"/>
    <w:rsid w:val="358A08C4"/>
    <w:rsid w:val="358B6F41"/>
    <w:rsid w:val="358D2CB9"/>
    <w:rsid w:val="359305B1"/>
    <w:rsid w:val="359C2EFC"/>
    <w:rsid w:val="359E6C74"/>
    <w:rsid w:val="35A87AF3"/>
    <w:rsid w:val="35AA386B"/>
    <w:rsid w:val="35B244CD"/>
    <w:rsid w:val="35B30245"/>
    <w:rsid w:val="35B6520A"/>
    <w:rsid w:val="35B75F88"/>
    <w:rsid w:val="35BC70FA"/>
    <w:rsid w:val="35BD4A35"/>
    <w:rsid w:val="35BE10C4"/>
    <w:rsid w:val="35BE7316"/>
    <w:rsid w:val="35C506A4"/>
    <w:rsid w:val="35C7361F"/>
    <w:rsid w:val="35CA5CBB"/>
    <w:rsid w:val="35D22DC1"/>
    <w:rsid w:val="35DE52C2"/>
    <w:rsid w:val="35E52AF5"/>
    <w:rsid w:val="35E548A3"/>
    <w:rsid w:val="35F15590"/>
    <w:rsid w:val="35F42D38"/>
    <w:rsid w:val="360607D9"/>
    <w:rsid w:val="361138EA"/>
    <w:rsid w:val="36140CE4"/>
    <w:rsid w:val="36190C5C"/>
    <w:rsid w:val="361C0286"/>
    <w:rsid w:val="361C361A"/>
    <w:rsid w:val="361E7DB5"/>
    <w:rsid w:val="36203B2D"/>
    <w:rsid w:val="36257395"/>
    <w:rsid w:val="36274EBB"/>
    <w:rsid w:val="36281C7A"/>
    <w:rsid w:val="362A49AB"/>
    <w:rsid w:val="362B4280"/>
    <w:rsid w:val="36315D3A"/>
    <w:rsid w:val="36341386"/>
    <w:rsid w:val="36370B9C"/>
    <w:rsid w:val="363D46DF"/>
    <w:rsid w:val="363D616D"/>
    <w:rsid w:val="363E2205"/>
    <w:rsid w:val="364610BA"/>
    <w:rsid w:val="36467CF5"/>
    <w:rsid w:val="36495A34"/>
    <w:rsid w:val="364C4922"/>
    <w:rsid w:val="364E58BC"/>
    <w:rsid w:val="3652180C"/>
    <w:rsid w:val="36545584"/>
    <w:rsid w:val="36547DFA"/>
    <w:rsid w:val="36581519"/>
    <w:rsid w:val="3660217B"/>
    <w:rsid w:val="36603F29"/>
    <w:rsid w:val="36611E1B"/>
    <w:rsid w:val="3661274E"/>
    <w:rsid w:val="36637EBD"/>
    <w:rsid w:val="366559E4"/>
    <w:rsid w:val="36657792"/>
    <w:rsid w:val="3666621F"/>
    <w:rsid w:val="36681030"/>
    <w:rsid w:val="366C6D72"/>
    <w:rsid w:val="366D10AA"/>
    <w:rsid w:val="367050B6"/>
    <w:rsid w:val="36723C5D"/>
    <w:rsid w:val="36767BF1"/>
    <w:rsid w:val="367E0761"/>
    <w:rsid w:val="3680580C"/>
    <w:rsid w:val="36806379"/>
    <w:rsid w:val="368220F2"/>
    <w:rsid w:val="368563E3"/>
    <w:rsid w:val="36900CA3"/>
    <w:rsid w:val="369267B0"/>
    <w:rsid w:val="369462C9"/>
    <w:rsid w:val="369736C3"/>
    <w:rsid w:val="369E2CA4"/>
    <w:rsid w:val="36A209E6"/>
    <w:rsid w:val="36A4650C"/>
    <w:rsid w:val="36B9188B"/>
    <w:rsid w:val="36C344B8"/>
    <w:rsid w:val="36C721FA"/>
    <w:rsid w:val="36DD1A1E"/>
    <w:rsid w:val="36DD557A"/>
    <w:rsid w:val="36DE7CD7"/>
    <w:rsid w:val="36E032BC"/>
    <w:rsid w:val="36E06A38"/>
    <w:rsid w:val="36E763F9"/>
    <w:rsid w:val="36E8788B"/>
    <w:rsid w:val="36F17277"/>
    <w:rsid w:val="36FF1994"/>
    <w:rsid w:val="37070849"/>
    <w:rsid w:val="370945C1"/>
    <w:rsid w:val="370A0339"/>
    <w:rsid w:val="370B789B"/>
    <w:rsid w:val="370C40B1"/>
    <w:rsid w:val="37135440"/>
    <w:rsid w:val="37166CDE"/>
    <w:rsid w:val="371B6AC5"/>
    <w:rsid w:val="37215DAE"/>
    <w:rsid w:val="372431A9"/>
    <w:rsid w:val="372C6501"/>
    <w:rsid w:val="372E0CF4"/>
    <w:rsid w:val="373A0C1E"/>
    <w:rsid w:val="37531CE0"/>
    <w:rsid w:val="375D2B5F"/>
    <w:rsid w:val="376938B1"/>
    <w:rsid w:val="376F3581"/>
    <w:rsid w:val="37751BBC"/>
    <w:rsid w:val="3787198A"/>
    <w:rsid w:val="37887BDC"/>
    <w:rsid w:val="378C0679"/>
    <w:rsid w:val="378D6FA0"/>
    <w:rsid w:val="378E2D18"/>
    <w:rsid w:val="37976071"/>
    <w:rsid w:val="379F6CD3"/>
    <w:rsid w:val="37A31457"/>
    <w:rsid w:val="37A60062"/>
    <w:rsid w:val="37B02C8E"/>
    <w:rsid w:val="37B07132"/>
    <w:rsid w:val="37B7401D"/>
    <w:rsid w:val="37BC5AD7"/>
    <w:rsid w:val="37BE5938"/>
    <w:rsid w:val="37C624B2"/>
    <w:rsid w:val="37CB5D1A"/>
    <w:rsid w:val="37CD55EE"/>
    <w:rsid w:val="37CE542D"/>
    <w:rsid w:val="37D20E57"/>
    <w:rsid w:val="37D864DF"/>
    <w:rsid w:val="37DE3C9F"/>
    <w:rsid w:val="37E50F72"/>
    <w:rsid w:val="37F232A7"/>
    <w:rsid w:val="37F7266B"/>
    <w:rsid w:val="37FC4126"/>
    <w:rsid w:val="37FC6B48"/>
    <w:rsid w:val="37FE39FA"/>
    <w:rsid w:val="3806412E"/>
    <w:rsid w:val="380B25BB"/>
    <w:rsid w:val="3810197F"/>
    <w:rsid w:val="38190834"/>
    <w:rsid w:val="38221221"/>
    <w:rsid w:val="38286CC9"/>
    <w:rsid w:val="382A0C93"/>
    <w:rsid w:val="382A2A41"/>
    <w:rsid w:val="38303DCF"/>
    <w:rsid w:val="38315C5A"/>
    <w:rsid w:val="383218F5"/>
    <w:rsid w:val="3836588A"/>
    <w:rsid w:val="38376F0C"/>
    <w:rsid w:val="383C09C6"/>
    <w:rsid w:val="38440873"/>
    <w:rsid w:val="384635F3"/>
    <w:rsid w:val="38482EC7"/>
    <w:rsid w:val="384F06F9"/>
    <w:rsid w:val="38575800"/>
    <w:rsid w:val="385A07E5"/>
    <w:rsid w:val="385D73CC"/>
    <w:rsid w:val="385E6B8E"/>
    <w:rsid w:val="385F7597"/>
    <w:rsid w:val="38664899"/>
    <w:rsid w:val="38685317"/>
    <w:rsid w:val="386F2B4A"/>
    <w:rsid w:val="38765C86"/>
    <w:rsid w:val="38787C50"/>
    <w:rsid w:val="387E0FDF"/>
    <w:rsid w:val="387E2D8D"/>
    <w:rsid w:val="388175F1"/>
    <w:rsid w:val="38877E93"/>
    <w:rsid w:val="388F6676"/>
    <w:rsid w:val="38910D12"/>
    <w:rsid w:val="38966328"/>
    <w:rsid w:val="38975BFC"/>
    <w:rsid w:val="389E008F"/>
    <w:rsid w:val="38A94C99"/>
    <w:rsid w:val="38B30C88"/>
    <w:rsid w:val="38B7004D"/>
    <w:rsid w:val="38BB5D8F"/>
    <w:rsid w:val="38BD5663"/>
    <w:rsid w:val="38BE72A8"/>
    <w:rsid w:val="38C20ECB"/>
    <w:rsid w:val="38CA5FD2"/>
    <w:rsid w:val="38CC11AA"/>
    <w:rsid w:val="38D15764"/>
    <w:rsid w:val="38D6246F"/>
    <w:rsid w:val="38D96215"/>
    <w:rsid w:val="38E01351"/>
    <w:rsid w:val="38E26757"/>
    <w:rsid w:val="38E3340E"/>
    <w:rsid w:val="38E76B84"/>
    <w:rsid w:val="38EE7F12"/>
    <w:rsid w:val="38F00189"/>
    <w:rsid w:val="38F117B0"/>
    <w:rsid w:val="38FA68B7"/>
    <w:rsid w:val="38FB262F"/>
    <w:rsid w:val="3905525C"/>
    <w:rsid w:val="390E2362"/>
    <w:rsid w:val="39113C01"/>
    <w:rsid w:val="39131727"/>
    <w:rsid w:val="39162FC5"/>
    <w:rsid w:val="391D25A6"/>
    <w:rsid w:val="391F658F"/>
    <w:rsid w:val="3932058D"/>
    <w:rsid w:val="39351F15"/>
    <w:rsid w:val="394A0EC1"/>
    <w:rsid w:val="394C69E7"/>
    <w:rsid w:val="39504729"/>
    <w:rsid w:val="39513FFD"/>
    <w:rsid w:val="395F671A"/>
    <w:rsid w:val="39673821"/>
    <w:rsid w:val="396A1CC8"/>
    <w:rsid w:val="396B1563"/>
    <w:rsid w:val="396C7089"/>
    <w:rsid w:val="397D1296"/>
    <w:rsid w:val="397F0B6A"/>
    <w:rsid w:val="398268AC"/>
    <w:rsid w:val="398C7670"/>
    <w:rsid w:val="3995213C"/>
    <w:rsid w:val="39970445"/>
    <w:rsid w:val="399D7242"/>
    <w:rsid w:val="39A14F85"/>
    <w:rsid w:val="39A26EE3"/>
    <w:rsid w:val="39A700C1"/>
    <w:rsid w:val="39A86313"/>
    <w:rsid w:val="39AB5E03"/>
    <w:rsid w:val="39AE76A2"/>
    <w:rsid w:val="39B0790D"/>
    <w:rsid w:val="39B12CEE"/>
    <w:rsid w:val="39B95BEC"/>
    <w:rsid w:val="39BC591B"/>
    <w:rsid w:val="39C46EC5"/>
    <w:rsid w:val="39C742BF"/>
    <w:rsid w:val="39CE21CB"/>
    <w:rsid w:val="39D07618"/>
    <w:rsid w:val="39D37108"/>
    <w:rsid w:val="39E430C3"/>
    <w:rsid w:val="39EB4452"/>
    <w:rsid w:val="39EB6200"/>
    <w:rsid w:val="39F552D0"/>
    <w:rsid w:val="39FE4185"/>
    <w:rsid w:val="3A045513"/>
    <w:rsid w:val="3A0472C2"/>
    <w:rsid w:val="3A0F1ED5"/>
    <w:rsid w:val="3A145757"/>
    <w:rsid w:val="3A15327D"/>
    <w:rsid w:val="3A1C0760"/>
    <w:rsid w:val="3A23599A"/>
    <w:rsid w:val="3A267238"/>
    <w:rsid w:val="3A322081"/>
    <w:rsid w:val="3A345DF9"/>
    <w:rsid w:val="3A371445"/>
    <w:rsid w:val="3A3758E9"/>
    <w:rsid w:val="3A3C4CAD"/>
    <w:rsid w:val="3A3C70DA"/>
    <w:rsid w:val="3A414072"/>
    <w:rsid w:val="3A4934F6"/>
    <w:rsid w:val="3A4D2A17"/>
    <w:rsid w:val="3A4F2C33"/>
    <w:rsid w:val="3A5169AB"/>
    <w:rsid w:val="3A5913BB"/>
    <w:rsid w:val="3A5E4C24"/>
    <w:rsid w:val="3A646B9F"/>
    <w:rsid w:val="3A647D60"/>
    <w:rsid w:val="3A667D9F"/>
    <w:rsid w:val="3A6B096B"/>
    <w:rsid w:val="3A6B7341"/>
    <w:rsid w:val="3A6C5593"/>
    <w:rsid w:val="3A712BA9"/>
    <w:rsid w:val="3A7461F5"/>
    <w:rsid w:val="3A7E52C6"/>
    <w:rsid w:val="3A865F28"/>
    <w:rsid w:val="3A8A77C7"/>
    <w:rsid w:val="3A8E5D10"/>
    <w:rsid w:val="3A9C399E"/>
    <w:rsid w:val="3A9E14C4"/>
    <w:rsid w:val="3AA30888"/>
    <w:rsid w:val="3AA60379"/>
    <w:rsid w:val="3AB02FA5"/>
    <w:rsid w:val="3AB962FE"/>
    <w:rsid w:val="3AD2116E"/>
    <w:rsid w:val="3AD969A0"/>
    <w:rsid w:val="3AE07D2F"/>
    <w:rsid w:val="3AE11A4E"/>
    <w:rsid w:val="3AE20E7B"/>
    <w:rsid w:val="3AEA64B7"/>
    <w:rsid w:val="3AF45588"/>
    <w:rsid w:val="3AF61300"/>
    <w:rsid w:val="3AF85078"/>
    <w:rsid w:val="3AF86E26"/>
    <w:rsid w:val="3AFB06C4"/>
    <w:rsid w:val="3AFE015A"/>
    <w:rsid w:val="3AFE1F63"/>
    <w:rsid w:val="3B00217F"/>
    <w:rsid w:val="3B057795"/>
    <w:rsid w:val="3B06492D"/>
    <w:rsid w:val="3B070E17"/>
    <w:rsid w:val="3B07350D"/>
    <w:rsid w:val="3B0E03F8"/>
    <w:rsid w:val="3B10495E"/>
    <w:rsid w:val="3B11613A"/>
    <w:rsid w:val="3B143534"/>
    <w:rsid w:val="3B145AF3"/>
    <w:rsid w:val="3B163750"/>
    <w:rsid w:val="3B1654FE"/>
    <w:rsid w:val="3B1765B9"/>
    <w:rsid w:val="3B1874C8"/>
    <w:rsid w:val="3B223EA3"/>
    <w:rsid w:val="3B225C51"/>
    <w:rsid w:val="3B272BC0"/>
    <w:rsid w:val="3B2A2D58"/>
    <w:rsid w:val="3B2A4FB6"/>
    <w:rsid w:val="3B2F036E"/>
    <w:rsid w:val="3B345984"/>
    <w:rsid w:val="3B365BA1"/>
    <w:rsid w:val="3B3A1D26"/>
    <w:rsid w:val="3B404329"/>
    <w:rsid w:val="3B471E8D"/>
    <w:rsid w:val="3B4C7172"/>
    <w:rsid w:val="3B514788"/>
    <w:rsid w:val="3B5B1163"/>
    <w:rsid w:val="3B6444BC"/>
    <w:rsid w:val="3B6C3376"/>
    <w:rsid w:val="3B6C511E"/>
    <w:rsid w:val="3B710987"/>
    <w:rsid w:val="3B716BD9"/>
    <w:rsid w:val="3B7364AD"/>
    <w:rsid w:val="3B765F9D"/>
    <w:rsid w:val="3B773618"/>
    <w:rsid w:val="3B84149C"/>
    <w:rsid w:val="3B932D9C"/>
    <w:rsid w:val="3B934DA1"/>
    <w:rsid w:val="3B974891"/>
    <w:rsid w:val="3B9823B7"/>
    <w:rsid w:val="3B985F13"/>
    <w:rsid w:val="3B9D352A"/>
    <w:rsid w:val="3B9F2EDF"/>
    <w:rsid w:val="3BA96018"/>
    <w:rsid w:val="3BB0325D"/>
    <w:rsid w:val="3BB54D17"/>
    <w:rsid w:val="3BB645EB"/>
    <w:rsid w:val="3BB70A8F"/>
    <w:rsid w:val="3BBEA79B"/>
    <w:rsid w:val="3BC136BC"/>
    <w:rsid w:val="3BCD02B3"/>
    <w:rsid w:val="3BD1FD91"/>
    <w:rsid w:val="3BD26834"/>
    <w:rsid w:val="3BD333EF"/>
    <w:rsid w:val="3BD86C58"/>
    <w:rsid w:val="3BDA004C"/>
    <w:rsid w:val="3BDD601C"/>
    <w:rsid w:val="3BE41159"/>
    <w:rsid w:val="3BE63123"/>
    <w:rsid w:val="3BE92C13"/>
    <w:rsid w:val="3BE949C1"/>
    <w:rsid w:val="3BED7890"/>
    <w:rsid w:val="3BEE1FD7"/>
    <w:rsid w:val="3BF910A8"/>
    <w:rsid w:val="3BFA6BCE"/>
    <w:rsid w:val="3C016C03"/>
    <w:rsid w:val="3C027831"/>
    <w:rsid w:val="3C0637C5"/>
    <w:rsid w:val="3C0B4937"/>
    <w:rsid w:val="3C19288C"/>
    <w:rsid w:val="3C1A7270"/>
    <w:rsid w:val="3C1C6B44"/>
    <w:rsid w:val="3C1E28BD"/>
    <w:rsid w:val="3C221C81"/>
    <w:rsid w:val="3C241E9D"/>
    <w:rsid w:val="3C2974B3"/>
    <w:rsid w:val="3C2B2CDD"/>
    <w:rsid w:val="3C2D0D52"/>
    <w:rsid w:val="3C2D4014"/>
    <w:rsid w:val="3C44609B"/>
    <w:rsid w:val="3C4542ED"/>
    <w:rsid w:val="3C463BC1"/>
    <w:rsid w:val="3C4816E7"/>
    <w:rsid w:val="3C575DCE"/>
    <w:rsid w:val="3C5E64CC"/>
    <w:rsid w:val="3C65673D"/>
    <w:rsid w:val="3C6D55F2"/>
    <w:rsid w:val="3C795437"/>
    <w:rsid w:val="3C795D45"/>
    <w:rsid w:val="3C7C3A87"/>
    <w:rsid w:val="3C860462"/>
    <w:rsid w:val="3C8A7F52"/>
    <w:rsid w:val="3C8D359F"/>
    <w:rsid w:val="3C8F37BA"/>
    <w:rsid w:val="3C926C30"/>
    <w:rsid w:val="3C942B7F"/>
    <w:rsid w:val="3C97441D"/>
    <w:rsid w:val="3C990195"/>
    <w:rsid w:val="3C991F43"/>
    <w:rsid w:val="3C9C5ED7"/>
    <w:rsid w:val="3CA31014"/>
    <w:rsid w:val="3CA3386E"/>
    <w:rsid w:val="3CA408E8"/>
    <w:rsid w:val="3CA54696"/>
    <w:rsid w:val="3CA8662A"/>
    <w:rsid w:val="3CA92E78"/>
    <w:rsid w:val="3CAC611A"/>
    <w:rsid w:val="3CB74ABF"/>
    <w:rsid w:val="3CB95BEC"/>
    <w:rsid w:val="3CBA43FC"/>
    <w:rsid w:val="3CBC3E83"/>
    <w:rsid w:val="3CBF1A99"/>
    <w:rsid w:val="3CC01BC6"/>
    <w:rsid w:val="3CC72F54"/>
    <w:rsid w:val="3CC82828"/>
    <w:rsid w:val="3CCE5FE8"/>
    <w:rsid w:val="3CD236A7"/>
    <w:rsid w:val="3CDC62D4"/>
    <w:rsid w:val="3CE170D8"/>
    <w:rsid w:val="3CE358B4"/>
    <w:rsid w:val="3CE60F00"/>
    <w:rsid w:val="3CED6733"/>
    <w:rsid w:val="3CF11D7F"/>
    <w:rsid w:val="3CF4186F"/>
    <w:rsid w:val="3CF96E86"/>
    <w:rsid w:val="3CFB2BFE"/>
    <w:rsid w:val="3CFD6976"/>
    <w:rsid w:val="3D023F8C"/>
    <w:rsid w:val="3D0870C9"/>
    <w:rsid w:val="3D143CBF"/>
    <w:rsid w:val="3D197528"/>
    <w:rsid w:val="3D1A6D6D"/>
    <w:rsid w:val="3D1B32A0"/>
    <w:rsid w:val="3D1B504E"/>
    <w:rsid w:val="3D251A29"/>
    <w:rsid w:val="3D255ECD"/>
    <w:rsid w:val="3D2D6B2F"/>
    <w:rsid w:val="3D332398"/>
    <w:rsid w:val="3D335DE1"/>
    <w:rsid w:val="3D3377DE"/>
    <w:rsid w:val="3D363C36"/>
    <w:rsid w:val="3D3D4FC4"/>
    <w:rsid w:val="3D4C5207"/>
    <w:rsid w:val="3D4D6B77"/>
    <w:rsid w:val="3D562397"/>
    <w:rsid w:val="3D573AAE"/>
    <w:rsid w:val="3D595B76"/>
    <w:rsid w:val="3D65451B"/>
    <w:rsid w:val="3D6F7148"/>
    <w:rsid w:val="3D7B3B93"/>
    <w:rsid w:val="3D7F382F"/>
    <w:rsid w:val="3D803103"/>
    <w:rsid w:val="3D8175A7"/>
    <w:rsid w:val="3D820C29"/>
    <w:rsid w:val="3D826E7B"/>
    <w:rsid w:val="3D845548"/>
    <w:rsid w:val="3D885DAE"/>
    <w:rsid w:val="3D8C7CFA"/>
    <w:rsid w:val="3D8E3A72"/>
    <w:rsid w:val="3D8F7B2C"/>
    <w:rsid w:val="3D931088"/>
    <w:rsid w:val="3D98669F"/>
    <w:rsid w:val="3D9A2417"/>
    <w:rsid w:val="3DA45043"/>
    <w:rsid w:val="3DA46DF1"/>
    <w:rsid w:val="3DA87F93"/>
    <w:rsid w:val="3DAE1A1E"/>
    <w:rsid w:val="3DB01C3A"/>
    <w:rsid w:val="3DB63F00"/>
    <w:rsid w:val="3DC40D01"/>
    <w:rsid w:val="3DC41242"/>
    <w:rsid w:val="3DCC7E1D"/>
    <w:rsid w:val="3DCE3E6E"/>
    <w:rsid w:val="3DD0408A"/>
    <w:rsid w:val="3DD671C7"/>
    <w:rsid w:val="3DD75419"/>
    <w:rsid w:val="3DD84CED"/>
    <w:rsid w:val="3DDA2813"/>
    <w:rsid w:val="3DDC6AF7"/>
    <w:rsid w:val="3DE2791A"/>
    <w:rsid w:val="3DEB2C72"/>
    <w:rsid w:val="3DEC5CFE"/>
    <w:rsid w:val="3DEE62BF"/>
    <w:rsid w:val="3DF2491B"/>
    <w:rsid w:val="3DF338D5"/>
    <w:rsid w:val="3E045AE2"/>
    <w:rsid w:val="3E087DD7"/>
    <w:rsid w:val="3E0930F8"/>
    <w:rsid w:val="3E1321C9"/>
    <w:rsid w:val="3E13220D"/>
    <w:rsid w:val="3E1675C3"/>
    <w:rsid w:val="3E216BCF"/>
    <w:rsid w:val="3E287A22"/>
    <w:rsid w:val="3E2919ED"/>
    <w:rsid w:val="3E29379B"/>
    <w:rsid w:val="3E2B7513"/>
    <w:rsid w:val="3E2C6DE7"/>
    <w:rsid w:val="3E344619"/>
    <w:rsid w:val="3E3A1504"/>
    <w:rsid w:val="3E401EDE"/>
    <w:rsid w:val="3E491747"/>
    <w:rsid w:val="3E495BEB"/>
    <w:rsid w:val="3E52684D"/>
    <w:rsid w:val="3E5720B6"/>
    <w:rsid w:val="3E5F1E94"/>
    <w:rsid w:val="3E660695"/>
    <w:rsid w:val="3E6622F9"/>
    <w:rsid w:val="3E691DE9"/>
    <w:rsid w:val="3E6D7B2B"/>
    <w:rsid w:val="3E6F5651"/>
    <w:rsid w:val="3E7756FF"/>
    <w:rsid w:val="3E7C1B1C"/>
    <w:rsid w:val="3E815385"/>
    <w:rsid w:val="3E834C59"/>
    <w:rsid w:val="3E8F1850"/>
    <w:rsid w:val="3E9B4698"/>
    <w:rsid w:val="3E9E7CE5"/>
    <w:rsid w:val="3EA03A5D"/>
    <w:rsid w:val="3EA11583"/>
    <w:rsid w:val="3EA370A9"/>
    <w:rsid w:val="3EA572C5"/>
    <w:rsid w:val="3EA66B99"/>
    <w:rsid w:val="3EAB41B0"/>
    <w:rsid w:val="3EAD617A"/>
    <w:rsid w:val="3EAE5A4E"/>
    <w:rsid w:val="3EB14856"/>
    <w:rsid w:val="3EC139D3"/>
    <w:rsid w:val="3EC534C3"/>
    <w:rsid w:val="3EC62D97"/>
    <w:rsid w:val="3ECA0ADA"/>
    <w:rsid w:val="3ECA74C1"/>
    <w:rsid w:val="3ED43706"/>
    <w:rsid w:val="3EE020AB"/>
    <w:rsid w:val="3EE04B88"/>
    <w:rsid w:val="3EE74644"/>
    <w:rsid w:val="3EEB0A50"/>
    <w:rsid w:val="3EEC6CA2"/>
    <w:rsid w:val="3EF20030"/>
    <w:rsid w:val="3EF2616B"/>
    <w:rsid w:val="3EFE0737"/>
    <w:rsid w:val="3F022944"/>
    <w:rsid w:val="3F0538C0"/>
    <w:rsid w:val="3F081602"/>
    <w:rsid w:val="3F0833B0"/>
    <w:rsid w:val="3F125943"/>
    <w:rsid w:val="3F1350D7"/>
    <w:rsid w:val="3F163D1F"/>
    <w:rsid w:val="3F1C6E5B"/>
    <w:rsid w:val="3F1E0E25"/>
    <w:rsid w:val="3F211766"/>
    <w:rsid w:val="3F312907"/>
    <w:rsid w:val="3F32667F"/>
    <w:rsid w:val="3F3917BB"/>
    <w:rsid w:val="3F402745"/>
    <w:rsid w:val="3F422D66"/>
    <w:rsid w:val="3F424B14"/>
    <w:rsid w:val="3F43088C"/>
    <w:rsid w:val="3F454604"/>
    <w:rsid w:val="3F4940F4"/>
    <w:rsid w:val="3F4C0AAE"/>
    <w:rsid w:val="3F4E170B"/>
    <w:rsid w:val="3F4F7231"/>
    <w:rsid w:val="3F52287D"/>
    <w:rsid w:val="3F577E93"/>
    <w:rsid w:val="3F5D3B8E"/>
    <w:rsid w:val="3F650802"/>
    <w:rsid w:val="3F6A7BC7"/>
    <w:rsid w:val="3F6C393F"/>
    <w:rsid w:val="3F732F1F"/>
    <w:rsid w:val="3F7927CE"/>
    <w:rsid w:val="3F7B1DD4"/>
    <w:rsid w:val="3F80388E"/>
    <w:rsid w:val="3F817D6A"/>
    <w:rsid w:val="3F836EDA"/>
    <w:rsid w:val="3F85146F"/>
    <w:rsid w:val="3F854A01"/>
    <w:rsid w:val="3F88629F"/>
    <w:rsid w:val="3F8E1B07"/>
    <w:rsid w:val="3F9D7F9C"/>
    <w:rsid w:val="3FA56E51"/>
    <w:rsid w:val="3FA72BC9"/>
    <w:rsid w:val="3FAE21A9"/>
    <w:rsid w:val="3FAF4912"/>
    <w:rsid w:val="3FB07F0A"/>
    <w:rsid w:val="3FB377C0"/>
    <w:rsid w:val="3FBB0422"/>
    <w:rsid w:val="3FBE7F13"/>
    <w:rsid w:val="3FBFCACF"/>
    <w:rsid w:val="3FC25C55"/>
    <w:rsid w:val="3FC27A03"/>
    <w:rsid w:val="3FC4377B"/>
    <w:rsid w:val="3FCA4B09"/>
    <w:rsid w:val="3FCB97E3"/>
    <w:rsid w:val="3FCF129E"/>
    <w:rsid w:val="3FD140EA"/>
    <w:rsid w:val="3FD80FD4"/>
    <w:rsid w:val="3FE23C01"/>
    <w:rsid w:val="3FE71217"/>
    <w:rsid w:val="3FE756BB"/>
    <w:rsid w:val="3FE862D3"/>
    <w:rsid w:val="3FEB29BB"/>
    <w:rsid w:val="3FF102E8"/>
    <w:rsid w:val="3FF17EB1"/>
    <w:rsid w:val="3FFE2572"/>
    <w:rsid w:val="40147DDE"/>
    <w:rsid w:val="40161AFD"/>
    <w:rsid w:val="401A783F"/>
    <w:rsid w:val="401C35B7"/>
    <w:rsid w:val="4024421A"/>
    <w:rsid w:val="40295CD4"/>
    <w:rsid w:val="40316936"/>
    <w:rsid w:val="4033445D"/>
    <w:rsid w:val="40356427"/>
    <w:rsid w:val="403F1053"/>
    <w:rsid w:val="404623E2"/>
    <w:rsid w:val="4047615A"/>
    <w:rsid w:val="404E74E8"/>
    <w:rsid w:val="405745EF"/>
    <w:rsid w:val="4057639D"/>
    <w:rsid w:val="40582115"/>
    <w:rsid w:val="405D772B"/>
    <w:rsid w:val="40646D0C"/>
    <w:rsid w:val="40664832"/>
    <w:rsid w:val="406665E0"/>
    <w:rsid w:val="40674515"/>
    <w:rsid w:val="406A72FF"/>
    <w:rsid w:val="406E36E7"/>
    <w:rsid w:val="40723D23"/>
    <w:rsid w:val="40736F4F"/>
    <w:rsid w:val="407451A1"/>
    <w:rsid w:val="40774C91"/>
    <w:rsid w:val="40784565"/>
    <w:rsid w:val="40787CE9"/>
    <w:rsid w:val="407D1B7C"/>
    <w:rsid w:val="407F3B46"/>
    <w:rsid w:val="40821279"/>
    <w:rsid w:val="40970E8F"/>
    <w:rsid w:val="409A44DC"/>
    <w:rsid w:val="409B6212"/>
    <w:rsid w:val="40A610D2"/>
    <w:rsid w:val="40A67324"/>
    <w:rsid w:val="40A95282"/>
    <w:rsid w:val="40AD420F"/>
    <w:rsid w:val="40AE7F87"/>
    <w:rsid w:val="40B10D63"/>
    <w:rsid w:val="40B437EF"/>
    <w:rsid w:val="40BA692C"/>
    <w:rsid w:val="40C003E6"/>
    <w:rsid w:val="40CA0F1F"/>
    <w:rsid w:val="40CB6D8B"/>
    <w:rsid w:val="40CD787E"/>
    <w:rsid w:val="40D04BD4"/>
    <w:rsid w:val="40D0614F"/>
    <w:rsid w:val="40D66097"/>
    <w:rsid w:val="40DE0018"/>
    <w:rsid w:val="40E5196B"/>
    <w:rsid w:val="40E65973"/>
    <w:rsid w:val="40E731F2"/>
    <w:rsid w:val="40E85247"/>
    <w:rsid w:val="40EF2A79"/>
    <w:rsid w:val="40F21C7A"/>
    <w:rsid w:val="40F84641"/>
    <w:rsid w:val="40FA4F7A"/>
    <w:rsid w:val="40FC6F44"/>
    <w:rsid w:val="40FF230D"/>
    <w:rsid w:val="4105404B"/>
    <w:rsid w:val="41055DF9"/>
    <w:rsid w:val="410F4ECA"/>
    <w:rsid w:val="41195D48"/>
    <w:rsid w:val="411C3143"/>
    <w:rsid w:val="411C75E7"/>
    <w:rsid w:val="411E335F"/>
    <w:rsid w:val="411E510D"/>
    <w:rsid w:val="412D70FE"/>
    <w:rsid w:val="412F731A"/>
    <w:rsid w:val="4132239B"/>
    <w:rsid w:val="41344930"/>
    <w:rsid w:val="414032D5"/>
    <w:rsid w:val="41474664"/>
    <w:rsid w:val="41484619"/>
    <w:rsid w:val="41566655"/>
    <w:rsid w:val="415D5900"/>
    <w:rsid w:val="41665E32"/>
    <w:rsid w:val="41670FDA"/>
    <w:rsid w:val="41676AB4"/>
    <w:rsid w:val="416A65A4"/>
    <w:rsid w:val="416D399E"/>
    <w:rsid w:val="416F3BBA"/>
    <w:rsid w:val="417164E9"/>
    <w:rsid w:val="41760AA5"/>
    <w:rsid w:val="418238EE"/>
    <w:rsid w:val="41832E9E"/>
    <w:rsid w:val="41852436"/>
    <w:rsid w:val="41874A60"/>
    <w:rsid w:val="41882165"/>
    <w:rsid w:val="4191768D"/>
    <w:rsid w:val="4192308F"/>
    <w:rsid w:val="41943621"/>
    <w:rsid w:val="41A02E19"/>
    <w:rsid w:val="41A43864"/>
    <w:rsid w:val="41AA2E44"/>
    <w:rsid w:val="41AA4BF2"/>
    <w:rsid w:val="41B63597"/>
    <w:rsid w:val="41B96BE3"/>
    <w:rsid w:val="41C31810"/>
    <w:rsid w:val="41CF2A5F"/>
    <w:rsid w:val="41CF6407"/>
    <w:rsid w:val="41D13F2D"/>
    <w:rsid w:val="41D63C39"/>
    <w:rsid w:val="41DD28D2"/>
    <w:rsid w:val="41E579D9"/>
    <w:rsid w:val="41E73751"/>
    <w:rsid w:val="41E75040"/>
    <w:rsid w:val="41F67393"/>
    <w:rsid w:val="41FB544E"/>
    <w:rsid w:val="41FF0A9A"/>
    <w:rsid w:val="42010CB6"/>
    <w:rsid w:val="420626C6"/>
    <w:rsid w:val="42097B6B"/>
    <w:rsid w:val="420C2CFA"/>
    <w:rsid w:val="42122868"/>
    <w:rsid w:val="42165DE4"/>
    <w:rsid w:val="421B7832"/>
    <w:rsid w:val="421F2EEA"/>
    <w:rsid w:val="42254A34"/>
    <w:rsid w:val="422C1AAB"/>
    <w:rsid w:val="422C5BEA"/>
    <w:rsid w:val="42301ED7"/>
    <w:rsid w:val="4230334A"/>
    <w:rsid w:val="42303F60"/>
    <w:rsid w:val="423C0FCC"/>
    <w:rsid w:val="42417305"/>
    <w:rsid w:val="424566C9"/>
    <w:rsid w:val="42462B6D"/>
    <w:rsid w:val="424B13CE"/>
    <w:rsid w:val="424C5CAA"/>
    <w:rsid w:val="424E1A22"/>
    <w:rsid w:val="424F0BAF"/>
    <w:rsid w:val="4250579A"/>
    <w:rsid w:val="425132C0"/>
    <w:rsid w:val="4251506E"/>
    <w:rsid w:val="425A03C6"/>
    <w:rsid w:val="426052B1"/>
    <w:rsid w:val="42611755"/>
    <w:rsid w:val="42621029"/>
    <w:rsid w:val="42660B19"/>
    <w:rsid w:val="426D634C"/>
    <w:rsid w:val="42786A9F"/>
    <w:rsid w:val="427B20EB"/>
    <w:rsid w:val="42817701"/>
    <w:rsid w:val="428216CB"/>
    <w:rsid w:val="42823479"/>
    <w:rsid w:val="4283791D"/>
    <w:rsid w:val="4290203A"/>
    <w:rsid w:val="429462ED"/>
    <w:rsid w:val="429531AD"/>
    <w:rsid w:val="42A11B51"/>
    <w:rsid w:val="42A47894"/>
    <w:rsid w:val="42A930FC"/>
    <w:rsid w:val="42A96C58"/>
    <w:rsid w:val="42AE24C0"/>
    <w:rsid w:val="42AF358B"/>
    <w:rsid w:val="42B06238"/>
    <w:rsid w:val="42B21FB1"/>
    <w:rsid w:val="42BA2C13"/>
    <w:rsid w:val="42BC7DDF"/>
    <w:rsid w:val="42C6199F"/>
    <w:rsid w:val="42CB4E20"/>
    <w:rsid w:val="42D24401"/>
    <w:rsid w:val="42D33CD5"/>
    <w:rsid w:val="42D40179"/>
    <w:rsid w:val="42D71A17"/>
    <w:rsid w:val="42DF08CC"/>
    <w:rsid w:val="42E303BC"/>
    <w:rsid w:val="42EA174A"/>
    <w:rsid w:val="42EE0B0F"/>
    <w:rsid w:val="42F02AD9"/>
    <w:rsid w:val="42F04887"/>
    <w:rsid w:val="42F1530D"/>
    <w:rsid w:val="43076C51"/>
    <w:rsid w:val="43100A85"/>
    <w:rsid w:val="4311222E"/>
    <w:rsid w:val="43160791"/>
    <w:rsid w:val="431A7B56"/>
    <w:rsid w:val="431C4ECF"/>
    <w:rsid w:val="431C742A"/>
    <w:rsid w:val="431D67C6"/>
    <w:rsid w:val="43210EE4"/>
    <w:rsid w:val="432664FB"/>
    <w:rsid w:val="432A5FEB"/>
    <w:rsid w:val="43340C18"/>
    <w:rsid w:val="434075BC"/>
    <w:rsid w:val="43413334"/>
    <w:rsid w:val="434A043B"/>
    <w:rsid w:val="434D1CD9"/>
    <w:rsid w:val="43566DE0"/>
    <w:rsid w:val="435B2648"/>
    <w:rsid w:val="435C1F1C"/>
    <w:rsid w:val="435C3DCD"/>
    <w:rsid w:val="43601A0D"/>
    <w:rsid w:val="436112E1"/>
    <w:rsid w:val="43670FED"/>
    <w:rsid w:val="4368266F"/>
    <w:rsid w:val="43686B13"/>
    <w:rsid w:val="43707776"/>
    <w:rsid w:val="437159C8"/>
    <w:rsid w:val="43741A13"/>
    <w:rsid w:val="43761230"/>
    <w:rsid w:val="437A5F67"/>
    <w:rsid w:val="437E00E5"/>
    <w:rsid w:val="437E2698"/>
    <w:rsid w:val="43803E5D"/>
    <w:rsid w:val="43825005"/>
    <w:rsid w:val="438C2802"/>
    <w:rsid w:val="4391606A"/>
    <w:rsid w:val="439174EF"/>
    <w:rsid w:val="439E2535"/>
    <w:rsid w:val="43A8304E"/>
    <w:rsid w:val="43AD43B9"/>
    <w:rsid w:val="43B21B3C"/>
    <w:rsid w:val="43B342D5"/>
    <w:rsid w:val="43B64397"/>
    <w:rsid w:val="43B6787E"/>
    <w:rsid w:val="43B753A5"/>
    <w:rsid w:val="43BA2D18"/>
    <w:rsid w:val="43BC29BB"/>
    <w:rsid w:val="43BE0389"/>
    <w:rsid w:val="43C53F65"/>
    <w:rsid w:val="43CD6976"/>
    <w:rsid w:val="43CF26EE"/>
    <w:rsid w:val="43D04FBC"/>
    <w:rsid w:val="43D23F8D"/>
    <w:rsid w:val="43D47D05"/>
    <w:rsid w:val="43D917BF"/>
    <w:rsid w:val="43DB416E"/>
    <w:rsid w:val="43DD4E0B"/>
    <w:rsid w:val="43E443EC"/>
    <w:rsid w:val="43E50164"/>
    <w:rsid w:val="43E837B0"/>
    <w:rsid w:val="4404683C"/>
    <w:rsid w:val="440525B4"/>
    <w:rsid w:val="44093E52"/>
    <w:rsid w:val="44143B7E"/>
    <w:rsid w:val="44191BBB"/>
    <w:rsid w:val="441B1DD7"/>
    <w:rsid w:val="441C0974"/>
    <w:rsid w:val="44201AAB"/>
    <w:rsid w:val="442347E8"/>
    <w:rsid w:val="442C5D93"/>
    <w:rsid w:val="442C7B41"/>
    <w:rsid w:val="44315157"/>
    <w:rsid w:val="44332C7D"/>
    <w:rsid w:val="4436451B"/>
    <w:rsid w:val="44366C11"/>
    <w:rsid w:val="444B4E82"/>
    <w:rsid w:val="444C01E3"/>
    <w:rsid w:val="444E7AB7"/>
    <w:rsid w:val="44507440"/>
    <w:rsid w:val="445175A7"/>
    <w:rsid w:val="4453331F"/>
    <w:rsid w:val="44557097"/>
    <w:rsid w:val="44580936"/>
    <w:rsid w:val="445C763E"/>
    <w:rsid w:val="445F3A72"/>
    <w:rsid w:val="44670B79"/>
    <w:rsid w:val="446A2417"/>
    <w:rsid w:val="4473751E"/>
    <w:rsid w:val="44784B34"/>
    <w:rsid w:val="447A164A"/>
    <w:rsid w:val="44801C3A"/>
    <w:rsid w:val="4484172B"/>
    <w:rsid w:val="448434D9"/>
    <w:rsid w:val="448A72D9"/>
    <w:rsid w:val="449A2CFC"/>
    <w:rsid w:val="44A26055"/>
    <w:rsid w:val="44A57770"/>
    <w:rsid w:val="44A95728"/>
    <w:rsid w:val="44B00772"/>
    <w:rsid w:val="44B813D4"/>
    <w:rsid w:val="44BA15F0"/>
    <w:rsid w:val="44BB309D"/>
    <w:rsid w:val="44BE2E8F"/>
    <w:rsid w:val="44C22034"/>
    <w:rsid w:val="44C4421D"/>
    <w:rsid w:val="44C61D43"/>
    <w:rsid w:val="44CD30D2"/>
    <w:rsid w:val="44D0152D"/>
    <w:rsid w:val="44D22AFB"/>
    <w:rsid w:val="44D3620E"/>
    <w:rsid w:val="44D53D34"/>
    <w:rsid w:val="44D77AAC"/>
    <w:rsid w:val="44DA57EF"/>
    <w:rsid w:val="44DA759D"/>
    <w:rsid w:val="44DE708D"/>
    <w:rsid w:val="44E16B7D"/>
    <w:rsid w:val="44E4666D"/>
    <w:rsid w:val="44E818A0"/>
    <w:rsid w:val="44E87F0C"/>
    <w:rsid w:val="44E93C84"/>
    <w:rsid w:val="44ED3CA5"/>
    <w:rsid w:val="44EE4DF6"/>
    <w:rsid w:val="44EF1B82"/>
    <w:rsid w:val="44F22B38"/>
    <w:rsid w:val="44F3065E"/>
    <w:rsid w:val="44FA7C3F"/>
    <w:rsid w:val="4504286C"/>
    <w:rsid w:val="45091B37"/>
    <w:rsid w:val="450D0C9B"/>
    <w:rsid w:val="45102FBE"/>
    <w:rsid w:val="45102FC3"/>
    <w:rsid w:val="45154A79"/>
    <w:rsid w:val="451707F1"/>
    <w:rsid w:val="45237196"/>
    <w:rsid w:val="4530540F"/>
    <w:rsid w:val="45336CAD"/>
    <w:rsid w:val="4537679D"/>
    <w:rsid w:val="45390767"/>
    <w:rsid w:val="453E3FCF"/>
    <w:rsid w:val="454B049A"/>
    <w:rsid w:val="454F19BF"/>
    <w:rsid w:val="454F3AE7"/>
    <w:rsid w:val="455235D7"/>
    <w:rsid w:val="45561319"/>
    <w:rsid w:val="45594965"/>
    <w:rsid w:val="455E01CE"/>
    <w:rsid w:val="45637592"/>
    <w:rsid w:val="4565155C"/>
    <w:rsid w:val="45664FC9"/>
    <w:rsid w:val="456D21BF"/>
    <w:rsid w:val="4574179F"/>
    <w:rsid w:val="45797C51"/>
    <w:rsid w:val="457B2B2E"/>
    <w:rsid w:val="457E617A"/>
    <w:rsid w:val="457F1EF2"/>
    <w:rsid w:val="4588349D"/>
    <w:rsid w:val="458D460F"/>
    <w:rsid w:val="459260C9"/>
    <w:rsid w:val="45991206"/>
    <w:rsid w:val="45997458"/>
    <w:rsid w:val="459A5616"/>
    <w:rsid w:val="459B31D0"/>
    <w:rsid w:val="459F40DC"/>
    <w:rsid w:val="45A168B6"/>
    <w:rsid w:val="45A32084"/>
    <w:rsid w:val="45AB2CE7"/>
    <w:rsid w:val="45AD2F03"/>
    <w:rsid w:val="45AF0A29"/>
    <w:rsid w:val="45B55914"/>
    <w:rsid w:val="45B95404"/>
    <w:rsid w:val="45BE0C6C"/>
    <w:rsid w:val="45C1250B"/>
    <w:rsid w:val="45C269AF"/>
    <w:rsid w:val="45C83899"/>
    <w:rsid w:val="45CA3563"/>
    <w:rsid w:val="45CB307C"/>
    <w:rsid w:val="45CC15DB"/>
    <w:rsid w:val="45CC5137"/>
    <w:rsid w:val="45D069FA"/>
    <w:rsid w:val="45D466E2"/>
    <w:rsid w:val="45DB35CC"/>
    <w:rsid w:val="45DE58C9"/>
    <w:rsid w:val="45E00BE3"/>
    <w:rsid w:val="45E53873"/>
    <w:rsid w:val="45E561F9"/>
    <w:rsid w:val="45E83F3B"/>
    <w:rsid w:val="45EC7588"/>
    <w:rsid w:val="45EE4E64"/>
    <w:rsid w:val="45F12DF0"/>
    <w:rsid w:val="45F66658"/>
    <w:rsid w:val="45F8417E"/>
    <w:rsid w:val="46050649"/>
    <w:rsid w:val="460D323F"/>
    <w:rsid w:val="460F3276"/>
    <w:rsid w:val="461011E0"/>
    <w:rsid w:val="46164604"/>
    <w:rsid w:val="461A0599"/>
    <w:rsid w:val="461B2714"/>
    <w:rsid w:val="461E170B"/>
    <w:rsid w:val="462636ED"/>
    <w:rsid w:val="462E5DF2"/>
    <w:rsid w:val="462F3918"/>
    <w:rsid w:val="46333408"/>
    <w:rsid w:val="46342CDD"/>
    <w:rsid w:val="46364CA7"/>
    <w:rsid w:val="463B406B"/>
    <w:rsid w:val="46401681"/>
    <w:rsid w:val="46492C2C"/>
    <w:rsid w:val="464E3D9E"/>
    <w:rsid w:val="46603AD2"/>
    <w:rsid w:val="46641814"/>
    <w:rsid w:val="46671304"/>
    <w:rsid w:val="46674E60"/>
    <w:rsid w:val="466E2692"/>
    <w:rsid w:val="466F1F67"/>
    <w:rsid w:val="46711033"/>
    <w:rsid w:val="46841EB6"/>
    <w:rsid w:val="468A3E28"/>
    <w:rsid w:val="468C0D6B"/>
    <w:rsid w:val="469321A2"/>
    <w:rsid w:val="46957C1F"/>
    <w:rsid w:val="469D4D26"/>
    <w:rsid w:val="469F0A9E"/>
    <w:rsid w:val="46A2233C"/>
    <w:rsid w:val="46AD4F74"/>
    <w:rsid w:val="46B5206F"/>
    <w:rsid w:val="46B67B95"/>
    <w:rsid w:val="46BC4492"/>
    <w:rsid w:val="46BD0F24"/>
    <w:rsid w:val="46C6427C"/>
    <w:rsid w:val="46CE3131"/>
    <w:rsid w:val="46D1677D"/>
    <w:rsid w:val="46D63D94"/>
    <w:rsid w:val="46DF0E9A"/>
    <w:rsid w:val="46E12E64"/>
    <w:rsid w:val="46F10BCE"/>
    <w:rsid w:val="46F41301"/>
    <w:rsid w:val="46F54B62"/>
    <w:rsid w:val="46FA3F26"/>
    <w:rsid w:val="46FC1A4C"/>
    <w:rsid w:val="46FC6C97"/>
    <w:rsid w:val="46FD1A7F"/>
    <w:rsid w:val="46FE3A16"/>
    <w:rsid w:val="470628CB"/>
    <w:rsid w:val="4707219F"/>
    <w:rsid w:val="47084895"/>
    <w:rsid w:val="47094169"/>
    <w:rsid w:val="470D1EAB"/>
    <w:rsid w:val="470D6E20"/>
    <w:rsid w:val="470E1780"/>
    <w:rsid w:val="4712301E"/>
    <w:rsid w:val="47190850"/>
    <w:rsid w:val="472004A5"/>
    <w:rsid w:val="47217705"/>
    <w:rsid w:val="472B0583"/>
    <w:rsid w:val="47356D0C"/>
    <w:rsid w:val="47370CD6"/>
    <w:rsid w:val="47372A84"/>
    <w:rsid w:val="473D2DF8"/>
    <w:rsid w:val="473E73A3"/>
    <w:rsid w:val="47431429"/>
    <w:rsid w:val="4743457C"/>
    <w:rsid w:val="4743767B"/>
    <w:rsid w:val="474433F3"/>
    <w:rsid w:val="474B6714"/>
    <w:rsid w:val="474D22A8"/>
    <w:rsid w:val="474D6356"/>
    <w:rsid w:val="474E3B19"/>
    <w:rsid w:val="475353E4"/>
    <w:rsid w:val="47542219"/>
    <w:rsid w:val="475C073D"/>
    <w:rsid w:val="47653A95"/>
    <w:rsid w:val="47655843"/>
    <w:rsid w:val="476562C5"/>
    <w:rsid w:val="476B6BD2"/>
    <w:rsid w:val="476D294A"/>
    <w:rsid w:val="476D46F8"/>
    <w:rsid w:val="476D64A6"/>
    <w:rsid w:val="47723ABC"/>
    <w:rsid w:val="4773055C"/>
    <w:rsid w:val="47745A86"/>
    <w:rsid w:val="477737C9"/>
    <w:rsid w:val="47797541"/>
    <w:rsid w:val="477C26A4"/>
    <w:rsid w:val="477D4101"/>
    <w:rsid w:val="47835CCA"/>
    <w:rsid w:val="479779C7"/>
    <w:rsid w:val="479C322F"/>
    <w:rsid w:val="47A143A2"/>
    <w:rsid w:val="47AF4ADF"/>
    <w:rsid w:val="47B6692E"/>
    <w:rsid w:val="47B916EB"/>
    <w:rsid w:val="47C87B80"/>
    <w:rsid w:val="47CB2B77"/>
    <w:rsid w:val="47CE74DE"/>
    <w:rsid w:val="47CF53B3"/>
    <w:rsid w:val="47D4097B"/>
    <w:rsid w:val="47D46525"/>
    <w:rsid w:val="47D66741"/>
    <w:rsid w:val="47D76015"/>
    <w:rsid w:val="47D93B3C"/>
    <w:rsid w:val="47E26E94"/>
    <w:rsid w:val="47E66258"/>
    <w:rsid w:val="47EB01EC"/>
    <w:rsid w:val="47EC35F1"/>
    <w:rsid w:val="47F00E85"/>
    <w:rsid w:val="47F6649C"/>
    <w:rsid w:val="47F66832"/>
    <w:rsid w:val="47F92430"/>
    <w:rsid w:val="47FD3CCE"/>
    <w:rsid w:val="48050DD4"/>
    <w:rsid w:val="480F1C53"/>
    <w:rsid w:val="48141018"/>
    <w:rsid w:val="48255D8A"/>
    <w:rsid w:val="48303FB9"/>
    <w:rsid w:val="483416BA"/>
    <w:rsid w:val="48360F8E"/>
    <w:rsid w:val="48376AB4"/>
    <w:rsid w:val="483D056E"/>
    <w:rsid w:val="483D40CA"/>
    <w:rsid w:val="483E7E42"/>
    <w:rsid w:val="484418FD"/>
    <w:rsid w:val="484A4A39"/>
    <w:rsid w:val="484D0086"/>
    <w:rsid w:val="48531B40"/>
    <w:rsid w:val="48580F04"/>
    <w:rsid w:val="48592ECE"/>
    <w:rsid w:val="485A1120"/>
    <w:rsid w:val="486246B9"/>
    <w:rsid w:val="486755EB"/>
    <w:rsid w:val="486A0C38"/>
    <w:rsid w:val="486D3D7B"/>
    <w:rsid w:val="48763A80"/>
    <w:rsid w:val="48766FC9"/>
    <w:rsid w:val="487C2C1A"/>
    <w:rsid w:val="4884619D"/>
    <w:rsid w:val="48877A3B"/>
    <w:rsid w:val="488F069E"/>
    <w:rsid w:val="48904B42"/>
    <w:rsid w:val="48943F06"/>
    <w:rsid w:val="489A151D"/>
    <w:rsid w:val="48A24875"/>
    <w:rsid w:val="48A4795F"/>
    <w:rsid w:val="48AA06AF"/>
    <w:rsid w:val="48AE4FC8"/>
    <w:rsid w:val="48BB76E5"/>
    <w:rsid w:val="48BD16AF"/>
    <w:rsid w:val="48BD520B"/>
    <w:rsid w:val="48BF5427"/>
    <w:rsid w:val="48C91E02"/>
    <w:rsid w:val="48D32C81"/>
    <w:rsid w:val="48DA400F"/>
    <w:rsid w:val="48DC0EB5"/>
    <w:rsid w:val="48E5353B"/>
    <w:rsid w:val="48E7672C"/>
    <w:rsid w:val="48EC3D42"/>
    <w:rsid w:val="48F25C9A"/>
    <w:rsid w:val="48F7696F"/>
    <w:rsid w:val="48FD17C2"/>
    <w:rsid w:val="490177EE"/>
    <w:rsid w:val="49042E3A"/>
    <w:rsid w:val="49060960"/>
    <w:rsid w:val="491858F6"/>
    <w:rsid w:val="491C0184"/>
    <w:rsid w:val="491D3EFC"/>
    <w:rsid w:val="492141FC"/>
    <w:rsid w:val="49290AF3"/>
    <w:rsid w:val="492A04FD"/>
    <w:rsid w:val="492E435B"/>
    <w:rsid w:val="49325BF9"/>
    <w:rsid w:val="49331971"/>
    <w:rsid w:val="49357497"/>
    <w:rsid w:val="49366D6C"/>
    <w:rsid w:val="493A685C"/>
    <w:rsid w:val="4941408E"/>
    <w:rsid w:val="4944592C"/>
    <w:rsid w:val="494B6CBB"/>
    <w:rsid w:val="49583186"/>
    <w:rsid w:val="495C4A24"/>
    <w:rsid w:val="49641DFF"/>
    <w:rsid w:val="496B4C67"/>
    <w:rsid w:val="496D09DF"/>
    <w:rsid w:val="496E4757"/>
    <w:rsid w:val="4970227E"/>
    <w:rsid w:val="497A134E"/>
    <w:rsid w:val="497A4025"/>
    <w:rsid w:val="497C50C6"/>
    <w:rsid w:val="4981092F"/>
    <w:rsid w:val="4981448B"/>
    <w:rsid w:val="498521CD"/>
    <w:rsid w:val="49867CF3"/>
    <w:rsid w:val="49883A6B"/>
    <w:rsid w:val="49920446"/>
    <w:rsid w:val="499248EA"/>
    <w:rsid w:val="499E328F"/>
    <w:rsid w:val="49A14B2D"/>
    <w:rsid w:val="49A33231"/>
    <w:rsid w:val="49A81A17"/>
    <w:rsid w:val="49A87C69"/>
    <w:rsid w:val="49AD6EB4"/>
    <w:rsid w:val="49B04D70"/>
    <w:rsid w:val="49B605D8"/>
    <w:rsid w:val="49B760FE"/>
    <w:rsid w:val="49B8763F"/>
    <w:rsid w:val="49BF6D61"/>
    <w:rsid w:val="49C01457"/>
    <w:rsid w:val="49C51B7C"/>
    <w:rsid w:val="49C83E68"/>
    <w:rsid w:val="49CC7DFC"/>
    <w:rsid w:val="49CD5922"/>
    <w:rsid w:val="49CD76D0"/>
    <w:rsid w:val="49D15412"/>
    <w:rsid w:val="49D4280C"/>
    <w:rsid w:val="49DA6049"/>
    <w:rsid w:val="49DB003F"/>
    <w:rsid w:val="49DC7913"/>
    <w:rsid w:val="49DD5E2E"/>
    <w:rsid w:val="49DE368B"/>
    <w:rsid w:val="49DF11B1"/>
    <w:rsid w:val="49E54A1A"/>
    <w:rsid w:val="49E60792"/>
    <w:rsid w:val="49F27137"/>
    <w:rsid w:val="49F3719F"/>
    <w:rsid w:val="49F42EAF"/>
    <w:rsid w:val="49F7299F"/>
    <w:rsid w:val="49F866F1"/>
    <w:rsid w:val="49F96717"/>
    <w:rsid w:val="49FA5FEB"/>
    <w:rsid w:val="4A001853"/>
    <w:rsid w:val="4A007AA5"/>
    <w:rsid w:val="4A01737A"/>
    <w:rsid w:val="4A017A91"/>
    <w:rsid w:val="4A0330F2"/>
    <w:rsid w:val="4A05330E"/>
    <w:rsid w:val="4A077A34"/>
    <w:rsid w:val="4A0A64C5"/>
    <w:rsid w:val="4A196EAA"/>
    <w:rsid w:val="4A1C38C9"/>
    <w:rsid w:val="4A1E1CDA"/>
    <w:rsid w:val="4A1E3175"/>
    <w:rsid w:val="4A1E617D"/>
    <w:rsid w:val="4A225C6E"/>
    <w:rsid w:val="4A2512BA"/>
    <w:rsid w:val="4A253068"/>
    <w:rsid w:val="4A272146"/>
    <w:rsid w:val="4A3814EB"/>
    <w:rsid w:val="4A3C158D"/>
    <w:rsid w:val="4A407C50"/>
    <w:rsid w:val="4A413C1A"/>
    <w:rsid w:val="4A431740"/>
    <w:rsid w:val="4A45370A"/>
    <w:rsid w:val="4A484FA8"/>
    <w:rsid w:val="4A4A6F73"/>
    <w:rsid w:val="4A4D0811"/>
    <w:rsid w:val="4A4E6A63"/>
    <w:rsid w:val="4A4F4589"/>
    <w:rsid w:val="4A58168F"/>
    <w:rsid w:val="4A58343D"/>
    <w:rsid w:val="4A595408"/>
    <w:rsid w:val="4A5B1180"/>
    <w:rsid w:val="4A5B4CDC"/>
    <w:rsid w:val="4A6022F2"/>
    <w:rsid w:val="4A6242BC"/>
    <w:rsid w:val="4A631737"/>
    <w:rsid w:val="4A655B5A"/>
    <w:rsid w:val="4A657908"/>
    <w:rsid w:val="4A673681"/>
    <w:rsid w:val="4A6C063B"/>
    <w:rsid w:val="4A6F0787"/>
    <w:rsid w:val="4A7638C4"/>
    <w:rsid w:val="4A7D10F6"/>
    <w:rsid w:val="4A871F75"/>
    <w:rsid w:val="4A8C30E7"/>
    <w:rsid w:val="4A946440"/>
    <w:rsid w:val="4A987CDE"/>
    <w:rsid w:val="4A993A56"/>
    <w:rsid w:val="4A9973CA"/>
    <w:rsid w:val="4AA20B5D"/>
    <w:rsid w:val="4AA246B9"/>
    <w:rsid w:val="4AAE5753"/>
    <w:rsid w:val="4AB16FF2"/>
    <w:rsid w:val="4AB4263E"/>
    <w:rsid w:val="4AC00FE3"/>
    <w:rsid w:val="4AC22FAD"/>
    <w:rsid w:val="4AC705C3"/>
    <w:rsid w:val="4AD11442"/>
    <w:rsid w:val="4AD131F0"/>
    <w:rsid w:val="4AD309EB"/>
    <w:rsid w:val="4AD60806"/>
    <w:rsid w:val="4AD74C4A"/>
    <w:rsid w:val="4AD8457E"/>
    <w:rsid w:val="4ADD1B95"/>
    <w:rsid w:val="4AEC627C"/>
    <w:rsid w:val="4AF84C20"/>
    <w:rsid w:val="4B0062C7"/>
    <w:rsid w:val="4B0610EB"/>
    <w:rsid w:val="4B0B6702"/>
    <w:rsid w:val="4B0C4228"/>
    <w:rsid w:val="4B0D06CC"/>
    <w:rsid w:val="4B0F5B16"/>
    <w:rsid w:val="4B103D18"/>
    <w:rsid w:val="4B1355B6"/>
    <w:rsid w:val="4B157580"/>
    <w:rsid w:val="4B1F21AD"/>
    <w:rsid w:val="4B1F5D09"/>
    <w:rsid w:val="4B266B52"/>
    <w:rsid w:val="4B296B88"/>
    <w:rsid w:val="4B2C48CA"/>
    <w:rsid w:val="4B320132"/>
    <w:rsid w:val="4B3317B5"/>
    <w:rsid w:val="4B335C59"/>
    <w:rsid w:val="4B3519D1"/>
    <w:rsid w:val="4B3612A5"/>
    <w:rsid w:val="4B3F0A2D"/>
    <w:rsid w:val="4B4B624B"/>
    <w:rsid w:val="4B4C0AC8"/>
    <w:rsid w:val="4B4E4840"/>
    <w:rsid w:val="4B5300A9"/>
    <w:rsid w:val="4B531E57"/>
    <w:rsid w:val="4B561D3F"/>
    <w:rsid w:val="4B5736F5"/>
    <w:rsid w:val="4B5856BF"/>
    <w:rsid w:val="4B5C6F5D"/>
    <w:rsid w:val="4B616322"/>
    <w:rsid w:val="4B646578"/>
    <w:rsid w:val="4B69167A"/>
    <w:rsid w:val="4B7D0C82"/>
    <w:rsid w:val="4B7E5126"/>
    <w:rsid w:val="4B807D59"/>
    <w:rsid w:val="4B840262"/>
    <w:rsid w:val="4B8D35BB"/>
    <w:rsid w:val="4B906C07"/>
    <w:rsid w:val="4B92297F"/>
    <w:rsid w:val="4B971D44"/>
    <w:rsid w:val="4B983D0E"/>
    <w:rsid w:val="4B985ABC"/>
    <w:rsid w:val="4B990D30"/>
    <w:rsid w:val="4B991F60"/>
    <w:rsid w:val="4BA32C98"/>
    <w:rsid w:val="4BA72EF2"/>
    <w:rsid w:val="4BB57ADD"/>
    <w:rsid w:val="4BBA3C84"/>
    <w:rsid w:val="4BC220E1"/>
    <w:rsid w:val="4BC845F3"/>
    <w:rsid w:val="4BC9778B"/>
    <w:rsid w:val="4BCD7ACE"/>
    <w:rsid w:val="4BD06395"/>
    <w:rsid w:val="4BD42F98"/>
    <w:rsid w:val="4BD96800"/>
    <w:rsid w:val="4BE33D71"/>
    <w:rsid w:val="4BE62CCB"/>
    <w:rsid w:val="4BEB208F"/>
    <w:rsid w:val="4BFC24EE"/>
    <w:rsid w:val="4BFD43D2"/>
    <w:rsid w:val="4BFE1DC3"/>
    <w:rsid w:val="4BFF5B3B"/>
    <w:rsid w:val="4C015AC6"/>
    <w:rsid w:val="4C06511B"/>
    <w:rsid w:val="4C0B2731"/>
    <w:rsid w:val="4C1415E6"/>
    <w:rsid w:val="4C15535E"/>
    <w:rsid w:val="4C177328"/>
    <w:rsid w:val="4C1B3259"/>
    <w:rsid w:val="4C1D69CE"/>
    <w:rsid w:val="4C2061DD"/>
    <w:rsid w:val="4C26756B"/>
    <w:rsid w:val="4C285091"/>
    <w:rsid w:val="4C2B26DA"/>
    <w:rsid w:val="4C2D08FA"/>
    <w:rsid w:val="4C2F4672"/>
    <w:rsid w:val="4C341C88"/>
    <w:rsid w:val="4C3D6D8F"/>
    <w:rsid w:val="4C3E203F"/>
    <w:rsid w:val="4C3E6663"/>
    <w:rsid w:val="4C40062D"/>
    <w:rsid w:val="4C433C79"/>
    <w:rsid w:val="4C4373A1"/>
    <w:rsid w:val="4C455C43"/>
    <w:rsid w:val="4C4579F1"/>
    <w:rsid w:val="4C4A2448"/>
    <w:rsid w:val="4C6762B5"/>
    <w:rsid w:val="4C681932"/>
    <w:rsid w:val="4C6B4F7E"/>
    <w:rsid w:val="4C6C1422"/>
    <w:rsid w:val="4C6C31D0"/>
    <w:rsid w:val="4C6F2CC0"/>
    <w:rsid w:val="4C7107E7"/>
    <w:rsid w:val="4C83051A"/>
    <w:rsid w:val="4C8524E4"/>
    <w:rsid w:val="4C9170DB"/>
    <w:rsid w:val="4C940979"/>
    <w:rsid w:val="4C975D73"/>
    <w:rsid w:val="4C983FC5"/>
    <w:rsid w:val="4C9B3AB5"/>
    <w:rsid w:val="4CA02E7A"/>
    <w:rsid w:val="4CA0731E"/>
    <w:rsid w:val="4CA27D42"/>
    <w:rsid w:val="4CB37051"/>
    <w:rsid w:val="4CB93F3C"/>
    <w:rsid w:val="4CBE1552"/>
    <w:rsid w:val="4CC254E6"/>
    <w:rsid w:val="4CC76658"/>
    <w:rsid w:val="4CCD5E29"/>
    <w:rsid w:val="4CD07C03"/>
    <w:rsid w:val="4CD46FC7"/>
    <w:rsid w:val="4CD60F91"/>
    <w:rsid w:val="4CD82614"/>
    <w:rsid w:val="4CD8534D"/>
    <w:rsid w:val="4CDA2830"/>
    <w:rsid w:val="4CDB26EA"/>
    <w:rsid w:val="4CE81047"/>
    <w:rsid w:val="4CEA2347"/>
    <w:rsid w:val="4CEE62DB"/>
    <w:rsid w:val="4CF6285E"/>
    <w:rsid w:val="4CF803E4"/>
    <w:rsid w:val="4D007DBC"/>
    <w:rsid w:val="4D0126AE"/>
    <w:rsid w:val="4D027691"/>
    <w:rsid w:val="4D043409"/>
    <w:rsid w:val="4D072EF9"/>
    <w:rsid w:val="4D0F1DAD"/>
    <w:rsid w:val="4D111FCA"/>
    <w:rsid w:val="4D155616"/>
    <w:rsid w:val="4D1675E0"/>
    <w:rsid w:val="4D1B0752"/>
    <w:rsid w:val="4D1F1116"/>
    <w:rsid w:val="4D267823"/>
    <w:rsid w:val="4D302450"/>
    <w:rsid w:val="4D324F4C"/>
    <w:rsid w:val="4D336A64"/>
    <w:rsid w:val="4D3637DE"/>
    <w:rsid w:val="4D371A30"/>
    <w:rsid w:val="4D3857A8"/>
    <w:rsid w:val="4D3D691B"/>
    <w:rsid w:val="4D4128AF"/>
    <w:rsid w:val="4D423F31"/>
    <w:rsid w:val="4D4952BF"/>
    <w:rsid w:val="4D4D1254"/>
    <w:rsid w:val="4D553C64"/>
    <w:rsid w:val="4D56501F"/>
    <w:rsid w:val="4D5C27F9"/>
    <w:rsid w:val="4D5F2D35"/>
    <w:rsid w:val="4D6E2F78"/>
    <w:rsid w:val="4D7007D9"/>
    <w:rsid w:val="4D700A9E"/>
    <w:rsid w:val="4D704F42"/>
    <w:rsid w:val="4D706CF0"/>
    <w:rsid w:val="4D7367E0"/>
    <w:rsid w:val="4D7E765F"/>
    <w:rsid w:val="4D7F5185"/>
    <w:rsid w:val="4D814A59"/>
    <w:rsid w:val="4D8E361A"/>
    <w:rsid w:val="4D904B72"/>
    <w:rsid w:val="4D922E9A"/>
    <w:rsid w:val="4D92310A"/>
    <w:rsid w:val="4D924EB8"/>
    <w:rsid w:val="4D9549A9"/>
    <w:rsid w:val="4D9D385D"/>
    <w:rsid w:val="4DA70238"/>
    <w:rsid w:val="4DAC584E"/>
    <w:rsid w:val="4DAE7818"/>
    <w:rsid w:val="4DB0533F"/>
    <w:rsid w:val="4DB56DF9"/>
    <w:rsid w:val="4DB71419"/>
    <w:rsid w:val="4DBD7A5B"/>
    <w:rsid w:val="4DBF1A26"/>
    <w:rsid w:val="4DC03B58"/>
    <w:rsid w:val="4DC66910"/>
    <w:rsid w:val="4DC86B2C"/>
    <w:rsid w:val="4DD168CA"/>
    <w:rsid w:val="4DD54DA5"/>
    <w:rsid w:val="4DD70B1D"/>
    <w:rsid w:val="4DD94895"/>
    <w:rsid w:val="4DDE00FE"/>
    <w:rsid w:val="4DE10346"/>
    <w:rsid w:val="4DE82D2A"/>
    <w:rsid w:val="4DED20EF"/>
    <w:rsid w:val="4DED52D5"/>
    <w:rsid w:val="4DED6593"/>
    <w:rsid w:val="4DF06083"/>
    <w:rsid w:val="4DF44462"/>
    <w:rsid w:val="4DF53699"/>
    <w:rsid w:val="4DF711BF"/>
    <w:rsid w:val="4DF72F6D"/>
    <w:rsid w:val="4DF80A94"/>
    <w:rsid w:val="4DFA2A5E"/>
    <w:rsid w:val="4E031912"/>
    <w:rsid w:val="4E037B64"/>
    <w:rsid w:val="4E0F7716"/>
    <w:rsid w:val="4E102281"/>
    <w:rsid w:val="4E1458CD"/>
    <w:rsid w:val="4E17648E"/>
    <w:rsid w:val="4E1A4EAE"/>
    <w:rsid w:val="4E1B3100"/>
    <w:rsid w:val="4E200716"/>
    <w:rsid w:val="4E2246A8"/>
    <w:rsid w:val="4E255D2C"/>
    <w:rsid w:val="4E3221F7"/>
    <w:rsid w:val="4E3B2540"/>
    <w:rsid w:val="4E404914"/>
    <w:rsid w:val="4E465CA3"/>
    <w:rsid w:val="4E4A7541"/>
    <w:rsid w:val="4E4B32B9"/>
    <w:rsid w:val="4E4D7031"/>
    <w:rsid w:val="4E516718"/>
    <w:rsid w:val="4E5263F6"/>
    <w:rsid w:val="4E597784"/>
    <w:rsid w:val="4E5A52AA"/>
    <w:rsid w:val="4E5D41A3"/>
    <w:rsid w:val="4E5E2FEC"/>
    <w:rsid w:val="4E610CE5"/>
    <w:rsid w:val="4E636855"/>
    <w:rsid w:val="4E685C19"/>
    <w:rsid w:val="4E6A14A0"/>
    <w:rsid w:val="4E6A373F"/>
    <w:rsid w:val="4E6F0D56"/>
    <w:rsid w:val="4E6F6FA8"/>
    <w:rsid w:val="4E720846"/>
    <w:rsid w:val="4E7B594C"/>
    <w:rsid w:val="4E7C16C5"/>
    <w:rsid w:val="4E7E368F"/>
    <w:rsid w:val="4E8531FE"/>
    <w:rsid w:val="4E870795"/>
    <w:rsid w:val="4E8862BB"/>
    <w:rsid w:val="4E8D742E"/>
    <w:rsid w:val="4E920EE8"/>
    <w:rsid w:val="4E9702AC"/>
    <w:rsid w:val="4E9764FE"/>
    <w:rsid w:val="4EA21AFA"/>
    <w:rsid w:val="4EA96179"/>
    <w:rsid w:val="4EAC1FAA"/>
    <w:rsid w:val="4EAD5D22"/>
    <w:rsid w:val="4EAE33D8"/>
    <w:rsid w:val="4EB250E6"/>
    <w:rsid w:val="4EB86BA1"/>
    <w:rsid w:val="4EBA5082"/>
    <w:rsid w:val="4EC015B1"/>
    <w:rsid w:val="4EC310A1"/>
    <w:rsid w:val="4ECF17A1"/>
    <w:rsid w:val="4ED212E5"/>
    <w:rsid w:val="4ED27537"/>
    <w:rsid w:val="4EDB288F"/>
    <w:rsid w:val="4EDD6607"/>
    <w:rsid w:val="4EDE412D"/>
    <w:rsid w:val="4EE03A01"/>
    <w:rsid w:val="4EE31744"/>
    <w:rsid w:val="4EE51018"/>
    <w:rsid w:val="4EE5726A"/>
    <w:rsid w:val="4EF0709E"/>
    <w:rsid w:val="4EF70D4B"/>
    <w:rsid w:val="4EF74EE8"/>
    <w:rsid w:val="4EF85D00"/>
    <w:rsid w:val="4EF90150"/>
    <w:rsid w:val="4EFD2805"/>
    <w:rsid w:val="4F06622E"/>
    <w:rsid w:val="4F0941B3"/>
    <w:rsid w:val="4F096250"/>
    <w:rsid w:val="4F0E48A4"/>
    <w:rsid w:val="4F10078B"/>
    <w:rsid w:val="4F111E0D"/>
    <w:rsid w:val="4F135B85"/>
    <w:rsid w:val="4F1B0EDE"/>
    <w:rsid w:val="4F1F09CE"/>
    <w:rsid w:val="4F2064F4"/>
    <w:rsid w:val="4F2558B8"/>
    <w:rsid w:val="4F2A7373"/>
    <w:rsid w:val="4F31425D"/>
    <w:rsid w:val="4F3855EC"/>
    <w:rsid w:val="4F3F4BCC"/>
    <w:rsid w:val="4F4026F2"/>
    <w:rsid w:val="4F417ECE"/>
    <w:rsid w:val="4F457D08"/>
    <w:rsid w:val="4F4B17C3"/>
    <w:rsid w:val="4F4E3061"/>
    <w:rsid w:val="4F5D2D73"/>
    <w:rsid w:val="4F5D32A4"/>
    <w:rsid w:val="4F604B42"/>
    <w:rsid w:val="4F622668"/>
    <w:rsid w:val="4F652159"/>
    <w:rsid w:val="4F660B28"/>
    <w:rsid w:val="4F672375"/>
    <w:rsid w:val="4F674123"/>
    <w:rsid w:val="4F696C79"/>
    <w:rsid w:val="4F716D4F"/>
    <w:rsid w:val="4F73779A"/>
    <w:rsid w:val="4F7505EE"/>
    <w:rsid w:val="4F764366"/>
    <w:rsid w:val="4F8151E4"/>
    <w:rsid w:val="4F846A83"/>
    <w:rsid w:val="4F8C3B89"/>
    <w:rsid w:val="4F93316A"/>
    <w:rsid w:val="4F934F18"/>
    <w:rsid w:val="4F9A44F8"/>
    <w:rsid w:val="4F9A62A6"/>
    <w:rsid w:val="4F9D237F"/>
    <w:rsid w:val="4F9D29BE"/>
    <w:rsid w:val="4FA72771"/>
    <w:rsid w:val="4FAA2859"/>
    <w:rsid w:val="4FAB2261"/>
    <w:rsid w:val="4FB01626"/>
    <w:rsid w:val="4FB97DFA"/>
    <w:rsid w:val="4FBF5D0D"/>
    <w:rsid w:val="4FC11A85"/>
    <w:rsid w:val="4FC13833"/>
    <w:rsid w:val="4FCE5F50"/>
    <w:rsid w:val="4FD03A76"/>
    <w:rsid w:val="4FD34CFD"/>
    <w:rsid w:val="4FD74E04"/>
    <w:rsid w:val="4FD869DB"/>
    <w:rsid w:val="4FDD43E5"/>
    <w:rsid w:val="4FDF015D"/>
    <w:rsid w:val="4FE6773D"/>
    <w:rsid w:val="4FEB08B0"/>
    <w:rsid w:val="4FEB6B02"/>
    <w:rsid w:val="4FF9121F"/>
    <w:rsid w:val="4FFD05E3"/>
    <w:rsid w:val="50025BF9"/>
    <w:rsid w:val="500A342C"/>
    <w:rsid w:val="500E459E"/>
    <w:rsid w:val="50106568"/>
    <w:rsid w:val="50113623"/>
    <w:rsid w:val="50151DD1"/>
    <w:rsid w:val="501556DB"/>
    <w:rsid w:val="501778F7"/>
    <w:rsid w:val="501A56A4"/>
    <w:rsid w:val="50281B04"/>
    <w:rsid w:val="50393434"/>
    <w:rsid w:val="503E1327"/>
    <w:rsid w:val="503E30D6"/>
    <w:rsid w:val="503F0BFC"/>
    <w:rsid w:val="5043249A"/>
    <w:rsid w:val="50454464"/>
    <w:rsid w:val="505A77E4"/>
    <w:rsid w:val="505C2FF8"/>
    <w:rsid w:val="505C355C"/>
    <w:rsid w:val="50700DB5"/>
    <w:rsid w:val="5076286F"/>
    <w:rsid w:val="5079410E"/>
    <w:rsid w:val="507F724A"/>
    <w:rsid w:val="50850D04"/>
    <w:rsid w:val="508D1967"/>
    <w:rsid w:val="50902684"/>
    <w:rsid w:val="50974594"/>
    <w:rsid w:val="5099752C"/>
    <w:rsid w:val="509C178B"/>
    <w:rsid w:val="509D4495"/>
    <w:rsid w:val="50A3118B"/>
    <w:rsid w:val="50A373DC"/>
    <w:rsid w:val="50AA076B"/>
    <w:rsid w:val="50B412E2"/>
    <w:rsid w:val="50B909AE"/>
    <w:rsid w:val="50BC224C"/>
    <w:rsid w:val="50C11611"/>
    <w:rsid w:val="50CC6933"/>
    <w:rsid w:val="50D137D5"/>
    <w:rsid w:val="50D21A70"/>
    <w:rsid w:val="50DC2A03"/>
    <w:rsid w:val="50DD28EE"/>
    <w:rsid w:val="50DF56DA"/>
    <w:rsid w:val="50E0418D"/>
    <w:rsid w:val="50E05F3B"/>
    <w:rsid w:val="50E14E6A"/>
    <w:rsid w:val="50E310F5"/>
    <w:rsid w:val="50E35A2B"/>
    <w:rsid w:val="50E517A3"/>
    <w:rsid w:val="50E84DEF"/>
    <w:rsid w:val="50E97F21"/>
    <w:rsid w:val="50EC48E0"/>
    <w:rsid w:val="50F33EC0"/>
    <w:rsid w:val="50FF4F20"/>
    <w:rsid w:val="510460CD"/>
    <w:rsid w:val="510D2AA8"/>
    <w:rsid w:val="510D4856"/>
    <w:rsid w:val="51112598"/>
    <w:rsid w:val="51114346"/>
    <w:rsid w:val="5116195C"/>
    <w:rsid w:val="5119144D"/>
    <w:rsid w:val="511A58F1"/>
    <w:rsid w:val="51220301"/>
    <w:rsid w:val="512322CB"/>
    <w:rsid w:val="51256043"/>
    <w:rsid w:val="51271DBC"/>
    <w:rsid w:val="51312C3A"/>
    <w:rsid w:val="51361FFF"/>
    <w:rsid w:val="514364CA"/>
    <w:rsid w:val="51452E14"/>
    <w:rsid w:val="51491D32"/>
    <w:rsid w:val="514A19B2"/>
    <w:rsid w:val="51583D23"/>
    <w:rsid w:val="51586419"/>
    <w:rsid w:val="515E50B1"/>
    <w:rsid w:val="51613A0C"/>
    <w:rsid w:val="516A1F01"/>
    <w:rsid w:val="516D11C8"/>
    <w:rsid w:val="516E1AB0"/>
    <w:rsid w:val="516E79EA"/>
    <w:rsid w:val="51713037"/>
    <w:rsid w:val="51732139"/>
    <w:rsid w:val="51735001"/>
    <w:rsid w:val="5176689F"/>
    <w:rsid w:val="517B2107"/>
    <w:rsid w:val="5181771E"/>
    <w:rsid w:val="5183741D"/>
    <w:rsid w:val="51870AAC"/>
    <w:rsid w:val="51874608"/>
    <w:rsid w:val="518E1E3B"/>
    <w:rsid w:val="51913C64"/>
    <w:rsid w:val="519A433C"/>
    <w:rsid w:val="519D207E"/>
    <w:rsid w:val="51A0391C"/>
    <w:rsid w:val="51B1646C"/>
    <w:rsid w:val="51B22A66"/>
    <w:rsid w:val="51BA49DE"/>
    <w:rsid w:val="51C15D6C"/>
    <w:rsid w:val="51C25640"/>
    <w:rsid w:val="51C27D36"/>
    <w:rsid w:val="51C4760A"/>
    <w:rsid w:val="51C615D4"/>
    <w:rsid w:val="51C770FB"/>
    <w:rsid w:val="51C83263"/>
    <w:rsid w:val="51CB6BEB"/>
    <w:rsid w:val="51DA6E2E"/>
    <w:rsid w:val="51DF2696"/>
    <w:rsid w:val="51E41A5B"/>
    <w:rsid w:val="51E8779D"/>
    <w:rsid w:val="51FA302C"/>
    <w:rsid w:val="51FD1EA1"/>
    <w:rsid w:val="520175A0"/>
    <w:rsid w:val="52034365"/>
    <w:rsid w:val="52065E75"/>
    <w:rsid w:val="52075749"/>
    <w:rsid w:val="52081BED"/>
    <w:rsid w:val="5209326F"/>
    <w:rsid w:val="520D0FB1"/>
    <w:rsid w:val="522B768A"/>
    <w:rsid w:val="522D51B0"/>
    <w:rsid w:val="52320A18"/>
    <w:rsid w:val="52344790"/>
    <w:rsid w:val="523D116B"/>
    <w:rsid w:val="523F35EA"/>
    <w:rsid w:val="52416EAD"/>
    <w:rsid w:val="525070F0"/>
    <w:rsid w:val="525941F7"/>
    <w:rsid w:val="525A7F6F"/>
    <w:rsid w:val="525C7843"/>
    <w:rsid w:val="5268268C"/>
    <w:rsid w:val="52693681"/>
    <w:rsid w:val="527103FC"/>
    <w:rsid w:val="527C0E43"/>
    <w:rsid w:val="527C1C93"/>
    <w:rsid w:val="527E5C57"/>
    <w:rsid w:val="527F1783"/>
    <w:rsid w:val="527F3531"/>
    <w:rsid w:val="528B1ED6"/>
    <w:rsid w:val="528D5C4E"/>
    <w:rsid w:val="52903990"/>
    <w:rsid w:val="5292555D"/>
    <w:rsid w:val="52992845"/>
    <w:rsid w:val="529A792F"/>
    <w:rsid w:val="529C11E0"/>
    <w:rsid w:val="52A336C4"/>
    <w:rsid w:val="52A4759B"/>
    <w:rsid w:val="52AA4A52"/>
    <w:rsid w:val="52AB2578"/>
    <w:rsid w:val="52AC318F"/>
    <w:rsid w:val="52B256B5"/>
    <w:rsid w:val="52B35629"/>
    <w:rsid w:val="52B458D1"/>
    <w:rsid w:val="52BF714B"/>
    <w:rsid w:val="52C5363A"/>
    <w:rsid w:val="52C8312A"/>
    <w:rsid w:val="52CF24CC"/>
    <w:rsid w:val="52CF270B"/>
    <w:rsid w:val="52D32AFD"/>
    <w:rsid w:val="52D36D49"/>
    <w:rsid w:val="52D64AC4"/>
    <w:rsid w:val="52D7511B"/>
    <w:rsid w:val="52E15F9A"/>
    <w:rsid w:val="52E57838"/>
    <w:rsid w:val="52E8557B"/>
    <w:rsid w:val="52F42171"/>
    <w:rsid w:val="52F43F1F"/>
    <w:rsid w:val="52F65EE9"/>
    <w:rsid w:val="52F83A10"/>
    <w:rsid w:val="52FB705C"/>
    <w:rsid w:val="53095C1D"/>
    <w:rsid w:val="530C1269"/>
    <w:rsid w:val="530F2B07"/>
    <w:rsid w:val="530F6FAB"/>
    <w:rsid w:val="53130849"/>
    <w:rsid w:val="531B5950"/>
    <w:rsid w:val="531D389C"/>
    <w:rsid w:val="531D5224"/>
    <w:rsid w:val="532E5683"/>
    <w:rsid w:val="533407C0"/>
    <w:rsid w:val="53364538"/>
    <w:rsid w:val="533C1422"/>
    <w:rsid w:val="533E33EC"/>
    <w:rsid w:val="534722A1"/>
    <w:rsid w:val="53481136"/>
    <w:rsid w:val="534C3D5B"/>
    <w:rsid w:val="534D53DE"/>
    <w:rsid w:val="534E1882"/>
    <w:rsid w:val="53513120"/>
    <w:rsid w:val="536015B5"/>
    <w:rsid w:val="536270DB"/>
    <w:rsid w:val="53672943"/>
    <w:rsid w:val="5367649F"/>
    <w:rsid w:val="5371731E"/>
    <w:rsid w:val="53760DD8"/>
    <w:rsid w:val="53764934"/>
    <w:rsid w:val="537B7696"/>
    <w:rsid w:val="537D5CC3"/>
    <w:rsid w:val="537E2EA2"/>
    <w:rsid w:val="537F0CA9"/>
    <w:rsid w:val="5382152B"/>
    <w:rsid w:val="53864B33"/>
    <w:rsid w:val="538A54DA"/>
    <w:rsid w:val="538C23AA"/>
    <w:rsid w:val="53977748"/>
    <w:rsid w:val="53982AFD"/>
    <w:rsid w:val="539D45B7"/>
    <w:rsid w:val="539F3171"/>
    <w:rsid w:val="53A72D40"/>
    <w:rsid w:val="53AE0572"/>
    <w:rsid w:val="53B33222"/>
    <w:rsid w:val="53BE2574"/>
    <w:rsid w:val="53BF452D"/>
    <w:rsid w:val="53BF62DB"/>
    <w:rsid w:val="53CB2ED2"/>
    <w:rsid w:val="53D02297"/>
    <w:rsid w:val="53D855EF"/>
    <w:rsid w:val="53DA3115"/>
    <w:rsid w:val="53DB0C3B"/>
    <w:rsid w:val="53DC0CED"/>
    <w:rsid w:val="53DF24DA"/>
    <w:rsid w:val="53E73A84"/>
    <w:rsid w:val="53EA0E7E"/>
    <w:rsid w:val="53EB5322"/>
    <w:rsid w:val="53F00B8B"/>
    <w:rsid w:val="54040192"/>
    <w:rsid w:val="540D447D"/>
    <w:rsid w:val="540E7126"/>
    <w:rsid w:val="54244390"/>
    <w:rsid w:val="54260108"/>
    <w:rsid w:val="542C3BBC"/>
    <w:rsid w:val="543841B1"/>
    <w:rsid w:val="54420CBA"/>
    <w:rsid w:val="544D7D8B"/>
    <w:rsid w:val="544E58B1"/>
    <w:rsid w:val="54534C76"/>
    <w:rsid w:val="54596730"/>
    <w:rsid w:val="545A6004"/>
    <w:rsid w:val="546142C1"/>
    <w:rsid w:val="547528A1"/>
    <w:rsid w:val="54752E3E"/>
    <w:rsid w:val="5479292E"/>
    <w:rsid w:val="54837309"/>
    <w:rsid w:val="5486329D"/>
    <w:rsid w:val="5488491F"/>
    <w:rsid w:val="548F2BD7"/>
    <w:rsid w:val="54901A26"/>
    <w:rsid w:val="54907C78"/>
    <w:rsid w:val="5495528E"/>
    <w:rsid w:val="54971006"/>
    <w:rsid w:val="54972DB4"/>
    <w:rsid w:val="54977258"/>
    <w:rsid w:val="549A0AF6"/>
    <w:rsid w:val="549C661D"/>
    <w:rsid w:val="549E2395"/>
    <w:rsid w:val="54A31759"/>
    <w:rsid w:val="54AB2D04"/>
    <w:rsid w:val="54AD082A"/>
    <w:rsid w:val="54AD25D8"/>
    <w:rsid w:val="54B03E76"/>
    <w:rsid w:val="54BA6AA3"/>
    <w:rsid w:val="54BC0A6D"/>
    <w:rsid w:val="54C55B73"/>
    <w:rsid w:val="54C811C0"/>
    <w:rsid w:val="54C85664"/>
    <w:rsid w:val="54C94F38"/>
    <w:rsid w:val="54CA318A"/>
    <w:rsid w:val="54CC5154"/>
    <w:rsid w:val="54CC5B08"/>
    <w:rsid w:val="54CD2C7A"/>
    <w:rsid w:val="54CF254E"/>
    <w:rsid w:val="54D23DEC"/>
    <w:rsid w:val="54D758A7"/>
    <w:rsid w:val="54D97871"/>
    <w:rsid w:val="54DA0EF3"/>
    <w:rsid w:val="54DB4AA8"/>
    <w:rsid w:val="54DC2EBD"/>
    <w:rsid w:val="54DC4C6B"/>
    <w:rsid w:val="54E3424B"/>
    <w:rsid w:val="54E51D72"/>
    <w:rsid w:val="54E56216"/>
    <w:rsid w:val="54ED6E78"/>
    <w:rsid w:val="54F226E1"/>
    <w:rsid w:val="54F2448F"/>
    <w:rsid w:val="54F75F49"/>
    <w:rsid w:val="54FA4A5B"/>
    <w:rsid w:val="550348EE"/>
    <w:rsid w:val="55086B78"/>
    <w:rsid w:val="550C06E7"/>
    <w:rsid w:val="550F3292"/>
    <w:rsid w:val="551408A9"/>
    <w:rsid w:val="55144405"/>
    <w:rsid w:val="55164621"/>
    <w:rsid w:val="55171C18"/>
    <w:rsid w:val="551C775D"/>
    <w:rsid w:val="551D4C3C"/>
    <w:rsid w:val="551E7032"/>
    <w:rsid w:val="5523289A"/>
    <w:rsid w:val="55264138"/>
    <w:rsid w:val="55284354"/>
    <w:rsid w:val="55287EB0"/>
    <w:rsid w:val="55410DBD"/>
    <w:rsid w:val="55410F72"/>
    <w:rsid w:val="554E3DBB"/>
    <w:rsid w:val="554F7B33"/>
    <w:rsid w:val="555D5DAC"/>
    <w:rsid w:val="5560589C"/>
    <w:rsid w:val="55625D37"/>
    <w:rsid w:val="55651104"/>
    <w:rsid w:val="556F5ADF"/>
    <w:rsid w:val="55760C1C"/>
    <w:rsid w:val="557D644E"/>
    <w:rsid w:val="55825812"/>
    <w:rsid w:val="558275C0"/>
    <w:rsid w:val="55872E29"/>
    <w:rsid w:val="55894DF3"/>
    <w:rsid w:val="558A323A"/>
    <w:rsid w:val="558E2409"/>
    <w:rsid w:val="558F6181"/>
    <w:rsid w:val="558F7F2F"/>
    <w:rsid w:val="55911EF9"/>
    <w:rsid w:val="55992337"/>
    <w:rsid w:val="559A7000"/>
    <w:rsid w:val="559B0682"/>
    <w:rsid w:val="559E0172"/>
    <w:rsid w:val="559F4616"/>
    <w:rsid w:val="55A559A5"/>
    <w:rsid w:val="55AD03B6"/>
    <w:rsid w:val="55AF05D2"/>
    <w:rsid w:val="55AF1596"/>
    <w:rsid w:val="55B63C42"/>
    <w:rsid w:val="55B94FAC"/>
    <w:rsid w:val="55BA31FE"/>
    <w:rsid w:val="55BB2358"/>
    <w:rsid w:val="55BF0815"/>
    <w:rsid w:val="55C23E61"/>
    <w:rsid w:val="55D02010"/>
    <w:rsid w:val="55D342C0"/>
    <w:rsid w:val="55D65B5E"/>
    <w:rsid w:val="55DB13C7"/>
    <w:rsid w:val="55DD0C9B"/>
    <w:rsid w:val="55E70297"/>
    <w:rsid w:val="55EA33B8"/>
    <w:rsid w:val="55EB160A"/>
    <w:rsid w:val="55EE10FA"/>
    <w:rsid w:val="55EF09CE"/>
    <w:rsid w:val="55F22AB9"/>
    <w:rsid w:val="55F36710"/>
    <w:rsid w:val="55F83D27"/>
    <w:rsid w:val="56064695"/>
    <w:rsid w:val="56066443"/>
    <w:rsid w:val="56075D18"/>
    <w:rsid w:val="560B2A53"/>
    <w:rsid w:val="560D2312"/>
    <w:rsid w:val="561072C2"/>
    <w:rsid w:val="56114DE8"/>
    <w:rsid w:val="561472B4"/>
    <w:rsid w:val="56156687"/>
    <w:rsid w:val="561623FF"/>
    <w:rsid w:val="561F1F50"/>
    <w:rsid w:val="56262AA1"/>
    <w:rsid w:val="562864B6"/>
    <w:rsid w:val="56290384"/>
    <w:rsid w:val="56293EE0"/>
    <w:rsid w:val="562E2336"/>
    <w:rsid w:val="562E5514"/>
    <w:rsid w:val="563A7E9B"/>
    <w:rsid w:val="56444C51"/>
    <w:rsid w:val="564A0AC3"/>
    <w:rsid w:val="564F1C59"/>
    <w:rsid w:val="56551179"/>
    <w:rsid w:val="56586573"/>
    <w:rsid w:val="565D3B8A"/>
    <w:rsid w:val="565E52DC"/>
    <w:rsid w:val="565F1615"/>
    <w:rsid w:val="565F3DA6"/>
    <w:rsid w:val="56625644"/>
    <w:rsid w:val="566273F2"/>
    <w:rsid w:val="566413BC"/>
    <w:rsid w:val="56705FB3"/>
    <w:rsid w:val="567710EF"/>
    <w:rsid w:val="567726B1"/>
    <w:rsid w:val="56772E9D"/>
    <w:rsid w:val="56777341"/>
    <w:rsid w:val="567856E7"/>
    <w:rsid w:val="5684380C"/>
    <w:rsid w:val="56861332"/>
    <w:rsid w:val="56876E58"/>
    <w:rsid w:val="568850AA"/>
    <w:rsid w:val="568E6439"/>
    <w:rsid w:val="56917C46"/>
    <w:rsid w:val="569E48CE"/>
    <w:rsid w:val="569F41A2"/>
    <w:rsid w:val="56A31EE4"/>
    <w:rsid w:val="56AB0D99"/>
    <w:rsid w:val="56B85264"/>
    <w:rsid w:val="56C500AD"/>
    <w:rsid w:val="56C67981"/>
    <w:rsid w:val="56CB40FE"/>
    <w:rsid w:val="56CD0D0F"/>
    <w:rsid w:val="56CF0F2B"/>
    <w:rsid w:val="56CF2CD9"/>
    <w:rsid w:val="56D54068"/>
    <w:rsid w:val="56D976B4"/>
    <w:rsid w:val="56DD6C8E"/>
    <w:rsid w:val="56DE116E"/>
    <w:rsid w:val="56E46059"/>
    <w:rsid w:val="56EF512A"/>
    <w:rsid w:val="56F049FE"/>
    <w:rsid w:val="56FC15F5"/>
    <w:rsid w:val="56FE536D"/>
    <w:rsid w:val="57034731"/>
    <w:rsid w:val="570A5ABF"/>
    <w:rsid w:val="570B7A8A"/>
    <w:rsid w:val="570C5D6D"/>
    <w:rsid w:val="57122BC6"/>
    <w:rsid w:val="5714693E"/>
    <w:rsid w:val="571C57F3"/>
    <w:rsid w:val="57201787"/>
    <w:rsid w:val="57212E09"/>
    <w:rsid w:val="57256D9D"/>
    <w:rsid w:val="572648C3"/>
    <w:rsid w:val="572F5526"/>
    <w:rsid w:val="5737087F"/>
    <w:rsid w:val="574014E1"/>
    <w:rsid w:val="57407733"/>
    <w:rsid w:val="57415259"/>
    <w:rsid w:val="574216FD"/>
    <w:rsid w:val="5747738E"/>
    <w:rsid w:val="574A05B2"/>
    <w:rsid w:val="574B60D8"/>
    <w:rsid w:val="574C5994"/>
    <w:rsid w:val="57560D05"/>
    <w:rsid w:val="575629E4"/>
    <w:rsid w:val="575A03BE"/>
    <w:rsid w:val="57631674"/>
    <w:rsid w:val="57680A38"/>
    <w:rsid w:val="57684EDC"/>
    <w:rsid w:val="576A0C54"/>
    <w:rsid w:val="576B22D6"/>
    <w:rsid w:val="57763155"/>
    <w:rsid w:val="57805D82"/>
    <w:rsid w:val="578810DA"/>
    <w:rsid w:val="578B586A"/>
    <w:rsid w:val="57911D3D"/>
    <w:rsid w:val="57916B02"/>
    <w:rsid w:val="57917F8F"/>
    <w:rsid w:val="57931F59"/>
    <w:rsid w:val="57932DC4"/>
    <w:rsid w:val="5794182D"/>
    <w:rsid w:val="579502B5"/>
    <w:rsid w:val="57996E43"/>
    <w:rsid w:val="57A53A3A"/>
    <w:rsid w:val="57AF48B9"/>
    <w:rsid w:val="57B75B77"/>
    <w:rsid w:val="57BB500C"/>
    <w:rsid w:val="57BE29FA"/>
    <w:rsid w:val="57C14700"/>
    <w:rsid w:val="57C863B8"/>
    <w:rsid w:val="57CA34A1"/>
    <w:rsid w:val="57CA4134"/>
    <w:rsid w:val="57CE2F91"/>
    <w:rsid w:val="57D460CD"/>
    <w:rsid w:val="57D707BF"/>
    <w:rsid w:val="57D85BBE"/>
    <w:rsid w:val="57D91936"/>
    <w:rsid w:val="57DB745C"/>
    <w:rsid w:val="57DE0CFA"/>
    <w:rsid w:val="57DF3CA0"/>
    <w:rsid w:val="57E00F16"/>
    <w:rsid w:val="57E44562"/>
    <w:rsid w:val="57E5652D"/>
    <w:rsid w:val="57EF2F07"/>
    <w:rsid w:val="57F01CBD"/>
    <w:rsid w:val="57F16C7F"/>
    <w:rsid w:val="57F347A6"/>
    <w:rsid w:val="57F4051E"/>
    <w:rsid w:val="57F624E8"/>
    <w:rsid w:val="57FA3D86"/>
    <w:rsid w:val="58022C3B"/>
    <w:rsid w:val="580A1AEF"/>
    <w:rsid w:val="580F5357"/>
    <w:rsid w:val="5814471C"/>
    <w:rsid w:val="581B1F4E"/>
    <w:rsid w:val="581D1822"/>
    <w:rsid w:val="582232DD"/>
    <w:rsid w:val="58296419"/>
    <w:rsid w:val="582E57DE"/>
    <w:rsid w:val="58490869"/>
    <w:rsid w:val="584E5E80"/>
    <w:rsid w:val="58501BF8"/>
    <w:rsid w:val="585039A6"/>
    <w:rsid w:val="58580AAD"/>
    <w:rsid w:val="585A65D3"/>
    <w:rsid w:val="58676F42"/>
    <w:rsid w:val="58705DF6"/>
    <w:rsid w:val="58711B6E"/>
    <w:rsid w:val="5875165E"/>
    <w:rsid w:val="587578B0"/>
    <w:rsid w:val="587651AC"/>
    <w:rsid w:val="587753D7"/>
    <w:rsid w:val="587D1F7A"/>
    <w:rsid w:val="5886561A"/>
    <w:rsid w:val="588C0756"/>
    <w:rsid w:val="589046EA"/>
    <w:rsid w:val="58906498"/>
    <w:rsid w:val="589715D5"/>
    <w:rsid w:val="5898534D"/>
    <w:rsid w:val="589A10C5"/>
    <w:rsid w:val="58A3441E"/>
    <w:rsid w:val="58A75590"/>
    <w:rsid w:val="58A80DA5"/>
    <w:rsid w:val="58A86DCE"/>
    <w:rsid w:val="58AD704A"/>
    <w:rsid w:val="58B06B3A"/>
    <w:rsid w:val="58B73A25"/>
    <w:rsid w:val="58BA52C3"/>
    <w:rsid w:val="58BD6B62"/>
    <w:rsid w:val="58BE3005"/>
    <w:rsid w:val="58BF0B2C"/>
    <w:rsid w:val="58C61EBA"/>
    <w:rsid w:val="58CD4FF7"/>
    <w:rsid w:val="58D02D39"/>
    <w:rsid w:val="58DA5965"/>
    <w:rsid w:val="58DF4D2A"/>
    <w:rsid w:val="58DF6CF4"/>
    <w:rsid w:val="58E6255C"/>
    <w:rsid w:val="58EA204C"/>
    <w:rsid w:val="58EB7B73"/>
    <w:rsid w:val="58EF691C"/>
    <w:rsid w:val="58F06F37"/>
    <w:rsid w:val="59011144"/>
    <w:rsid w:val="5904132B"/>
    <w:rsid w:val="59080725"/>
    <w:rsid w:val="590D49E1"/>
    <w:rsid w:val="591470C9"/>
    <w:rsid w:val="59157827"/>
    <w:rsid w:val="5919648E"/>
    <w:rsid w:val="591B2943"/>
    <w:rsid w:val="59205A6E"/>
    <w:rsid w:val="59215342"/>
    <w:rsid w:val="59246BE1"/>
    <w:rsid w:val="592D1F39"/>
    <w:rsid w:val="593C217C"/>
    <w:rsid w:val="593F3A1A"/>
    <w:rsid w:val="594400A5"/>
    <w:rsid w:val="59460EC7"/>
    <w:rsid w:val="59484FC5"/>
    <w:rsid w:val="594D4389"/>
    <w:rsid w:val="59505C28"/>
    <w:rsid w:val="595219A0"/>
    <w:rsid w:val="59527BF2"/>
    <w:rsid w:val="5954396A"/>
    <w:rsid w:val="595B4CF8"/>
    <w:rsid w:val="59613991"/>
    <w:rsid w:val="596811C3"/>
    <w:rsid w:val="596A0A97"/>
    <w:rsid w:val="597B0EF6"/>
    <w:rsid w:val="597D0AC6"/>
    <w:rsid w:val="597E2795"/>
    <w:rsid w:val="5980475F"/>
    <w:rsid w:val="59837DAB"/>
    <w:rsid w:val="598558D1"/>
    <w:rsid w:val="59861649"/>
    <w:rsid w:val="59883613"/>
    <w:rsid w:val="598A113A"/>
    <w:rsid w:val="598A2EE8"/>
    <w:rsid w:val="598B3EF7"/>
    <w:rsid w:val="59981AA8"/>
    <w:rsid w:val="599C2C1B"/>
    <w:rsid w:val="59A33FA9"/>
    <w:rsid w:val="59A55F73"/>
    <w:rsid w:val="59A65848"/>
    <w:rsid w:val="59A87812"/>
    <w:rsid w:val="59AC5554"/>
    <w:rsid w:val="59B44408"/>
    <w:rsid w:val="59B91A1F"/>
    <w:rsid w:val="59C26B25"/>
    <w:rsid w:val="59C4738F"/>
    <w:rsid w:val="59C7413C"/>
    <w:rsid w:val="59C90F05"/>
    <w:rsid w:val="59CC1752"/>
    <w:rsid w:val="59CD7278"/>
    <w:rsid w:val="59DB7BE7"/>
    <w:rsid w:val="59E3084A"/>
    <w:rsid w:val="59EE16C8"/>
    <w:rsid w:val="59F111B9"/>
    <w:rsid w:val="59F44805"/>
    <w:rsid w:val="59FF38D6"/>
    <w:rsid w:val="5A0A04CC"/>
    <w:rsid w:val="5A0E58C7"/>
    <w:rsid w:val="5A113609"/>
    <w:rsid w:val="5A13112F"/>
    <w:rsid w:val="5A132EDD"/>
    <w:rsid w:val="5A146C55"/>
    <w:rsid w:val="5A1924BD"/>
    <w:rsid w:val="5A274BDA"/>
    <w:rsid w:val="5A2C21F1"/>
    <w:rsid w:val="5A33532D"/>
    <w:rsid w:val="5A3612C1"/>
    <w:rsid w:val="5A44578C"/>
    <w:rsid w:val="5A461504"/>
    <w:rsid w:val="5A577EFE"/>
    <w:rsid w:val="5A643739"/>
    <w:rsid w:val="5A655703"/>
    <w:rsid w:val="5A673229"/>
    <w:rsid w:val="5A6C6A91"/>
    <w:rsid w:val="5A737E20"/>
    <w:rsid w:val="5A7D47FA"/>
    <w:rsid w:val="5A897643"/>
    <w:rsid w:val="5A8A39A1"/>
    <w:rsid w:val="5A8B5169"/>
    <w:rsid w:val="5A8D6ABD"/>
    <w:rsid w:val="5A932270"/>
    <w:rsid w:val="5A9410D3"/>
    <w:rsid w:val="5A962656"/>
    <w:rsid w:val="5A987886"/>
    <w:rsid w:val="5A9A1850"/>
    <w:rsid w:val="5A9F29C3"/>
    <w:rsid w:val="5A9F6E67"/>
    <w:rsid w:val="5AA24261"/>
    <w:rsid w:val="5AA955EF"/>
    <w:rsid w:val="5AAC3332"/>
    <w:rsid w:val="5AAE2C06"/>
    <w:rsid w:val="5AB04BD0"/>
    <w:rsid w:val="5AB23A35"/>
    <w:rsid w:val="5ABC3575"/>
    <w:rsid w:val="5ABE7745"/>
    <w:rsid w:val="5AC16DDD"/>
    <w:rsid w:val="5AC468CD"/>
    <w:rsid w:val="5ACD5F9A"/>
    <w:rsid w:val="5AD00DCE"/>
    <w:rsid w:val="5AD54636"/>
    <w:rsid w:val="5AE2054A"/>
    <w:rsid w:val="5AE40D1D"/>
    <w:rsid w:val="5AEE74A6"/>
    <w:rsid w:val="5AF05812"/>
    <w:rsid w:val="5AF30F60"/>
    <w:rsid w:val="5AF413B3"/>
    <w:rsid w:val="5B0867BA"/>
    <w:rsid w:val="5B0D2022"/>
    <w:rsid w:val="5B0E7B48"/>
    <w:rsid w:val="5B152C85"/>
    <w:rsid w:val="5B184523"/>
    <w:rsid w:val="5B1E5FDD"/>
    <w:rsid w:val="5B215ACE"/>
    <w:rsid w:val="5B24111A"/>
    <w:rsid w:val="5B266C40"/>
    <w:rsid w:val="5B2763A7"/>
    <w:rsid w:val="5B2B24A8"/>
    <w:rsid w:val="5B3475AF"/>
    <w:rsid w:val="5B3A6B8F"/>
    <w:rsid w:val="5B3E21DC"/>
    <w:rsid w:val="5B413A7A"/>
    <w:rsid w:val="5B44356A"/>
    <w:rsid w:val="5B4812AC"/>
    <w:rsid w:val="5B48305A"/>
    <w:rsid w:val="5B4F43E9"/>
    <w:rsid w:val="5B4F7AA0"/>
    <w:rsid w:val="5B525C87"/>
    <w:rsid w:val="5B5B0FE0"/>
    <w:rsid w:val="5B5E141D"/>
    <w:rsid w:val="5B5E287E"/>
    <w:rsid w:val="5B6065F6"/>
    <w:rsid w:val="5B624478"/>
    <w:rsid w:val="5B6836FC"/>
    <w:rsid w:val="5B694D7F"/>
    <w:rsid w:val="5B7025B1"/>
    <w:rsid w:val="5B7756EE"/>
    <w:rsid w:val="5B791466"/>
    <w:rsid w:val="5B7B3430"/>
    <w:rsid w:val="5B7B51DE"/>
    <w:rsid w:val="5B7B562E"/>
    <w:rsid w:val="5B7F07B6"/>
    <w:rsid w:val="5B8027F4"/>
    <w:rsid w:val="5B807B3A"/>
    <w:rsid w:val="5B8338EA"/>
    <w:rsid w:val="5B8816A9"/>
    <w:rsid w:val="5B8D0304"/>
    <w:rsid w:val="5B8D3163"/>
    <w:rsid w:val="5B8F2A37"/>
    <w:rsid w:val="5B8F47E5"/>
    <w:rsid w:val="5B9242D5"/>
    <w:rsid w:val="5BA9508B"/>
    <w:rsid w:val="5BAA1242"/>
    <w:rsid w:val="5BAA161F"/>
    <w:rsid w:val="5BB029AE"/>
    <w:rsid w:val="5BB565A4"/>
    <w:rsid w:val="5BB83CAD"/>
    <w:rsid w:val="5BB97AB4"/>
    <w:rsid w:val="5BBF6131"/>
    <w:rsid w:val="5BC546AB"/>
    <w:rsid w:val="5BCC3C8B"/>
    <w:rsid w:val="5BCC5A39"/>
    <w:rsid w:val="5BCD17B1"/>
    <w:rsid w:val="5BDB628D"/>
    <w:rsid w:val="5BDC37A3"/>
    <w:rsid w:val="5BDD7C46"/>
    <w:rsid w:val="5BDE751B"/>
    <w:rsid w:val="5BE06AA9"/>
    <w:rsid w:val="5BE30FD5"/>
    <w:rsid w:val="5BEA2363"/>
    <w:rsid w:val="5BEF34D6"/>
    <w:rsid w:val="5BFE5E0F"/>
    <w:rsid w:val="5C0056E3"/>
    <w:rsid w:val="5C024D80"/>
    <w:rsid w:val="5C050F4B"/>
    <w:rsid w:val="5C07081F"/>
    <w:rsid w:val="5C0A0310"/>
    <w:rsid w:val="5C11169E"/>
    <w:rsid w:val="5C1178F0"/>
    <w:rsid w:val="5C122D7E"/>
    <w:rsid w:val="5C14118E"/>
    <w:rsid w:val="5C142F3C"/>
    <w:rsid w:val="5C155EAE"/>
    <w:rsid w:val="5C180C7F"/>
    <w:rsid w:val="5C190553"/>
    <w:rsid w:val="5C1E200D"/>
    <w:rsid w:val="5C1F4E24"/>
    <w:rsid w:val="5C2515ED"/>
    <w:rsid w:val="5C2D3FFE"/>
    <w:rsid w:val="5C337866"/>
    <w:rsid w:val="5C34538D"/>
    <w:rsid w:val="5C3914B8"/>
    <w:rsid w:val="5C403D31"/>
    <w:rsid w:val="5C447CC6"/>
    <w:rsid w:val="5C471564"/>
    <w:rsid w:val="5C4B23D6"/>
    <w:rsid w:val="5C4E46A0"/>
    <w:rsid w:val="5C4F0418"/>
    <w:rsid w:val="5C5422EA"/>
    <w:rsid w:val="5C58107B"/>
    <w:rsid w:val="5C5F065B"/>
    <w:rsid w:val="5C653798"/>
    <w:rsid w:val="5C6914DA"/>
    <w:rsid w:val="5C6C4B26"/>
    <w:rsid w:val="5C6D68F5"/>
    <w:rsid w:val="5C6E6AF1"/>
    <w:rsid w:val="5C70754A"/>
    <w:rsid w:val="5C7240A9"/>
    <w:rsid w:val="5C732359"/>
    <w:rsid w:val="5C763BF7"/>
    <w:rsid w:val="5C8207EE"/>
    <w:rsid w:val="5C826389"/>
    <w:rsid w:val="5C85755D"/>
    <w:rsid w:val="5C877BB2"/>
    <w:rsid w:val="5C89392A"/>
    <w:rsid w:val="5C8A31FF"/>
    <w:rsid w:val="5C8B1969"/>
    <w:rsid w:val="5C8E2CEF"/>
    <w:rsid w:val="5C9108EC"/>
    <w:rsid w:val="5C930305"/>
    <w:rsid w:val="5C9A1694"/>
    <w:rsid w:val="5C9D1184"/>
    <w:rsid w:val="5CA72002"/>
    <w:rsid w:val="5CA93FCD"/>
    <w:rsid w:val="5CAD1AE4"/>
    <w:rsid w:val="5CB63FF4"/>
    <w:rsid w:val="5CBD35D4"/>
    <w:rsid w:val="5CC22998"/>
    <w:rsid w:val="5CCB475A"/>
    <w:rsid w:val="5CCB5CF1"/>
    <w:rsid w:val="5CCE366A"/>
    <w:rsid w:val="5CDA23D8"/>
    <w:rsid w:val="5CE62B2B"/>
    <w:rsid w:val="5CE975D4"/>
    <w:rsid w:val="5CED210B"/>
    <w:rsid w:val="5CF05758"/>
    <w:rsid w:val="5CF30D95"/>
    <w:rsid w:val="5CF3349A"/>
    <w:rsid w:val="5CF36FF6"/>
    <w:rsid w:val="5CF457F4"/>
    <w:rsid w:val="5CFC40FC"/>
    <w:rsid w:val="5D041203"/>
    <w:rsid w:val="5D042FB1"/>
    <w:rsid w:val="5D0448EB"/>
    <w:rsid w:val="5D072AA1"/>
    <w:rsid w:val="5D096819"/>
    <w:rsid w:val="5D0E5BDE"/>
    <w:rsid w:val="5D172CE4"/>
    <w:rsid w:val="5D1A01F2"/>
    <w:rsid w:val="5D1F7DEB"/>
    <w:rsid w:val="5D26561D"/>
    <w:rsid w:val="5D292A17"/>
    <w:rsid w:val="5D2B2C34"/>
    <w:rsid w:val="5D2E6280"/>
    <w:rsid w:val="5D331AE8"/>
    <w:rsid w:val="5D3715D8"/>
    <w:rsid w:val="5D3C099D"/>
    <w:rsid w:val="5D414205"/>
    <w:rsid w:val="5D447851"/>
    <w:rsid w:val="5D4B0BE0"/>
    <w:rsid w:val="5D4D4958"/>
    <w:rsid w:val="5D5061F6"/>
    <w:rsid w:val="5D5201C0"/>
    <w:rsid w:val="5D534182"/>
    <w:rsid w:val="5D535CE6"/>
    <w:rsid w:val="5D5E6B65"/>
    <w:rsid w:val="5D5F02DF"/>
    <w:rsid w:val="5D663C6C"/>
    <w:rsid w:val="5D6677C8"/>
    <w:rsid w:val="5D693C48"/>
    <w:rsid w:val="5D706898"/>
    <w:rsid w:val="5D7647EC"/>
    <w:rsid w:val="5D7874FB"/>
    <w:rsid w:val="5D7A1F6F"/>
    <w:rsid w:val="5D861C18"/>
    <w:rsid w:val="5D880594"/>
    <w:rsid w:val="5D9735B1"/>
    <w:rsid w:val="5D99194B"/>
    <w:rsid w:val="5D995DEF"/>
    <w:rsid w:val="5D9C768D"/>
    <w:rsid w:val="5DA201A9"/>
    <w:rsid w:val="5DA30A1C"/>
    <w:rsid w:val="5DA622BA"/>
    <w:rsid w:val="5DA87DE0"/>
    <w:rsid w:val="5DAA0534"/>
    <w:rsid w:val="5DAF73C1"/>
    <w:rsid w:val="5DB42C29"/>
    <w:rsid w:val="5DBA1FF8"/>
    <w:rsid w:val="5DC664B8"/>
    <w:rsid w:val="5DC80482"/>
    <w:rsid w:val="5DCB3ACF"/>
    <w:rsid w:val="5DCD6217"/>
    <w:rsid w:val="5DD21301"/>
    <w:rsid w:val="5DD26099"/>
    <w:rsid w:val="5DD63EE7"/>
    <w:rsid w:val="5DD76917"/>
    <w:rsid w:val="5DDA0082"/>
    <w:rsid w:val="5DE0757A"/>
    <w:rsid w:val="5DE828D3"/>
    <w:rsid w:val="5DEB5F1F"/>
    <w:rsid w:val="5DEE35FE"/>
    <w:rsid w:val="5DFD637E"/>
    <w:rsid w:val="5E023994"/>
    <w:rsid w:val="5E057A41"/>
    <w:rsid w:val="5E1C257C"/>
    <w:rsid w:val="5E1D3725"/>
    <w:rsid w:val="5E203754"/>
    <w:rsid w:val="5E225DE5"/>
    <w:rsid w:val="5E27164D"/>
    <w:rsid w:val="5E2D4789"/>
    <w:rsid w:val="5E2D6537"/>
    <w:rsid w:val="5E2F0501"/>
    <w:rsid w:val="5E36363E"/>
    <w:rsid w:val="5E37668B"/>
    <w:rsid w:val="5E3B6EA6"/>
    <w:rsid w:val="5E3D49CC"/>
    <w:rsid w:val="5E443FAD"/>
    <w:rsid w:val="5E483371"/>
    <w:rsid w:val="5E4F2952"/>
    <w:rsid w:val="5E541D16"/>
    <w:rsid w:val="5E5E2B95"/>
    <w:rsid w:val="5E602490"/>
    <w:rsid w:val="5E6463FD"/>
    <w:rsid w:val="5E652175"/>
    <w:rsid w:val="5E655CD1"/>
    <w:rsid w:val="5E68756F"/>
    <w:rsid w:val="5E693A13"/>
    <w:rsid w:val="5E6C52B2"/>
    <w:rsid w:val="5E7128C8"/>
    <w:rsid w:val="5E767EDE"/>
    <w:rsid w:val="5E99247E"/>
    <w:rsid w:val="5E9A1E1F"/>
    <w:rsid w:val="5E9C51FA"/>
    <w:rsid w:val="5EA44A4C"/>
    <w:rsid w:val="5EA52572"/>
    <w:rsid w:val="5EA762EA"/>
    <w:rsid w:val="5EB36A3D"/>
    <w:rsid w:val="5EB822A5"/>
    <w:rsid w:val="5EBE53E1"/>
    <w:rsid w:val="5EC23124"/>
    <w:rsid w:val="5EC42D73"/>
    <w:rsid w:val="5ED13367"/>
    <w:rsid w:val="5ED54C05"/>
    <w:rsid w:val="5ED54C52"/>
    <w:rsid w:val="5EDA221B"/>
    <w:rsid w:val="5EDA35A0"/>
    <w:rsid w:val="5EDB41E5"/>
    <w:rsid w:val="5EE50BC0"/>
    <w:rsid w:val="5EEA5F89"/>
    <w:rsid w:val="5EF332DD"/>
    <w:rsid w:val="5EFD0600"/>
    <w:rsid w:val="5EFF6126"/>
    <w:rsid w:val="5F0B0627"/>
    <w:rsid w:val="5F117C07"/>
    <w:rsid w:val="5F1425C0"/>
    <w:rsid w:val="5F1576F7"/>
    <w:rsid w:val="5F1C6CD8"/>
    <w:rsid w:val="5F2711D9"/>
    <w:rsid w:val="5F2931A3"/>
    <w:rsid w:val="5F2A2BC6"/>
    <w:rsid w:val="5F322057"/>
    <w:rsid w:val="5F3C4C84"/>
    <w:rsid w:val="5F3F29C6"/>
    <w:rsid w:val="5F3F2F83"/>
    <w:rsid w:val="5F4104EC"/>
    <w:rsid w:val="5F5024DD"/>
    <w:rsid w:val="5F593A88"/>
    <w:rsid w:val="5F5C70D4"/>
    <w:rsid w:val="5F6441DB"/>
    <w:rsid w:val="5F683CCB"/>
    <w:rsid w:val="5F6D7533"/>
    <w:rsid w:val="5F7206A6"/>
    <w:rsid w:val="5F7A1C50"/>
    <w:rsid w:val="5F7D704B"/>
    <w:rsid w:val="5F7F7267"/>
    <w:rsid w:val="5F812FDF"/>
    <w:rsid w:val="5F84662B"/>
    <w:rsid w:val="5F851E4E"/>
    <w:rsid w:val="5F8605F5"/>
    <w:rsid w:val="5F92436A"/>
    <w:rsid w:val="5F93061C"/>
    <w:rsid w:val="5F97010C"/>
    <w:rsid w:val="5F993E84"/>
    <w:rsid w:val="5F9E593F"/>
    <w:rsid w:val="5FAB1E0A"/>
    <w:rsid w:val="5FB24F46"/>
    <w:rsid w:val="5FB567E4"/>
    <w:rsid w:val="5FB92779"/>
    <w:rsid w:val="5FBE38EB"/>
    <w:rsid w:val="5FC829BC"/>
    <w:rsid w:val="5FCC24AC"/>
    <w:rsid w:val="5FCF3D4A"/>
    <w:rsid w:val="5FCF5AF8"/>
    <w:rsid w:val="5FD27396"/>
    <w:rsid w:val="5FD50C35"/>
    <w:rsid w:val="5FD84D29"/>
    <w:rsid w:val="5FDE21DF"/>
    <w:rsid w:val="5FE377F5"/>
    <w:rsid w:val="5FE64BF0"/>
    <w:rsid w:val="5FEF1CF6"/>
    <w:rsid w:val="5FF4555F"/>
    <w:rsid w:val="60002155"/>
    <w:rsid w:val="6005151A"/>
    <w:rsid w:val="60067040"/>
    <w:rsid w:val="6008725C"/>
    <w:rsid w:val="600D4872"/>
    <w:rsid w:val="60161979"/>
    <w:rsid w:val="6021540A"/>
    <w:rsid w:val="603040BD"/>
    <w:rsid w:val="60365B77"/>
    <w:rsid w:val="603911C4"/>
    <w:rsid w:val="603A7B0B"/>
    <w:rsid w:val="603C0CB4"/>
    <w:rsid w:val="604638E0"/>
    <w:rsid w:val="604A517F"/>
    <w:rsid w:val="604E66F0"/>
    <w:rsid w:val="60563B24"/>
    <w:rsid w:val="60591866"/>
    <w:rsid w:val="605E185A"/>
    <w:rsid w:val="60600E46"/>
    <w:rsid w:val="606049A2"/>
    <w:rsid w:val="60693F87"/>
    <w:rsid w:val="606F6C7A"/>
    <w:rsid w:val="60714E01"/>
    <w:rsid w:val="60762418"/>
    <w:rsid w:val="60771CEC"/>
    <w:rsid w:val="60793CB6"/>
    <w:rsid w:val="607D5899"/>
    <w:rsid w:val="608A1A1F"/>
    <w:rsid w:val="608F7035"/>
    <w:rsid w:val="60912DAE"/>
    <w:rsid w:val="609D7126"/>
    <w:rsid w:val="609D79A4"/>
    <w:rsid w:val="60A26D69"/>
    <w:rsid w:val="60B116A2"/>
    <w:rsid w:val="60BB607C"/>
    <w:rsid w:val="60C346C6"/>
    <w:rsid w:val="60C34F31"/>
    <w:rsid w:val="60C5514D"/>
    <w:rsid w:val="60C73328"/>
    <w:rsid w:val="60C969EB"/>
    <w:rsid w:val="60CE5DB0"/>
    <w:rsid w:val="60CE7B5E"/>
    <w:rsid w:val="60D13AF2"/>
    <w:rsid w:val="60D158A0"/>
    <w:rsid w:val="60D64C64"/>
    <w:rsid w:val="60DD5FF3"/>
    <w:rsid w:val="60E05AE3"/>
    <w:rsid w:val="60E07891"/>
    <w:rsid w:val="60E23609"/>
    <w:rsid w:val="60E70C20"/>
    <w:rsid w:val="60EC4488"/>
    <w:rsid w:val="60F15F42"/>
    <w:rsid w:val="60F261AA"/>
    <w:rsid w:val="60F577E0"/>
    <w:rsid w:val="60F668A1"/>
    <w:rsid w:val="60F8107F"/>
    <w:rsid w:val="60F872D1"/>
    <w:rsid w:val="61025A59"/>
    <w:rsid w:val="61045C75"/>
    <w:rsid w:val="610C0686"/>
    <w:rsid w:val="610F0176"/>
    <w:rsid w:val="611134A9"/>
    <w:rsid w:val="61135EB8"/>
    <w:rsid w:val="61141727"/>
    <w:rsid w:val="61151C31"/>
    <w:rsid w:val="611C35F3"/>
    <w:rsid w:val="61251748"/>
    <w:rsid w:val="61334FED"/>
    <w:rsid w:val="61355E2F"/>
    <w:rsid w:val="6138147B"/>
    <w:rsid w:val="613A51F3"/>
    <w:rsid w:val="613E75F5"/>
    <w:rsid w:val="614B7400"/>
    <w:rsid w:val="614C3178"/>
    <w:rsid w:val="614C4E22"/>
    <w:rsid w:val="614D13CA"/>
    <w:rsid w:val="6151078F"/>
    <w:rsid w:val="6155027F"/>
    <w:rsid w:val="615A7643"/>
    <w:rsid w:val="61665FE8"/>
    <w:rsid w:val="616C7377"/>
    <w:rsid w:val="61706E67"/>
    <w:rsid w:val="61730705"/>
    <w:rsid w:val="61734BA9"/>
    <w:rsid w:val="61736957"/>
    <w:rsid w:val="61794D15"/>
    <w:rsid w:val="617C43C3"/>
    <w:rsid w:val="617D3332"/>
    <w:rsid w:val="617F52FC"/>
    <w:rsid w:val="618446C0"/>
    <w:rsid w:val="61897F29"/>
    <w:rsid w:val="618F19E3"/>
    <w:rsid w:val="61907509"/>
    <w:rsid w:val="61970898"/>
    <w:rsid w:val="6198016C"/>
    <w:rsid w:val="61A11716"/>
    <w:rsid w:val="61A62D6C"/>
    <w:rsid w:val="61A82AA5"/>
    <w:rsid w:val="61A92379"/>
    <w:rsid w:val="61B03707"/>
    <w:rsid w:val="61C823B8"/>
    <w:rsid w:val="61C96577"/>
    <w:rsid w:val="61CB6793"/>
    <w:rsid w:val="61CD6067"/>
    <w:rsid w:val="61D41829"/>
    <w:rsid w:val="61D92C5E"/>
    <w:rsid w:val="61DA0784"/>
    <w:rsid w:val="61E82EA1"/>
    <w:rsid w:val="61EA6C19"/>
    <w:rsid w:val="61ED04B8"/>
    <w:rsid w:val="61ED495B"/>
    <w:rsid w:val="61F061FA"/>
    <w:rsid w:val="61F21F72"/>
    <w:rsid w:val="61F50987"/>
    <w:rsid w:val="61F730E4"/>
    <w:rsid w:val="61FA2BD4"/>
    <w:rsid w:val="61FC06FB"/>
    <w:rsid w:val="61FE26C5"/>
    <w:rsid w:val="62015D11"/>
    <w:rsid w:val="62053A53"/>
    <w:rsid w:val="6208709F"/>
    <w:rsid w:val="620A1069"/>
    <w:rsid w:val="620D2908"/>
    <w:rsid w:val="620F48D2"/>
    <w:rsid w:val="621912AD"/>
    <w:rsid w:val="621A5025"/>
    <w:rsid w:val="6223212B"/>
    <w:rsid w:val="622F0AD0"/>
    <w:rsid w:val="623954AB"/>
    <w:rsid w:val="623C31ED"/>
    <w:rsid w:val="623F6839"/>
    <w:rsid w:val="62436329"/>
    <w:rsid w:val="624460E0"/>
    <w:rsid w:val="62465E1A"/>
    <w:rsid w:val="62483940"/>
    <w:rsid w:val="624A590A"/>
    <w:rsid w:val="624C1682"/>
    <w:rsid w:val="624C462A"/>
    <w:rsid w:val="6256605D"/>
    <w:rsid w:val="62593D9F"/>
    <w:rsid w:val="625B3673"/>
    <w:rsid w:val="625C73EB"/>
    <w:rsid w:val="625E1FC6"/>
    <w:rsid w:val="6260512D"/>
    <w:rsid w:val="626369CC"/>
    <w:rsid w:val="62662018"/>
    <w:rsid w:val="627961EF"/>
    <w:rsid w:val="628949F0"/>
    <w:rsid w:val="628D3A49"/>
    <w:rsid w:val="628F77C1"/>
    <w:rsid w:val="62922E0D"/>
    <w:rsid w:val="62942C9F"/>
    <w:rsid w:val="629628FD"/>
    <w:rsid w:val="62A0552A"/>
    <w:rsid w:val="62A274F4"/>
    <w:rsid w:val="62A71D4A"/>
    <w:rsid w:val="62A74B0A"/>
    <w:rsid w:val="62AC2121"/>
    <w:rsid w:val="62AF1C11"/>
    <w:rsid w:val="62B15989"/>
    <w:rsid w:val="62B47227"/>
    <w:rsid w:val="62B611F1"/>
    <w:rsid w:val="62B62F9F"/>
    <w:rsid w:val="62BE1E54"/>
    <w:rsid w:val="62BE3C02"/>
    <w:rsid w:val="62C0797A"/>
    <w:rsid w:val="62C90F25"/>
    <w:rsid w:val="62CF2FBC"/>
    <w:rsid w:val="62CF4061"/>
    <w:rsid w:val="62D90A3C"/>
    <w:rsid w:val="62DD677E"/>
    <w:rsid w:val="62E0626E"/>
    <w:rsid w:val="62EA2C49"/>
    <w:rsid w:val="62EF5F55"/>
    <w:rsid w:val="62FC79CB"/>
    <w:rsid w:val="62FE04A2"/>
    <w:rsid w:val="62FF2765"/>
    <w:rsid w:val="630048F7"/>
    <w:rsid w:val="63116428"/>
    <w:rsid w:val="631303F2"/>
    <w:rsid w:val="631D4DCC"/>
    <w:rsid w:val="631F0B45"/>
    <w:rsid w:val="63215DB8"/>
    <w:rsid w:val="6324615B"/>
    <w:rsid w:val="632757F0"/>
    <w:rsid w:val="632A1297"/>
    <w:rsid w:val="632C14B3"/>
    <w:rsid w:val="633345F0"/>
    <w:rsid w:val="633D0FCB"/>
    <w:rsid w:val="633F4D43"/>
    <w:rsid w:val="63402869"/>
    <w:rsid w:val="63415B9D"/>
    <w:rsid w:val="63432518"/>
    <w:rsid w:val="634405AB"/>
    <w:rsid w:val="63442359"/>
    <w:rsid w:val="634560D1"/>
    <w:rsid w:val="6357103F"/>
    <w:rsid w:val="635B76A3"/>
    <w:rsid w:val="636429FB"/>
    <w:rsid w:val="636C18B0"/>
    <w:rsid w:val="636D5D54"/>
    <w:rsid w:val="636F7DBB"/>
    <w:rsid w:val="63713082"/>
    <w:rsid w:val="637D586B"/>
    <w:rsid w:val="63827325"/>
    <w:rsid w:val="6384067A"/>
    <w:rsid w:val="63864D22"/>
    <w:rsid w:val="63870498"/>
    <w:rsid w:val="638C3D00"/>
    <w:rsid w:val="63952BB5"/>
    <w:rsid w:val="63A1155A"/>
    <w:rsid w:val="63A728E8"/>
    <w:rsid w:val="63A948B2"/>
    <w:rsid w:val="63AB687C"/>
    <w:rsid w:val="63B3128D"/>
    <w:rsid w:val="63B40502"/>
    <w:rsid w:val="63B55005"/>
    <w:rsid w:val="63B77B8E"/>
    <w:rsid w:val="63BA6ABF"/>
    <w:rsid w:val="63BC45E5"/>
    <w:rsid w:val="63BD3EBA"/>
    <w:rsid w:val="63BF40D6"/>
    <w:rsid w:val="63C22ADE"/>
    <w:rsid w:val="63E91153"/>
    <w:rsid w:val="63E92F01"/>
    <w:rsid w:val="63F20007"/>
    <w:rsid w:val="63F43D7F"/>
    <w:rsid w:val="63FA510E"/>
    <w:rsid w:val="64032214"/>
    <w:rsid w:val="64033FC2"/>
    <w:rsid w:val="640D4E41"/>
    <w:rsid w:val="64144421"/>
    <w:rsid w:val="64175CC0"/>
    <w:rsid w:val="641C32D6"/>
    <w:rsid w:val="641E0DFC"/>
    <w:rsid w:val="642A59F3"/>
    <w:rsid w:val="64300B2F"/>
    <w:rsid w:val="64322AF9"/>
    <w:rsid w:val="64354398"/>
    <w:rsid w:val="64373C6C"/>
    <w:rsid w:val="64393E88"/>
    <w:rsid w:val="643B19AE"/>
    <w:rsid w:val="645079A9"/>
    <w:rsid w:val="645B3DFE"/>
    <w:rsid w:val="645F2AA0"/>
    <w:rsid w:val="645F6B22"/>
    <w:rsid w:val="64630F05"/>
    <w:rsid w:val="64634A61"/>
    <w:rsid w:val="646475B1"/>
    <w:rsid w:val="646E3234"/>
    <w:rsid w:val="647C5B23"/>
    <w:rsid w:val="647F342B"/>
    <w:rsid w:val="64852C29"/>
    <w:rsid w:val="64882719"/>
    <w:rsid w:val="64884B62"/>
    <w:rsid w:val="648A4EA0"/>
    <w:rsid w:val="648C045C"/>
    <w:rsid w:val="648C220A"/>
    <w:rsid w:val="64966BE4"/>
    <w:rsid w:val="64A15589"/>
    <w:rsid w:val="64A5151D"/>
    <w:rsid w:val="64A62BA0"/>
    <w:rsid w:val="64AC70A5"/>
    <w:rsid w:val="64B33C3A"/>
    <w:rsid w:val="64B4350F"/>
    <w:rsid w:val="64B654D9"/>
    <w:rsid w:val="64BE130D"/>
    <w:rsid w:val="64C03C61"/>
    <w:rsid w:val="64C5571C"/>
    <w:rsid w:val="64C86FBA"/>
    <w:rsid w:val="64D140C0"/>
    <w:rsid w:val="64D73325"/>
    <w:rsid w:val="64DB1D80"/>
    <w:rsid w:val="64DD4813"/>
    <w:rsid w:val="64DE67DD"/>
    <w:rsid w:val="64DF64A1"/>
    <w:rsid w:val="64E75692"/>
    <w:rsid w:val="64EC2CA8"/>
    <w:rsid w:val="64F82F1D"/>
    <w:rsid w:val="64F8789F"/>
    <w:rsid w:val="64F97173"/>
    <w:rsid w:val="650A4AEB"/>
    <w:rsid w:val="650E19BD"/>
    <w:rsid w:val="650E70C3"/>
    <w:rsid w:val="65130235"/>
    <w:rsid w:val="65150451"/>
    <w:rsid w:val="65167D25"/>
    <w:rsid w:val="65181CEF"/>
    <w:rsid w:val="652266CA"/>
    <w:rsid w:val="65271F32"/>
    <w:rsid w:val="65297A59"/>
    <w:rsid w:val="652C12F7"/>
    <w:rsid w:val="653004DD"/>
    <w:rsid w:val="653603C7"/>
    <w:rsid w:val="653E2AE1"/>
    <w:rsid w:val="6546685C"/>
    <w:rsid w:val="654900FB"/>
    <w:rsid w:val="65510D5D"/>
    <w:rsid w:val="65515201"/>
    <w:rsid w:val="65567511"/>
    <w:rsid w:val="655A40B6"/>
    <w:rsid w:val="655B5C3A"/>
    <w:rsid w:val="655B6B85"/>
    <w:rsid w:val="655D0948"/>
    <w:rsid w:val="655F347A"/>
    <w:rsid w:val="65640A91"/>
    <w:rsid w:val="65660CAD"/>
    <w:rsid w:val="656B62C3"/>
    <w:rsid w:val="656C203B"/>
    <w:rsid w:val="65736F26"/>
    <w:rsid w:val="65757142"/>
    <w:rsid w:val="657A6506"/>
    <w:rsid w:val="657F58CB"/>
    <w:rsid w:val="658729D1"/>
    <w:rsid w:val="65877335"/>
    <w:rsid w:val="6589499B"/>
    <w:rsid w:val="658E3D60"/>
    <w:rsid w:val="65907AD8"/>
    <w:rsid w:val="6598698C"/>
    <w:rsid w:val="659D21F5"/>
    <w:rsid w:val="659F5F6D"/>
    <w:rsid w:val="65A76BCF"/>
    <w:rsid w:val="65AD780B"/>
    <w:rsid w:val="65B03CD6"/>
    <w:rsid w:val="65B512EC"/>
    <w:rsid w:val="65B763A9"/>
    <w:rsid w:val="65B80DDC"/>
    <w:rsid w:val="65B8702E"/>
    <w:rsid w:val="65BA4B55"/>
    <w:rsid w:val="65BD2897"/>
    <w:rsid w:val="65CD2ADA"/>
    <w:rsid w:val="65CE0600"/>
    <w:rsid w:val="65D71C0B"/>
    <w:rsid w:val="65DA6FA5"/>
    <w:rsid w:val="65E41BD1"/>
    <w:rsid w:val="65E46075"/>
    <w:rsid w:val="65E676F8"/>
    <w:rsid w:val="65E9368C"/>
    <w:rsid w:val="65ED4F2A"/>
    <w:rsid w:val="65F04D80"/>
    <w:rsid w:val="65FA7647"/>
    <w:rsid w:val="66083B12"/>
    <w:rsid w:val="660B3602"/>
    <w:rsid w:val="660F30F2"/>
    <w:rsid w:val="661029C7"/>
    <w:rsid w:val="66171FA7"/>
    <w:rsid w:val="6618187B"/>
    <w:rsid w:val="661C4D25"/>
    <w:rsid w:val="662326FA"/>
    <w:rsid w:val="66240220"/>
    <w:rsid w:val="662841B4"/>
    <w:rsid w:val="66287D10"/>
    <w:rsid w:val="662A7F2C"/>
    <w:rsid w:val="662B15AE"/>
    <w:rsid w:val="662D3578"/>
    <w:rsid w:val="662E0238"/>
    <w:rsid w:val="662F5543"/>
    <w:rsid w:val="66320B8F"/>
    <w:rsid w:val="663568D1"/>
    <w:rsid w:val="663669CA"/>
    <w:rsid w:val="663743F7"/>
    <w:rsid w:val="663D66D2"/>
    <w:rsid w:val="663F505A"/>
    <w:rsid w:val="66417024"/>
    <w:rsid w:val="66430FEE"/>
    <w:rsid w:val="664E34EF"/>
    <w:rsid w:val="665C20B0"/>
    <w:rsid w:val="665E7BD6"/>
    <w:rsid w:val="665F56FC"/>
    <w:rsid w:val="66660838"/>
    <w:rsid w:val="666E595E"/>
    <w:rsid w:val="66723681"/>
    <w:rsid w:val="6672542F"/>
    <w:rsid w:val="66763171"/>
    <w:rsid w:val="667733BA"/>
    <w:rsid w:val="667B0788"/>
    <w:rsid w:val="667C005C"/>
    <w:rsid w:val="667F70DE"/>
    <w:rsid w:val="668313EA"/>
    <w:rsid w:val="66860EDB"/>
    <w:rsid w:val="66882EA5"/>
    <w:rsid w:val="668A367F"/>
    <w:rsid w:val="668F5FE1"/>
    <w:rsid w:val="668F7750"/>
    <w:rsid w:val="668F7D8F"/>
    <w:rsid w:val="6692162D"/>
    <w:rsid w:val="66925AD1"/>
    <w:rsid w:val="66967370"/>
    <w:rsid w:val="66A01F9C"/>
    <w:rsid w:val="66A757B2"/>
    <w:rsid w:val="66A866E1"/>
    <w:rsid w:val="66AA4BC9"/>
    <w:rsid w:val="66B21CD0"/>
    <w:rsid w:val="66B477F6"/>
    <w:rsid w:val="66B6356E"/>
    <w:rsid w:val="66B9305E"/>
    <w:rsid w:val="66BA7155"/>
    <w:rsid w:val="66C0263F"/>
    <w:rsid w:val="66C739CD"/>
    <w:rsid w:val="66CD6B09"/>
    <w:rsid w:val="66D02156"/>
    <w:rsid w:val="66D32372"/>
    <w:rsid w:val="66D41C46"/>
    <w:rsid w:val="66D71736"/>
    <w:rsid w:val="66E83943"/>
    <w:rsid w:val="66F10A4A"/>
    <w:rsid w:val="66F26570"/>
    <w:rsid w:val="66F422E8"/>
    <w:rsid w:val="66F83B86"/>
    <w:rsid w:val="66F916AD"/>
    <w:rsid w:val="66FB5425"/>
    <w:rsid w:val="66FC2F4B"/>
    <w:rsid w:val="66FD73EF"/>
    <w:rsid w:val="670361B5"/>
    <w:rsid w:val="6707201B"/>
    <w:rsid w:val="67083E2C"/>
    <w:rsid w:val="670A38BA"/>
    <w:rsid w:val="670F0ED0"/>
    <w:rsid w:val="67135CAA"/>
    <w:rsid w:val="67177D85"/>
    <w:rsid w:val="671B7875"/>
    <w:rsid w:val="671D35ED"/>
    <w:rsid w:val="671D539B"/>
    <w:rsid w:val="6723497B"/>
    <w:rsid w:val="67281F92"/>
    <w:rsid w:val="672E75A8"/>
    <w:rsid w:val="67395F4D"/>
    <w:rsid w:val="673E29E9"/>
    <w:rsid w:val="67401089"/>
    <w:rsid w:val="67486190"/>
    <w:rsid w:val="674A1F08"/>
    <w:rsid w:val="674C5C80"/>
    <w:rsid w:val="674F5770"/>
    <w:rsid w:val="67566AFF"/>
    <w:rsid w:val="675863D3"/>
    <w:rsid w:val="675E59B4"/>
    <w:rsid w:val="675F3C06"/>
    <w:rsid w:val="675F58CD"/>
    <w:rsid w:val="6760797E"/>
    <w:rsid w:val="676905E0"/>
    <w:rsid w:val="67713939"/>
    <w:rsid w:val="6773320D"/>
    <w:rsid w:val="67772538"/>
    <w:rsid w:val="67795BDF"/>
    <w:rsid w:val="677B6565"/>
    <w:rsid w:val="677D408C"/>
    <w:rsid w:val="6780592A"/>
    <w:rsid w:val="678C42CF"/>
    <w:rsid w:val="6796514D"/>
    <w:rsid w:val="67966EFB"/>
    <w:rsid w:val="67980EC5"/>
    <w:rsid w:val="67A05FCC"/>
    <w:rsid w:val="67A36D83"/>
    <w:rsid w:val="67A7735B"/>
    <w:rsid w:val="67A84C4E"/>
    <w:rsid w:val="67A930D3"/>
    <w:rsid w:val="67A94E81"/>
    <w:rsid w:val="67B70F1B"/>
    <w:rsid w:val="67B7211E"/>
    <w:rsid w:val="67B850C4"/>
    <w:rsid w:val="67BA0E3C"/>
    <w:rsid w:val="67BB4BB4"/>
    <w:rsid w:val="67BC2E06"/>
    <w:rsid w:val="67BD092C"/>
    <w:rsid w:val="67BF28F6"/>
    <w:rsid w:val="67BF6452"/>
    <w:rsid w:val="67C223E6"/>
    <w:rsid w:val="67C371AA"/>
    <w:rsid w:val="67CA4DF7"/>
    <w:rsid w:val="67CD5013"/>
    <w:rsid w:val="67CE2B39"/>
    <w:rsid w:val="67D31EFE"/>
    <w:rsid w:val="67D619EE"/>
    <w:rsid w:val="67D6379C"/>
    <w:rsid w:val="67DB0F00"/>
    <w:rsid w:val="67E4410B"/>
    <w:rsid w:val="67F2570F"/>
    <w:rsid w:val="67F72090"/>
    <w:rsid w:val="67FA2386"/>
    <w:rsid w:val="67FB4551"/>
    <w:rsid w:val="68040309"/>
    <w:rsid w:val="68064081"/>
    <w:rsid w:val="681349F0"/>
    <w:rsid w:val="6817628E"/>
    <w:rsid w:val="68186E1D"/>
    <w:rsid w:val="681C38A5"/>
    <w:rsid w:val="681D761D"/>
    <w:rsid w:val="68264723"/>
    <w:rsid w:val="68352BB8"/>
    <w:rsid w:val="6836628F"/>
    <w:rsid w:val="683926A8"/>
    <w:rsid w:val="683C3F47"/>
    <w:rsid w:val="683C5CF5"/>
    <w:rsid w:val="683D381B"/>
    <w:rsid w:val="683E7CBF"/>
    <w:rsid w:val="68444BA9"/>
    <w:rsid w:val="684A0885"/>
    <w:rsid w:val="684B23DC"/>
    <w:rsid w:val="6850354E"/>
    <w:rsid w:val="68580655"/>
    <w:rsid w:val="685C6397"/>
    <w:rsid w:val="685E3EBD"/>
    <w:rsid w:val="68660FC4"/>
    <w:rsid w:val="68686AEA"/>
    <w:rsid w:val="686A0AB4"/>
    <w:rsid w:val="6873723D"/>
    <w:rsid w:val="68776D2D"/>
    <w:rsid w:val="6878082B"/>
    <w:rsid w:val="68863414"/>
    <w:rsid w:val="688D6550"/>
    <w:rsid w:val="689773CF"/>
    <w:rsid w:val="689C49E5"/>
    <w:rsid w:val="689C63C4"/>
    <w:rsid w:val="689E42BA"/>
    <w:rsid w:val="689F035A"/>
    <w:rsid w:val="689F7F7E"/>
    <w:rsid w:val="68A613C0"/>
    <w:rsid w:val="68A8338A"/>
    <w:rsid w:val="68AB2E7A"/>
    <w:rsid w:val="68AB4C28"/>
    <w:rsid w:val="68AD6BF3"/>
    <w:rsid w:val="68B24209"/>
    <w:rsid w:val="68B27218"/>
    <w:rsid w:val="68B27D65"/>
    <w:rsid w:val="68B8304A"/>
    <w:rsid w:val="68B91208"/>
    <w:rsid w:val="68BD4776"/>
    <w:rsid w:val="68C25ABF"/>
    <w:rsid w:val="68C53F3C"/>
    <w:rsid w:val="68CD2DF1"/>
    <w:rsid w:val="68D0643D"/>
    <w:rsid w:val="68D4417F"/>
    <w:rsid w:val="68DB01BE"/>
    <w:rsid w:val="68DE0B5A"/>
    <w:rsid w:val="68DE4FFE"/>
    <w:rsid w:val="68E36170"/>
    <w:rsid w:val="68E677DD"/>
    <w:rsid w:val="68E862E0"/>
    <w:rsid w:val="68F10571"/>
    <w:rsid w:val="68F20AA9"/>
    <w:rsid w:val="68F40B0F"/>
    <w:rsid w:val="68F6059A"/>
    <w:rsid w:val="68FC1C9C"/>
    <w:rsid w:val="69014777"/>
    <w:rsid w:val="690F564E"/>
    <w:rsid w:val="691427CE"/>
    <w:rsid w:val="691D5B26"/>
    <w:rsid w:val="6920124D"/>
    <w:rsid w:val="692A3D9F"/>
    <w:rsid w:val="692B0CE1"/>
    <w:rsid w:val="692D1AE1"/>
    <w:rsid w:val="69313380"/>
    <w:rsid w:val="693B41FE"/>
    <w:rsid w:val="693E784B"/>
    <w:rsid w:val="69562DE6"/>
    <w:rsid w:val="695D23C7"/>
    <w:rsid w:val="6965127B"/>
    <w:rsid w:val="69653029"/>
    <w:rsid w:val="69676DA1"/>
    <w:rsid w:val="6974607D"/>
    <w:rsid w:val="69750D65"/>
    <w:rsid w:val="69790883"/>
    <w:rsid w:val="697D65C5"/>
    <w:rsid w:val="69852CC0"/>
    <w:rsid w:val="69855479"/>
    <w:rsid w:val="69872FA0"/>
    <w:rsid w:val="698A6F34"/>
    <w:rsid w:val="6990454A"/>
    <w:rsid w:val="699045E6"/>
    <w:rsid w:val="69912070"/>
    <w:rsid w:val="69937B96"/>
    <w:rsid w:val="699516E6"/>
    <w:rsid w:val="699A7177"/>
    <w:rsid w:val="699C1E2D"/>
    <w:rsid w:val="69AA4EE0"/>
    <w:rsid w:val="69B813AB"/>
    <w:rsid w:val="69B83AA1"/>
    <w:rsid w:val="69B8584F"/>
    <w:rsid w:val="69B875FD"/>
    <w:rsid w:val="69BB533F"/>
    <w:rsid w:val="69BE2739"/>
    <w:rsid w:val="69BF6BDD"/>
    <w:rsid w:val="69C51D1A"/>
    <w:rsid w:val="69C61962"/>
    <w:rsid w:val="69C64404"/>
    <w:rsid w:val="69C73CE4"/>
    <w:rsid w:val="69C935B8"/>
    <w:rsid w:val="69CA10DE"/>
    <w:rsid w:val="69D615EF"/>
    <w:rsid w:val="69D87C9F"/>
    <w:rsid w:val="69DB153D"/>
    <w:rsid w:val="69DB32EB"/>
    <w:rsid w:val="69EA352F"/>
    <w:rsid w:val="69EB79D2"/>
    <w:rsid w:val="69EC374B"/>
    <w:rsid w:val="69EE74C3"/>
    <w:rsid w:val="69F06D97"/>
    <w:rsid w:val="69F543AD"/>
    <w:rsid w:val="69F820EF"/>
    <w:rsid w:val="69F83E9D"/>
    <w:rsid w:val="69FA19C4"/>
    <w:rsid w:val="6A047367"/>
    <w:rsid w:val="6A06480C"/>
    <w:rsid w:val="6A0B3BD1"/>
    <w:rsid w:val="6A0E36C1"/>
    <w:rsid w:val="6A1011E7"/>
    <w:rsid w:val="6A160FCF"/>
    <w:rsid w:val="6A1D3904"/>
    <w:rsid w:val="6A2133F4"/>
    <w:rsid w:val="6A242EE4"/>
    <w:rsid w:val="6A296146"/>
    <w:rsid w:val="6A3749C6"/>
    <w:rsid w:val="6A3D42E7"/>
    <w:rsid w:val="6A3F58F4"/>
    <w:rsid w:val="6A413A96"/>
    <w:rsid w:val="6A4175F2"/>
    <w:rsid w:val="6A4470E3"/>
    <w:rsid w:val="6A525DA3"/>
    <w:rsid w:val="6A590DE0"/>
    <w:rsid w:val="6A5B4C9F"/>
    <w:rsid w:val="6A5C267E"/>
    <w:rsid w:val="6A6257BB"/>
    <w:rsid w:val="6A636E98"/>
    <w:rsid w:val="6A6F45A5"/>
    <w:rsid w:val="6A753740"/>
    <w:rsid w:val="6A794FDE"/>
    <w:rsid w:val="6A7C062B"/>
    <w:rsid w:val="6A8F72B9"/>
    <w:rsid w:val="6A9040D6"/>
    <w:rsid w:val="6A987FA6"/>
    <w:rsid w:val="6A9C2A7B"/>
    <w:rsid w:val="6A9F3684"/>
    <w:rsid w:val="6AA61B4B"/>
    <w:rsid w:val="6AA97307"/>
    <w:rsid w:val="6AAB7F50"/>
    <w:rsid w:val="6AB9362D"/>
    <w:rsid w:val="6ABC311D"/>
    <w:rsid w:val="6AC02C0D"/>
    <w:rsid w:val="6AC50223"/>
    <w:rsid w:val="6ACB15B2"/>
    <w:rsid w:val="6AD2649C"/>
    <w:rsid w:val="6AD466B8"/>
    <w:rsid w:val="6AD71D05"/>
    <w:rsid w:val="6AD761A9"/>
    <w:rsid w:val="6ADC37BF"/>
    <w:rsid w:val="6ADE0AE4"/>
    <w:rsid w:val="6AE508C6"/>
    <w:rsid w:val="6AE52674"/>
    <w:rsid w:val="6AE5513B"/>
    <w:rsid w:val="6AEA5EDC"/>
    <w:rsid w:val="6AF20FCD"/>
    <w:rsid w:val="6AF26B3F"/>
    <w:rsid w:val="6AF64881"/>
    <w:rsid w:val="6AF94CF3"/>
    <w:rsid w:val="6AFC79BD"/>
    <w:rsid w:val="6AFE54E3"/>
    <w:rsid w:val="6B054AC4"/>
    <w:rsid w:val="6B0C5E52"/>
    <w:rsid w:val="6B222A6A"/>
    <w:rsid w:val="6B272C8C"/>
    <w:rsid w:val="6B287E49"/>
    <w:rsid w:val="6B2D7B77"/>
    <w:rsid w:val="6B364C7D"/>
    <w:rsid w:val="6B413622"/>
    <w:rsid w:val="6B43383E"/>
    <w:rsid w:val="6B4355EC"/>
    <w:rsid w:val="6B4750DC"/>
    <w:rsid w:val="6B4A0729"/>
    <w:rsid w:val="6B560E7C"/>
    <w:rsid w:val="6B655563"/>
    <w:rsid w:val="6B657311"/>
    <w:rsid w:val="6B6C069F"/>
    <w:rsid w:val="6B721A2E"/>
    <w:rsid w:val="6B7439F8"/>
    <w:rsid w:val="6B7457A6"/>
    <w:rsid w:val="6B753F21"/>
    <w:rsid w:val="6B7A7502"/>
    <w:rsid w:val="6B7F1153"/>
    <w:rsid w:val="6B80239C"/>
    <w:rsid w:val="6B8D38E9"/>
    <w:rsid w:val="6B923E7E"/>
    <w:rsid w:val="6B9320D0"/>
    <w:rsid w:val="6B981494"/>
    <w:rsid w:val="6B985938"/>
    <w:rsid w:val="6B99520C"/>
    <w:rsid w:val="6BA0659B"/>
    <w:rsid w:val="6BA20F53"/>
    <w:rsid w:val="6BAC3CEF"/>
    <w:rsid w:val="6BAC4F3F"/>
    <w:rsid w:val="6BB46349"/>
    <w:rsid w:val="6BB67B6C"/>
    <w:rsid w:val="6BBA3B00"/>
    <w:rsid w:val="6BBC0CCD"/>
    <w:rsid w:val="6BBF2EC5"/>
    <w:rsid w:val="6BC06C3D"/>
    <w:rsid w:val="6BC404DB"/>
    <w:rsid w:val="6BC77FCB"/>
    <w:rsid w:val="6BCA3618"/>
    <w:rsid w:val="6BD24498"/>
    <w:rsid w:val="6BD44496"/>
    <w:rsid w:val="6BD91256"/>
    <w:rsid w:val="6BDA7CFF"/>
    <w:rsid w:val="6BDB5825"/>
    <w:rsid w:val="6BE446D9"/>
    <w:rsid w:val="6BE84699"/>
    <w:rsid w:val="6BFB1A23"/>
    <w:rsid w:val="6BFD579B"/>
    <w:rsid w:val="6C094140"/>
    <w:rsid w:val="6C10344F"/>
    <w:rsid w:val="6C240F7A"/>
    <w:rsid w:val="6C2B055A"/>
    <w:rsid w:val="6C310293"/>
    <w:rsid w:val="6C353187"/>
    <w:rsid w:val="6C384A25"/>
    <w:rsid w:val="6C3E3329"/>
    <w:rsid w:val="6C4258A4"/>
    <w:rsid w:val="6C4E4249"/>
    <w:rsid w:val="6C515AE7"/>
    <w:rsid w:val="6C57134F"/>
    <w:rsid w:val="6C5775A1"/>
    <w:rsid w:val="6C5C491C"/>
    <w:rsid w:val="6C5D7FE5"/>
    <w:rsid w:val="6C7672FB"/>
    <w:rsid w:val="6C77379F"/>
    <w:rsid w:val="6C77554D"/>
    <w:rsid w:val="6C9854C4"/>
    <w:rsid w:val="6CB0280D"/>
    <w:rsid w:val="6CB22A29"/>
    <w:rsid w:val="6CB71DEE"/>
    <w:rsid w:val="6CBA368C"/>
    <w:rsid w:val="6CBF5146"/>
    <w:rsid w:val="6CC4450B"/>
    <w:rsid w:val="6CC462B9"/>
    <w:rsid w:val="6CC90D79"/>
    <w:rsid w:val="6CCB5899"/>
    <w:rsid w:val="6CD429A0"/>
    <w:rsid w:val="6CDD61B3"/>
    <w:rsid w:val="6CE40709"/>
    <w:rsid w:val="6CE60925"/>
    <w:rsid w:val="6CEC3190"/>
    <w:rsid w:val="6CED5810"/>
    <w:rsid w:val="6CF05300"/>
    <w:rsid w:val="6CF43042"/>
    <w:rsid w:val="6CFA7F2C"/>
    <w:rsid w:val="6CFC5EFF"/>
    <w:rsid w:val="6D042B59"/>
    <w:rsid w:val="6D0B038C"/>
    <w:rsid w:val="6D0B3EE8"/>
    <w:rsid w:val="6D0D4104"/>
    <w:rsid w:val="6D0D7C60"/>
    <w:rsid w:val="6D1A237D"/>
    <w:rsid w:val="6D1B05CF"/>
    <w:rsid w:val="6D21370B"/>
    <w:rsid w:val="6D222A82"/>
    <w:rsid w:val="6D231231"/>
    <w:rsid w:val="6D2356D5"/>
    <w:rsid w:val="6D2A25C0"/>
    <w:rsid w:val="6D325918"/>
    <w:rsid w:val="6D45389E"/>
    <w:rsid w:val="6D4713C4"/>
    <w:rsid w:val="6D4F64CA"/>
    <w:rsid w:val="6D561607"/>
    <w:rsid w:val="6D567859"/>
    <w:rsid w:val="6D5B09CB"/>
    <w:rsid w:val="6D5B6C1D"/>
    <w:rsid w:val="6D5D0BE7"/>
    <w:rsid w:val="6D635AD2"/>
    <w:rsid w:val="6D6830E8"/>
    <w:rsid w:val="6D7CCA86"/>
    <w:rsid w:val="6D800432"/>
    <w:rsid w:val="6D837F22"/>
    <w:rsid w:val="6D8C327A"/>
    <w:rsid w:val="6D8D2B4F"/>
    <w:rsid w:val="6D8F68C7"/>
    <w:rsid w:val="6D952DD1"/>
    <w:rsid w:val="6D9914F3"/>
    <w:rsid w:val="6D9956BA"/>
    <w:rsid w:val="6D99606A"/>
    <w:rsid w:val="6DA22A9E"/>
    <w:rsid w:val="6DA265FA"/>
    <w:rsid w:val="6DA50884"/>
    <w:rsid w:val="6DB12CE1"/>
    <w:rsid w:val="6DB4457F"/>
    <w:rsid w:val="6DB97FB3"/>
    <w:rsid w:val="6DBB3B60"/>
    <w:rsid w:val="6DBC51E2"/>
    <w:rsid w:val="6DC26C9C"/>
    <w:rsid w:val="6DC870F0"/>
    <w:rsid w:val="6DC9002B"/>
    <w:rsid w:val="6DD10C8D"/>
    <w:rsid w:val="6DD32C57"/>
    <w:rsid w:val="6DE85FD7"/>
    <w:rsid w:val="6DFC351E"/>
    <w:rsid w:val="6DFE57FA"/>
    <w:rsid w:val="6E027099"/>
    <w:rsid w:val="6E067091"/>
    <w:rsid w:val="6E0A419F"/>
    <w:rsid w:val="6E0B0643"/>
    <w:rsid w:val="6E0F7A08"/>
    <w:rsid w:val="6E1312A6"/>
    <w:rsid w:val="6E14501E"/>
    <w:rsid w:val="6E1B63AC"/>
    <w:rsid w:val="6E1E7AB9"/>
    <w:rsid w:val="6E25722B"/>
    <w:rsid w:val="6E280F9B"/>
    <w:rsid w:val="6E290AC9"/>
    <w:rsid w:val="6E3000AA"/>
    <w:rsid w:val="6E380D0C"/>
    <w:rsid w:val="6E3D4575"/>
    <w:rsid w:val="6E414065"/>
    <w:rsid w:val="6E453429"/>
    <w:rsid w:val="6E46167B"/>
    <w:rsid w:val="6E5237C4"/>
    <w:rsid w:val="6E5A0C83"/>
    <w:rsid w:val="6E62222D"/>
    <w:rsid w:val="6E623FDB"/>
    <w:rsid w:val="6E625129"/>
    <w:rsid w:val="6E645FA5"/>
    <w:rsid w:val="6E65267E"/>
    <w:rsid w:val="6E6912A9"/>
    <w:rsid w:val="6E6C09B6"/>
    <w:rsid w:val="6E71421E"/>
    <w:rsid w:val="6E784210"/>
    <w:rsid w:val="6E821BA6"/>
    <w:rsid w:val="6E82467D"/>
    <w:rsid w:val="6E8421A4"/>
    <w:rsid w:val="6E843F52"/>
    <w:rsid w:val="6E873E81"/>
    <w:rsid w:val="6E8757F0"/>
    <w:rsid w:val="6E8C2E06"/>
    <w:rsid w:val="6E9543B1"/>
    <w:rsid w:val="6EA03633"/>
    <w:rsid w:val="6EA16987"/>
    <w:rsid w:val="6EA3143E"/>
    <w:rsid w:val="6EA463A2"/>
    <w:rsid w:val="6EA72431"/>
    <w:rsid w:val="6EB011EB"/>
    <w:rsid w:val="6EB34837"/>
    <w:rsid w:val="6EB53936"/>
    <w:rsid w:val="6EBC193D"/>
    <w:rsid w:val="6EC11809"/>
    <w:rsid w:val="6EC66318"/>
    <w:rsid w:val="6ED07197"/>
    <w:rsid w:val="6ED21161"/>
    <w:rsid w:val="6ED6693F"/>
    <w:rsid w:val="6EE36ECA"/>
    <w:rsid w:val="6EE844E0"/>
    <w:rsid w:val="6EEE3AC1"/>
    <w:rsid w:val="6EEE70ED"/>
    <w:rsid w:val="6EF62209"/>
    <w:rsid w:val="6EF70BC7"/>
    <w:rsid w:val="6EFC7F8C"/>
    <w:rsid w:val="6EFE1F56"/>
    <w:rsid w:val="6EFF5CCE"/>
    <w:rsid w:val="6F046E40"/>
    <w:rsid w:val="6F06705D"/>
    <w:rsid w:val="6F084B83"/>
    <w:rsid w:val="6F0D15DF"/>
    <w:rsid w:val="6F0F4163"/>
    <w:rsid w:val="6F0F5F11"/>
    <w:rsid w:val="6F141779"/>
    <w:rsid w:val="6F1654F2"/>
    <w:rsid w:val="6F1718B7"/>
    <w:rsid w:val="6F247756"/>
    <w:rsid w:val="6F257B89"/>
    <w:rsid w:val="6F2B0871"/>
    <w:rsid w:val="6F304979"/>
    <w:rsid w:val="6F370FC4"/>
    <w:rsid w:val="6F392F8E"/>
    <w:rsid w:val="6F3E2352"/>
    <w:rsid w:val="6F3E5FCD"/>
    <w:rsid w:val="6F413BF1"/>
    <w:rsid w:val="6F435BBB"/>
    <w:rsid w:val="6F4436E1"/>
    <w:rsid w:val="6F484143"/>
    <w:rsid w:val="6F502086"/>
    <w:rsid w:val="6F51609F"/>
    <w:rsid w:val="6F5558EE"/>
    <w:rsid w:val="6F574271"/>
    <w:rsid w:val="6F593630"/>
    <w:rsid w:val="6F5C0A2B"/>
    <w:rsid w:val="6F5C4ECE"/>
    <w:rsid w:val="6F5D0D50"/>
    <w:rsid w:val="6F5E47A3"/>
    <w:rsid w:val="6F6124E5"/>
    <w:rsid w:val="6F6317C9"/>
    <w:rsid w:val="6F653758"/>
    <w:rsid w:val="6F667AFB"/>
    <w:rsid w:val="6F683873"/>
    <w:rsid w:val="6F750F26"/>
    <w:rsid w:val="6F7A7103"/>
    <w:rsid w:val="6F7B72E9"/>
    <w:rsid w:val="6F8445D4"/>
    <w:rsid w:val="6F865AA7"/>
    <w:rsid w:val="6F8A5598"/>
    <w:rsid w:val="6F8D5C1A"/>
    <w:rsid w:val="6F8E342E"/>
    <w:rsid w:val="6F975F07"/>
    <w:rsid w:val="6F977CB5"/>
    <w:rsid w:val="6F991C7F"/>
    <w:rsid w:val="6FA0300D"/>
    <w:rsid w:val="6FA8133A"/>
    <w:rsid w:val="6FA81EC2"/>
    <w:rsid w:val="6FAC19B2"/>
    <w:rsid w:val="6FB2689C"/>
    <w:rsid w:val="6FB937F0"/>
    <w:rsid w:val="6FB940CF"/>
    <w:rsid w:val="6FC0720B"/>
    <w:rsid w:val="6FC52A74"/>
    <w:rsid w:val="6FC565D0"/>
    <w:rsid w:val="6FCA008A"/>
    <w:rsid w:val="6FCC3E02"/>
    <w:rsid w:val="6FCF56A0"/>
    <w:rsid w:val="6FCF744E"/>
    <w:rsid w:val="6FD27139"/>
    <w:rsid w:val="6FD35191"/>
    <w:rsid w:val="6FDE3B35"/>
    <w:rsid w:val="6FDE58E3"/>
    <w:rsid w:val="6FE4739E"/>
    <w:rsid w:val="6FE74798"/>
    <w:rsid w:val="6FEC0000"/>
    <w:rsid w:val="6FEC0BE2"/>
    <w:rsid w:val="6FF26DA9"/>
    <w:rsid w:val="6FF60C27"/>
    <w:rsid w:val="6FFD045F"/>
    <w:rsid w:val="6FFE7D34"/>
    <w:rsid w:val="70024DE8"/>
    <w:rsid w:val="700A66D9"/>
    <w:rsid w:val="701555A7"/>
    <w:rsid w:val="701632CF"/>
    <w:rsid w:val="701E2184"/>
    <w:rsid w:val="702754DC"/>
    <w:rsid w:val="702A0B29"/>
    <w:rsid w:val="702C62AB"/>
    <w:rsid w:val="702E29A8"/>
    <w:rsid w:val="703419A7"/>
    <w:rsid w:val="703802C8"/>
    <w:rsid w:val="704240C4"/>
    <w:rsid w:val="70473489"/>
    <w:rsid w:val="704C6CF1"/>
    <w:rsid w:val="704E663D"/>
    <w:rsid w:val="704F058F"/>
    <w:rsid w:val="70512559"/>
    <w:rsid w:val="705160B5"/>
    <w:rsid w:val="705636CC"/>
    <w:rsid w:val="70585696"/>
    <w:rsid w:val="70587444"/>
    <w:rsid w:val="705A140E"/>
    <w:rsid w:val="706109EE"/>
    <w:rsid w:val="70691651"/>
    <w:rsid w:val="706B73FC"/>
    <w:rsid w:val="70710506"/>
    <w:rsid w:val="70781894"/>
    <w:rsid w:val="707D334E"/>
    <w:rsid w:val="708446DD"/>
    <w:rsid w:val="7084648B"/>
    <w:rsid w:val="708C39AE"/>
    <w:rsid w:val="70952446"/>
    <w:rsid w:val="709A3F00"/>
    <w:rsid w:val="70A00DEB"/>
    <w:rsid w:val="70A24B63"/>
    <w:rsid w:val="70A304C1"/>
    <w:rsid w:val="70B623BC"/>
    <w:rsid w:val="70BA1EAD"/>
    <w:rsid w:val="70BD374B"/>
    <w:rsid w:val="70C1123E"/>
    <w:rsid w:val="70C40F7D"/>
    <w:rsid w:val="70CC0E40"/>
    <w:rsid w:val="70CD2B48"/>
    <w:rsid w:val="70D171F6"/>
    <w:rsid w:val="70D215C6"/>
    <w:rsid w:val="70D6480D"/>
    <w:rsid w:val="70DE203F"/>
    <w:rsid w:val="70DF36C1"/>
    <w:rsid w:val="70E138DD"/>
    <w:rsid w:val="70E7584C"/>
    <w:rsid w:val="70FF3D63"/>
    <w:rsid w:val="71020071"/>
    <w:rsid w:val="71031AA6"/>
    <w:rsid w:val="71033854"/>
    <w:rsid w:val="71096990"/>
    <w:rsid w:val="710C022E"/>
    <w:rsid w:val="710F044A"/>
    <w:rsid w:val="71126EE7"/>
    <w:rsid w:val="711F61B4"/>
    <w:rsid w:val="711F7F62"/>
    <w:rsid w:val="71225007"/>
    <w:rsid w:val="71265794"/>
    <w:rsid w:val="712B6906"/>
    <w:rsid w:val="712F289B"/>
    <w:rsid w:val="7130216F"/>
    <w:rsid w:val="71353C29"/>
    <w:rsid w:val="713559D7"/>
    <w:rsid w:val="7137174F"/>
    <w:rsid w:val="713A123F"/>
    <w:rsid w:val="713A2CFF"/>
    <w:rsid w:val="713D1D16"/>
    <w:rsid w:val="71467BE4"/>
    <w:rsid w:val="714A1482"/>
    <w:rsid w:val="714B0D57"/>
    <w:rsid w:val="714D7DD6"/>
    <w:rsid w:val="71551BD5"/>
    <w:rsid w:val="71600CA6"/>
    <w:rsid w:val="716360A0"/>
    <w:rsid w:val="71654E27"/>
    <w:rsid w:val="716E1E47"/>
    <w:rsid w:val="71724EAC"/>
    <w:rsid w:val="717958C4"/>
    <w:rsid w:val="71807A85"/>
    <w:rsid w:val="71834994"/>
    <w:rsid w:val="71883D59"/>
    <w:rsid w:val="71956476"/>
    <w:rsid w:val="71970440"/>
    <w:rsid w:val="719E73CE"/>
    <w:rsid w:val="71A60683"/>
    <w:rsid w:val="71AD37BF"/>
    <w:rsid w:val="71B20DD6"/>
    <w:rsid w:val="71B27028"/>
    <w:rsid w:val="71B903B6"/>
    <w:rsid w:val="71BB2380"/>
    <w:rsid w:val="71BC1C54"/>
    <w:rsid w:val="71BE777B"/>
    <w:rsid w:val="71C034F3"/>
    <w:rsid w:val="71C50B09"/>
    <w:rsid w:val="71C823A7"/>
    <w:rsid w:val="71CD20B4"/>
    <w:rsid w:val="71CD5C10"/>
    <w:rsid w:val="71D40D4C"/>
    <w:rsid w:val="71D7083C"/>
    <w:rsid w:val="71DB657E"/>
    <w:rsid w:val="71DC40A5"/>
    <w:rsid w:val="71DE606F"/>
    <w:rsid w:val="71E3138C"/>
    <w:rsid w:val="71E60A7F"/>
    <w:rsid w:val="71E76CD1"/>
    <w:rsid w:val="71EA4A14"/>
    <w:rsid w:val="71F6500C"/>
    <w:rsid w:val="71F87130"/>
    <w:rsid w:val="71FD64F5"/>
    <w:rsid w:val="720D24B0"/>
    <w:rsid w:val="72113D4E"/>
    <w:rsid w:val="721B2E1F"/>
    <w:rsid w:val="721D6B97"/>
    <w:rsid w:val="721F290F"/>
    <w:rsid w:val="72275320"/>
    <w:rsid w:val="7229553C"/>
    <w:rsid w:val="722A4E10"/>
    <w:rsid w:val="722E4900"/>
    <w:rsid w:val="722F68CA"/>
    <w:rsid w:val="723914F7"/>
    <w:rsid w:val="723B0DCB"/>
    <w:rsid w:val="723D4B43"/>
    <w:rsid w:val="723E2669"/>
    <w:rsid w:val="72402885"/>
    <w:rsid w:val="72412912"/>
    <w:rsid w:val="724265FE"/>
    <w:rsid w:val="724A3704"/>
    <w:rsid w:val="725974A3"/>
    <w:rsid w:val="725A130B"/>
    <w:rsid w:val="725B146D"/>
    <w:rsid w:val="726245AA"/>
    <w:rsid w:val="72641B5B"/>
    <w:rsid w:val="72671BC0"/>
    <w:rsid w:val="72691DDC"/>
    <w:rsid w:val="72695938"/>
    <w:rsid w:val="726A345E"/>
    <w:rsid w:val="726B5B54"/>
    <w:rsid w:val="726C367A"/>
    <w:rsid w:val="726C71D7"/>
    <w:rsid w:val="72760055"/>
    <w:rsid w:val="72785B7B"/>
    <w:rsid w:val="72800ED4"/>
    <w:rsid w:val="72802C82"/>
    <w:rsid w:val="72824C4C"/>
    <w:rsid w:val="72834520"/>
    <w:rsid w:val="72873462"/>
    <w:rsid w:val="728C1627"/>
    <w:rsid w:val="728E516B"/>
    <w:rsid w:val="72914E8F"/>
    <w:rsid w:val="72A11576"/>
    <w:rsid w:val="72A2214B"/>
    <w:rsid w:val="72A505DD"/>
    <w:rsid w:val="72A526E9"/>
    <w:rsid w:val="72A746B3"/>
    <w:rsid w:val="72A93F87"/>
    <w:rsid w:val="72AB1549"/>
    <w:rsid w:val="72B03567"/>
    <w:rsid w:val="72B8241C"/>
    <w:rsid w:val="72B97C37"/>
    <w:rsid w:val="72BF7C4E"/>
    <w:rsid w:val="72C963D7"/>
    <w:rsid w:val="72CC4119"/>
    <w:rsid w:val="72D471FB"/>
    <w:rsid w:val="72D54D7C"/>
    <w:rsid w:val="72DD1E82"/>
    <w:rsid w:val="72E2292C"/>
    <w:rsid w:val="72EF6671"/>
    <w:rsid w:val="72F62F44"/>
    <w:rsid w:val="72F86822"/>
    <w:rsid w:val="72FE3595"/>
    <w:rsid w:val="730218E9"/>
    <w:rsid w:val="73076EFF"/>
    <w:rsid w:val="730C2768"/>
    <w:rsid w:val="730E028E"/>
    <w:rsid w:val="730F1B13"/>
    <w:rsid w:val="731764E9"/>
    <w:rsid w:val="7318110C"/>
    <w:rsid w:val="7318735E"/>
    <w:rsid w:val="731E2BC7"/>
    <w:rsid w:val="731F06ED"/>
    <w:rsid w:val="731F249B"/>
    <w:rsid w:val="73216213"/>
    <w:rsid w:val="732775A1"/>
    <w:rsid w:val="7329331A"/>
    <w:rsid w:val="732B7092"/>
    <w:rsid w:val="7336722F"/>
    <w:rsid w:val="733811D8"/>
    <w:rsid w:val="733F6699"/>
    <w:rsid w:val="73440153"/>
    <w:rsid w:val="73441F01"/>
    <w:rsid w:val="73497518"/>
    <w:rsid w:val="73530396"/>
    <w:rsid w:val="735C36EF"/>
    <w:rsid w:val="73612AB3"/>
    <w:rsid w:val="73614861"/>
    <w:rsid w:val="73740A39"/>
    <w:rsid w:val="73797DFD"/>
    <w:rsid w:val="737E24ED"/>
    <w:rsid w:val="73840550"/>
    <w:rsid w:val="73852C46"/>
    <w:rsid w:val="738D1AFA"/>
    <w:rsid w:val="73915877"/>
    <w:rsid w:val="73972979"/>
    <w:rsid w:val="73993FFB"/>
    <w:rsid w:val="739F35DC"/>
    <w:rsid w:val="73A17354"/>
    <w:rsid w:val="73A40BF2"/>
    <w:rsid w:val="73A66718"/>
    <w:rsid w:val="73AF381F"/>
    <w:rsid w:val="73B2330F"/>
    <w:rsid w:val="73B54BAD"/>
    <w:rsid w:val="73CB617F"/>
    <w:rsid w:val="73CF5C6F"/>
    <w:rsid w:val="73D9089C"/>
    <w:rsid w:val="73E060CE"/>
    <w:rsid w:val="73E3796C"/>
    <w:rsid w:val="73EF00BF"/>
    <w:rsid w:val="73F25E01"/>
    <w:rsid w:val="73F41B79"/>
    <w:rsid w:val="73F73418"/>
    <w:rsid w:val="73FC0F7D"/>
    <w:rsid w:val="73FE6554"/>
    <w:rsid w:val="74031DBD"/>
    <w:rsid w:val="740F42BD"/>
    <w:rsid w:val="74130252"/>
    <w:rsid w:val="741B2C62"/>
    <w:rsid w:val="741D2E7E"/>
    <w:rsid w:val="7420296E"/>
    <w:rsid w:val="74203020"/>
    <w:rsid w:val="74220495"/>
    <w:rsid w:val="7428537F"/>
    <w:rsid w:val="742F2BB2"/>
    <w:rsid w:val="742F670E"/>
    <w:rsid w:val="74322196"/>
    <w:rsid w:val="74343D24"/>
    <w:rsid w:val="74363F40"/>
    <w:rsid w:val="74367A9C"/>
    <w:rsid w:val="7439758C"/>
    <w:rsid w:val="744321B9"/>
    <w:rsid w:val="74454183"/>
    <w:rsid w:val="744A79EB"/>
    <w:rsid w:val="744C72C0"/>
    <w:rsid w:val="744E128A"/>
    <w:rsid w:val="745148D6"/>
    <w:rsid w:val="74542618"/>
    <w:rsid w:val="74566390"/>
    <w:rsid w:val="74575C64"/>
    <w:rsid w:val="745E5245"/>
    <w:rsid w:val="745F3497"/>
    <w:rsid w:val="74640AAD"/>
    <w:rsid w:val="746565D3"/>
    <w:rsid w:val="746F7452"/>
    <w:rsid w:val="747527E1"/>
    <w:rsid w:val="74806A79"/>
    <w:rsid w:val="7487479C"/>
    <w:rsid w:val="7487654A"/>
    <w:rsid w:val="749173C8"/>
    <w:rsid w:val="74A0760B"/>
    <w:rsid w:val="74A662B1"/>
    <w:rsid w:val="74A72748"/>
    <w:rsid w:val="74AE74E6"/>
    <w:rsid w:val="74B30B29"/>
    <w:rsid w:val="74B35591"/>
    <w:rsid w:val="74B51309"/>
    <w:rsid w:val="74BD01BD"/>
    <w:rsid w:val="74BE7A92"/>
    <w:rsid w:val="74C27582"/>
    <w:rsid w:val="74C6415A"/>
    <w:rsid w:val="74CC6652"/>
    <w:rsid w:val="74D3178F"/>
    <w:rsid w:val="74E25E76"/>
    <w:rsid w:val="74E97204"/>
    <w:rsid w:val="74EA0887"/>
    <w:rsid w:val="74EE0377"/>
    <w:rsid w:val="74EF26AC"/>
    <w:rsid w:val="74FC6F38"/>
    <w:rsid w:val="74FD290F"/>
    <w:rsid w:val="74FF07D6"/>
    <w:rsid w:val="75096F5F"/>
    <w:rsid w:val="75100706"/>
    <w:rsid w:val="75104791"/>
    <w:rsid w:val="751122B7"/>
    <w:rsid w:val="75197F8B"/>
    <w:rsid w:val="751B4EE4"/>
    <w:rsid w:val="75324707"/>
    <w:rsid w:val="753F0BD2"/>
    <w:rsid w:val="753F6E24"/>
    <w:rsid w:val="75412B9C"/>
    <w:rsid w:val="754206C3"/>
    <w:rsid w:val="754937FF"/>
    <w:rsid w:val="754E52B9"/>
    <w:rsid w:val="75530B22"/>
    <w:rsid w:val="755503F6"/>
    <w:rsid w:val="755723C0"/>
    <w:rsid w:val="755D54FC"/>
    <w:rsid w:val="7561323F"/>
    <w:rsid w:val="75622B13"/>
    <w:rsid w:val="75680129"/>
    <w:rsid w:val="7568637B"/>
    <w:rsid w:val="75752846"/>
    <w:rsid w:val="757A1C0A"/>
    <w:rsid w:val="757A7E5C"/>
    <w:rsid w:val="757C043C"/>
    <w:rsid w:val="757F5473"/>
    <w:rsid w:val="758331B5"/>
    <w:rsid w:val="758F7D6B"/>
    <w:rsid w:val="759E7FEF"/>
    <w:rsid w:val="75AD0232"/>
    <w:rsid w:val="75B0387E"/>
    <w:rsid w:val="75B710B1"/>
    <w:rsid w:val="75B72E5F"/>
    <w:rsid w:val="75BA294F"/>
    <w:rsid w:val="75BE5F9B"/>
    <w:rsid w:val="75C612F4"/>
    <w:rsid w:val="75D532E5"/>
    <w:rsid w:val="75D752AF"/>
    <w:rsid w:val="75DD2DA3"/>
    <w:rsid w:val="75DD762C"/>
    <w:rsid w:val="75E91215"/>
    <w:rsid w:val="75EB0D5A"/>
    <w:rsid w:val="75EC750B"/>
    <w:rsid w:val="75ED062E"/>
    <w:rsid w:val="75ED4AD2"/>
    <w:rsid w:val="75EF084A"/>
    <w:rsid w:val="75FB2615"/>
    <w:rsid w:val="75FC4D15"/>
    <w:rsid w:val="76051E1C"/>
    <w:rsid w:val="7608190C"/>
    <w:rsid w:val="760836BA"/>
    <w:rsid w:val="76134845"/>
    <w:rsid w:val="761402B1"/>
    <w:rsid w:val="761756AB"/>
    <w:rsid w:val="76197675"/>
    <w:rsid w:val="761B2048"/>
    <w:rsid w:val="762027B2"/>
    <w:rsid w:val="762322A2"/>
    <w:rsid w:val="76236746"/>
    <w:rsid w:val="762A1882"/>
    <w:rsid w:val="762B090A"/>
    <w:rsid w:val="762B1157"/>
    <w:rsid w:val="762B73A9"/>
    <w:rsid w:val="762C55FB"/>
    <w:rsid w:val="76326989"/>
    <w:rsid w:val="76361656"/>
    <w:rsid w:val="763922F4"/>
    <w:rsid w:val="763E0EEF"/>
    <w:rsid w:val="76402E54"/>
    <w:rsid w:val="76424E1E"/>
    <w:rsid w:val="764741E2"/>
    <w:rsid w:val="76481D09"/>
    <w:rsid w:val="764A782F"/>
    <w:rsid w:val="764D731F"/>
    <w:rsid w:val="765014D9"/>
    <w:rsid w:val="7657019E"/>
    <w:rsid w:val="765B435D"/>
    <w:rsid w:val="765C57B4"/>
    <w:rsid w:val="765E777E"/>
    <w:rsid w:val="76621D63"/>
    <w:rsid w:val="7662726E"/>
    <w:rsid w:val="766528BB"/>
    <w:rsid w:val="76654669"/>
    <w:rsid w:val="76684159"/>
    <w:rsid w:val="766905FD"/>
    <w:rsid w:val="766A7ED1"/>
    <w:rsid w:val="766D176F"/>
    <w:rsid w:val="766F7295"/>
    <w:rsid w:val="76760624"/>
    <w:rsid w:val="76832D41"/>
    <w:rsid w:val="768947FB"/>
    <w:rsid w:val="768E1E11"/>
    <w:rsid w:val="76905B4B"/>
    <w:rsid w:val="76911902"/>
    <w:rsid w:val="7694113A"/>
    <w:rsid w:val="76944F4E"/>
    <w:rsid w:val="769A6A08"/>
    <w:rsid w:val="769B008A"/>
    <w:rsid w:val="769C4061"/>
    <w:rsid w:val="76A50F09"/>
    <w:rsid w:val="76AC04E9"/>
    <w:rsid w:val="76AC1B32"/>
    <w:rsid w:val="76AD7DBE"/>
    <w:rsid w:val="76B33626"/>
    <w:rsid w:val="76B64EC4"/>
    <w:rsid w:val="76BD26F7"/>
    <w:rsid w:val="76BE1FCB"/>
    <w:rsid w:val="76C70C9F"/>
    <w:rsid w:val="76C770D1"/>
    <w:rsid w:val="76C9109B"/>
    <w:rsid w:val="76CA0970"/>
    <w:rsid w:val="76CA6401"/>
    <w:rsid w:val="76D96E05"/>
    <w:rsid w:val="76DA5057"/>
    <w:rsid w:val="76DD4B47"/>
    <w:rsid w:val="76E77774"/>
    <w:rsid w:val="76EC6B38"/>
    <w:rsid w:val="76F0554B"/>
    <w:rsid w:val="76F36118"/>
    <w:rsid w:val="76F52136"/>
    <w:rsid w:val="76F74F7C"/>
    <w:rsid w:val="76F8372F"/>
    <w:rsid w:val="76F854DD"/>
    <w:rsid w:val="77020109"/>
    <w:rsid w:val="770420D4"/>
    <w:rsid w:val="770E4D00"/>
    <w:rsid w:val="77170059"/>
    <w:rsid w:val="77197FA1"/>
    <w:rsid w:val="77212C85"/>
    <w:rsid w:val="772938E8"/>
    <w:rsid w:val="772C5186"/>
    <w:rsid w:val="773109EF"/>
    <w:rsid w:val="77342251"/>
    <w:rsid w:val="773504DF"/>
    <w:rsid w:val="773A5AF5"/>
    <w:rsid w:val="773C7ABF"/>
    <w:rsid w:val="773D7394"/>
    <w:rsid w:val="774150D6"/>
    <w:rsid w:val="77440722"/>
    <w:rsid w:val="77446974"/>
    <w:rsid w:val="774B075C"/>
    <w:rsid w:val="774C75D7"/>
    <w:rsid w:val="774E334F"/>
    <w:rsid w:val="77562203"/>
    <w:rsid w:val="775766A7"/>
    <w:rsid w:val="775C3CBE"/>
    <w:rsid w:val="77605ECB"/>
    <w:rsid w:val="776155EB"/>
    <w:rsid w:val="7763329E"/>
    <w:rsid w:val="776B3F01"/>
    <w:rsid w:val="776D5ECB"/>
    <w:rsid w:val="777234E1"/>
    <w:rsid w:val="77752FD1"/>
    <w:rsid w:val="77764653"/>
    <w:rsid w:val="777C4360"/>
    <w:rsid w:val="777D1E86"/>
    <w:rsid w:val="77896DD2"/>
    <w:rsid w:val="778E7BEF"/>
    <w:rsid w:val="77901BB9"/>
    <w:rsid w:val="779276DF"/>
    <w:rsid w:val="77935205"/>
    <w:rsid w:val="7798281C"/>
    <w:rsid w:val="779A2A38"/>
    <w:rsid w:val="779D6084"/>
    <w:rsid w:val="77A13DC6"/>
    <w:rsid w:val="77A4B16C"/>
    <w:rsid w:val="77A86F03"/>
    <w:rsid w:val="77AD62C7"/>
    <w:rsid w:val="77AE203F"/>
    <w:rsid w:val="77B51620"/>
    <w:rsid w:val="77B91110"/>
    <w:rsid w:val="77B96808"/>
    <w:rsid w:val="77BA4E88"/>
    <w:rsid w:val="77BF424C"/>
    <w:rsid w:val="77C019A9"/>
    <w:rsid w:val="77C16217"/>
    <w:rsid w:val="77C402E0"/>
    <w:rsid w:val="77C655DB"/>
    <w:rsid w:val="77CA0A7C"/>
    <w:rsid w:val="77CB0E43"/>
    <w:rsid w:val="77CF345E"/>
    <w:rsid w:val="77D73080"/>
    <w:rsid w:val="77D73344"/>
    <w:rsid w:val="77D7E01F"/>
    <w:rsid w:val="77DA1086"/>
    <w:rsid w:val="77DE2925"/>
    <w:rsid w:val="77E67A2B"/>
    <w:rsid w:val="77E837A3"/>
    <w:rsid w:val="77EB3293"/>
    <w:rsid w:val="77F263D0"/>
    <w:rsid w:val="77F43248"/>
    <w:rsid w:val="77F43EF6"/>
    <w:rsid w:val="78061E7B"/>
    <w:rsid w:val="780B1240"/>
    <w:rsid w:val="780F6F82"/>
    <w:rsid w:val="78130758"/>
    <w:rsid w:val="781520BE"/>
    <w:rsid w:val="781A76D5"/>
    <w:rsid w:val="781C344D"/>
    <w:rsid w:val="781F4CEB"/>
    <w:rsid w:val="78283BA0"/>
    <w:rsid w:val="782A7F03"/>
    <w:rsid w:val="78324A1E"/>
    <w:rsid w:val="78342545"/>
    <w:rsid w:val="783553B5"/>
    <w:rsid w:val="7840713B"/>
    <w:rsid w:val="78414C61"/>
    <w:rsid w:val="78436C2C"/>
    <w:rsid w:val="784529A4"/>
    <w:rsid w:val="78462278"/>
    <w:rsid w:val="7847671C"/>
    <w:rsid w:val="784F55D0"/>
    <w:rsid w:val="78574485"/>
    <w:rsid w:val="785B3F75"/>
    <w:rsid w:val="785C1A9B"/>
    <w:rsid w:val="785E3900"/>
    <w:rsid w:val="786077DD"/>
    <w:rsid w:val="78670B6C"/>
    <w:rsid w:val="78685455"/>
    <w:rsid w:val="786D3CA8"/>
    <w:rsid w:val="78713799"/>
    <w:rsid w:val="78714583"/>
    <w:rsid w:val="7879089F"/>
    <w:rsid w:val="788C2381"/>
    <w:rsid w:val="7892370F"/>
    <w:rsid w:val="789456D9"/>
    <w:rsid w:val="789B25C4"/>
    <w:rsid w:val="78A27DF6"/>
    <w:rsid w:val="78A43B6E"/>
    <w:rsid w:val="78AC2A23"/>
    <w:rsid w:val="78AC47D1"/>
    <w:rsid w:val="78AF42C1"/>
    <w:rsid w:val="78B813C8"/>
    <w:rsid w:val="78BE2756"/>
    <w:rsid w:val="78C0027C"/>
    <w:rsid w:val="78C7785D"/>
    <w:rsid w:val="78CD525D"/>
    <w:rsid w:val="78CF4EC4"/>
    <w:rsid w:val="78D45AD6"/>
    <w:rsid w:val="78DE0702"/>
    <w:rsid w:val="78E17AF7"/>
    <w:rsid w:val="78E75809"/>
    <w:rsid w:val="78EA354B"/>
    <w:rsid w:val="78EC2E1F"/>
    <w:rsid w:val="78F10436"/>
    <w:rsid w:val="78F41CD4"/>
    <w:rsid w:val="78F817C4"/>
    <w:rsid w:val="78FF6FF6"/>
    <w:rsid w:val="790740FD"/>
    <w:rsid w:val="790E2D96"/>
    <w:rsid w:val="79195106"/>
    <w:rsid w:val="792702FB"/>
    <w:rsid w:val="79273E57"/>
    <w:rsid w:val="792C5912"/>
    <w:rsid w:val="792C76C0"/>
    <w:rsid w:val="792E168A"/>
    <w:rsid w:val="79330A4E"/>
    <w:rsid w:val="794763E3"/>
    <w:rsid w:val="794964C4"/>
    <w:rsid w:val="794A5D98"/>
    <w:rsid w:val="795135CA"/>
    <w:rsid w:val="79515378"/>
    <w:rsid w:val="79590705"/>
    <w:rsid w:val="79616DC4"/>
    <w:rsid w:val="79646E59"/>
    <w:rsid w:val="79652BD2"/>
    <w:rsid w:val="79690914"/>
    <w:rsid w:val="796B01E8"/>
    <w:rsid w:val="796D2246"/>
    <w:rsid w:val="796E5F2A"/>
    <w:rsid w:val="797177C8"/>
    <w:rsid w:val="797B41A3"/>
    <w:rsid w:val="797D7F1B"/>
    <w:rsid w:val="798E037A"/>
    <w:rsid w:val="79927E6B"/>
    <w:rsid w:val="79960FDD"/>
    <w:rsid w:val="79987C90"/>
    <w:rsid w:val="799A0ACD"/>
    <w:rsid w:val="799F465D"/>
    <w:rsid w:val="79AD6A52"/>
    <w:rsid w:val="79B37DE1"/>
    <w:rsid w:val="79B576B5"/>
    <w:rsid w:val="79BDAB9F"/>
    <w:rsid w:val="79C478F8"/>
    <w:rsid w:val="79C8388C"/>
    <w:rsid w:val="79C913B2"/>
    <w:rsid w:val="79CE69C9"/>
    <w:rsid w:val="79D00993"/>
    <w:rsid w:val="79D0629D"/>
    <w:rsid w:val="79D35D8D"/>
    <w:rsid w:val="79DD09BA"/>
    <w:rsid w:val="79DD6C0C"/>
    <w:rsid w:val="79DF0BD6"/>
    <w:rsid w:val="79E61F64"/>
    <w:rsid w:val="79E820BE"/>
    <w:rsid w:val="79EB1329"/>
    <w:rsid w:val="79ED50A1"/>
    <w:rsid w:val="79EE2BC7"/>
    <w:rsid w:val="7A04063C"/>
    <w:rsid w:val="7A044199"/>
    <w:rsid w:val="7A0917AF"/>
    <w:rsid w:val="7A095DCE"/>
    <w:rsid w:val="7A0A5C53"/>
    <w:rsid w:val="7A0E55E5"/>
    <w:rsid w:val="7A102B3D"/>
    <w:rsid w:val="7A127EC7"/>
    <w:rsid w:val="7A140880"/>
    <w:rsid w:val="7A230AC3"/>
    <w:rsid w:val="7A252A8D"/>
    <w:rsid w:val="7A262361"/>
    <w:rsid w:val="7A27429B"/>
    <w:rsid w:val="7A28761C"/>
    <w:rsid w:val="7A2B7977"/>
    <w:rsid w:val="7A301431"/>
    <w:rsid w:val="7A3031E0"/>
    <w:rsid w:val="7A304F8E"/>
    <w:rsid w:val="7A432F13"/>
    <w:rsid w:val="7A4A42A1"/>
    <w:rsid w:val="7A4E3666"/>
    <w:rsid w:val="7A5C2227"/>
    <w:rsid w:val="7A5E0E2C"/>
    <w:rsid w:val="7A5E5F9F"/>
    <w:rsid w:val="7A603AC5"/>
    <w:rsid w:val="7A6335B5"/>
    <w:rsid w:val="7A6510DB"/>
    <w:rsid w:val="7A792DD8"/>
    <w:rsid w:val="7A794B87"/>
    <w:rsid w:val="7A7B08FF"/>
    <w:rsid w:val="7A7C01D3"/>
    <w:rsid w:val="7A85665E"/>
    <w:rsid w:val="7A862644"/>
    <w:rsid w:val="7A911ED0"/>
    <w:rsid w:val="7A9714CA"/>
    <w:rsid w:val="7A97325F"/>
    <w:rsid w:val="7A9B68AB"/>
    <w:rsid w:val="7A9D6AC7"/>
    <w:rsid w:val="7AA53BCD"/>
    <w:rsid w:val="7AAA4D40"/>
    <w:rsid w:val="7AAB2866"/>
    <w:rsid w:val="7AB83901"/>
    <w:rsid w:val="7AC322A6"/>
    <w:rsid w:val="7AC35E02"/>
    <w:rsid w:val="7AC53928"/>
    <w:rsid w:val="7AC758F2"/>
    <w:rsid w:val="7ACA7190"/>
    <w:rsid w:val="7ACB4CB6"/>
    <w:rsid w:val="7ACD0A2E"/>
    <w:rsid w:val="7ACE4ED2"/>
    <w:rsid w:val="7AD1051F"/>
    <w:rsid w:val="7AD324E9"/>
    <w:rsid w:val="7AD4000F"/>
    <w:rsid w:val="7AD973D3"/>
    <w:rsid w:val="7ADC6EC3"/>
    <w:rsid w:val="7AE244DA"/>
    <w:rsid w:val="7AEF46D7"/>
    <w:rsid w:val="7AF07139"/>
    <w:rsid w:val="7AF16AD7"/>
    <w:rsid w:val="7B022DCE"/>
    <w:rsid w:val="7B0326A2"/>
    <w:rsid w:val="7B072192"/>
    <w:rsid w:val="7B0C1557"/>
    <w:rsid w:val="7B114DBF"/>
    <w:rsid w:val="7B116B6D"/>
    <w:rsid w:val="7B1B3E90"/>
    <w:rsid w:val="7B1E74DC"/>
    <w:rsid w:val="7B263617"/>
    <w:rsid w:val="7B2F16E9"/>
    <w:rsid w:val="7B2F250F"/>
    <w:rsid w:val="7B310FBD"/>
    <w:rsid w:val="7B3960C4"/>
    <w:rsid w:val="7B4128F5"/>
    <w:rsid w:val="7B450F17"/>
    <w:rsid w:val="7B4927AB"/>
    <w:rsid w:val="7B524756"/>
    <w:rsid w:val="7B551150"/>
    <w:rsid w:val="7B5A49B8"/>
    <w:rsid w:val="7B5A6766"/>
    <w:rsid w:val="7B607AF4"/>
    <w:rsid w:val="7B6273C9"/>
    <w:rsid w:val="7B65510B"/>
    <w:rsid w:val="7B66335D"/>
    <w:rsid w:val="7B681A01"/>
    <w:rsid w:val="7B723DB6"/>
    <w:rsid w:val="7B7517F2"/>
    <w:rsid w:val="7B786BEC"/>
    <w:rsid w:val="7B7A6E08"/>
    <w:rsid w:val="7B86410F"/>
    <w:rsid w:val="7B89346F"/>
    <w:rsid w:val="7B915F00"/>
    <w:rsid w:val="7B9B4B89"/>
    <w:rsid w:val="7BA7127F"/>
    <w:rsid w:val="7BAB0715"/>
    <w:rsid w:val="7BB20608"/>
    <w:rsid w:val="7BB33D05"/>
    <w:rsid w:val="7BBA0FB3"/>
    <w:rsid w:val="7BBD0AA3"/>
    <w:rsid w:val="7BC167E5"/>
    <w:rsid w:val="7BCB27EE"/>
    <w:rsid w:val="7BCE0F02"/>
    <w:rsid w:val="7BCF5A02"/>
    <w:rsid w:val="7BD3539E"/>
    <w:rsid w:val="7BD5403F"/>
    <w:rsid w:val="7BD77DB7"/>
    <w:rsid w:val="7BE75B20"/>
    <w:rsid w:val="7BEB1AB4"/>
    <w:rsid w:val="7BEB3862"/>
    <w:rsid w:val="7BEB5610"/>
    <w:rsid w:val="7BFA1CF7"/>
    <w:rsid w:val="7C09018C"/>
    <w:rsid w:val="7C090BD4"/>
    <w:rsid w:val="7C0B7A60"/>
    <w:rsid w:val="7C1F175E"/>
    <w:rsid w:val="7C211032"/>
    <w:rsid w:val="7C286864"/>
    <w:rsid w:val="7C2B3C5E"/>
    <w:rsid w:val="7C321491"/>
    <w:rsid w:val="7C3A20F4"/>
    <w:rsid w:val="7C3E7E36"/>
    <w:rsid w:val="7C47478B"/>
    <w:rsid w:val="7C482A62"/>
    <w:rsid w:val="7C4D0079"/>
    <w:rsid w:val="7C52743D"/>
    <w:rsid w:val="7C570EF7"/>
    <w:rsid w:val="7C574A54"/>
    <w:rsid w:val="7C5B09E8"/>
    <w:rsid w:val="7C5E4034"/>
    <w:rsid w:val="7C6158D2"/>
    <w:rsid w:val="7C7C270C"/>
    <w:rsid w:val="7C7E46D6"/>
    <w:rsid w:val="7C80044E"/>
    <w:rsid w:val="7C815F74"/>
    <w:rsid w:val="7C9020F0"/>
    <w:rsid w:val="7C907F65"/>
    <w:rsid w:val="7C9C2DAE"/>
    <w:rsid w:val="7C9E08D4"/>
    <w:rsid w:val="7CA13075"/>
    <w:rsid w:val="7CAB4D9F"/>
    <w:rsid w:val="7CAD4FBB"/>
    <w:rsid w:val="7CB02B6A"/>
    <w:rsid w:val="7CB1685A"/>
    <w:rsid w:val="7CB42860"/>
    <w:rsid w:val="7CB504C8"/>
    <w:rsid w:val="7CBC51FE"/>
    <w:rsid w:val="7CBE4AD3"/>
    <w:rsid w:val="7CC059B8"/>
    <w:rsid w:val="7CC3033B"/>
    <w:rsid w:val="7CC40628"/>
    <w:rsid w:val="7CC52305"/>
    <w:rsid w:val="7CC83BA3"/>
    <w:rsid w:val="7CCF0A8E"/>
    <w:rsid w:val="7CD97B5E"/>
    <w:rsid w:val="7CDD764F"/>
    <w:rsid w:val="7CE54755"/>
    <w:rsid w:val="7CEF2EDE"/>
    <w:rsid w:val="7D021F92"/>
    <w:rsid w:val="7D0270B5"/>
    <w:rsid w:val="7D0A5F6A"/>
    <w:rsid w:val="7D0B583E"/>
    <w:rsid w:val="7D0D60D3"/>
    <w:rsid w:val="7D1312C2"/>
    <w:rsid w:val="7D142945"/>
    <w:rsid w:val="7D1666BD"/>
    <w:rsid w:val="7D1C7A4B"/>
    <w:rsid w:val="7D1E5E01"/>
    <w:rsid w:val="7D225061"/>
    <w:rsid w:val="7D225E49"/>
    <w:rsid w:val="7D24527D"/>
    <w:rsid w:val="7D284642"/>
    <w:rsid w:val="7D2C7C8E"/>
    <w:rsid w:val="7D315490"/>
    <w:rsid w:val="7D36003F"/>
    <w:rsid w:val="7D360B0D"/>
    <w:rsid w:val="7D364FB1"/>
    <w:rsid w:val="7D376633"/>
    <w:rsid w:val="7D3923AB"/>
    <w:rsid w:val="7D3B6123"/>
    <w:rsid w:val="7D3D1E9B"/>
    <w:rsid w:val="7D425312"/>
    <w:rsid w:val="7D4C427B"/>
    <w:rsid w:val="7D4E22FA"/>
    <w:rsid w:val="7D4F1BCF"/>
    <w:rsid w:val="7D60202E"/>
    <w:rsid w:val="7D620E6E"/>
    <w:rsid w:val="7D676F18"/>
    <w:rsid w:val="7D6A644C"/>
    <w:rsid w:val="7D6C6CD2"/>
    <w:rsid w:val="7D6E02A7"/>
    <w:rsid w:val="7D6F2271"/>
    <w:rsid w:val="7D715FE9"/>
    <w:rsid w:val="7D7B29C4"/>
    <w:rsid w:val="7D7F0706"/>
    <w:rsid w:val="7D821FA4"/>
    <w:rsid w:val="7D845D1C"/>
    <w:rsid w:val="7D990F1D"/>
    <w:rsid w:val="7DA10BFA"/>
    <w:rsid w:val="7DA95783"/>
    <w:rsid w:val="7DB163E5"/>
    <w:rsid w:val="7DB44158"/>
    <w:rsid w:val="7DC124DF"/>
    <w:rsid w:val="7DC46119"/>
    <w:rsid w:val="7DC600E3"/>
    <w:rsid w:val="7DC66335"/>
    <w:rsid w:val="7DC71FDC"/>
    <w:rsid w:val="7DCB56F9"/>
    <w:rsid w:val="7DDB3462"/>
    <w:rsid w:val="7DEC38C1"/>
    <w:rsid w:val="7DED1B13"/>
    <w:rsid w:val="7DF369FE"/>
    <w:rsid w:val="7DFC3B04"/>
    <w:rsid w:val="7E002EC9"/>
    <w:rsid w:val="7E0B3D48"/>
    <w:rsid w:val="7E0B46AE"/>
    <w:rsid w:val="7E10135E"/>
    <w:rsid w:val="7E1150D6"/>
    <w:rsid w:val="7E176B90"/>
    <w:rsid w:val="7E244E09"/>
    <w:rsid w:val="7E2E3EDA"/>
    <w:rsid w:val="7E307C52"/>
    <w:rsid w:val="7E372D8F"/>
    <w:rsid w:val="7E374B3D"/>
    <w:rsid w:val="7E3A63DB"/>
    <w:rsid w:val="7E3E411D"/>
    <w:rsid w:val="7E53749D"/>
    <w:rsid w:val="7E5B252E"/>
    <w:rsid w:val="7E5C45A3"/>
    <w:rsid w:val="7E663674"/>
    <w:rsid w:val="7E694F12"/>
    <w:rsid w:val="7E6E2E4D"/>
    <w:rsid w:val="7E6F077A"/>
    <w:rsid w:val="7E703551"/>
    <w:rsid w:val="7E722019"/>
    <w:rsid w:val="7E7676CE"/>
    <w:rsid w:val="7E7A711F"/>
    <w:rsid w:val="7E8104AE"/>
    <w:rsid w:val="7E81400A"/>
    <w:rsid w:val="7E834226"/>
    <w:rsid w:val="7E837D82"/>
    <w:rsid w:val="7E9B156F"/>
    <w:rsid w:val="7E9C12B5"/>
    <w:rsid w:val="7EAF0B77"/>
    <w:rsid w:val="7EB51F05"/>
    <w:rsid w:val="7EB5472F"/>
    <w:rsid w:val="7EBB39C0"/>
    <w:rsid w:val="7EBC7738"/>
    <w:rsid w:val="7EBD6A6B"/>
    <w:rsid w:val="7EBE278D"/>
    <w:rsid w:val="7EBE6F11"/>
    <w:rsid w:val="7EBE700C"/>
    <w:rsid w:val="7EC02D84"/>
    <w:rsid w:val="7EC108AA"/>
    <w:rsid w:val="7EC40A46"/>
    <w:rsid w:val="7EC565EC"/>
    <w:rsid w:val="7EC81C39"/>
    <w:rsid w:val="7ED54355"/>
    <w:rsid w:val="7EE06F82"/>
    <w:rsid w:val="7EE2719E"/>
    <w:rsid w:val="7EE30DF1"/>
    <w:rsid w:val="7EE60311"/>
    <w:rsid w:val="7EED78F1"/>
    <w:rsid w:val="7EEF18BB"/>
    <w:rsid w:val="7EF23159"/>
    <w:rsid w:val="7EF26CB5"/>
    <w:rsid w:val="7EFC5D86"/>
    <w:rsid w:val="7F01514B"/>
    <w:rsid w:val="7F0215EE"/>
    <w:rsid w:val="7F0F1615"/>
    <w:rsid w:val="7F121106"/>
    <w:rsid w:val="7F17496E"/>
    <w:rsid w:val="7F1B26B0"/>
    <w:rsid w:val="7F272E03"/>
    <w:rsid w:val="7F280929"/>
    <w:rsid w:val="7F2826D7"/>
    <w:rsid w:val="7F3217A8"/>
    <w:rsid w:val="7F364DF4"/>
    <w:rsid w:val="7F4B32F8"/>
    <w:rsid w:val="7F533BF8"/>
    <w:rsid w:val="7F546400"/>
    <w:rsid w:val="7F596D35"/>
    <w:rsid w:val="7F5B0CFF"/>
    <w:rsid w:val="7F5D6825"/>
    <w:rsid w:val="7F6000C3"/>
    <w:rsid w:val="7F604567"/>
    <w:rsid w:val="7F627118"/>
    <w:rsid w:val="7F63675D"/>
    <w:rsid w:val="7F6A0F42"/>
    <w:rsid w:val="7F743B6E"/>
    <w:rsid w:val="7F765B38"/>
    <w:rsid w:val="7F7D2A23"/>
    <w:rsid w:val="7F7E49ED"/>
    <w:rsid w:val="7F806B50"/>
    <w:rsid w:val="7F833D8D"/>
    <w:rsid w:val="7F89586C"/>
    <w:rsid w:val="7F8A4872"/>
    <w:rsid w:val="7F8B1AD7"/>
    <w:rsid w:val="7F8B748D"/>
    <w:rsid w:val="7F985AAF"/>
    <w:rsid w:val="7F9F0DD2"/>
    <w:rsid w:val="7FA44454"/>
    <w:rsid w:val="7FA91A6A"/>
    <w:rsid w:val="7FB14DC3"/>
    <w:rsid w:val="7FB81CAD"/>
    <w:rsid w:val="7FB83A5B"/>
    <w:rsid w:val="7FBE4DEA"/>
    <w:rsid w:val="7FC22B2C"/>
    <w:rsid w:val="7FC76394"/>
    <w:rsid w:val="7FCB7C32"/>
    <w:rsid w:val="7FCC24B4"/>
    <w:rsid w:val="7FCC7507"/>
    <w:rsid w:val="7FCE59B4"/>
    <w:rsid w:val="7FCE7723"/>
    <w:rsid w:val="7FCF6FF7"/>
    <w:rsid w:val="7FD840FD"/>
    <w:rsid w:val="7FE24F7C"/>
    <w:rsid w:val="7FE42AA2"/>
    <w:rsid w:val="7FE44850"/>
    <w:rsid w:val="7FE50608"/>
    <w:rsid w:val="7FEE56CF"/>
    <w:rsid w:val="7FF30F37"/>
    <w:rsid w:val="7FF802FC"/>
    <w:rsid w:val="7FF8654D"/>
    <w:rsid w:val="7FFA22C6"/>
    <w:rsid w:val="7FFA4074"/>
    <w:rsid w:val="7FFC4290"/>
    <w:rsid w:val="7FFD1DB6"/>
    <w:rsid w:val="7FFF0BDD"/>
    <w:rsid w:val="7FFF5B2E"/>
    <w:rsid w:val="C6F59F19"/>
    <w:rsid w:val="CCEFA273"/>
    <w:rsid w:val="DFAF5612"/>
    <w:rsid w:val="DFDFCC9C"/>
    <w:rsid w:val="EDBF7CB5"/>
    <w:rsid w:val="EFFB1F03"/>
    <w:rsid w:val="F07FC2EE"/>
    <w:rsid w:val="FAFFB51B"/>
    <w:rsid w:val="FCFE2E2A"/>
    <w:rsid w:val="FDF37C42"/>
    <w:rsid w:val="FED6F3DF"/>
    <w:rsid w:val="FEF68059"/>
    <w:rsid w:val="FF5F336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8"/>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4">
    <w:name w:val="heading 2"/>
    <w:basedOn w:val="1"/>
    <w:next w:val="1"/>
    <w:link w:val="47"/>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5">
    <w:name w:val="heading 3"/>
    <w:basedOn w:val="1"/>
    <w:next w:val="1"/>
    <w:link w:val="49"/>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2">
    <w:name w:val="heading 4"/>
    <w:basedOn w:val="1"/>
    <w:next w:val="1"/>
    <w:link w:val="50"/>
    <w:qFormat/>
    <w:uiPriority w:val="0"/>
    <w:pPr>
      <w:keepNext/>
      <w:keepLines/>
      <w:numPr>
        <w:ilvl w:val="3"/>
        <w:numId w:val="1"/>
      </w:numPr>
      <w:spacing w:before="280" w:after="290" w:line="376" w:lineRule="auto"/>
      <w:outlineLvl w:val="3"/>
    </w:pPr>
    <w:rPr>
      <w:rFonts w:ascii="Arial" w:hAnsi="Arial" w:eastAsia="黑体"/>
      <w:b/>
      <w:bCs/>
      <w:sz w:val="28"/>
      <w:szCs w:val="28"/>
    </w:rPr>
  </w:style>
  <w:style w:type="paragraph" w:styleId="6">
    <w:name w:val="heading 5"/>
    <w:basedOn w:val="1"/>
    <w:next w:val="1"/>
    <w:link w:val="51"/>
    <w:qFormat/>
    <w:uiPriority w:val="0"/>
    <w:pPr>
      <w:keepNext/>
      <w:keepLines/>
      <w:numPr>
        <w:ilvl w:val="4"/>
        <w:numId w:val="1"/>
      </w:numPr>
      <w:spacing w:before="280" w:after="290" w:line="376" w:lineRule="auto"/>
      <w:outlineLvl w:val="4"/>
    </w:pPr>
    <w:rPr>
      <w:b/>
      <w:sz w:val="28"/>
      <w:szCs w:val="20"/>
    </w:rPr>
  </w:style>
  <w:style w:type="paragraph" w:styleId="7">
    <w:name w:val="heading 6"/>
    <w:basedOn w:val="1"/>
    <w:next w:val="1"/>
    <w:link w:val="52"/>
    <w:qFormat/>
    <w:uiPriority w:val="0"/>
    <w:pPr>
      <w:keepNext/>
      <w:keepLines/>
      <w:numPr>
        <w:ilvl w:val="5"/>
        <w:numId w:val="1"/>
      </w:numPr>
      <w:spacing w:before="240" w:after="64" w:line="320" w:lineRule="auto"/>
      <w:outlineLvl w:val="5"/>
    </w:pPr>
    <w:rPr>
      <w:rFonts w:ascii="Arial" w:hAnsi="Arial" w:eastAsia="黑体"/>
      <w:b/>
      <w:szCs w:val="20"/>
    </w:rPr>
  </w:style>
  <w:style w:type="character" w:default="1" w:styleId="41">
    <w:name w:val="Default Paragraph Font"/>
    <w:semiHidden/>
    <w:qFormat/>
    <w:uiPriority w:val="0"/>
  </w:style>
  <w:style w:type="table" w:default="1" w:styleId="39">
    <w:name w:val="Normal Table"/>
    <w:semiHidden/>
    <w:qFormat/>
    <w:uiPriority w:val="0"/>
    <w:pPr>
      <w:keepNext w:val="0"/>
      <w:keepLines w:val="0"/>
      <w:widowControl/>
      <w:suppressLineNumbers w:val="0"/>
      <w:spacing w:before="0" w:beforeAutospacing="0" w:after="0" w:afterAutospacing="0"/>
      <w:ind w:left="0" w:right="0"/>
    </w:pPr>
    <w:rPr>
      <w:rFonts w:ascii="Calibri" w:hAnsi="Calibri" w:cs="Calibri"/>
      <w:kern w:val="2"/>
      <w:sz w:val="21"/>
      <w:szCs w:val="22"/>
    </w:rPr>
    <w:tblPr>
      <w:tblCellMar>
        <w:top w:w="0" w:type="dxa"/>
        <w:left w:w="108" w:type="dxa"/>
        <w:bottom w:w="0" w:type="dxa"/>
        <w:right w:w="108" w:type="dxa"/>
      </w:tblCellMar>
    </w:tblPr>
  </w:style>
  <w:style w:type="paragraph" w:styleId="8">
    <w:name w:val="toc 7"/>
    <w:basedOn w:val="1"/>
    <w:next w:val="1"/>
    <w:link w:val="53"/>
    <w:qFormat/>
    <w:uiPriority w:val="39"/>
    <w:pPr>
      <w:ind w:left="2520" w:leftChars="1200"/>
    </w:pPr>
  </w:style>
  <w:style w:type="paragraph" w:styleId="9">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10">
    <w:name w:val="toa heading"/>
    <w:basedOn w:val="1"/>
    <w:next w:val="1"/>
    <w:unhideWhenUsed/>
    <w:qFormat/>
    <w:uiPriority w:val="0"/>
    <w:pPr>
      <w:spacing w:before="120" w:beforeLines="0" w:afterLines="0"/>
    </w:pPr>
    <w:rPr>
      <w:rFonts w:hint="default" w:ascii="Cambria" w:hAnsi="Cambria"/>
      <w:sz w:val="24"/>
    </w:rPr>
  </w:style>
  <w:style w:type="paragraph" w:styleId="11">
    <w:name w:val="annotation text"/>
    <w:basedOn w:val="1"/>
    <w:link w:val="54"/>
    <w:qFormat/>
    <w:uiPriority w:val="99"/>
    <w:pPr>
      <w:jc w:val="left"/>
    </w:pPr>
  </w:style>
  <w:style w:type="paragraph" w:styleId="12">
    <w:name w:val="Body Text"/>
    <w:basedOn w:val="1"/>
    <w:next w:val="13"/>
    <w:link w:val="55"/>
    <w:qFormat/>
    <w:uiPriority w:val="0"/>
    <w:pPr>
      <w:tabs>
        <w:tab w:val="left" w:pos="567"/>
      </w:tabs>
      <w:spacing w:before="120" w:line="22" w:lineRule="atLeast"/>
    </w:pPr>
    <w:rPr>
      <w:rFonts w:ascii="宋体" w:hAnsi="宋体"/>
      <w:sz w:val="24"/>
    </w:rPr>
  </w:style>
  <w:style w:type="paragraph" w:customStyle="1" w:styleId="13">
    <w:name w:val="Default"/>
    <w:qFormat/>
    <w:uiPriority w:val="0"/>
    <w:pPr>
      <w:widowControl w:val="0"/>
      <w:autoSpaceDE w:val="0"/>
      <w:autoSpaceDN w:val="0"/>
    </w:pPr>
    <w:rPr>
      <w:rFonts w:ascii="宋体" w:hAnsi="Calibri" w:eastAsia="宋体" w:cs="宋体"/>
      <w:color w:val="000000"/>
      <w:sz w:val="24"/>
      <w:szCs w:val="24"/>
      <w:lang w:val="en-US" w:eastAsia="zh-CN" w:bidi="ar-SA"/>
    </w:rPr>
  </w:style>
  <w:style w:type="paragraph" w:styleId="14">
    <w:name w:val="Body Text Indent"/>
    <w:basedOn w:val="1"/>
    <w:qFormat/>
    <w:uiPriority w:val="0"/>
    <w:pPr>
      <w:spacing w:line="360" w:lineRule="auto"/>
      <w:ind w:firstLine="570"/>
    </w:pPr>
    <w:rPr>
      <w:sz w:val="24"/>
    </w:rPr>
  </w:style>
  <w:style w:type="paragraph" w:styleId="15">
    <w:name w:val="toc 5"/>
    <w:basedOn w:val="1"/>
    <w:next w:val="1"/>
    <w:qFormat/>
    <w:uiPriority w:val="39"/>
    <w:pPr>
      <w:ind w:left="1680" w:leftChars="800"/>
    </w:pPr>
  </w:style>
  <w:style w:type="paragraph" w:styleId="16">
    <w:name w:val="toc 3"/>
    <w:basedOn w:val="1"/>
    <w:next w:val="1"/>
    <w:qFormat/>
    <w:uiPriority w:val="39"/>
    <w:pPr>
      <w:tabs>
        <w:tab w:val="left" w:pos="1260"/>
        <w:tab w:val="right" w:leader="dot" w:pos="8630"/>
      </w:tabs>
      <w:ind w:left="840" w:leftChars="400"/>
    </w:pPr>
  </w:style>
  <w:style w:type="paragraph" w:styleId="17">
    <w:name w:val="Plain Text"/>
    <w:basedOn w:val="1"/>
    <w:link w:val="56"/>
    <w:qFormat/>
    <w:uiPriority w:val="0"/>
    <w:rPr>
      <w:rFonts w:ascii="宋体" w:hAnsi="Courier New"/>
      <w:szCs w:val="20"/>
    </w:rPr>
  </w:style>
  <w:style w:type="paragraph" w:styleId="18">
    <w:name w:val="toc 8"/>
    <w:basedOn w:val="1"/>
    <w:next w:val="1"/>
    <w:qFormat/>
    <w:uiPriority w:val="39"/>
    <w:pPr>
      <w:ind w:left="2940" w:leftChars="1400"/>
    </w:pPr>
  </w:style>
  <w:style w:type="paragraph" w:styleId="19">
    <w:name w:val="Date"/>
    <w:basedOn w:val="1"/>
    <w:next w:val="1"/>
    <w:link w:val="57"/>
    <w:qFormat/>
    <w:uiPriority w:val="0"/>
    <w:pPr>
      <w:ind w:left="100" w:leftChars="2500"/>
    </w:pPr>
    <w:rPr>
      <w:rFonts w:ascii="仿宋_GB2312" w:hAnsi="宋体" w:eastAsia="仿宋_GB2312"/>
      <w:color w:val="000000"/>
      <w:sz w:val="24"/>
    </w:rPr>
  </w:style>
  <w:style w:type="paragraph" w:styleId="20">
    <w:name w:val="Body Text Indent 2"/>
    <w:basedOn w:val="1"/>
    <w:link w:val="58"/>
    <w:qFormat/>
    <w:uiPriority w:val="0"/>
    <w:pPr>
      <w:ind w:firstLine="480" w:firstLineChars="200"/>
    </w:pPr>
    <w:rPr>
      <w:rFonts w:ascii="仿宋_GB2312" w:eastAsia="仿宋_GB2312"/>
      <w:sz w:val="24"/>
    </w:rPr>
  </w:style>
  <w:style w:type="paragraph" w:styleId="21">
    <w:name w:val="Balloon Text"/>
    <w:basedOn w:val="1"/>
    <w:link w:val="59"/>
    <w:qFormat/>
    <w:uiPriority w:val="0"/>
    <w:rPr>
      <w:sz w:val="18"/>
      <w:szCs w:val="18"/>
    </w:rPr>
  </w:style>
  <w:style w:type="paragraph" w:styleId="22">
    <w:name w:val="footer"/>
    <w:basedOn w:val="1"/>
    <w:qFormat/>
    <w:uiPriority w:val="0"/>
    <w:pPr>
      <w:tabs>
        <w:tab w:val="center" w:pos="4153"/>
        <w:tab w:val="right" w:pos="8306"/>
      </w:tabs>
      <w:snapToGrid w:val="0"/>
      <w:jc w:val="left"/>
    </w:pPr>
    <w:rPr>
      <w:sz w:val="18"/>
    </w:rPr>
  </w:style>
  <w:style w:type="paragraph" w:styleId="23">
    <w:name w:val="header"/>
    <w:basedOn w:val="1"/>
    <w:link w:val="60"/>
    <w:qFormat/>
    <w:uiPriority w:val="0"/>
    <w:pPr>
      <w:pBdr>
        <w:bottom w:val="single" w:color="auto" w:sz="6" w:space="1"/>
      </w:pBdr>
      <w:tabs>
        <w:tab w:val="center" w:pos="4153"/>
        <w:tab w:val="right" w:pos="8306"/>
      </w:tabs>
      <w:snapToGrid w:val="0"/>
      <w:jc w:val="center"/>
    </w:pPr>
    <w:rPr>
      <w:sz w:val="18"/>
      <w:szCs w:val="18"/>
    </w:rPr>
  </w:style>
  <w:style w:type="paragraph" w:styleId="24">
    <w:name w:val="toc 1"/>
    <w:basedOn w:val="1"/>
    <w:next w:val="1"/>
    <w:qFormat/>
    <w:uiPriority w:val="39"/>
  </w:style>
  <w:style w:type="paragraph" w:styleId="25">
    <w:name w:val="toc 4"/>
    <w:basedOn w:val="1"/>
    <w:next w:val="1"/>
    <w:qFormat/>
    <w:uiPriority w:val="39"/>
    <w:pPr>
      <w:ind w:left="1260" w:leftChars="600"/>
    </w:pPr>
  </w:style>
  <w:style w:type="paragraph" w:styleId="26">
    <w:name w:val="List"/>
    <w:basedOn w:val="1"/>
    <w:qFormat/>
    <w:uiPriority w:val="0"/>
    <w:pPr>
      <w:keepNext w:val="0"/>
      <w:keepLines w:val="0"/>
      <w:widowControl w:val="0"/>
      <w:suppressLineNumbers w:val="0"/>
      <w:adjustRightInd w:val="0"/>
      <w:snapToGrid w:val="0"/>
      <w:spacing w:before="0" w:beforeAutospacing="0" w:after="0" w:afterAutospacing="0" w:line="360" w:lineRule="auto"/>
      <w:ind w:left="200" w:right="0" w:hanging="200" w:hangingChars="200"/>
      <w:contextualSpacing/>
      <w:jc w:val="both"/>
    </w:pPr>
    <w:rPr>
      <w:rFonts w:hint="eastAsia" w:ascii="宋体" w:hAnsi="Times New Roman" w:eastAsia="宋体" w:cs="Times New Roman"/>
      <w:snapToGrid/>
      <w:kern w:val="0"/>
      <w:sz w:val="24"/>
      <w:szCs w:val="20"/>
      <w:lang w:val="en-US" w:eastAsia="zh-CN" w:bidi="ar"/>
    </w:rPr>
  </w:style>
  <w:style w:type="paragraph" w:styleId="27">
    <w:name w:val="footnote text"/>
    <w:basedOn w:val="1"/>
    <w:next w:val="12"/>
    <w:link w:val="61"/>
    <w:qFormat/>
    <w:uiPriority w:val="0"/>
    <w:pPr>
      <w:keepNext w:val="0"/>
      <w:keepLines w:val="0"/>
      <w:widowControl w:val="0"/>
      <w:suppressLineNumbers w:val="0"/>
      <w:snapToGrid w:val="0"/>
      <w:spacing w:before="0" w:beforeAutospacing="0" w:after="0" w:afterAutospacing="0"/>
      <w:ind w:left="0" w:right="0"/>
      <w:jc w:val="left"/>
    </w:pPr>
    <w:rPr>
      <w:rFonts w:hint="default" w:ascii="Times New Roman" w:hAnsi="Times New Roman" w:eastAsia="宋体" w:cs="Times New Roman"/>
      <w:kern w:val="2"/>
      <w:sz w:val="18"/>
      <w:szCs w:val="18"/>
      <w:lang w:val="en-US" w:eastAsia="zh-CN" w:bidi="ar"/>
    </w:rPr>
  </w:style>
  <w:style w:type="paragraph" w:styleId="28">
    <w:name w:val="toc 6"/>
    <w:basedOn w:val="1"/>
    <w:next w:val="1"/>
    <w:qFormat/>
    <w:uiPriority w:val="39"/>
    <w:pPr>
      <w:ind w:left="2100" w:leftChars="1000"/>
    </w:pPr>
  </w:style>
  <w:style w:type="paragraph" w:styleId="29">
    <w:name w:val="Body Text Indent 3"/>
    <w:basedOn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30">
    <w:name w:val="toc 2"/>
    <w:basedOn w:val="1"/>
    <w:next w:val="1"/>
    <w:qFormat/>
    <w:uiPriority w:val="39"/>
    <w:pPr>
      <w:ind w:left="420" w:leftChars="200"/>
    </w:pPr>
  </w:style>
  <w:style w:type="paragraph" w:styleId="31">
    <w:name w:val="toc 9"/>
    <w:basedOn w:val="1"/>
    <w:next w:val="1"/>
    <w:qFormat/>
    <w:uiPriority w:val="39"/>
    <w:pPr>
      <w:ind w:left="3360" w:leftChars="1600"/>
    </w:pPr>
  </w:style>
  <w:style w:type="paragraph" w:styleId="32">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33">
    <w:name w:val="Normal (Web)"/>
    <w:basedOn w:val="1"/>
    <w:next w:val="1"/>
    <w:qFormat/>
    <w:uiPriority w:val="0"/>
    <w:pPr>
      <w:pBdr>
        <w:top w:val="none" w:color="auto" w:sz="0" w:space="0"/>
        <w:left w:val="none" w:color="auto" w:sz="0" w:space="0"/>
        <w:bottom w:val="none" w:color="auto" w:sz="0" w:space="0"/>
        <w:right w:val="none" w:color="auto" w:sz="0" w:space="0"/>
      </w:pBdr>
      <w:spacing w:before="0" w:beforeAutospacing="0" w:after="0" w:afterAutospacing="0" w:line="270" w:lineRule="atLeast"/>
      <w:ind w:left="0" w:right="0"/>
      <w:jc w:val="left"/>
    </w:pPr>
    <w:rPr>
      <w:color w:val="666666"/>
      <w:kern w:val="0"/>
      <w:sz w:val="24"/>
      <w:lang w:val="en-US" w:eastAsia="zh-CN" w:bidi="ar"/>
    </w:rPr>
  </w:style>
  <w:style w:type="paragraph" w:styleId="34">
    <w:name w:val="index 1"/>
    <w:basedOn w:val="1"/>
    <w:next w:val="1"/>
    <w:semiHidden/>
    <w:qFormat/>
    <w:uiPriority w:val="0"/>
    <w:rPr>
      <w:szCs w:val="20"/>
    </w:rPr>
  </w:style>
  <w:style w:type="paragraph" w:styleId="35">
    <w:name w:val="Title"/>
    <w:basedOn w:val="1"/>
    <w:qFormat/>
    <w:uiPriority w:val="0"/>
    <w:pPr>
      <w:spacing w:before="240" w:after="60"/>
      <w:jc w:val="center"/>
      <w:outlineLvl w:val="0"/>
    </w:pPr>
    <w:rPr>
      <w:rFonts w:ascii="Arial" w:hAnsi="Arial" w:cs="Arial"/>
      <w:b/>
      <w:bCs/>
      <w:sz w:val="32"/>
      <w:szCs w:val="32"/>
    </w:rPr>
  </w:style>
  <w:style w:type="paragraph" w:styleId="36">
    <w:name w:val="annotation subject"/>
    <w:basedOn w:val="11"/>
    <w:next w:val="11"/>
    <w:link w:val="62"/>
    <w:qFormat/>
    <w:uiPriority w:val="0"/>
    <w:rPr>
      <w:b/>
      <w:bCs/>
    </w:rPr>
  </w:style>
  <w:style w:type="paragraph" w:styleId="37">
    <w:name w:val="Body Text First Indent"/>
    <w:basedOn w:val="12"/>
    <w:next w:val="1"/>
    <w:qFormat/>
    <w:uiPriority w:val="0"/>
    <w:pPr>
      <w:widowControl/>
      <w:spacing w:line="312" w:lineRule="auto"/>
      <w:ind w:firstLine="420" w:firstLineChars="100"/>
    </w:pPr>
    <w:rPr>
      <w:rFonts w:hint="eastAsia" w:ascii="微软雅黑" w:hAnsi="微软雅黑" w:eastAsia="微软雅黑" w:cs="微软雅黑"/>
      <w:szCs w:val="21"/>
    </w:rPr>
  </w:style>
  <w:style w:type="paragraph" w:styleId="38">
    <w:name w:val="Body Text First Indent 2"/>
    <w:basedOn w:val="14"/>
    <w:qFormat/>
    <w:uiPriority w:val="0"/>
    <w:pPr>
      <w:ind w:firstLine="420" w:firstLineChars="200"/>
    </w:p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2">
    <w:name w:val="Strong"/>
    <w:basedOn w:val="41"/>
    <w:qFormat/>
    <w:uiPriority w:val="22"/>
    <w:rPr>
      <w:b/>
    </w:rPr>
  </w:style>
  <w:style w:type="character" w:styleId="43">
    <w:name w:val="page number"/>
    <w:basedOn w:val="41"/>
    <w:qFormat/>
    <w:uiPriority w:val="0"/>
  </w:style>
  <w:style w:type="character" w:styleId="44">
    <w:name w:val="Emphasis"/>
    <w:basedOn w:val="41"/>
    <w:qFormat/>
    <w:uiPriority w:val="0"/>
  </w:style>
  <w:style w:type="character" w:styleId="45">
    <w:name w:val="Hyperlink"/>
    <w:basedOn w:val="41"/>
    <w:qFormat/>
    <w:uiPriority w:val="99"/>
    <w:rPr>
      <w:color w:val="2B2B2B"/>
      <w:u w:val="none"/>
    </w:rPr>
  </w:style>
  <w:style w:type="character" w:styleId="46">
    <w:name w:val="annotation reference"/>
    <w:qFormat/>
    <w:uiPriority w:val="99"/>
    <w:rPr>
      <w:sz w:val="21"/>
      <w:szCs w:val="21"/>
    </w:rPr>
  </w:style>
  <w:style w:type="character" w:customStyle="1" w:styleId="47">
    <w:name w:val="标题 2 Char"/>
    <w:link w:val="4"/>
    <w:qFormat/>
    <w:uiPriority w:val="0"/>
    <w:rPr>
      <w:rFonts w:ascii="Arial" w:hAnsi="Arial" w:eastAsia="黑体"/>
      <w:b/>
      <w:sz w:val="30"/>
    </w:rPr>
  </w:style>
  <w:style w:type="character" w:customStyle="1" w:styleId="48">
    <w:name w:val="标题 1 Char"/>
    <w:link w:val="3"/>
    <w:qFormat/>
    <w:uiPriority w:val="0"/>
    <w:rPr>
      <w:rFonts w:ascii="宋体"/>
      <w:b/>
      <w:kern w:val="44"/>
      <w:sz w:val="32"/>
    </w:rPr>
  </w:style>
  <w:style w:type="character" w:customStyle="1" w:styleId="49">
    <w:name w:val="标题 3 Char"/>
    <w:link w:val="5"/>
    <w:qFormat/>
    <w:uiPriority w:val="0"/>
    <w:rPr>
      <w:rFonts w:ascii="宋体"/>
      <w:b/>
      <w:sz w:val="24"/>
      <w:u w:val="single"/>
    </w:rPr>
  </w:style>
  <w:style w:type="character" w:customStyle="1" w:styleId="50">
    <w:name w:val="标题 4 Char"/>
    <w:link w:val="2"/>
    <w:qFormat/>
    <w:uiPriority w:val="0"/>
    <w:rPr>
      <w:rFonts w:ascii="Arial" w:hAnsi="Arial" w:eastAsia="黑体"/>
      <w:b/>
      <w:bCs/>
      <w:sz w:val="28"/>
      <w:szCs w:val="28"/>
    </w:rPr>
  </w:style>
  <w:style w:type="character" w:customStyle="1" w:styleId="51">
    <w:name w:val="标题 5 Char"/>
    <w:link w:val="6"/>
    <w:qFormat/>
    <w:uiPriority w:val="0"/>
    <w:rPr>
      <w:b/>
      <w:sz w:val="28"/>
      <w:szCs w:val="20"/>
    </w:rPr>
  </w:style>
  <w:style w:type="character" w:customStyle="1" w:styleId="52">
    <w:name w:val="标题 6 Char"/>
    <w:link w:val="7"/>
    <w:qFormat/>
    <w:uiPriority w:val="0"/>
    <w:rPr>
      <w:rFonts w:ascii="Arial" w:hAnsi="Arial" w:eastAsia="黑体"/>
      <w:b/>
      <w:szCs w:val="20"/>
    </w:rPr>
  </w:style>
  <w:style w:type="character" w:customStyle="1" w:styleId="53">
    <w:name w:val="目录 7 Char"/>
    <w:link w:val="8"/>
    <w:qFormat/>
    <w:uiPriority w:val="39"/>
  </w:style>
  <w:style w:type="character" w:customStyle="1" w:styleId="54">
    <w:name w:val="批注文字 Char"/>
    <w:link w:val="11"/>
    <w:qFormat/>
    <w:uiPriority w:val="99"/>
    <w:rPr>
      <w:kern w:val="2"/>
      <w:sz w:val="21"/>
      <w:szCs w:val="24"/>
    </w:rPr>
  </w:style>
  <w:style w:type="character" w:customStyle="1" w:styleId="55">
    <w:name w:val="正文文本 Char"/>
    <w:link w:val="12"/>
    <w:qFormat/>
    <w:uiPriority w:val="0"/>
    <w:rPr>
      <w:rFonts w:ascii="宋体" w:hAnsi="宋体"/>
      <w:kern w:val="2"/>
      <w:sz w:val="24"/>
      <w:szCs w:val="24"/>
    </w:rPr>
  </w:style>
  <w:style w:type="character" w:customStyle="1" w:styleId="56">
    <w:name w:val="纯文本 Char"/>
    <w:link w:val="17"/>
    <w:qFormat/>
    <w:uiPriority w:val="0"/>
    <w:rPr>
      <w:rFonts w:ascii="宋体" w:hAnsi="Courier New"/>
      <w:kern w:val="2"/>
      <w:sz w:val="21"/>
    </w:rPr>
  </w:style>
  <w:style w:type="character" w:customStyle="1" w:styleId="57">
    <w:name w:val="日期 Char"/>
    <w:link w:val="19"/>
    <w:qFormat/>
    <w:uiPriority w:val="0"/>
    <w:rPr>
      <w:rFonts w:ascii="仿宋_GB2312" w:hAnsi="宋体" w:eastAsia="仿宋_GB2312"/>
      <w:color w:val="000000"/>
      <w:kern w:val="2"/>
      <w:sz w:val="24"/>
      <w:szCs w:val="24"/>
    </w:rPr>
  </w:style>
  <w:style w:type="character" w:customStyle="1" w:styleId="58">
    <w:name w:val="正文文本缩进 2 Char"/>
    <w:link w:val="20"/>
    <w:qFormat/>
    <w:uiPriority w:val="0"/>
    <w:rPr>
      <w:rFonts w:ascii="仿宋_GB2312" w:eastAsia="仿宋_GB2312"/>
      <w:sz w:val="24"/>
    </w:rPr>
  </w:style>
  <w:style w:type="character" w:customStyle="1" w:styleId="59">
    <w:name w:val="批注框文本 Char"/>
    <w:link w:val="21"/>
    <w:qFormat/>
    <w:uiPriority w:val="0"/>
    <w:rPr>
      <w:kern w:val="2"/>
      <w:sz w:val="18"/>
      <w:szCs w:val="18"/>
    </w:rPr>
  </w:style>
  <w:style w:type="character" w:customStyle="1" w:styleId="60">
    <w:name w:val="页眉 Char"/>
    <w:link w:val="23"/>
    <w:qFormat/>
    <w:uiPriority w:val="0"/>
    <w:rPr>
      <w:kern w:val="2"/>
      <w:sz w:val="18"/>
      <w:szCs w:val="18"/>
    </w:rPr>
  </w:style>
  <w:style w:type="character" w:customStyle="1" w:styleId="61">
    <w:name w:val="脚注文本 Char"/>
    <w:basedOn w:val="41"/>
    <w:link w:val="27"/>
    <w:qFormat/>
    <w:uiPriority w:val="0"/>
    <w:rPr>
      <w:rFonts w:hint="default" w:ascii="Times New Roman" w:hAnsi="Times New Roman" w:eastAsia="宋体" w:cs="Times New Roman"/>
      <w:sz w:val="18"/>
      <w:szCs w:val="18"/>
    </w:rPr>
  </w:style>
  <w:style w:type="character" w:customStyle="1" w:styleId="62">
    <w:name w:val="批注主题 Char"/>
    <w:link w:val="36"/>
    <w:qFormat/>
    <w:uiPriority w:val="0"/>
    <w:rPr>
      <w:b/>
      <w:bCs/>
      <w:kern w:val="2"/>
      <w:sz w:val="21"/>
      <w:szCs w:val="24"/>
    </w:rPr>
  </w:style>
  <w:style w:type="paragraph" w:customStyle="1" w:styleId="63">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64">
    <w:name w:val="表格文字"/>
    <w:basedOn w:val="1"/>
    <w:next w:val="12"/>
    <w:qFormat/>
    <w:uiPriority w:val="0"/>
    <w:pPr>
      <w:spacing w:before="25" w:after="25"/>
      <w:jc w:val="left"/>
    </w:pPr>
    <w:rPr>
      <w:bCs/>
      <w:spacing w:val="10"/>
      <w:kern w:val="0"/>
      <w:sz w:val="24"/>
      <w:szCs w:val="20"/>
    </w:rPr>
  </w:style>
  <w:style w:type="paragraph" w:customStyle="1" w:styleId="65">
    <w:name w:val="正文1"/>
    <w:qFormat/>
    <w:uiPriority w:val="0"/>
    <w:pPr>
      <w:widowControl w:val="0"/>
      <w:adjustRightInd w:val="0"/>
      <w:spacing w:after="160" w:line="312" w:lineRule="atLeast"/>
      <w:jc w:val="both"/>
      <w:textAlignment w:val="baseline"/>
    </w:pPr>
    <w:rPr>
      <w:rFonts w:ascii="宋体" w:hAnsi="Calibri" w:eastAsia="宋体" w:cs="Times New Roman"/>
      <w:sz w:val="34"/>
      <w:szCs w:val="22"/>
      <w:lang w:val="en-US" w:eastAsia="zh-CN" w:bidi="ar-SA"/>
    </w:rPr>
  </w:style>
  <w:style w:type="character" w:customStyle="1" w:styleId="66">
    <w:name w:val="font01"/>
    <w:basedOn w:val="41"/>
    <w:qFormat/>
    <w:uiPriority w:val="0"/>
    <w:rPr>
      <w:rFonts w:hint="eastAsia" w:ascii="宋体" w:hAnsi="宋体" w:eastAsia="宋体" w:cs="宋体"/>
      <w:color w:val="000000"/>
      <w:sz w:val="24"/>
      <w:szCs w:val="24"/>
      <w:u w:val="none"/>
    </w:rPr>
  </w:style>
  <w:style w:type="character" w:customStyle="1" w:styleId="67">
    <w:name w:val="font61"/>
    <w:basedOn w:val="41"/>
    <w:qFormat/>
    <w:uiPriority w:val="0"/>
    <w:rPr>
      <w:rFonts w:hint="eastAsia" w:ascii="仿宋" w:hAnsi="仿宋" w:eastAsia="仿宋" w:cs="仿宋"/>
      <w:color w:val="000000"/>
      <w:sz w:val="24"/>
      <w:szCs w:val="24"/>
      <w:u w:val="none"/>
    </w:rPr>
  </w:style>
  <w:style w:type="character" w:customStyle="1" w:styleId="68">
    <w:name w:val="font11"/>
    <w:basedOn w:val="41"/>
    <w:qFormat/>
    <w:uiPriority w:val="0"/>
    <w:rPr>
      <w:rFonts w:hint="eastAsia" w:ascii="仿宋" w:hAnsi="仿宋" w:eastAsia="仿宋" w:cs="仿宋"/>
      <w:color w:val="000000"/>
      <w:sz w:val="24"/>
      <w:szCs w:val="24"/>
      <w:u w:val="none"/>
    </w:rPr>
  </w:style>
  <w:style w:type="character" w:customStyle="1" w:styleId="69">
    <w:name w:val="正文缩进 Char1"/>
    <w:link w:val="70"/>
    <w:qFormat/>
    <w:uiPriority w:val="0"/>
    <w:rPr>
      <w:rFonts w:ascii="宋体"/>
      <w:sz w:val="24"/>
    </w:rPr>
  </w:style>
  <w:style w:type="paragraph" w:customStyle="1" w:styleId="70">
    <w:name w:val="正文缩进1"/>
    <w:basedOn w:val="1"/>
    <w:link w:val="69"/>
    <w:qFormat/>
    <w:uiPriority w:val="0"/>
    <w:pPr>
      <w:autoSpaceDE w:val="0"/>
      <w:autoSpaceDN w:val="0"/>
      <w:adjustRightInd w:val="0"/>
      <w:ind w:firstLine="420"/>
      <w:jc w:val="left"/>
    </w:pPr>
    <w:rPr>
      <w:rFonts w:ascii="宋体"/>
      <w:kern w:val="0"/>
      <w:sz w:val="24"/>
      <w:szCs w:val="20"/>
    </w:rPr>
  </w:style>
  <w:style w:type="character" w:customStyle="1" w:styleId="71">
    <w:name w:val="font31"/>
    <w:basedOn w:val="41"/>
    <w:qFormat/>
    <w:uiPriority w:val="0"/>
    <w:rPr>
      <w:rFonts w:ascii="Arial" w:hAnsi="Arial" w:cs="Arial"/>
      <w:color w:val="000000"/>
      <w:sz w:val="24"/>
      <w:szCs w:val="24"/>
      <w:u w:val="none"/>
    </w:rPr>
  </w:style>
  <w:style w:type="character" w:customStyle="1" w:styleId="72">
    <w:name w:val="纯文本 Char1"/>
    <w:link w:val="73"/>
    <w:qFormat/>
    <w:uiPriority w:val="0"/>
    <w:rPr>
      <w:rFonts w:ascii="宋体" w:hAnsi="Courier New"/>
    </w:rPr>
  </w:style>
  <w:style w:type="paragraph" w:customStyle="1" w:styleId="73">
    <w:name w:val="纯文本1"/>
    <w:basedOn w:val="1"/>
    <w:link w:val="72"/>
    <w:qFormat/>
    <w:uiPriority w:val="0"/>
    <w:rPr>
      <w:rFonts w:ascii="宋体" w:hAnsi="Courier New"/>
      <w:kern w:val="0"/>
      <w:sz w:val="20"/>
      <w:szCs w:val="20"/>
    </w:rPr>
  </w:style>
  <w:style w:type="character" w:customStyle="1" w:styleId="74">
    <w:name w:val="font91"/>
    <w:basedOn w:val="41"/>
    <w:qFormat/>
    <w:uiPriority w:val="0"/>
    <w:rPr>
      <w:rFonts w:hint="eastAsia" w:ascii="宋体" w:hAnsi="宋体" w:eastAsia="宋体" w:cs="宋体"/>
      <w:color w:val="000000"/>
      <w:sz w:val="21"/>
      <w:szCs w:val="21"/>
      <w:u w:val="none"/>
    </w:rPr>
  </w:style>
  <w:style w:type="character" w:customStyle="1" w:styleId="75">
    <w:name w:val="批注文字 Char1"/>
    <w:semiHidden/>
    <w:qFormat/>
    <w:uiPriority w:val="99"/>
    <w:rPr>
      <w:kern w:val="2"/>
      <w:sz w:val="21"/>
      <w:szCs w:val="24"/>
    </w:rPr>
  </w:style>
  <w:style w:type="character" w:customStyle="1" w:styleId="76">
    <w:name w:val="font21"/>
    <w:basedOn w:val="41"/>
    <w:qFormat/>
    <w:uiPriority w:val="0"/>
    <w:rPr>
      <w:rFonts w:hint="eastAsia" w:ascii="仿宋" w:hAnsi="仿宋" w:eastAsia="仿宋" w:cs="仿宋"/>
      <w:color w:val="000000"/>
      <w:sz w:val="24"/>
      <w:szCs w:val="24"/>
      <w:u w:val="none"/>
    </w:rPr>
  </w:style>
  <w:style w:type="character" w:customStyle="1" w:styleId="77">
    <w:name w:val="font112"/>
    <w:qFormat/>
    <w:uiPriority w:val="0"/>
    <w:rPr>
      <w:rFonts w:hint="eastAsia" w:ascii="宋体" w:hAnsi="宋体" w:eastAsia="宋体" w:cs="宋体"/>
      <w:color w:val="000000"/>
      <w:sz w:val="24"/>
      <w:szCs w:val="24"/>
      <w:u w:val="none"/>
    </w:rPr>
  </w:style>
  <w:style w:type="character" w:customStyle="1" w:styleId="78">
    <w:name w:val="font131"/>
    <w:qFormat/>
    <w:uiPriority w:val="0"/>
    <w:rPr>
      <w:rFonts w:hint="eastAsia" w:ascii="宋体" w:hAnsi="宋体" w:eastAsia="宋体" w:cs="宋体"/>
      <w:color w:val="000000"/>
      <w:sz w:val="21"/>
      <w:szCs w:val="21"/>
      <w:u w:val="none"/>
    </w:rPr>
  </w:style>
  <w:style w:type="character" w:customStyle="1" w:styleId="79">
    <w:name w:val="批注主题 Char1"/>
    <w:semiHidden/>
    <w:qFormat/>
    <w:uiPriority w:val="99"/>
    <w:rPr>
      <w:b/>
      <w:bCs/>
      <w:kern w:val="2"/>
      <w:sz w:val="21"/>
      <w:szCs w:val="24"/>
    </w:rPr>
  </w:style>
  <w:style w:type="character" w:customStyle="1" w:styleId="80">
    <w:name w:val="批注框文本 Char1"/>
    <w:semiHidden/>
    <w:qFormat/>
    <w:uiPriority w:val="99"/>
    <w:rPr>
      <w:kern w:val="2"/>
      <w:sz w:val="18"/>
      <w:szCs w:val="18"/>
    </w:rPr>
  </w:style>
  <w:style w:type="character" w:customStyle="1" w:styleId="81">
    <w:name w:val="font51"/>
    <w:basedOn w:val="41"/>
    <w:qFormat/>
    <w:uiPriority w:val="0"/>
    <w:rPr>
      <w:rFonts w:ascii="Arial" w:hAnsi="Arial" w:cs="Arial"/>
      <w:color w:val="000000"/>
      <w:sz w:val="24"/>
      <w:szCs w:val="24"/>
      <w:u w:val="none"/>
    </w:rPr>
  </w:style>
  <w:style w:type="character" w:customStyle="1" w:styleId="82">
    <w:name w:val="font81"/>
    <w:basedOn w:val="41"/>
    <w:qFormat/>
    <w:uiPriority w:val="0"/>
    <w:rPr>
      <w:rFonts w:ascii="Noto Sans Mono CJK JP Regular" w:hAnsi="Noto Sans Mono CJK JP Regular" w:eastAsia="Noto Sans Mono CJK JP Regular" w:cs="Noto Sans Mono CJK JP Regular"/>
      <w:color w:val="000000"/>
      <w:sz w:val="22"/>
      <w:szCs w:val="22"/>
      <w:u w:val="none"/>
    </w:rPr>
  </w:style>
  <w:style w:type="paragraph" w:customStyle="1" w:styleId="83">
    <w:name w:val="列表段落1"/>
    <w:basedOn w:val="1"/>
    <w:qFormat/>
    <w:uiPriority w:val="34"/>
    <w:pPr>
      <w:ind w:firstLine="420" w:firstLineChars="200"/>
    </w:pPr>
  </w:style>
  <w:style w:type="paragraph" w:customStyle="1" w:styleId="84">
    <w:name w:val="Heading 5"/>
    <w:basedOn w:val="1"/>
    <w:qFormat/>
    <w:uiPriority w:val="1"/>
    <w:pPr>
      <w:spacing w:before="46"/>
      <w:ind w:left="1146"/>
      <w:jc w:val="center"/>
      <w:outlineLvl w:val="5"/>
    </w:pPr>
    <w:rPr>
      <w:rFonts w:ascii="黑体" w:hAnsi="黑体" w:eastAsia="黑体" w:cs="黑体"/>
      <w:b/>
      <w:bCs/>
      <w:sz w:val="28"/>
      <w:szCs w:val="28"/>
    </w:rPr>
  </w:style>
  <w:style w:type="paragraph" w:customStyle="1" w:styleId="85">
    <w:name w:val="列出段落2"/>
    <w:basedOn w:val="1"/>
    <w:qFormat/>
    <w:uiPriority w:val="1"/>
    <w:pPr>
      <w:ind w:left="107" w:firstLine="480"/>
    </w:pPr>
  </w:style>
  <w:style w:type="paragraph" w:customStyle="1" w:styleId="86">
    <w:name w:val="_Style 0"/>
    <w:qFormat/>
    <w:uiPriority w:val="1"/>
    <w:pPr>
      <w:adjustRightInd w:val="0"/>
      <w:snapToGrid w:val="0"/>
    </w:pPr>
    <w:rPr>
      <w:rFonts w:ascii="Tahoma" w:hAnsi="Tahoma" w:eastAsia="宋体" w:cs="Times New Roman"/>
      <w:kern w:val="0"/>
      <w:sz w:val="22"/>
      <w:szCs w:val="22"/>
      <w:lang w:val="en-US" w:eastAsia="zh-CN" w:bidi="ar-SA"/>
    </w:rPr>
  </w:style>
  <w:style w:type="paragraph" w:customStyle="1" w:styleId="87">
    <w:name w:val="索引 11"/>
    <w:basedOn w:val="1"/>
    <w:next w:val="1"/>
    <w:qFormat/>
    <w:uiPriority w:val="0"/>
    <w:pPr>
      <w:spacing w:line="360" w:lineRule="auto"/>
    </w:pPr>
    <w:rPr>
      <w:rFonts w:ascii="仿宋_GB2312" w:eastAsia="仿宋_GB2312"/>
      <w:sz w:val="24"/>
      <w:szCs w:val="20"/>
    </w:rPr>
  </w:style>
  <w:style w:type="paragraph" w:styleId="88">
    <w:name w:val="List Paragraph"/>
    <w:basedOn w:val="1"/>
    <w:qFormat/>
    <w:uiPriority w:val="1"/>
    <w:pPr>
      <w:ind w:left="107" w:firstLine="480"/>
    </w:pPr>
  </w:style>
  <w:style w:type="paragraph" w:customStyle="1" w:styleId="89">
    <w:name w:val="标准正文格式"/>
    <w:basedOn w:val="1"/>
    <w:qFormat/>
    <w:uiPriority w:val="0"/>
    <w:pPr>
      <w:widowControl/>
      <w:adjustRightInd w:val="0"/>
      <w:spacing w:before="60" w:after="120" w:line="360" w:lineRule="auto"/>
      <w:ind w:firstLine="200" w:firstLineChars="200"/>
      <w:textAlignment w:val="baseline"/>
    </w:pPr>
    <w:rPr>
      <w:rFonts w:ascii="宋体" w:hAnsi="Times New Roman" w:eastAsia="仿宋"/>
      <w:color w:val="000000"/>
      <w:kern w:val="0"/>
      <w:sz w:val="24"/>
      <w:szCs w:val="20"/>
      <w:lang w:val="zh-CN"/>
    </w:rPr>
  </w:style>
  <w:style w:type="paragraph" w:customStyle="1" w:styleId="90">
    <w:name w:val="Heading 3"/>
    <w:basedOn w:val="1"/>
    <w:qFormat/>
    <w:uiPriority w:val="1"/>
    <w:pPr>
      <w:ind w:left="748"/>
      <w:outlineLvl w:val="3"/>
    </w:pPr>
    <w:rPr>
      <w:b/>
      <w:bCs/>
      <w:sz w:val="32"/>
      <w:szCs w:val="32"/>
    </w:rPr>
  </w:style>
  <w:style w:type="paragraph" w:customStyle="1" w:styleId="91">
    <w:name w:val="列出段落1"/>
    <w:basedOn w:val="1"/>
    <w:qFormat/>
    <w:uiPriority w:val="0"/>
    <w:pPr>
      <w:ind w:firstLine="420" w:firstLineChars="200"/>
    </w:pPr>
    <w:rPr>
      <w:rFonts w:ascii="Calibri" w:hAnsi="Calibri"/>
      <w:szCs w:val="22"/>
    </w:rPr>
  </w:style>
  <w:style w:type="paragraph" w:styleId="92">
    <w:name w:val="No Spacing"/>
    <w:qFormat/>
    <w:uiPriority w:val="1"/>
    <w:pPr>
      <w:adjustRightInd w:val="0"/>
      <w:snapToGrid w:val="0"/>
    </w:pPr>
    <w:rPr>
      <w:rFonts w:ascii="Tahoma" w:hAnsi="Tahoma" w:eastAsia="宋体" w:cs="Times New Roman"/>
      <w:kern w:val="0"/>
      <w:sz w:val="22"/>
      <w:szCs w:val="22"/>
      <w:lang w:val="en-US" w:eastAsia="zh-CN" w:bidi="ar-SA"/>
    </w:rPr>
  </w:style>
  <w:style w:type="paragraph" w:customStyle="1" w:styleId="93">
    <w:name w:val="p0"/>
    <w:basedOn w:val="1"/>
    <w:unhideWhenUsed/>
    <w:qFormat/>
    <w:uiPriority w:val="0"/>
    <w:pPr>
      <w:spacing w:beforeLines="0" w:afterLines="0"/>
    </w:pPr>
    <w:rPr>
      <w:rFonts w:hint="default" w:ascii="Times New Roman" w:hAnsi="Times New Roman" w:eastAsia="宋体"/>
      <w:kern w:val="0"/>
      <w:sz w:val="21"/>
    </w:rPr>
  </w:style>
  <w:style w:type="paragraph" w:customStyle="1" w:styleId="94">
    <w:name w:val="Heading 6"/>
    <w:basedOn w:val="1"/>
    <w:qFormat/>
    <w:uiPriority w:val="1"/>
    <w:pPr>
      <w:ind w:left="950" w:hanging="363"/>
      <w:outlineLvl w:val="6"/>
    </w:pPr>
    <w:rPr>
      <w:b/>
      <w:bCs/>
      <w:sz w:val="24"/>
      <w:szCs w:val="24"/>
    </w:rPr>
  </w:style>
  <w:style w:type="paragraph" w:customStyle="1" w:styleId="95">
    <w:name w:val="Table Paragraph"/>
    <w:basedOn w:val="1"/>
    <w:qFormat/>
    <w:uiPriority w:val="1"/>
    <w:rPr>
      <w:rFonts w:ascii="宋体" w:hAnsi="宋体" w:cs="宋体"/>
      <w:lang w:val="zh-CN" w:bidi="zh-CN"/>
    </w:rPr>
  </w:style>
  <w:style w:type="paragraph" w:customStyle="1" w:styleId="96">
    <w:name w:val="_Style 3"/>
    <w:basedOn w:val="1"/>
    <w:qFormat/>
    <w:uiPriority w:val="99"/>
    <w:pPr>
      <w:autoSpaceDE w:val="0"/>
      <w:autoSpaceDN w:val="0"/>
      <w:spacing w:line="360" w:lineRule="auto"/>
      <w:ind w:firstLine="420" w:firstLineChars="200"/>
      <w:jc w:val="left"/>
    </w:pPr>
    <w:rPr>
      <w:rFonts w:cs="Times New Roman"/>
      <w:color w:val="auto"/>
      <w:kern w:val="0"/>
      <w:sz w:val="24"/>
      <w:szCs w:val="21"/>
      <w:lang w:val="zh-CN"/>
    </w:rPr>
  </w:style>
  <w:style w:type="paragraph" w:customStyle="1" w:styleId="97">
    <w:name w:val="列出段落"/>
    <w:basedOn w:val="1"/>
    <w:qFormat/>
    <w:uiPriority w:val="34"/>
    <w:pPr>
      <w:widowControl/>
      <w:ind w:firstLine="420" w:firstLineChars="200"/>
      <w:jc w:val="left"/>
    </w:pPr>
    <w:rPr>
      <w:kern w:val="0"/>
      <w:sz w:val="24"/>
    </w:rPr>
  </w:style>
  <w:style w:type="paragraph" w:customStyle="1" w:styleId="98">
    <w:name w:val="Heading 2"/>
    <w:basedOn w:val="1"/>
    <w:qFormat/>
    <w:uiPriority w:val="1"/>
    <w:pPr>
      <w:spacing w:before="255"/>
      <w:ind w:left="1146" w:right="1424"/>
      <w:jc w:val="center"/>
      <w:outlineLvl w:val="2"/>
    </w:pPr>
    <w:rPr>
      <w:b/>
      <w:bCs/>
      <w:sz w:val="36"/>
      <w:szCs w:val="36"/>
    </w:rPr>
  </w:style>
  <w:style w:type="paragraph" w:customStyle="1" w:styleId="99">
    <w:name w:val="Char"/>
    <w:basedOn w:val="1"/>
    <w:qFormat/>
    <w:uiPriority w:val="0"/>
    <w:pPr>
      <w:tabs>
        <w:tab w:val="left" w:pos="360"/>
      </w:tabs>
    </w:pPr>
    <w:rPr>
      <w:sz w:val="24"/>
    </w:rPr>
  </w:style>
  <w:style w:type="paragraph" w:customStyle="1" w:styleId="100">
    <w:name w:val="标题2"/>
    <w:basedOn w:val="4"/>
    <w:next w:val="1"/>
    <w:qFormat/>
    <w:uiPriority w:val="0"/>
    <w:rPr>
      <w:rFonts w:ascii="仿宋_GB2312" w:hAnsi="Arial" w:eastAsia="仿宋_GB2312" w:cs="Times New Roman"/>
      <w:szCs w:val="28"/>
    </w:rPr>
  </w:style>
  <w:style w:type="table" w:customStyle="1" w:styleId="101">
    <w:name w:val="Table Normal"/>
    <w:unhideWhenUsed/>
    <w:qFormat/>
    <w:uiPriority w:val="2"/>
    <w:tblPr>
      <w:tblCellMar>
        <w:top w:w="0" w:type="dxa"/>
        <w:left w:w="0" w:type="dxa"/>
        <w:bottom w:w="0" w:type="dxa"/>
        <w:right w:w="0" w:type="dxa"/>
      </w:tblCellMar>
    </w:tblPr>
  </w:style>
  <w:style w:type="character" w:customStyle="1" w:styleId="102">
    <w:name w:val="font41"/>
    <w:basedOn w:val="41"/>
    <w:qFormat/>
    <w:uiPriority w:val="0"/>
    <w:rPr>
      <w:rFonts w:hint="eastAsia" w:ascii="宋体" w:hAnsi="宋体" w:eastAsia="宋体" w:cs="宋体"/>
      <w:color w:val="000000"/>
      <w:sz w:val="22"/>
      <w:szCs w:val="22"/>
      <w:u w:val="none"/>
    </w:rPr>
  </w:style>
  <w:style w:type="paragraph" w:customStyle="1" w:styleId="103">
    <w:name w:val="List Paragraph_5ac2670b-336d-4e21-832f-f0d58d7dc020"/>
    <w:basedOn w:val="1"/>
    <w:qFormat/>
    <w:uiPriority w:val="34"/>
    <w:pPr>
      <w:ind w:firstLine="420" w:firstLineChars="200"/>
    </w:pPr>
  </w:style>
  <w:style w:type="paragraph" w:customStyle="1" w:styleId="104">
    <w:name w:val="Body text|3"/>
    <w:basedOn w:val="1"/>
    <w:qFormat/>
    <w:uiPriority w:val="0"/>
    <w:pPr>
      <w:spacing w:after="340"/>
      <w:jc w:val="center"/>
    </w:pPr>
    <w:rPr>
      <w:rFonts w:ascii="宋体" w:hAnsi="宋体" w:eastAsia="宋体" w:cs="宋体"/>
      <w:sz w:val="32"/>
      <w:szCs w:val="32"/>
      <w:lang w:val="zh-TW" w:eastAsia="zh-TW" w:bidi="zh-TW"/>
    </w:rPr>
  </w:style>
  <w:style w:type="paragraph" w:customStyle="1" w:styleId="105">
    <w:name w:val="Body text|1"/>
    <w:basedOn w:val="1"/>
    <w:qFormat/>
    <w:uiPriority w:val="0"/>
    <w:pPr>
      <w:spacing w:line="396" w:lineRule="auto"/>
    </w:pPr>
    <w:rPr>
      <w:rFonts w:ascii="宋体" w:hAnsi="宋体" w:eastAsia="宋体" w:cs="宋体"/>
      <w:lang w:val="zh-TW" w:eastAsia="zh-TW" w:bidi="zh-TW"/>
    </w:rPr>
  </w:style>
  <w:style w:type="paragraph" w:customStyle="1" w:styleId="106">
    <w:name w:val="列出段落3"/>
    <w:basedOn w:val="1"/>
    <w:qFormat/>
    <w:uiPriority w:val="1"/>
    <w:pPr>
      <w:ind w:left="107" w:firstLine="480"/>
    </w:pPr>
  </w:style>
  <w:style w:type="paragraph" w:customStyle="1" w:styleId="107">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kern w:val="2"/>
      <w:sz w:val="24"/>
    </w:rPr>
  </w:style>
  <w:style w:type="character" w:customStyle="1" w:styleId="108">
    <w:name w:val="NormalCharacter"/>
    <w:semiHidden/>
    <w:qFormat/>
    <w:uiPriority w:val="0"/>
  </w:style>
  <w:style w:type="paragraph" w:customStyle="1" w:styleId="109">
    <w:name w:val="_Style 2"/>
    <w:basedOn w:val="1"/>
    <w:qFormat/>
    <w:uiPriority w:val="0"/>
    <w:pPr>
      <w:ind w:firstLine="200" w:firstLineChars="200"/>
    </w:pPr>
    <w:rPr>
      <w:rFonts w:ascii="Calibri" w:hAnsi="Calibri"/>
      <w:sz w:val="28"/>
      <w:szCs w:val="22"/>
    </w:rPr>
  </w:style>
  <w:style w:type="character" w:customStyle="1" w:styleId="110">
    <w:name w:val="font101"/>
    <w:basedOn w:val="41"/>
    <w:qFormat/>
    <w:uiPriority w:val="0"/>
    <w:rPr>
      <w:rFonts w:hint="default" w:ascii="Symbol" w:hAnsi="Symbol" w:cs="Symbol"/>
      <w:color w:val="000000"/>
      <w:sz w:val="22"/>
      <w:szCs w:val="22"/>
      <w:u w:val="none"/>
    </w:rPr>
  </w:style>
  <w:style w:type="paragraph" w:customStyle="1" w:styleId="111">
    <w:name w:val="表格文字2"/>
    <w:basedOn w:val="1"/>
    <w:qFormat/>
    <w:uiPriority w:val="99"/>
    <w:pPr>
      <w:jc w:val="left"/>
    </w:pPr>
    <w:rPr>
      <w:bCs/>
      <w:spacing w:val="10"/>
      <w:kern w:val="0"/>
    </w:rPr>
  </w:style>
  <w:style w:type="paragraph" w:customStyle="1" w:styleId="11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113">
    <w:name w:val="null3"/>
    <w:qFormat/>
    <w:uiPriority w:val="99"/>
    <w:rPr>
      <w:rFonts w:ascii="Calibri" w:hAnsi="Calibri" w:eastAsia="宋体" w:cs="Times New Roman"/>
      <w:kern w:val="0"/>
      <w:sz w:val="20"/>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jpeg"/><Relationship Id="rId16" Type="http://schemas.openxmlformats.org/officeDocument/2006/relationships/theme" Target="theme/theme1.xml"/><Relationship Id="rId15" Type="http://schemas.openxmlformats.org/officeDocument/2006/relationships/footer" Target="footer9.xml"/><Relationship Id="rId14" Type="http://schemas.openxmlformats.org/officeDocument/2006/relationships/header" Target="header4.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Pages>98</Pages>
  <Words>4924</Words>
  <Characters>5314</Characters>
  <Lines>234</Lines>
  <Paragraphs>65</Paragraphs>
  <TotalTime>15</TotalTime>
  <ScaleCrop>false</ScaleCrop>
  <LinksUpToDate>false</LinksUpToDate>
  <CharactersWithSpaces>5746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2018-08-16T03:05:00Z</dcterms:created>
  <dc:creator>USER-</dc:creator>
  <cp:lastModifiedBy>是梦终空、</cp:lastModifiedBy>
  <cp:lastPrinted>2025-01-27T14:41:00Z</cp:lastPrinted>
  <dcterms:modified xsi:type="dcterms:W3CDTF">2025-04-24T12:00:23Z</dcterms:modified>
  <dc:title>02年杜范本稿</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81A5CC0EE2F6DDE8CE8608684C476D3A_43</vt:lpwstr>
  </property>
  <property fmtid="{D5CDD505-2E9C-101B-9397-08002B2CF9AE}" pid="4" name="KSOTemplateDocerSaveRecord">
    <vt:lpwstr>eyJoZGlkIjoiYjJlNWJlYTQ3ZGVhNGQyYTExZGI2ZmZhN2Y5ZjFlZmUiLCJ1c2VySWQiOiI3OTU3MDAxNTkifQ==</vt:lpwstr>
  </property>
</Properties>
</file>