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bidi w:val="0"/>
        <w:snapToGrid w:val="0"/>
        <w:spacing w:line="560" w:lineRule="exact"/>
        <w:ind w:left="0" w:leftChars="0" w:right="0" w:rightChars="0"/>
        <w:jc w:val="left"/>
        <w:rPr>
          <w:rFonts w:hint="eastAsia" w:ascii="仿宋" w:hAnsi="仿宋" w:eastAsia="仿宋" w:cs="仿宋"/>
          <w:color w:val="auto"/>
          <w:sz w:val="28"/>
          <w:szCs w:val="28"/>
          <w:highlight w:val="none"/>
        </w:rPr>
      </w:pPr>
    </w:p>
    <w:p>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pPr>
        <w:pStyle w:val="4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napToGrid w:val="0"/>
        <w:spacing w:line="240" w:lineRule="auto"/>
        <w:ind w:left="0" w:leftChars="0" w:right="0" w:rightChars="0"/>
        <w:jc w:val="center"/>
        <w:rPr>
          <w:rStyle w:val="45"/>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招 标 文 件</w:t>
      </w:r>
    </w:p>
    <w:p>
      <w:pPr>
        <w:pStyle w:val="40"/>
        <w:pageBreakBefore w:val="0"/>
        <w:wordWrap/>
        <w:overflowPunct/>
        <w:topLinePunct w:val="0"/>
        <w:bidi w:val="0"/>
        <w:spacing w:line="560" w:lineRule="exact"/>
        <w:ind w:left="0" w:leftChars="0" w:right="0" w:rightChars="0"/>
        <w:rPr>
          <w:rFonts w:hint="eastAsia" w:ascii="仿宋" w:hAnsi="仿宋" w:eastAsia="仿宋" w:cs="仿宋"/>
          <w:color w:val="auto"/>
          <w:sz w:val="144"/>
          <w:szCs w:val="144"/>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Style w:val="11"/>
        <w:rPr>
          <w:rFonts w:hint="eastAsia" w:ascii="仿宋" w:hAnsi="仿宋" w:eastAsia="仿宋" w:cs="仿宋"/>
          <w:color w:val="auto"/>
          <w:sz w:val="28"/>
          <w:szCs w:val="28"/>
          <w:highlight w:val="none"/>
        </w:rPr>
      </w:pPr>
    </w:p>
    <w:p>
      <w:pPr>
        <w:pStyle w:val="30"/>
        <w:rPr>
          <w:rFonts w:hint="eastAsia" w:ascii="仿宋" w:hAnsi="仿宋" w:eastAsia="仿宋" w:cs="仿宋"/>
          <w:color w:val="auto"/>
          <w:sz w:val="28"/>
          <w:szCs w:val="28"/>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Style w:val="43"/>
          <w:rFonts w:hint="eastAsia" w:ascii="仿宋" w:hAnsi="仿宋" w:eastAsia="仿宋" w:cs="仿宋"/>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项目名称：奇台县奇台</w:t>
      </w:r>
      <w:r>
        <w:rPr>
          <w:rStyle w:val="43"/>
          <w:rFonts w:hint="eastAsia" w:ascii="仿宋" w:hAnsi="仿宋" w:eastAsia="仿宋" w:cs="仿宋"/>
          <w:bCs/>
          <w:color w:val="auto"/>
          <w:sz w:val="28"/>
          <w:szCs w:val="28"/>
          <w:highlight w:val="none"/>
          <w:lang w:val="en-US" w:eastAsia="zh-CN"/>
        </w:rPr>
        <w:t>镇</w:t>
      </w:r>
      <w:r>
        <w:rPr>
          <w:rStyle w:val="43"/>
          <w:rFonts w:hint="eastAsia" w:ascii="仿宋" w:hAnsi="仿宋" w:eastAsia="仿宋" w:cs="仿宋"/>
          <w:bCs/>
          <w:color w:val="auto"/>
          <w:sz w:val="28"/>
          <w:szCs w:val="28"/>
          <w:highlight w:val="none"/>
          <w:lang w:eastAsia="zh-CN"/>
        </w:rPr>
        <w:t>社区卫生服务中心医疗设备采购项目</w:t>
      </w:r>
      <w:r>
        <w:rPr>
          <w:rStyle w:val="43"/>
          <w:rFonts w:hint="eastAsia" w:ascii="仿宋" w:hAnsi="仿宋" w:eastAsia="仿宋" w:cs="仿宋"/>
          <w:bCs/>
          <w:color w:val="auto"/>
          <w:sz w:val="28"/>
          <w:szCs w:val="28"/>
          <w:highlight w:val="none"/>
          <w:lang w:val="en-US" w:eastAsia="zh-CN"/>
        </w:rPr>
        <w:t>二次</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rPr>
      </w:pPr>
      <w:r>
        <w:rPr>
          <w:rStyle w:val="43"/>
          <w:rFonts w:hint="eastAsia" w:ascii="仿宋" w:hAnsi="仿宋" w:eastAsia="仿宋" w:cs="仿宋"/>
          <w:bCs/>
          <w:color w:val="auto"/>
          <w:sz w:val="28"/>
          <w:szCs w:val="28"/>
          <w:highlight w:val="none"/>
        </w:rPr>
        <w:t>项目编号：[2024]3278号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采购人（盖章）：奇台县奇台</w:t>
      </w:r>
      <w:r>
        <w:rPr>
          <w:rStyle w:val="43"/>
          <w:rFonts w:hint="eastAsia" w:ascii="仿宋" w:hAnsi="仿宋" w:eastAsia="仿宋" w:cs="仿宋"/>
          <w:bCs/>
          <w:color w:val="auto"/>
          <w:sz w:val="28"/>
          <w:szCs w:val="28"/>
          <w:highlight w:val="none"/>
          <w:lang w:val="en-US" w:eastAsia="zh-CN"/>
        </w:rPr>
        <w:t>镇</w:t>
      </w:r>
      <w:r>
        <w:rPr>
          <w:rStyle w:val="43"/>
          <w:rFonts w:hint="eastAsia" w:ascii="仿宋" w:hAnsi="仿宋" w:eastAsia="仿宋" w:cs="仿宋"/>
          <w:bCs/>
          <w:color w:val="auto"/>
          <w:sz w:val="28"/>
          <w:szCs w:val="28"/>
          <w:highlight w:val="none"/>
          <w:lang w:eastAsia="zh-CN"/>
        </w:rPr>
        <w:t>社区卫生服务中心</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default"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联系人：</w:t>
      </w:r>
      <w:r>
        <w:rPr>
          <w:rStyle w:val="43"/>
          <w:rFonts w:hint="eastAsia" w:ascii="仿宋" w:hAnsi="仿宋" w:eastAsia="仿宋" w:cs="仿宋"/>
          <w:bCs/>
          <w:color w:val="auto"/>
          <w:sz w:val="28"/>
          <w:szCs w:val="28"/>
          <w:highlight w:val="none"/>
          <w:lang w:val="en-US" w:eastAsia="zh-CN"/>
        </w:rPr>
        <w:t>徐工</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default"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电话：</w:t>
      </w:r>
      <w:r>
        <w:rPr>
          <w:rStyle w:val="43"/>
          <w:rFonts w:hint="eastAsia" w:ascii="仿宋" w:hAnsi="仿宋" w:eastAsia="仿宋" w:cs="仿宋"/>
          <w:bCs/>
          <w:color w:val="auto"/>
          <w:sz w:val="28"/>
          <w:szCs w:val="28"/>
          <w:highlight w:val="none"/>
          <w:lang w:val="en-US" w:eastAsia="zh-CN"/>
        </w:rPr>
        <w:t>0994-7221901</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地址：</w:t>
      </w:r>
      <w:r>
        <w:rPr>
          <w:rStyle w:val="43"/>
          <w:rFonts w:hint="eastAsia" w:ascii="仿宋" w:hAnsi="仿宋" w:eastAsia="仿宋" w:cs="仿宋"/>
          <w:bCs/>
          <w:color w:val="auto"/>
          <w:sz w:val="28"/>
          <w:szCs w:val="28"/>
          <w:highlight w:val="none"/>
          <w:lang w:val="en-US" w:eastAsia="zh-CN"/>
        </w:rPr>
        <w:t>奇台县东关街250号</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357"/>
        <w:textAlignment w:val="auto"/>
        <w:rPr>
          <w:rStyle w:val="43"/>
          <w:rFonts w:hint="eastAsia" w:ascii="仿宋" w:hAnsi="仿宋" w:eastAsia="仿宋" w:cs="仿宋"/>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rPr>
      </w:pPr>
      <w:r>
        <w:rPr>
          <w:rStyle w:val="43"/>
          <w:rFonts w:hint="eastAsia" w:ascii="仿宋" w:hAnsi="仿宋" w:eastAsia="仿宋" w:cs="仿宋"/>
          <w:bCs/>
          <w:color w:val="auto"/>
          <w:sz w:val="28"/>
          <w:szCs w:val="28"/>
          <w:highlight w:val="none"/>
        </w:rPr>
        <w:t>采购代理机构（盖章）</w:t>
      </w:r>
      <w:r>
        <w:rPr>
          <w:rStyle w:val="43"/>
          <w:rFonts w:hint="eastAsia" w:ascii="仿宋" w:hAnsi="仿宋" w:eastAsia="仿宋" w:cs="仿宋"/>
          <w:bCs/>
          <w:color w:val="auto"/>
          <w:sz w:val="28"/>
          <w:szCs w:val="28"/>
          <w:highlight w:val="none"/>
          <w:lang w:eastAsia="zh-CN"/>
        </w:rPr>
        <w:t>：</w:t>
      </w:r>
      <w:r>
        <w:rPr>
          <w:rStyle w:val="43"/>
          <w:rFonts w:hint="eastAsia" w:ascii="仿宋" w:hAnsi="仿宋" w:eastAsia="仿宋" w:cs="仿宋"/>
          <w:bCs/>
          <w:color w:val="auto"/>
          <w:sz w:val="28"/>
          <w:szCs w:val="28"/>
          <w:highlight w:val="none"/>
        </w:rPr>
        <w:t>新疆拓源工程管理咨询有限公司</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联系人：</w:t>
      </w:r>
      <w:r>
        <w:rPr>
          <w:rStyle w:val="43"/>
          <w:rFonts w:hint="eastAsia" w:ascii="仿宋" w:hAnsi="仿宋" w:eastAsia="仿宋" w:cs="仿宋"/>
          <w:bCs/>
          <w:color w:val="auto"/>
          <w:sz w:val="28"/>
          <w:szCs w:val="28"/>
          <w:highlight w:val="none"/>
          <w:lang w:val="en-US" w:eastAsia="zh-CN"/>
        </w:rPr>
        <w:t>田释月、娆扎</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电话</w:t>
      </w:r>
      <w:r>
        <w:rPr>
          <w:rStyle w:val="43"/>
          <w:rFonts w:hint="eastAsia" w:ascii="仿宋" w:hAnsi="仿宋" w:eastAsia="仿宋" w:cs="仿宋"/>
          <w:bCs/>
          <w:color w:val="auto"/>
          <w:sz w:val="28"/>
          <w:szCs w:val="28"/>
          <w:highlight w:val="none"/>
        </w:rPr>
        <w:t>：</w:t>
      </w:r>
      <w:r>
        <w:rPr>
          <w:rStyle w:val="43"/>
          <w:rFonts w:hint="eastAsia" w:ascii="仿宋" w:hAnsi="仿宋" w:eastAsia="仿宋" w:cs="仿宋"/>
          <w:bCs/>
          <w:color w:val="auto"/>
          <w:sz w:val="28"/>
          <w:szCs w:val="28"/>
          <w:highlight w:val="none"/>
          <w:lang w:val="en-US" w:eastAsia="zh-CN"/>
        </w:rPr>
        <w:t>13009690616、17599816806</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地址：乌鲁木齐市水磨沟区龙盛街898号万科中央公园S6栋5层</w:t>
      </w:r>
    </w:p>
    <w:p>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36"/>
          <w:szCs w:val="36"/>
          <w:highlight w:val="none"/>
        </w:rPr>
      </w:pPr>
      <w:bookmarkStart w:id="0" w:name="_Toc31371"/>
    </w:p>
    <w:p>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bookmarkEnd w:id="0"/>
    </w:p>
    <w:p>
      <w:pPr>
        <w:pStyle w:val="19"/>
        <w:pageBreakBefore w:val="0"/>
        <w:tabs>
          <w:tab w:val="right" w:leader="dot" w:pos="8959"/>
        </w:tabs>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Style w:val="19"/>
        <w:tabs>
          <w:tab w:val="right" w:leader="dot" w:pos="8307"/>
        </w:tabs>
        <w:rPr>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_Toc9087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第一章  招标公告</w:t>
      </w:r>
      <w:r>
        <w:rPr>
          <w:highlight w:val="none"/>
        </w:rPr>
        <w:tab/>
      </w:r>
      <w:r>
        <w:rPr>
          <w:highlight w:val="none"/>
        </w:rPr>
        <w:fldChar w:fldCharType="begin"/>
      </w:r>
      <w:r>
        <w:rPr>
          <w:highlight w:val="none"/>
        </w:rPr>
        <w:instrText xml:space="preserve"> PAGEREF _Toc9087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_Toc5608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第二章  投标人须知</w:t>
      </w:r>
      <w:r>
        <w:rPr>
          <w:highlight w:val="none"/>
        </w:rPr>
        <w:tab/>
      </w:r>
      <w:r>
        <w:rPr>
          <w:highlight w:val="none"/>
        </w:rPr>
        <w:fldChar w:fldCharType="begin"/>
      </w:r>
      <w:r>
        <w:rPr>
          <w:highlight w:val="none"/>
        </w:rPr>
        <w:instrText xml:space="preserve"> PAGEREF _Toc5608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_Toc1522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第三章  投标文件格式</w:t>
      </w:r>
      <w:r>
        <w:rPr>
          <w:highlight w:val="none"/>
        </w:rPr>
        <w:tab/>
      </w:r>
      <w:r>
        <w:rPr>
          <w:highlight w:val="none"/>
        </w:rPr>
        <w:fldChar w:fldCharType="begin"/>
      </w:r>
      <w:r>
        <w:rPr>
          <w:highlight w:val="none"/>
        </w:rPr>
        <w:instrText xml:space="preserve"> PAGEREF _Toc1522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_Toc25336 </w:instrText>
      </w:r>
      <w:r>
        <w:rPr>
          <w:rFonts w:hint="eastAsia" w:ascii="仿宋" w:hAnsi="仿宋" w:eastAsia="仿宋" w:cs="仿宋"/>
          <w:szCs w:val="28"/>
          <w:highlight w:val="none"/>
        </w:rPr>
        <w:fldChar w:fldCharType="separate"/>
      </w:r>
      <w:r>
        <w:rPr>
          <w:rFonts w:hint="eastAsia" w:ascii="仿宋" w:hAnsi="仿宋" w:eastAsia="仿宋" w:cs="仿宋"/>
          <w:bCs/>
          <w:kern w:val="2"/>
          <w:szCs w:val="28"/>
          <w:highlight w:val="none"/>
          <w:lang w:eastAsia="zh-CN"/>
        </w:rPr>
        <w:t>第四章  项目采购需求</w:t>
      </w:r>
      <w:r>
        <w:rPr>
          <w:highlight w:val="none"/>
        </w:rPr>
        <w:tab/>
      </w:r>
      <w:r>
        <w:rPr>
          <w:highlight w:val="none"/>
        </w:rPr>
        <w:fldChar w:fldCharType="begin"/>
      </w:r>
      <w:r>
        <w:rPr>
          <w:highlight w:val="none"/>
        </w:rPr>
        <w:instrText xml:space="preserve"> PAGEREF _Toc25336 \h </w:instrText>
      </w:r>
      <w:r>
        <w:rPr>
          <w:highlight w:val="none"/>
        </w:rPr>
        <w:fldChar w:fldCharType="separate"/>
      </w:r>
      <w:r>
        <w:rPr>
          <w:highlight w:val="none"/>
        </w:rPr>
        <w:t>54</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_Toc1378 </w:instrText>
      </w:r>
      <w:r>
        <w:rPr>
          <w:rFonts w:hint="eastAsia" w:ascii="仿宋" w:hAnsi="仿宋" w:eastAsia="仿宋" w:cs="仿宋"/>
          <w:szCs w:val="28"/>
          <w:highlight w:val="none"/>
        </w:rPr>
        <w:fldChar w:fldCharType="separate"/>
      </w:r>
      <w:r>
        <w:rPr>
          <w:rFonts w:hint="eastAsia" w:ascii="仿宋" w:hAnsi="仿宋" w:eastAsia="仿宋" w:cs="仿宋"/>
          <w:bCs w:val="0"/>
          <w:szCs w:val="28"/>
          <w:highlight w:val="none"/>
          <w:lang w:eastAsia="zh-CN"/>
        </w:rPr>
        <w:t>第五章  评标办法</w:t>
      </w:r>
      <w:r>
        <w:rPr>
          <w:highlight w:val="none"/>
        </w:rPr>
        <w:tab/>
      </w:r>
      <w:r>
        <w:rPr>
          <w:highlight w:val="none"/>
        </w:rPr>
        <w:fldChar w:fldCharType="begin"/>
      </w:r>
      <w:r>
        <w:rPr>
          <w:highlight w:val="none"/>
        </w:rPr>
        <w:instrText xml:space="preserve"> PAGEREF _Toc1378 \h </w:instrText>
      </w:r>
      <w:r>
        <w:rPr>
          <w:highlight w:val="none"/>
        </w:rPr>
        <w:fldChar w:fldCharType="separate"/>
      </w:r>
      <w:r>
        <w:rPr>
          <w:highlight w:val="none"/>
        </w:rPr>
        <w:t>199</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_Toc6803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第六章  拟签订的合同文本</w:t>
      </w:r>
      <w:r>
        <w:rPr>
          <w:highlight w:val="none"/>
        </w:rPr>
        <w:tab/>
      </w:r>
      <w:r>
        <w:rPr>
          <w:highlight w:val="none"/>
        </w:rPr>
        <w:fldChar w:fldCharType="begin"/>
      </w:r>
      <w:r>
        <w:rPr>
          <w:highlight w:val="none"/>
        </w:rPr>
        <w:instrText xml:space="preserve"> PAGEREF _Toc6803 \h </w:instrText>
      </w:r>
      <w:r>
        <w:rPr>
          <w:highlight w:val="none"/>
        </w:rPr>
        <w:fldChar w:fldCharType="separate"/>
      </w:r>
      <w:r>
        <w:rPr>
          <w:highlight w:val="none"/>
        </w:rPr>
        <w:t>215</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_Toc3286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eastAsia="en-US"/>
        </w:rPr>
        <w:t>附件</w:t>
      </w:r>
      <w:r>
        <w:rPr>
          <w:rFonts w:hint="eastAsia" w:ascii="仿宋" w:hAnsi="仿宋" w:eastAsia="仿宋" w:cs="仿宋"/>
          <w:snapToGrid w:val="0"/>
          <w:spacing w:val="-9"/>
          <w:kern w:val="0"/>
          <w:szCs w:val="28"/>
          <w:highlight w:val="none"/>
          <w:lang w:val="en-US" w:eastAsia="zh-CN"/>
        </w:rPr>
        <w:t>1：</w:t>
      </w:r>
      <w:r>
        <w:rPr>
          <w:rFonts w:hint="eastAsia" w:ascii="仿宋" w:hAnsi="仿宋" w:eastAsia="仿宋" w:cs="仿宋"/>
          <w:snapToGrid w:val="0"/>
          <w:spacing w:val="-9"/>
          <w:kern w:val="0"/>
          <w:szCs w:val="28"/>
          <w:highlight w:val="none"/>
          <w:lang w:eastAsia="en-US"/>
        </w:rPr>
        <w:t>政府采购促进中小企业发展管理办法</w:t>
      </w:r>
      <w:r>
        <w:rPr>
          <w:highlight w:val="none"/>
        </w:rPr>
        <w:tab/>
      </w:r>
      <w:r>
        <w:rPr>
          <w:highlight w:val="none"/>
        </w:rPr>
        <w:fldChar w:fldCharType="begin"/>
      </w:r>
      <w:r>
        <w:rPr>
          <w:highlight w:val="none"/>
        </w:rPr>
        <w:instrText xml:space="preserve"> PAGEREF _Toc3286 \h </w:instrText>
      </w:r>
      <w:r>
        <w:rPr>
          <w:highlight w:val="none"/>
        </w:rPr>
        <w:fldChar w:fldCharType="separate"/>
      </w:r>
      <w:r>
        <w:rPr>
          <w:highlight w:val="none"/>
        </w:rPr>
        <w:t>232</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_Toc21498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eastAsia="en-US"/>
        </w:rPr>
        <w:t>附件</w:t>
      </w:r>
      <w:r>
        <w:rPr>
          <w:rFonts w:hint="eastAsia" w:ascii="仿宋" w:hAnsi="仿宋" w:eastAsia="仿宋" w:cs="仿宋"/>
          <w:snapToGrid w:val="0"/>
          <w:spacing w:val="-9"/>
          <w:kern w:val="0"/>
          <w:szCs w:val="28"/>
          <w:highlight w:val="none"/>
          <w:lang w:val="en-US" w:eastAsia="zh-CN"/>
        </w:rPr>
        <w:t>2：关于进一步加大政府采购支持中小企业力度的通知</w:t>
      </w:r>
      <w:r>
        <w:rPr>
          <w:highlight w:val="none"/>
        </w:rPr>
        <w:tab/>
      </w:r>
      <w:r>
        <w:rPr>
          <w:highlight w:val="none"/>
        </w:rPr>
        <w:fldChar w:fldCharType="begin"/>
      </w:r>
      <w:r>
        <w:rPr>
          <w:highlight w:val="none"/>
        </w:rPr>
        <w:instrText xml:space="preserve"> PAGEREF _Toc21498 \h </w:instrText>
      </w:r>
      <w:r>
        <w:rPr>
          <w:highlight w:val="none"/>
        </w:rPr>
        <w:fldChar w:fldCharType="separate"/>
      </w:r>
      <w:r>
        <w:rPr>
          <w:highlight w:val="none"/>
        </w:rPr>
        <w:t>240</w:t>
      </w:r>
      <w:r>
        <w:rPr>
          <w:highlight w:val="none"/>
        </w:rPr>
        <w:fldChar w:fldCharType="end"/>
      </w:r>
      <w:r>
        <w:rPr>
          <w:rFonts w:hint="eastAsia" w:ascii="仿宋" w:hAnsi="仿宋" w:eastAsia="仿宋" w:cs="仿宋"/>
          <w:color w:val="auto"/>
          <w:szCs w:val="28"/>
          <w:highlight w:val="none"/>
        </w:rPr>
        <w:fldChar w:fldCharType="end"/>
      </w:r>
    </w:p>
    <w:p>
      <w:pPr>
        <w:pStyle w:val="19"/>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_Toc19062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val="en-US" w:eastAsia="zh-CN"/>
        </w:rPr>
        <w:t>附件3：关于印发中小企业划型标准规定的通知</w:t>
      </w:r>
      <w:r>
        <w:rPr>
          <w:highlight w:val="none"/>
        </w:rPr>
        <w:tab/>
      </w:r>
      <w:r>
        <w:rPr>
          <w:highlight w:val="none"/>
        </w:rPr>
        <w:fldChar w:fldCharType="begin"/>
      </w:r>
      <w:r>
        <w:rPr>
          <w:highlight w:val="none"/>
        </w:rPr>
        <w:instrText xml:space="preserve"> PAGEREF _Toc19062 \h </w:instrText>
      </w:r>
      <w:r>
        <w:rPr>
          <w:highlight w:val="none"/>
        </w:rPr>
        <w:fldChar w:fldCharType="separate"/>
      </w:r>
      <w:r>
        <w:rPr>
          <w:highlight w:val="none"/>
        </w:rPr>
        <w:t>243</w:t>
      </w:r>
      <w:r>
        <w:rPr>
          <w:highlight w:val="none"/>
        </w:rPr>
        <w:fldChar w:fldCharType="end"/>
      </w:r>
      <w:r>
        <w:rPr>
          <w:rFonts w:hint="eastAsia" w:ascii="仿宋" w:hAnsi="仿宋" w:eastAsia="仿宋" w:cs="仿宋"/>
          <w:color w:val="auto"/>
          <w:szCs w:val="28"/>
          <w:highlight w:val="none"/>
        </w:rPr>
        <w:fldChar w:fldCharType="end"/>
      </w:r>
    </w:p>
    <w:p>
      <w:pPr>
        <w:pStyle w:val="11"/>
        <w:pageBreakBefore w:val="0"/>
        <w:wordWrap/>
        <w:overflowPunct/>
        <w:topLinePunct w:val="0"/>
        <w:bidi w:val="0"/>
        <w:spacing w:after="0" w:line="560" w:lineRule="exact"/>
        <w:ind w:left="0" w:leftChars="0" w:right="0" w:rightChars="0"/>
        <w:rPr>
          <w:rFonts w:hint="eastAsia" w:ascii="仿宋" w:hAnsi="仿宋" w:eastAsia="仿宋" w:cs="仿宋"/>
          <w:bCs/>
          <w:color w:val="auto"/>
          <w:sz w:val="28"/>
          <w:szCs w:val="28"/>
          <w:highlight w:val="none"/>
        </w:rPr>
      </w:pPr>
      <w:r>
        <w:rPr>
          <w:rFonts w:hint="eastAsia" w:ascii="仿宋" w:hAnsi="仿宋" w:eastAsia="仿宋" w:cs="仿宋"/>
          <w:color w:val="auto"/>
          <w:szCs w:val="28"/>
          <w:highlight w:val="none"/>
        </w:rPr>
        <w:fldChar w:fldCharType="end"/>
      </w:r>
    </w:p>
    <w:p>
      <w:pPr>
        <w:pStyle w:val="3"/>
        <w:pageBreakBefore w:val="0"/>
        <w:wordWrap/>
        <w:overflowPunct/>
        <w:topLinePunct w:val="0"/>
        <w:bidi w:val="0"/>
        <w:spacing w:before="0" w:after="0" w:line="560" w:lineRule="exact"/>
        <w:ind w:left="0" w:leftChars="0" w:right="0" w:rightChars="0"/>
        <w:rPr>
          <w:rFonts w:hint="eastAsia" w:ascii="仿宋" w:hAnsi="仿宋" w:eastAsia="仿宋" w:cs="仿宋"/>
          <w:bCs w:val="0"/>
          <w:color w:val="auto"/>
          <w:sz w:val="28"/>
          <w:szCs w:val="28"/>
          <w:highlight w:val="none"/>
        </w:rPr>
        <w:sectPr>
          <w:headerReference r:id="rId3" w:type="default"/>
          <w:pgSz w:w="11907" w:h="16840"/>
          <w:pgMar w:top="1440" w:right="1800" w:bottom="1440" w:left="1800" w:header="851" w:footer="992" w:gutter="0"/>
          <w:pgNumType w:fmt="decimal" w:start="1"/>
          <w:cols w:space="720" w:num="1"/>
          <w:docGrid w:linePitch="312" w:charSpace="0"/>
        </w:sectPr>
      </w:pPr>
    </w:p>
    <w:p>
      <w:pPr>
        <w:pStyle w:val="3"/>
        <w:pageBreakBefore w:val="0"/>
        <w:kinsoku/>
        <w:wordWrap/>
        <w:overflowPunct/>
        <w:topLinePunct w:val="0"/>
        <w:autoSpaceDE/>
        <w:autoSpaceDN/>
        <w:bidi w:val="0"/>
        <w:adjustRightInd/>
        <w:snapToGrid/>
        <w:spacing w:before="0" w:after="0" w:line="380" w:lineRule="exact"/>
        <w:ind w:left="0" w:leftChars="0" w:right="0" w:rightChars="0"/>
        <w:jc w:val="center"/>
        <w:textAlignment w:val="auto"/>
        <w:rPr>
          <w:rFonts w:hint="eastAsia" w:ascii="仿宋" w:hAnsi="仿宋" w:eastAsia="仿宋" w:cs="仿宋"/>
          <w:b/>
          <w:bCs/>
          <w:color w:val="auto"/>
          <w:sz w:val="28"/>
          <w:szCs w:val="28"/>
          <w:highlight w:val="none"/>
        </w:rPr>
      </w:pPr>
      <w:bookmarkStart w:id="1" w:name="_Toc647_WPSOffice_Level1"/>
      <w:bookmarkStart w:id="2" w:name="_Toc9087"/>
      <w:r>
        <w:rPr>
          <w:rFonts w:hint="eastAsia" w:ascii="仿宋" w:hAnsi="仿宋" w:eastAsia="仿宋" w:cs="仿宋"/>
          <w:b/>
          <w:bCs/>
          <w:color w:val="auto"/>
          <w:sz w:val="28"/>
          <w:szCs w:val="28"/>
          <w:highlight w:val="none"/>
        </w:rPr>
        <w:t xml:space="preserve">第一章  </w:t>
      </w:r>
      <w:bookmarkEnd w:id="1"/>
      <w:r>
        <w:rPr>
          <w:rFonts w:hint="eastAsia" w:ascii="仿宋" w:hAnsi="仿宋" w:eastAsia="仿宋" w:cs="仿宋"/>
          <w:b/>
          <w:bCs/>
          <w:color w:val="auto"/>
          <w:sz w:val="28"/>
          <w:szCs w:val="28"/>
          <w:highlight w:val="none"/>
        </w:rPr>
        <w:t>招标公告</w:t>
      </w:r>
      <w:bookmarkEnd w:id="2"/>
    </w:p>
    <w:p>
      <w:pPr>
        <w:pageBreakBefore w:val="0"/>
        <w:kinsoku/>
        <w:wordWrap/>
        <w:overflowPunct/>
        <w:topLinePunct w:val="0"/>
        <w:bidi w:val="0"/>
        <w:spacing w:line="380" w:lineRule="exact"/>
        <w:ind w:left="0" w:leftChars="0" w:right="0" w:rightChars="0"/>
        <w:textAlignment w:val="auto"/>
        <w:rPr>
          <w:rFonts w:hint="eastAsia" w:ascii="仿宋" w:hAnsi="仿宋" w:eastAsia="仿宋" w:cs="仿宋"/>
          <w:color w:val="auto"/>
          <w:sz w:val="28"/>
          <w:szCs w:val="28"/>
          <w:highlight w:val="none"/>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left="0" w:leftChars="0" w:right="0" w:rightChars="0"/>
        <w:jc w:val="center"/>
        <w:textAlignment w:val="auto"/>
        <w:rPr>
          <w:rFonts w:hint="eastAsia" w:ascii="仿宋" w:hAnsi="仿宋" w:eastAsia="仿宋" w:cs="仿宋"/>
          <w:color w:val="auto"/>
          <w:sz w:val="28"/>
          <w:szCs w:val="28"/>
          <w:highlight w:val="none"/>
        </w:rPr>
      </w:pPr>
      <w:bookmarkStart w:id="3" w:name="_Toc213396945"/>
      <w:bookmarkStart w:id="4" w:name="_Toc856_WPSOffice_Level1"/>
      <w:bookmarkStart w:id="5" w:name="_Toc213397009"/>
      <w:bookmarkStart w:id="6" w:name="_Toc213396759"/>
      <w:bookmarkStart w:id="7" w:name="_Toc217446031"/>
      <w:bookmarkStart w:id="8" w:name="_Toc213496267"/>
      <w:r>
        <w:rPr>
          <w:rFonts w:hint="eastAsia" w:ascii="仿宋" w:hAnsi="仿宋" w:eastAsia="仿宋" w:cs="仿宋"/>
          <w:color w:val="auto"/>
          <w:sz w:val="28"/>
          <w:szCs w:val="28"/>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奇台县奇台</w:t>
      </w:r>
      <w:r>
        <w:rPr>
          <w:rFonts w:hint="eastAsia" w:ascii="仿宋" w:hAnsi="仿宋" w:eastAsia="仿宋" w:cs="仿宋"/>
          <w:color w:val="auto"/>
          <w:sz w:val="28"/>
          <w:szCs w:val="28"/>
          <w:highlight w:val="none"/>
          <w:u w:val="single"/>
          <w:lang w:val="en-US" w:eastAsia="zh-CN"/>
        </w:rPr>
        <w:t>镇</w:t>
      </w:r>
      <w:r>
        <w:rPr>
          <w:rFonts w:hint="eastAsia" w:ascii="仿宋" w:hAnsi="仿宋" w:eastAsia="仿宋" w:cs="仿宋"/>
          <w:color w:val="auto"/>
          <w:sz w:val="28"/>
          <w:szCs w:val="28"/>
          <w:highlight w:val="none"/>
          <w:u w:val="single"/>
          <w:lang w:eastAsia="zh-CN"/>
        </w:rPr>
        <w:t>社区卫生服务中心医疗设备采购项目</w:t>
      </w:r>
      <w:r>
        <w:rPr>
          <w:rFonts w:hint="eastAsia" w:ascii="仿宋" w:hAnsi="仿宋" w:eastAsia="仿宋" w:cs="仿宋"/>
          <w:color w:val="auto"/>
          <w:sz w:val="28"/>
          <w:szCs w:val="28"/>
          <w:highlight w:val="none"/>
          <w:u w:val="single"/>
          <w:lang w:val="en-US" w:eastAsia="zh-CN"/>
        </w:rPr>
        <w:t>二次</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bCs/>
          <w:color w:val="auto"/>
          <w:sz w:val="28"/>
          <w:szCs w:val="28"/>
          <w:highlight w:val="none"/>
          <w:u w:val="single"/>
        </w:rPr>
        <w:t>新疆政府采购云平台https://www.zcygov.cn/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1月15日</w:t>
      </w:r>
      <w:r>
        <w:rPr>
          <w:rFonts w:hint="eastAsia" w:ascii="仿宋" w:hAnsi="仿宋" w:eastAsia="仿宋" w:cs="仿宋"/>
          <w:bCs/>
          <w:color w:val="auto"/>
          <w:sz w:val="28"/>
          <w:szCs w:val="28"/>
          <w:highlight w:val="none"/>
          <w:u w:val="single"/>
        </w:rPr>
        <w:t>1</w:t>
      </w:r>
      <w:r>
        <w:rPr>
          <w:rFonts w:hint="eastAsia" w:ascii="仿宋" w:hAnsi="仿宋" w:eastAsia="仿宋" w:cs="仿宋"/>
          <w:bCs/>
          <w:color w:val="auto"/>
          <w:sz w:val="28"/>
          <w:szCs w:val="28"/>
          <w:highlight w:val="none"/>
          <w:u w:val="single"/>
          <w:lang w:val="en-US" w:eastAsia="zh-CN"/>
        </w:rPr>
        <w:t>1</w:t>
      </w:r>
      <w:r>
        <w:rPr>
          <w:rFonts w:hint="eastAsia" w:ascii="仿宋" w:hAnsi="仿宋" w:eastAsia="仿宋" w:cs="仿宋"/>
          <w:bCs/>
          <w:color w:val="auto"/>
          <w:sz w:val="28"/>
          <w:szCs w:val="28"/>
          <w:highlight w:val="none"/>
          <w:u w:val="single"/>
        </w:rPr>
        <w:t>点00分（</w:t>
      </w:r>
      <w:r>
        <w:rPr>
          <w:rFonts w:hint="eastAsia" w:ascii="仿宋" w:hAnsi="仿宋" w:eastAsia="仿宋" w:cs="仿宋"/>
          <w:bCs/>
          <w:color w:val="auto"/>
          <w:sz w:val="28"/>
          <w:szCs w:val="28"/>
          <w:highlight w:val="none"/>
        </w:rPr>
        <w:t>北京时间）前上传投标文件</w:t>
      </w:r>
      <w:r>
        <w:rPr>
          <w:rFonts w:hint="eastAsia" w:ascii="仿宋" w:hAnsi="仿宋" w:eastAsia="仿宋" w:cs="仿宋"/>
          <w:color w:val="auto"/>
          <w:sz w:val="28"/>
          <w:szCs w:val="28"/>
          <w:highlight w:val="none"/>
        </w:rPr>
        <w:t>。</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bookmarkStart w:id="9" w:name="_Toc35393790"/>
      <w:bookmarkStart w:id="10" w:name="_Toc28359002"/>
      <w:bookmarkStart w:id="11" w:name="_Toc28359079"/>
      <w:bookmarkStart w:id="12" w:name="_Toc35393621"/>
      <w:bookmarkStart w:id="13" w:name="_Hlk24379207"/>
      <w:r>
        <w:rPr>
          <w:rFonts w:hint="eastAsia" w:ascii="仿宋" w:hAnsi="仿宋" w:eastAsia="仿宋" w:cs="仿宋"/>
          <w:b/>
          <w:bCs/>
          <w:color w:val="auto"/>
          <w:sz w:val="28"/>
          <w:szCs w:val="28"/>
          <w:highlight w:val="none"/>
        </w:rPr>
        <w:t>一、项目基本情况</w:t>
      </w:r>
      <w:bookmarkEnd w:id="9"/>
      <w:bookmarkEnd w:id="10"/>
      <w:bookmarkEnd w:id="11"/>
      <w:bookmarkEnd w:id="12"/>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Style w:val="43"/>
          <w:rFonts w:hint="eastAsia" w:ascii="仿宋" w:hAnsi="仿宋" w:eastAsia="仿宋" w:cs="仿宋"/>
          <w:bCs/>
          <w:color w:val="auto"/>
          <w:sz w:val="28"/>
          <w:szCs w:val="28"/>
          <w:highlight w:val="none"/>
        </w:rPr>
        <w:t>[2024]3278号</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bookmarkEnd w:id="13"/>
      <w:r>
        <w:rPr>
          <w:rFonts w:hint="eastAsia" w:ascii="仿宋" w:hAnsi="仿宋" w:eastAsia="仿宋" w:cs="仿宋"/>
          <w:color w:val="auto"/>
          <w:sz w:val="28"/>
          <w:szCs w:val="28"/>
          <w:highlight w:val="none"/>
          <w:lang w:eastAsia="zh-CN"/>
        </w:rPr>
        <w:t>奇台县奇台镇社区卫生服务中心医疗设备采购项目</w:t>
      </w:r>
      <w:r>
        <w:rPr>
          <w:rFonts w:hint="eastAsia" w:ascii="仿宋" w:hAnsi="仿宋" w:eastAsia="仿宋" w:cs="仿宋"/>
          <w:color w:val="auto"/>
          <w:sz w:val="28"/>
          <w:szCs w:val="28"/>
          <w:highlight w:val="none"/>
          <w:lang w:val="en-US" w:eastAsia="zh-CN"/>
        </w:rPr>
        <w:t>二次</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采购方式：</w:t>
      </w:r>
      <w:r>
        <w:rPr>
          <w:rFonts w:hint="eastAsia" w:ascii="仿宋" w:hAnsi="仿宋" w:eastAsia="仿宋" w:cs="仿宋"/>
          <w:color w:val="auto"/>
          <w:sz w:val="28"/>
          <w:szCs w:val="28"/>
          <w:highlight w:val="none"/>
          <w:lang w:val="en-US" w:eastAsia="zh-CN"/>
        </w:rPr>
        <w:t>公开招标</w:t>
      </w:r>
      <w:r>
        <w:rPr>
          <w:rFonts w:hint="eastAsia" w:ascii="仿宋" w:hAnsi="仿宋" w:eastAsia="仿宋" w:cs="仿宋"/>
          <w:color w:val="auto"/>
          <w:sz w:val="28"/>
          <w:szCs w:val="28"/>
          <w:highlight w:val="none"/>
          <w:lang w:eastAsia="zh-CN"/>
        </w:rPr>
        <w:t> </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标项二：161.5万元；标项三：77.9万元；标项六：79.8万元；</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标项二：161.5万元；标项三：77.9万元；标项六：79.8万元；</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标项名称:</w:t>
      </w:r>
      <w:r>
        <w:rPr>
          <w:rFonts w:hint="eastAsia" w:ascii="仿宋" w:hAnsi="仿宋" w:eastAsia="仿宋" w:cs="仿宋"/>
          <w:color w:val="auto"/>
          <w:sz w:val="28"/>
          <w:szCs w:val="28"/>
          <w:highlight w:val="none"/>
          <w:lang w:eastAsia="zh-CN"/>
        </w:rPr>
        <w:t>奇台县奇台镇社区卫生服务中心医疗设备采购项目</w:t>
      </w:r>
      <w:r>
        <w:rPr>
          <w:rFonts w:hint="eastAsia" w:ascii="仿宋" w:hAnsi="仿宋" w:eastAsia="仿宋" w:cs="仿宋"/>
          <w:color w:val="auto"/>
          <w:sz w:val="28"/>
          <w:szCs w:val="28"/>
          <w:highlight w:val="none"/>
          <w:lang w:val="en-US" w:eastAsia="zh-CN"/>
        </w:rPr>
        <w:t>二次</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default"/>
          <w:highlight w:val="none"/>
          <w:lang w:val="en-US" w:eastAsia="zh-CN"/>
        </w:rPr>
      </w:pPr>
      <w:r>
        <w:rPr>
          <w:rFonts w:hint="eastAsia" w:ascii="仿宋" w:hAnsi="仿宋" w:eastAsia="仿宋" w:cs="仿宋"/>
          <w:color w:val="auto"/>
          <w:sz w:val="28"/>
          <w:szCs w:val="28"/>
          <w:highlight w:val="none"/>
        </w:rPr>
        <w:t xml:space="preserve">   数量:1</w:t>
      </w:r>
      <w:r>
        <w:rPr>
          <w:rFonts w:hint="eastAsia" w:ascii="仿宋" w:hAnsi="仿宋" w:eastAsia="仿宋" w:cs="仿宋"/>
          <w:color w:val="auto"/>
          <w:sz w:val="28"/>
          <w:szCs w:val="28"/>
          <w:highlight w:val="none"/>
          <w:lang w:val="en-US" w:eastAsia="zh-CN"/>
        </w:rPr>
        <w:t>批</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简要规格描述或项目基本概况介绍、用途：</w:t>
      </w:r>
    </w:p>
    <w:p>
      <w:pPr>
        <w:pageBreakBefore w:val="0"/>
        <w:kinsoku/>
        <w:wordWrap/>
        <w:overflowPunct/>
        <w:topLinePunct w:val="0"/>
        <w:autoSpaceDE/>
        <w:autoSpaceDN/>
        <w:bidi w:val="0"/>
        <w:adjustRightInd/>
        <w:snapToGrid/>
        <w:spacing w:line="380" w:lineRule="exact"/>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标项二：</w:t>
      </w:r>
      <w:r>
        <w:rPr>
          <w:rFonts w:hint="eastAsia" w:ascii="仿宋" w:hAnsi="仿宋" w:eastAsia="仿宋" w:cs="仿宋"/>
          <w:color w:val="auto"/>
          <w:sz w:val="28"/>
          <w:szCs w:val="28"/>
          <w:highlight w:val="none"/>
          <w:lang w:val="en-US" w:eastAsia="zh-CN"/>
        </w:rPr>
        <w:t>彩色多普勒超声诊断仪、便携式彩色多普勒超声诊断仪等采购</w:t>
      </w:r>
      <w:r>
        <w:rPr>
          <w:rFonts w:hint="eastAsia" w:ascii="仿宋" w:hAnsi="仿宋" w:eastAsia="仿宋" w:cs="仿宋"/>
          <w:color w:val="auto"/>
          <w:sz w:val="28"/>
          <w:szCs w:val="28"/>
          <w:highlight w:val="none"/>
        </w:rPr>
        <w:t xml:space="preserve">，详见招标文件“第四章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可兼投兼中</w:t>
      </w:r>
      <w:r>
        <w:rPr>
          <w:rFonts w:hint="eastAsia" w:ascii="仿宋" w:hAnsi="仿宋" w:eastAsia="仿宋" w:cs="仿宋"/>
          <w:color w:val="auto"/>
          <w:sz w:val="28"/>
          <w:szCs w:val="28"/>
          <w:highlight w:val="none"/>
        </w:rPr>
        <w:t>。</w:t>
      </w:r>
    </w:p>
    <w:p>
      <w:pPr>
        <w:pageBreakBefore w:val="0"/>
        <w:kinsoku/>
        <w:wordWrap/>
        <w:overflowPunct/>
        <w:topLinePunct w:val="0"/>
        <w:autoSpaceDE/>
        <w:autoSpaceDN/>
        <w:bidi w:val="0"/>
        <w:adjustRightInd/>
        <w:snapToGrid/>
        <w:spacing w:line="380" w:lineRule="exact"/>
        <w:ind w:left="0" w:leftChars="0" w:right="0" w:rightChars="0" w:firstLine="562" w:firstLineChars="200"/>
        <w:textAlignment w:val="auto"/>
        <w:rPr>
          <w:rFonts w:hint="eastAsia" w:ascii="仿宋" w:hAnsi="仿宋" w:eastAsia="仿宋" w:cs="仿宋"/>
          <w:color w:val="auto"/>
          <w:sz w:val="28"/>
          <w:szCs w:val="28"/>
          <w:highlight w:val="none"/>
          <w:lang w:val="en-US" w:eastAsia="zh-CN"/>
        </w:rPr>
      </w:pPr>
      <w:r>
        <w:rPr>
          <w:rFonts w:hint="eastAsia" w:eastAsia="仿宋"/>
          <w:b/>
          <w:bCs/>
          <w:sz w:val="28"/>
          <w:szCs w:val="28"/>
          <w:highlight w:val="none"/>
          <w:lang w:val="en-US" w:eastAsia="zh-CN"/>
        </w:rPr>
        <w:t>标项三：</w:t>
      </w:r>
      <w:r>
        <w:rPr>
          <w:rFonts w:hint="eastAsia" w:eastAsia="仿宋"/>
          <w:sz w:val="28"/>
          <w:szCs w:val="28"/>
          <w:highlight w:val="none"/>
          <w:lang w:val="en-US" w:eastAsia="zh-CN"/>
        </w:rPr>
        <w:t>网络心电图机、动态血压监检测仪、动态心电图仪、肺功能仪、心电监护仪、除颤仪、无创呼吸机、可视喉镜、产后访视包</w:t>
      </w:r>
      <w:r>
        <w:rPr>
          <w:rFonts w:hint="eastAsia" w:ascii="仿宋" w:hAnsi="仿宋" w:eastAsia="仿宋" w:cs="仿宋"/>
          <w:color w:val="auto"/>
          <w:sz w:val="28"/>
          <w:szCs w:val="28"/>
          <w:highlight w:val="none"/>
          <w:lang w:val="en-US" w:eastAsia="zh-CN"/>
        </w:rPr>
        <w:t>等采购</w:t>
      </w:r>
      <w:r>
        <w:rPr>
          <w:rFonts w:hint="eastAsia" w:ascii="仿宋" w:hAnsi="仿宋" w:eastAsia="仿宋" w:cs="仿宋"/>
          <w:color w:val="auto"/>
          <w:sz w:val="28"/>
          <w:szCs w:val="28"/>
          <w:highlight w:val="none"/>
        </w:rPr>
        <w:t xml:space="preserve">，详见招标文件“第四章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可兼投兼中</w:t>
      </w:r>
      <w:r>
        <w:rPr>
          <w:rFonts w:hint="eastAsia" w:ascii="仿宋" w:hAnsi="仿宋" w:eastAsia="仿宋" w:cs="仿宋"/>
          <w:color w:val="auto"/>
          <w:sz w:val="28"/>
          <w:szCs w:val="28"/>
          <w:highlight w:val="none"/>
        </w:rPr>
        <w:t>。</w:t>
      </w:r>
    </w:p>
    <w:p>
      <w:pPr>
        <w:pageBreakBefore w:val="0"/>
        <w:kinsoku/>
        <w:wordWrap/>
        <w:overflowPunct/>
        <w:topLinePunct w:val="0"/>
        <w:autoSpaceDE/>
        <w:autoSpaceDN/>
        <w:bidi w:val="0"/>
        <w:adjustRightInd/>
        <w:snapToGrid/>
        <w:spacing w:line="380" w:lineRule="exact"/>
        <w:ind w:left="0" w:leftChars="0" w:right="0" w:rightChars="0"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标项六：</w:t>
      </w:r>
      <w:r>
        <w:rPr>
          <w:rFonts w:hint="eastAsia" w:ascii="仿宋" w:hAnsi="仿宋" w:eastAsia="仿宋" w:cs="仿宋"/>
          <w:color w:val="auto"/>
          <w:sz w:val="28"/>
          <w:szCs w:val="28"/>
          <w:highlight w:val="none"/>
          <w:lang w:val="en-US" w:eastAsia="zh-CN"/>
        </w:rPr>
        <w:t>全科医生移动诊疗箱等采购，详见招标文件“第四章  项目采购需求”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可兼投兼中。</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否</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接受</w:t>
      </w:r>
      <w:r>
        <w:rPr>
          <w:rFonts w:hint="eastAsia" w:ascii="仿宋" w:hAnsi="仿宋" w:eastAsia="仿宋" w:cs="仿宋"/>
          <w:color w:val="auto"/>
          <w:sz w:val="28"/>
          <w:szCs w:val="28"/>
          <w:highlight w:val="none"/>
          <w:u w:val="none"/>
        </w:rPr>
        <w:t>联</w:t>
      </w:r>
      <w:r>
        <w:rPr>
          <w:rFonts w:hint="eastAsia" w:ascii="仿宋" w:hAnsi="仿宋" w:eastAsia="仿宋" w:cs="仿宋"/>
          <w:color w:val="auto"/>
          <w:sz w:val="28"/>
          <w:szCs w:val="28"/>
          <w:highlight w:val="none"/>
        </w:rPr>
        <w:t>合体投标。</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bookmarkStart w:id="14" w:name="_Toc35393791"/>
      <w:bookmarkStart w:id="15" w:name="_Toc28359003"/>
      <w:bookmarkStart w:id="16" w:name="_Toc35393622"/>
      <w:bookmarkStart w:id="17" w:name="_Toc28359080"/>
      <w:r>
        <w:rPr>
          <w:rFonts w:hint="eastAsia" w:ascii="仿宋" w:hAnsi="仿宋" w:eastAsia="仿宋" w:cs="仿宋"/>
          <w:b/>
          <w:bCs/>
          <w:color w:val="auto"/>
          <w:sz w:val="28"/>
          <w:szCs w:val="28"/>
          <w:highlight w:val="none"/>
        </w:rPr>
        <w:t>二、申请人的资格要求：</w:t>
      </w:r>
      <w:bookmarkEnd w:id="14"/>
      <w:bookmarkEnd w:id="15"/>
      <w:bookmarkEnd w:id="16"/>
      <w:bookmarkEnd w:id="17"/>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eastAsia="zh-CN"/>
        </w:rPr>
      </w:pPr>
      <w:bookmarkStart w:id="18" w:name="_Toc28359004"/>
      <w:bookmarkStart w:id="19" w:name="_Toc28359081"/>
      <w:r>
        <w:rPr>
          <w:rFonts w:hint="eastAsia" w:ascii="仿宋" w:hAnsi="仿宋" w:eastAsia="仿宋" w:cs="仿宋"/>
          <w:color w:val="auto"/>
          <w:sz w:val="28"/>
          <w:szCs w:val="28"/>
          <w:highlight w:val="none"/>
        </w:rPr>
        <w:t>2.落实政府采购政策需满足的资格要求：本项目为</w:t>
      </w:r>
      <w:r>
        <w:rPr>
          <w:rFonts w:hint="eastAsia" w:ascii="仿宋" w:hAnsi="仿宋" w:eastAsia="仿宋" w:cs="仿宋"/>
          <w:color w:val="auto"/>
          <w:sz w:val="28"/>
          <w:szCs w:val="28"/>
          <w:highlight w:val="none"/>
          <w:lang w:val="en-US" w:eastAsia="zh-CN"/>
        </w:rPr>
        <w:t>非</w:t>
      </w:r>
      <w:r>
        <w:rPr>
          <w:rFonts w:hint="eastAsia" w:ascii="仿宋" w:hAnsi="仿宋" w:eastAsia="仿宋" w:cs="仿宋"/>
          <w:color w:val="auto"/>
          <w:sz w:val="28"/>
          <w:szCs w:val="28"/>
          <w:highlight w:val="none"/>
        </w:rPr>
        <w:t>专门面向中小企业（含中型、小型、微型）采购项目，根据《政府采购促进中小企业发展管理办法》（财库[2020]46号）、《关于进一步加大政府采购支持中小企业力度的通知》（财库〔2022〕19号）、《财政部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w:t>
      </w:r>
      <w:r>
        <w:rPr>
          <w:rFonts w:hint="eastAsia" w:ascii="仿宋" w:hAnsi="仿宋" w:eastAsia="仿宋" w:cs="仿宋"/>
          <w:color w:val="auto"/>
          <w:sz w:val="28"/>
          <w:szCs w:val="28"/>
          <w:highlight w:val="none"/>
          <w:lang w:val="en-US" w:eastAsia="zh-CN"/>
        </w:rPr>
        <w:t>给予</w:t>
      </w:r>
      <w:r>
        <w:rPr>
          <w:rFonts w:hint="eastAsia" w:ascii="仿宋" w:hAnsi="仿宋" w:eastAsia="仿宋" w:cs="仿宋"/>
          <w:color w:val="auto"/>
          <w:sz w:val="28"/>
          <w:szCs w:val="28"/>
          <w:highlight w:val="none"/>
        </w:rPr>
        <w:t>价格评审优惠的扶持政策</w:t>
      </w:r>
      <w:r>
        <w:rPr>
          <w:rFonts w:hint="eastAsia" w:ascii="仿宋" w:hAnsi="仿宋" w:eastAsia="仿宋" w:cs="仿宋"/>
          <w:color w:val="auto"/>
          <w:sz w:val="28"/>
          <w:szCs w:val="28"/>
          <w:highlight w:val="none"/>
          <w:lang w:eastAsia="zh-CN"/>
        </w:rPr>
        <w:t>，报价给予10%的扣除，用扣除后的价格参加评审。</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bookmarkStart w:id="20" w:name="_Toc35393623"/>
      <w:bookmarkStart w:id="21" w:name="_Toc35393792"/>
      <w:r>
        <w:rPr>
          <w:rFonts w:hint="eastAsia" w:ascii="仿宋" w:hAnsi="仿宋" w:eastAsia="仿宋" w:cs="仿宋"/>
          <w:b/>
          <w:bCs/>
          <w:color w:val="auto"/>
          <w:sz w:val="28"/>
          <w:szCs w:val="28"/>
          <w:highlight w:val="none"/>
        </w:rPr>
        <w:t>三、获取招标文件</w:t>
      </w:r>
      <w:bookmarkEnd w:id="18"/>
      <w:bookmarkEnd w:id="19"/>
      <w:bookmarkEnd w:id="20"/>
      <w:bookmarkEnd w:id="21"/>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日，每天上午00:00至23：59（北京时间，线上获取法定节假日均可）；</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地点：投标人</w:t>
      </w:r>
      <w:r>
        <w:rPr>
          <w:rFonts w:hint="eastAsia" w:ascii="仿宋" w:hAnsi="仿宋" w:eastAsia="仿宋" w:cs="仿宋"/>
          <w:color w:val="auto"/>
          <w:sz w:val="28"/>
          <w:szCs w:val="28"/>
          <w:highlight w:val="none"/>
          <w:lang w:eastAsia="zh-CN"/>
        </w:rPr>
        <w:t>登录</w:t>
      </w:r>
      <w:r>
        <w:rPr>
          <w:rFonts w:hint="eastAsia" w:ascii="仿宋" w:hAnsi="仿宋" w:eastAsia="仿宋" w:cs="仿宋"/>
          <w:color w:val="auto"/>
          <w:sz w:val="28"/>
          <w:szCs w:val="28"/>
          <w:highlight w:val="none"/>
        </w:rPr>
        <w:t>政采云平台http://www.zcygov.cn/，在线申请获取招标文件（登录政府采购云平台→项目采购→获取招标文件→申请</w:t>
      </w:r>
      <w:r>
        <w:rPr>
          <w:rFonts w:hint="eastAsia" w:ascii="仿宋" w:hAnsi="仿宋" w:eastAsia="仿宋" w:cs="仿宋"/>
          <w:color w:val="auto"/>
          <w:sz w:val="28"/>
          <w:szCs w:val="28"/>
          <w:highlight w:val="none"/>
          <w:lang w:eastAsia="zh-CN"/>
        </w:rPr>
        <w:t>即</w:t>
      </w:r>
      <w:r>
        <w:rPr>
          <w:rFonts w:hint="eastAsia" w:ascii="仿宋" w:hAnsi="仿宋" w:eastAsia="仿宋" w:cs="仿宋"/>
          <w:color w:val="auto"/>
          <w:sz w:val="28"/>
          <w:szCs w:val="28"/>
          <w:highlight w:val="none"/>
        </w:rPr>
        <w:t>可下载招标文件，如有操作性问题，可与政采云在线客服进行咨询，咨询电话：95763）。</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方式：投标人登录新疆政府采购云平台https://www.zcygov.cn/在线申请获取招标文件（登录政府采购云平台→项目采购→获取招标文件→下载招标文件）</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w:t>
      </w:r>
      <w:r>
        <w:rPr>
          <w:rFonts w:hint="eastAsia" w:ascii="仿宋" w:hAnsi="仿宋" w:eastAsia="仿宋" w:cs="仿宋"/>
          <w:color w:val="auto"/>
          <w:kern w:val="0"/>
          <w:sz w:val="28"/>
          <w:szCs w:val="28"/>
          <w:highlight w:val="none"/>
        </w:rPr>
        <w:t>免费获取</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bookmarkStart w:id="22" w:name="_Toc28359082"/>
      <w:bookmarkStart w:id="23" w:name="_Toc28359005"/>
      <w:bookmarkStart w:id="24" w:name="_Toc35393793"/>
      <w:bookmarkStart w:id="25" w:name="_Toc35393624"/>
      <w:r>
        <w:rPr>
          <w:rFonts w:hint="eastAsia" w:ascii="仿宋" w:hAnsi="仿宋" w:eastAsia="仿宋" w:cs="仿宋"/>
          <w:b/>
          <w:bCs/>
          <w:color w:val="auto"/>
          <w:sz w:val="28"/>
          <w:szCs w:val="28"/>
          <w:highlight w:val="none"/>
        </w:rPr>
        <w:t>四、提交投标文件</w:t>
      </w:r>
      <w:bookmarkEnd w:id="22"/>
      <w:bookmarkEnd w:id="23"/>
      <w:r>
        <w:rPr>
          <w:rFonts w:hint="eastAsia" w:ascii="仿宋" w:hAnsi="仿宋" w:eastAsia="仿宋" w:cs="仿宋"/>
          <w:b/>
          <w:bCs/>
          <w:color w:val="auto"/>
          <w:sz w:val="28"/>
          <w:szCs w:val="28"/>
          <w:highlight w:val="none"/>
        </w:rPr>
        <w:t>截止时间、开标时间和地点</w:t>
      </w:r>
      <w:bookmarkEnd w:id="24"/>
      <w:bookmarkEnd w:id="25"/>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1月15日</w:t>
      </w:r>
      <w:r>
        <w:rPr>
          <w:rFonts w:hint="eastAsia" w:ascii="仿宋" w:hAnsi="仿宋" w:eastAsia="仿宋" w:cs="仿宋"/>
          <w:bCs/>
          <w:color w:val="auto"/>
          <w:sz w:val="28"/>
          <w:szCs w:val="28"/>
          <w:highlight w:val="none"/>
          <w:u w:val="single"/>
        </w:rPr>
        <w:t>1</w:t>
      </w:r>
      <w:r>
        <w:rPr>
          <w:rFonts w:hint="eastAsia" w:ascii="仿宋" w:hAnsi="仿宋" w:eastAsia="仿宋" w:cs="仿宋"/>
          <w:bCs/>
          <w:color w:val="auto"/>
          <w:sz w:val="28"/>
          <w:szCs w:val="28"/>
          <w:highlight w:val="none"/>
          <w:u w:val="single"/>
          <w:lang w:val="en-US" w:eastAsia="zh-CN"/>
        </w:rPr>
        <w:t>1</w:t>
      </w:r>
      <w:r>
        <w:rPr>
          <w:rFonts w:hint="eastAsia" w:ascii="仿宋" w:hAnsi="仿宋" w:eastAsia="仿宋" w:cs="仿宋"/>
          <w:bCs/>
          <w:color w:val="auto"/>
          <w:sz w:val="28"/>
          <w:szCs w:val="28"/>
          <w:highlight w:val="none"/>
          <w:u w:val="single"/>
        </w:rPr>
        <w:t>点00分</w:t>
      </w:r>
      <w:r>
        <w:rPr>
          <w:rFonts w:hint="eastAsia" w:ascii="仿宋" w:hAnsi="仿宋" w:eastAsia="仿宋" w:cs="仿宋"/>
          <w:color w:val="auto"/>
          <w:sz w:val="28"/>
          <w:szCs w:val="28"/>
          <w:highlight w:val="none"/>
        </w:rPr>
        <w:t>（北京时间）</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1月15</w:t>
      </w:r>
      <w:bookmarkStart w:id="182" w:name="_GoBack"/>
      <w:bookmarkEnd w:id="182"/>
      <w:r>
        <w:rPr>
          <w:rFonts w:hint="eastAsia" w:ascii="仿宋" w:hAnsi="仿宋" w:eastAsia="仿宋" w:cs="仿宋"/>
          <w:bCs/>
          <w:color w:val="auto"/>
          <w:sz w:val="28"/>
          <w:szCs w:val="28"/>
          <w:highlight w:val="none"/>
          <w:u w:val="single"/>
          <w:lang w:val="en-US" w:eastAsia="zh-CN"/>
        </w:rPr>
        <w:t>日11</w:t>
      </w:r>
      <w:r>
        <w:rPr>
          <w:rFonts w:hint="eastAsia" w:ascii="仿宋" w:hAnsi="仿宋" w:eastAsia="仿宋" w:cs="仿宋"/>
          <w:bCs/>
          <w:color w:val="auto"/>
          <w:sz w:val="28"/>
          <w:szCs w:val="28"/>
          <w:highlight w:val="none"/>
          <w:u w:val="single"/>
        </w:rPr>
        <w:t>点00分</w:t>
      </w:r>
      <w:r>
        <w:rPr>
          <w:rFonts w:hint="eastAsia" w:ascii="仿宋" w:hAnsi="仿宋" w:eastAsia="仿宋" w:cs="仿宋"/>
          <w:color w:val="auto"/>
          <w:sz w:val="28"/>
          <w:szCs w:val="28"/>
          <w:highlight w:val="none"/>
        </w:rPr>
        <w:t>（北京时间）</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w:t>
      </w:r>
      <w:bookmarkStart w:id="26" w:name="_Toc35393625"/>
      <w:bookmarkStart w:id="27" w:name="_Toc28359007"/>
      <w:bookmarkStart w:id="28" w:name="_Toc35393794"/>
      <w:bookmarkStart w:id="29" w:name="_Toc28359084"/>
      <w:r>
        <w:rPr>
          <w:rFonts w:hint="eastAsia" w:ascii="仿宋" w:hAnsi="仿宋" w:eastAsia="仿宋" w:cs="仿宋"/>
          <w:color w:val="auto"/>
          <w:sz w:val="28"/>
          <w:szCs w:val="28"/>
          <w:highlight w:val="none"/>
        </w:rPr>
        <w:t>政采云平台http://www.zcygov.cn/</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五、公告期限</w:t>
      </w:r>
      <w:bookmarkEnd w:id="26"/>
      <w:bookmarkEnd w:id="27"/>
      <w:bookmarkEnd w:id="28"/>
      <w:bookmarkEnd w:id="29"/>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bookmarkStart w:id="30" w:name="_Toc35393795"/>
      <w:bookmarkStart w:id="31" w:name="_Toc35393626"/>
      <w:r>
        <w:rPr>
          <w:rFonts w:hint="eastAsia" w:ascii="仿宋" w:hAnsi="仿宋" w:eastAsia="仿宋" w:cs="仿宋"/>
          <w:b/>
          <w:bCs/>
          <w:color w:val="auto"/>
          <w:sz w:val="28"/>
          <w:szCs w:val="28"/>
          <w:highlight w:val="none"/>
        </w:rPr>
        <w:t>六、其他补充事宜</w:t>
      </w:r>
      <w:bookmarkEnd w:id="30"/>
      <w:bookmarkEnd w:id="31"/>
    </w:p>
    <w:p>
      <w:pPr>
        <w:pStyle w:val="46"/>
        <w:keepNext w:val="0"/>
        <w:keepLines w:val="0"/>
        <w:pageBreakBefore w:val="0"/>
        <w:widowControl/>
        <w:numPr>
          <w:ilvl w:val="0"/>
          <w:numId w:val="4"/>
        </w:numPr>
        <w:kinsoku/>
        <w:wordWrap/>
        <w:overflowPunct/>
        <w:topLinePunct w:val="0"/>
        <w:autoSpaceDE/>
        <w:autoSpaceDN/>
        <w:bidi w:val="0"/>
        <w:adjustRightInd/>
        <w:snapToGrid/>
        <w:spacing w:line="380" w:lineRule="exact"/>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本项目实行全流程</w:t>
      </w:r>
      <w:r>
        <w:rPr>
          <w:rFonts w:hint="eastAsia" w:ascii="仿宋" w:hAnsi="仿宋" w:eastAsia="仿宋" w:cs="仿宋"/>
          <w:color w:val="auto"/>
          <w:sz w:val="28"/>
          <w:szCs w:val="28"/>
          <w:highlight w:val="none"/>
        </w:rPr>
        <w:t>电子交易方式</w:t>
      </w:r>
      <w:r>
        <w:rPr>
          <w:rFonts w:hint="eastAsia" w:ascii="仿宋" w:hAnsi="仿宋" w:eastAsia="仿宋" w:cs="仿宋"/>
          <w:color w:val="auto"/>
          <w:kern w:val="0"/>
          <w:sz w:val="28"/>
          <w:szCs w:val="28"/>
          <w:highlight w:val="none"/>
        </w:rPr>
        <w:t>，采用电子加密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上传方式；</w:t>
      </w:r>
    </w:p>
    <w:p>
      <w:pPr>
        <w:pStyle w:val="46"/>
        <w:keepNext w:val="0"/>
        <w:keepLines w:val="0"/>
        <w:pageBreakBefore w:val="0"/>
        <w:widowControl/>
        <w:numPr>
          <w:ilvl w:val="0"/>
          <w:numId w:val="4"/>
        </w:numPr>
        <w:kinsoku/>
        <w:wordWrap/>
        <w:overflowPunct/>
        <w:topLinePunct w:val="0"/>
        <w:autoSpaceDE/>
        <w:autoSpaceDN/>
        <w:bidi w:val="0"/>
        <w:adjustRightInd/>
        <w:snapToGrid/>
        <w:spacing w:line="380" w:lineRule="exact"/>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各</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前应确保成为新疆政府采购网正式注册入库</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，并完成CA数字证书（符合国密标准）申领。因未注册入库、未办理CA数字证书等原因造成无法上传或</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失败等后果由</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自行承担。有意向参与的</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，可访问新疆数字证书认证中心官方网站（https://www.xjca.com.cn/）或下载“新疆政务通”APP自行申领。如需咨询，请联系新疆CA服务热线0991-2819290；</w:t>
      </w:r>
    </w:p>
    <w:p>
      <w:pPr>
        <w:pStyle w:val="46"/>
        <w:keepNext w:val="0"/>
        <w:keepLines w:val="0"/>
        <w:pageBreakBefore w:val="0"/>
        <w:widowControl/>
        <w:numPr>
          <w:ilvl w:val="0"/>
          <w:numId w:val="4"/>
        </w:numPr>
        <w:kinsoku/>
        <w:wordWrap/>
        <w:overflowPunct/>
        <w:topLinePunct w:val="0"/>
        <w:autoSpaceDE/>
        <w:autoSpaceDN/>
        <w:bidi w:val="0"/>
        <w:adjustRightInd/>
        <w:snapToGrid/>
        <w:spacing w:line="380" w:lineRule="exact"/>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在完成政采云电子交易客户端下载、安装后，可通过账号密码或CA登录客户端进行</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自动弃标；</w:t>
      </w:r>
    </w:p>
    <w:p>
      <w:pPr>
        <w:pStyle w:val="46"/>
        <w:keepNext w:val="0"/>
        <w:keepLines w:val="0"/>
        <w:pageBreakBefore w:val="0"/>
        <w:widowControl/>
        <w:numPr>
          <w:ilvl w:val="0"/>
          <w:numId w:val="4"/>
        </w:numPr>
        <w:kinsoku/>
        <w:wordWrap/>
        <w:overflowPunct/>
        <w:topLinePunct w:val="0"/>
        <w:autoSpaceDE/>
        <w:autoSpaceDN/>
        <w:bidi w:val="0"/>
        <w:adjustRightInd/>
        <w:snapToGrid/>
        <w:spacing w:line="380" w:lineRule="exact"/>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应当在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将生成的“电子加密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”上传至“政府采购云平台”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截止时间以后上传的</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将被“政府采购云平台”拒收；</w:t>
      </w:r>
    </w:p>
    <w:p>
      <w:pPr>
        <w:pStyle w:val="46"/>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前须提前配置好电脑浏览器（建议使用360浏览器或谷歌浏览器）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开标时登录政采云平台，在“项目采购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开标评审”功能中，使用制作加密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电子标书的CA锁进行解密及报价确认。本项目</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的解密时间定为30分钟内</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若</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在规定时间内因自身原因导致无法正常解密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后果由</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自行承担；</w:t>
      </w:r>
    </w:p>
    <w:p>
      <w:pPr>
        <w:pStyle w:val="46"/>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0" w:rightChars="0" w:firstLine="414"/>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登录政采云平台，在开标时间后30分钟内用“项目采购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开标评审”功能进行解密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，若</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在规定时间内未按时解密的，视为响应无效。解密与加密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须使用同一个 CA。</w:t>
      </w:r>
    </w:p>
    <w:p>
      <w:pPr>
        <w:pStyle w:val="104"/>
        <w:pageBreakBefore w:val="0"/>
        <w:kinsoku/>
        <w:wordWrap/>
        <w:overflowPunct/>
        <w:topLinePunct w:val="0"/>
        <w:bidi w:val="0"/>
        <w:snapToGrid w:val="0"/>
        <w:spacing w:line="380" w:lineRule="exact"/>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特别提示：</w:t>
      </w:r>
    </w:p>
    <w:p>
      <w:pPr>
        <w:pStyle w:val="104"/>
        <w:pageBreakBefore w:val="0"/>
        <w:kinsoku/>
        <w:wordWrap/>
        <w:overflowPunct/>
        <w:topLinePunct w:val="0"/>
        <w:bidi w:val="0"/>
        <w:snapToGrid w:val="0"/>
        <w:spacing w:line="380" w:lineRule="exact"/>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1、采购限额标准以上，200万元以下的货物和服务采购项目、400万元以下的工程采购项目，适宜由中小企业提供的，采购人应当专门面向中小企业采购。</w:t>
      </w:r>
    </w:p>
    <w:p>
      <w:pPr>
        <w:pStyle w:val="104"/>
        <w:pageBreakBefore w:val="0"/>
        <w:kinsoku/>
        <w:wordWrap/>
        <w:overflowPunct/>
        <w:topLinePunct w:val="0"/>
        <w:bidi w:val="0"/>
        <w:snapToGrid w:val="0"/>
        <w:spacing w:line="380" w:lineRule="exact"/>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2、超过200万元的货物和服务采购项目，预留该部分采购项目预算总额的30%以上专门面向中小企业采购，其中预留给小微企业的比例不低于60%。</w:t>
      </w:r>
    </w:p>
    <w:p>
      <w:pPr>
        <w:pStyle w:val="104"/>
        <w:pageBreakBefore w:val="0"/>
        <w:kinsoku/>
        <w:wordWrap/>
        <w:overflowPunct/>
        <w:topLinePunct w:val="0"/>
        <w:bidi w:val="0"/>
        <w:snapToGrid w:val="0"/>
        <w:spacing w:line="380" w:lineRule="exact"/>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3、超过400万元的工程采购项目中适宜由中小企业提供的，预留该部分采购项目预算总额的40%以上专门面向中小企业采购，其中预留给小微企业的比例不低于60%。</w:t>
      </w:r>
    </w:p>
    <w:p>
      <w:pPr>
        <w:pStyle w:val="104"/>
        <w:pageBreakBefore w:val="0"/>
        <w:kinsoku/>
        <w:wordWrap/>
        <w:overflowPunct/>
        <w:topLinePunct w:val="0"/>
        <w:bidi w:val="0"/>
        <w:snapToGrid w:val="0"/>
        <w:spacing w:line="380" w:lineRule="exact"/>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20%（工程项目为3%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5%作为其价格分。</w:t>
      </w:r>
    </w:p>
    <w:p>
      <w:pPr>
        <w:pStyle w:val="104"/>
        <w:pageBreakBefore w:val="0"/>
        <w:kinsoku/>
        <w:wordWrap/>
        <w:overflowPunct/>
        <w:topLinePunct w:val="0"/>
        <w:bidi w:val="0"/>
        <w:snapToGrid w:val="0"/>
        <w:spacing w:line="380" w:lineRule="exact"/>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6%（工程项目为1%</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2%作为其价格分。</w:t>
      </w:r>
    </w:p>
    <w:p>
      <w:pPr>
        <w:pageBreakBefore w:val="0"/>
        <w:kinsoku/>
        <w:wordWrap/>
        <w:overflowPunct/>
        <w:topLinePunct w:val="0"/>
        <w:autoSpaceDE/>
        <w:autoSpaceDN/>
        <w:bidi w:val="0"/>
        <w:adjustRightInd/>
        <w:snapToGrid/>
        <w:spacing w:line="380" w:lineRule="exact"/>
        <w:ind w:left="0" w:leftChars="0" w:right="0" w:rightChars="0"/>
        <w:textAlignment w:val="auto"/>
        <w:rPr>
          <w:rFonts w:hint="eastAsia" w:ascii="仿宋" w:hAnsi="仿宋" w:eastAsia="仿宋" w:cs="仿宋"/>
          <w:b/>
          <w:bCs/>
          <w:color w:val="auto"/>
          <w:sz w:val="28"/>
          <w:szCs w:val="28"/>
          <w:highlight w:val="none"/>
        </w:rPr>
      </w:pPr>
      <w:bookmarkStart w:id="32" w:name="_Toc28359085"/>
      <w:bookmarkStart w:id="33" w:name="_Toc35393627"/>
      <w:bookmarkStart w:id="34" w:name="_Toc35393796"/>
      <w:bookmarkStart w:id="35" w:name="_Toc28359008"/>
      <w:r>
        <w:rPr>
          <w:rFonts w:hint="eastAsia" w:ascii="仿宋" w:hAnsi="仿宋" w:eastAsia="仿宋" w:cs="仿宋"/>
          <w:b/>
          <w:bCs/>
          <w:color w:val="auto"/>
          <w:sz w:val="28"/>
          <w:szCs w:val="28"/>
          <w:highlight w:val="none"/>
        </w:rPr>
        <w:t>七、对本次招标提出询问，请按以下方式联系</w:t>
      </w:r>
      <w:bookmarkEnd w:id="32"/>
      <w:bookmarkEnd w:id="33"/>
      <w:bookmarkEnd w:id="34"/>
      <w:bookmarkEnd w:id="35"/>
      <w:r>
        <w:rPr>
          <w:rFonts w:hint="eastAsia" w:ascii="仿宋" w:hAnsi="仿宋" w:eastAsia="仿宋" w:cs="仿宋"/>
          <w:b/>
          <w:bCs/>
          <w:color w:val="auto"/>
          <w:sz w:val="28"/>
          <w:szCs w:val="28"/>
          <w:highlight w:val="none"/>
        </w:rPr>
        <w:t>：</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奇台县奇台</w:t>
      </w:r>
      <w:r>
        <w:rPr>
          <w:rFonts w:hint="eastAsia" w:ascii="仿宋" w:hAnsi="仿宋" w:eastAsia="仿宋" w:cs="仿宋"/>
          <w:color w:val="auto"/>
          <w:sz w:val="28"/>
          <w:szCs w:val="28"/>
          <w:highlight w:val="none"/>
          <w:lang w:val="en-US" w:eastAsia="zh-CN"/>
        </w:rPr>
        <w:t>镇</w:t>
      </w:r>
      <w:r>
        <w:rPr>
          <w:rFonts w:hint="eastAsia" w:ascii="仿宋" w:hAnsi="仿宋" w:eastAsia="仿宋" w:cs="仿宋"/>
          <w:color w:val="auto"/>
          <w:sz w:val="28"/>
          <w:szCs w:val="28"/>
          <w:highlight w:val="none"/>
          <w:lang w:eastAsia="zh-CN"/>
        </w:rPr>
        <w:t>社区卫生服务中心</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Style w:val="43"/>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地址：</w:t>
      </w:r>
      <w:r>
        <w:rPr>
          <w:rStyle w:val="43"/>
          <w:rFonts w:hint="eastAsia" w:ascii="仿宋" w:hAnsi="仿宋" w:eastAsia="仿宋" w:cs="仿宋"/>
          <w:bCs/>
          <w:color w:val="auto"/>
          <w:sz w:val="28"/>
          <w:szCs w:val="28"/>
          <w:highlight w:val="none"/>
          <w:lang w:val="en-US" w:eastAsia="zh-CN"/>
        </w:rPr>
        <w:t>奇台县东关街250号</w:t>
      </w:r>
    </w:p>
    <w:p>
      <w:pPr>
        <w:pageBreakBefore w:val="0"/>
        <w:kinsoku/>
        <w:wordWrap/>
        <w:overflowPunct/>
        <w:topLinePunct w:val="0"/>
        <w:autoSpaceDE/>
        <w:autoSpaceDN/>
        <w:bidi w:val="0"/>
        <w:adjustRightInd/>
        <w:snapToGrid/>
        <w:spacing w:line="380" w:lineRule="exact"/>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电话</w:t>
      </w:r>
      <w:r>
        <w:rPr>
          <w:rFonts w:hint="eastAsia" w:ascii="仿宋" w:hAnsi="仿宋" w:eastAsia="仿宋" w:cs="仿宋"/>
          <w:color w:val="auto"/>
          <w:sz w:val="28"/>
          <w:szCs w:val="28"/>
          <w:highlight w:val="none"/>
        </w:rPr>
        <w:t xml:space="preserve">：0994-7221901　　　　　　　 </w:t>
      </w:r>
      <w:bookmarkStart w:id="36" w:name="_Toc28359086"/>
      <w:bookmarkStart w:id="37" w:name="_Toc28359009"/>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6"/>
      <w:bookmarkEnd w:id="37"/>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名称：新疆拓源工程管理咨询有限公司</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地址：乌鲁木齐市水磨沟区龙盛街898号万科中央公园S6栋5层</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田释月</w:t>
      </w:r>
    </w:p>
    <w:p>
      <w:pPr>
        <w:pageBreakBefore w:val="0"/>
        <w:kinsoku/>
        <w:wordWrap/>
        <w:overflowPunct/>
        <w:topLinePunct w:val="0"/>
        <w:autoSpaceDE/>
        <w:autoSpaceDN/>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13009690616</w:t>
      </w: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3"/>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仿宋" w:hAnsi="仿宋" w:eastAsia="仿宋" w:cs="仿宋"/>
          <w:b/>
          <w:bCs/>
          <w:color w:val="auto"/>
          <w:sz w:val="28"/>
          <w:szCs w:val="28"/>
          <w:highlight w:val="none"/>
        </w:rPr>
      </w:pPr>
      <w:bookmarkStart w:id="38" w:name="_Toc5608"/>
      <w:r>
        <w:rPr>
          <w:rFonts w:hint="eastAsia" w:ascii="仿宋" w:hAnsi="仿宋" w:eastAsia="仿宋" w:cs="仿宋"/>
          <w:b/>
          <w:bCs/>
          <w:color w:val="auto"/>
          <w:sz w:val="28"/>
          <w:szCs w:val="28"/>
          <w:highlight w:val="none"/>
        </w:rPr>
        <w:t>第二章  投标人须知</w:t>
      </w:r>
      <w:bookmarkEnd w:id="3"/>
      <w:bookmarkEnd w:id="4"/>
      <w:bookmarkEnd w:id="5"/>
      <w:bookmarkEnd w:id="6"/>
      <w:bookmarkEnd w:id="7"/>
      <w:bookmarkEnd w:id="8"/>
      <w:bookmarkEnd w:id="38"/>
    </w:p>
    <w:p>
      <w:pPr>
        <w:keepNext/>
        <w:keepLines/>
        <w:pageBreakBefore w:val="0"/>
        <w:kinsoku/>
        <w:wordWrap/>
        <w:overflowPunct/>
        <w:topLinePunct w:val="0"/>
        <w:autoSpaceDE/>
        <w:autoSpaceDN/>
        <w:bidi w:val="0"/>
        <w:spacing w:line="560" w:lineRule="exact"/>
        <w:ind w:left="0" w:leftChars="0" w:right="0" w:rightChars="0" w:firstLine="0" w:firstLineChars="0"/>
        <w:jc w:val="center"/>
        <w:textAlignment w:val="auto"/>
        <w:outlineLvl w:val="1"/>
        <w:rPr>
          <w:rFonts w:hint="eastAsia" w:ascii="仿宋" w:hAnsi="仿宋" w:eastAsia="仿宋" w:cs="仿宋"/>
          <w:b/>
          <w:bCs/>
          <w:color w:val="auto"/>
          <w:sz w:val="28"/>
          <w:szCs w:val="28"/>
          <w:highlight w:val="none"/>
        </w:rPr>
      </w:pPr>
      <w:bookmarkStart w:id="39" w:name="_Toc213397010"/>
      <w:bookmarkStart w:id="40" w:name="_Toc213496268"/>
      <w:bookmarkStart w:id="41" w:name="_Toc213396946"/>
      <w:bookmarkStart w:id="42" w:name="_Toc217446032"/>
      <w:bookmarkStart w:id="43" w:name="_Toc213396760"/>
      <w:bookmarkStart w:id="44" w:name="_Toc189727030"/>
      <w:r>
        <w:rPr>
          <w:rFonts w:hint="eastAsia" w:ascii="仿宋" w:hAnsi="仿宋" w:eastAsia="仿宋" w:cs="仿宋"/>
          <w:b/>
          <w:bCs/>
          <w:color w:val="auto"/>
          <w:sz w:val="28"/>
          <w:szCs w:val="28"/>
          <w:highlight w:val="none"/>
        </w:rPr>
        <w:t>一、投标人须知前附表</w:t>
      </w:r>
      <w:bookmarkEnd w:id="39"/>
      <w:bookmarkEnd w:id="40"/>
      <w:bookmarkEnd w:id="41"/>
      <w:bookmarkEnd w:id="42"/>
      <w:bookmarkEnd w:id="43"/>
      <w:bookmarkEnd w:id="44"/>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74"/>
        <w:gridCol w:w="1"/>
        <w:gridCol w:w="647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 称</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奇台县奇台镇社区卫生服务中心</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奇台县东关街250号</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Style w:val="43"/>
                <w:rFonts w:hint="default"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联系人：</w:t>
            </w:r>
            <w:r>
              <w:rPr>
                <w:rStyle w:val="43"/>
                <w:rFonts w:hint="eastAsia" w:ascii="仿宋" w:hAnsi="仿宋" w:eastAsia="仿宋" w:cs="仿宋"/>
                <w:bCs/>
                <w:color w:val="auto"/>
                <w:sz w:val="28"/>
                <w:szCs w:val="28"/>
                <w:highlight w:val="none"/>
                <w:lang w:val="en-US" w:eastAsia="zh-CN"/>
              </w:rPr>
              <w:t>徐工</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电话：0994-7221901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名称：新疆拓源工程管理咨询有限公司</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zh-CN"/>
              </w:rPr>
              <w:t>乌鲁木齐市水磨沟区龙盛街898号万科中央公园S6栋5层</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田释月、娆扎</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13009690616、17599816806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color w:val="auto"/>
                <w:highlight w:val="none"/>
                <w:lang w:val="en-US" w:eastAsia="zh-CN"/>
              </w:rPr>
            </w:pPr>
            <w:r>
              <w:rPr>
                <w:rFonts w:hint="eastAsia" w:ascii="仿宋" w:hAnsi="仿宋" w:eastAsia="仿宋" w:cs="仿宋"/>
                <w:color w:val="auto"/>
                <w:sz w:val="28"/>
                <w:szCs w:val="28"/>
                <w:highlight w:val="none"/>
                <w:lang w:eastAsia="zh-CN"/>
              </w:rPr>
              <w:t>奇台县奇台镇社区卫生服务中心医疗设备采购项目</w:t>
            </w:r>
            <w:r>
              <w:rPr>
                <w:rFonts w:hint="eastAsia" w:ascii="仿宋" w:hAnsi="仿宋" w:eastAsia="仿宋" w:cs="仿宋"/>
                <w:color w:val="auto"/>
                <w:sz w:val="28"/>
                <w:szCs w:val="28"/>
                <w:highlight w:val="none"/>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标项</w:t>
            </w:r>
            <w:r>
              <w:rPr>
                <w:rFonts w:hint="eastAsia" w:ascii="仿宋" w:hAnsi="仿宋" w:eastAsia="仿宋" w:cs="仿宋"/>
                <w:color w:val="auto"/>
                <w:sz w:val="28"/>
                <w:szCs w:val="28"/>
                <w:highlight w:val="none"/>
              </w:rPr>
              <w:t>编号</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标项二：[2024]3278号-002-002</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标项三：</w:t>
            </w:r>
            <w:r>
              <w:rPr>
                <w:rFonts w:hint="default" w:ascii="仿宋" w:hAnsi="仿宋" w:eastAsia="仿宋" w:cs="仿宋"/>
                <w:color w:val="auto"/>
                <w:sz w:val="28"/>
                <w:szCs w:val="28"/>
                <w:highlight w:val="none"/>
                <w:lang w:val="en-US" w:eastAsia="zh-CN"/>
              </w:rPr>
              <w:t>[2024]3278号-002-003</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标项六：[2024]3278号-002-006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资金来源、最高限价</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资金来源：财政资金</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：标项二：161.5万元；标项三：77.9万元；标项六：79.8万元；</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单价最高限价和合计最高限价详见</w:t>
            </w:r>
            <w:r>
              <w:rPr>
                <w:rFonts w:hint="eastAsia" w:ascii="仿宋" w:hAnsi="仿宋" w:eastAsia="仿宋" w:cs="仿宋"/>
                <w:color w:val="auto"/>
                <w:sz w:val="28"/>
                <w:szCs w:val="28"/>
                <w:highlight w:val="none"/>
              </w:rPr>
              <w:t xml:space="preserve">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注：投标人报价均不得</w:t>
            </w:r>
            <w:r>
              <w:rPr>
                <w:rFonts w:hint="eastAsia" w:ascii="仿宋" w:hAnsi="仿宋" w:eastAsia="仿宋" w:cs="仿宋"/>
                <w:color w:val="auto"/>
                <w:sz w:val="28"/>
                <w:szCs w:val="28"/>
                <w:highlight w:val="none"/>
                <w:lang w:eastAsia="zh-CN"/>
              </w:rPr>
              <w:t>超出</w:t>
            </w:r>
            <w:r>
              <w:rPr>
                <w:rFonts w:hint="eastAsia" w:ascii="仿宋" w:hAnsi="仿宋" w:eastAsia="仿宋" w:cs="仿宋"/>
                <w:color w:val="auto"/>
                <w:sz w:val="28"/>
                <w:szCs w:val="28"/>
                <w:highlight w:val="none"/>
                <w:lang w:val="en-US" w:eastAsia="zh-CN"/>
              </w:rPr>
              <w:t>单价最高限价和合计最高限价</w:t>
            </w:r>
            <w:r>
              <w:rPr>
                <w:rFonts w:hint="eastAsia" w:ascii="仿宋" w:hAnsi="仿宋" w:eastAsia="仿宋" w:cs="仿宋"/>
                <w:color w:val="auto"/>
                <w:sz w:val="28"/>
                <w:szCs w:val="28"/>
                <w:highlight w:val="none"/>
                <w:lang w:eastAsia="zh-CN"/>
              </w:rPr>
              <w:t>，否则</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c>
        <w:tc>
          <w:tcPr>
            <w:tcW w:w="6471" w:type="dxa"/>
            <w:gridSpan w:val="2"/>
            <w:vAlign w:val="center"/>
          </w:tcPr>
          <w:p>
            <w:pPr>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标项二：</w:t>
            </w:r>
            <w:r>
              <w:rPr>
                <w:rFonts w:hint="eastAsia" w:ascii="仿宋" w:hAnsi="仿宋" w:eastAsia="仿宋" w:cs="仿宋"/>
                <w:color w:val="auto"/>
                <w:sz w:val="28"/>
                <w:szCs w:val="28"/>
                <w:highlight w:val="none"/>
                <w:lang w:val="en-US" w:eastAsia="zh-CN"/>
              </w:rPr>
              <w:t>彩色多普勒超声诊断仪、便携式彩色多普勒超声诊断仪等采购</w:t>
            </w:r>
            <w:r>
              <w:rPr>
                <w:rFonts w:hint="eastAsia" w:ascii="仿宋" w:hAnsi="仿宋" w:eastAsia="仿宋" w:cs="仿宋"/>
                <w:color w:val="auto"/>
                <w:sz w:val="28"/>
                <w:szCs w:val="28"/>
                <w:highlight w:val="none"/>
              </w:rPr>
              <w:t xml:space="preserve">，详见招标文件“第四章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兼投兼中</w:t>
            </w:r>
            <w:r>
              <w:rPr>
                <w:rFonts w:hint="eastAsia" w:ascii="仿宋" w:hAnsi="仿宋" w:eastAsia="仿宋" w:cs="仿宋"/>
                <w:color w:val="auto"/>
                <w:sz w:val="28"/>
                <w:szCs w:val="28"/>
                <w:highlight w:val="none"/>
              </w:rPr>
              <w:t>。</w:t>
            </w:r>
          </w:p>
          <w:p>
            <w:pPr>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eastAsia="仿宋"/>
                <w:b/>
                <w:bCs/>
                <w:color w:val="auto"/>
                <w:sz w:val="28"/>
                <w:szCs w:val="28"/>
                <w:highlight w:val="none"/>
                <w:lang w:val="en-US" w:eastAsia="zh-CN"/>
              </w:rPr>
              <w:t>标项三：</w:t>
            </w:r>
            <w:r>
              <w:rPr>
                <w:rFonts w:hint="eastAsia" w:eastAsia="仿宋"/>
                <w:color w:val="auto"/>
                <w:sz w:val="28"/>
                <w:szCs w:val="28"/>
                <w:highlight w:val="none"/>
                <w:lang w:val="en-US" w:eastAsia="zh-CN"/>
              </w:rPr>
              <w:t>网络心电图机、动态血压监检测仪、动态心电图仪、肺功能仪、心电监护仪、除颤仪、无创呼吸机、可视喉镜、产后访视包</w:t>
            </w:r>
            <w:r>
              <w:rPr>
                <w:rFonts w:hint="eastAsia" w:ascii="仿宋" w:hAnsi="仿宋" w:eastAsia="仿宋" w:cs="仿宋"/>
                <w:color w:val="auto"/>
                <w:sz w:val="28"/>
                <w:szCs w:val="28"/>
                <w:highlight w:val="none"/>
                <w:lang w:val="en-US" w:eastAsia="zh-CN"/>
              </w:rPr>
              <w:t>等采购</w:t>
            </w:r>
            <w:r>
              <w:rPr>
                <w:rFonts w:hint="eastAsia" w:ascii="仿宋" w:hAnsi="仿宋" w:eastAsia="仿宋" w:cs="仿宋"/>
                <w:color w:val="auto"/>
                <w:sz w:val="28"/>
                <w:szCs w:val="28"/>
                <w:highlight w:val="none"/>
              </w:rPr>
              <w:t xml:space="preserve">，详见招标文件“第四章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兼投兼中</w:t>
            </w:r>
            <w:r>
              <w:rPr>
                <w:rFonts w:hint="eastAsia" w:ascii="仿宋" w:hAnsi="仿宋" w:eastAsia="仿宋" w:cs="仿宋"/>
                <w:color w:val="auto"/>
                <w:sz w:val="28"/>
                <w:szCs w:val="28"/>
                <w:highlight w:val="none"/>
              </w:rPr>
              <w:t>。</w:t>
            </w:r>
          </w:p>
          <w:p>
            <w:pPr>
              <w:pageBreakBefore w:val="0"/>
              <w:kinsoku/>
              <w:wordWrap/>
              <w:overflowPunct/>
              <w:topLinePunct w:val="0"/>
              <w:autoSpaceDE/>
              <w:autoSpaceDN/>
              <w:bidi w:val="0"/>
              <w:adjustRightInd/>
              <w:snapToGrid/>
              <w:spacing w:line="380" w:lineRule="exact"/>
              <w:ind w:right="0" w:rightChars="0"/>
              <w:textAlignment w:val="auto"/>
              <w:rPr>
                <w:rFonts w:hint="default"/>
                <w:color w:val="auto"/>
                <w:highlight w:val="none"/>
                <w:lang w:val="en-US" w:eastAsia="zh-CN"/>
              </w:rPr>
            </w:pPr>
            <w:r>
              <w:rPr>
                <w:rFonts w:hint="eastAsia" w:ascii="仿宋" w:hAnsi="仿宋" w:eastAsia="仿宋" w:cs="仿宋"/>
                <w:b/>
                <w:bCs/>
                <w:color w:val="auto"/>
                <w:sz w:val="28"/>
                <w:szCs w:val="28"/>
                <w:highlight w:val="none"/>
                <w:lang w:val="en-US" w:eastAsia="zh-CN"/>
              </w:rPr>
              <w:t>标项六：</w:t>
            </w:r>
            <w:r>
              <w:rPr>
                <w:rFonts w:hint="eastAsia" w:ascii="仿宋" w:hAnsi="仿宋" w:eastAsia="仿宋" w:cs="仿宋"/>
                <w:color w:val="auto"/>
                <w:sz w:val="28"/>
                <w:szCs w:val="28"/>
                <w:highlight w:val="none"/>
                <w:lang w:val="en-US" w:eastAsia="zh-CN"/>
              </w:rPr>
              <w:t>全科医生移动诊疗箱等采购，详见招标文件“第四章  项目采购需求”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供货期、</w:t>
            </w:r>
            <w:r>
              <w:rPr>
                <w:rFonts w:hint="eastAsia" w:ascii="仿宋" w:hAnsi="仿宋" w:eastAsia="仿宋" w:cs="仿宋"/>
                <w:b w:val="0"/>
                <w:bCs/>
                <w:color w:val="auto"/>
                <w:sz w:val="28"/>
                <w:szCs w:val="28"/>
                <w:highlight w:val="none"/>
                <w:lang w:val="en-US" w:eastAsia="zh-CN"/>
              </w:rPr>
              <w:t>质量标准</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供货期：供货期均为自合同签订之日起</w:t>
            </w:r>
            <w:r>
              <w:rPr>
                <w:rFonts w:hint="eastAsia" w:ascii="仿宋" w:hAnsi="仿宋" w:eastAsia="仿宋" w:cs="仿宋"/>
                <w:b w:val="0"/>
                <w:bCs/>
                <w:color w:val="auto"/>
                <w:sz w:val="28"/>
                <w:szCs w:val="28"/>
                <w:highlight w:val="none"/>
                <w:lang w:val="en-US" w:eastAsia="zh-CN"/>
              </w:rPr>
              <w:t>7日</w:t>
            </w:r>
            <w:r>
              <w:rPr>
                <w:rFonts w:hint="eastAsia" w:ascii="仿宋" w:hAnsi="仿宋" w:eastAsia="仿宋" w:cs="仿宋"/>
                <w:color w:val="auto"/>
                <w:sz w:val="28"/>
                <w:szCs w:val="28"/>
                <w:highlight w:val="none"/>
                <w:lang w:val="en-US" w:eastAsia="zh-CN"/>
              </w:rPr>
              <w:t>内完成供货，具体以合同签订为准。</w:t>
            </w:r>
          </w:p>
          <w:p>
            <w:pPr>
              <w:pStyle w:val="40"/>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质量标准：符合国家、行业及第四章采购需求所述标准。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质保期</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详见“第四章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未明确的，质保期为3年</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供货地点</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奇台县奇台镇社区卫生服务中心</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奇台县东关街250号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落实的政府采购政策</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1）符合促进中小企业（监狱企业、残疾人福利性单位）发展政策；</w:t>
            </w:r>
          </w:p>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落实政府采购政策需满足的资格要求：</w:t>
            </w:r>
            <w:r>
              <w:rPr>
                <w:rFonts w:hint="eastAsia" w:ascii="仿宋" w:hAnsi="仿宋" w:eastAsia="仿宋" w:cs="仿宋"/>
                <w:color w:val="auto"/>
                <w:sz w:val="28"/>
                <w:szCs w:val="28"/>
                <w:highlight w:val="none"/>
                <w:lang w:val="en-US" w:eastAsia="zh-CN"/>
              </w:rPr>
              <w:t>本项目为非专门面向中小企业（含中型、小型、微型）采购项目，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给予价格评审优惠的扶持政策，报价给予10%的扣除，用扣除后的价格参加评审。</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投标人资格要求</w:t>
            </w:r>
          </w:p>
        </w:tc>
        <w:tc>
          <w:tcPr>
            <w:tcW w:w="6471" w:type="dxa"/>
            <w:gridSpan w:val="2"/>
            <w:vAlign w:val="center"/>
          </w:tcPr>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详见“第二章 投标人须知-投标人须知前附表”第10条</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pPr>
              <w:pStyle w:val="46"/>
              <w:keepNext w:val="0"/>
              <w:keepLines w:val="0"/>
              <w:pageBreakBefore w:val="0"/>
              <w:widowControl/>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w:t>
            </w:r>
          </w:p>
        </w:tc>
        <w:tc>
          <w:tcPr>
            <w:tcW w:w="6471" w:type="dxa"/>
            <w:gridSpan w:val="2"/>
            <w:vAlign w:val="center"/>
          </w:tcPr>
          <w:p>
            <w:pPr>
              <w:pStyle w:val="3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投标保证金的金额</w:t>
            </w:r>
          </w:p>
          <w:p>
            <w:pPr>
              <w:pStyle w:val="3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标项二：16000.00元（大写：壹万陆仟元整）；</w:t>
            </w:r>
          </w:p>
          <w:p>
            <w:pPr>
              <w:pStyle w:val="3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标项三：7600.00元（大写：柒仟陆佰元整）；</w:t>
            </w:r>
          </w:p>
          <w:p>
            <w:pPr>
              <w:pStyle w:val="3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标项六：7900.00元（大写：柒仟玖佰元整）；</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缴纳：</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应当以电汇、网银、</w:t>
            </w:r>
            <w:r>
              <w:rPr>
                <w:rFonts w:hint="eastAsia" w:ascii="仿宋" w:hAnsi="仿宋" w:eastAsia="仿宋" w:cs="仿宋"/>
                <w:color w:val="auto"/>
                <w:sz w:val="28"/>
                <w:szCs w:val="28"/>
                <w:highlight w:val="none"/>
                <w:lang w:val="en-US" w:eastAsia="zh-CN"/>
              </w:rPr>
              <w:t>电子</w:t>
            </w:r>
            <w:r>
              <w:rPr>
                <w:rFonts w:hint="eastAsia" w:ascii="仿宋" w:hAnsi="仿宋" w:eastAsia="仿宋" w:cs="仿宋"/>
                <w:color w:val="auto"/>
                <w:sz w:val="28"/>
                <w:szCs w:val="28"/>
                <w:highlight w:val="none"/>
              </w:rPr>
              <w:t>保函等非现金形式提交</w:t>
            </w:r>
            <w:r>
              <w:rPr>
                <w:rFonts w:hint="eastAsia" w:ascii="仿宋" w:hAnsi="仿宋" w:eastAsia="仿宋" w:cs="仿宋"/>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2.缴纳</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时需备注项目名称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标项号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如字数超限，可简写</w:t>
            </w:r>
            <w:r>
              <w:rPr>
                <w:rFonts w:hint="eastAsia" w:ascii="仿宋" w:hAnsi="仿宋" w:eastAsia="仿宋" w:cs="仿宋"/>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lang w:val="en-US" w:eastAsia="zh-CN"/>
              </w:rPr>
              <w:t>缴纳</w:t>
            </w:r>
            <w:r>
              <w:rPr>
                <w:rFonts w:hint="eastAsia" w:ascii="仿宋" w:hAnsi="仿宋" w:eastAsia="仿宋" w:cs="仿宋"/>
                <w:color w:val="auto"/>
                <w:kern w:val="0"/>
                <w:sz w:val="28"/>
                <w:szCs w:val="28"/>
                <w:highlight w:val="none"/>
              </w:rPr>
              <w:t>截止时间：同</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lang w:val="en-US" w:eastAsia="zh-CN"/>
              </w:rPr>
              <w:t>上传</w:t>
            </w:r>
            <w:r>
              <w:rPr>
                <w:rFonts w:hint="eastAsia" w:ascii="仿宋" w:hAnsi="仿宋" w:eastAsia="仿宋" w:cs="仿宋"/>
                <w:color w:val="auto"/>
                <w:kern w:val="0"/>
                <w:sz w:val="28"/>
                <w:szCs w:val="28"/>
                <w:highlight w:val="none"/>
              </w:rPr>
              <w:t>截止时间；</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缴纳账户：</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单位名称：新疆拓源工程管理咨询有限公司</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账号：107675470537</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开户行名称：中国银行</w:t>
            </w:r>
            <w:r>
              <w:rPr>
                <w:rFonts w:hint="eastAsia" w:ascii="仿宋" w:hAnsi="仿宋" w:eastAsia="仿宋" w:cs="仿宋"/>
                <w:color w:val="auto"/>
                <w:kern w:val="0"/>
                <w:sz w:val="28"/>
                <w:szCs w:val="28"/>
                <w:highlight w:val="none"/>
                <w:lang w:val="en-US" w:eastAsia="zh-CN"/>
              </w:rPr>
              <w:t>股份有限公司</w:t>
            </w:r>
            <w:r>
              <w:rPr>
                <w:rFonts w:hint="eastAsia" w:ascii="仿宋" w:hAnsi="仿宋" w:eastAsia="仿宋" w:cs="仿宋"/>
                <w:color w:val="auto"/>
                <w:kern w:val="0"/>
                <w:sz w:val="28"/>
                <w:szCs w:val="28"/>
                <w:highlight w:val="none"/>
              </w:rPr>
              <w:t>乌鲁木齐市</w:t>
            </w:r>
            <w:r>
              <w:rPr>
                <w:rFonts w:hint="eastAsia" w:ascii="仿宋" w:hAnsi="仿宋" w:eastAsia="仿宋" w:cs="仿宋"/>
                <w:color w:val="auto"/>
                <w:kern w:val="0"/>
                <w:sz w:val="28"/>
                <w:szCs w:val="28"/>
                <w:highlight w:val="none"/>
                <w:lang w:val="en-US" w:eastAsia="zh-CN"/>
              </w:rPr>
              <w:t>银川路支行</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行号：104881006135</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退还：</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1.未</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将在</w:t>
            </w:r>
            <w:r>
              <w:rPr>
                <w:rFonts w:hint="eastAsia" w:ascii="仿宋" w:hAnsi="仿宋" w:eastAsia="仿宋" w:cs="仿宋"/>
                <w:color w:val="auto"/>
                <w:kern w:val="0"/>
                <w:sz w:val="28"/>
                <w:szCs w:val="28"/>
                <w:highlight w:val="none"/>
                <w:lang w:val="en-US" w:eastAsia="zh-CN"/>
              </w:rPr>
              <w:t>中标</w:t>
            </w:r>
            <w:r>
              <w:rPr>
                <w:rFonts w:hint="eastAsia" w:ascii="仿宋" w:hAnsi="仿宋" w:eastAsia="仿宋" w:cs="仿宋"/>
                <w:color w:val="auto"/>
                <w:kern w:val="0"/>
                <w:sz w:val="28"/>
                <w:szCs w:val="28"/>
                <w:highlight w:val="none"/>
              </w:rPr>
              <w:t>通知书发出后5个工作日内退还。</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将在</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与采购人签订合同，并将合同递交至采购代理后5个工作日内，无息退还。</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3.有下列情形之一的，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 xml:space="preserve">不予退还：详见总则第15.5条。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三、备注：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val="en-US" w:eastAsia="zh-CN"/>
              </w:rPr>
              <w:t>投标人无需前往代理公司换取收据，仅需将</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缴纳凭证，装订在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中相应位置</w:t>
            </w:r>
            <w:r>
              <w:rPr>
                <w:rFonts w:hint="eastAsia" w:ascii="仿宋" w:hAnsi="仿宋" w:eastAsia="仿宋" w:cs="仿宋"/>
                <w:color w:val="auto"/>
                <w:sz w:val="28"/>
                <w:szCs w:val="28"/>
                <w:highlight w:val="none"/>
                <w:lang w:val="en-US" w:eastAsia="zh-CN"/>
              </w:rPr>
              <w:t>即可</w:t>
            </w:r>
            <w:r>
              <w:rPr>
                <w:rFonts w:hint="eastAsia" w:ascii="仿宋" w:hAnsi="仿宋" w:eastAsia="仿宋" w:cs="仿宋"/>
                <w:color w:val="auto"/>
                <w:sz w:val="28"/>
                <w:szCs w:val="28"/>
                <w:highlight w:val="none"/>
                <w:lang w:eastAsia="zh-CN"/>
              </w:rPr>
              <w:t>；</w:t>
            </w:r>
          </w:p>
          <w:p>
            <w:pPr>
              <w:pStyle w:val="3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eastAsia="zh-CN"/>
              </w:rPr>
              <w:t>投标人</w:t>
            </w:r>
            <w:r>
              <w:rPr>
                <w:rFonts w:hint="eastAsia" w:ascii="仿宋" w:hAnsi="仿宋" w:eastAsia="仿宋" w:cs="仿宋"/>
                <w:b/>
                <w:bCs/>
                <w:color w:val="auto"/>
                <w:kern w:val="0"/>
                <w:sz w:val="28"/>
                <w:szCs w:val="28"/>
                <w:highlight w:val="none"/>
              </w:rPr>
              <w:t>未按照</w:t>
            </w:r>
            <w:r>
              <w:rPr>
                <w:rFonts w:hint="eastAsia" w:ascii="仿宋" w:hAnsi="仿宋" w:eastAsia="仿宋" w:cs="仿宋"/>
                <w:b/>
                <w:bCs/>
                <w:color w:val="auto"/>
                <w:kern w:val="0"/>
                <w:sz w:val="28"/>
                <w:szCs w:val="28"/>
                <w:highlight w:val="none"/>
                <w:lang w:eastAsia="zh-CN"/>
              </w:rPr>
              <w:t>招标文件</w:t>
            </w:r>
            <w:r>
              <w:rPr>
                <w:rFonts w:hint="eastAsia" w:ascii="仿宋" w:hAnsi="仿宋" w:eastAsia="仿宋" w:cs="仿宋"/>
                <w:b/>
                <w:bCs/>
                <w:color w:val="auto"/>
                <w:kern w:val="0"/>
                <w:sz w:val="28"/>
                <w:szCs w:val="28"/>
                <w:highlight w:val="none"/>
              </w:rPr>
              <w:t>要求缴纳</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的，</w:t>
            </w:r>
            <w:r>
              <w:rPr>
                <w:rFonts w:hint="eastAsia" w:ascii="仿宋" w:hAnsi="仿宋" w:eastAsia="仿宋" w:cs="仿宋"/>
                <w:b/>
                <w:bCs/>
                <w:color w:val="auto"/>
                <w:kern w:val="0"/>
                <w:sz w:val="28"/>
                <w:szCs w:val="28"/>
                <w:highlight w:val="none"/>
                <w:lang w:val="en-US" w:eastAsia="zh-CN"/>
              </w:rPr>
              <w:t>投标</w:t>
            </w:r>
            <w:r>
              <w:rPr>
                <w:rFonts w:hint="eastAsia" w:ascii="仿宋" w:hAnsi="仿宋" w:eastAsia="仿宋" w:cs="仿宋"/>
                <w:b/>
                <w:bCs/>
                <w:color w:val="auto"/>
                <w:kern w:val="0"/>
                <w:sz w:val="28"/>
                <w:szCs w:val="28"/>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是否接受联合体投标</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文件</w:t>
            </w:r>
            <w:r>
              <w:rPr>
                <w:rFonts w:hint="eastAsia" w:ascii="仿宋" w:hAnsi="仿宋" w:eastAsia="仿宋" w:cs="仿宋"/>
                <w:b w:val="0"/>
                <w:bCs/>
                <w:color w:val="auto"/>
                <w:sz w:val="28"/>
                <w:szCs w:val="28"/>
                <w:highlight w:val="none"/>
                <w:lang w:val="en-US" w:eastAsia="zh-CN"/>
              </w:rPr>
              <w:t>份数、</w:t>
            </w:r>
            <w:r>
              <w:rPr>
                <w:rFonts w:hint="eastAsia" w:ascii="仿宋" w:hAnsi="仿宋" w:eastAsia="仿宋" w:cs="仿宋"/>
                <w:b w:val="0"/>
                <w:bCs/>
                <w:color w:val="auto"/>
                <w:sz w:val="28"/>
                <w:szCs w:val="28"/>
                <w:highlight w:val="none"/>
              </w:rPr>
              <w:t>上传截止时间</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地点</w:t>
            </w:r>
          </w:p>
        </w:tc>
        <w:tc>
          <w:tcPr>
            <w:tcW w:w="6471" w:type="dxa"/>
            <w:gridSpan w:val="2"/>
            <w:vAlign w:val="center"/>
          </w:tcPr>
          <w:p>
            <w:pPr>
              <w:pStyle w:val="46"/>
              <w:keepNext w:val="0"/>
              <w:keepLines w:val="0"/>
              <w:pageBreakBefore w:val="0"/>
              <w:widowControl/>
              <w:numPr>
                <w:ilvl w:val="0"/>
                <w:numId w:val="5"/>
              </w:numPr>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eastAsia="zh-CN"/>
              </w:rPr>
              <w:t>电子加密投标文件1份，无正副本区别，仅需</w:t>
            </w:r>
            <w:r>
              <w:rPr>
                <w:rFonts w:hint="eastAsia" w:ascii="仿宋" w:hAnsi="仿宋" w:eastAsia="仿宋" w:cs="仿宋"/>
                <w:b w:val="0"/>
                <w:bCs/>
                <w:color w:val="auto"/>
                <w:kern w:val="0"/>
                <w:sz w:val="28"/>
                <w:szCs w:val="28"/>
                <w:highlight w:val="none"/>
                <w:lang w:val="en-US" w:eastAsia="zh-CN"/>
              </w:rPr>
              <w:t>在规定时间内向政采云系统</w:t>
            </w:r>
            <w:r>
              <w:rPr>
                <w:rFonts w:hint="eastAsia" w:ascii="仿宋" w:hAnsi="仿宋" w:eastAsia="仿宋" w:cs="仿宋"/>
                <w:b w:val="0"/>
                <w:bCs/>
                <w:color w:val="auto"/>
                <w:kern w:val="0"/>
                <w:sz w:val="28"/>
                <w:szCs w:val="28"/>
                <w:highlight w:val="none"/>
                <w:lang w:eastAsia="zh-CN"/>
              </w:rPr>
              <w:t>上传即可）。</w:t>
            </w:r>
          </w:p>
          <w:p>
            <w:pPr>
              <w:pStyle w:val="46"/>
              <w:keepNext w:val="0"/>
              <w:keepLines w:val="0"/>
              <w:pageBreakBefore w:val="0"/>
              <w:widowControl/>
              <w:numPr>
                <w:ilvl w:val="0"/>
                <w:numId w:val="5"/>
              </w:numPr>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sz w:val="28"/>
                <w:szCs w:val="28"/>
                <w:highlight w:val="none"/>
                <w:lang w:val="en-US" w:eastAsia="zh-CN"/>
              </w:rPr>
              <w:t>所有投标人须在</w:t>
            </w:r>
            <w:r>
              <w:rPr>
                <w:rFonts w:hint="eastAsia" w:ascii="仿宋" w:hAnsi="仿宋" w:eastAsia="仿宋" w:cs="仿宋"/>
                <w:b/>
                <w:bCs w:val="0"/>
                <w:color w:val="auto"/>
                <w:sz w:val="28"/>
                <w:szCs w:val="28"/>
                <w:highlight w:val="none"/>
                <w:lang w:val="en-US" w:eastAsia="zh-CN"/>
              </w:rPr>
              <w:t>招标结束后五个工作日内</w:t>
            </w:r>
            <w:r>
              <w:rPr>
                <w:rFonts w:hint="eastAsia" w:ascii="仿宋" w:hAnsi="仿宋" w:eastAsia="仿宋" w:cs="仿宋"/>
                <w:b w:val="0"/>
                <w:bCs/>
                <w:color w:val="auto"/>
                <w:sz w:val="28"/>
                <w:szCs w:val="28"/>
                <w:highlight w:val="none"/>
                <w:lang w:val="en-US" w:eastAsia="zh-CN"/>
              </w:rPr>
              <w:t>向采购代理机构递交</w:t>
            </w:r>
            <w:r>
              <w:rPr>
                <w:rFonts w:hint="eastAsia" w:ascii="仿宋" w:hAnsi="仿宋" w:eastAsia="仿宋" w:cs="仿宋"/>
                <w:b/>
                <w:bCs w:val="0"/>
                <w:color w:val="auto"/>
                <w:sz w:val="28"/>
                <w:szCs w:val="28"/>
                <w:highlight w:val="none"/>
                <w:lang w:val="en-US" w:eastAsia="zh-CN"/>
              </w:rPr>
              <w:t>签章纸质版投标文件一正一副胶装成册（用于档案资料编制），</w:t>
            </w:r>
            <w:r>
              <w:rPr>
                <w:rFonts w:hint="eastAsia" w:ascii="仿宋" w:hAnsi="仿宋" w:eastAsia="仿宋" w:cs="仿宋"/>
                <w:b w:val="0"/>
                <w:bCs/>
                <w:color w:val="auto"/>
                <w:sz w:val="28"/>
                <w:szCs w:val="28"/>
                <w:highlight w:val="none"/>
                <w:lang w:val="en-US" w:eastAsia="zh-CN"/>
              </w:rPr>
              <w:t>纸质版投标文件须与政采云平台上传的电子版投标文件保持一致。</w:t>
            </w:r>
          </w:p>
          <w:p>
            <w:pPr>
              <w:pStyle w:val="46"/>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上传截止时间：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1月15日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点00分</w:t>
            </w:r>
            <w:r>
              <w:rPr>
                <w:rFonts w:hint="eastAsia" w:ascii="仿宋" w:hAnsi="仿宋" w:eastAsia="仿宋" w:cs="仿宋"/>
                <w:b w:val="0"/>
                <w:bCs/>
                <w:color w:val="auto"/>
                <w:kern w:val="0"/>
                <w:sz w:val="28"/>
                <w:szCs w:val="28"/>
                <w:highlight w:val="none"/>
              </w:rPr>
              <w:t>（北京时间）</w:t>
            </w:r>
          </w:p>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上传地点：在</w:t>
            </w:r>
            <w:r>
              <w:rPr>
                <w:rFonts w:hint="eastAsia" w:ascii="仿宋" w:hAnsi="仿宋" w:eastAsia="仿宋" w:cs="仿宋"/>
                <w:b w:val="0"/>
                <w:bCs/>
                <w:color w:val="auto"/>
                <w:kern w:val="0"/>
                <w:sz w:val="28"/>
                <w:szCs w:val="28"/>
                <w:highlight w:val="none"/>
                <w:lang w:val="en-US" w:eastAsia="zh-CN"/>
              </w:rPr>
              <w:t>投标</w:t>
            </w:r>
            <w:r>
              <w:rPr>
                <w:rFonts w:hint="eastAsia" w:ascii="仿宋" w:hAnsi="仿宋" w:eastAsia="仿宋" w:cs="仿宋"/>
                <w:b w:val="0"/>
                <w:bCs/>
                <w:color w:val="auto"/>
                <w:kern w:val="0"/>
                <w:sz w:val="28"/>
                <w:szCs w:val="28"/>
                <w:highlight w:val="none"/>
              </w:rPr>
              <w:t>截止时间前将电子加密</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成功上传至“政府采购云平台”</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投标人</w:t>
            </w:r>
            <w:r>
              <w:rPr>
                <w:rFonts w:hint="eastAsia" w:ascii="仿宋" w:hAnsi="仿宋" w:eastAsia="仿宋" w:cs="仿宋"/>
                <w:b w:val="0"/>
                <w:bCs/>
                <w:color w:val="auto"/>
                <w:kern w:val="0"/>
                <w:sz w:val="28"/>
                <w:szCs w:val="28"/>
                <w:highlight w:val="none"/>
                <w:lang w:eastAsia="zh-CN"/>
              </w:rPr>
              <w:t>成功上传电子加密投标文件后，可自行打印投标文件接收回执</w:t>
            </w:r>
            <w:r>
              <w:rPr>
                <w:rFonts w:hint="eastAsia" w:ascii="仿宋" w:hAnsi="仿宋" w:eastAsia="仿宋" w:cs="仿宋"/>
                <w:b w:val="0"/>
                <w:bCs/>
                <w:color w:val="auto"/>
                <w:sz w:val="28"/>
                <w:szCs w:val="28"/>
                <w:highlight w:val="none"/>
              </w:rPr>
              <w:t>。</w:t>
            </w:r>
          </w:p>
          <w:p>
            <w:pPr>
              <w:pStyle w:val="40"/>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lang w:eastAsia="zh-CN"/>
              </w:rPr>
              <w:t>）电子投标文件包括“电子加密投标文件”和“备份投标文件”，在投标文件编制完成后同时生成。</w:t>
            </w:r>
          </w:p>
          <w:p>
            <w:pPr>
              <w:pStyle w:val="40"/>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①</w:t>
            </w:r>
            <w:r>
              <w:rPr>
                <w:rFonts w:hint="eastAsia" w:ascii="仿宋" w:hAnsi="仿宋" w:eastAsia="仿宋" w:cs="仿宋"/>
                <w:b w:val="0"/>
                <w:bCs/>
                <w:color w:val="auto"/>
                <w:sz w:val="28"/>
                <w:szCs w:val="28"/>
                <w:highlight w:val="none"/>
                <w:lang w:eastAsia="zh-CN"/>
              </w:rPr>
              <w:t>“电子加密投标文件（“.jmbs”格式）”是指通过“政采云电子交易客户端”完成投标文件编制后生成并加密的数据电文形式的投标文件。</w:t>
            </w:r>
          </w:p>
          <w:p>
            <w:pPr>
              <w:pStyle w:val="40"/>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②</w:t>
            </w:r>
            <w:r>
              <w:rPr>
                <w:rFonts w:hint="eastAsia" w:ascii="仿宋" w:hAnsi="仿宋" w:eastAsia="仿宋" w:cs="仿宋"/>
                <w:b w:val="0"/>
                <w:bCs/>
                <w:color w:val="auto"/>
                <w:sz w:val="28"/>
                <w:szCs w:val="28"/>
                <w:highlight w:val="none"/>
                <w:lang w:eastAsia="zh-CN"/>
              </w:rPr>
              <w:t>“备份投标文件（“.bfbs”格式）”是指与“电子加密投标文件”同时生成的数据电文形式的电子文件（备份标书，用于投标人标书解密异常时应急使用），其他方式编制的备份投标文件视为无效备份投标文件。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重要说明</w:t>
            </w:r>
          </w:p>
        </w:tc>
        <w:tc>
          <w:tcPr>
            <w:tcW w:w="6471"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color w:val="auto"/>
                <w:sz w:val="28"/>
                <w:szCs w:val="28"/>
                <w:highlight w:val="none"/>
              </w:rPr>
              <w:t>电子招投标</w:t>
            </w:r>
            <w:r>
              <w:rPr>
                <w:rFonts w:hint="eastAsia" w:ascii="仿宋" w:hAnsi="仿宋" w:eastAsia="仿宋" w:cs="仿宋"/>
                <w:color w:val="auto"/>
                <w:sz w:val="28"/>
                <w:szCs w:val="28"/>
                <w:highlight w:val="none"/>
              </w:rPr>
              <w:t>：本项目以数据电文形式，依托“政府采购云平台（www.zcygov.cn）”进行招投标活动</w:t>
            </w:r>
            <w:r>
              <w:rPr>
                <w:rFonts w:hint="eastAsia" w:ascii="仿宋" w:hAnsi="仿宋" w:eastAsia="仿宋" w:cs="仿宋"/>
                <w:b/>
                <w:bCs/>
                <w:color w:val="auto"/>
                <w:sz w:val="28"/>
                <w:szCs w:val="28"/>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color w:val="auto"/>
                <w:sz w:val="28"/>
                <w:szCs w:val="28"/>
                <w:highlight w:val="none"/>
              </w:rPr>
              <w:t>投标准备</w:t>
            </w:r>
            <w:r>
              <w:rPr>
                <w:rFonts w:hint="eastAsia" w:ascii="仿宋" w:hAnsi="仿宋" w:eastAsia="仿宋" w:cs="仿宋"/>
                <w:color w:val="auto"/>
                <w:sz w:val="28"/>
                <w:szCs w:val="28"/>
                <w:highlight w:val="none"/>
              </w:rPr>
              <w:t>：注册账号--点击“商家入驻”，进行政府采购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资料填写；申领CA数字证书---申领流程详见“</w:t>
            </w:r>
            <w:r>
              <w:rPr>
                <w:rFonts w:hint="eastAsia" w:ascii="仿宋" w:hAnsi="仿宋" w:eastAsia="仿宋" w:cs="仿宋"/>
                <w:color w:val="auto"/>
                <w:sz w:val="28"/>
                <w:szCs w:val="28"/>
                <w:highlight w:val="none"/>
                <w:lang w:eastAsia="zh-CN"/>
              </w:rPr>
              <w:t>新疆</w:t>
            </w:r>
            <w:r>
              <w:rPr>
                <w:rFonts w:hint="eastAsia" w:ascii="仿宋" w:hAnsi="仿宋" w:eastAsia="仿宋" w:cs="仿宋"/>
                <w:color w:val="auto"/>
                <w:sz w:val="28"/>
                <w:szCs w:val="28"/>
                <w:highlight w:val="none"/>
              </w:rPr>
              <w:t>政府采购网-下载专区-电子交易客户端-CA驱动和申领流程”；安装“政采云电子交易客户端”----前往“</w:t>
            </w:r>
            <w:r>
              <w:rPr>
                <w:rFonts w:hint="eastAsia" w:ascii="仿宋" w:hAnsi="仿宋" w:eastAsia="仿宋" w:cs="仿宋"/>
                <w:color w:val="auto"/>
                <w:sz w:val="28"/>
                <w:szCs w:val="28"/>
                <w:highlight w:val="none"/>
                <w:lang w:eastAsia="zh-CN"/>
              </w:rPr>
              <w:t>新疆</w:t>
            </w:r>
            <w:r>
              <w:rPr>
                <w:rFonts w:hint="eastAsia" w:ascii="仿宋" w:hAnsi="仿宋" w:eastAsia="仿宋" w:cs="仿宋"/>
                <w:color w:val="auto"/>
                <w:sz w:val="28"/>
                <w:szCs w:val="28"/>
                <w:highlight w:val="none"/>
              </w:rPr>
              <w:t>政府采购网-下载专区-政采云</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color w:val="auto"/>
                <w:sz w:val="28"/>
                <w:szCs w:val="28"/>
                <w:highlight w:val="none"/>
              </w:rPr>
              <w:t>采购文件的获取</w:t>
            </w:r>
            <w:r>
              <w:rPr>
                <w:rFonts w:hint="eastAsia" w:ascii="仿宋" w:hAnsi="仿宋" w:eastAsia="仿宋" w:cs="仿宋"/>
                <w:color w:val="auto"/>
                <w:sz w:val="28"/>
                <w:szCs w:val="28"/>
                <w:highlight w:val="none"/>
              </w:rPr>
              <w:t>：使用账号登录或者</w:t>
            </w:r>
            <w:r>
              <w:rPr>
                <w:rFonts w:hint="eastAsia" w:ascii="仿宋" w:hAnsi="仿宋" w:eastAsia="仿宋" w:cs="仿宋"/>
                <w:color w:val="auto"/>
                <w:sz w:val="28"/>
                <w:szCs w:val="28"/>
                <w:highlight w:val="none"/>
                <w:lang w:bidi="zh-CN"/>
              </w:rPr>
              <w:t>短信验证码</w:t>
            </w:r>
            <w:r>
              <w:rPr>
                <w:rFonts w:hint="eastAsia" w:ascii="仿宋" w:hAnsi="仿宋" w:eastAsia="仿宋" w:cs="仿宋"/>
                <w:color w:val="auto"/>
                <w:sz w:val="28"/>
                <w:szCs w:val="28"/>
                <w:highlight w:val="none"/>
              </w:rPr>
              <w:t>或者使用CA登录政采云平台；进入“项目采购”应用，在获取采购文件菜单中选择项目，获取采购文件。</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b/>
                <w:color w:val="auto"/>
                <w:sz w:val="28"/>
                <w:szCs w:val="28"/>
                <w:highlight w:val="none"/>
              </w:rPr>
              <w:t>投标文件的制作</w:t>
            </w:r>
            <w:r>
              <w:rPr>
                <w:rFonts w:hint="eastAsia" w:ascii="仿宋" w:hAnsi="仿宋" w:eastAsia="仿宋" w:cs="仿宋"/>
                <w:color w:val="auto"/>
                <w:sz w:val="28"/>
                <w:szCs w:val="28"/>
                <w:highlight w:val="none"/>
              </w:rPr>
              <w:t>：在“政采云</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投标文件的递交</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在投标截止时间前将加密的投标文件上传至政府采购云平台</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投标文件的解密</w:t>
            </w:r>
            <w:r>
              <w:rPr>
                <w:rFonts w:hint="eastAsia" w:ascii="仿宋" w:hAnsi="仿宋" w:eastAsia="仿宋" w:cs="仿宋"/>
                <w:color w:val="auto"/>
                <w:sz w:val="28"/>
                <w:szCs w:val="28"/>
                <w:highlight w:val="none"/>
              </w:rPr>
              <w:t>：投标文件解密时间30分钟，开标前需</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用CA证书登录政采云平台开标大厅签到，在30分钟解密时间内输入CA证书PIN码解密投标文件。在30分钟解密时间内未进行解密的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将导致投标无效。（解密时间开始时政采云平台将以短信形式向投标人在政采云平台预留的手机号发送短信通知，请投标人及时关注。）</w:t>
            </w:r>
          </w:p>
          <w:p>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投标人报价CA签字确认：</w:t>
            </w:r>
            <w:r>
              <w:rPr>
                <w:rFonts w:hint="eastAsia" w:ascii="仿宋" w:hAnsi="仿宋" w:eastAsia="仿宋" w:cs="仿宋"/>
                <w:color w:val="auto"/>
                <w:sz w:val="28"/>
                <w:szCs w:val="28"/>
                <w:highlight w:val="none"/>
              </w:rPr>
              <w:t>报价文件开启后将开启签字时段，投标人须在20分钟内用CA证书对报价进行签字确认。</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）具</w:t>
            </w:r>
            <w:r>
              <w:rPr>
                <w:rFonts w:hint="eastAsia" w:ascii="仿宋" w:hAnsi="仿宋" w:eastAsia="仿宋" w:cs="仿宋"/>
                <w:b/>
                <w:color w:val="auto"/>
                <w:sz w:val="28"/>
                <w:szCs w:val="28"/>
                <w:highlight w:val="none"/>
              </w:rPr>
              <w:t>体操作指南</w:t>
            </w:r>
            <w:r>
              <w:rPr>
                <w:rFonts w:hint="eastAsia" w:ascii="仿宋" w:hAnsi="仿宋" w:eastAsia="仿宋" w:cs="仿宋"/>
                <w:color w:val="auto"/>
                <w:sz w:val="28"/>
                <w:szCs w:val="28"/>
                <w:highlight w:val="none"/>
              </w:rPr>
              <w:t>：详见政采云平台“服务中心-帮助文档-项目采购-操作流程-电子招投标-政府采购项目电子交易管理操作指南-</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在进行上述操作时，如遇技术问题可登录政采云（https://</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HYPERLINK "http://www.zcygov.cn/" \h</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www.zcygov.cn/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），点击右侧咨询小采，获取采小蜜智能服务管家帮助，或拨打政采云服务热线</w:t>
            </w:r>
            <w:r>
              <w:rPr>
                <w:rFonts w:hint="eastAsia" w:ascii="仿宋" w:hAnsi="仿宋" w:eastAsia="仿宋" w:cs="仿宋"/>
                <w:color w:val="auto"/>
                <w:sz w:val="28"/>
                <w:szCs w:val="28"/>
                <w:highlight w:val="none"/>
                <w:lang w:val="en-US" w:eastAsia="zh-CN"/>
              </w:rPr>
              <w:t>95763</w:t>
            </w:r>
            <w:r>
              <w:rPr>
                <w:rFonts w:hint="eastAsia" w:ascii="仿宋" w:hAnsi="仿宋" w:eastAsia="仿宋" w:cs="仿宋"/>
                <w:color w:val="auto"/>
                <w:sz w:val="28"/>
                <w:szCs w:val="28"/>
                <w:highlight w:val="none"/>
              </w:rPr>
              <w:t>获取热线服务帮助。</w:t>
            </w:r>
          </w:p>
          <w:p>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color w:val="auto"/>
                <w:sz w:val="28"/>
                <w:szCs w:val="28"/>
                <w:highlight w:val="none"/>
              </w:rPr>
              <w:t>温馨提醒：</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471" w:type="dxa"/>
            <w:gridSpan w:val="2"/>
            <w:vAlign w:val="center"/>
          </w:tcPr>
          <w:p>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报价包括所投货物相关人工费、税费、保险费、运输费、装卸费、安装费、</w:t>
            </w:r>
            <w:r>
              <w:rPr>
                <w:rFonts w:hint="eastAsia" w:ascii="仿宋" w:hAnsi="仿宋" w:eastAsia="仿宋" w:cs="仿宋"/>
                <w:color w:val="auto"/>
                <w:sz w:val="28"/>
                <w:szCs w:val="28"/>
                <w:highlight w:val="none"/>
              </w:rPr>
              <w:t>调试、培训</w:t>
            </w:r>
            <w:r>
              <w:rPr>
                <w:rFonts w:hint="eastAsia" w:ascii="仿宋" w:hAnsi="仿宋" w:eastAsia="仿宋" w:cs="仿宋"/>
                <w:color w:val="auto"/>
                <w:sz w:val="28"/>
                <w:szCs w:val="28"/>
                <w:highlight w:val="none"/>
                <w:lang w:eastAsia="zh-CN"/>
              </w:rPr>
              <w:t>等所有技术和售后服务费用，</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lang w:eastAsia="zh-CN"/>
              </w:rPr>
              <w:t>后采购人不再另行支付</w:t>
            </w:r>
            <w:r>
              <w:rPr>
                <w:rFonts w:hint="eastAsia" w:ascii="仿宋" w:hAnsi="仿宋" w:eastAsia="仿宋" w:cs="仿宋"/>
                <w:color w:val="auto"/>
                <w:sz w:val="28"/>
                <w:szCs w:val="28"/>
                <w:highlight w:val="none"/>
                <w:lang w:val="en-US" w:eastAsia="zh-CN"/>
              </w:rPr>
              <w:t>其它费用。</w:t>
            </w:r>
          </w:p>
          <w:p>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投标人的报价明显低于其他通过符合性审查投标人的报价，有可能影响货物质量或者不能诚信履约的，应当要求其在评标现场合理的时间内提供</w:t>
            </w:r>
            <w:r>
              <w:rPr>
                <w:rFonts w:hint="eastAsia" w:ascii="仿宋" w:hAnsi="仿宋" w:eastAsia="仿宋" w:cs="仿宋"/>
                <w:color w:val="auto"/>
                <w:sz w:val="28"/>
                <w:szCs w:val="28"/>
                <w:highlight w:val="none"/>
                <w:lang w:val="en-US" w:eastAsia="zh-CN"/>
              </w:rPr>
              <w:t>报价合理性</w:t>
            </w:r>
            <w:r>
              <w:rPr>
                <w:rFonts w:hint="eastAsia" w:ascii="仿宋" w:hAnsi="仿宋" w:eastAsia="仿宋" w:cs="仿宋"/>
                <w:color w:val="auto"/>
                <w:sz w:val="28"/>
                <w:szCs w:val="28"/>
                <w:highlight w:val="none"/>
              </w:rPr>
              <w:t>说明，必要时提交相关证明材料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投标人不能证明其报价合理性的，评标委员会将其作为无效投标处理，自行承担相关责任。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踏勘现场</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不组织，投标人自行踏勘，无论投标人对现场考察与否，都将被视为熟悉履行合同有关的一切情况，投标人现场踏勘发生的费用自理。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1"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投标答疑会</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不召开</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近年财务状况年份要求</w:t>
            </w:r>
          </w:p>
        </w:tc>
        <w:tc>
          <w:tcPr>
            <w:tcW w:w="6471" w:type="dxa"/>
            <w:gridSpan w:val="2"/>
            <w:vAlign w:val="center"/>
          </w:tcPr>
          <w:p>
            <w:pPr>
              <w:pStyle w:val="25"/>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银行出具的近1年内资信证明或2023年度经审计的财务报告，新成立企业无需提供。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投标有效期</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从提交</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文件的截止之日起</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评标委员会的组建</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评标委员会构成：</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p>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评标专家确定方式：经济、技术专家不少于评标委员会组成人员的三分之二，按相关规定从政府采购专家库中随机抽取。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1375"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是否授权评标委员会确定中标人</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6471" w:type="dxa"/>
            <w:gridSpan w:val="2"/>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本项目无需缴纳</w:t>
            </w:r>
            <w:r>
              <w:rPr>
                <w:rFonts w:hint="eastAsia" w:ascii="仿宋" w:hAnsi="仿宋" w:eastAsia="仿宋" w:cs="仿宋"/>
                <w:color w:val="auto"/>
                <w:sz w:val="28"/>
                <w:szCs w:val="28"/>
                <w:highlight w:val="none"/>
              </w:rPr>
              <w:t>履约保证金</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6471" w:type="dxa"/>
            <w:gridSpan w:val="2"/>
            <w:vAlign w:val="center"/>
          </w:tcPr>
          <w:p>
            <w:pPr>
              <w:pStyle w:val="99"/>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以具体合同签订为准。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中标服务费</w:t>
            </w:r>
          </w:p>
        </w:tc>
        <w:tc>
          <w:tcPr>
            <w:tcW w:w="6471" w:type="dxa"/>
            <w:gridSpan w:val="2"/>
            <w:vAlign w:val="center"/>
          </w:tcPr>
          <w:p>
            <w:pPr>
              <w:pStyle w:val="99"/>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代理服务费参照《招标代理服务收费管理暂行办法》(国家发展计划委员会计价格〔2002〕1980号文)下浮40%，由成交人支付。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1374"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6471" w:type="dxa"/>
            <w:gridSpan w:val="2"/>
            <w:vAlign w:val="center"/>
          </w:tcPr>
          <w:p>
            <w:pPr>
              <w:keepNext w:val="0"/>
              <w:keepLines w:val="0"/>
              <w:pageBreakBefore w:val="0"/>
              <w:numPr>
                <w:ilvl w:val="0"/>
                <w:numId w:val="0"/>
              </w:numPr>
              <w:kinsoku/>
              <w:wordWrap/>
              <w:overflowPunct/>
              <w:topLinePunct w:val="0"/>
              <w:autoSpaceDE/>
              <w:autoSpaceDN/>
              <w:bidi w:val="0"/>
              <w:spacing w:line="380" w:lineRule="exact"/>
              <w:ind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本次招标如有变更、澄清或其他通知将在发布招标公告的网站</w:t>
            </w:r>
            <w:r>
              <w:rPr>
                <w:rFonts w:hint="eastAsia" w:ascii="仿宋" w:hAnsi="仿宋" w:eastAsia="仿宋" w:cs="仿宋"/>
                <w:color w:val="auto"/>
                <w:sz w:val="28"/>
                <w:szCs w:val="28"/>
                <w:highlight w:val="none"/>
                <w:lang w:eastAsia="zh-CN"/>
              </w:rPr>
              <w:t>（新疆政府采购网）</w:t>
            </w:r>
            <w:r>
              <w:rPr>
                <w:rFonts w:hint="eastAsia" w:ascii="仿宋" w:hAnsi="仿宋" w:eastAsia="仿宋" w:cs="仿宋"/>
                <w:color w:val="auto"/>
                <w:sz w:val="28"/>
                <w:szCs w:val="28"/>
                <w:highlight w:val="none"/>
              </w:rPr>
              <w:t>上公布。</w:t>
            </w:r>
          </w:p>
          <w:p>
            <w:pPr>
              <w:keepNext w:val="0"/>
              <w:keepLines w:val="0"/>
              <w:pageBreakBefore w:val="0"/>
              <w:numPr>
                <w:ilvl w:val="0"/>
                <w:numId w:val="0"/>
              </w:numPr>
              <w:kinsoku/>
              <w:wordWrap/>
              <w:overflowPunct/>
              <w:topLinePunct w:val="0"/>
              <w:autoSpaceDE/>
              <w:autoSpaceDN/>
              <w:bidi w:val="0"/>
              <w:spacing w:line="380" w:lineRule="exact"/>
              <w:ind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（2）重要说明：①本项目采用全流程不见面电子开评标，投标人需要使用CA加密设备，投标人可通过新疆数字证书认证中心官网（https://www.xjca.com.cn/）或下载“新疆政务通”APP自行进行申领。</w:t>
            </w:r>
          </w:p>
          <w:p>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②本项目实行网上投标，采用加密电子投标文件（投标人须使用CA加密设备通过政采云电子投标客户端制作投标文件）。若投标人参与投标，自行承担投标一切费用。</w:t>
            </w:r>
          </w:p>
          <w:p>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（3）投标人使用相同IP地址的，一经发现，相关部门将进一步核实，查实后按串通投标处理。</w:t>
            </w:r>
          </w:p>
          <w:p>
            <w:pPr>
              <w:keepNext w:val="0"/>
              <w:keepLines w:val="0"/>
              <w:pageBreakBefore w:val="0"/>
              <w:numPr>
                <w:ilvl w:val="0"/>
                <w:numId w:val="0"/>
              </w:numPr>
              <w:kinsoku/>
              <w:wordWrap/>
              <w:overflowPunct/>
              <w:topLinePunct w:val="0"/>
              <w:autoSpaceDE/>
              <w:autoSpaceDN/>
              <w:bidi w:val="0"/>
              <w:spacing w:line="380" w:lineRule="exact"/>
              <w:ind w:leftChars="0" w:right="0" w:rightChars="0"/>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4）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pPr>
        <w:pStyle w:val="4"/>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br w:type="page"/>
      </w:r>
      <w:r>
        <w:rPr>
          <w:rFonts w:hint="eastAsia" w:ascii="仿宋" w:hAnsi="仿宋" w:eastAsia="仿宋" w:cs="仿宋"/>
          <w:bCs w:val="0"/>
          <w:color w:val="auto"/>
          <w:sz w:val="28"/>
          <w:szCs w:val="28"/>
          <w:highlight w:val="none"/>
        </w:rPr>
        <w:t>二、总  则</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45" w:name="_Toc183682342"/>
      <w:bookmarkStart w:id="46" w:name="_Toc183582205"/>
      <w:bookmarkStart w:id="47" w:name="_Toc217446034"/>
      <w:r>
        <w:rPr>
          <w:rFonts w:hint="eastAsia" w:ascii="仿宋" w:hAnsi="仿宋" w:eastAsia="仿宋" w:cs="仿宋"/>
          <w:b/>
          <w:bCs/>
          <w:color w:val="auto"/>
          <w:sz w:val="28"/>
          <w:szCs w:val="28"/>
          <w:highlight w:val="none"/>
        </w:rPr>
        <w:t>1.</w:t>
      </w:r>
      <w:bookmarkEnd w:id="45"/>
      <w:bookmarkEnd w:id="46"/>
      <w:r>
        <w:rPr>
          <w:rFonts w:hint="eastAsia" w:ascii="仿宋" w:hAnsi="仿宋" w:eastAsia="仿宋" w:cs="仿宋"/>
          <w:b/>
          <w:bCs/>
          <w:color w:val="auto"/>
          <w:sz w:val="28"/>
          <w:szCs w:val="28"/>
          <w:highlight w:val="none"/>
        </w:rPr>
        <w:t xml:space="preserve"> 适用范围</w:t>
      </w:r>
      <w:bookmarkEnd w:id="47"/>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本招标文件仅适用于本次招标项目。</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48" w:name="_Toc183682343"/>
      <w:bookmarkStart w:id="49" w:name="_Toc183582206"/>
      <w:bookmarkStart w:id="50" w:name="_Toc217446035"/>
      <w:r>
        <w:rPr>
          <w:rFonts w:hint="eastAsia" w:ascii="仿宋" w:hAnsi="仿宋" w:eastAsia="仿宋" w:cs="仿宋"/>
          <w:b/>
          <w:bCs/>
          <w:color w:val="auto"/>
          <w:sz w:val="28"/>
          <w:szCs w:val="28"/>
          <w:highlight w:val="none"/>
        </w:rPr>
        <w:t xml:space="preserve">2. </w:t>
      </w:r>
      <w:bookmarkEnd w:id="48"/>
      <w:bookmarkEnd w:id="49"/>
      <w:r>
        <w:rPr>
          <w:rFonts w:hint="eastAsia" w:ascii="仿宋" w:hAnsi="仿宋" w:eastAsia="仿宋" w:cs="仿宋"/>
          <w:b/>
          <w:bCs/>
          <w:color w:val="auto"/>
          <w:sz w:val="28"/>
          <w:szCs w:val="28"/>
          <w:highlight w:val="none"/>
        </w:rPr>
        <w:t>有关定义</w:t>
      </w:r>
      <w:bookmarkEnd w:id="50"/>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“采购人”系指依法进行政府采购的国家机关、事业单位、团体组织。本项目采购人是</w:t>
      </w:r>
      <w:r>
        <w:rPr>
          <w:rFonts w:hint="eastAsia" w:ascii="仿宋" w:hAnsi="仿宋" w:eastAsia="仿宋" w:cs="仿宋"/>
          <w:color w:val="auto"/>
          <w:sz w:val="28"/>
          <w:szCs w:val="28"/>
          <w:highlight w:val="none"/>
          <w:u w:val="single"/>
          <w:lang w:eastAsia="zh-CN"/>
        </w:rPr>
        <w:t>奇台县奇台镇社区卫生服务中心</w:t>
      </w:r>
      <w:r>
        <w:rPr>
          <w:rFonts w:hint="eastAsia" w:ascii="仿宋" w:hAnsi="仿宋" w:eastAsia="仿宋" w:cs="仿宋"/>
          <w:color w:val="auto"/>
          <w:sz w:val="28"/>
          <w:szCs w:val="28"/>
          <w:highlight w:val="none"/>
        </w:rPr>
        <w:t>。</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“采购代理机构”系指根据采购人的委托依法办理招标事宜的采购机构。本次招标的采购代理机构是</w:t>
      </w:r>
      <w:r>
        <w:rPr>
          <w:rFonts w:hint="eastAsia" w:ascii="仿宋" w:hAnsi="仿宋" w:eastAsia="仿宋" w:cs="仿宋"/>
          <w:color w:val="auto"/>
          <w:sz w:val="28"/>
          <w:szCs w:val="28"/>
          <w:highlight w:val="none"/>
          <w:u w:val="single"/>
        </w:rPr>
        <w:t>新疆拓源工程管理咨询有限公司</w:t>
      </w:r>
      <w:r>
        <w:rPr>
          <w:rFonts w:hint="eastAsia" w:ascii="仿宋" w:hAnsi="仿宋" w:eastAsia="仿宋" w:cs="仿宋"/>
          <w:color w:val="auto"/>
          <w:sz w:val="28"/>
          <w:szCs w:val="28"/>
          <w:highlight w:val="none"/>
        </w:rPr>
        <w:t>。</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“采购单位”系指“采购人”和“采购代理机构”的统称。</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“投标人”指下载了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文件拟参加</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和向采购人提供</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51" w:name="_Toc217390843"/>
      <w:bookmarkStart w:id="52" w:name="_Toc183682344"/>
      <w:bookmarkStart w:id="53" w:name="_Toc183582207"/>
      <w:bookmarkStart w:id="54" w:name="_Toc217446036"/>
      <w:r>
        <w:rPr>
          <w:rFonts w:hint="eastAsia" w:ascii="仿宋" w:hAnsi="仿宋" w:eastAsia="仿宋" w:cs="仿宋"/>
          <w:b/>
          <w:bCs/>
          <w:color w:val="auto"/>
          <w:sz w:val="28"/>
          <w:szCs w:val="28"/>
          <w:highlight w:val="none"/>
        </w:rPr>
        <w:t>3. 合格的</w:t>
      </w:r>
      <w:bookmarkEnd w:id="51"/>
      <w:bookmarkEnd w:id="52"/>
      <w:bookmarkEnd w:id="53"/>
      <w:bookmarkEnd w:id="54"/>
      <w:r>
        <w:rPr>
          <w:rFonts w:hint="eastAsia" w:ascii="仿宋" w:hAnsi="仿宋" w:eastAsia="仿宋" w:cs="仿宋"/>
          <w:b/>
          <w:bCs/>
          <w:color w:val="auto"/>
          <w:sz w:val="28"/>
          <w:szCs w:val="28"/>
          <w:highlight w:val="none"/>
        </w:rPr>
        <w:t>投标人</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合格的投标人应具备以下条件：</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pacing w:val="-4"/>
          <w:sz w:val="28"/>
          <w:szCs w:val="28"/>
          <w:highlight w:val="none"/>
        </w:rPr>
      </w:pPr>
      <w:r>
        <w:rPr>
          <w:rFonts w:hint="eastAsia" w:ascii="仿宋" w:hAnsi="仿宋" w:eastAsia="仿宋" w:cs="仿宋"/>
          <w:color w:val="auto"/>
          <w:sz w:val="28"/>
          <w:szCs w:val="28"/>
          <w:highlight w:val="none"/>
        </w:rPr>
        <w:t>（1）本招标文件“招标公告”第二条规定的条件</w:t>
      </w:r>
      <w:r>
        <w:rPr>
          <w:rFonts w:hint="eastAsia" w:ascii="仿宋" w:hAnsi="仿宋" w:eastAsia="仿宋" w:cs="仿宋"/>
          <w:color w:val="auto"/>
          <w:spacing w:val="-4"/>
          <w:sz w:val="28"/>
          <w:szCs w:val="28"/>
          <w:highlight w:val="none"/>
        </w:rPr>
        <w:t>；</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（2）遵守国家有关的法律、法规、规章和其他政策规定；</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（3）下载了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文件并按要求</w:t>
      </w:r>
      <w:r>
        <w:rPr>
          <w:rFonts w:hint="eastAsia" w:ascii="仿宋" w:hAnsi="仿宋" w:eastAsia="仿宋" w:cs="仿宋"/>
          <w:color w:val="auto"/>
          <w:sz w:val="28"/>
          <w:szCs w:val="28"/>
          <w:highlight w:val="none"/>
          <w:lang w:val="en-US" w:eastAsia="zh-CN"/>
        </w:rPr>
        <w:t>缴纳投标</w:t>
      </w:r>
      <w:r>
        <w:rPr>
          <w:rFonts w:hint="eastAsia" w:ascii="仿宋" w:hAnsi="仿宋" w:eastAsia="仿宋" w:cs="仿宋"/>
          <w:color w:val="auto"/>
          <w:sz w:val="28"/>
          <w:szCs w:val="28"/>
          <w:highlight w:val="none"/>
        </w:rPr>
        <w:t>保证金。</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55" w:name="_Toc183582208"/>
      <w:bookmarkStart w:id="56" w:name="_Toc183682345"/>
      <w:bookmarkStart w:id="57" w:name="_Toc217446037"/>
      <w:r>
        <w:rPr>
          <w:rFonts w:hint="eastAsia" w:ascii="仿宋" w:hAnsi="仿宋" w:eastAsia="仿宋" w:cs="仿宋"/>
          <w:b/>
          <w:bCs/>
          <w:color w:val="auto"/>
          <w:sz w:val="28"/>
          <w:szCs w:val="28"/>
          <w:highlight w:val="none"/>
        </w:rPr>
        <w:t>4. 投标费用</w:t>
      </w:r>
      <w:bookmarkEnd w:id="55"/>
      <w:bookmarkEnd w:id="56"/>
      <w:bookmarkEnd w:id="57"/>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投标人参加投标的有关费用由投标人自行承担。</w:t>
      </w:r>
    </w:p>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Cs w:val="0"/>
          <w:color w:val="auto"/>
          <w:sz w:val="28"/>
          <w:szCs w:val="28"/>
          <w:highlight w:val="none"/>
        </w:rPr>
      </w:pPr>
      <w:bookmarkStart w:id="58" w:name="_Toc217446038"/>
      <w:bookmarkStart w:id="59" w:name="_Toc183682346"/>
      <w:bookmarkStart w:id="60" w:name="_Toc183582209"/>
      <w:bookmarkStart w:id="61" w:name="_Toc77400779"/>
      <w:bookmarkStart w:id="62" w:name="_Toc89075875"/>
      <w:r>
        <w:rPr>
          <w:rFonts w:hint="eastAsia" w:ascii="仿宋" w:hAnsi="仿宋" w:eastAsia="仿宋" w:cs="仿宋"/>
          <w:bCs w:val="0"/>
          <w:color w:val="auto"/>
          <w:sz w:val="28"/>
          <w:szCs w:val="28"/>
          <w:highlight w:val="none"/>
        </w:rPr>
        <w:t>三、</w:t>
      </w:r>
      <w:bookmarkEnd w:id="58"/>
      <w:bookmarkEnd w:id="59"/>
      <w:bookmarkEnd w:id="60"/>
      <w:bookmarkEnd w:id="61"/>
      <w:bookmarkEnd w:id="62"/>
      <w:r>
        <w:rPr>
          <w:rFonts w:hint="eastAsia" w:ascii="仿宋" w:hAnsi="仿宋" w:eastAsia="仿宋" w:cs="仿宋"/>
          <w:bCs w:val="0"/>
          <w:color w:val="auto"/>
          <w:sz w:val="28"/>
          <w:szCs w:val="28"/>
          <w:highlight w:val="none"/>
        </w:rPr>
        <w:t>招标文件</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63" w:name="_Toc183682347"/>
      <w:bookmarkStart w:id="64" w:name="_Toc183582210"/>
      <w:bookmarkStart w:id="65" w:name="_Toc217446039"/>
      <w:r>
        <w:rPr>
          <w:rFonts w:hint="eastAsia" w:ascii="仿宋" w:hAnsi="仿宋" w:eastAsia="仿宋" w:cs="仿宋"/>
          <w:b/>
          <w:bCs/>
          <w:color w:val="auto"/>
          <w:sz w:val="28"/>
          <w:szCs w:val="28"/>
          <w:highlight w:val="none"/>
        </w:rPr>
        <w:t>5．招标文件的构成</w:t>
      </w:r>
      <w:bookmarkEnd w:id="63"/>
      <w:bookmarkEnd w:id="64"/>
      <w:bookmarkEnd w:id="65"/>
    </w:p>
    <w:p>
      <w:pPr>
        <w:pageBreakBefore w:val="0"/>
        <w:tabs>
          <w:tab w:val="left" w:pos="72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（1）招标公告</w:t>
      </w:r>
      <w:r>
        <w:rPr>
          <w:rFonts w:hint="eastAsia" w:ascii="仿宋" w:hAnsi="仿宋" w:eastAsia="仿宋" w:cs="仿宋"/>
          <w:color w:val="auto"/>
          <w:sz w:val="28"/>
          <w:szCs w:val="28"/>
          <w:highlight w:val="none"/>
        </w:rPr>
        <w:tab/>
      </w:r>
    </w:p>
    <w:p>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（2）投标人须知</w:t>
      </w:r>
      <w:r>
        <w:rPr>
          <w:rFonts w:hint="eastAsia" w:ascii="仿宋" w:hAnsi="仿宋" w:eastAsia="仿宋" w:cs="仿宋"/>
          <w:color w:val="auto"/>
          <w:sz w:val="28"/>
          <w:szCs w:val="28"/>
          <w:highlight w:val="none"/>
        </w:rPr>
        <w:tab/>
      </w:r>
    </w:p>
    <w:p>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（3）投标文件格式</w:t>
      </w:r>
      <w:r>
        <w:rPr>
          <w:rFonts w:hint="eastAsia" w:ascii="仿宋" w:hAnsi="仿宋" w:eastAsia="仿宋" w:cs="仿宋"/>
          <w:color w:val="auto"/>
          <w:sz w:val="28"/>
          <w:szCs w:val="28"/>
          <w:highlight w:val="none"/>
        </w:rPr>
        <w:tab/>
      </w:r>
    </w:p>
    <w:p>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ab/>
      </w:r>
    </w:p>
    <w:p>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（5）评标办法</w:t>
      </w:r>
      <w:r>
        <w:rPr>
          <w:rFonts w:hint="eastAsia" w:ascii="仿宋" w:hAnsi="仿宋" w:eastAsia="仿宋" w:cs="仿宋"/>
          <w:color w:val="auto"/>
          <w:sz w:val="28"/>
          <w:szCs w:val="28"/>
          <w:highlight w:val="none"/>
        </w:rPr>
        <w:tab/>
      </w:r>
    </w:p>
    <w:p>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（6）拟签订的合同文本</w:t>
      </w:r>
      <w:r>
        <w:rPr>
          <w:rFonts w:hint="eastAsia" w:ascii="仿宋" w:hAnsi="仿宋" w:eastAsia="仿宋" w:cs="仿宋"/>
          <w:color w:val="auto"/>
          <w:sz w:val="28"/>
          <w:szCs w:val="28"/>
          <w:highlight w:val="none"/>
        </w:rPr>
        <w:tab/>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仿宋" w:hAnsi="仿宋" w:eastAsia="仿宋" w:cs="仿宋"/>
          <w:b/>
          <w:bCs/>
          <w:color w:val="auto"/>
          <w:sz w:val="28"/>
          <w:szCs w:val="28"/>
          <w:highlight w:val="none"/>
        </w:rPr>
        <w:t>无效处理</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bCs/>
          <w:color w:val="auto"/>
          <w:sz w:val="28"/>
          <w:szCs w:val="28"/>
          <w:highlight w:val="none"/>
        </w:rPr>
      </w:pPr>
      <w:bookmarkStart w:id="66" w:name="_Toc183682348"/>
      <w:bookmarkStart w:id="67" w:name="_Toc183582211"/>
      <w:bookmarkStart w:id="68" w:name="_Toc217446040"/>
      <w:r>
        <w:rPr>
          <w:rFonts w:hint="eastAsia" w:ascii="仿宋" w:hAnsi="仿宋" w:eastAsia="仿宋" w:cs="仿宋"/>
          <w:color w:val="auto"/>
          <w:sz w:val="28"/>
          <w:szCs w:val="28"/>
          <w:highlight w:val="none"/>
        </w:rPr>
        <w:t>6</w:t>
      </w:r>
      <w:r>
        <w:rPr>
          <w:rFonts w:hint="eastAsia" w:ascii="仿宋" w:hAnsi="仿宋" w:eastAsia="仿宋" w:cs="仿宋"/>
          <w:b/>
          <w:bCs/>
          <w:color w:val="auto"/>
          <w:sz w:val="28"/>
          <w:szCs w:val="28"/>
          <w:highlight w:val="none"/>
        </w:rPr>
        <w:t>. 招标文件的澄清</w:t>
      </w:r>
      <w:bookmarkEnd w:id="66"/>
      <w:bookmarkEnd w:id="67"/>
      <w:r>
        <w:rPr>
          <w:rFonts w:hint="eastAsia" w:ascii="仿宋" w:hAnsi="仿宋" w:eastAsia="仿宋" w:cs="仿宋"/>
          <w:b/>
          <w:bCs/>
          <w:color w:val="auto"/>
          <w:sz w:val="28"/>
          <w:szCs w:val="28"/>
          <w:highlight w:val="none"/>
        </w:rPr>
        <w:t>和修改</w:t>
      </w:r>
      <w:bookmarkEnd w:id="68"/>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6.1 </w:t>
      </w:r>
      <w:bookmarkStart w:id="69" w:name="_Toc217446041"/>
      <w:bookmarkStart w:id="70" w:name="_Toc208848971"/>
      <w:r>
        <w:rPr>
          <w:rFonts w:hint="eastAsia" w:ascii="仿宋" w:hAnsi="仿宋" w:eastAsia="仿宋" w:cs="仿宋"/>
          <w:color w:val="auto"/>
          <w:sz w:val="28"/>
          <w:szCs w:val="28"/>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 答疑会和现场考察</w:t>
      </w:r>
      <w:bookmarkEnd w:id="69"/>
      <w:bookmarkEnd w:id="70"/>
      <w:r>
        <w:rPr>
          <w:rFonts w:hint="eastAsia" w:ascii="仿宋" w:hAnsi="仿宋" w:eastAsia="仿宋" w:cs="仿宋"/>
          <w:b/>
          <w:bCs/>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71" w:name="_Toc183582214"/>
      <w:bookmarkStart w:id="72" w:name="_Toc217446042"/>
      <w:bookmarkStart w:id="73" w:name="_Toc183682351"/>
      <w:bookmarkStart w:id="74" w:name="_Toc77400780"/>
      <w:bookmarkStart w:id="75" w:name="_Toc89075876"/>
      <w:r>
        <w:rPr>
          <w:rFonts w:hint="eastAsia" w:ascii="仿宋" w:hAnsi="仿宋" w:eastAsia="仿宋" w:cs="仿宋"/>
          <w:color w:val="auto"/>
          <w:sz w:val="28"/>
          <w:szCs w:val="28"/>
          <w:highlight w:val="none"/>
        </w:rPr>
        <w:t>7.1 本项目不组织答疑会和现场考察。</w:t>
      </w:r>
    </w:p>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四、</w:t>
      </w:r>
      <w:bookmarkEnd w:id="71"/>
      <w:bookmarkEnd w:id="72"/>
      <w:bookmarkEnd w:id="73"/>
      <w:bookmarkEnd w:id="74"/>
      <w:bookmarkEnd w:id="75"/>
      <w:r>
        <w:rPr>
          <w:rFonts w:hint="eastAsia" w:ascii="仿宋" w:hAnsi="仿宋" w:eastAsia="仿宋" w:cs="仿宋"/>
          <w:bCs w:val="0"/>
          <w:color w:val="auto"/>
          <w:sz w:val="28"/>
          <w:szCs w:val="28"/>
          <w:highlight w:val="none"/>
        </w:rPr>
        <w:t>投标文件</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76" w:name="_Toc183582215"/>
      <w:bookmarkStart w:id="77" w:name="_Toc217446043"/>
      <w:bookmarkStart w:id="78" w:name="_Toc183682352"/>
      <w:r>
        <w:rPr>
          <w:rFonts w:hint="eastAsia" w:ascii="仿宋" w:hAnsi="仿宋" w:eastAsia="仿宋" w:cs="仿宋"/>
          <w:b/>
          <w:bCs/>
          <w:color w:val="auto"/>
          <w:sz w:val="28"/>
          <w:szCs w:val="28"/>
          <w:highlight w:val="none"/>
        </w:rPr>
        <w:t>8．投标文件的语言</w:t>
      </w:r>
      <w:bookmarkEnd w:id="76"/>
      <w:bookmarkEnd w:id="77"/>
      <w:bookmarkEnd w:id="78"/>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仿宋" w:hAnsi="仿宋" w:eastAsia="仿宋" w:cs="仿宋"/>
          <w:b/>
          <w:bCs/>
          <w:color w:val="auto"/>
          <w:sz w:val="28"/>
          <w:szCs w:val="28"/>
          <w:highlight w:val="none"/>
        </w:rPr>
        <w:t>无效投标处理</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翻译的中文资料与外文资料如果出现差异和矛盾时，以中文为准。但不能故意错误翻译，否则，投标人的投标文件将作为</w:t>
      </w:r>
      <w:r>
        <w:rPr>
          <w:rFonts w:hint="eastAsia" w:ascii="仿宋" w:hAnsi="仿宋" w:eastAsia="仿宋" w:cs="仿宋"/>
          <w:b/>
          <w:bCs/>
          <w:color w:val="auto"/>
          <w:sz w:val="28"/>
          <w:szCs w:val="28"/>
          <w:highlight w:val="none"/>
        </w:rPr>
        <w:t>无效投标处理</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79" w:name="_Toc217446044"/>
      <w:bookmarkStart w:id="80" w:name="_Toc183682353"/>
      <w:bookmarkStart w:id="81" w:name="_Toc183582216"/>
      <w:r>
        <w:rPr>
          <w:rFonts w:hint="eastAsia" w:ascii="仿宋" w:hAnsi="仿宋" w:eastAsia="仿宋" w:cs="仿宋"/>
          <w:b/>
          <w:bCs/>
          <w:color w:val="auto"/>
          <w:sz w:val="28"/>
          <w:szCs w:val="28"/>
          <w:highlight w:val="none"/>
        </w:rPr>
        <w:t>9．计量单位</w:t>
      </w:r>
      <w:bookmarkEnd w:id="79"/>
      <w:bookmarkEnd w:id="80"/>
      <w:bookmarkEnd w:id="81"/>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除招标文件中另有规定外，本招标项下的投标均采用国家法定的计量单位。</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2" w:name="_Toc217446045"/>
      <w:r>
        <w:rPr>
          <w:rFonts w:hint="eastAsia" w:ascii="仿宋" w:hAnsi="仿宋" w:eastAsia="仿宋" w:cs="仿宋"/>
          <w:b/>
          <w:bCs/>
          <w:color w:val="auto"/>
          <w:sz w:val="28"/>
          <w:szCs w:val="28"/>
          <w:highlight w:val="none"/>
        </w:rPr>
        <w:t>10. 投标货币</w:t>
      </w:r>
      <w:bookmarkEnd w:id="82"/>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本次招标项目的投标均以人民币报价。</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3" w:name="_Toc217446046"/>
      <w:r>
        <w:rPr>
          <w:rFonts w:hint="eastAsia" w:ascii="仿宋" w:hAnsi="仿宋" w:eastAsia="仿宋" w:cs="仿宋"/>
          <w:b/>
          <w:bCs/>
          <w:color w:val="auto"/>
          <w:sz w:val="28"/>
          <w:szCs w:val="28"/>
          <w:highlight w:val="none"/>
        </w:rPr>
        <w:t>11. 联合体投标</w:t>
      </w:r>
      <w:bookmarkEnd w:id="83"/>
    </w:p>
    <w:p>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详见“投标人须知前附表”第1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条。</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4" w:name="_Toc217446047"/>
      <w:r>
        <w:rPr>
          <w:rFonts w:hint="eastAsia" w:ascii="仿宋" w:hAnsi="仿宋" w:eastAsia="仿宋" w:cs="仿宋"/>
          <w:b/>
          <w:bCs/>
          <w:color w:val="auto"/>
          <w:sz w:val="28"/>
          <w:szCs w:val="28"/>
          <w:highlight w:val="none"/>
        </w:rPr>
        <w:t>12. 知识产权</w:t>
      </w:r>
      <w:bookmarkEnd w:id="84"/>
    </w:p>
    <w:p>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投标人应保证在本项目使用的任何产品或服务（包括部分使用）时，不会产生因第</w:t>
      </w:r>
      <w:r>
        <w:rPr>
          <w:rFonts w:hint="eastAsia" w:ascii="仿宋" w:hAnsi="仿宋" w:eastAsia="仿宋" w:cs="仿宋"/>
          <w:color w:val="auto"/>
          <w:sz w:val="28"/>
          <w:szCs w:val="28"/>
          <w:highlight w:val="none"/>
          <w:lang w:val="en-US" w:eastAsia="zh-CN"/>
        </w:rPr>
        <w:t>双</w:t>
      </w:r>
      <w:r>
        <w:rPr>
          <w:rFonts w:hint="eastAsia" w:ascii="仿宋" w:hAnsi="仿宋" w:eastAsia="仿宋" w:cs="仿宋"/>
          <w:color w:val="auto"/>
          <w:sz w:val="28"/>
          <w:szCs w:val="28"/>
          <w:highlight w:val="none"/>
        </w:rPr>
        <w:t>方提出侵犯其专利权、商标权或其它知识产权而引起的法律和经济纠纷，如因专利权、商标权或其它知识产权而引起法律和经济纠纷，由投标人承担所有相关责任。</w:t>
      </w:r>
    </w:p>
    <w:p>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采购人享有本项目实施过程中产生的知识成果及知识产权。</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12.4 如采用投标人所不拥有的知识产权，则在投标报价中必须包括合法获取该知识产权的相关费用。 </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5" w:name="_Toc183582217"/>
      <w:bookmarkStart w:id="86" w:name="_Toc183682354"/>
      <w:bookmarkStart w:id="87" w:name="_Toc217446048"/>
      <w:r>
        <w:rPr>
          <w:rFonts w:hint="eastAsia" w:ascii="仿宋" w:hAnsi="仿宋" w:eastAsia="仿宋" w:cs="仿宋"/>
          <w:b/>
          <w:bCs/>
          <w:color w:val="auto"/>
          <w:sz w:val="28"/>
          <w:szCs w:val="28"/>
          <w:highlight w:val="none"/>
        </w:rPr>
        <w:t>13．投标文件的组成</w:t>
      </w:r>
      <w:bookmarkEnd w:id="85"/>
      <w:bookmarkEnd w:id="86"/>
      <w:bookmarkEnd w:id="87"/>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88" w:name="_Toc183582218"/>
      <w:bookmarkStart w:id="89" w:name="_Toc217446049"/>
      <w:bookmarkStart w:id="90" w:name="_Toc183682355"/>
      <w:r>
        <w:rPr>
          <w:rFonts w:hint="eastAsia" w:ascii="仿宋" w:hAnsi="仿宋" w:eastAsia="仿宋" w:cs="仿宋"/>
          <w:color w:val="auto"/>
          <w:sz w:val="28"/>
          <w:szCs w:val="28"/>
          <w:highlight w:val="none"/>
        </w:rPr>
        <w:t>一、投标函</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二、投标报价明细表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三、身份证明书</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五、投标人基本情况表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项目负责人简介</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拟配备人员简介</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八、近年同类项目情况表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九、商务、技术需求偏离表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十、技术方案</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十一、政府采购政策</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十二、投标人认为需要提供的资料</w:t>
      </w:r>
    </w:p>
    <w:p>
      <w:pPr>
        <w:pageBreakBefore w:val="0"/>
        <w:tabs>
          <w:tab w:val="left" w:pos="3480"/>
        </w:tabs>
        <w:wordWrap/>
        <w:overflowPunct/>
        <w:topLinePunct w:val="0"/>
        <w:bidi w:val="0"/>
        <w:spacing w:line="560" w:lineRule="exact"/>
        <w:ind w:left="0" w:leftChars="0" w:right="0" w:rightChars="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14．投标文件格式</w:t>
      </w:r>
      <w:bookmarkEnd w:id="88"/>
      <w:bookmarkEnd w:id="89"/>
      <w:bookmarkEnd w:id="90"/>
      <w:r>
        <w:rPr>
          <w:rFonts w:hint="eastAsia" w:ascii="仿宋" w:hAnsi="仿宋" w:eastAsia="仿宋" w:cs="仿宋"/>
          <w:color w:val="auto"/>
          <w:sz w:val="28"/>
          <w:szCs w:val="28"/>
          <w:highlight w:val="none"/>
        </w:rPr>
        <w:tab/>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投标人应严格按照招标文件第三章中提供的“投标文件格式”填写相关内容。除明确允许投标人可以自行编写的外，投标人不得以“投标文件格式”规定之外的方式填写相关内容。</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对于没有格式要求的投标文件由投标人自行编写。</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91" w:name="_Toc217446050"/>
      <w:bookmarkStart w:id="92" w:name="_Toc183682360"/>
      <w:bookmarkStart w:id="93" w:name="_Toc183582223"/>
      <w:r>
        <w:rPr>
          <w:rFonts w:hint="eastAsia" w:ascii="仿宋" w:hAnsi="仿宋" w:eastAsia="仿宋" w:cs="仿宋"/>
          <w:b/>
          <w:bCs/>
          <w:color w:val="auto"/>
          <w:sz w:val="28"/>
          <w:szCs w:val="28"/>
          <w:highlight w:val="none"/>
        </w:rPr>
        <w:t>15．投标保证金</w:t>
      </w:r>
      <w:bookmarkEnd w:id="91"/>
      <w:bookmarkEnd w:id="92"/>
      <w:bookmarkEnd w:id="93"/>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 投标人投标时，必须按招标文件规定数额和形式缴纳投标保证金，并作为其投标文件的一部分。</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15.2未按招标文件要求在规定时间前缴纳规定数额和形式的投标保证金，将被视为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投标人所缴纳的投标保证金不计利息。</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15.4未中标人的投标保证金，将在中标通知书发出后五个工作日内全额退还。中标人的投标保证金，自采购合同签订之日起5个工作日内退还中标人的投标保证金。</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15.5发生下列情形之一的，采购代理机构将不予退还投标人缴纳的投标保证金：</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94" w:name="_Toc217446051"/>
      <w:bookmarkStart w:id="95" w:name="_Toc183582224"/>
      <w:bookmarkStart w:id="96" w:name="_Toc183682361"/>
      <w:r>
        <w:rPr>
          <w:rFonts w:hint="eastAsia" w:ascii="仿宋" w:hAnsi="仿宋" w:eastAsia="仿宋" w:cs="仿宋"/>
          <w:color w:val="auto"/>
          <w:sz w:val="28"/>
          <w:szCs w:val="28"/>
          <w:highlight w:val="none"/>
        </w:rPr>
        <w:t>（1）投标人在提交投标文件截止时间后撤回投标文件的；</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（2）投标人在投标文件中提供虚假材料的；</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（3）投标人不接受按投标文件规定对其投标报价进行修正的；</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（4）除因不可抗力或投标文件认可的情形以外，中标人不履行与采购人签订合同的，在签订合同时向采购人提出附加条件；</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（5）中标人未能在规定期限内与采购人签署合同协议书或提交履约保证金的；</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（6）投标人与采购人、其他投标人或者采购代理机构恶意串通的；</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（7）招标文件规定的其他情形；</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（8）符合法律、法规规定的其他情形的。 </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16．投标有效期</w:t>
      </w:r>
      <w:bookmarkEnd w:id="94"/>
      <w:bookmarkEnd w:id="95"/>
      <w:bookmarkEnd w:id="96"/>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 投标有效期详见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投标人须知前附表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第20条</w:t>
      </w:r>
      <w:r>
        <w:rPr>
          <w:rFonts w:hint="eastAsia" w:ascii="仿宋" w:hAnsi="仿宋" w:eastAsia="仿宋" w:cs="仿宋"/>
          <w:color w:val="auto"/>
          <w:sz w:val="28"/>
          <w:szCs w:val="28"/>
          <w:highlight w:val="none"/>
        </w:rPr>
        <w:t>。投标有效期短于此规定期限的，</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 特殊情况下，采购人可于投标有效期满之前要求投标人同意延长有效期，要求与答复均应为书面形式。投标人可以拒绝上述要求，其投标保证金</w:t>
      </w:r>
      <w:r>
        <w:rPr>
          <w:rFonts w:hint="eastAsia" w:ascii="仿宋" w:hAnsi="仿宋" w:eastAsia="仿宋" w:cs="仿宋"/>
          <w:color w:val="auto"/>
          <w:spacing w:val="8"/>
          <w:sz w:val="28"/>
          <w:szCs w:val="28"/>
          <w:highlight w:val="none"/>
        </w:rPr>
        <w:t>不被没收。</w:t>
      </w:r>
      <w:r>
        <w:rPr>
          <w:rFonts w:hint="eastAsia" w:ascii="仿宋" w:hAnsi="仿宋" w:eastAsia="仿宋" w:cs="仿宋"/>
          <w:color w:val="auto"/>
          <w:sz w:val="28"/>
          <w:szCs w:val="28"/>
          <w:highlight w:val="none"/>
        </w:rPr>
        <w:t>拒绝延长投标有效期的投标人不得再参与该项目后续招标活动。同意延长投标有效期的投标人不能修改其投标文件，关于投标保证金的有关规定在延长的投标有效期内继续有效。</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97" w:name="_Toc183682362"/>
      <w:bookmarkStart w:id="98" w:name="_Toc217446052"/>
      <w:bookmarkStart w:id="99" w:name="_Toc183582225"/>
      <w:r>
        <w:rPr>
          <w:rFonts w:hint="eastAsia" w:ascii="仿宋" w:hAnsi="仿宋" w:eastAsia="仿宋" w:cs="仿宋"/>
          <w:b/>
          <w:bCs/>
          <w:color w:val="auto"/>
          <w:sz w:val="28"/>
          <w:szCs w:val="28"/>
          <w:highlight w:val="none"/>
        </w:rPr>
        <w:t>17．</w:t>
      </w:r>
      <w:bookmarkEnd w:id="97"/>
      <w:bookmarkEnd w:id="98"/>
      <w:bookmarkEnd w:id="99"/>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的签署</w:t>
      </w:r>
    </w:p>
    <w:p>
      <w:pPr>
        <w:pageBreakBefore w:val="0"/>
        <w:widowControl w:val="0"/>
        <w:tabs>
          <w:tab w:val="left" w:pos="1080"/>
        </w:tabs>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bookmarkStart w:id="100" w:name="_Toc77400781"/>
      <w:bookmarkStart w:id="101" w:name="_Toc183682363"/>
      <w:bookmarkStart w:id="102" w:name="_Toc89075877"/>
      <w:bookmarkStart w:id="103" w:name="_Toc183582226"/>
      <w:bookmarkStart w:id="104" w:name="_Toc217446053"/>
      <w:r>
        <w:rPr>
          <w:rFonts w:hint="eastAsia" w:ascii="仿宋" w:hAnsi="仿宋" w:eastAsia="仿宋" w:cs="仿宋"/>
          <w:color w:val="auto"/>
          <w:sz w:val="28"/>
          <w:szCs w:val="28"/>
          <w:highlight w:val="none"/>
        </w:rPr>
        <w:t xml:space="preserve">17.1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应根据</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的要求制作、签署、盖章，内容应完整。</w:t>
      </w:r>
    </w:p>
    <w:p>
      <w:pPr>
        <w:pageBreakBefore w:val="0"/>
        <w:numPr>
          <w:ilvl w:val="0"/>
          <w:numId w:val="6"/>
        </w:numPr>
        <w:wordWrap/>
        <w:overflowPunct/>
        <w:topLinePunct w:val="0"/>
        <w:bidi w:val="0"/>
        <w:spacing w:line="560" w:lineRule="exact"/>
        <w:ind w:left="0" w:leftChars="0" w:right="0" w:rightChars="0"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投标文件的</w:t>
      </w:r>
      <w:r>
        <w:rPr>
          <w:rFonts w:hint="eastAsia" w:ascii="仿宋" w:hAnsi="仿宋" w:eastAsia="仿宋" w:cs="仿宋"/>
          <w:b/>
          <w:bCs/>
          <w:color w:val="auto"/>
          <w:sz w:val="28"/>
          <w:szCs w:val="28"/>
          <w:highlight w:val="none"/>
          <w:lang w:val="en-US" w:eastAsia="zh-CN"/>
        </w:rPr>
        <w:t>加密</w:t>
      </w:r>
      <w:bookmarkEnd w:id="100"/>
      <w:bookmarkEnd w:id="101"/>
      <w:bookmarkEnd w:id="102"/>
      <w:bookmarkEnd w:id="103"/>
      <w:bookmarkEnd w:id="104"/>
      <w:r>
        <w:rPr>
          <w:rFonts w:hint="eastAsia" w:ascii="仿宋" w:hAnsi="仿宋" w:eastAsia="仿宋" w:cs="仿宋"/>
          <w:b/>
          <w:bCs/>
          <w:color w:val="auto"/>
          <w:sz w:val="28"/>
          <w:szCs w:val="28"/>
          <w:highlight w:val="none"/>
          <w:lang w:val="en-US" w:eastAsia="zh-CN"/>
        </w:rPr>
        <w:t>和上传</w:t>
      </w:r>
    </w:p>
    <w:p>
      <w:pPr>
        <w:pageBreakBefore w:val="0"/>
        <w:numPr>
          <w:ilvl w:val="0"/>
          <w:numId w:val="0"/>
        </w:numPr>
        <w:wordWrap/>
        <w:overflowPunct/>
        <w:topLinePunct w:val="0"/>
        <w:bidi w:val="0"/>
        <w:spacing w:line="560" w:lineRule="exact"/>
        <w:ind w:left="0" w:leftChars="0" w:right="0" w:rightChars="0" w:firstLine="481"/>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eastAsia="zh-CN"/>
        </w:rPr>
        <w:t>18.1</w:t>
      </w:r>
      <w:r>
        <w:rPr>
          <w:rFonts w:hint="eastAsia" w:ascii="仿宋" w:hAnsi="仿宋" w:eastAsia="仿宋" w:cs="仿宋"/>
          <w:color w:val="auto"/>
          <w:kern w:val="0"/>
          <w:sz w:val="28"/>
          <w:szCs w:val="28"/>
          <w:highlight w:val="none"/>
        </w:rPr>
        <w:t>本项目实行全流程</w:t>
      </w:r>
      <w:r>
        <w:rPr>
          <w:rFonts w:hint="eastAsia" w:ascii="仿宋" w:hAnsi="仿宋" w:eastAsia="仿宋" w:cs="仿宋"/>
          <w:color w:val="auto"/>
          <w:sz w:val="28"/>
          <w:szCs w:val="28"/>
          <w:highlight w:val="none"/>
        </w:rPr>
        <w:t>电子交易方式</w:t>
      </w:r>
      <w:r>
        <w:rPr>
          <w:rFonts w:hint="eastAsia" w:ascii="仿宋" w:hAnsi="仿宋" w:eastAsia="仿宋" w:cs="仿宋"/>
          <w:color w:val="auto"/>
          <w:kern w:val="0"/>
          <w:sz w:val="28"/>
          <w:szCs w:val="28"/>
          <w:highlight w:val="none"/>
        </w:rPr>
        <w:t>，采用电子加密</w:t>
      </w:r>
      <w:r>
        <w:rPr>
          <w:rFonts w:hint="eastAsia" w:ascii="仿宋" w:hAnsi="仿宋" w:eastAsia="仿宋" w:cs="仿宋"/>
          <w:color w:val="auto"/>
          <w:kern w:val="0"/>
          <w:sz w:val="28"/>
          <w:szCs w:val="28"/>
          <w:highlight w:val="none"/>
          <w:lang w:eastAsia="zh-CN"/>
        </w:rPr>
        <w:t>投标文件（“.jmbs”格式）</w:t>
      </w:r>
      <w:r>
        <w:rPr>
          <w:rFonts w:hint="eastAsia" w:ascii="仿宋" w:hAnsi="仿宋" w:eastAsia="仿宋" w:cs="仿宋"/>
          <w:color w:val="auto"/>
          <w:kern w:val="0"/>
          <w:sz w:val="28"/>
          <w:szCs w:val="28"/>
          <w:highlight w:val="none"/>
        </w:rPr>
        <w:t>上传方式；</w:t>
      </w:r>
      <w:r>
        <w:rPr>
          <w:rFonts w:hint="eastAsia" w:ascii="仿宋" w:hAnsi="仿宋" w:eastAsia="仿宋" w:cs="仿宋"/>
          <w:color w:val="auto"/>
          <w:sz w:val="28"/>
          <w:szCs w:val="28"/>
          <w:highlight w:val="none"/>
        </w:rPr>
        <w:t>投标人应当在投标截止时间前，将“电子招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客户端”生成的“电子加密投标文件”上传电子交易平台</w:t>
      </w:r>
      <w:r>
        <w:rPr>
          <w:rFonts w:hint="eastAsia" w:ascii="仿宋" w:hAnsi="仿宋" w:eastAsia="仿宋" w:cs="仿宋"/>
          <w:color w:val="auto"/>
          <w:sz w:val="28"/>
          <w:szCs w:val="28"/>
          <w:highlight w:val="none"/>
          <w:lang w:eastAsia="zh-CN"/>
        </w:rPr>
        <w:t>，成功上传电子加密投标文件后，可自行打印投标文件接收回执</w:t>
      </w:r>
      <w:r>
        <w:rPr>
          <w:rFonts w:hint="eastAsia" w:ascii="仿宋" w:hAnsi="仿宋" w:eastAsia="仿宋" w:cs="仿宋"/>
          <w:color w:val="auto"/>
          <w:sz w:val="28"/>
          <w:szCs w:val="28"/>
          <w:highlight w:val="none"/>
        </w:rPr>
        <w:t>。</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18.2</w:t>
      </w:r>
      <w:r>
        <w:rPr>
          <w:rFonts w:hint="eastAsia" w:ascii="仿宋" w:hAnsi="仿宋" w:eastAsia="仿宋" w:cs="仿宋"/>
          <w:b w:val="0"/>
          <w:bCs/>
          <w:color w:val="auto"/>
          <w:sz w:val="28"/>
          <w:szCs w:val="28"/>
          <w:highlight w:val="none"/>
          <w:lang w:val="en-US" w:eastAsia="zh-CN"/>
        </w:rPr>
        <w:t>所有投标人须在</w:t>
      </w:r>
      <w:r>
        <w:rPr>
          <w:rFonts w:hint="eastAsia" w:ascii="仿宋" w:hAnsi="仿宋" w:eastAsia="仿宋" w:cs="仿宋"/>
          <w:b/>
          <w:bCs w:val="0"/>
          <w:color w:val="auto"/>
          <w:sz w:val="28"/>
          <w:szCs w:val="28"/>
          <w:highlight w:val="none"/>
          <w:lang w:val="en-US" w:eastAsia="zh-CN"/>
        </w:rPr>
        <w:t>招标结束后五个工作日内</w:t>
      </w:r>
      <w:r>
        <w:rPr>
          <w:rFonts w:hint="eastAsia" w:ascii="仿宋" w:hAnsi="仿宋" w:eastAsia="仿宋" w:cs="仿宋"/>
          <w:b w:val="0"/>
          <w:bCs/>
          <w:color w:val="auto"/>
          <w:sz w:val="28"/>
          <w:szCs w:val="28"/>
          <w:highlight w:val="none"/>
          <w:lang w:val="en-US" w:eastAsia="zh-CN"/>
        </w:rPr>
        <w:t>向采购代理机构递交</w:t>
      </w:r>
      <w:r>
        <w:rPr>
          <w:rFonts w:hint="eastAsia" w:ascii="仿宋" w:hAnsi="仿宋" w:eastAsia="仿宋" w:cs="仿宋"/>
          <w:b/>
          <w:bCs w:val="0"/>
          <w:color w:val="auto"/>
          <w:sz w:val="28"/>
          <w:szCs w:val="28"/>
          <w:highlight w:val="none"/>
          <w:lang w:val="en-US" w:eastAsia="zh-CN"/>
        </w:rPr>
        <w:t>签章纸质版投标文件一正一副（用于档案资料编制）</w:t>
      </w:r>
      <w:r>
        <w:rPr>
          <w:rFonts w:hint="eastAsia" w:ascii="仿宋" w:hAnsi="仿宋" w:eastAsia="仿宋" w:cs="仿宋"/>
          <w:b w:val="0"/>
          <w:bCs/>
          <w:color w:val="auto"/>
          <w:sz w:val="28"/>
          <w:szCs w:val="28"/>
          <w:highlight w:val="none"/>
          <w:lang w:val="en-US" w:eastAsia="zh-CN"/>
        </w:rPr>
        <w:t>，纸质版投标文件须与政采云平台上传的电子版投标文件保持一致。投标文件的正本和副本应在其封面右上角清楚地标明“正本”或“副本”字样，统一用A4幅面纸印制，图纸、横道图等必须使用A3幅面印制的应折叠成A4幅面，并按招标文件规定签字和盖章，投标文件胶装成册并编码，每册装订应牢固、不易拆散和换页，不得采用活页装订。</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b/>
          <w:bCs/>
          <w:color w:val="auto"/>
          <w:sz w:val="28"/>
          <w:szCs w:val="28"/>
          <w:highlight w:val="none"/>
        </w:rPr>
      </w:pPr>
      <w:bookmarkStart w:id="105" w:name="_Toc183682365"/>
      <w:bookmarkStart w:id="106" w:name="_Toc183582228"/>
      <w:bookmarkStart w:id="107" w:name="_Toc217446055"/>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．投标文件的修改和撤</w:t>
      </w:r>
      <w:bookmarkEnd w:id="105"/>
      <w:bookmarkEnd w:id="106"/>
      <w:r>
        <w:rPr>
          <w:rFonts w:hint="eastAsia" w:ascii="仿宋" w:hAnsi="仿宋" w:eastAsia="仿宋" w:cs="仿宋"/>
          <w:b/>
          <w:bCs/>
          <w:color w:val="auto"/>
          <w:sz w:val="28"/>
          <w:szCs w:val="28"/>
          <w:highlight w:val="none"/>
        </w:rPr>
        <w:t>回</w:t>
      </w:r>
      <w:bookmarkEnd w:id="107"/>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19.1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上传截止时间前，可以对所上传的</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进行补充、修改或撤回。</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上传截止时间之后，</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不得对其上传的</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做任何修改、补充或撤回。</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19.3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中-如果出现计算上或累加上的算术错误，可按以下原则进行修改：</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内容与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报价明细表不一致的，以</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为准</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（2）用小写金额和大写金额不一致，应以大写金额为准；</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（4）单价金额小数点或者百分比有明显错位的，以</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的总价为准，并修改单价。</w:t>
      </w:r>
    </w:p>
    <w:p>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同时出现两种以上不一致的，按照前款规定的顺序修正。修正后的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报价经</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确认后产生约束力，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不确认的，其</w:t>
      </w:r>
      <w:r>
        <w:rPr>
          <w:rFonts w:hint="eastAsia" w:ascii="仿宋" w:hAnsi="仿宋" w:eastAsia="仿宋" w:cs="仿宋"/>
          <w:b/>
          <w:bCs/>
          <w:color w:val="auto"/>
          <w:sz w:val="28"/>
          <w:szCs w:val="28"/>
          <w:highlight w:val="none"/>
        </w:rPr>
        <w:t>响应无效</w:t>
      </w:r>
      <w:r>
        <w:rPr>
          <w:rFonts w:hint="eastAsia" w:ascii="仿宋" w:hAnsi="仿宋" w:eastAsia="仿宋" w:cs="仿宋"/>
          <w:color w:val="auto"/>
          <w:sz w:val="28"/>
          <w:szCs w:val="28"/>
          <w:highlight w:val="none"/>
        </w:rPr>
        <w:t>。</w:t>
      </w:r>
    </w:p>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08" w:name="_Toc77400782"/>
      <w:bookmarkStart w:id="109" w:name="_Toc89075878"/>
      <w:bookmarkStart w:id="110" w:name="_Toc183582231"/>
      <w:bookmarkStart w:id="111" w:name="_Toc217446056"/>
      <w:bookmarkStart w:id="112" w:name="_Toc183682368"/>
      <w:r>
        <w:rPr>
          <w:rFonts w:hint="eastAsia" w:ascii="仿宋" w:hAnsi="仿宋" w:eastAsia="仿宋" w:cs="仿宋"/>
          <w:color w:val="auto"/>
          <w:sz w:val="28"/>
          <w:szCs w:val="28"/>
          <w:highlight w:val="none"/>
        </w:rPr>
        <w:t>五、开标和</w:t>
      </w:r>
      <w:bookmarkEnd w:id="108"/>
      <w:bookmarkEnd w:id="109"/>
      <w:bookmarkEnd w:id="110"/>
      <w:bookmarkEnd w:id="111"/>
      <w:bookmarkEnd w:id="112"/>
      <w:r>
        <w:rPr>
          <w:rFonts w:hint="eastAsia" w:ascii="仿宋" w:hAnsi="仿宋" w:eastAsia="仿宋" w:cs="仿宋"/>
          <w:color w:val="auto"/>
          <w:sz w:val="28"/>
          <w:szCs w:val="28"/>
          <w:highlight w:val="none"/>
        </w:rPr>
        <w:t>中标</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13" w:name="_Toc183582232"/>
      <w:bookmarkStart w:id="114" w:name="_Toc183682369"/>
      <w:bookmarkStart w:id="115" w:name="_Toc217446057"/>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．开标</w:t>
      </w:r>
      <w:bookmarkEnd w:id="113"/>
      <w:bookmarkEnd w:id="114"/>
      <w:bookmarkEnd w:id="115"/>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.1 采购代理机构在招标文件规定的时间和地点组织招标活动，邀请下载招标文件并参与竞争的投标人</w:t>
      </w:r>
      <w:r>
        <w:rPr>
          <w:rFonts w:hint="eastAsia" w:ascii="仿宋" w:hAnsi="仿宋" w:eastAsia="仿宋" w:cs="仿宋"/>
          <w:color w:val="auto"/>
          <w:sz w:val="28"/>
          <w:szCs w:val="28"/>
          <w:highlight w:val="none"/>
          <w:lang w:val="en-US" w:eastAsia="zh-CN"/>
        </w:rPr>
        <w:t>在线</w:t>
      </w:r>
      <w:r>
        <w:rPr>
          <w:rFonts w:hint="eastAsia" w:ascii="仿宋" w:hAnsi="仿宋" w:eastAsia="仿宋" w:cs="仿宋"/>
          <w:color w:val="auto"/>
          <w:sz w:val="28"/>
          <w:szCs w:val="28"/>
          <w:highlight w:val="none"/>
        </w:rPr>
        <w:t>参加开标</w:t>
      </w:r>
      <w:r>
        <w:rPr>
          <w:rFonts w:hint="eastAsia" w:ascii="仿宋" w:hAnsi="仿宋" w:eastAsia="仿宋" w:cs="仿宋"/>
          <w:color w:val="auto"/>
          <w:sz w:val="28"/>
          <w:szCs w:val="28"/>
          <w:highlight w:val="none"/>
          <w:lang w:eastAsia="zh-CN"/>
        </w:rPr>
        <w:t>，投标人未参加开标的视同认可开标结果，事后不得对采购相关人员、开标过程和开标结果提出异议，同时投标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lang w:eastAsia="zh-CN"/>
        </w:rPr>
        <w:t>因未在线参加开标而导致投标文件无法按时解密等一切后果由</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自行承担</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 开标时，采购代理机构可以邀请有关监督管理部门对开标进行现场监督。</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文件上传截止时间到，</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会议开始，公布</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名单。</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.4开启“</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文件解密”环节，</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在规定时间内进行解密</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解密规定见《投标人须知前附表》</w:t>
      </w:r>
      <w:r>
        <w:rPr>
          <w:rFonts w:hint="eastAsia" w:ascii="仿宋" w:hAnsi="仿宋" w:eastAsia="仿宋" w:cs="仿宋"/>
          <w:b/>
          <w:bCs/>
          <w:color w:val="auto"/>
          <w:sz w:val="28"/>
          <w:szCs w:val="28"/>
          <w:highlight w:val="none"/>
          <w:lang w:val="en-US" w:eastAsia="zh-CN"/>
        </w:rPr>
        <w:t>第15条</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20.5投标文件解密完毕，公布投标报价，开启报价签字确认（不予确认的应说明理由，否则视为无异议，开标结束后，由评标委员会对报价的合理性、准确性等进行审查核实）。</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评标程序</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.1公开招标采购项目开标结束后，采购人或者采购代理机构应当依法对投标人的资格进行审查。合格投标人不足3家的，不得评标。</w:t>
      </w:r>
    </w:p>
    <w:p>
      <w:pPr>
        <w:pStyle w:val="85"/>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.2符合性审查。符合性审查是指依据招标文件的规定，从商务和技术角度对投标文件的有效性和完整性进行审查，以确定是否对招标文件的实质性要求做出响应。</w:t>
      </w:r>
    </w:p>
    <w:p>
      <w:pPr>
        <w:pStyle w:val="85"/>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.3评标委员会采用综合评分法对满足招标文件全部实质性要求的投标文件和投标报价进行综合评分</w:t>
      </w:r>
    </w:p>
    <w:p>
      <w:pPr>
        <w:pageBreakBefore w:val="0"/>
        <w:shd w:val="clear" w:color="auto" w:fill="auto"/>
        <w:wordWrap/>
        <w:overflowPunct/>
        <w:topLinePunct w:val="0"/>
        <w:bidi w:val="0"/>
        <w:spacing w:line="560" w:lineRule="exact"/>
        <w:ind w:right="0" w:rightChars="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b w:val="0"/>
          <w:bCs w:val="0"/>
          <w:color w:val="auto"/>
          <w:sz w:val="28"/>
          <w:szCs w:val="28"/>
          <w:highlight w:val="none"/>
          <w:lang w:val="en-US" w:eastAsia="zh-CN"/>
        </w:rPr>
        <w:t>澄清、说明或补正的形式：</w:t>
      </w:r>
    </w:p>
    <w:p>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（1）对于投标文件中含义不明确、同类问题表述不一致或者有明显文字和计算错误的内容，评标委员会将通过“政府采购云平台”在线询标的方式要求投标人在规定的时间内作出必要的澄清、说明或者补正，</w:t>
      </w:r>
      <w:r>
        <w:rPr>
          <w:rFonts w:hint="eastAsia" w:ascii="仿宋" w:hAnsi="仿宋" w:eastAsia="仿宋" w:cs="仿宋"/>
          <w:b/>
          <w:bCs/>
          <w:color w:val="auto"/>
          <w:sz w:val="28"/>
          <w:szCs w:val="28"/>
          <w:highlight w:val="none"/>
          <w:lang w:val="en-US" w:eastAsia="zh-CN"/>
        </w:rPr>
        <w:t>投标人澄清、说明或补正时间为20分钟</w:t>
      </w:r>
      <w:r>
        <w:rPr>
          <w:rFonts w:hint="eastAsia" w:ascii="仿宋" w:hAnsi="仿宋" w:eastAsia="仿宋" w:cs="仿宋"/>
          <w:b w:val="0"/>
          <w:bCs w:val="0"/>
          <w:color w:val="auto"/>
          <w:sz w:val="28"/>
          <w:szCs w:val="28"/>
          <w:highlight w:val="none"/>
          <w:lang w:val="en-US" w:eastAsia="zh-CN"/>
        </w:rPr>
        <w:t>。</w:t>
      </w:r>
    </w:p>
    <w:p>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的澄清、说明或者补正应当通过“政府采购云平台”在线答复的方式提交，并加盖公章或电子印章，或者由法定代表人（负责人）或其授权的代表签字。投标人的澄清、说明或者补正不得超出投标文件的范围或者改变投标文件的实质性内容，不接受投标人主动对投标文件的澄清、说明或者补正。</w:t>
      </w:r>
    </w:p>
    <w:p>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上述询标、澄清、说明和补正工作如因客观原因无法通过“政府采购云平台”在线进行的，将采用电子邮件等形式进行，请投标人保证办理投标事宜人员电话畅通、网络在线。如未及时进行澄清、说明或者补正的，视为放弃澄清、说明或者补正的权利。</w:t>
      </w:r>
    </w:p>
    <w:p>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评审人员对各投标人投标文件非实质性内容有疑议或异议，或者审查发现明显的文字或计算错误等，及时向评标委员会组长提出。经评标委员会商议认为需要投标人作出必要澄清、说明或者补正的，应当以在线询标形式要求投标人作出必要的澄清、说明或者补正并加盖投标人电子印章或公章。澄清、说明或者补正的内容应作为政府采购项目档案归档留存。</w:t>
      </w:r>
    </w:p>
    <w:p>
      <w:pPr>
        <w:pStyle w:val="85"/>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21.5 评标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pPr>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21.6</w:t>
      </w:r>
      <w:r>
        <w:rPr>
          <w:rFonts w:hint="eastAsia" w:ascii="仿宋" w:hAnsi="仿宋" w:eastAsia="仿宋" w:cs="仿宋"/>
          <w:color w:val="auto"/>
          <w:kern w:val="2"/>
          <w:sz w:val="28"/>
          <w:szCs w:val="28"/>
          <w:highlight w:val="none"/>
          <w:lang w:val="en-US" w:eastAsia="zh-CN" w:bidi="ar-SA"/>
        </w:rPr>
        <w:t>评标结果汇总完成后，除下列情形外，任何人不得修改评标结果：</w:t>
      </w:r>
    </w:p>
    <w:p>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(一)分值汇总计算错误的;</w:t>
      </w:r>
    </w:p>
    <w:p>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(二)分项评分超出评分标准范围的;</w:t>
      </w:r>
    </w:p>
    <w:p>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(三)评标委员会成员对客观评审因素评分不一致的;</w:t>
      </w:r>
    </w:p>
    <w:p>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(四)经评标委员会认定评分畸高、畸低的。</w:t>
      </w:r>
    </w:p>
    <w:p>
      <w:pPr>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投标人对本条第一款情形提出质疑的，采购人或者采购代理机构可以组织原评标委员会进行重新评审，重新评审改变评标结果的，应当书面报告本级财政部门。</w:t>
      </w:r>
    </w:p>
    <w:p>
      <w:pPr>
        <w:pStyle w:val="85"/>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评标委员会根据综合评分情况，按照评标得分由高到低顺序推荐3名中标候选人，并编写评标报告。得分相同的，按投标报价由低到高顺序排列。得分且投标报价相同的，按照技术指标优劣顺序推荐。</w:t>
      </w:r>
    </w:p>
    <w:p>
      <w:pPr>
        <w:pStyle w:val="85"/>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采购代理机构在评标结果后2个工作日内将评标报告送采购人确认。</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16" w:name="_Toc183582238"/>
      <w:bookmarkStart w:id="117" w:name="_Toc183682375"/>
      <w:bookmarkStart w:id="118" w:name="_Toc217446063"/>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．中标通知</w:t>
      </w:r>
      <w:bookmarkEnd w:id="116"/>
      <w:bookmarkEnd w:id="117"/>
      <w:r>
        <w:rPr>
          <w:rFonts w:hint="eastAsia" w:ascii="仿宋" w:hAnsi="仿宋" w:eastAsia="仿宋" w:cs="仿宋"/>
          <w:b/>
          <w:bCs/>
          <w:color w:val="auto"/>
          <w:sz w:val="28"/>
          <w:szCs w:val="28"/>
          <w:highlight w:val="none"/>
        </w:rPr>
        <w:t>书</w:t>
      </w:r>
      <w:bookmarkEnd w:id="118"/>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中标通知书为签订中标合同的依据，是合同的有效组成部分。</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中标通知书对采购人和中标人均具有法律效力。中标通知书发出后，采购人改变中标结果，或者中标人无正当理由放弃中标的，应当承担相应的法律责任。</w:t>
      </w:r>
    </w:p>
    <w:p>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19" w:name="_Toc217446064"/>
      <w:bookmarkStart w:id="120" w:name="_Toc183582240"/>
      <w:bookmarkStart w:id="121" w:name="_Toc183682377"/>
      <w:r>
        <w:rPr>
          <w:rFonts w:hint="eastAsia" w:ascii="仿宋" w:hAnsi="仿宋" w:eastAsia="仿宋" w:cs="仿宋"/>
          <w:color w:val="auto"/>
          <w:sz w:val="28"/>
          <w:szCs w:val="28"/>
          <w:highlight w:val="none"/>
        </w:rPr>
        <w:t>六、签订及履行合同和验收</w:t>
      </w:r>
      <w:bookmarkEnd w:id="119"/>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2" w:name="_Toc217446065"/>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签订合同</w:t>
      </w:r>
      <w:bookmarkEnd w:id="122"/>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中标人在收到采购人发出的《中标通知书》后，应在法律法规规定的时间内与采购人签订采购合同。由于中标人的原因逾期未与采购人签订采购合同的，将视为放弃中标，取消其中标资格并将按相关规定进行处理。</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采购人不得向中标人提出任何不合理的要求，作为签订合同的条件，不得与中标人私下订立背离合同实质性内容的任何协议，所签订的合同不得对招标文件和投标文件作实质性修改。</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中标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拒绝与采购人签订合同的，采购人可以按照评审报告推荐的中标候选人名单排序，确定下一候选人为中标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，也可以重新开展政府采购活动。</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中标人在合同签订之后三个工作日内，将签订的合同（彩色扫描件）交至采购代理机构。</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3" w:name="_Toc217446066"/>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 合同分包</w:t>
      </w:r>
      <w:bookmarkEnd w:id="123"/>
      <w:r>
        <w:rPr>
          <w:rFonts w:hint="eastAsia" w:ascii="仿宋" w:hAnsi="仿宋" w:eastAsia="仿宋" w:cs="仿宋"/>
          <w:b/>
          <w:bCs/>
          <w:color w:val="auto"/>
          <w:sz w:val="28"/>
          <w:szCs w:val="28"/>
          <w:highlight w:val="none"/>
        </w:rPr>
        <w:t>（如有）</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 若本项目允许分包的，经采购人同意，中标人可以依法采取分包方式履行合同。这种要求应当在合同签订之前征得采购人同意，并且分包人履行分包项目的服务及技术要求等，必须与中标的一致。</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招标合同实行分包履行的，中标人就招标项目和分包项目向采购人负责，分包人就分包项目承担责任。</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4" w:name="_Toc217446067"/>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 采购人增加合同标的权</w:t>
      </w:r>
      <w:bookmarkEnd w:id="124"/>
      <w:r>
        <w:rPr>
          <w:rFonts w:hint="eastAsia" w:ascii="仿宋" w:hAnsi="仿宋" w:eastAsia="仿宋" w:cs="仿宋"/>
          <w:b/>
          <w:bCs/>
          <w:color w:val="auto"/>
          <w:sz w:val="28"/>
          <w:szCs w:val="28"/>
          <w:highlight w:val="none"/>
        </w:rPr>
        <w:t>利</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5" w:name="_Toc217446068"/>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 履约保证金</w:t>
      </w:r>
      <w:bookmarkEnd w:id="125"/>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人应在合同签订之前缴纳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文件规定数额的履约保证金。</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27.2 如果</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人在规定的合同签订时间内，没有按照</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文件的规定缴纳履约保证金，且又无正当理由的，将视为放弃</w:t>
      </w:r>
      <w:r>
        <w:rPr>
          <w:rFonts w:hint="eastAsia" w:ascii="仿宋" w:hAnsi="仿宋" w:eastAsia="仿宋" w:cs="仿宋"/>
          <w:color w:val="auto"/>
          <w:sz w:val="28"/>
          <w:szCs w:val="28"/>
          <w:highlight w:val="none"/>
          <w:lang w:val="en-US" w:eastAsia="zh-CN"/>
        </w:rPr>
        <w:t>中标资格</w:t>
      </w:r>
      <w:r>
        <w:rPr>
          <w:rFonts w:hint="eastAsia" w:ascii="仿宋" w:hAnsi="仿宋" w:eastAsia="仿宋" w:cs="仿宋"/>
          <w:color w:val="auto"/>
          <w:sz w:val="28"/>
          <w:szCs w:val="28"/>
          <w:highlight w:val="none"/>
        </w:rPr>
        <w:t>，其缴纳的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保证金将不与退还。</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6" w:name="_Toc217446069"/>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 履行合同</w:t>
      </w:r>
      <w:bookmarkEnd w:id="126"/>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 中标人与采购人签订合同后，合同双方应严格执行合同条款，履行合同规定的义务，保证合同的顺利完成。</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在合同履行过程中，如发生合同纠纷，合同双方应按照《中华人民共和国民法典》的有关规定进行处理。</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7" w:name="_Toc217446070"/>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 验收</w:t>
      </w:r>
      <w:bookmarkEnd w:id="127"/>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bookmarkStart w:id="128" w:name="_Toc217446071"/>
      <w:r>
        <w:rPr>
          <w:rFonts w:hint="eastAsia" w:ascii="仿宋" w:hAnsi="仿宋" w:eastAsia="仿宋" w:cs="仿宋"/>
          <w:color w:val="auto"/>
          <w:sz w:val="28"/>
          <w:szCs w:val="28"/>
          <w:highlight w:val="none"/>
        </w:rPr>
        <w:t>采购人应严格按照国家财政部《关于进一步加强政府采购需求和履约验收管理的指导意见》（</w:t>
      </w:r>
      <w:r>
        <w:rPr>
          <w:rFonts w:hint="eastAsia" w:ascii="仿宋" w:hAnsi="仿宋" w:eastAsia="仿宋" w:cs="仿宋"/>
          <w:color w:val="auto"/>
          <w:sz w:val="28"/>
          <w:szCs w:val="28"/>
          <w:highlight w:val="none"/>
          <w:shd w:val="clear" w:color="auto" w:fill="FFFFFF"/>
        </w:rPr>
        <w:t>财库〔2016〕205号</w:t>
      </w:r>
      <w:r>
        <w:rPr>
          <w:rFonts w:hint="eastAsia" w:ascii="仿宋" w:hAnsi="仿宋" w:eastAsia="仿宋" w:cs="仿宋"/>
          <w:color w:val="auto"/>
          <w:sz w:val="28"/>
          <w:szCs w:val="28"/>
          <w:highlight w:val="none"/>
        </w:rPr>
        <w:t>）的要求</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aps w:val="0"/>
          <w:color w:val="auto"/>
          <w:spacing w:val="0"/>
          <w:sz w:val="28"/>
          <w:szCs w:val="28"/>
          <w:highlight w:val="none"/>
          <w:shd w:val="clear" w:color="auto" w:fill="FFFFFF"/>
        </w:rPr>
        <w:t>根据采购项目的具体情况，自行组织项目验收或者委托采购代理机构邀请实际使用人</w:t>
      </w:r>
      <w:r>
        <w:rPr>
          <w:rFonts w:hint="eastAsia" w:ascii="仿宋" w:hAnsi="仿宋" w:eastAsia="仿宋" w:cs="仿宋"/>
          <w:i w:val="0"/>
          <w:iCs w:val="0"/>
          <w:caps w:val="0"/>
          <w:color w:val="auto"/>
          <w:spacing w:val="0"/>
          <w:sz w:val="28"/>
          <w:szCs w:val="28"/>
          <w:highlight w:val="none"/>
          <w:shd w:val="clear" w:color="auto" w:fill="FFFFFF"/>
          <w:lang w:eastAsia="zh-CN"/>
        </w:rPr>
        <w:t>、</w:t>
      </w:r>
      <w:r>
        <w:rPr>
          <w:rFonts w:hint="eastAsia" w:ascii="仿宋" w:hAnsi="仿宋" w:eastAsia="仿宋" w:cs="仿宋"/>
          <w:i w:val="0"/>
          <w:iCs w:val="0"/>
          <w:caps w:val="0"/>
          <w:color w:val="auto"/>
          <w:spacing w:val="0"/>
          <w:sz w:val="28"/>
          <w:szCs w:val="28"/>
          <w:highlight w:val="none"/>
          <w:shd w:val="clear" w:color="auto" w:fill="FFFFFF"/>
        </w:rPr>
        <w:t>参加本项目的其他</w:t>
      </w:r>
      <w:r>
        <w:rPr>
          <w:rFonts w:hint="eastAsia" w:ascii="仿宋" w:hAnsi="仿宋" w:eastAsia="仿宋" w:cs="仿宋"/>
          <w:i w:val="0"/>
          <w:iCs w:val="0"/>
          <w:caps w:val="0"/>
          <w:color w:val="auto"/>
          <w:spacing w:val="0"/>
          <w:sz w:val="28"/>
          <w:szCs w:val="28"/>
          <w:highlight w:val="none"/>
          <w:shd w:val="clear" w:color="auto" w:fill="FFFFFF"/>
          <w:lang w:eastAsia="zh-CN"/>
        </w:rPr>
        <w:t>投标人</w:t>
      </w:r>
      <w:r>
        <w:rPr>
          <w:rFonts w:hint="eastAsia" w:ascii="仿宋" w:hAnsi="仿宋" w:eastAsia="仿宋" w:cs="仿宋"/>
          <w:i w:val="0"/>
          <w:iCs w:val="0"/>
          <w:caps w:val="0"/>
          <w:color w:val="auto"/>
          <w:spacing w:val="0"/>
          <w:sz w:val="28"/>
          <w:szCs w:val="28"/>
          <w:highlight w:val="none"/>
          <w:shd w:val="clear" w:color="auto" w:fill="FFFFFF"/>
        </w:rPr>
        <w:t>或第</w:t>
      </w:r>
      <w:r>
        <w:rPr>
          <w:rFonts w:hint="eastAsia" w:ascii="仿宋" w:hAnsi="仿宋" w:eastAsia="仿宋" w:cs="仿宋"/>
          <w:i w:val="0"/>
          <w:iCs w:val="0"/>
          <w:caps w:val="0"/>
          <w:color w:val="auto"/>
          <w:spacing w:val="0"/>
          <w:sz w:val="28"/>
          <w:szCs w:val="28"/>
          <w:highlight w:val="none"/>
          <w:shd w:val="clear" w:color="auto" w:fill="FFFFFF"/>
          <w:lang w:eastAsia="zh-CN"/>
        </w:rPr>
        <w:t>双方</w:t>
      </w:r>
      <w:r>
        <w:rPr>
          <w:rFonts w:hint="eastAsia" w:ascii="仿宋" w:hAnsi="仿宋" w:eastAsia="仿宋" w:cs="仿宋"/>
          <w:i w:val="0"/>
          <w:iCs w:val="0"/>
          <w:caps w:val="0"/>
          <w:color w:val="auto"/>
          <w:spacing w:val="0"/>
          <w:sz w:val="28"/>
          <w:szCs w:val="28"/>
          <w:highlight w:val="none"/>
          <w:shd w:val="clear" w:color="auto" w:fill="FFFFFF"/>
        </w:rPr>
        <w:t>专业机构及专家</w:t>
      </w:r>
      <w:r>
        <w:rPr>
          <w:rFonts w:hint="eastAsia" w:ascii="仿宋" w:hAnsi="仿宋" w:eastAsia="仿宋" w:cs="仿宋"/>
          <w:color w:val="auto"/>
          <w:sz w:val="28"/>
          <w:szCs w:val="28"/>
          <w:highlight w:val="none"/>
        </w:rPr>
        <w:t>进行验收。</w:t>
      </w:r>
    </w:p>
    <w:bookmarkEnd w:id="120"/>
    <w:bookmarkEnd w:id="121"/>
    <w:bookmarkEnd w:id="128"/>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29" w:name="_Toc217446074"/>
      <w:bookmarkStart w:id="130" w:name="_Toc183682380"/>
      <w:bookmarkStart w:id="131" w:name="_Toc183582243"/>
      <w:r>
        <w:rPr>
          <w:rFonts w:hint="eastAsia" w:ascii="仿宋" w:hAnsi="仿宋" w:eastAsia="仿宋" w:cs="仿宋"/>
          <w:color w:val="auto"/>
          <w:sz w:val="28"/>
          <w:szCs w:val="28"/>
          <w:highlight w:val="none"/>
        </w:rPr>
        <w:t>七、投标纪律要求</w:t>
      </w:r>
      <w:bookmarkEnd w:id="129"/>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2" w:name="_Toc217446075"/>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 投标人不得具有的情形</w:t>
      </w:r>
      <w:bookmarkEnd w:id="132"/>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投标人参加投标不得有下列情形：</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（1）提供虚假材料谋取中标；</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（2）采取不正当手段诋毁、排挤其他投标人；</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（3）与采购人、其他投标人恶意串通；</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（4）向采购人、评标委员会成员行贿或者提供其他不正当利益；</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（5）在招标过程中与采购人进行协商谈判；</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（6）拒绝有关部门的监督检查或者向监督检查部门提供虚假情况。</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有上述情形之一的投标人，属于不合格投标人，其投标或中标资格将被取消。</w:t>
      </w:r>
    </w:p>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 w:val="0"/>
          <w:bCs w:val="0"/>
          <w:color w:val="auto"/>
          <w:sz w:val="28"/>
          <w:szCs w:val="28"/>
          <w:highlight w:val="none"/>
        </w:rPr>
      </w:pPr>
      <w:bookmarkStart w:id="133" w:name="_Toc217446076"/>
      <w:r>
        <w:rPr>
          <w:rFonts w:hint="eastAsia" w:ascii="仿宋" w:hAnsi="仿宋" w:eastAsia="仿宋" w:cs="仿宋"/>
          <w:color w:val="auto"/>
          <w:sz w:val="28"/>
          <w:szCs w:val="28"/>
          <w:highlight w:val="none"/>
        </w:rPr>
        <w:t>八、</w:t>
      </w:r>
      <w:bookmarkEnd w:id="133"/>
      <w:r>
        <w:rPr>
          <w:rFonts w:hint="eastAsia" w:ascii="仿宋" w:hAnsi="仿宋" w:eastAsia="仿宋" w:cs="仿宋"/>
          <w:color w:val="auto"/>
          <w:sz w:val="28"/>
          <w:szCs w:val="28"/>
          <w:highlight w:val="none"/>
        </w:rPr>
        <w:t>合同价款支付</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34" w:name="_Toc217446077"/>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 申请支付</w:t>
      </w:r>
      <w:bookmarkEnd w:id="134"/>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5" w:name="_Toc217446078"/>
      <w:r>
        <w:rPr>
          <w:rFonts w:hint="eastAsia" w:ascii="仿宋" w:hAnsi="仿宋" w:eastAsia="仿宋" w:cs="仿宋"/>
          <w:color w:val="auto"/>
          <w:sz w:val="28"/>
          <w:szCs w:val="28"/>
          <w:highlight w:val="none"/>
        </w:rPr>
        <w:t>采购人应当按照政府采购合同规定，及时向中标供应商支付采购资金。</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政府采购项目资金支付程序，按照国家有关财政资金支付管理的规定执行。</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九、质疑和投诉</w:t>
      </w:r>
      <w:bookmarkEnd w:id="135"/>
      <w:bookmarkStart w:id="136" w:name="_Toc217446079"/>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bookmarkEnd w:id="136"/>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．质疑、投诉的接收和处理严格按照《中华人共和国政府采购法</w:t>
      </w:r>
      <w:bookmarkEnd w:id="130"/>
      <w:bookmarkEnd w:id="131"/>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政府采购质疑和投诉办法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财政部关于加强政府采购投标人投诉受理审查工作的通知》的规定办理。</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.2潜在投标人已依法获取其可质疑的招标文件的，可以对该文件提出质疑。对招标文件提出质疑的，应当在获取招标文件或者招标文件公告期限届满之日起7个工作日内提出。</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代理人提出质疑和投诉，应当提交投标人签署的授权委托书。</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.4投标人提出质疑应当提交质疑函和必要的证明材料。质疑函应当包括下列内容：</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（一）投标人的姓名或者名称、地址、邮编、联系人及联系电话；</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投标人为自然人的，应当由本人签字；投标人为法人或者其他组织的，应当由法定代表人、主要负责人或者其被授权人签字或盖章，并加盖公章。</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接收质疑函的方式：书面形式</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联系部门：新疆拓源工程管理咨询有限公司招标部</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联系人及联系电话：联系人：田释月、13009690616</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通讯地址：乌鲁木齐市水磨沟区龙盛街898号万科中央公园S6栋5层</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.5质疑投标人对采购人、采购代理机构的答复不满意，或者采购人、采购代理机构未在规定时间内作出答复的，可以在答复期满后15个工作日内向本办法第六条规定的财政部门提起投诉。</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.6投诉人投诉时，应当提交投诉书和必要的证明材料，并按照被投诉采购人、采购代理机构（以下简称被投诉人）和与投诉事项有关的投标人数量提供投诉书的副本。投诉书应当包括下列内容：</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（一）投诉人和被投诉人的姓名或者名称、通讯地址、邮编、联系人及联系电话；</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（二）质疑和质疑答复情况说明及相关证明材料；</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（三）具体、明确的投诉事项和与投诉事项相关的投诉请求；</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（五）法律依据；</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（六）提起投诉的日期。</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投诉人为自然人的，应当由本人签字；投诉人为法人或者其他组织的，应当由法定代表人、主要负责人，或者其授权代表签字或者盖章，并加盖公章。</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.7投诉人应当根据《政府采购质疑和投诉办法》第七条第二款规定的信息内容，并按照其规定的方式提起投诉。</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投诉人提起投诉应当符合下列条件：</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（一）提起投诉前已依法进行质疑；</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（二）投诉书内容符合本办法的规定；</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（三）在投诉有效期限内提起投诉；</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（四）同一投诉事项未经财政部门投诉处理；</w:t>
      </w:r>
    </w:p>
    <w:p>
      <w:pPr>
        <w:pStyle w:val="14"/>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（五）财政部规定的其他条件。</w:t>
      </w:r>
    </w:p>
    <w:p>
      <w:pPr>
        <w:pStyle w:val="31"/>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质疑函范本</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bCs/>
          <w:color w:val="auto"/>
          <w:sz w:val="28"/>
          <w:szCs w:val="28"/>
          <w:highlight w:val="none"/>
        </w:rPr>
        <w:t>基本信息</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被授权人：</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包号：</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招标文件获取日期：</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r>
        <w:rPr>
          <w:rFonts w:hint="eastAsia" w:ascii="仿宋" w:hAnsi="仿宋" w:eastAsia="仿宋" w:cs="仿宋"/>
          <w:color w:val="auto"/>
          <w:sz w:val="28"/>
          <w:szCs w:val="28"/>
          <w:highlight w:val="none"/>
          <w:u w:val="dotted"/>
        </w:rPr>
        <w:t xml:space="preserve">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公章：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sz w:val="28"/>
          <w:szCs w:val="28"/>
          <w:highlight w:val="none"/>
        </w:rPr>
      </w:pP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提出质疑时，应提交质疑函和必要的证明材料。</w:t>
      </w:r>
    </w:p>
    <w:p>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若委托代理人进行质疑的，质疑函应按要求列明“被授权人”的有关内容，并在附件中提交由质疑</w:t>
      </w:r>
      <w:r>
        <w:rPr>
          <w:rFonts w:hint="eastAsia" w:ascii="仿宋" w:hAnsi="仿宋" w:eastAsia="仿宋" w:cs="仿宋"/>
          <w:color w:val="auto"/>
          <w:kern w:val="0"/>
          <w:sz w:val="28"/>
          <w:szCs w:val="28"/>
          <w:highlight w:val="none"/>
        </w:rPr>
        <w:t>投标人签署的授权委托书。授权委托书应载明代理人的姓名或者名称、代理事项、具体权限、期限和相关事项。</w:t>
      </w:r>
    </w:p>
    <w:p>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若对项目的某一分包进行质疑，质疑函中应列明具体分包号。</w:t>
      </w:r>
    </w:p>
    <w:p>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为自然人的，质疑函应由本人签字；质疑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为法人或者其他组织的，质疑函应由法定代表人、主要负责人或者其被授权人签字或者盖章，并加盖公章。</w:t>
      </w:r>
    </w:p>
    <w:p>
      <w:pPr>
        <w:pStyle w:val="31"/>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Style w:val="31"/>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jc w:val="center"/>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bookmarkStart w:id="137" w:name="_Toc5850_WPSOffice_Level1"/>
      <w:bookmarkStart w:id="138" w:name="_Toc1522"/>
      <w:r>
        <w:rPr>
          <w:rFonts w:hint="eastAsia" w:ascii="仿宋" w:hAnsi="仿宋" w:eastAsia="仿宋" w:cs="仿宋"/>
          <w:b/>
          <w:bCs/>
          <w:color w:val="auto"/>
          <w:sz w:val="28"/>
          <w:szCs w:val="28"/>
          <w:highlight w:val="none"/>
        </w:rPr>
        <w:t>第三章  投标文件格式</w:t>
      </w:r>
      <w:bookmarkEnd w:id="137"/>
      <w:bookmarkEnd w:id="138"/>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投标文件封面示例</w:t>
      </w: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w:t>
      </w: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标项：</w:t>
      </w:r>
    </w:p>
    <w:p>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项目编号：            </w:t>
      </w: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投标人名称（盖章）：</w:t>
      </w: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被授权人（签字或盖章）：</w:t>
      </w: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项目联系人： </w:t>
      </w: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p>
    <w:p>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时间：</w:t>
      </w:r>
    </w:p>
    <w:p>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目录</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9" w:name="_Toc217446082"/>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二、投标报价明细表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三、身份证明书</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五、投标人基本情况表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项目负责人简介</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拟配备人员简介</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八、近年同类项目情况表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九、商务、技术需求偏离表</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十、技术方案</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十一、政府采购政策</w:t>
      </w:r>
    </w:p>
    <w:p>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十二、投标人认为需要提供的资料</w:t>
      </w:r>
    </w:p>
    <w:p>
      <w:pPr>
        <w:pStyle w:val="7"/>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（备注：投标人应按以上目录顺序编排投标文件，并标注相应页码）。</w:t>
      </w: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Style w:val="31"/>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一、</w:t>
      </w:r>
      <w:bookmarkEnd w:id="139"/>
      <w:r>
        <w:rPr>
          <w:rFonts w:hint="eastAsia" w:ascii="仿宋" w:hAnsi="仿宋" w:eastAsia="仿宋" w:cs="仿宋"/>
          <w:b/>
          <w:bCs/>
          <w:color w:val="auto"/>
          <w:sz w:val="28"/>
          <w:szCs w:val="28"/>
          <w:highlight w:val="none"/>
        </w:rPr>
        <w:t>投标函</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hint="eastAsia" w:ascii="仿宋" w:hAnsi="仿宋" w:eastAsia="仿宋" w:cs="仿宋"/>
          <w:bCs/>
          <w:color w:val="auto"/>
          <w:sz w:val="28"/>
          <w:szCs w:val="28"/>
          <w:highlight w:val="none"/>
        </w:rPr>
      </w:pPr>
      <w:bookmarkStart w:id="140" w:name="_Toc217446083"/>
      <w:r>
        <w:rPr>
          <w:rFonts w:hint="eastAsia" w:ascii="仿宋" w:hAnsi="仿宋" w:eastAsia="仿宋" w:cs="仿宋"/>
          <w:bCs/>
          <w:color w:val="auto"/>
          <w:sz w:val="28"/>
          <w:szCs w:val="28"/>
          <w:highlight w:val="none"/>
        </w:rPr>
        <w:t>__________（采购人）：</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我方全面研究了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Cs/>
          <w:color w:val="auto"/>
          <w:sz w:val="28"/>
          <w:szCs w:val="28"/>
          <w:highlight w:val="none"/>
        </w:rPr>
        <w:t>）”项目招标文件，决定参加贵单位组织的本项目投标。我方授权</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（姓名、职务）代表我方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（投标人名称）全权处理本项目投标的有关事宜。</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1、我方自愿按照招标文件规定的各项要求向采购人提供所需货物，总投标价为人民币</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大写：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rPr>
        <w:t>（报价包括所投货物相关人工费、税费、保险费、运输费、装卸费、安装费、调试、培训等所有技术和售后服务费用，</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后采购人不再另行支付</w:t>
      </w:r>
      <w:r>
        <w:rPr>
          <w:rFonts w:hint="eastAsia" w:ascii="仿宋" w:hAnsi="仿宋" w:eastAsia="仿宋" w:cs="仿宋"/>
          <w:bCs/>
          <w:color w:val="auto"/>
          <w:sz w:val="28"/>
          <w:szCs w:val="28"/>
          <w:highlight w:val="none"/>
          <w:lang w:val="en-US" w:eastAsia="zh-CN"/>
        </w:rPr>
        <w:t>其它费用</w:t>
      </w:r>
      <w:r>
        <w:rPr>
          <w:rFonts w:hint="eastAsia" w:ascii="仿宋" w:hAnsi="仿宋" w:eastAsia="仿宋" w:cs="仿宋"/>
          <w:bCs/>
          <w:color w:val="auto"/>
          <w:sz w:val="28"/>
          <w:szCs w:val="28"/>
          <w:highlight w:val="none"/>
        </w:rPr>
        <w:t>），投标有效期</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rPr>
        <w:t>2、一旦我方</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，我方将严格履行合同规定的责任和义务，供货期为：</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供货</w:t>
      </w:r>
      <w:r>
        <w:rPr>
          <w:rFonts w:hint="eastAsia" w:ascii="仿宋" w:hAnsi="仿宋" w:eastAsia="仿宋" w:cs="仿宋"/>
          <w:bCs/>
          <w:color w:val="auto"/>
          <w:sz w:val="28"/>
          <w:szCs w:val="28"/>
          <w:highlight w:val="none"/>
        </w:rPr>
        <w:t>地点</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，质保期：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none"/>
          <w:lang w:val="en-US" w:eastAsia="zh-CN"/>
        </w:rPr>
        <w:t>质量标准：</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3、我方同意按照招标文件的要求，向贵单位缴纳人民币</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元（大写：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）的投标保证金，并承诺如发生符合“第二章投标人须知”第15.5条的任何情况时，我方将不要求退还投标保证金。</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4、我方提交的投标文件满足招标文件实质性要求。</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5、我方愿意提供采购人可能另外要求的，与投标有关的文件资料，并保证我方已提供和将要提供的文件资料是真实、准确的。</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6、我方完全理解采购人不一定将合同授予最低报价的投标人。</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投标人名称（盖章）：</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通讯地址：</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pPr>
        <w:pStyle w:val="14"/>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lang w:eastAsia="zh-CN"/>
        </w:rPr>
        <w:t>报价</w:t>
      </w:r>
      <w:r>
        <w:rPr>
          <w:rFonts w:hint="eastAsia" w:ascii="仿宋" w:hAnsi="仿宋" w:eastAsia="仿宋" w:cs="仿宋"/>
          <w:b w:val="0"/>
          <w:bCs w:val="0"/>
          <w:color w:val="auto"/>
          <w:sz w:val="28"/>
          <w:szCs w:val="28"/>
          <w:highlight w:val="none"/>
        </w:rPr>
        <w:t>明细表</w:t>
      </w: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货币单位：人民币元</w:t>
      </w: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color w:val="auto"/>
          <w:sz w:val="28"/>
          <w:szCs w:val="28"/>
          <w:highlight w:val="none"/>
          <w:lang w:val="en-US" w:eastAsia="zh-CN"/>
        </w:rPr>
        <w:t>：</w:t>
      </w:r>
    </w:p>
    <w:tbl>
      <w:tblPr>
        <w:tblStyle w:val="3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19"/>
        <w:gridCol w:w="816"/>
        <w:gridCol w:w="805"/>
        <w:gridCol w:w="661"/>
        <w:gridCol w:w="802"/>
        <w:gridCol w:w="1190"/>
        <w:gridCol w:w="1068"/>
        <w:gridCol w:w="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jc w:val="center"/>
        </w:trPr>
        <w:tc>
          <w:tcPr>
            <w:tcW w:w="29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85"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货物名称</w:t>
            </w:r>
          </w:p>
        </w:tc>
        <w:tc>
          <w:tcPr>
            <w:tcW w:w="479"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品牌</w:t>
            </w:r>
          </w:p>
        </w:tc>
        <w:tc>
          <w:tcPr>
            <w:tcW w:w="473"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规格型号</w:t>
            </w:r>
          </w:p>
        </w:tc>
        <w:tc>
          <w:tcPr>
            <w:tcW w:w="388"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47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单位</w:t>
            </w:r>
          </w:p>
        </w:tc>
        <w:tc>
          <w:tcPr>
            <w:tcW w:w="699"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630" w:type="pct"/>
            <w:gridSpan w:val="2"/>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38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9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85" w:type="pct"/>
            <w:vAlign w:val="center"/>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185" w:type="pct"/>
            <w:vAlign w:val="center"/>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185" w:type="pct"/>
            <w:vAlign w:val="center"/>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185" w:type="pct"/>
            <w:vAlign w:val="center"/>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91"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185" w:type="pct"/>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lang w:val="en-US" w:eastAsia="zh-CN"/>
              </w:rPr>
            </w:pPr>
          </w:p>
        </w:tc>
        <w:tc>
          <w:tcPr>
            <w:tcW w:w="479" w:type="pct"/>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kern w:val="2"/>
                <w:sz w:val="28"/>
                <w:szCs w:val="28"/>
                <w:highlight w:val="none"/>
                <w:lang w:val="en-US" w:eastAsia="zh-CN" w:bidi="ar-SA"/>
              </w:rPr>
            </w:pPr>
          </w:p>
        </w:tc>
        <w:tc>
          <w:tcPr>
            <w:tcW w:w="473" w:type="pct"/>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kern w:val="2"/>
                <w:sz w:val="28"/>
                <w:szCs w:val="28"/>
                <w:highlight w:val="none"/>
                <w:lang w:val="en-US" w:eastAsia="zh-CN" w:bidi="ar-SA"/>
              </w:rPr>
            </w:pPr>
          </w:p>
        </w:tc>
        <w:tc>
          <w:tcPr>
            <w:tcW w:w="388" w:type="pct"/>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471" w:type="pct"/>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699" w:type="pct"/>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630" w:type="pct"/>
            <w:gridSpan w:val="2"/>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381" w:type="pct"/>
          </w:tcPr>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477" w:type="pct"/>
            <w:gridSpan w:val="2"/>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合计</w:t>
            </w:r>
          </w:p>
        </w:tc>
        <w:tc>
          <w:tcPr>
            <w:tcW w:w="3137" w:type="pct"/>
            <w:gridSpan w:val="6"/>
            <w:vAlign w:val="center"/>
          </w:tcPr>
          <w:p>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小写：     元</w:t>
            </w:r>
          </w:p>
          <w:p>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大写：</w:t>
            </w:r>
          </w:p>
        </w:tc>
        <w:tc>
          <w:tcPr>
            <w:tcW w:w="385" w:type="pct"/>
            <w:gridSpan w:val="2"/>
            <w:vAlign w:val="center"/>
          </w:tcPr>
          <w:p>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p>
        </w:tc>
      </w:tr>
    </w:tbl>
    <w:p>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货物名称</w:t>
      </w:r>
      <w:r>
        <w:rPr>
          <w:rFonts w:hint="eastAsia" w:ascii="仿宋" w:hAnsi="仿宋" w:eastAsia="仿宋" w:cs="仿宋"/>
          <w:color w:val="auto"/>
          <w:sz w:val="28"/>
          <w:szCs w:val="28"/>
          <w:highlight w:val="none"/>
        </w:rPr>
        <w:t>和数量</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应按照第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”内容填写。</w:t>
      </w:r>
    </w:p>
    <w:p>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2.投标人</w:t>
      </w:r>
      <w:r>
        <w:rPr>
          <w:rFonts w:hint="eastAsia" w:ascii="仿宋" w:hAnsi="仿宋" w:eastAsia="仿宋" w:cs="仿宋"/>
          <w:color w:val="auto"/>
          <w:sz w:val="28"/>
          <w:szCs w:val="28"/>
          <w:highlight w:val="none"/>
        </w:rPr>
        <w:t>填报价格合计应与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载明价格一致，若不一致，</w:t>
      </w:r>
      <w:r>
        <w:rPr>
          <w:rFonts w:hint="eastAsia" w:ascii="仿宋" w:hAnsi="仿宋" w:eastAsia="仿宋" w:cs="仿宋"/>
          <w:color w:val="auto"/>
          <w:sz w:val="28"/>
          <w:szCs w:val="28"/>
          <w:highlight w:val="none"/>
          <w:lang w:val="en-US" w:eastAsia="zh-CN"/>
        </w:rPr>
        <w:t>以投标</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载明价格</w:t>
      </w:r>
      <w:r>
        <w:rPr>
          <w:rFonts w:hint="eastAsia" w:ascii="仿宋" w:hAnsi="仿宋" w:eastAsia="仿宋" w:cs="仿宋"/>
          <w:color w:val="auto"/>
          <w:sz w:val="28"/>
          <w:szCs w:val="28"/>
          <w:highlight w:val="none"/>
          <w:lang w:val="en-US" w:eastAsia="zh-CN"/>
        </w:rPr>
        <w:t>为准；</w:t>
      </w:r>
      <w:r>
        <w:rPr>
          <w:rFonts w:hint="eastAsia" w:ascii="仿宋" w:hAnsi="仿宋" w:eastAsia="仿宋" w:cs="仿宋"/>
          <w:color w:val="auto"/>
          <w:sz w:val="28"/>
          <w:szCs w:val="28"/>
          <w:highlight w:val="none"/>
        </w:rPr>
        <w:t>以单价金额</w:t>
      </w:r>
      <w:r>
        <w:rPr>
          <w:rFonts w:hint="eastAsia" w:ascii="仿宋" w:hAnsi="仿宋" w:eastAsia="仿宋" w:cs="仿宋"/>
          <w:color w:val="auto"/>
          <w:sz w:val="28"/>
          <w:szCs w:val="28"/>
          <w:highlight w:val="none"/>
          <w:lang w:val="en-US" w:eastAsia="zh-CN"/>
        </w:rPr>
        <w:t>计算的金额与总价不一致时，以单价金额</w:t>
      </w:r>
      <w:r>
        <w:rPr>
          <w:rFonts w:hint="eastAsia" w:ascii="仿宋" w:hAnsi="仿宋" w:eastAsia="仿宋" w:cs="仿宋"/>
          <w:color w:val="auto"/>
          <w:sz w:val="28"/>
          <w:szCs w:val="28"/>
          <w:highlight w:val="none"/>
        </w:rPr>
        <w:t>为准修正总价，但单价金额小数点有明显错误的除外。</w:t>
      </w:r>
    </w:p>
    <w:p>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报价包括所投货物相关</w:t>
      </w:r>
      <w:r>
        <w:rPr>
          <w:rFonts w:hint="eastAsia" w:ascii="仿宋" w:hAnsi="仿宋" w:eastAsia="仿宋" w:cs="仿宋"/>
          <w:b w:val="0"/>
          <w:bCs/>
          <w:color w:val="auto"/>
          <w:sz w:val="28"/>
          <w:szCs w:val="28"/>
          <w:highlight w:val="none"/>
        </w:rPr>
        <w:t>人工费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保险费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color w:val="auto"/>
          <w:sz w:val="28"/>
          <w:szCs w:val="28"/>
          <w:highlight w:val="none"/>
        </w:rPr>
        <w:t>税费、保险费、运输费、装卸费、安装</w:t>
      </w:r>
      <w:r>
        <w:rPr>
          <w:rFonts w:hint="eastAsia" w:ascii="仿宋" w:hAnsi="仿宋" w:eastAsia="仿宋" w:cs="仿宋"/>
          <w:color w:val="auto"/>
          <w:sz w:val="28"/>
          <w:szCs w:val="28"/>
          <w:highlight w:val="none"/>
          <w:lang w:val="en-US" w:eastAsia="zh-CN"/>
        </w:rPr>
        <w:t>费、调试、培训</w:t>
      </w:r>
      <w:r>
        <w:rPr>
          <w:rFonts w:hint="eastAsia" w:ascii="仿宋" w:hAnsi="仿宋" w:eastAsia="仿宋" w:cs="仿宋"/>
          <w:color w:val="auto"/>
          <w:sz w:val="28"/>
          <w:szCs w:val="28"/>
          <w:highlight w:val="none"/>
        </w:rPr>
        <w:t>等</w:t>
      </w:r>
      <w:r>
        <w:rPr>
          <w:rFonts w:hint="eastAsia" w:ascii="仿宋" w:hAnsi="仿宋" w:eastAsia="仿宋" w:cs="仿宋"/>
          <w:b w:val="0"/>
          <w:bCs/>
          <w:color w:val="auto"/>
          <w:sz w:val="28"/>
          <w:szCs w:val="28"/>
          <w:highlight w:val="none"/>
        </w:rPr>
        <w:t>所有技术和</w:t>
      </w:r>
      <w:r>
        <w:rPr>
          <w:rFonts w:hint="eastAsia" w:ascii="仿宋" w:hAnsi="仿宋" w:eastAsia="仿宋" w:cs="仿宋"/>
          <w:color w:val="auto"/>
          <w:sz w:val="28"/>
          <w:szCs w:val="28"/>
          <w:highlight w:val="none"/>
        </w:rPr>
        <w:t>售后</w:t>
      </w:r>
      <w:r>
        <w:rPr>
          <w:rFonts w:hint="eastAsia" w:ascii="仿宋" w:hAnsi="仿宋" w:eastAsia="仿宋" w:cs="仿宋"/>
          <w:b w:val="0"/>
          <w:bCs/>
          <w:color w:val="auto"/>
          <w:sz w:val="28"/>
          <w:szCs w:val="28"/>
          <w:highlight w:val="none"/>
        </w:rPr>
        <w:t>服务费用</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中标</w:t>
      </w:r>
      <w:r>
        <w:rPr>
          <w:rFonts w:hint="eastAsia" w:ascii="仿宋" w:hAnsi="仿宋" w:eastAsia="仿宋" w:cs="仿宋"/>
          <w:b w:val="0"/>
          <w:bCs/>
          <w:color w:val="auto"/>
          <w:sz w:val="28"/>
          <w:szCs w:val="28"/>
          <w:highlight w:val="none"/>
          <w:lang w:eastAsia="zh-CN"/>
        </w:rPr>
        <w:t>后采购人不再另行支付</w:t>
      </w:r>
      <w:r>
        <w:rPr>
          <w:rFonts w:hint="eastAsia" w:ascii="仿宋" w:hAnsi="仿宋" w:eastAsia="仿宋" w:cs="仿宋"/>
          <w:bCs/>
          <w:color w:val="auto"/>
          <w:sz w:val="28"/>
          <w:szCs w:val="28"/>
          <w:highlight w:val="none"/>
          <w:lang w:val="en-US" w:eastAsia="zh-CN"/>
        </w:rPr>
        <w:t>其它费用</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p>
      <w:pPr>
        <w:pStyle w:val="14"/>
        <w:keepNext w:val="0"/>
        <w:pageBreakBefore w:val="0"/>
        <w:widowControl w:val="0"/>
        <w:kinsoku/>
        <w:wordWrap/>
        <w:overflowPunct/>
        <w:topLinePunct w:val="0"/>
        <w:autoSpaceDE/>
        <w:autoSpaceDN/>
        <w:bidi w:val="0"/>
        <w:adjustRightInd/>
        <w:snapToGrid/>
        <w:spacing w:after="0" w:line="44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名称（盖章）：</w:t>
      </w:r>
    </w:p>
    <w:p>
      <w:pPr>
        <w:pStyle w:val="14"/>
        <w:keepNext w:val="0"/>
        <w:pageBreakBefore w:val="0"/>
        <w:widowControl w:val="0"/>
        <w:kinsoku/>
        <w:wordWrap/>
        <w:overflowPunct/>
        <w:topLinePunct w:val="0"/>
        <w:autoSpaceDE/>
        <w:autoSpaceDN/>
        <w:bidi w:val="0"/>
        <w:adjustRightInd/>
        <w:snapToGrid/>
        <w:spacing w:after="0" w:line="44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授权人或被授权人</w:t>
      </w:r>
      <w:r>
        <w:rPr>
          <w:rFonts w:hint="eastAsia" w:ascii="仿宋" w:hAnsi="仿宋" w:eastAsia="仿宋" w:cs="仿宋"/>
          <w:bCs/>
          <w:color w:val="auto"/>
          <w:sz w:val="28"/>
          <w:szCs w:val="28"/>
          <w:highlight w:val="none"/>
        </w:rPr>
        <w:t>（盖章</w:t>
      </w:r>
      <w:r>
        <w:rPr>
          <w:rFonts w:hint="eastAsia" w:ascii="仿宋" w:hAnsi="仿宋" w:eastAsia="仿宋" w:cs="仿宋"/>
          <w:bCs/>
          <w:color w:val="auto"/>
          <w:sz w:val="28"/>
          <w:szCs w:val="28"/>
          <w:highlight w:val="none"/>
          <w:lang w:val="en-US" w:eastAsia="zh-CN"/>
        </w:rPr>
        <w:t>或签字</w:t>
      </w:r>
      <w:r>
        <w:rPr>
          <w:rFonts w:hint="eastAsia" w:ascii="仿宋" w:hAnsi="仿宋" w:eastAsia="仿宋" w:cs="仿宋"/>
          <w:bCs/>
          <w:color w:val="auto"/>
          <w:sz w:val="28"/>
          <w:szCs w:val="28"/>
          <w:highlight w:val="none"/>
        </w:rPr>
        <w:t>）：</w:t>
      </w:r>
    </w:p>
    <w:p>
      <w:pPr>
        <w:keepNext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w:t>
      </w:r>
    </w:p>
    <w:p>
      <w:pPr>
        <w:pStyle w:val="4"/>
        <w:keepNext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rightChars="0" w:firstLine="560" w:firstLineChars="200"/>
        <w:jc w:val="center"/>
        <w:textAlignment w:val="auto"/>
        <w:rPr>
          <w:rFonts w:hint="eastAsia" w:ascii="仿宋" w:hAnsi="仿宋" w:eastAsia="仿宋" w:cs="仿宋"/>
          <w:b w:val="0"/>
          <w:bCs/>
          <w:color w:val="auto"/>
          <w:kern w:val="2"/>
          <w:sz w:val="28"/>
          <w:szCs w:val="28"/>
          <w:highlight w:val="none"/>
          <w:lang w:val="en-US" w:eastAsia="zh-CN" w:bidi="ar-SA"/>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4"/>
        <w:pageBreakBefore w:val="0"/>
        <w:numPr>
          <w:ilvl w:val="0"/>
          <w:numId w:val="0"/>
        </w:numPr>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三、</w:t>
      </w:r>
      <w:r>
        <w:rPr>
          <w:rFonts w:hint="eastAsia" w:ascii="仿宋" w:hAnsi="仿宋" w:eastAsia="仿宋" w:cs="仿宋"/>
          <w:b w:val="0"/>
          <w:bCs/>
          <w:color w:val="auto"/>
          <w:sz w:val="28"/>
          <w:szCs w:val="28"/>
          <w:highlight w:val="none"/>
        </w:rPr>
        <w:t>身份证明书</w:t>
      </w:r>
    </w:p>
    <w:p>
      <w:pPr>
        <w:pageBreakBefore w:val="0"/>
        <w:wordWrap/>
        <w:overflowPunct/>
        <w:topLinePunct w:val="0"/>
        <w:bidi w:val="0"/>
        <w:spacing w:line="560" w:lineRule="exact"/>
        <w:ind w:left="0" w:leftChars="0" w:right="0" w:rightChars="0" w:firstLine="840" w:firstLineChars="3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（一）身份证明书（</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为法人）</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单位名称：</w:t>
      </w:r>
      <w:r>
        <w:rPr>
          <w:rFonts w:hint="eastAsia" w:ascii="仿宋" w:hAnsi="仿宋" w:eastAsia="仿宋" w:cs="仿宋"/>
          <w:b w:val="0"/>
          <w:bCs/>
          <w:color w:val="auto"/>
          <w:sz w:val="28"/>
          <w:szCs w:val="28"/>
          <w:highlight w:val="none"/>
          <w:u w:val="single"/>
        </w:rPr>
        <w:t xml:space="preserve">                                             。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地    址：</w:t>
      </w:r>
      <w:r>
        <w:rPr>
          <w:rFonts w:hint="eastAsia" w:ascii="仿宋" w:hAnsi="仿宋" w:eastAsia="仿宋" w:cs="仿宋"/>
          <w:b w:val="0"/>
          <w:bCs/>
          <w:color w:val="auto"/>
          <w:sz w:val="28"/>
          <w:szCs w:val="28"/>
          <w:highlight w:val="none"/>
          <w:u w:val="single"/>
        </w:rPr>
        <w:t xml:space="preserve">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姓    名：</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性别：</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年龄：</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职务：</w:t>
      </w:r>
      <w:r>
        <w:rPr>
          <w:rFonts w:hint="eastAsia" w:ascii="仿宋" w:hAnsi="仿宋" w:eastAsia="仿宋" w:cs="仿宋"/>
          <w:b w:val="0"/>
          <w:bCs/>
          <w:color w:val="auto"/>
          <w:sz w:val="28"/>
          <w:szCs w:val="28"/>
          <w:highlight w:val="none"/>
          <w:u w:val="single"/>
        </w:rPr>
        <w:t xml:space="preserve">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身份证号码：</w:t>
      </w:r>
      <w:r>
        <w:rPr>
          <w:rFonts w:hint="eastAsia" w:ascii="仿宋" w:hAnsi="仿宋" w:eastAsia="仿宋" w:cs="仿宋"/>
          <w:b w:val="0"/>
          <w:bCs/>
          <w:color w:val="auto"/>
          <w:sz w:val="28"/>
          <w:szCs w:val="28"/>
          <w:highlight w:val="none"/>
          <w:u w:val="single"/>
        </w:rPr>
        <w:t xml:space="preserve">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系</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的法定代表人，为具有参加</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color w:val="auto"/>
          <w:sz w:val="28"/>
          <w:szCs w:val="28"/>
          <w:highlight w:val="none"/>
        </w:rPr>
        <w:t>）的</w:t>
      </w: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、签署上述</w:t>
      </w:r>
      <w:r>
        <w:rPr>
          <w:rFonts w:hint="eastAsia" w:ascii="仿宋" w:hAnsi="仿宋" w:eastAsia="仿宋" w:cs="仿宋"/>
          <w:b w:val="0"/>
          <w:bCs/>
          <w:color w:val="auto"/>
          <w:sz w:val="28"/>
          <w:szCs w:val="28"/>
          <w:highlight w:val="none"/>
          <w:lang w:eastAsia="zh-CN"/>
        </w:rPr>
        <w:t>投标文件</w:t>
      </w:r>
      <w:r>
        <w:rPr>
          <w:rFonts w:hint="eastAsia" w:ascii="仿宋" w:hAnsi="仿宋" w:eastAsia="仿宋" w:cs="仿宋"/>
          <w:b w:val="0"/>
          <w:bCs/>
          <w:color w:val="auto"/>
          <w:sz w:val="28"/>
          <w:szCs w:val="28"/>
          <w:highlight w:val="none"/>
        </w:rPr>
        <w:t>、进行合同谈判、签署合同和处理与之有关的一切事务权利的</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 xml:space="preserve">。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特此证明。                       </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sz w:val="28"/>
          <w:szCs w:val="28"/>
          <w:highlight w:val="none"/>
        </w:rPr>
        <w:t>附：法定代表人身份证正反面。</w:t>
      </w:r>
    </w:p>
    <w:p>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名称（盖章）：</w:t>
      </w:r>
    </w:p>
    <w:p>
      <w:pPr>
        <w:pageBreakBefore w:val="0"/>
        <w:wordWrap/>
        <w:overflowPunct/>
        <w:topLinePunct w:val="0"/>
        <w:bidi w:val="0"/>
        <w:spacing w:line="560" w:lineRule="exact"/>
        <w:ind w:left="0" w:leftChars="0" w:right="0" w:rightChars="0"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日   期： </w:t>
      </w:r>
    </w:p>
    <w:p>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身份证明书（</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为非法人）</w:t>
      </w:r>
    </w:p>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为具有参加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、签署上述</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、进行合同谈判、签署合同和处理与之有关的一切事务权利的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rPr>
        <w:t>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身份证</w:t>
      </w:r>
      <w:r>
        <w:rPr>
          <w:rFonts w:hint="eastAsia" w:ascii="仿宋" w:hAnsi="仿宋" w:eastAsia="仿宋" w:cs="仿宋"/>
          <w:b w:val="0"/>
          <w:bCs w:val="0"/>
          <w:color w:val="auto"/>
          <w:sz w:val="28"/>
          <w:szCs w:val="28"/>
          <w:highlight w:val="none"/>
          <w:lang w:val="en-US" w:eastAsia="zh-CN"/>
        </w:rPr>
        <w:t>正反面。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名称（盖章）：</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lang w:val="en-US" w:eastAsia="zh-CN"/>
        </w:rPr>
        <w:t xml:space="preserve">    </w:t>
      </w:r>
    </w:p>
    <w:p>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pPr>
        <w:pStyle w:val="11"/>
        <w:pageBreakBefore w:val="0"/>
        <w:wordWrap/>
        <w:overflowPunct/>
        <w:topLinePunct w:val="0"/>
        <w:bidi w:val="0"/>
        <w:spacing w:after="0" w:line="560" w:lineRule="exact"/>
        <w:ind w:left="0" w:leftChars="0" w:right="0" w:rightChars="0"/>
        <w:rPr>
          <w:rFonts w:hint="eastAsia" w:ascii="仿宋" w:hAnsi="仿宋" w:eastAsia="仿宋" w:cs="仿宋"/>
          <w:b/>
          <w:bCs/>
          <w:color w:val="auto"/>
          <w:sz w:val="28"/>
          <w:szCs w:val="28"/>
          <w:highlight w:val="none"/>
        </w:rPr>
      </w:pPr>
    </w:p>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四、</w:t>
      </w:r>
      <w:r>
        <w:rPr>
          <w:rFonts w:hint="eastAsia" w:ascii="仿宋" w:hAnsi="仿宋" w:eastAsia="仿宋" w:cs="仿宋"/>
          <w:b w:val="0"/>
          <w:bCs/>
          <w:color w:val="auto"/>
          <w:sz w:val="28"/>
          <w:szCs w:val="28"/>
          <w:highlight w:val="none"/>
        </w:rPr>
        <w:t>授权委托书</w:t>
      </w:r>
    </w:p>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一</w:t>
      </w:r>
      <w:r>
        <w:rPr>
          <w:rFonts w:hint="eastAsia" w:ascii="仿宋" w:hAnsi="仿宋" w:eastAsia="仿宋" w:cs="仿宋"/>
          <w:b w:val="0"/>
          <w:bCs/>
          <w:color w:val="auto"/>
          <w:sz w:val="28"/>
          <w:szCs w:val="28"/>
          <w:highlight w:val="none"/>
        </w:rPr>
        <w:t>）法定代表人授权委托书（</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为法人）</w:t>
      </w:r>
    </w:p>
    <w:p>
      <w:pPr>
        <w:pStyle w:val="31"/>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_______（采购人名称）：</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本授权声明：</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（法定代表人姓名、职务）授权</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 xml:space="preserve">（被授权人姓名、职务）为我方 “ </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color w:val="auto"/>
          <w:sz w:val="28"/>
          <w:szCs w:val="28"/>
          <w:highlight w:val="none"/>
        </w:rPr>
        <w:t>）”项目</w:t>
      </w: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活动的合法代表，以我方名义全权处理该项目有关</w:t>
      </w:r>
      <w:r>
        <w:rPr>
          <w:rFonts w:hint="eastAsia" w:ascii="仿宋" w:hAnsi="仿宋" w:eastAsia="仿宋" w:cs="仿宋"/>
          <w:b w:val="0"/>
          <w:bCs/>
          <w:color w:val="auto"/>
          <w:sz w:val="28"/>
          <w:szCs w:val="28"/>
          <w:highlight w:val="none"/>
          <w:lang w:eastAsia="zh-CN"/>
        </w:rPr>
        <w:t>谈判</w:t>
      </w:r>
      <w:r>
        <w:rPr>
          <w:rFonts w:hint="eastAsia" w:ascii="仿宋" w:hAnsi="仿宋" w:eastAsia="仿宋" w:cs="仿宋"/>
          <w:b w:val="0"/>
          <w:bCs/>
          <w:color w:val="auto"/>
          <w:sz w:val="28"/>
          <w:szCs w:val="28"/>
          <w:highlight w:val="none"/>
        </w:rPr>
        <w:t>、签订合同以及执行合同等一切事宜。</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被授权人无权转让本授权，特此声明。</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附：法定代表人及被授权人身份证正反面。</w:t>
      </w:r>
    </w:p>
    <w:p>
      <w:pPr>
        <w:pStyle w:val="31"/>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名称（盖章）：</w:t>
      </w: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法定代表人（盖章或签字）：</w:t>
      </w:r>
    </w:p>
    <w:p>
      <w:pPr>
        <w:pageBreakBefore w:val="0"/>
        <w:wordWrap/>
        <w:overflowPunct/>
        <w:topLinePunct w:val="0"/>
        <w:bidi w:val="0"/>
        <w:spacing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日期： </w:t>
      </w:r>
    </w:p>
    <w:p>
      <w:pPr>
        <w:pageBreakBefore w:val="0"/>
        <w:wordWrap/>
        <w:overflowPunct/>
        <w:topLinePunct w:val="0"/>
        <w:bidi w:val="0"/>
        <w:spacing w:line="560" w:lineRule="exact"/>
        <w:ind w:left="0" w:leftChars="0" w:right="0" w:rightChars="0" w:firstLine="4760" w:firstLineChars="1700"/>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pPr>
        <w:pageBreakBefore w:val="0"/>
        <w:wordWrap/>
        <w:overflowPunct/>
        <w:topLinePunct w:val="0"/>
        <w:bidi w:val="0"/>
        <w:snapToGrid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pPr>
        <w:pStyle w:val="11"/>
        <w:pageBreakBefore w:val="0"/>
        <w:wordWrap/>
        <w:overflowPunct/>
        <w:topLinePunct w:val="0"/>
        <w:bidi w:val="0"/>
        <w:spacing w:after="0" w:line="560" w:lineRule="exact"/>
        <w:ind w:left="0" w:leftChars="0" w:right="0" w:rightChars="0"/>
        <w:rPr>
          <w:rFonts w:hint="eastAsia" w:ascii="仿宋" w:hAnsi="仿宋" w:eastAsia="仿宋" w:cs="仿宋"/>
          <w:b w:val="0"/>
          <w:bCs/>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br w:type="page"/>
      </w:r>
    </w:p>
    <w:p>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）授权委托书</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为非法人）</w:t>
      </w:r>
    </w:p>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_____（采购人名称）：</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本授权声明：</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名称）授权</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（被授权人姓名、职务）</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 xml:space="preserve">为我方 “ </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val="0"/>
          <w:color w:val="auto"/>
          <w:sz w:val="28"/>
          <w:szCs w:val="28"/>
          <w:highlight w:val="none"/>
        </w:rPr>
        <w:t>）” 项目</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rPr>
        <w:t>活动的合法代表，以我方名义全权处理该项目有关</w:t>
      </w:r>
      <w:r>
        <w:rPr>
          <w:rFonts w:hint="eastAsia" w:ascii="仿宋" w:hAnsi="仿宋" w:eastAsia="仿宋" w:cs="仿宋"/>
          <w:b w:val="0"/>
          <w:bCs w:val="0"/>
          <w:color w:val="auto"/>
          <w:sz w:val="28"/>
          <w:szCs w:val="28"/>
          <w:highlight w:val="none"/>
          <w:lang w:eastAsia="zh-CN"/>
        </w:rPr>
        <w:t>谈判</w:t>
      </w:r>
      <w:r>
        <w:rPr>
          <w:rFonts w:hint="eastAsia" w:ascii="仿宋" w:hAnsi="仿宋" w:eastAsia="仿宋" w:cs="仿宋"/>
          <w:b w:val="0"/>
          <w:bCs w:val="0"/>
          <w:color w:val="auto"/>
          <w:sz w:val="28"/>
          <w:szCs w:val="28"/>
          <w:highlight w:val="none"/>
        </w:rPr>
        <w:t>、签订合同以及执行合同等一切事宜。</w:t>
      </w:r>
    </w:p>
    <w:p>
      <w:pPr>
        <w:pageBreakBefore w:val="0"/>
        <w:shd w:val="clear" w:color="auto" w:fill="auto"/>
        <w:kinsoku/>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被授权人</w:t>
      </w:r>
      <w:r>
        <w:rPr>
          <w:rFonts w:hint="eastAsia" w:ascii="仿宋" w:hAnsi="仿宋" w:eastAsia="仿宋" w:cs="仿宋"/>
          <w:b w:val="0"/>
          <w:bCs w:val="0"/>
          <w:color w:val="auto"/>
          <w:sz w:val="28"/>
          <w:szCs w:val="28"/>
          <w:highlight w:val="none"/>
        </w:rPr>
        <w:t>无</w:t>
      </w:r>
      <w:r>
        <w:rPr>
          <w:rFonts w:hint="eastAsia" w:ascii="仿宋" w:hAnsi="仿宋" w:eastAsia="仿宋" w:cs="仿宋"/>
          <w:b w:val="0"/>
          <w:bCs w:val="0"/>
          <w:color w:val="auto"/>
          <w:sz w:val="28"/>
          <w:szCs w:val="28"/>
          <w:highlight w:val="none"/>
          <w:lang w:val="en-US" w:eastAsia="zh-CN"/>
        </w:rPr>
        <w:t>权转让本授权</w:t>
      </w:r>
      <w:r>
        <w:rPr>
          <w:rFonts w:hint="eastAsia" w:ascii="仿宋" w:hAnsi="仿宋" w:eastAsia="仿宋" w:cs="仿宋"/>
          <w:b w:val="0"/>
          <w:bCs w:val="0"/>
          <w:color w:val="auto"/>
          <w:sz w:val="28"/>
          <w:szCs w:val="28"/>
          <w:highlight w:val="none"/>
        </w:rPr>
        <w:t>，特此</w:t>
      </w:r>
      <w:r>
        <w:rPr>
          <w:rFonts w:hint="eastAsia" w:ascii="仿宋" w:hAnsi="仿宋" w:eastAsia="仿宋" w:cs="仿宋"/>
          <w:b w:val="0"/>
          <w:bCs w:val="0"/>
          <w:color w:val="auto"/>
          <w:sz w:val="28"/>
          <w:szCs w:val="28"/>
          <w:highlight w:val="none"/>
          <w:lang w:eastAsia="zh-CN"/>
        </w:rPr>
        <w:t>声明。</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附：授权人及被授权人身份证</w:t>
      </w:r>
      <w:r>
        <w:rPr>
          <w:rFonts w:hint="eastAsia" w:ascii="仿宋" w:hAnsi="仿宋" w:eastAsia="仿宋" w:cs="仿宋"/>
          <w:b w:val="0"/>
          <w:bCs w:val="0"/>
          <w:color w:val="auto"/>
          <w:sz w:val="28"/>
          <w:szCs w:val="28"/>
          <w:highlight w:val="none"/>
          <w:lang w:val="en-US" w:eastAsia="zh-CN"/>
        </w:rPr>
        <w:t>正反面。</w:t>
      </w:r>
    </w:p>
    <w:p>
      <w:pPr>
        <w:pStyle w:val="31"/>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名称（盖章）：</w:t>
      </w: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授权人</w:t>
      </w:r>
      <w:r>
        <w:rPr>
          <w:rFonts w:hint="eastAsia" w:ascii="仿宋" w:hAnsi="仿宋" w:eastAsia="仿宋" w:cs="仿宋"/>
          <w:bCs/>
          <w:color w:val="auto"/>
          <w:sz w:val="28"/>
          <w:szCs w:val="28"/>
          <w:highlight w:val="none"/>
        </w:rPr>
        <w:t>（盖章</w:t>
      </w:r>
      <w:r>
        <w:rPr>
          <w:rFonts w:hint="eastAsia" w:ascii="仿宋" w:hAnsi="仿宋" w:eastAsia="仿宋" w:cs="仿宋"/>
          <w:bCs/>
          <w:color w:val="auto"/>
          <w:sz w:val="28"/>
          <w:szCs w:val="28"/>
          <w:highlight w:val="none"/>
          <w:lang w:val="en-US" w:eastAsia="zh-CN"/>
        </w:rPr>
        <w:t>或签字</w:t>
      </w:r>
      <w:r>
        <w:rPr>
          <w:rFonts w:hint="eastAsia" w:ascii="仿宋" w:hAnsi="仿宋" w:eastAsia="仿宋" w:cs="仿宋"/>
          <w:bCs/>
          <w:color w:val="auto"/>
          <w:sz w:val="28"/>
          <w:szCs w:val="28"/>
          <w:highlight w:val="none"/>
        </w:rPr>
        <w:t>）：</w:t>
      </w:r>
    </w:p>
    <w:p>
      <w:pPr>
        <w:pageBreakBefore w:val="0"/>
        <w:wordWrap/>
        <w:overflowPunct/>
        <w:topLinePunct w:val="0"/>
        <w:bidi w:val="0"/>
        <w:spacing w:line="560" w:lineRule="exact"/>
        <w:ind w:left="0" w:leftChars="0" w:right="0" w:rightChars="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w:t>
      </w:r>
    </w:p>
    <w:p>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rPr>
        <w:br w:type="page"/>
      </w:r>
      <w:bookmarkStart w:id="141" w:name="_Toc28653"/>
      <w:r>
        <w:rPr>
          <w:rFonts w:hint="eastAsia" w:ascii="仿宋" w:hAnsi="仿宋" w:eastAsia="仿宋" w:cs="仿宋"/>
          <w:b w:val="0"/>
          <w:bCs/>
          <w:color w:val="auto"/>
          <w:sz w:val="28"/>
          <w:szCs w:val="28"/>
          <w:highlight w:val="none"/>
          <w:lang w:val="en-US" w:eastAsia="zh-CN"/>
        </w:rPr>
        <w:t>五</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基本情况表</w:t>
      </w:r>
    </w:p>
    <w:tbl>
      <w:tblPr>
        <w:tblStyle w:val="1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22"/>
        <w:gridCol w:w="1126"/>
        <w:gridCol w:w="195"/>
        <w:gridCol w:w="1360"/>
        <w:gridCol w:w="1332"/>
        <w:gridCol w:w="127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lang w:val="en-US" w:eastAsia="zh-CN"/>
              </w:rPr>
              <w:t>投标人</w:t>
            </w:r>
            <w:r>
              <w:rPr>
                <w:rFonts w:hint="eastAsia" w:ascii="仿宋" w:hAnsi="仿宋" w:eastAsia="仿宋" w:cs="仿宋"/>
                <w:color w:val="auto"/>
                <w:spacing w:val="-3"/>
                <w:sz w:val="28"/>
                <w:szCs w:val="28"/>
                <w:highlight w:val="none"/>
                <w:u w:val="none"/>
              </w:rPr>
              <w:t>名称</w:t>
            </w:r>
          </w:p>
        </w:tc>
        <w:tc>
          <w:tcPr>
            <w:tcW w:w="4204" w:type="pct"/>
            <w:gridSpan w:val="6"/>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详细地址</w:t>
            </w:r>
          </w:p>
        </w:tc>
        <w:tc>
          <w:tcPr>
            <w:tcW w:w="4204" w:type="pct"/>
            <w:gridSpan w:val="6"/>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主管部门</w:t>
            </w:r>
          </w:p>
        </w:tc>
        <w:tc>
          <w:tcPr>
            <w:tcW w:w="794"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3"/>
                <w:sz w:val="28"/>
                <w:szCs w:val="28"/>
                <w:highlight w:val="none"/>
                <w:u w:val="none"/>
              </w:rPr>
            </w:pPr>
            <w:r>
              <w:rPr>
                <w:rFonts w:hint="eastAsia" w:ascii="仿宋" w:hAnsi="仿宋" w:eastAsia="仿宋" w:cs="仿宋"/>
                <w:color w:val="auto"/>
                <w:spacing w:val="-3"/>
                <w:sz w:val="28"/>
                <w:szCs w:val="28"/>
                <w:highlight w:val="none"/>
                <w:u w:val="none"/>
              </w:rPr>
              <w:t>法定代表人</w:t>
            </w:r>
            <w:r>
              <w:rPr>
                <w:rFonts w:hint="eastAsia" w:ascii="仿宋" w:hAnsi="仿宋" w:eastAsia="仿宋" w:cs="仿宋"/>
                <w:color w:val="auto"/>
                <w:spacing w:val="3"/>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或负责人</w:t>
            </w:r>
          </w:p>
        </w:tc>
        <w:tc>
          <w:tcPr>
            <w:tcW w:w="801"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6"/>
                <w:sz w:val="28"/>
                <w:szCs w:val="28"/>
                <w:highlight w:val="none"/>
                <w:u w:val="none"/>
              </w:rPr>
              <w:t>职务</w:t>
            </w:r>
          </w:p>
        </w:tc>
        <w:tc>
          <w:tcPr>
            <w:tcW w:w="1023"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经济类型</w:t>
            </w:r>
          </w:p>
        </w:tc>
        <w:tc>
          <w:tcPr>
            <w:tcW w:w="794"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授权代表</w:t>
            </w:r>
          </w:p>
        </w:tc>
        <w:tc>
          <w:tcPr>
            <w:tcW w:w="801"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6"/>
                <w:sz w:val="28"/>
                <w:szCs w:val="28"/>
                <w:highlight w:val="none"/>
                <w:u w:val="none"/>
              </w:rPr>
              <w:t>职务</w:t>
            </w:r>
          </w:p>
        </w:tc>
        <w:tc>
          <w:tcPr>
            <w:tcW w:w="1023"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7"/>
                <w:sz w:val="28"/>
                <w:szCs w:val="28"/>
                <w:highlight w:val="none"/>
                <w:u w:val="none"/>
              </w:rPr>
              <w:t>邮政编码</w:t>
            </w:r>
          </w:p>
        </w:tc>
        <w:tc>
          <w:tcPr>
            <w:tcW w:w="794"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9"/>
                <w:sz w:val="28"/>
                <w:szCs w:val="28"/>
                <w:highlight w:val="none"/>
                <w:u w:val="none"/>
              </w:rPr>
              <w:t>电话</w:t>
            </w:r>
          </w:p>
        </w:tc>
        <w:tc>
          <w:tcPr>
            <w:tcW w:w="801"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传真</w:t>
            </w:r>
          </w:p>
        </w:tc>
        <w:tc>
          <w:tcPr>
            <w:tcW w:w="1023"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单位简介及机构情况</w:t>
            </w:r>
          </w:p>
        </w:tc>
        <w:tc>
          <w:tcPr>
            <w:tcW w:w="4204" w:type="pct"/>
            <w:gridSpan w:val="6"/>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生产设备及加工能力</w:t>
            </w:r>
          </w:p>
        </w:tc>
        <w:tc>
          <w:tcPr>
            <w:tcW w:w="4204" w:type="pct"/>
            <w:gridSpan w:val="6"/>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内部管理制</w:t>
            </w:r>
            <w:r>
              <w:rPr>
                <w:rFonts w:hint="eastAsia" w:ascii="仿宋" w:hAnsi="仿宋" w:eastAsia="仿宋" w:cs="仿宋"/>
                <w:color w:val="auto"/>
                <w:spacing w:val="-3"/>
                <w:sz w:val="28"/>
                <w:szCs w:val="28"/>
                <w:highlight w:val="none"/>
                <w:u w:val="none"/>
              </w:rPr>
              <w:t>度情况</w:t>
            </w:r>
          </w:p>
        </w:tc>
        <w:tc>
          <w:tcPr>
            <w:tcW w:w="4204" w:type="pct"/>
            <w:gridSpan w:val="6"/>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单位概况</w:t>
            </w:r>
          </w:p>
        </w:tc>
        <w:tc>
          <w:tcPr>
            <w:tcW w:w="676"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职工总数</w:t>
            </w:r>
          </w:p>
        </w:tc>
        <w:tc>
          <w:tcPr>
            <w:tcW w:w="935"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人</w:t>
            </w:r>
          </w:p>
        </w:tc>
        <w:tc>
          <w:tcPr>
            <w:tcW w:w="2592" w:type="pct"/>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生产工人</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pacing w:val="-3"/>
                <w:sz w:val="28"/>
                <w:szCs w:val="28"/>
                <w:highlight w:val="none"/>
                <w:u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技术人员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流动资金</w:t>
            </w:r>
          </w:p>
        </w:tc>
        <w:tc>
          <w:tcPr>
            <w:tcW w:w="935"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c>
          <w:tcPr>
            <w:tcW w:w="801"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资金来源</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3"/>
                <w:sz w:val="28"/>
                <w:szCs w:val="28"/>
                <w:highlight w:val="none"/>
                <w:u w:val="none"/>
              </w:rPr>
              <w:t>自有资金</w:t>
            </w:r>
          </w:p>
        </w:tc>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银行贷款</w:t>
            </w:r>
          </w:p>
        </w:tc>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固定资产</w:t>
            </w:r>
          </w:p>
        </w:tc>
        <w:tc>
          <w:tcPr>
            <w:tcW w:w="93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原值</w:t>
            </w:r>
            <w:r>
              <w:rPr>
                <w:rFonts w:hint="eastAsia" w:ascii="仿宋" w:hAnsi="仿宋" w:eastAsia="仿宋" w:cs="仿宋"/>
                <w:color w:val="auto"/>
                <w:spacing w:val="3"/>
                <w:sz w:val="28"/>
                <w:szCs w:val="28"/>
                <w:highlight w:val="none"/>
                <w:u w:val="none"/>
              </w:rPr>
              <w:t xml:space="preserve">     </w:t>
            </w:r>
            <w:r>
              <w:rPr>
                <w:rFonts w:hint="eastAsia" w:ascii="仿宋" w:hAnsi="仿宋" w:eastAsia="仿宋" w:cs="仿宋"/>
                <w:color w:val="auto"/>
                <w:spacing w:val="-8"/>
                <w:sz w:val="28"/>
                <w:szCs w:val="28"/>
                <w:highlight w:val="none"/>
                <w:u w:val="none"/>
              </w:rPr>
              <w:t>万元</w:t>
            </w:r>
          </w:p>
        </w:tc>
        <w:tc>
          <w:tcPr>
            <w:tcW w:w="801"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资金性质</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生产性</w:t>
            </w:r>
          </w:p>
        </w:tc>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7"/>
                <w:sz w:val="28"/>
                <w:szCs w:val="28"/>
                <w:highlight w:val="none"/>
                <w:u w:val="none"/>
              </w:rPr>
              <w:t>净值</w:t>
            </w:r>
            <w:r>
              <w:rPr>
                <w:rFonts w:hint="eastAsia" w:ascii="仿宋" w:hAnsi="仿宋" w:eastAsia="仿宋" w:cs="仿宋"/>
                <w:color w:val="auto"/>
                <w:spacing w:val="3"/>
                <w:sz w:val="28"/>
                <w:szCs w:val="28"/>
                <w:highlight w:val="none"/>
                <w:u w:val="none"/>
              </w:rPr>
              <w:t xml:space="preserve">     </w:t>
            </w:r>
            <w:r>
              <w:rPr>
                <w:rFonts w:hint="eastAsia" w:ascii="仿宋" w:hAnsi="仿宋" w:eastAsia="仿宋" w:cs="仿宋"/>
                <w:color w:val="auto"/>
                <w:spacing w:val="-7"/>
                <w:sz w:val="28"/>
                <w:szCs w:val="28"/>
                <w:highlight w:val="none"/>
                <w:u w:val="none"/>
              </w:rPr>
              <w:t>万元</w:t>
            </w:r>
          </w:p>
        </w:tc>
        <w:tc>
          <w:tcPr>
            <w:tcW w:w="801"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非生产性</w:t>
            </w:r>
          </w:p>
        </w:tc>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3"/>
                <w:sz w:val="28"/>
                <w:szCs w:val="28"/>
                <w:highlight w:val="none"/>
                <w:u w:val="none"/>
              </w:rPr>
            </w:pPr>
            <w:r>
              <w:rPr>
                <w:rFonts w:hint="eastAsia" w:ascii="仿宋" w:hAnsi="仿宋" w:eastAsia="仿宋" w:cs="仿宋"/>
                <w:color w:val="auto"/>
                <w:spacing w:val="-3"/>
                <w:sz w:val="28"/>
                <w:szCs w:val="28"/>
                <w:highlight w:val="none"/>
                <w:u w:val="none"/>
              </w:rPr>
              <w:t>企业财务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状</w:t>
            </w:r>
            <w:r>
              <w:rPr>
                <w:rFonts w:hint="eastAsia" w:ascii="仿宋" w:hAnsi="仿宋" w:eastAsia="仿宋" w:cs="仿宋"/>
                <w:color w:val="auto"/>
                <w:sz w:val="28"/>
                <w:szCs w:val="28"/>
                <w:highlight w:val="none"/>
                <w:u w:val="none"/>
              </w:rPr>
              <w:t>况</w:t>
            </w:r>
          </w:p>
        </w:tc>
        <w:tc>
          <w:tcPr>
            <w:tcW w:w="676"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5"/>
                <w:sz w:val="28"/>
                <w:szCs w:val="28"/>
                <w:highlight w:val="none"/>
                <w:u w:val="none"/>
              </w:rPr>
            </w:pPr>
            <w:r>
              <w:rPr>
                <w:rFonts w:hint="eastAsia" w:ascii="仿宋" w:hAnsi="仿宋" w:eastAsia="仿宋" w:cs="仿宋"/>
                <w:color w:val="auto"/>
                <w:spacing w:val="-5"/>
                <w:sz w:val="28"/>
                <w:szCs w:val="28"/>
                <w:highlight w:val="none"/>
                <w:u w:val="none"/>
              </w:rPr>
              <w:t>收入总额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利润总额</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净利润</w:t>
            </w:r>
            <w:r>
              <w:rPr>
                <w:rFonts w:hint="eastAsia" w:ascii="仿宋" w:hAnsi="仿宋" w:eastAsia="仿宋" w:cs="仿宋"/>
                <w:color w:val="auto"/>
                <w:spacing w:val="-5"/>
                <w:sz w:val="28"/>
                <w:szCs w:val="28"/>
                <w:highlight w:val="none"/>
                <w:u w:val="none"/>
                <w:lang w:val="en-US" w:eastAsia="zh-CN"/>
              </w:rPr>
              <w:t xml:space="preserve"> </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负债总额</w:t>
            </w:r>
            <w:r>
              <w:rPr>
                <w:rFonts w:hint="eastAsia" w:ascii="仿宋" w:hAnsi="仿宋" w:eastAsia="仿宋" w:cs="仿宋"/>
                <w:color w:val="auto"/>
                <w:spacing w:val="-5"/>
                <w:sz w:val="28"/>
                <w:szCs w:val="28"/>
                <w:highlight w:val="none"/>
                <w:u w:val="none"/>
                <w:lang w:val="en-US" w:eastAsia="zh-CN"/>
              </w:rPr>
              <w:t xml:space="preserve">  </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23</w:t>
            </w:r>
            <w:r>
              <w:rPr>
                <w:rFonts w:hint="eastAsia" w:ascii="仿宋" w:hAnsi="仿宋" w:eastAsia="仿宋" w:cs="仿宋"/>
                <w:color w:val="auto"/>
                <w:spacing w:val="-1"/>
                <w:sz w:val="28"/>
                <w:szCs w:val="28"/>
                <w:highlight w:val="none"/>
                <w:u w:val="none"/>
              </w:rPr>
              <w:t xml:space="preserve"> 年</w:t>
            </w:r>
          </w:p>
        </w:tc>
        <w:tc>
          <w:tcPr>
            <w:tcW w:w="935"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22</w:t>
            </w:r>
            <w:r>
              <w:rPr>
                <w:rFonts w:hint="eastAsia" w:ascii="仿宋" w:hAnsi="仿宋" w:eastAsia="仿宋" w:cs="仿宋"/>
                <w:color w:val="auto"/>
                <w:spacing w:val="-1"/>
                <w:sz w:val="28"/>
                <w:szCs w:val="28"/>
                <w:highlight w:val="none"/>
                <w:u w:val="none"/>
              </w:rPr>
              <w:t>年</w:t>
            </w:r>
          </w:p>
        </w:tc>
        <w:tc>
          <w:tcPr>
            <w:tcW w:w="935"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21</w:t>
            </w:r>
            <w:r>
              <w:rPr>
                <w:rFonts w:hint="eastAsia" w:ascii="仿宋" w:hAnsi="仿宋" w:eastAsia="仿宋" w:cs="仿宋"/>
                <w:color w:val="auto"/>
                <w:spacing w:val="-1"/>
                <w:sz w:val="28"/>
                <w:szCs w:val="28"/>
                <w:highlight w:val="none"/>
                <w:u w:val="none"/>
              </w:rPr>
              <w:t>年</w:t>
            </w:r>
          </w:p>
        </w:tc>
        <w:tc>
          <w:tcPr>
            <w:tcW w:w="935"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主要产品</w:t>
            </w:r>
            <w:r>
              <w:rPr>
                <w:rFonts w:hint="eastAsia" w:ascii="仿宋" w:hAnsi="仿宋" w:eastAsia="仿宋" w:cs="仿宋"/>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8"/>
                <w:sz w:val="28"/>
                <w:szCs w:val="28"/>
                <w:highlight w:val="none"/>
                <w:u w:val="none"/>
              </w:rPr>
              <w:t>（供货）情况</w:t>
            </w:r>
          </w:p>
        </w:tc>
        <w:tc>
          <w:tcPr>
            <w:tcW w:w="1611" w:type="pct"/>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产品名称</w:t>
            </w:r>
          </w:p>
        </w:tc>
        <w:tc>
          <w:tcPr>
            <w:tcW w:w="2592" w:type="pct"/>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2"/>
                <w:sz w:val="28"/>
                <w:szCs w:val="28"/>
                <w:highlight w:val="none"/>
                <w:u w:val="none"/>
              </w:rPr>
              <w:t>上年销售额（万元）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611" w:type="pct"/>
            <w:gridSpan w:val="3"/>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611" w:type="pct"/>
            <w:gridSpan w:val="3"/>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72" w:type="pct"/>
            <w:gridSpan w:val="2"/>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2"/>
                <w:position w:val="1"/>
                <w:sz w:val="28"/>
                <w:szCs w:val="28"/>
                <w:highlight w:val="none"/>
                <w:u w:val="none"/>
              </w:rPr>
              <w:t>生产/经营地点</w:t>
            </w:r>
          </w:p>
        </w:tc>
        <w:tc>
          <w:tcPr>
            <w:tcW w:w="3527" w:type="pct"/>
            <w:gridSpan w:val="5"/>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472"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关联单位</w:t>
            </w:r>
          </w:p>
        </w:tc>
        <w:tc>
          <w:tcPr>
            <w:tcW w:w="3527" w:type="pct"/>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与</w:t>
            </w:r>
            <w:r>
              <w:rPr>
                <w:rFonts w:hint="eastAsia" w:ascii="仿宋" w:hAnsi="仿宋" w:eastAsia="仿宋" w:cs="仿宋"/>
                <w:color w:val="auto"/>
                <w:spacing w:val="-1"/>
                <w:sz w:val="28"/>
                <w:szCs w:val="28"/>
                <w:highlight w:val="none"/>
                <w:u w:val="none"/>
                <w:lang w:eastAsia="zh-CN"/>
              </w:rPr>
              <w:t>投标人</w:t>
            </w:r>
            <w:r>
              <w:rPr>
                <w:rFonts w:hint="eastAsia" w:ascii="仿宋" w:hAnsi="仿宋" w:eastAsia="仿宋" w:cs="仿宋"/>
                <w:color w:val="auto"/>
                <w:spacing w:val="-1"/>
                <w:sz w:val="28"/>
                <w:szCs w:val="28"/>
                <w:highlight w:val="none"/>
                <w:u w:val="none"/>
              </w:rPr>
              <w:t>单位负责人为同一人的其他单位：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72" w:type="pct"/>
            <w:gridSpan w:val="2"/>
            <w:vMerge w:val="continue"/>
            <w:vAlign w:val="center"/>
          </w:tcPr>
          <w:p>
            <w:pPr>
              <w:pStyle w:val="1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3527" w:type="pct"/>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与</w:t>
            </w:r>
            <w:r>
              <w:rPr>
                <w:rFonts w:hint="eastAsia" w:ascii="仿宋" w:hAnsi="仿宋" w:eastAsia="仿宋" w:cs="仿宋"/>
                <w:color w:val="auto"/>
                <w:spacing w:val="-1"/>
                <w:sz w:val="28"/>
                <w:szCs w:val="28"/>
                <w:highlight w:val="none"/>
                <w:u w:val="none"/>
                <w:lang w:eastAsia="zh-CN"/>
              </w:rPr>
              <w:t>投标人</w:t>
            </w:r>
            <w:r>
              <w:rPr>
                <w:rFonts w:hint="eastAsia" w:ascii="仿宋" w:hAnsi="仿宋" w:eastAsia="仿宋" w:cs="仿宋"/>
                <w:color w:val="auto"/>
                <w:spacing w:val="-1"/>
                <w:sz w:val="28"/>
                <w:szCs w:val="28"/>
                <w:highlight w:val="none"/>
                <w:u w:val="none"/>
              </w:rPr>
              <w:t>存在控股、管理关系的其他单位：</w:t>
            </w:r>
          </w:p>
        </w:tc>
      </w:tr>
      <w:bookmarkEnd w:id="141"/>
    </w:tbl>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bookmarkStart w:id="142" w:name="_Toc26218"/>
      <w:r>
        <w:rPr>
          <w:rFonts w:hint="eastAsia" w:ascii="仿宋" w:hAnsi="仿宋" w:eastAsia="仿宋" w:cs="仿宋"/>
          <w:b w:val="0"/>
          <w:bCs/>
          <w:color w:val="auto"/>
          <w:sz w:val="28"/>
          <w:szCs w:val="28"/>
          <w:highlight w:val="none"/>
        </w:rPr>
        <w:t>备注：</w:t>
      </w:r>
    </w:p>
    <w:p>
      <w:pPr>
        <w:pageBreakBefore w:val="0"/>
        <w:numPr>
          <w:ilvl w:val="0"/>
          <w:numId w:val="7"/>
        </w:numPr>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lang w:eastAsia="zh-CN"/>
        </w:rPr>
      </w:pPr>
      <w:r>
        <w:rPr>
          <w:rFonts w:hint="eastAsia" w:ascii="仿宋" w:hAnsi="仿宋" w:eastAsia="仿宋" w:cs="仿宋"/>
          <w:color w:val="auto"/>
          <w:sz w:val="28"/>
          <w:szCs w:val="28"/>
          <w:highlight w:val="none"/>
          <w:lang w:val="en-US" w:eastAsia="zh-CN"/>
        </w:rPr>
        <w:t>投标人为法人时，</w:t>
      </w:r>
      <w:r>
        <w:rPr>
          <w:rFonts w:hint="eastAsia" w:ascii="仿宋" w:hAnsi="仿宋" w:eastAsia="仿宋" w:cs="仿宋"/>
          <w:b w:val="0"/>
          <w:bCs/>
          <w:color w:val="auto"/>
          <w:sz w:val="28"/>
          <w:szCs w:val="28"/>
          <w:highlight w:val="none"/>
        </w:rPr>
        <w:t>后附营业执照</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资质证书</w:t>
      </w:r>
      <w:r>
        <w:rPr>
          <w:rFonts w:hint="eastAsia" w:ascii="仿宋" w:hAnsi="仿宋" w:eastAsia="仿宋" w:cs="仿宋"/>
          <w:b w:val="0"/>
          <w:bCs/>
          <w:color w:val="auto"/>
          <w:sz w:val="28"/>
          <w:szCs w:val="28"/>
          <w:highlight w:val="none"/>
        </w:rPr>
        <w:t>等相关证明材料</w:t>
      </w:r>
      <w:r>
        <w:rPr>
          <w:rFonts w:hint="eastAsia" w:ascii="仿宋" w:hAnsi="仿宋" w:eastAsia="仿宋" w:cs="仿宋"/>
          <w:b w:val="0"/>
          <w:bCs/>
          <w:color w:val="auto"/>
          <w:sz w:val="28"/>
          <w:szCs w:val="28"/>
          <w:highlight w:val="none"/>
          <w:lang w:eastAsia="zh-CN"/>
        </w:rPr>
        <w:t>；</w:t>
      </w:r>
    </w:p>
    <w:p>
      <w:pPr>
        <w:pageBreakBefore w:val="0"/>
        <w:numPr>
          <w:ilvl w:val="0"/>
          <w:numId w:val="7"/>
        </w:numPr>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为非法人时，格式自拟。</w:t>
      </w:r>
    </w:p>
    <w:p>
      <w:pPr>
        <w:pStyle w:val="40"/>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suppressLineNumbers w:val="0"/>
        <w:wordWrap/>
        <w:overflowPunct/>
        <w:topLinePunct w:val="0"/>
        <w:bidi w:val="0"/>
        <w:spacing w:line="560" w:lineRule="exact"/>
        <w:ind w:left="0" w:leftChars="0" w:right="0" w:rightChars="0"/>
        <w:jc w:val="center"/>
        <w:outlineLvl w:val="1"/>
        <w:rPr>
          <w:rFonts w:hint="eastAsia" w:ascii="仿宋" w:hAnsi="仿宋" w:eastAsia="仿宋" w:cs="仿宋"/>
          <w:bCs/>
          <w:i w:val="0"/>
          <w:iCs w:val="0"/>
          <w:color w:val="auto"/>
          <w:sz w:val="28"/>
          <w:szCs w:val="28"/>
          <w:highlight w:val="none"/>
          <w:lang w:val="en-US"/>
        </w:rPr>
      </w:pPr>
      <w:r>
        <w:rPr>
          <w:rFonts w:hint="eastAsia" w:ascii="仿宋" w:hAnsi="仿宋" w:eastAsia="仿宋" w:cs="仿宋"/>
          <w:b w:val="0"/>
          <w:bCs/>
          <w:i w:val="0"/>
          <w:iCs w:val="0"/>
          <w:color w:val="auto"/>
          <w:kern w:val="0"/>
          <w:sz w:val="28"/>
          <w:szCs w:val="28"/>
          <w:highlight w:val="none"/>
          <w:lang w:val="en-US" w:eastAsia="zh-CN"/>
        </w:rPr>
        <w:t>六、项目负责人简介</w:t>
      </w:r>
    </w:p>
    <w:tbl>
      <w:tblPr>
        <w:tblStyle w:val="3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136"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21"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1420"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p>
        </w:tc>
        <w:tc>
          <w:tcPr>
            <w:tcW w:w="1267"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2160"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136"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21"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1420"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267"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2160"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w:t>
            </w:r>
          </w:p>
        </w:tc>
        <w:tc>
          <w:tcPr>
            <w:tcW w:w="2557" w:type="dxa"/>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2687" w:type="dxa"/>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tc>
        <w:tc>
          <w:tcPr>
            <w:tcW w:w="2160"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参加工作时间</w:t>
            </w:r>
          </w:p>
        </w:tc>
        <w:tc>
          <w:tcPr>
            <w:tcW w:w="2557" w:type="dxa"/>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2687" w:type="dxa"/>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从事项目工作年限</w:t>
            </w:r>
          </w:p>
        </w:tc>
        <w:tc>
          <w:tcPr>
            <w:tcW w:w="2160"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相关证书</w:t>
            </w:r>
          </w:p>
        </w:tc>
        <w:tc>
          <w:tcPr>
            <w:tcW w:w="7404" w:type="dxa"/>
            <w:gridSpan w:val="5"/>
            <w:vAlign w:val="center"/>
          </w:tcPr>
          <w:p>
            <w:pPr>
              <w:pageBreakBefore w:val="0"/>
              <w:kinsoku/>
              <w:topLinePunct w:val="0"/>
              <w:bidi w:val="0"/>
              <w:spacing w:line="500" w:lineRule="exact"/>
              <w:jc w:val="both"/>
              <w:rPr>
                <w:rFonts w:hint="eastAsia" w:ascii="仿宋" w:hAnsi="仿宋" w:eastAsia="仿宋" w:cs="仿宋"/>
                <w:color w:val="auto"/>
                <w:sz w:val="28"/>
                <w:szCs w:val="28"/>
                <w:highlight w:val="none"/>
                <w:lang w:val="en-US" w:eastAsia="zh-CN"/>
              </w:rPr>
            </w:pPr>
          </w:p>
        </w:tc>
      </w:tr>
    </w:tbl>
    <w:p>
      <w:pPr>
        <w:pStyle w:val="40"/>
        <w:pageBreakBefore w:val="0"/>
        <w:tabs>
          <w:tab w:val="left" w:pos="2636"/>
        </w:tabs>
        <w:wordWrap/>
        <w:overflowPunct/>
        <w:topLinePunct w:val="0"/>
        <w:bidi w:val="0"/>
        <w:spacing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后附项目负责人身份证、相关职业或执业或职称证书等证明材料。</w:t>
      </w:r>
    </w:p>
    <w:p>
      <w:pPr>
        <w:rPr>
          <w:rFonts w:hint="eastAsia" w:ascii="仿宋" w:hAnsi="仿宋" w:eastAsia="仿宋" w:cs="仿宋"/>
          <w:color w:val="auto"/>
          <w:sz w:val="28"/>
          <w:szCs w:val="28"/>
          <w:highlight w:val="none"/>
          <w:lang w:eastAsia="zh-CN"/>
        </w:rPr>
        <w:sectPr>
          <w:pgSz w:w="11906" w:h="16838"/>
          <w:pgMar w:top="1440" w:right="1800" w:bottom="1440" w:left="1800" w:header="851" w:footer="992" w:gutter="0"/>
          <w:pgNumType w:fmt="decimal"/>
          <w:cols w:space="720" w:num="1"/>
          <w:docGrid w:type="lines" w:linePitch="312" w:charSpace="0"/>
        </w:sectPr>
      </w:pPr>
    </w:p>
    <w:bookmarkEnd w:id="142"/>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拟配备人员简介</w:t>
      </w:r>
    </w:p>
    <w:tbl>
      <w:tblPr>
        <w:tblStyle w:val="32"/>
        <w:tblpPr w:leftFromText="180" w:rightFromText="180" w:vertAnchor="text" w:horzAnchor="page" w:tblpX="1844" w:tblpY="527"/>
        <w:tblOverlap w:val="never"/>
        <w:tblW w:w="51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60"/>
        <w:gridCol w:w="1368"/>
        <w:gridCol w:w="1114"/>
        <w:gridCol w:w="1451"/>
        <w:gridCol w:w="1020"/>
        <w:gridCol w:w="116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vMerge w:val="restar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542" w:type="pct"/>
            <w:vMerge w:val="restar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姓名</w:t>
            </w:r>
          </w:p>
        </w:tc>
        <w:tc>
          <w:tcPr>
            <w:tcW w:w="772" w:type="pct"/>
            <w:vMerge w:val="restar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拟担任本项目职务/岗位</w:t>
            </w:r>
          </w:p>
        </w:tc>
        <w:tc>
          <w:tcPr>
            <w:tcW w:w="629" w:type="pct"/>
            <w:vMerge w:val="restar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常住地</w:t>
            </w:r>
          </w:p>
        </w:tc>
        <w:tc>
          <w:tcPr>
            <w:tcW w:w="2639" w:type="pct"/>
            <w:gridSpan w:val="4"/>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416" w:type="pct"/>
            <w:vMerge w:val="continue"/>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vMerge w:val="continue"/>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vMerge w:val="continue"/>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vMerge w:val="continue"/>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证书名称</w:t>
            </w:r>
          </w:p>
        </w:tc>
        <w:tc>
          <w:tcPr>
            <w:tcW w:w="576"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级别</w:t>
            </w:r>
          </w:p>
        </w:tc>
        <w:tc>
          <w:tcPr>
            <w:tcW w:w="656"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证书号</w:t>
            </w:r>
          </w:p>
        </w:tc>
        <w:tc>
          <w:tcPr>
            <w:tcW w:w="587"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bl>
    <w:p>
      <w:pPr>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拟配备人员汇总表</w:t>
      </w:r>
    </w:p>
    <w:p>
      <w:pPr>
        <w:pageBreakBefore w:val="0"/>
        <w:wordWrap/>
        <w:overflowPunct/>
        <w:topLinePunct w:val="0"/>
        <w:bidi w:val="0"/>
        <w:adjustRightInd w:val="0"/>
        <w:spacing w:line="560" w:lineRule="exact"/>
        <w:ind w:left="0" w:leftChars="0" w:right="0" w:rightChars="0" w:firstLine="1050" w:firstLineChars="375"/>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 xml:space="preserve">名称（盖章）：        </w:t>
      </w: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授权人</w:t>
      </w:r>
      <w:r>
        <w:rPr>
          <w:rFonts w:hint="eastAsia" w:ascii="仿宋" w:hAnsi="仿宋" w:eastAsia="仿宋" w:cs="仿宋"/>
          <w:b w:val="0"/>
          <w:bCs/>
          <w:color w:val="auto"/>
          <w:sz w:val="28"/>
          <w:szCs w:val="28"/>
          <w:highlight w:val="none"/>
          <w:lang w:val="en-US" w:eastAsia="zh-CN"/>
        </w:rPr>
        <w:t>或</w:t>
      </w:r>
      <w:r>
        <w:rPr>
          <w:rFonts w:hint="eastAsia" w:ascii="仿宋" w:hAnsi="仿宋" w:eastAsia="仿宋" w:cs="仿宋"/>
          <w:b w:val="0"/>
          <w:bCs/>
          <w:color w:val="auto"/>
          <w:sz w:val="28"/>
          <w:szCs w:val="28"/>
          <w:highlight w:val="none"/>
        </w:rPr>
        <w:t>被授权人（签字或盖章）：</w:t>
      </w:r>
    </w:p>
    <w:p>
      <w:pPr>
        <w:pageBreakBefore w:val="0"/>
        <w:wordWrap/>
        <w:overflowPunct/>
        <w:topLinePunct w:val="0"/>
        <w:bidi w:val="0"/>
        <w:adjustRightInd w:val="0"/>
        <w:spacing w:line="560" w:lineRule="exact"/>
        <w:ind w:right="0" w:rightChars="0" w:firstLine="5040" w:firstLineChars="18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日期</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 xml:space="preserve"> </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pPr>
        <w:pStyle w:val="11"/>
        <w:rPr>
          <w:rFonts w:hint="eastAsia" w:ascii="仿宋" w:hAnsi="仿宋" w:eastAsia="仿宋" w:cs="仿宋"/>
          <w:color w:val="auto"/>
          <w:sz w:val="28"/>
          <w:szCs w:val="28"/>
          <w:highlight w:val="none"/>
          <w:lang w:val="en-US" w:eastAsia="zh-CN"/>
        </w:rPr>
      </w:pPr>
    </w:p>
    <w:p>
      <w:pPr>
        <w:pageBreakBefore w:val="0"/>
        <w:kinsoku/>
        <w:topLinePunct w:val="0"/>
        <w:bidi w:val="0"/>
        <w:spacing w:line="500" w:lineRule="exact"/>
        <w:ind w:firstLine="560" w:firstLineChars="2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人员简历</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062"/>
        <w:gridCol w:w="1329"/>
        <w:gridCol w:w="1328"/>
        <w:gridCol w:w="118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623"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780"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779"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p>
        </w:tc>
        <w:tc>
          <w:tcPr>
            <w:tcW w:w="69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1186"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623"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780"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779"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69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1186"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w:t>
            </w:r>
          </w:p>
        </w:tc>
        <w:tc>
          <w:tcPr>
            <w:tcW w:w="1403" w:type="pct"/>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74" w:type="pct"/>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tc>
        <w:tc>
          <w:tcPr>
            <w:tcW w:w="1186"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参加工作时间</w:t>
            </w:r>
          </w:p>
        </w:tc>
        <w:tc>
          <w:tcPr>
            <w:tcW w:w="1403" w:type="pct"/>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74" w:type="pct"/>
            <w:gridSpan w:val="2"/>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从事项目工作年限</w:t>
            </w:r>
          </w:p>
        </w:tc>
        <w:tc>
          <w:tcPr>
            <w:tcW w:w="1186"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相关证书</w:t>
            </w:r>
          </w:p>
        </w:tc>
        <w:tc>
          <w:tcPr>
            <w:tcW w:w="4064" w:type="pct"/>
            <w:gridSpan w:val="5"/>
            <w:vAlign w:val="center"/>
          </w:tcPr>
          <w:p>
            <w:pPr>
              <w:pageBreakBefore w:val="0"/>
              <w:kinsoku/>
              <w:topLinePunct w:val="0"/>
              <w:bidi w:val="0"/>
              <w:spacing w:line="500" w:lineRule="exact"/>
              <w:jc w:val="both"/>
              <w:rPr>
                <w:rFonts w:hint="eastAsia" w:ascii="仿宋" w:hAnsi="仿宋" w:eastAsia="仿宋" w:cs="仿宋"/>
                <w:color w:val="auto"/>
                <w:sz w:val="28"/>
                <w:szCs w:val="28"/>
                <w:highlight w:val="none"/>
                <w:lang w:val="en-US" w:eastAsia="zh-CN"/>
              </w:rPr>
            </w:pPr>
          </w:p>
        </w:tc>
      </w:tr>
    </w:tbl>
    <w:p>
      <w:pPr>
        <w:pStyle w:val="1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拟配备人员每人填一张简历，后附人员的身份证、相关职业或执业或职称证书等证明材料。</w:t>
      </w:r>
    </w:p>
    <w:p>
      <w:pP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br w:type="page"/>
      </w:r>
    </w:p>
    <w:p>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八、</w:t>
      </w:r>
      <w:r>
        <w:rPr>
          <w:rFonts w:hint="eastAsia" w:ascii="仿宋" w:hAnsi="仿宋" w:eastAsia="仿宋" w:cs="仿宋"/>
          <w:b w:val="0"/>
          <w:bCs/>
          <w:color w:val="auto"/>
          <w:sz w:val="28"/>
          <w:szCs w:val="28"/>
          <w:highlight w:val="none"/>
        </w:rPr>
        <w:t>近年</w:t>
      </w:r>
      <w:r>
        <w:rPr>
          <w:rFonts w:hint="eastAsia" w:ascii="仿宋" w:hAnsi="仿宋" w:eastAsia="仿宋" w:cs="仿宋"/>
          <w:b w:val="0"/>
          <w:bCs/>
          <w:color w:val="auto"/>
          <w:sz w:val="28"/>
          <w:szCs w:val="28"/>
          <w:highlight w:val="none"/>
          <w:lang w:val="en-US" w:eastAsia="zh-CN"/>
        </w:rPr>
        <w:t>同类</w:t>
      </w:r>
      <w:r>
        <w:rPr>
          <w:rFonts w:hint="eastAsia" w:ascii="仿宋" w:hAnsi="仿宋" w:eastAsia="仿宋" w:cs="仿宋"/>
          <w:b w:val="0"/>
          <w:bCs/>
          <w:color w:val="auto"/>
          <w:sz w:val="28"/>
          <w:szCs w:val="28"/>
          <w:highlight w:val="none"/>
        </w:rPr>
        <w:t>项目情况表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606"/>
        <w:gridCol w:w="959"/>
        <w:gridCol w:w="1112"/>
        <w:gridCol w:w="1150"/>
        <w:gridCol w:w="1161"/>
        <w:gridCol w:w="1179"/>
        <w:gridCol w:w="1157"/>
        <w:gridCol w:w="1078"/>
        <w:gridCol w:w="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96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采购人</w:t>
            </w:r>
          </w:p>
        </w:tc>
        <w:tc>
          <w:tcPr>
            <w:tcW w:w="1113"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联系人</w:t>
            </w:r>
          </w:p>
        </w:tc>
        <w:tc>
          <w:tcPr>
            <w:tcW w:w="1151"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联系电话</w:t>
            </w:r>
          </w:p>
        </w:tc>
        <w:tc>
          <w:tcPr>
            <w:tcW w:w="1162"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项目名称</w:t>
            </w: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完成时间</w:t>
            </w:r>
          </w:p>
        </w:tc>
        <w:tc>
          <w:tcPr>
            <w:tcW w:w="1158"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合同金额</w:t>
            </w:r>
          </w:p>
        </w:tc>
        <w:tc>
          <w:tcPr>
            <w:tcW w:w="1079" w:type="dxa"/>
            <w:gridSpan w:val="2"/>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用户反馈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lef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lef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lef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960"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13"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1"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62"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80"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8"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079" w:type="dxa"/>
            <w:gridSpan w:val="2"/>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960"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13"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1"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62"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510" w:hRule="atLeast"/>
          <w:jc w:val="center"/>
        </w:trPr>
        <w:tc>
          <w:tcPr>
            <w:tcW w:w="606" w:type="dxa"/>
            <w:tcBorders>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50" w:hRule="atLeast"/>
          <w:jc w:val="center"/>
        </w:trPr>
        <w:tc>
          <w:tcPr>
            <w:tcW w:w="606"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35" w:hRule="atLeast"/>
          <w:jc w:val="center"/>
        </w:trPr>
        <w:tc>
          <w:tcPr>
            <w:tcW w:w="606" w:type="dxa"/>
            <w:tcBorders>
              <w:top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right w:val="single" w:color="auto" w:sz="4" w:space="0"/>
            </w:tcBorders>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bl>
    <w:p>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备注：</w:t>
      </w:r>
    </w:p>
    <w:p>
      <w:pPr>
        <w:pageBreakBefore w:val="0"/>
        <w:numPr>
          <w:ilvl w:val="0"/>
          <w:numId w:val="9"/>
        </w:numPr>
        <w:wordWrap/>
        <w:overflowPunct/>
        <w:topLinePunct w:val="0"/>
        <w:bidi w:val="0"/>
        <w:spacing w:line="560" w:lineRule="exact"/>
        <w:ind w:left="0" w:leftChars="0" w:right="0" w:rightChars="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本表后附：2021年01月01日-投标文件上传截止时间前，以合同签订日期为准</w:t>
      </w:r>
      <w:r>
        <w:rPr>
          <w:rFonts w:hint="eastAsia" w:ascii="仿宋" w:hAnsi="仿宋" w:eastAsia="仿宋" w:cs="仿宋"/>
          <w:color w:val="auto"/>
          <w:sz w:val="28"/>
          <w:szCs w:val="28"/>
          <w:highlight w:val="none"/>
          <w:lang w:eastAsia="zh-CN"/>
        </w:rPr>
        <w:t>；</w:t>
      </w:r>
    </w:p>
    <w:p>
      <w:pPr>
        <w:pageBreakBefore w:val="0"/>
        <w:wordWrap/>
        <w:overflowPunct/>
        <w:topLinePunct w:val="0"/>
        <w:bidi w:val="0"/>
        <w:spacing w:line="560" w:lineRule="exact"/>
        <w:ind w:left="0" w:leftChars="0" w:right="0" w:rightChars="0"/>
        <w:jc w:val="left"/>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eastAsia="zh-CN"/>
        </w:rPr>
        <w:t>投标人须提供中标（成交）通知书或合同（至少包括合同首页、标的页、签字盖章页、采购内容页）彩色扫描件；</w:t>
      </w:r>
    </w:p>
    <w:p>
      <w:pPr>
        <w:pStyle w:val="85"/>
        <w:pageBreakBefore w:val="0"/>
        <w:wordWrap/>
        <w:overflowPunct/>
        <w:topLinePunct w:val="0"/>
        <w:bidi w:val="0"/>
        <w:spacing w:line="560" w:lineRule="exact"/>
        <w:ind w:left="0" w:leftChars="0" w:right="0" w:rightChars="0" w:firstLine="0" w:firstLineChars="0"/>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具体年份要求：</w:t>
      </w:r>
      <w:r>
        <w:rPr>
          <w:rFonts w:hint="eastAsia" w:ascii="仿宋" w:hAnsi="仿宋" w:eastAsia="仿宋" w:cs="仿宋"/>
          <w:color w:val="auto"/>
          <w:sz w:val="28"/>
          <w:szCs w:val="28"/>
          <w:highlight w:val="none"/>
        </w:rPr>
        <w:t>2021年01月01日-投标文件上传截止时间前。</w:t>
      </w:r>
    </w:p>
    <w:p>
      <w:pPr>
        <w:pStyle w:val="85"/>
        <w:pageBreakBefore w:val="0"/>
        <w:wordWrap/>
        <w:overflowPunct/>
        <w:topLinePunct w:val="0"/>
        <w:bidi w:val="0"/>
        <w:spacing w:line="560" w:lineRule="exact"/>
        <w:ind w:left="0" w:leftChars="0" w:right="0" w:rightChars="0" w:firstLine="0" w:firstLineChars="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val="0"/>
          <w:color w:val="auto"/>
          <w:sz w:val="28"/>
          <w:szCs w:val="28"/>
          <w:highlight w:val="none"/>
          <w:lang w:eastAsia="zh-CN"/>
        </w:rPr>
        <w:br w:type="page"/>
      </w:r>
    </w:p>
    <w:p>
      <w:pPr>
        <w:pStyle w:val="4"/>
        <w:keepNext w:val="0"/>
        <w:pageBreakBefore w:val="0"/>
        <w:widowControl w:val="0"/>
        <w:numPr>
          <w:ilvl w:val="0"/>
          <w:numId w:val="0"/>
        </w:numPr>
        <w:kinsoku/>
        <w:wordWrap/>
        <w:overflowPunct/>
        <w:topLinePunct w:val="0"/>
        <w:autoSpaceDE/>
        <w:autoSpaceDN/>
        <w:bidi w:val="0"/>
        <w:snapToGrid/>
        <w:spacing w:before="0" w:after="0" w:line="400" w:lineRule="exact"/>
        <w:ind w:left="0" w:leftChars="0" w:right="0" w:rightChars="0"/>
        <w:jc w:val="center"/>
        <w:rPr>
          <w:rFonts w:hint="eastAsia" w:ascii="仿宋" w:hAnsi="仿宋" w:eastAsia="仿宋" w:cs="仿宋"/>
          <w:color w:val="auto"/>
          <w:sz w:val="28"/>
          <w:szCs w:val="28"/>
          <w:highlight w:val="none"/>
        </w:rPr>
      </w:pPr>
      <w:bookmarkStart w:id="143" w:name="_Toc217446091"/>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商务、技术需求偏离表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商务条款偏离表</w:t>
      </w:r>
    </w:p>
    <w:tbl>
      <w:tblPr>
        <w:tblStyle w:val="3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73" w:type="dxa"/>
            <w:shd w:val="clear" w:color="auto" w:fill="FFFFFF"/>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5850" w:type="dxa"/>
            <w:shd w:val="clear" w:color="auto" w:fill="FFFFFF"/>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主要商务条款</w:t>
            </w:r>
          </w:p>
        </w:tc>
        <w:tc>
          <w:tcPr>
            <w:tcW w:w="1008" w:type="dxa"/>
            <w:shd w:val="clear" w:color="auto" w:fill="FFFFFF"/>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w:t>
            </w:r>
          </w:p>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w:t>
            </w:r>
          </w:p>
        </w:tc>
        <w:tc>
          <w:tcPr>
            <w:tcW w:w="1164" w:type="dxa"/>
            <w:shd w:val="clear" w:color="auto" w:fill="FFFFFF"/>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完全理解并接受对合格投标人、合格的货物质量和服务要求；</w:t>
            </w:r>
          </w:p>
        </w:tc>
        <w:tc>
          <w:tcPr>
            <w:tcW w:w="1008" w:type="dxa"/>
            <w:vAlign w:val="center"/>
          </w:tcPr>
          <w:p>
            <w:pPr>
              <w:pStyle w:val="100"/>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仿宋" w:hAnsi="仿宋" w:eastAsia="仿宋" w:cs="仿宋"/>
                <w:color w:val="auto"/>
                <w:spacing w:val="0"/>
                <w:kern w:val="2"/>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完全理解并接受对投标人的各项须知、规约要求和责任义务；</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同意接受拟签订的合同文本所列述的各项条款；</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同意按本项目要求缴付相关款项；</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可提供货物供货来源证明或供货渠道与品质的合法性证明；</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w:t>
            </w:r>
            <w:r>
              <w:rPr>
                <w:rFonts w:hint="eastAsia" w:ascii="仿宋" w:hAnsi="仿宋" w:eastAsia="仿宋" w:cs="仿宋"/>
                <w:color w:val="auto"/>
                <w:sz w:val="28"/>
                <w:szCs w:val="28"/>
                <w:highlight w:val="none"/>
                <w:lang w:eastAsia="zh-CN"/>
              </w:rPr>
              <w:t>；</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投标内容均涵盖招标要求及一切费用和伴随服务；</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pStyle w:val="100"/>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仿宋" w:hAnsi="仿宋" w:eastAsia="仿宋" w:cs="仿宋"/>
                <w:color w:val="auto"/>
                <w:spacing w:val="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同意接受本项目供货期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质保期</w:t>
            </w:r>
            <w:r>
              <w:rPr>
                <w:rFonts w:hint="eastAsia" w:ascii="仿宋" w:hAnsi="仿宋" w:eastAsia="仿宋" w:cs="仿宋"/>
                <w:color w:val="auto"/>
                <w:sz w:val="28"/>
                <w:szCs w:val="28"/>
                <w:highlight w:val="none"/>
              </w:rPr>
              <w:t>或相关进度安排要求；</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5850"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同意接受本项目的验收要求及验收标准；</w:t>
            </w:r>
          </w:p>
        </w:tc>
        <w:tc>
          <w:tcPr>
            <w:tcW w:w="1008"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5850" w:type="dxa"/>
            <w:vAlign w:val="center"/>
          </w:tcPr>
          <w:p>
            <w:pPr>
              <w:pStyle w:val="21"/>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b w:val="0"/>
                <w:bCs w:val="0"/>
                <w:color w:val="auto"/>
                <w:kern w:val="2"/>
                <w:sz w:val="28"/>
                <w:szCs w:val="28"/>
                <w:highlight w:val="none"/>
              </w:rPr>
              <w:t>同意采购人以任何形式对我方的投标文件内容的真实性和有效性进行审查、验证；</w:t>
            </w:r>
          </w:p>
        </w:tc>
        <w:tc>
          <w:tcPr>
            <w:tcW w:w="1008" w:type="dxa"/>
            <w:vAlign w:val="center"/>
          </w:tcPr>
          <w:p>
            <w:pPr>
              <w:pStyle w:val="101"/>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p>
        </w:tc>
        <w:tc>
          <w:tcPr>
            <w:tcW w:w="1164" w:type="dxa"/>
            <w:vAlign w:val="center"/>
          </w:tcPr>
          <w:p>
            <w:pPr>
              <w:pStyle w:val="100"/>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仿宋" w:hAnsi="仿宋" w:eastAsia="仿宋" w:cs="仿宋"/>
                <w:color w:val="auto"/>
                <w:spacing w:val="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3" w:type="dxa"/>
            <w:vAlign w:val="center"/>
          </w:tcPr>
          <w:p>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5850" w:type="dxa"/>
            <w:vAlign w:val="center"/>
          </w:tcPr>
          <w:p>
            <w:pPr>
              <w:pStyle w:val="21"/>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同意接受本项目付款的各项要求。</w:t>
            </w:r>
          </w:p>
        </w:tc>
        <w:tc>
          <w:tcPr>
            <w:tcW w:w="1008" w:type="dxa"/>
            <w:vAlign w:val="center"/>
          </w:tcPr>
          <w:p>
            <w:pPr>
              <w:pStyle w:val="101"/>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p>
        </w:tc>
        <w:tc>
          <w:tcPr>
            <w:tcW w:w="1164" w:type="dxa"/>
            <w:vAlign w:val="center"/>
          </w:tcPr>
          <w:p>
            <w:pPr>
              <w:pStyle w:val="100"/>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仿宋" w:hAnsi="仿宋" w:eastAsia="仿宋" w:cs="仿宋"/>
                <w:color w:val="auto"/>
                <w:spacing w:val="0"/>
                <w:kern w:val="2"/>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GB"/>
        </w:rPr>
        <w:t>于上述要求，如投标人完全响应，则请在“是否响应”栏内打“√”，对打“×”视为偏离，请在“偏离说明”栏内扼要说明偏离情况；</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投标人应认真填写本响应表，若评标委员会在</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val="en-GB"/>
        </w:rPr>
        <w:t>期间，发现有虚假填写本响应表的，则将可能被视为存在两个</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GB"/>
        </w:rPr>
        <w:t>方案，评标委员会将按本招标文件相关规定执行；</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本表内容不得擅自修改。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rPr>
      </w:pP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投标人名称（盖章）：</w:t>
      </w:r>
    </w:p>
    <w:p>
      <w:pPr>
        <w:pStyle w:val="1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日期：</w:t>
      </w:r>
    </w:p>
    <w:p>
      <w:pPr>
        <w:pStyle w:val="1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仿宋" w:hAnsi="仿宋" w:eastAsia="仿宋" w:cs="仿宋"/>
          <w:b/>
          <w:bCs/>
          <w:caps w:val="0"/>
          <w:color w:val="auto"/>
          <w:spacing w:val="0"/>
          <w:w w:val="100"/>
          <w:kern w:val="0"/>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aps w:val="0"/>
          <w:color w:val="auto"/>
          <w:spacing w:val="0"/>
          <w:w w:val="100"/>
          <w:kern w:val="0"/>
          <w:sz w:val="28"/>
          <w:szCs w:val="28"/>
          <w:highlight w:val="none"/>
          <w:lang w:eastAsia="zh-CN"/>
        </w:rPr>
        <w:t>技术需求偏离表</w:t>
      </w:r>
    </w:p>
    <w:tbl>
      <w:tblPr>
        <w:tblStyle w:val="32"/>
        <w:tblW w:w="5312" w:type="pct"/>
        <w:tblInd w:w="0" w:type="dxa"/>
        <w:tblLayout w:type="autofit"/>
        <w:tblCellMar>
          <w:top w:w="0" w:type="dxa"/>
          <w:left w:w="108" w:type="dxa"/>
          <w:bottom w:w="0" w:type="dxa"/>
          <w:right w:w="108" w:type="dxa"/>
        </w:tblCellMar>
      </w:tblPr>
      <w:tblGrid>
        <w:gridCol w:w="562"/>
        <w:gridCol w:w="799"/>
        <w:gridCol w:w="983"/>
        <w:gridCol w:w="998"/>
        <w:gridCol w:w="645"/>
        <w:gridCol w:w="848"/>
        <w:gridCol w:w="909"/>
        <w:gridCol w:w="790"/>
        <w:gridCol w:w="835"/>
        <w:gridCol w:w="971"/>
        <w:gridCol w:w="714"/>
      </w:tblGrid>
      <w:tr>
        <w:tblPrEx>
          <w:tblCellMar>
            <w:top w:w="0" w:type="dxa"/>
            <w:left w:w="108" w:type="dxa"/>
            <w:bottom w:w="0" w:type="dxa"/>
            <w:right w:w="108" w:type="dxa"/>
          </w:tblCellMar>
        </w:tblPrEx>
        <w:trPr>
          <w:trHeight w:val="1140" w:hRule="atLeast"/>
        </w:trPr>
        <w:tc>
          <w:tcPr>
            <w:tcW w:w="1295"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招标</w:t>
            </w:r>
            <w:r>
              <w:rPr>
                <w:rFonts w:hint="eastAsia" w:ascii="仿宋" w:hAnsi="仿宋" w:eastAsia="仿宋" w:cs="仿宋"/>
                <w:b/>
                <w:bCs/>
                <w:color w:val="auto"/>
                <w:sz w:val="28"/>
                <w:szCs w:val="28"/>
                <w:highlight w:val="none"/>
                <w:lang w:eastAsia="zh-CN"/>
              </w:rPr>
              <w:t>文件</w:t>
            </w:r>
            <w:r>
              <w:rPr>
                <w:rFonts w:hint="eastAsia" w:ascii="仿宋" w:hAnsi="仿宋" w:eastAsia="仿宋" w:cs="仿宋"/>
                <w:b/>
                <w:bCs/>
                <w:color w:val="auto"/>
                <w:sz w:val="28"/>
                <w:szCs w:val="28"/>
                <w:highlight w:val="none"/>
              </w:rPr>
              <w:t>的要求</w:t>
            </w:r>
          </w:p>
        </w:tc>
        <w:tc>
          <w:tcPr>
            <w:tcW w:w="3704" w:type="pct"/>
            <w:gridSpan w:val="8"/>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lang w:eastAsia="zh-CN"/>
              </w:rPr>
              <w:t>文件</w:t>
            </w:r>
            <w:r>
              <w:rPr>
                <w:rFonts w:hint="eastAsia" w:ascii="仿宋" w:hAnsi="仿宋" w:eastAsia="仿宋" w:cs="仿宋"/>
                <w:b/>
                <w:bCs/>
                <w:color w:val="auto"/>
                <w:sz w:val="28"/>
                <w:szCs w:val="28"/>
                <w:highlight w:val="none"/>
              </w:rPr>
              <w:t>的响应</w:t>
            </w:r>
          </w:p>
        </w:tc>
      </w:tr>
      <w:tr>
        <w:tblPrEx>
          <w:tblCellMar>
            <w:top w:w="0" w:type="dxa"/>
            <w:left w:w="108" w:type="dxa"/>
            <w:bottom w:w="0" w:type="dxa"/>
            <w:right w:w="108" w:type="dxa"/>
          </w:tblCellMar>
        </w:tblPrEx>
        <w:trPr>
          <w:trHeight w:val="1118"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货物名称</w:t>
            </w: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技术参数要求</w:t>
            </w: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制造商名称</w:t>
            </w: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规格型号</w:t>
            </w: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响应情况</w:t>
            </w: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偏离</w:t>
            </w:r>
            <w:r>
              <w:rPr>
                <w:rFonts w:hint="eastAsia" w:ascii="仿宋" w:hAnsi="仿宋" w:eastAsia="仿宋" w:cs="仿宋"/>
                <w:color w:val="auto"/>
                <w:sz w:val="28"/>
                <w:szCs w:val="28"/>
                <w:highlight w:val="none"/>
                <w:lang w:val="en-US" w:eastAsia="zh-CN"/>
              </w:rPr>
              <w:t>情况</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证明材料</w:t>
            </w: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证明材料页码</w:t>
            </w: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备注</w:t>
            </w:r>
          </w:p>
        </w:tc>
      </w:tr>
      <w:tr>
        <w:tblPrEx>
          <w:tblCellMar>
            <w:top w:w="0" w:type="dxa"/>
            <w:left w:w="108" w:type="dxa"/>
            <w:bottom w:w="0" w:type="dxa"/>
            <w:right w:w="108" w:type="dxa"/>
          </w:tblCellMar>
        </w:tblPrEx>
        <w:trPr>
          <w:trHeight w:val="58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58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58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60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bl>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应对照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中技术参数</w:t>
      </w:r>
      <w:r>
        <w:rPr>
          <w:rFonts w:hint="eastAsia" w:ascii="仿宋" w:hAnsi="仿宋" w:eastAsia="仿宋" w:cs="仿宋"/>
          <w:color w:val="auto"/>
          <w:sz w:val="28"/>
          <w:szCs w:val="28"/>
          <w:highlight w:val="none"/>
        </w:rPr>
        <w:t>逐项填写，</w:t>
      </w:r>
      <w:r>
        <w:rPr>
          <w:rFonts w:hint="eastAsia" w:ascii="仿宋" w:hAnsi="仿宋" w:eastAsia="仿宋" w:cs="仿宋"/>
          <w:color w:val="auto"/>
          <w:sz w:val="28"/>
          <w:szCs w:val="28"/>
          <w:highlight w:val="none"/>
          <w:lang w:val="en-US" w:eastAsia="zh-CN"/>
        </w:rPr>
        <w:t>在“技术需求偏离表”中的“</w:t>
      </w:r>
      <w:r>
        <w:rPr>
          <w:rFonts w:hint="eastAsia" w:ascii="仿宋" w:hAnsi="仿宋" w:eastAsia="仿宋" w:cs="仿宋"/>
          <w:color w:val="auto"/>
          <w:sz w:val="28"/>
          <w:szCs w:val="28"/>
          <w:highlight w:val="none"/>
        </w:rPr>
        <w:t>偏离</w:t>
      </w:r>
      <w:r>
        <w:rPr>
          <w:rFonts w:hint="eastAsia" w:ascii="仿宋" w:hAnsi="仿宋" w:eastAsia="仿宋" w:cs="仿宋"/>
          <w:color w:val="auto"/>
          <w:sz w:val="28"/>
          <w:szCs w:val="28"/>
          <w:highlight w:val="none"/>
          <w:lang w:val="en-US" w:eastAsia="zh-CN"/>
        </w:rPr>
        <w:t>情况”中注明“正偏离”或“负偏离”或“无偏离”，</w:t>
      </w:r>
      <w:r>
        <w:rPr>
          <w:rFonts w:hint="eastAsia" w:ascii="仿宋" w:hAnsi="仿宋" w:eastAsia="仿宋" w:cs="仿宋"/>
          <w:color w:val="auto"/>
          <w:sz w:val="28"/>
          <w:szCs w:val="28"/>
          <w:highlight w:val="none"/>
        </w:rPr>
        <w:t>不得虚假响应</w:t>
      </w:r>
      <w:r>
        <w:rPr>
          <w:rFonts w:hint="eastAsia" w:ascii="仿宋" w:hAnsi="仿宋" w:eastAsia="仿宋" w:cs="仿宋"/>
          <w:color w:val="auto"/>
          <w:sz w:val="28"/>
          <w:szCs w:val="28"/>
          <w:highlight w:val="none"/>
          <w:lang w:eastAsia="zh-CN"/>
        </w:rPr>
        <w:t>。</w:t>
      </w:r>
    </w:p>
    <w:p>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投标人需提供与产品技术参数相关的证明材料（</w:t>
      </w:r>
      <w:r>
        <w:rPr>
          <w:rFonts w:hint="eastAsia" w:ascii="仿宋" w:hAnsi="仿宋" w:eastAsia="仿宋" w:cs="仿宋"/>
          <w:color w:val="auto"/>
          <w:sz w:val="28"/>
          <w:szCs w:val="28"/>
          <w:highlight w:val="none"/>
          <w:lang w:val="en-US" w:eastAsia="zh-CN"/>
        </w:rPr>
        <w:t>如产品样式及材质清单、认证证书、产品检测报告、鉴定证书、制造商产品彩页、制造商官网截图、制造商技术白皮书、制造商产品说明书、检测报告中的检测结果数据、产品注册证等彩页、彩色实物照片等</w:t>
      </w:r>
      <w:r>
        <w:rPr>
          <w:rFonts w:hint="eastAsia" w:ascii="仿宋" w:hAnsi="仿宋" w:eastAsia="仿宋" w:cs="仿宋"/>
          <w:color w:val="auto"/>
          <w:kern w:val="2"/>
          <w:sz w:val="28"/>
          <w:szCs w:val="28"/>
          <w:highlight w:val="none"/>
          <w:lang w:val="en-US" w:eastAsia="zh-CN" w:bidi="ar-SA"/>
        </w:rPr>
        <w:t>，任一项即可）</w:t>
      </w:r>
      <w:r>
        <w:rPr>
          <w:rFonts w:hint="eastAsia" w:ascii="仿宋" w:hAnsi="仿宋" w:eastAsia="仿宋" w:cs="仿宋"/>
          <w:b w:val="0"/>
          <w:bCs w:val="0"/>
          <w:color w:val="auto"/>
          <w:sz w:val="28"/>
          <w:szCs w:val="28"/>
          <w:highlight w:val="none"/>
          <w:lang w:val="en-US" w:eastAsia="zh-CN"/>
        </w:rPr>
        <w:t>，未提供或不清楚，不予认可。</w:t>
      </w:r>
    </w:p>
    <w:p>
      <w:pPr>
        <w:pageBreakBefore w:val="0"/>
        <w:wordWrap/>
        <w:overflowPunct/>
        <w:topLinePunct w:val="0"/>
        <w:bidi w:val="0"/>
        <w:spacing w:line="560" w:lineRule="exact"/>
        <w:ind w:left="0" w:leftChars="0" w:right="0" w:rightChars="0"/>
        <w:rPr>
          <w:rFonts w:hint="eastAsia" w:ascii="仿宋" w:hAnsi="仿宋" w:eastAsia="仿宋" w:cs="仿宋"/>
          <w:bCs/>
          <w:caps w:val="0"/>
          <w:color w:val="auto"/>
          <w:spacing w:val="0"/>
          <w:w w:val="100"/>
          <w:sz w:val="28"/>
          <w:szCs w:val="28"/>
          <w:highlight w:val="none"/>
        </w:rPr>
      </w:pPr>
      <w:r>
        <w:rPr>
          <w:rFonts w:hint="eastAsia" w:ascii="仿宋" w:hAnsi="仿宋" w:eastAsia="仿宋" w:cs="仿宋"/>
          <w:bCs/>
          <w:caps w:val="0"/>
          <w:color w:val="auto"/>
          <w:spacing w:val="0"/>
          <w:w w:val="100"/>
          <w:sz w:val="28"/>
          <w:szCs w:val="28"/>
          <w:highlight w:val="none"/>
          <w:lang w:val="en-US" w:eastAsia="zh-CN"/>
        </w:rPr>
        <w:t xml:space="preserve">                      </w:t>
      </w: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sz w:val="28"/>
          <w:szCs w:val="28"/>
          <w:highlight w:val="none"/>
        </w:rPr>
        <w:t>投标人名称（盖章）：</w:t>
      </w:r>
    </w:p>
    <w:p>
      <w:pPr>
        <w:pStyle w:val="14"/>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pPr>
        <w:pageBreakBefore w:val="0"/>
        <w:wordWrap/>
        <w:overflowPunct/>
        <w:topLinePunct w:val="0"/>
        <w:bidi w:val="0"/>
        <w:spacing w:line="560" w:lineRule="exact"/>
        <w:ind w:left="0" w:leftChars="0" w:right="0" w:rightChars="0"/>
        <w:jc w:val="right"/>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8"/>
          <w:szCs w:val="28"/>
          <w:highlight w:val="none"/>
        </w:rPr>
        <w:t xml:space="preserve">日期： </w:t>
      </w:r>
      <w:bookmarkEnd w:id="143"/>
      <w:r>
        <w:rPr>
          <w:rFonts w:hint="eastAsia" w:ascii="仿宋" w:hAnsi="仿宋" w:eastAsia="仿宋" w:cs="仿宋"/>
          <w:b/>
          <w:bCs/>
          <w:color w:val="auto"/>
          <w:kern w:val="0"/>
          <w:sz w:val="28"/>
          <w:szCs w:val="28"/>
          <w:highlight w:val="none"/>
          <w:lang w:val="en-US" w:eastAsia="zh-CN"/>
        </w:rPr>
        <w:t xml:space="preserve"> </w:t>
      </w:r>
    </w:p>
    <w:p>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bookmarkStart w:id="144" w:name="_Toc13020"/>
      <w:bookmarkStart w:id="145" w:name="_Toc9179"/>
      <w:r>
        <w:rPr>
          <w:rFonts w:hint="eastAsia" w:ascii="仿宋" w:hAnsi="仿宋" w:eastAsia="仿宋" w:cs="仿宋"/>
          <w:b/>
          <w:bCs/>
          <w:color w:val="auto"/>
          <w:kern w:val="0"/>
          <w:sz w:val="28"/>
          <w:szCs w:val="28"/>
          <w:highlight w:val="none"/>
          <w:lang w:val="en-US" w:eastAsia="zh-CN"/>
        </w:rPr>
        <w:t>十</w:t>
      </w:r>
      <w:r>
        <w:rPr>
          <w:rFonts w:hint="eastAsia" w:ascii="仿宋" w:hAnsi="仿宋" w:eastAsia="仿宋" w:cs="仿宋"/>
          <w:b/>
          <w:bCs/>
          <w:color w:val="auto"/>
          <w:kern w:val="0"/>
          <w:sz w:val="28"/>
          <w:szCs w:val="28"/>
          <w:highlight w:val="none"/>
          <w:lang w:eastAsia="zh-CN"/>
        </w:rPr>
        <w:t>、技术方案</w:t>
      </w:r>
      <w:bookmarkEnd w:id="144"/>
      <w:bookmarkEnd w:id="145"/>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投标人应根据本招标文件要求和项目的具体情况，自行编制</w:t>
      </w:r>
      <w:r>
        <w:rPr>
          <w:rFonts w:hint="eastAsia" w:ascii="仿宋" w:hAnsi="仿宋" w:eastAsia="仿宋" w:cs="仿宋"/>
          <w:color w:val="auto"/>
          <w:sz w:val="28"/>
          <w:szCs w:val="28"/>
          <w:highlight w:val="none"/>
          <w:lang w:eastAsia="zh-CN"/>
        </w:rPr>
        <w:t>技术方案</w:t>
      </w:r>
      <w:r>
        <w:rPr>
          <w:rFonts w:hint="eastAsia" w:ascii="仿宋" w:hAnsi="仿宋" w:eastAsia="仿宋" w:cs="仿宋"/>
          <w:color w:val="auto"/>
          <w:sz w:val="28"/>
          <w:szCs w:val="28"/>
          <w:highlight w:val="none"/>
        </w:rPr>
        <w:t>，格式自拟，但应主要包括以下内容：</w:t>
      </w:r>
    </w:p>
    <w:bookmarkEnd w:id="140"/>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auto"/>
          <w:sz w:val="28"/>
          <w:szCs w:val="28"/>
          <w:highlight w:val="none"/>
          <w:lang w:val="en-US" w:eastAsia="zh-CN"/>
        </w:rPr>
      </w:pPr>
      <w:bookmarkStart w:id="146" w:name="_Toc31271_WPSOffice_Level1"/>
      <w:r>
        <w:rPr>
          <w:rFonts w:hint="eastAsia" w:ascii="仿宋" w:hAnsi="仿宋" w:eastAsia="仿宋" w:cs="仿宋"/>
          <w:color w:val="auto"/>
          <w:sz w:val="28"/>
          <w:szCs w:val="28"/>
          <w:highlight w:val="none"/>
          <w:lang w:val="en-US" w:eastAsia="zh-CN"/>
        </w:rPr>
        <w:t>一、服务方案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①供货方案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②项目管理制度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③应急方案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④培训及技术指导方案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二、售后方案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①售后方案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②维护维修方案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③备品备件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④质量保证方案</w:t>
      </w:r>
      <w:r>
        <w:rPr>
          <w:rFonts w:hint="eastAsia" w:ascii="仿宋" w:hAnsi="仿宋" w:eastAsia="仿宋" w:cs="仿宋"/>
          <w:b/>
          <w:bCs/>
          <w:color w:val="auto"/>
          <w:kern w:val="0"/>
          <w:sz w:val="28"/>
          <w:szCs w:val="28"/>
          <w:highlight w:val="none"/>
          <w:lang w:val="en-US" w:eastAsia="zh-CN"/>
        </w:rPr>
        <w:br w:type="page"/>
      </w:r>
    </w:p>
    <w:p>
      <w:pPr>
        <w:pStyle w:val="13"/>
        <w:pageBreakBefore w:val="0"/>
        <w:wordWrap/>
        <w:overflowPunct/>
        <w:topLinePunct w:val="0"/>
        <w:bidi w:val="0"/>
        <w:spacing w:line="560" w:lineRule="exact"/>
        <w:ind w:left="0" w:leftChars="0" w:right="0" w:rightChars="0" w:firstLine="562" w:firstLineChars="200"/>
        <w:jc w:val="center"/>
        <w:outlineLvl w:val="1"/>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十一</w:t>
      </w:r>
      <w:r>
        <w:rPr>
          <w:rFonts w:hint="eastAsia" w:ascii="仿宋" w:hAnsi="仿宋" w:eastAsia="仿宋" w:cs="仿宋"/>
          <w:b/>
          <w:bCs/>
          <w:color w:val="auto"/>
          <w:kern w:val="0"/>
          <w:sz w:val="28"/>
          <w:szCs w:val="28"/>
          <w:highlight w:val="none"/>
        </w:rPr>
        <w:t>、政府采购政策</w:t>
      </w:r>
    </w:p>
    <w:p>
      <w:pPr>
        <w:pStyle w:val="13"/>
        <w:pageBreakBefore w:val="0"/>
        <w:wordWrap/>
        <w:overflowPunct/>
        <w:topLinePunct w:val="0"/>
        <w:bidi w:val="0"/>
        <w:spacing w:line="560" w:lineRule="exact"/>
        <w:ind w:left="0" w:leftChars="0" w:right="0" w:rightChars="0" w:firstLine="562" w:firstLineChars="200"/>
        <w:jc w:val="center"/>
        <w:outlineLvl w:val="1"/>
        <w:rPr>
          <w:rFonts w:hint="eastAsia" w:ascii="仿宋" w:hAnsi="仿宋" w:eastAsia="仿宋" w:cs="仿宋"/>
          <w:color w:val="auto"/>
          <w:sz w:val="28"/>
          <w:szCs w:val="28"/>
          <w:highlight w:val="none"/>
          <w:lang w:eastAsia="zh-CN"/>
        </w:rPr>
      </w:pPr>
      <w:r>
        <w:rPr>
          <w:rFonts w:hint="eastAsia" w:ascii="仿宋" w:hAnsi="仿宋" w:eastAsia="仿宋" w:cs="仿宋"/>
          <w:b/>
          <w:bCs/>
          <w:color w:val="auto"/>
          <w:kern w:val="0"/>
          <w:sz w:val="28"/>
          <w:szCs w:val="28"/>
          <w:highlight w:val="none"/>
        </w:rPr>
        <w:t>（一）</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如有</w:t>
      </w:r>
      <w:r>
        <w:rPr>
          <w:rFonts w:hint="eastAsia" w:ascii="仿宋" w:hAnsi="仿宋" w:eastAsia="仿宋" w:cs="仿宋"/>
          <w:b/>
          <w:bCs/>
          <w:color w:val="auto"/>
          <w:sz w:val="28"/>
          <w:szCs w:val="28"/>
          <w:highlight w:val="none"/>
          <w:lang w:eastAsia="zh-CN"/>
        </w:rPr>
        <w:t>）</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，属于（中型企业、小型企业、微型企业）；</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pPr>
        <w:pStyle w:val="13"/>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pPr>
        <w:pStyle w:val="13"/>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1、从业人员、营业收入、资产总额填报上一年度数据，无上一年度数据的新成立企业可不填报</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11"/>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特别说明</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（1）以上《中小企业声明函》只须填写所投产品的制造商名称及相关信息。</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为工业行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投标人须明确所投产品制造商的从业人员、</w:t>
      </w:r>
      <w:r>
        <w:rPr>
          <w:rFonts w:hint="eastAsia" w:ascii="仿宋" w:hAnsi="仿宋" w:eastAsia="仿宋" w:cs="仿宋"/>
          <w:color w:val="auto"/>
          <w:sz w:val="28"/>
          <w:szCs w:val="28"/>
          <w:highlight w:val="none"/>
        </w:rPr>
        <w:t>营业收入、资产总额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属于中型企业或小型企业或微型企业（只能填一项），未明确的，《中小企业声明函》按无效处理。</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含多个标的，须逐一明确每个标的制造商的中小微企业情况。所有标的均由小微企业制造的，方可享受10%的价格扣除优惠。若有一个标的为非小微企业制造，不可享受价格扣除优惠政策，中型企业不享受价格扣除优惠政策。</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（4）相关中小企业政策，详见本招标文件附件1、附件2及附件3。</w:t>
      </w:r>
    </w:p>
    <w:p>
      <w:pPr>
        <w:pStyle w:val="13"/>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（5）不符合中小企业相关优惠政策的，可不填写本《中小企业声明函》。</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1"/>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示例</w:t>
      </w:r>
      <w:r>
        <w:rPr>
          <w:rFonts w:hint="eastAsia" w:ascii="仿宋" w:hAnsi="仿宋" w:eastAsia="仿宋" w:cs="仿宋"/>
          <w:b/>
          <w:bCs/>
          <w:color w:val="auto"/>
          <w:sz w:val="28"/>
          <w:szCs w:val="28"/>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u w:val="single"/>
          <w:lang w:eastAsia="zh-CN"/>
        </w:rPr>
        <w:t>奇台县奇台镇社区卫生服务中心</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u w:val="single"/>
          <w:lang w:eastAsia="zh-CN"/>
        </w:rPr>
        <w:t xml:space="preserve">奇台县奇台镇社区卫生服务中心医疗设备采购项目-标项一至标项八 </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急救车</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310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小型企业</w:t>
      </w:r>
      <w:r>
        <w:rPr>
          <w:rFonts w:hint="eastAsia" w:ascii="仿宋" w:hAnsi="仿宋" w:eastAsia="仿宋" w:cs="仿宋"/>
          <w:color w:val="auto"/>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空气消毒器</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微型企业</w:t>
      </w:r>
      <w:r>
        <w:rPr>
          <w:rFonts w:hint="eastAsia" w:ascii="仿宋" w:hAnsi="仿宋" w:eastAsia="仿宋" w:cs="仿宋"/>
          <w:color w:val="auto"/>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轮椅</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微型企业</w:t>
      </w:r>
      <w:r>
        <w:rPr>
          <w:rFonts w:hint="eastAsia" w:ascii="仿宋" w:hAnsi="仿宋" w:eastAsia="仿宋" w:cs="仿宋"/>
          <w:color w:val="auto"/>
          <w:sz w:val="28"/>
          <w:szCs w:val="28"/>
          <w:highlight w:val="none"/>
        </w:rPr>
        <w:t>；</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8"/>
          <w:szCs w:val="28"/>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1、从业人员、营业收入、资产总额填报上一年度数据，无上一年度数据的新成立企业可不填报</w:t>
      </w:r>
    </w:p>
    <w:p>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color w:val="auto"/>
          <w:spacing w:val="6"/>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sz w:val="28"/>
          <w:szCs w:val="28"/>
          <w:highlight w:val="none"/>
        </w:rPr>
        <w:t>（二）</w:t>
      </w:r>
      <w:r>
        <w:rPr>
          <w:rFonts w:hint="eastAsia" w:ascii="仿宋" w:hAnsi="仿宋" w:eastAsia="仿宋" w:cs="仿宋"/>
          <w:b/>
          <w:color w:val="auto"/>
          <w:spacing w:val="6"/>
          <w:sz w:val="28"/>
          <w:szCs w:val="28"/>
          <w:highlight w:val="none"/>
        </w:rPr>
        <w:t>残疾人福利性单位声明函</w:t>
      </w:r>
      <w:r>
        <w:rPr>
          <w:rFonts w:hint="eastAsia" w:ascii="仿宋" w:hAnsi="仿宋" w:eastAsia="仿宋" w:cs="仿宋"/>
          <w:b/>
          <w:color w:val="auto"/>
          <w:sz w:val="28"/>
          <w:szCs w:val="28"/>
          <w:highlight w:val="none"/>
        </w:rPr>
        <w:t>（如有）</w:t>
      </w:r>
    </w:p>
    <w:p>
      <w:pPr>
        <w:pageBreakBefore w:val="0"/>
        <w:wordWrap/>
        <w:overflowPunct/>
        <w:topLinePunct w:val="0"/>
        <w:bidi w:val="0"/>
        <w:spacing w:line="560" w:lineRule="exact"/>
        <w:ind w:left="0" w:leftChars="0" w:right="0" w:rightChars="0"/>
        <w:rPr>
          <w:rFonts w:hint="eastAsia" w:ascii="仿宋" w:hAnsi="仿宋" w:eastAsia="仿宋" w:cs="仿宋"/>
          <w:b/>
          <w:color w:val="auto"/>
          <w:spacing w:val="6"/>
          <w:sz w:val="28"/>
          <w:szCs w:val="28"/>
          <w:highlight w:val="none"/>
        </w:rPr>
      </w:pPr>
    </w:p>
    <w:p>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color w:val="auto"/>
          <w:sz w:val="28"/>
          <w:szCs w:val="28"/>
          <w:highlight w:val="none"/>
        </w:rPr>
        <w:t>〔2017〕 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项目投标活动提供本单位制造的货物（由本单位承担工程/提供服务），或者提供其他残疾人福利性单位制造的货物（不包括使用非残疾人福利性单位注册商标的货物）。</w:t>
      </w:r>
    </w:p>
    <w:p>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p>
    <w:p>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p>
    <w:p>
      <w:pPr>
        <w:pageBreakBefore w:val="0"/>
        <w:tabs>
          <w:tab w:val="left" w:pos="4860"/>
        </w:tabs>
        <w:wordWrap/>
        <w:overflowPunct/>
        <w:topLinePunct w:val="0"/>
        <w:bidi w:val="0"/>
        <w:spacing w:line="560" w:lineRule="exact"/>
        <w:ind w:left="0" w:leftChars="0" w:right="0" w:rightChars="0" w:firstLine="584"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单位名称（盖章）：</w:t>
      </w:r>
    </w:p>
    <w:p>
      <w:pPr>
        <w:pageBreakBefore w:val="0"/>
        <w:tabs>
          <w:tab w:val="left" w:pos="4860"/>
        </w:tabs>
        <w:wordWrap/>
        <w:overflowPunct/>
        <w:topLinePunct w:val="0"/>
        <w:bidi w:val="0"/>
        <w:spacing w:line="560" w:lineRule="exact"/>
        <w:ind w:left="0" w:leftChars="0" w:right="0" w:rightChars="0" w:firstLine="584"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日  期：</w:t>
      </w:r>
    </w:p>
    <w:p>
      <w:pPr>
        <w:pageBreakBefore w:val="0"/>
        <w:widowControl/>
        <w:wordWrap/>
        <w:overflowPunct/>
        <w:topLinePunct w:val="0"/>
        <w:bidi w:val="0"/>
        <w:adjustRightInd w:val="0"/>
        <w:snapToGrid w:val="0"/>
        <w:spacing w:line="560" w:lineRule="exact"/>
        <w:ind w:left="0" w:leftChars="0" w:right="0" w:rightChars="0"/>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jc w:val="left"/>
        <w:rPr>
          <w:rFonts w:hint="eastAsia" w:ascii="仿宋" w:hAnsi="仿宋" w:eastAsia="仿宋" w:cs="仿宋"/>
          <w:bCs/>
          <w:color w:val="auto"/>
          <w:sz w:val="28"/>
          <w:szCs w:val="28"/>
          <w:highlight w:val="none"/>
        </w:rPr>
      </w:pPr>
    </w:p>
    <w:p>
      <w:pPr>
        <w:pageBreakBefore w:val="0"/>
        <w:widowControl/>
        <w:wordWrap/>
        <w:overflowPunct/>
        <w:topLinePunct w:val="0"/>
        <w:bidi w:val="0"/>
        <w:spacing w:line="560" w:lineRule="exact"/>
        <w:ind w:left="0" w:leftChars="0"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备注：须提供证明材料（能反映出企业残疾人的占比等情况的材料及残疾人证等）。</w:t>
      </w:r>
    </w:p>
    <w:p>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pPr>
        <w:pageBreakBefore w:val="0"/>
        <w:widowControl/>
        <w:wordWrap/>
        <w:overflowPunct/>
        <w:topLinePunct w:val="0"/>
        <w:bidi w:val="0"/>
        <w:spacing w:line="560" w:lineRule="exact"/>
        <w:ind w:left="0" w:leftChars="0" w:right="0" w:rightChars="0"/>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（三）监狱企业证明文件（如有）</w:t>
      </w:r>
    </w:p>
    <w:p>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p>
    <w:p>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13"/>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2.证明材料加盖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公章。</w:t>
      </w:r>
    </w:p>
    <w:p>
      <w:pPr>
        <w:pStyle w:val="31"/>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kern w:val="0"/>
          <w:sz w:val="28"/>
          <w:szCs w:val="28"/>
          <w:highlight w:val="none"/>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lang w:val="en-US" w:eastAsia="zh-CN"/>
        </w:rPr>
        <w:t>十二、</w:t>
      </w:r>
      <w:r>
        <w:rPr>
          <w:rFonts w:hint="eastAsia" w:ascii="仿宋" w:hAnsi="仿宋" w:eastAsia="仿宋" w:cs="仿宋"/>
          <w:b/>
          <w:bCs/>
          <w:color w:val="auto"/>
          <w:kern w:val="0"/>
          <w:sz w:val="28"/>
          <w:szCs w:val="28"/>
          <w:highlight w:val="none"/>
          <w:lang w:eastAsia="zh-CN"/>
        </w:rPr>
        <w:t>投标人认为需要提供的资料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投标保证金缴纳凭证</w:t>
      </w:r>
    </w:p>
    <w:p>
      <w:pPr>
        <w:pStyle w:val="13"/>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8522" w:type="dxa"/>
            <w:tcBorders>
              <w:top w:val="single" w:color="auto" w:sz="4" w:space="0"/>
              <w:bottom w:val="single" w:color="auto" w:sz="4" w:space="0"/>
            </w:tcBorders>
            <w:vAlign w:val="center"/>
          </w:tcPr>
          <w:p>
            <w:pPr>
              <w:pStyle w:val="13"/>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投标保证金缴纳凭证</w:t>
            </w:r>
          </w:p>
        </w:tc>
      </w:tr>
    </w:tbl>
    <w:p>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p>
    <w:p>
      <w:pPr>
        <w:pStyle w:val="13"/>
        <w:pageBreakBefore w:val="0"/>
        <w:wordWrap/>
        <w:overflowPunct/>
        <w:topLinePunct w:val="0"/>
        <w:bidi w:val="0"/>
        <w:spacing w:line="560" w:lineRule="exact"/>
        <w:ind w:left="0" w:leftChars="0" w:right="0" w:rightChars="0"/>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（二）其他</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应当仔细核对</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中有关</w:t>
      </w:r>
      <w:r>
        <w:rPr>
          <w:rFonts w:hint="eastAsia" w:ascii="仿宋" w:hAnsi="仿宋" w:eastAsia="仿宋" w:cs="仿宋"/>
          <w:b/>
          <w:bCs/>
          <w:color w:val="auto"/>
          <w:sz w:val="28"/>
          <w:szCs w:val="28"/>
          <w:highlight w:val="none"/>
        </w:rPr>
        <w:t>“响应无效”、“拒收”</w:t>
      </w:r>
      <w:r>
        <w:rPr>
          <w:rFonts w:hint="eastAsia" w:ascii="仿宋" w:hAnsi="仿宋" w:eastAsia="仿宋" w:cs="仿宋"/>
          <w:color w:val="auto"/>
          <w:sz w:val="28"/>
          <w:szCs w:val="28"/>
          <w:highlight w:val="none"/>
        </w:rPr>
        <w:t>和评审标准等条款内容，提供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认为应当附加</w:t>
      </w:r>
      <w:r>
        <w:rPr>
          <w:rFonts w:hint="eastAsia" w:ascii="仿宋" w:hAnsi="仿宋" w:eastAsia="仿宋" w:cs="仿宋"/>
          <w:color w:val="auto"/>
          <w:sz w:val="28"/>
          <w:szCs w:val="28"/>
          <w:highlight w:val="none"/>
          <w:lang w:eastAsia="zh-CN"/>
        </w:rPr>
        <w:t>的其他内容</w:t>
      </w:r>
      <w:r>
        <w:rPr>
          <w:rFonts w:hint="eastAsia" w:ascii="仿宋" w:hAnsi="仿宋" w:eastAsia="仿宋" w:cs="仿宋"/>
          <w:color w:val="auto"/>
          <w:sz w:val="28"/>
          <w:szCs w:val="28"/>
          <w:highlight w:val="none"/>
        </w:rPr>
        <w:t>，以充分证明其</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响应符合</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要求，并为评审提供充分依据。</w:t>
      </w:r>
    </w:p>
    <w:p>
      <w:pPr>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sz w:val="28"/>
          <w:szCs w:val="28"/>
          <w:highlight w:val="none"/>
        </w:rPr>
      </w:pPr>
    </w:p>
    <w:p>
      <w:pPr>
        <w:pageBreakBefore w:val="0"/>
        <w:widowControl/>
        <w:shd w:val="clear" w:color="auto" w:fill="FFFFFF"/>
        <w:wordWrap/>
        <w:overflowPunct/>
        <w:topLinePunct w:val="0"/>
        <w:bidi w:val="0"/>
        <w:spacing w:line="560" w:lineRule="exact"/>
        <w:ind w:left="0" w:leftChars="0" w:right="0" w:rightChars="0"/>
        <w:jc w:val="left"/>
        <w:rPr>
          <w:rFonts w:hint="eastAsia" w:ascii="仿宋" w:hAnsi="仿宋" w:eastAsia="仿宋" w:cs="仿宋"/>
          <w:color w:val="auto"/>
          <w:kern w:val="0"/>
          <w:sz w:val="28"/>
          <w:szCs w:val="28"/>
          <w:highlight w:val="none"/>
        </w:rPr>
      </w:pPr>
    </w:p>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bookmarkEnd w:id="146"/>
    <w:p>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pPr>
        <w:pStyle w:val="8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jc w:val="center"/>
        <w:textAlignment w:val="auto"/>
        <w:outlineLvl w:val="0"/>
        <w:rPr>
          <w:rFonts w:hint="eastAsia" w:ascii="仿宋" w:hAnsi="仿宋" w:eastAsia="仿宋" w:cs="仿宋"/>
          <w:b/>
          <w:bCs/>
          <w:color w:val="auto"/>
          <w:kern w:val="2"/>
          <w:sz w:val="28"/>
          <w:szCs w:val="28"/>
          <w:highlight w:val="none"/>
          <w:lang w:eastAsia="zh-CN"/>
        </w:rPr>
      </w:pPr>
      <w:r>
        <w:rPr>
          <w:rFonts w:hint="eastAsia" w:ascii="仿宋" w:hAnsi="仿宋" w:eastAsia="仿宋" w:cs="仿宋"/>
          <w:b/>
          <w:color w:val="auto"/>
          <w:sz w:val="28"/>
          <w:szCs w:val="28"/>
          <w:highlight w:val="none"/>
          <w:lang w:eastAsia="zh-CN"/>
        </w:rPr>
        <w:br w:type="page"/>
      </w:r>
      <w:bookmarkStart w:id="147" w:name="_Toc25336"/>
      <w:r>
        <w:rPr>
          <w:rFonts w:hint="eastAsia" w:ascii="仿宋" w:hAnsi="仿宋" w:eastAsia="仿宋" w:cs="仿宋"/>
          <w:b/>
          <w:bCs/>
          <w:color w:val="auto"/>
          <w:kern w:val="2"/>
          <w:sz w:val="28"/>
          <w:szCs w:val="28"/>
          <w:highlight w:val="none"/>
          <w:lang w:eastAsia="zh-CN"/>
        </w:rPr>
        <w:t>第四章  项目采购需求</w:t>
      </w:r>
      <w:bookmarkEnd w:id="147"/>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3288"/>
        <w:gridCol w:w="953"/>
        <w:gridCol w:w="1667"/>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bookmarkStart w:id="148" w:name="_Toc31658"/>
            <w:bookmarkStart w:id="149" w:name="_Toc17884_WPSOffice_Level1"/>
            <w:r>
              <w:rPr>
                <w:rFonts w:hint="eastAsia" w:ascii="仿宋" w:hAnsi="仿宋" w:eastAsia="仿宋" w:cs="仿宋"/>
                <w:b/>
                <w:bCs/>
                <w:i w:val="0"/>
                <w:iCs w:val="0"/>
                <w:color w:val="000000"/>
                <w:kern w:val="0"/>
                <w:sz w:val="28"/>
                <w:szCs w:val="28"/>
                <w:highlight w:val="none"/>
                <w:u w:val="none"/>
                <w:lang w:val="en-US" w:eastAsia="zh-CN" w:bidi="ar"/>
              </w:rPr>
              <w:t>预算和数量统计表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exact"/>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标项</w:t>
            </w:r>
          </w:p>
        </w:tc>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采购项目名称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单价最高限价(万元）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合计最高限价（万元）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彩色多普勒超声诊断仪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123.5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便携式彩色多普勒超声诊断仪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0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小计（万元）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exact"/>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标项</w:t>
            </w:r>
          </w:p>
        </w:tc>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采购项目名称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单价最高限价(万元）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合计最高限价（万元）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3</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网络心电图机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动态血压监检测仪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2.85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动态心电图仪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2.375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肺功能仪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4.75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心电监护仪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2.375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除颤仪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4.275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无创呼吸机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2.375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可视喉镜</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2.85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 w:hAnsi="仿宋" w:eastAsia="仿宋" w:cs="仿宋"/>
                <w:b/>
                <w:bCs/>
                <w:i w:val="0"/>
                <w:iCs w:val="0"/>
                <w:color w:val="000000"/>
                <w:sz w:val="28"/>
                <w:szCs w:val="28"/>
                <w:highlight w:val="none"/>
                <w:u w:val="none"/>
              </w:rPr>
            </w:pP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产后访视包</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2.85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0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小计（万元）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exact"/>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标项</w:t>
            </w:r>
          </w:p>
        </w:tc>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采购项目名称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单价最高限价(万元）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合计最高限价（万元）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6</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全科医生移动诊疗箱</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6.65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0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小计（万元）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79.8</w:t>
            </w:r>
          </w:p>
        </w:tc>
      </w:tr>
    </w:tbl>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left"/>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注：参数中★项必须满足，否则响应文件无效</w:t>
      </w:r>
    </w:p>
    <w:p>
      <w:pPr>
        <w:rPr>
          <w:rFonts w:hint="eastAsia" w:ascii="仿宋" w:hAnsi="仿宋" w:eastAsia="仿宋" w:cs="仿宋"/>
          <w:b/>
          <w:bCs w:val="0"/>
          <w:color w:val="auto"/>
          <w:sz w:val="44"/>
          <w:szCs w:val="44"/>
          <w:highlight w:val="none"/>
          <w:lang w:val="en-US" w:eastAsia="zh-CN"/>
        </w:rPr>
      </w:pPr>
    </w:p>
    <w:p>
      <w:pPr>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br w:type="page"/>
      </w:r>
    </w:p>
    <w:bookmarkEnd w:id="148"/>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0"/>
        <w:rPr>
          <w:rFonts w:hint="default" w:ascii="仿宋" w:hAnsi="仿宋" w:eastAsia="仿宋" w:cs="仿宋"/>
          <w:b/>
          <w:bCs w:val="0"/>
          <w:color w:val="auto"/>
          <w:sz w:val="28"/>
          <w:szCs w:val="28"/>
          <w:highlight w:val="none"/>
          <w:lang w:val="en-US"/>
        </w:rPr>
      </w:pPr>
      <w:bookmarkStart w:id="150" w:name="_Toc15545"/>
      <w:r>
        <w:rPr>
          <w:rFonts w:hint="eastAsia" w:ascii="仿宋" w:hAnsi="仿宋" w:eastAsia="仿宋" w:cs="仿宋"/>
          <w:b/>
          <w:bCs w:val="0"/>
          <w:color w:val="auto"/>
          <w:sz w:val="44"/>
          <w:szCs w:val="44"/>
          <w:highlight w:val="none"/>
          <w:lang w:val="en-US" w:eastAsia="zh-CN"/>
        </w:rPr>
        <w:t>标项二</w:t>
      </w:r>
      <w:bookmarkEnd w:id="150"/>
    </w:p>
    <w:p>
      <w:pPr>
        <w:keepNext w:val="0"/>
        <w:keepLines w:val="0"/>
        <w:pageBreakBefore w:val="0"/>
        <w:widowControl w:val="0"/>
        <w:shd w:val="clear" w:fill="FFFFFF" w:themeFill="background1"/>
        <w:kinsoku/>
        <w:wordWrap/>
        <w:overflowPunct/>
        <w:topLinePunct w:val="0"/>
        <w:autoSpaceDE/>
        <w:autoSpaceDN/>
        <w:bidi w:val="0"/>
        <w:adjustRightInd/>
        <w:snapToGrid/>
        <w:spacing w:line="540" w:lineRule="exact"/>
        <w:ind w:left="0" w:leftChars="0"/>
        <w:jc w:val="center"/>
        <w:textAlignment w:val="auto"/>
        <w:outlineLvl w:val="9"/>
        <w:rPr>
          <w:rFonts w:hint="eastAsia" w:ascii="仿宋" w:hAnsi="仿宋" w:eastAsia="仿宋" w:cs="仿宋"/>
          <w:b w:val="0"/>
          <w:bCs/>
          <w:color w:val="000000" w:themeColor="text1"/>
          <w:sz w:val="44"/>
          <w:szCs w:val="44"/>
          <w:highlight w:val="none"/>
          <w14:textFill>
            <w14:solidFill>
              <w14:schemeClr w14:val="tx1"/>
            </w14:solidFill>
          </w14:textFill>
        </w:rPr>
      </w:pPr>
      <w:r>
        <w:rPr>
          <w:rFonts w:hint="eastAsia" w:ascii="仿宋" w:hAnsi="仿宋" w:eastAsia="仿宋" w:cs="仿宋"/>
          <w:b w:val="0"/>
          <w:bCs/>
          <w:color w:val="000000" w:themeColor="text1"/>
          <w:sz w:val="44"/>
          <w:szCs w:val="44"/>
          <w:highlight w:val="none"/>
          <w14:textFill>
            <w14:solidFill>
              <w14:schemeClr w14:val="tx1"/>
            </w14:solidFill>
          </w14:textFill>
        </w:rPr>
        <w:t>彩色多普勒超声诊断仪</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一、规格参数要求：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1.主机成像系统</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9"/>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1.高分辨率液晶显示器≥23英寸，分辨率1920×1080，屏幕亮度和对比度数字可调，显示器亮度可根据环境光自动调节，可上下左右任意旋转，可前后折叠。</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2.操作面板具备液晶触摸屏≥13英寸，触摸屏可独立调节角度≥39度。</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2"/>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3.触摸屏可通过手指滑动触摸屏进行翻页，可将显示器上的超声图像投影到触摸屏上，通过手指进行放大，描迹测量等操作。可自定义手势操作功能。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4.控制面板全空间悬浮式调节，可同时旋转和升降，前后拉升。旋转角度≥</w:t>
      </w:r>
      <w:r>
        <w:rPr>
          <w:rFonts w:hint="eastAsia" w:ascii="仿宋" w:hAnsi="仿宋" w:eastAsia="仿宋" w:cs="仿宋"/>
          <w:color w:val="auto"/>
          <w:spacing w:val="0"/>
          <w:w w:val="100"/>
          <w:sz w:val="28"/>
          <w:szCs w:val="28"/>
          <w:highlight w:val="none"/>
          <w:lang w:val="en-US" w:eastAsia="zh-CN"/>
        </w:rPr>
        <w:t>120度</w:t>
      </w:r>
      <w:r>
        <w:rPr>
          <w:rFonts w:hint="eastAsia" w:ascii="仿宋" w:hAnsi="仿宋" w:eastAsia="仿宋" w:cs="仿宋"/>
          <w:color w:val="auto"/>
          <w:spacing w:val="0"/>
          <w:w w:val="100"/>
          <w:sz w:val="28"/>
          <w:szCs w:val="28"/>
          <w:highlight w:val="none"/>
        </w:rPr>
        <w:t>，前后拉升≥30cm，上下移动≥28cm。</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5.内有一体化超声工作站。连接其他品牌超声工作站，通过控制面板上的按键可直接存储静态/动态超声图像到工作站。</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6.内置数字录像机可用于教学，存储时间≥60分钟。</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7.主机操作面板一体化耦合剂加热装置，耦合剂温度三挡可调；</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8.探头接口≥5个，全激活、相互通用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lang w:val="en-US" w:eastAsia="zh-CN"/>
        </w:rPr>
        <w:t>9</w:t>
      </w:r>
      <w:r>
        <w:rPr>
          <w:rFonts w:hint="eastAsia" w:ascii="仿宋" w:hAnsi="仿宋" w:eastAsia="仿宋" w:cs="仿宋"/>
          <w:color w:val="auto"/>
          <w:spacing w:val="0"/>
          <w:w w:val="100"/>
          <w:sz w:val="28"/>
          <w:szCs w:val="28"/>
          <w:highlight w:val="none"/>
        </w:rPr>
        <w:t>.数字化全程动态聚焦，数字化可变孔径及动态变迹，A/D≥12bit11.多倍信号并行处理</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0</w:t>
      </w:r>
      <w:r>
        <w:rPr>
          <w:rFonts w:hint="eastAsia" w:ascii="仿宋" w:hAnsi="仿宋" w:eastAsia="仿宋" w:cs="仿宋"/>
          <w:color w:val="auto"/>
          <w:spacing w:val="0"/>
          <w:w w:val="100"/>
          <w:sz w:val="28"/>
          <w:szCs w:val="28"/>
          <w:highlight w:val="none"/>
        </w:rPr>
        <w:t>.数字化二维灰阶成像及M型显像单元；</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1</w:t>
      </w:r>
      <w:r>
        <w:rPr>
          <w:rFonts w:hint="eastAsia" w:ascii="仿宋" w:hAnsi="仿宋" w:eastAsia="仿宋" w:cs="仿宋"/>
          <w:color w:val="auto"/>
          <w:spacing w:val="0"/>
          <w:w w:val="100"/>
          <w:sz w:val="28"/>
          <w:szCs w:val="28"/>
          <w:highlight w:val="none"/>
        </w:rPr>
        <w:t>.彩色多普勒成像技术；</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2</w:t>
      </w:r>
      <w:r>
        <w:rPr>
          <w:rFonts w:hint="eastAsia" w:ascii="仿宋" w:hAnsi="仿宋" w:eastAsia="仿宋" w:cs="仿宋"/>
          <w:color w:val="auto"/>
          <w:spacing w:val="0"/>
          <w:w w:val="100"/>
          <w:sz w:val="28"/>
          <w:szCs w:val="28"/>
          <w:highlight w:val="none"/>
        </w:rPr>
        <w:t>.彩色多普勒能量图技术；</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3</w:t>
      </w:r>
      <w:r>
        <w:rPr>
          <w:rFonts w:hint="eastAsia" w:ascii="仿宋" w:hAnsi="仿宋" w:eastAsia="仿宋" w:cs="仿宋"/>
          <w:color w:val="auto"/>
          <w:spacing w:val="0"/>
          <w:w w:val="100"/>
          <w:sz w:val="28"/>
          <w:szCs w:val="28"/>
          <w:highlight w:val="none"/>
        </w:rPr>
        <w:t>.方向性能量图技术</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4</w:t>
      </w:r>
      <w:r>
        <w:rPr>
          <w:rFonts w:hint="eastAsia" w:ascii="仿宋" w:hAnsi="仿宋" w:eastAsia="仿宋" w:cs="仿宋"/>
          <w:color w:val="auto"/>
          <w:spacing w:val="0"/>
          <w:w w:val="100"/>
          <w:sz w:val="28"/>
          <w:szCs w:val="28"/>
          <w:highlight w:val="none"/>
        </w:rPr>
        <w:t>.解剖M型技术,可360度任意旋转，可在实时和冻结的二维图像上获取解剖M图像。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8"/>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5</w:t>
      </w:r>
      <w:r>
        <w:rPr>
          <w:rFonts w:hint="eastAsia" w:ascii="仿宋" w:hAnsi="仿宋" w:eastAsia="仿宋" w:cs="仿宋"/>
          <w:color w:val="auto"/>
          <w:spacing w:val="0"/>
          <w:w w:val="100"/>
          <w:sz w:val="28"/>
          <w:szCs w:val="28"/>
          <w:highlight w:val="none"/>
        </w:rPr>
        <w:t>.数字化频谱多普勒显示和分析单元(包括：脉冲多普勒、连续多普勒和频移谐波技术)</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6</w:t>
      </w:r>
      <w:r>
        <w:rPr>
          <w:rFonts w:hint="eastAsia" w:ascii="仿宋" w:hAnsi="仿宋" w:eastAsia="仿宋" w:cs="仿宋"/>
          <w:color w:val="auto"/>
          <w:spacing w:val="0"/>
          <w:w w:val="100"/>
          <w:sz w:val="28"/>
          <w:szCs w:val="28"/>
          <w:highlight w:val="none"/>
        </w:rPr>
        <w:t>.斑点噪声抑制成像，在二维图像，造影成像模式及三维成像下可支持；</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w:t>
      </w:r>
      <w:r>
        <w:rPr>
          <w:rFonts w:hint="eastAsia" w:ascii="仿宋" w:hAnsi="仿宋" w:eastAsia="仿宋" w:cs="仿宋"/>
          <w:color w:val="auto"/>
          <w:spacing w:val="0"/>
          <w:w w:val="100"/>
          <w:sz w:val="28"/>
          <w:szCs w:val="28"/>
          <w:highlight w:val="none"/>
          <w:lang w:val="en-US" w:eastAsia="zh-CN"/>
        </w:rPr>
        <w:t>7</w:t>
      </w:r>
      <w:r>
        <w:rPr>
          <w:rFonts w:hint="eastAsia" w:ascii="仿宋" w:hAnsi="仿宋" w:eastAsia="仿宋" w:cs="仿宋"/>
          <w:color w:val="auto"/>
          <w:spacing w:val="0"/>
          <w:w w:val="100"/>
          <w:sz w:val="28"/>
          <w:szCs w:val="28"/>
          <w:highlight w:val="none"/>
        </w:rPr>
        <w:t>.一键快速优化多种参数，自动优化图像。可支持对二维灰阶、彩色多普勒、频谱多普勒、及造影图像的优化。频谱多普勒下可自动优化：偏转角度、取样容积大小、角度。</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lang w:val="en-US" w:eastAsia="zh-CN"/>
        </w:rPr>
        <w:t>18</w:t>
      </w:r>
      <w:r>
        <w:rPr>
          <w:rFonts w:hint="eastAsia" w:ascii="仿宋" w:hAnsi="仿宋" w:eastAsia="仿宋" w:cs="仿宋"/>
          <w:color w:val="auto"/>
          <w:spacing w:val="0"/>
          <w:w w:val="100"/>
          <w:sz w:val="28"/>
          <w:szCs w:val="28"/>
          <w:highlight w:val="none"/>
        </w:rPr>
        <w:t>.自动工作流，检查过程中可按照协议自动注释，自动标记体位图，自动切换图像模式等。</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lang w:val="en-US" w:eastAsia="zh-CN"/>
        </w:rPr>
        <w:t>19</w:t>
      </w:r>
      <w:r>
        <w:rPr>
          <w:rFonts w:hint="eastAsia" w:ascii="仿宋" w:hAnsi="仿宋" w:eastAsia="仿宋" w:cs="仿宋"/>
          <w:color w:val="auto"/>
          <w:spacing w:val="0"/>
          <w:w w:val="100"/>
          <w:sz w:val="28"/>
          <w:szCs w:val="28"/>
          <w:highlight w:val="none"/>
        </w:rPr>
        <w:t>.穿刺引导功能，凸阵和线阵探头均可支持，具有双屏实时对比显示，增强前后效果，并支持自适应校正角度</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0</w:t>
      </w:r>
      <w:r>
        <w:rPr>
          <w:rFonts w:hint="eastAsia" w:ascii="仿宋" w:hAnsi="仿宋" w:eastAsia="仿宋" w:cs="仿宋"/>
          <w:color w:val="auto"/>
          <w:spacing w:val="0"/>
          <w:w w:val="100"/>
          <w:sz w:val="28"/>
          <w:szCs w:val="28"/>
          <w:highlight w:val="none"/>
        </w:rPr>
        <w:t>.速度标识功能，标识不同血流速度边界，观察血流分布及速度梯度</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1</w:t>
      </w:r>
      <w:r>
        <w:rPr>
          <w:rFonts w:hint="eastAsia" w:ascii="仿宋" w:hAnsi="仿宋" w:eastAsia="仿宋" w:cs="仿宋"/>
          <w:color w:val="auto"/>
          <w:spacing w:val="0"/>
          <w:w w:val="100"/>
          <w:sz w:val="28"/>
          <w:szCs w:val="28"/>
          <w:highlight w:val="none"/>
        </w:rPr>
        <w:t>.图像放大，支持前端放大和后端放大，放大倍数≥10倍</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2</w:t>
      </w:r>
      <w:r>
        <w:rPr>
          <w:rFonts w:hint="eastAsia" w:ascii="仿宋" w:hAnsi="仿宋" w:eastAsia="仿宋" w:cs="仿宋"/>
          <w:color w:val="auto"/>
          <w:spacing w:val="0"/>
          <w:w w:val="100"/>
          <w:sz w:val="28"/>
          <w:szCs w:val="28"/>
          <w:highlight w:val="none"/>
        </w:rPr>
        <w:t>.全屏放大，支持≥2种放大模式25.线阵探头双B图像拼接</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3</w:t>
      </w:r>
      <w:r>
        <w:rPr>
          <w:rFonts w:hint="eastAsia" w:ascii="仿宋" w:hAnsi="仿宋" w:eastAsia="仿宋" w:cs="仿宋"/>
          <w:color w:val="auto"/>
          <w:spacing w:val="0"/>
          <w:w w:val="100"/>
          <w:sz w:val="28"/>
          <w:szCs w:val="28"/>
          <w:highlight w:val="none"/>
        </w:rPr>
        <w:t>.声功率可调，实时显示MI/TI（TIB，TIC，TIS）</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4</w:t>
      </w:r>
      <w:r>
        <w:rPr>
          <w:rFonts w:hint="eastAsia" w:ascii="仿宋" w:hAnsi="仿宋" w:eastAsia="仿宋" w:cs="仿宋"/>
          <w:color w:val="auto"/>
          <w:spacing w:val="0"/>
          <w:w w:val="100"/>
          <w:sz w:val="28"/>
          <w:szCs w:val="28"/>
          <w:highlight w:val="none"/>
        </w:rPr>
        <w:t>.自动血流跟踪技术，一键实时自动优化Color/Power及PW频谱图像、Color/Power框的位置和角度、PW取样门的位置、角度和大小等。</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5</w:t>
      </w:r>
      <w:r>
        <w:rPr>
          <w:rFonts w:hint="eastAsia" w:ascii="仿宋" w:hAnsi="仿宋" w:eastAsia="仿宋" w:cs="仿宋"/>
          <w:color w:val="auto"/>
          <w:spacing w:val="0"/>
          <w:w w:val="100"/>
          <w:sz w:val="28"/>
          <w:szCs w:val="28"/>
          <w:highlight w:val="none"/>
        </w:rPr>
        <w:t>.多语言操作界面，英语，中文（包括键盘输入、注释、操作面板等）</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w:t>
      </w:r>
      <w:r>
        <w:rPr>
          <w:rFonts w:hint="eastAsia" w:ascii="仿宋" w:hAnsi="仿宋" w:eastAsia="仿宋" w:cs="仿宋"/>
          <w:color w:val="auto"/>
          <w:spacing w:val="0"/>
          <w:w w:val="100"/>
          <w:sz w:val="28"/>
          <w:szCs w:val="28"/>
          <w:highlight w:val="none"/>
          <w:lang w:val="en-US" w:eastAsia="zh-CN"/>
        </w:rPr>
        <w:t>6</w:t>
      </w:r>
      <w:r>
        <w:rPr>
          <w:rFonts w:hint="eastAsia" w:ascii="仿宋" w:hAnsi="仿宋" w:eastAsia="仿宋" w:cs="仿宋"/>
          <w:color w:val="auto"/>
          <w:spacing w:val="0"/>
          <w:w w:val="100"/>
          <w:sz w:val="28"/>
          <w:szCs w:val="28"/>
          <w:highlight w:val="none"/>
        </w:rPr>
        <w:t>.可支持血管弹性评估软件，通过射频数据计算血管直径的变化，计算脉搏波速度以评估血管弹性。</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w:t>
      </w:r>
      <w:r>
        <w:rPr>
          <w:rFonts w:hint="eastAsia" w:ascii="仿宋" w:hAnsi="仿宋" w:eastAsia="仿宋" w:cs="仿宋"/>
          <w:color w:val="auto"/>
          <w:spacing w:val="0"/>
          <w:w w:val="100"/>
          <w:sz w:val="28"/>
          <w:szCs w:val="28"/>
          <w:highlight w:val="none"/>
          <w:lang w:val="en-US" w:eastAsia="zh-CN"/>
        </w:rPr>
        <w:t>27</w:t>
      </w:r>
      <w:r>
        <w:rPr>
          <w:rFonts w:hint="eastAsia" w:ascii="仿宋" w:hAnsi="仿宋" w:eastAsia="仿宋" w:cs="仿宋"/>
          <w:color w:val="auto"/>
          <w:spacing w:val="0"/>
          <w:w w:val="100"/>
          <w:sz w:val="28"/>
          <w:szCs w:val="28"/>
          <w:highlight w:val="none"/>
        </w:rPr>
        <w:t>.可支持融合成像功能，支持凸阵、线阵探头；支持回放状态下的空间配准；支持标记功能，最多支持≥15个标记；支持呼吸补偿功能，减少因呼吸或移位而引起的匹配误差</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lang w:val="en-US" w:eastAsia="zh-CN"/>
        </w:rPr>
        <w:t>28</w:t>
      </w:r>
      <w:r>
        <w:rPr>
          <w:rFonts w:hint="eastAsia" w:ascii="仿宋" w:hAnsi="仿宋" w:eastAsia="仿宋" w:cs="仿宋"/>
          <w:color w:val="auto"/>
          <w:spacing w:val="0"/>
          <w:w w:val="100"/>
          <w:sz w:val="28"/>
          <w:szCs w:val="28"/>
          <w:highlight w:val="none"/>
        </w:rPr>
        <w:t>.可支持向量血流技术，可以通过带方向的箭头来描述血管内的血流动力学特征.</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lang w:val="en-US" w:eastAsia="zh-CN"/>
        </w:rPr>
        <w:t>29</w:t>
      </w:r>
      <w:r>
        <w:rPr>
          <w:rFonts w:hint="eastAsia" w:ascii="仿宋" w:hAnsi="仿宋" w:eastAsia="仿宋" w:cs="仿宋"/>
          <w:color w:val="auto"/>
          <w:spacing w:val="0"/>
          <w:w w:val="100"/>
          <w:sz w:val="28"/>
          <w:szCs w:val="28"/>
          <w:highlight w:val="none"/>
        </w:rPr>
        <w:t>.支持语音注释，可将语音注释信息保存到电影文件中，支持在超声设备或是在PC端回放语音注释。</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w:t>
      </w:r>
      <w:r>
        <w:rPr>
          <w:rFonts w:hint="eastAsia" w:ascii="仿宋" w:hAnsi="仿宋" w:eastAsia="仿宋" w:cs="仿宋"/>
          <w:color w:val="auto"/>
          <w:spacing w:val="0"/>
          <w:w w:val="100"/>
          <w:sz w:val="28"/>
          <w:szCs w:val="28"/>
          <w:highlight w:val="none"/>
          <w:lang w:val="en-US" w:eastAsia="zh-CN"/>
        </w:rPr>
        <w:t>0</w:t>
      </w:r>
      <w:r>
        <w:rPr>
          <w:rFonts w:hint="eastAsia" w:ascii="仿宋" w:hAnsi="仿宋" w:eastAsia="仿宋" w:cs="仿宋"/>
          <w:color w:val="auto"/>
          <w:spacing w:val="0"/>
          <w:w w:val="100"/>
          <w:sz w:val="28"/>
          <w:szCs w:val="28"/>
          <w:highlight w:val="none"/>
        </w:rPr>
        <w:t>.可支持容积造影功能，可以支持3D输卵管造影及妇科造影。34.可支持同品牌超声远程会诊系统。</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2.电影回放和数据存储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1.支持二维、彩色、造影、4D等模式的手动和自动回放，电影回放支持编辑和剪接功能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2.电影回放：≥980秒</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6"/>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3.支持向后存储和向前存储，时间长度可预置，向后存储≥5分钟的电影，对剪接和编辑的电影图像可多次存储和多次编辑；图像和电影均可以实时扫描、冻结状态下直接存储，并且具有独立的存储功能键</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4.支持同屏对比多个不同模式的动态、静态图像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5.原始数据处理，支持动、静态图像冻结后，最大可进行30项参数调节。能支持二维图像离线后进行M成像。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6.硬盘：≥900G硬盘,SSD固态硬盘≥120G</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7.多种导出图像格式：动态图像、静态图像以PC格式直接导出。导出、备份图像数据资料同时，可进行实时检查，不影响检查操作</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8"/>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8.支持多设备图像对比功能，可导入MRI,CT等影像学图片，与实时超声图片进行对比显示。</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9.支持一键传输图片到智能手机终端或PC端</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3.测量/分析和报告</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1.一般测量：距离、周长、面积、体积、角度、自动频谱测量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4"/>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2.全科测量包，自动生成报告：腹部、妇科、产科、心脏、泌尿、小器官、儿科、血管、神经等</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3.自动产科测量，要求自动测量≥4项胎儿发育评估指标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4.自动NT测量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AI盆底解决方案，通过选取特征点，即可快速建立参考线，≥2种参考线测量体系，并自动获取盆底超声检查所需的测量参数。可对肛提肌裂孔进行全自动描迹和自动测量。（提供技术白皮书及证明图片）6.可支持胎儿心脏评估软件：用于胎儿心脏发育异常产前筛查评估，支持心脏≥15个测量项目，并同时获得心脏发育评分。（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7.血管内中膜自动测量，可同时自动描记血管前、后壁的内中膜，自动生成测量数据，测量结果参数≥6项。</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8.支持血管内中膜自动实时测量,自动获取≥6组IMT内膜厚度值,并实时更新。（提供技术白皮书及证明图片）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9.小儿髋关节自动测量功能，可自动计算α角,β角，自动进行临床分型。</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10.IVF卵泡专业分析软件包，具备专业卵泡评估报告，多项IVF评估指标及发育趋线分析</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11.心功能自动测量软件,自动识别四腔心、两腔心切面，自动识别心肌边界，并进行自动描迹，无需手动选择切面和手动描记。</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▲12.可支持乳腺病灶自动分析功能，可自动识别病灶边界，自动分析病灶形态，边缘，回声类型，后方回声，钙化及血流状态。分析结果自动进入报告。</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13.可支持甲状腺病灶自动分析功能，可自动识别病灶边界，自动分析病灶形态，边缘，回声类型，后方回声，钙化及血流状态。分析结果自动进入报告。（提供技术白皮书及证明图片）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14.支持血管体位图手动编辑功能，通过手动编辑体位图，直观显示病变的位置。（提供技术白皮书及证明图片）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4.连通性要求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9"/>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1.支持网络连接，能开放DICOM3.0接口满足任何厂家PACS联网传输，并支持DICOM结构化报告；</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2.支持移动设备无线传输，一键传输图片到智能手机终端或PC端。支持手机等移动终端APP远程操作设备；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3.输入接口：音频输入，ECG信号输入</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4.输出信号：HDMI视频，S-VIDEO视频,VGA视频</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5.≥6个USB接口、DVDR/W刻录光驱、TYPEC数据接口</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5系统技术参数及要求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5.1.二维灰阶模式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1.数字化全程动态聚焦，数字化可变孔径及动态变迹，A/D≥12bit</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2.接收方式：发射、接收通道≥1024，多倍信号并行处理</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3.扫描线：每帧线密度≥510超声线</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4.预设条件：针对不同的检查脏器，预置最佳图像检查条件</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8"/>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5.复合成像技术：采用≥8条声束偏转的复合超声成像，提升图像的细节分辨率和加强边界显示，消除伪像；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6.组织特异性成像预设，针对不同脏器预设最佳声波传播速度用于计算成像，减少因成像声速值与实际声速值偏差导致图像失真</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7.声速匹配技术，可根据人体组织真实情况，一键实时自动匹配至最佳成像声速，并以具体数值（SSC值）在屏幕上显示（提供技术白皮书及证明图片）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8.探测深度:≥30cm</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9"/>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9.TGC:≥8段，LGC:≥6段</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9"/>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10.动态范围:≥</w:t>
      </w:r>
      <w:r>
        <w:rPr>
          <w:rFonts w:hint="eastAsia" w:ascii="仿宋" w:hAnsi="仿宋" w:eastAsia="仿宋" w:cs="仿宋"/>
          <w:color w:val="FF0000"/>
          <w:spacing w:val="0"/>
          <w:w w:val="100"/>
          <w:sz w:val="28"/>
          <w:szCs w:val="28"/>
          <w:highlight w:val="none"/>
          <w:lang w:val="en-US" w:eastAsia="zh-CN"/>
        </w:rPr>
        <w:t>200dB</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11.增益调节:B/M/D分别独立可调，≥100，可视可调步进≤1db</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12.伪彩图谱:≥8种</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13.最大帧率:≥900帧/秒</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14.成像速度：相控阵探头，18CM深度时,扫描角度90度，帧率≥45帧/秒凸阵探头，18CM深度时,扫描角度最大，帧率≥20帧/秒</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5.2.探头规格</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1.频率：超宽频带或变频探头，所配探头均为宽频变频探头,二维、谐波、彩色及频谱多普勒模式分别独立变频，≥3段</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2.扫描频率：凸阵探头：带宽:约1.3-6.0MHz，角度≥75°;腔内探头：带宽:约3-11MHz，角度≥165°（无扩展成像）；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线阵探头：带宽:约3-13MHz；高频线阵探头：≥22MHz；</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3.穿刺引导，凸阵、线阵、相控阵具备多角度穿刺引导功能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5.3.剪切波弹性成像（提供技术白皮书）</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1.支持探头：凸阵探头，线阵探头；</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2.支持二维实时剪切波和单点式剪切波成像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3.实时剪切波弹性成像取样框大小可调，可得到取样框内杨氏模量值等定量数据。（提供技术白皮书及证明图片）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4.实时剪切波弹性成像及二维成像双实时成像，图像布局包括上下，左右多种方式可调。</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5.同时输出以kPa和m/s为单位的组织硬度定量数据，保证临床可以</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使用硬度数据进行临床诊断和科研工作。6.支持肿块周边组织定量分析功能。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5.4.频谱多普勒模式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1.包括脉冲多普勒、高脉冲重复频率、连续多普勒</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2.显示方式：B,PW，B/PW,B/C/PW,B/CW,B/C/CW等</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3.最大速度:≥7m/s（连续多普勒速度:≥29m/s）</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6"/>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4.最小速度:≤1mm/s（非噪声信号）</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5.取样容积:1-20mm,支持所有探头</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6.偏转角度:≥±30度(线阵探头)，并支持快速角度校正</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7.零位移动：≥8级</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8.支持频谱自动测量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5.5.应变式弹性成像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1.支持探头：浅表探头、腔内探头</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2.弹性模式具有压力操作提示图标。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3.具备组织硬度定量分析软件，支持多种比值分析，柱状图分析。</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9"/>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4.具备肿块周边组织弹性定量分析功能。（提供技术白皮书及证明图片）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5.具备定量测量映射分析，即在组织图测量时弹性图同步测量。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5.6.彩色多普勒成像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1.包括速度、速度方差、能量、方向能量显示等</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2.显示方式：B/C、B/C/M、B/POWER、B/C/PW</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3.取样框偏转:≥±20度，取样框可根据探头血流方向自动调节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4.速度标识功能，标识不同血流速度边界，观察血流分布及速度梯度</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5.最大帧率:≥240帧/秒</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5.7.TDI组织多普勒成像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1.TDI成像模式：彩色速度模式图、能量模式图、频谱模式图、M型模式图</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4"/>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2.组织多普勒定量分析软件：支持运动追踪功能；同步显示≥6段心肌组织运动速度曲线图</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3.TDI曲线M型模式：同步显示心肌组织节段运动同步性、运动时相对比</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5.8.造影成像及定量分析功能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1.支持多种探头：凸阵探头、线阵探头，腔内探头，心脏探头，</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2.支持微血管造影增强功能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3.具有计时器功能</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6"/>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4.支持向后存储，≥6分钟电影；支持向前存储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5.具备混合模式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6.支持造影图像和组织图像位置互换</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7.造影定量分析：取样点可跟踪感兴趣区运动、提供TIC时间强度曲线分析、可选择原始曲线和拟合曲线、具有表格报告分析。</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5.9.可支持3D/4D成像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1.支持探头类型：腹部容积探头、腔内容积探头</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2.常规成像模式：表面模式、最大模式、最小模式、X-Ray模式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3.容积光源渲染成像，支持多种虚拟光源：平行光，点光源，聚光灯等，可支持多种光源的自由组合。</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4.断层切片成像，同屏显示≥24幅不同深度图像，断层间距0.5mm-2.0mm可调。</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5.容积厚层成像，包括任意剖面成像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6.时空关联成像（支持彩色血流STIC）</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7.彩色三维（血管三维成像，要求彩色及能量模式均可用）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8.壁龛成像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9.支持3D/4D数据离线处理，对存储的数据再调节成像再存储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4"/>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10.胎儿中枢神经系统专业筛查软件，可以通过一键自动获取≥4个颅脑标准切面及获取≥5项常用测量指标（提供技术白皮书及证明图片）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11.胎儿面部自动导航功能，可以自动的去除胎儿颜面部前面的遮挡物，使胎儿三维颜面部显示更清晰。</w:t>
      </w:r>
    </w:p>
    <w:p>
      <w:pPr>
        <w:pStyle w:val="11"/>
        <w:keepNext w:val="0"/>
        <w:keepLines w:val="0"/>
        <w:pageBreakBefore w:val="0"/>
        <w:widowControl/>
        <w:tabs>
          <w:tab w:val="left" w:pos="8554"/>
        </w:tabs>
        <w:kinsoku w:val="0"/>
        <w:wordWrap/>
        <w:overflowPunct/>
        <w:topLinePunct w:val="0"/>
        <w:autoSpaceDE w:val="0"/>
        <w:autoSpaceDN w:val="0"/>
        <w:bidi w:val="0"/>
        <w:adjustRightInd w:val="0"/>
        <w:snapToGrid w:val="0"/>
        <w:spacing w:beforeAutospacing="0" w:after="0" w:afterAutospacing="0" w:line="500" w:lineRule="exact"/>
        <w:ind w:left="0" w:leftChars="0" w:right="0" w:firstLine="24"/>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12.自动卵泡测量，一键自动分割无回声结构，以不同的颜色区分显示不同位置和大小的无回声结构。并自动测量卵泡直径、X轴长度、Y轴长度、Z轴长度、三个轴的平均值和体积。</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13.自动容积测量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14.支持三维裁剪、修复等功能，容积图像支持斑点噪声抑制</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5.10.可支持组织追踪成像单元</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1.二维模式下追踪心肌运动，支持心内膜、心外膜、心肌层三组追踪轨迹</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14"/>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2.具有组织向量图和曲线图分析，数据包括速度、位移、应变及应变率</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3.支持牛眼图显示和报告显示</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5.11.可支持StressEcho负荷成像单元</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1.支持≥11个出厂协议</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7"/>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2.支持用户自定义协议</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5"/>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3.在负荷检查下的任何阶段都可以使用ECG触发采集、显示、选择、对比、评估和存储多个心动周期电影</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4.室壁运动标准可选ASE16，ASE17评分支持心动周期任何时相下的左室容积测量</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6.外设和附件</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1.耦合剂加热器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2.腔内探头放置架，可左右互换</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二、配置要求：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1.标准配置：腹部单晶体探头1把、浅表探头1把、心脏单晶体探头1把、腔内探头1把、同品牌超声工作站1套、远程会诊系统1套、品牌电脑，打印机各1台、UPS不间断电源1套。</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2.另配：</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6"/>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1）计算机1套、技术要求：CPU10代i5以上，内存≥四代8G，固态≥256G一块，显卡：带HDMI接口，显存1G，显示器≥24寸，带正版操作系统。</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4"/>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2）彩色打印机1套、技术要求：品牌彩色打印机，具备打印、复印、扫描三合一功能，具备自动双面、无线连接、快速打印功能，自带墨水一套，具有图标式显示屏，自带A4打印纸一件。</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3）耦合剂2件、不锈钢按摩床1张</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要求：</w:t>
      </w:r>
    </w:p>
    <w:p>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beforeAutospacing="0" w:after="0" w:afterAutospacing="0" w:line="500" w:lineRule="exact"/>
        <w:ind w:left="0" w:leftChars="0" w:right="0" w:firstLine="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规格：≥1900×620×650mm。</w:t>
      </w:r>
    </w:p>
    <w:p>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beforeAutospacing="0" w:after="0" w:afterAutospacing="0" w:line="500" w:lineRule="exact"/>
        <w:ind w:left="0" w:leftChars="0" w:right="0" w:firstLine="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床边采用25×50优质不锈钢钢矩管壁厚度≥1.5mm，床脚采用38*38优质不锈钢钢方管，壁厚度≥1.5mm；抬条采用15×30优质不锈钢钢矩管壁厚度≥1.5mm焊接成型。</w:t>
      </w:r>
    </w:p>
    <w:p>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beforeAutospacing="0" w:after="0" w:afterAutospacing="0" w:line="500" w:lineRule="exact"/>
        <w:ind w:left="0" w:leftChars="0" w:right="0" w:firstLine="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床面由优质皮革和3公分高密度海绵1.5公分多层实木板组成。</w:t>
      </w:r>
    </w:p>
    <w:p>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beforeAutospacing="0" w:after="0" w:afterAutospacing="0" w:line="500" w:lineRule="exact"/>
        <w:ind w:left="0" w:leftChars="0" w:right="0" w:firstLine="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床称重≥250G。</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另配需满足医院临床使用需求。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三、质保及售后服务要求：</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12"/>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1.质保期:自验收合格之日起计保修期，提供整机（含标配探头）原厂保修服务≥3年，承担保修期内设备任何故障产生的费用。</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4"/>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2.免费提供操作人员培训和技术服务，提供完善的设备培训方案，现场做专业技术培训，以保证使用老师完全掌握基本操作与维护。</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firstLine="4"/>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3.保修期内每季度定期由专业工程师对设备进行巡检。</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3"/>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★4.软件提供与医院现有信息系统对接的标准数据接口，满足医院的信息化建设需要，所有接口费由中标单位承担。</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5.出现故障30分钟内响应，如需现场解决的问题4小时内到达。</w:t>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00" w:lineRule="exact"/>
        <w:ind w:left="0" w:leftChars="0" w:right="0" w:hanging="4"/>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6.为方便安装、维护、培训，有完善的售后服务。7.须提供第三方检测报告。</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center"/>
        <w:textAlignment w:val="auto"/>
        <w:outlineLvl w:val="9"/>
        <w:rPr>
          <w:rFonts w:hint="eastAsia" w:ascii="仿宋" w:hAnsi="仿宋" w:eastAsia="仿宋" w:cs="仿宋"/>
          <w:b w:val="0"/>
          <w:bCs/>
          <w:color w:val="000000" w:themeColor="text1"/>
          <w:sz w:val="44"/>
          <w:szCs w:val="44"/>
          <w:highlight w:val="none"/>
          <w14:textFill>
            <w14:solidFill>
              <w14:schemeClr w14:val="tx1"/>
            </w14:solidFill>
          </w14:textFill>
        </w:rPr>
      </w:pPr>
      <w:r>
        <w:rPr>
          <w:rFonts w:hint="eastAsia" w:ascii="仿宋" w:hAnsi="仿宋" w:eastAsia="仿宋" w:cs="仿宋"/>
          <w:b w:val="0"/>
          <w:bCs/>
          <w:color w:val="000000" w:themeColor="text1"/>
          <w:sz w:val="44"/>
          <w:szCs w:val="44"/>
          <w:highlight w:val="none"/>
          <w14:textFill>
            <w14:solidFill>
              <w14:schemeClr w14:val="tx1"/>
            </w14:solidFill>
          </w14:textFill>
        </w:rPr>
        <w:t>便携式彩色多普勒超声诊断仪</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14:textFill>
            <w14:solidFill>
              <w14:schemeClr w14:val="tx1"/>
            </w14:solidFill>
          </w14:textFill>
        </w:rPr>
        <w:t>一、规格参数要求：</w:t>
      </w:r>
    </w:p>
    <w:p>
      <w:pPr>
        <w:pageBreakBefore w:val="0"/>
        <w:widowControl w:val="0"/>
        <w:numPr>
          <w:ilvl w:val="0"/>
          <w:numId w:val="12"/>
        </w:numPr>
        <w:shd w:val="clear" w:fill="FFFFFF" w:themeFill="background1"/>
        <w:kinsoku/>
        <w:wordWrap/>
        <w:overflowPunct/>
        <w:topLinePunct w:val="0"/>
        <w:autoSpaceDE/>
        <w:autoSpaceDN/>
        <w:bidi w:val="0"/>
        <w:adjustRightInd/>
        <w:snapToGrid/>
        <w:spacing w:line="540" w:lineRule="exact"/>
        <w:ind w:left="0" w:leftChars="0" w:firstLine="42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ageBreakBefore w:val="0"/>
        <w:widowControl w:val="0"/>
        <w:numPr>
          <w:ilvl w:val="0"/>
          <w:numId w:val="12"/>
        </w:numPr>
        <w:shd w:val="clear" w:fill="FFFFFF" w:themeFill="background1"/>
        <w:kinsoku/>
        <w:wordWrap/>
        <w:overflowPunct/>
        <w:topLinePunct w:val="0"/>
        <w:autoSpaceDE/>
        <w:autoSpaceDN/>
        <w:bidi w:val="0"/>
        <w:adjustRightInd/>
        <w:snapToGrid/>
        <w:spacing w:line="540" w:lineRule="exact"/>
        <w:ind w:left="0" w:leftChars="0" w:firstLine="42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ageBreakBefore w:val="0"/>
        <w:widowControl w:val="0"/>
        <w:numPr>
          <w:ilvl w:val="0"/>
          <w:numId w:val="12"/>
        </w:numPr>
        <w:shd w:val="clear" w:fill="FFFFFF" w:themeFill="background1"/>
        <w:kinsoku/>
        <w:wordWrap/>
        <w:overflowPunct/>
        <w:topLinePunct w:val="0"/>
        <w:autoSpaceDE/>
        <w:autoSpaceDN/>
        <w:bidi w:val="0"/>
        <w:adjustRightInd/>
        <w:snapToGrid/>
        <w:spacing w:line="540" w:lineRule="exact"/>
        <w:ind w:left="0" w:leftChars="0" w:firstLine="42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ageBreakBefore w:val="0"/>
        <w:widowControl w:val="0"/>
        <w:numPr>
          <w:ilvl w:val="0"/>
          <w:numId w:val="12"/>
        </w:numPr>
        <w:shd w:val="clear" w:fill="FFFFFF" w:themeFill="background1"/>
        <w:kinsoku/>
        <w:wordWrap/>
        <w:overflowPunct/>
        <w:topLinePunct w:val="0"/>
        <w:autoSpaceDE/>
        <w:autoSpaceDN/>
        <w:bidi w:val="0"/>
        <w:adjustRightInd/>
        <w:snapToGrid/>
        <w:spacing w:line="540" w:lineRule="exact"/>
        <w:ind w:left="0" w:leftChars="0" w:firstLine="42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14:textFill>
            <w14:solidFill>
              <w14:schemeClr w14:val="tx1"/>
            </w14:solidFill>
          </w14:textFill>
        </w:rPr>
        <w:t>系统通用功能</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≥15英寸高分辨率LED显示器，可根据环境光变化自动调节亮度，可独立主机调节，</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both"/>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触摸屏≥1</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英寸</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t>电量显示屏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t>操作面板具备物理按键与触摸按键</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14:textFill>
            <w14:solidFill>
              <w14:schemeClr w14:val="tx1"/>
            </w14:solidFill>
          </w14:textFill>
        </w:rPr>
        <w:t>探头接口1个，可扩展</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3个</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r>
        <w:rPr>
          <w:rFonts w:hint="eastAsia" w:ascii="仿宋" w:hAnsi="仿宋" w:eastAsia="仿宋" w:cs="仿宋"/>
          <w:color w:val="000000" w:themeColor="text1"/>
          <w:sz w:val="28"/>
          <w:szCs w:val="28"/>
          <w:highlight w:val="none"/>
          <w14:textFill>
            <w14:solidFill>
              <w14:schemeClr w14:val="tx1"/>
            </w14:solidFill>
          </w14:textFill>
        </w:rPr>
        <w:t>搭载极速处理硬件架构，突破了传统超声波束合成在成像空间分辨力和时间分辨力的技术限制，拥有更快的成像速度，更高分辨力的整场图像，提高了组织均匀性，为用户带来更精准的影像诊断。</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t>整机</w:t>
      </w:r>
      <w:r>
        <w:rPr>
          <w:rFonts w:hint="eastAsia" w:ascii="仿宋" w:hAnsi="仿宋" w:eastAsia="仿宋" w:cs="仿宋"/>
          <w:color w:val="auto"/>
          <w:sz w:val="28"/>
          <w:szCs w:val="28"/>
          <w:highlight w:val="none"/>
        </w:rPr>
        <w:t>重量</w:t>
      </w:r>
      <w:r>
        <w:rPr>
          <w:rFonts w:hint="eastAsia" w:ascii="仿宋" w:hAnsi="仿宋" w:eastAsia="仿宋" w:cs="仿宋"/>
          <w:color w:val="auto"/>
          <w:sz w:val="28"/>
          <w:szCs w:val="28"/>
          <w:highlight w:val="none"/>
          <w:lang w:val="en-US" w:eastAsia="zh-CN"/>
        </w:rPr>
        <w:t>2.5-4kg含电池</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1.8</w:t>
      </w:r>
      <w:r>
        <w:rPr>
          <w:rFonts w:hint="eastAsia" w:ascii="仿宋" w:hAnsi="仿宋" w:eastAsia="仿宋" w:cs="仿宋"/>
          <w:color w:val="000000" w:themeColor="text1"/>
          <w:sz w:val="28"/>
          <w:szCs w:val="28"/>
          <w:highlight w:val="none"/>
          <w14:textFill>
            <w14:solidFill>
              <w14:schemeClr w14:val="tx1"/>
            </w14:solidFill>
          </w14:textFill>
        </w:rPr>
        <w:t>可支持造影灌注时间≥360秒</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color w:val="000000" w:themeColor="text1"/>
          <w:sz w:val="28"/>
          <w:szCs w:val="28"/>
          <w:highlight w:val="none"/>
          <w14:textFill>
            <w14:solidFill>
              <w14:schemeClr w14:val="tx1"/>
            </w14:solidFill>
          </w14:textFill>
        </w:rPr>
        <w:t>支持英语，中文，法语等语种（包括键盘输入、注释、操作面板等）</w:t>
      </w: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二维灰阶模式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t>组织谐波成像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t>组织特异性成像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2.3</w:t>
      </w:r>
      <w:r>
        <w:rPr>
          <w:rFonts w:hint="eastAsia" w:ascii="仿宋" w:hAnsi="仿宋" w:eastAsia="仿宋" w:cs="仿宋"/>
          <w:color w:val="000000" w:themeColor="text1"/>
          <w:sz w:val="28"/>
          <w:szCs w:val="28"/>
          <w:highlight w:val="none"/>
          <w14:textFill>
            <w14:solidFill>
              <w14:schemeClr w14:val="tx1"/>
            </w14:solidFill>
          </w14:textFill>
        </w:rPr>
        <w:t>多角度空间复合成像技术，支持≥3条偏转线，多级可调，支持线阵和凸阵探头</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t>频率复合成像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t>斑点噪声抑制成像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2.6</w:t>
      </w:r>
      <w:r>
        <w:rPr>
          <w:rFonts w:hint="eastAsia" w:ascii="仿宋" w:hAnsi="仿宋" w:eastAsia="仿宋" w:cs="仿宋"/>
          <w:color w:val="000000" w:themeColor="text1"/>
          <w:sz w:val="28"/>
          <w:szCs w:val="28"/>
          <w:highlight w:val="none"/>
          <w14:textFill>
            <w14:solidFill>
              <w14:schemeClr w14:val="tx1"/>
            </w14:solidFill>
          </w14:textFill>
        </w:rPr>
        <w:t>回波增强技术</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2.7</w:t>
      </w:r>
      <w:r>
        <w:rPr>
          <w:rFonts w:hint="eastAsia" w:ascii="仿宋" w:hAnsi="仿宋" w:eastAsia="仿宋" w:cs="仿宋"/>
          <w:color w:val="000000" w:themeColor="text1"/>
          <w:sz w:val="28"/>
          <w:szCs w:val="28"/>
          <w:highlight w:val="none"/>
          <w14:textFill>
            <w14:solidFill>
              <w14:schemeClr w14:val="tx1"/>
            </w14:solidFill>
          </w14:textFill>
        </w:rPr>
        <w:t>局部图像增强技术</w:t>
      </w: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M型成像模式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2.8</w:t>
      </w:r>
      <w:r>
        <w:rPr>
          <w:rFonts w:hint="eastAsia" w:ascii="仿宋" w:hAnsi="仿宋" w:eastAsia="仿宋" w:cs="仿宋"/>
          <w:color w:val="000000" w:themeColor="text1"/>
          <w:sz w:val="28"/>
          <w:szCs w:val="28"/>
          <w:highlight w:val="none"/>
          <w14:textFill>
            <w14:solidFill>
              <w14:schemeClr w14:val="tx1"/>
            </w14:solidFill>
          </w14:textFill>
        </w:rPr>
        <w:t>彩色M型</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2.9</w:t>
      </w:r>
      <w:r>
        <w:rPr>
          <w:rFonts w:hint="eastAsia" w:ascii="仿宋" w:hAnsi="仿宋" w:eastAsia="仿宋" w:cs="仿宋"/>
          <w:color w:val="000000" w:themeColor="text1"/>
          <w:sz w:val="28"/>
          <w:szCs w:val="28"/>
          <w:highlight w:val="none"/>
          <w14:textFill>
            <w14:solidFill>
              <w14:schemeClr w14:val="tx1"/>
            </w14:solidFill>
          </w14:textFill>
        </w:rPr>
        <w:t>解剖M型，取样线≥2条，可360度任意旋转</w:t>
      </w: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彩色多普勒成像（包括彩色、能量、方向能量多普勒模式）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14:textFill>
            <w14:solidFill>
              <w14:schemeClr w14:val="tx1"/>
            </w14:solidFill>
          </w14:textFill>
        </w:rPr>
        <w:t>高分辨率血流成像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3.1</w:t>
      </w:r>
      <w:r>
        <w:rPr>
          <w:rFonts w:hint="eastAsia" w:ascii="仿宋" w:hAnsi="仿宋" w:eastAsia="仿宋" w:cs="仿宋"/>
          <w:color w:val="000000" w:themeColor="text1"/>
          <w:sz w:val="28"/>
          <w:szCs w:val="28"/>
          <w:highlight w:val="none"/>
          <w14:textFill>
            <w14:solidFill>
              <w14:schemeClr w14:val="tx1"/>
            </w14:solidFill>
          </w14:textFill>
        </w:rPr>
        <w:t>双实时同屏对比显示</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3.2</w:t>
      </w:r>
      <w:r>
        <w:rPr>
          <w:rFonts w:hint="eastAsia" w:ascii="仿宋" w:hAnsi="仿宋" w:eastAsia="仿宋" w:cs="仿宋"/>
          <w:color w:val="000000" w:themeColor="text1"/>
          <w:sz w:val="28"/>
          <w:szCs w:val="28"/>
          <w:highlight w:val="none"/>
          <w14:textFill>
            <w14:solidFill>
              <w14:schemeClr w14:val="tx1"/>
            </w14:solidFill>
          </w14:textFill>
        </w:rPr>
        <w:t>自动调节取样框的角度及位置</w:t>
      </w: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频谱多普勒成像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t>脉冲多普勒、高脉冲重复频率</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w:t>
      </w:r>
      <w:r>
        <w:rPr>
          <w:rFonts w:hint="eastAsia" w:ascii="仿宋" w:hAnsi="仿宋" w:eastAsia="仿宋" w:cs="仿宋"/>
          <w:color w:val="000000" w:themeColor="text1"/>
          <w:sz w:val="28"/>
          <w:szCs w:val="28"/>
          <w:highlight w:val="none"/>
          <w14:textFill>
            <w14:solidFill>
              <w14:schemeClr w14:val="tx1"/>
            </w14:solidFill>
          </w14:textFill>
        </w:rPr>
        <w:t>连续多普勒</w:t>
      </w: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3"/>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一键自动优化（包括应用于二维、彩色、频谱模式、TDI及造影）</w:t>
      </w: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图像放大技术</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w:t>
      </w:r>
      <w:r>
        <w:rPr>
          <w:rFonts w:hint="eastAsia" w:ascii="仿宋" w:hAnsi="仿宋" w:eastAsia="仿宋" w:cs="仿宋"/>
          <w:color w:val="000000" w:themeColor="text1"/>
          <w:sz w:val="28"/>
          <w:szCs w:val="28"/>
          <w:highlight w:val="none"/>
          <w14:textFill>
            <w14:solidFill>
              <w14:schemeClr w14:val="tx1"/>
            </w14:solidFill>
          </w14:textFill>
        </w:rPr>
        <w:t>一键实现全屏放大</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6.2  </w:t>
      </w:r>
      <w:r>
        <w:rPr>
          <w:rFonts w:hint="eastAsia" w:ascii="仿宋" w:hAnsi="仿宋" w:eastAsia="仿宋" w:cs="仿宋"/>
          <w:color w:val="000000" w:themeColor="text1"/>
          <w:sz w:val="28"/>
          <w:szCs w:val="28"/>
          <w:highlight w:val="none"/>
          <w14:textFill>
            <w14:solidFill>
              <w14:schemeClr w14:val="tx1"/>
            </w14:solidFill>
          </w14:textFill>
        </w:rPr>
        <w:t>10倍局部放大（支持前端、后端放大）</w:t>
      </w:r>
    </w:p>
    <w:p>
      <w:pPr>
        <w:pStyle w:val="119"/>
        <w:pageBreakBefore w:val="0"/>
        <w:widowControl w:val="0"/>
        <w:numPr>
          <w:ilvl w:val="0"/>
          <w:numId w:val="1"/>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超声教学助手</w:t>
      </w:r>
    </w:p>
    <w:p>
      <w:pPr>
        <w:pStyle w:val="119"/>
        <w:pageBreakBefore w:val="0"/>
        <w:widowControl w:val="0"/>
        <w:numPr>
          <w:ilvl w:val="0"/>
          <w:numId w:val="0"/>
        </w:numPr>
        <w:shd w:val="clear" w:fill="FFFFFF" w:themeFill="background1"/>
        <w:tabs>
          <w:tab w:val="left" w:pos="426"/>
        </w:tabs>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 xml:space="preserve"> 测量分析和报告</w:t>
      </w:r>
    </w:p>
    <w:p>
      <w:pPr>
        <w:pStyle w:val="119"/>
        <w:pageBreakBefore w:val="0"/>
        <w:widowControl w:val="0"/>
        <w:numPr>
          <w:ilvl w:val="0"/>
          <w:numId w:val="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常规测量软件包</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多普勒测量（自动或手动包络测量，自动计算测量参数）</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妇科/产科专用测量软件包</w:t>
      </w:r>
    </w:p>
    <w:p>
      <w:pPr>
        <w:pStyle w:val="119"/>
        <w:pageBreakBefore w:val="0"/>
        <w:widowControl w:val="0"/>
        <w:numPr>
          <w:ilvl w:val="0"/>
          <w:numId w:val="14"/>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4"/>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4"/>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心脏功能专用测量软件包</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实时内中膜自动测量技术：自动计算出≥6项测量参数</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射血分数自动测量</w:t>
      </w:r>
    </w:p>
    <w:p>
      <w:pPr>
        <w:pStyle w:val="119"/>
        <w:pageBreakBefore w:val="0"/>
        <w:widowControl w:val="0"/>
        <w:numPr>
          <w:ilvl w:val="0"/>
          <w:numId w:val="0"/>
        </w:numPr>
        <w:shd w:val="clear" w:fill="FFFFFF" w:themeFill="background1"/>
        <w:tabs>
          <w:tab w:val="left" w:pos="407"/>
        </w:tabs>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▲8.自适应高级成像技术，提升图像局部病灶的细节信息及组织边界的对比度，提升诊断信心</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穿刺针增强显示，要求具有双屏实时对比显示，增强前后效果，可根据进针角度自动进行增强角度调节</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图像存储与(电影)回放重现单元：支持同步存储(支持单帧图像文件包含： DCM、TIFF、BMP、JEPG单帧，电影文件包括：CIN、AVI、DCM)，即后台存储或导出图像数据的同时前台可以完成实时扫描。直接一键存储至硬盘，无需格式转换；支持网格硬盘直接存储；突然关机或未结束检查关机资料不丢失。</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彩色多普勒血流速度定点测量（要求支持一幅画面有≥3个测点以上，并具有深度显示）</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血管内中膜自动描记，可同时进行血管前、后壁的内中膜一段距离的自动描记、自动生成测量数据结果，测量结果参数至少包括最大值、最小值、平均值、SD及质量指标</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t>可支持组织多普勒成像，要求支持≥3种模式</w:t>
      </w:r>
    </w:p>
    <w:p>
      <w:pPr>
        <w:pStyle w:val="119"/>
        <w:pageBreakBefore w:val="0"/>
        <w:widowControl w:val="0"/>
        <w:numPr>
          <w:ilvl w:val="0"/>
          <w:numId w:val="10"/>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0"/>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0"/>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0"/>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0"/>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0"/>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8"/>
        </w:numPr>
        <w:shd w:val="clear" w:fill="FFFFFF" w:themeFill="background1"/>
        <w:tabs>
          <w:tab w:val="left" w:pos="426"/>
        </w:tabs>
        <w:kinsoku/>
        <w:wordWrap/>
        <w:overflowPunct/>
        <w:topLinePunct w:val="0"/>
        <w:autoSpaceDE/>
        <w:autoSpaceDN/>
        <w:bidi w:val="0"/>
        <w:adjustRightInd/>
        <w:snapToGrid/>
        <w:spacing w:line="540" w:lineRule="exact"/>
        <w:ind w:left="0" w:leftChars="0" w:firstLine="0" w:firstLine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电影回放及原始数据处理</w:t>
      </w:r>
    </w:p>
    <w:p>
      <w:pPr>
        <w:pStyle w:val="119"/>
        <w:pageBreakBefore w:val="0"/>
        <w:widowControl w:val="0"/>
        <w:numPr>
          <w:ilvl w:val="0"/>
          <w:numId w:val="0"/>
        </w:numPr>
        <w:shd w:val="clear" w:fill="FFFFFF" w:themeFill="background1"/>
        <w:tabs>
          <w:tab w:val="left" w:pos="426"/>
        </w:tabs>
        <w:kinsoku/>
        <w:wordWrap/>
        <w:overflowPunct/>
        <w:topLinePunct w:val="0"/>
        <w:autoSpaceDE/>
        <w:autoSpaceDN/>
        <w:bidi w:val="0"/>
        <w:adjustRightInd/>
        <w:snapToGrid/>
        <w:spacing w:line="540" w:lineRule="exact"/>
        <w:ind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8.1</w:t>
      </w:r>
      <w:r>
        <w:rPr>
          <w:rFonts w:hint="eastAsia" w:ascii="仿宋" w:hAnsi="仿宋" w:eastAsia="仿宋" w:cs="仿宋"/>
          <w:color w:val="000000" w:themeColor="text1"/>
          <w:sz w:val="28"/>
          <w:szCs w:val="28"/>
          <w:highlight w:val="none"/>
          <w14:textFill>
            <w14:solidFill>
              <w14:schemeClr w14:val="tx1"/>
            </w14:solidFill>
          </w14:textFill>
        </w:rPr>
        <w:t>电影回放</w:t>
      </w:r>
    </w:p>
    <w:p>
      <w:pPr>
        <w:pStyle w:val="119"/>
        <w:pageBreakBefore w:val="0"/>
        <w:widowControl w:val="0"/>
        <w:numPr>
          <w:ilvl w:val="1"/>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8.2</w:t>
      </w:r>
      <w:r>
        <w:rPr>
          <w:rFonts w:hint="eastAsia" w:ascii="仿宋" w:hAnsi="仿宋" w:eastAsia="仿宋" w:cs="仿宋"/>
          <w:color w:val="000000" w:themeColor="text1"/>
          <w:sz w:val="28"/>
          <w:szCs w:val="28"/>
          <w:highlight w:val="none"/>
          <w14:textFill>
            <w14:solidFill>
              <w14:schemeClr w14:val="tx1"/>
            </w14:solidFill>
          </w14:textFill>
        </w:rPr>
        <w:t>所有模式下支持手动、自动回放</w:t>
      </w:r>
    </w:p>
    <w:p>
      <w:pPr>
        <w:pStyle w:val="119"/>
        <w:pageBreakBefore w:val="0"/>
        <w:widowControl w:val="0"/>
        <w:numPr>
          <w:ilvl w:val="1"/>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8.3</w:t>
      </w:r>
      <w:r>
        <w:rPr>
          <w:rFonts w:hint="eastAsia" w:ascii="仿宋" w:hAnsi="仿宋" w:eastAsia="仿宋" w:cs="仿宋"/>
          <w:color w:val="000000" w:themeColor="text1"/>
          <w:sz w:val="28"/>
          <w:szCs w:val="28"/>
          <w:highlight w:val="none"/>
          <w14:textFill>
            <w14:solidFill>
              <w14:schemeClr w14:val="tx1"/>
            </w14:solidFill>
          </w14:textFill>
        </w:rPr>
        <w:t>支持向后存储和向前存储，时间长度可预置，向后存储≥8分钟的电影</w:t>
      </w:r>
    </w:p>
    <w:p>
      <w:pPr>
        <w:pStyle w:val="119"/>
        <w:pageBreakBefore w:val="0"/>
        <w:widowControl w:val="0"/>
        <w:numPr>
          <w:ilvl w:val="1"/>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8.4</w:t>
      </w:r>
      <w:r>
        <w:rPr>
          <w:rFonts w:hint="eastAsia" w:ascii="仿宋" w:hAnsi="仿宋" w:eastAsia="仿宋" w:cs="仿宋"/>
          <w:color w:val="000000" w:themeColor="text1"/>
          <w:sz w:val="28"/>
          <w:szCs w:val="28"/>
          <w:highlight w:val="none"/>
          <w14:textFill>
            <w14:solidFill>
              <w14:schemeClr w14:val="tx1"/>
            </w14:solidFill>
          </w14:textFill>
        </w:rPr>
        <w:t>支持保存后的图像同屏对比分析（动态、静态）</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8.5</w:t>
      </w:r>
      <w:r>
        <w:rPr>
          <w:rFonts w:hint="eastAsia" w:ascii="仿宋" w:hAnsi="仿宋" w:eastAsia="仿宋" w:cs="仿宋"/>
          <w:color w:val="000000" w:themeColor="text1"/>
          <w:sz w:val="28"/>
          <w:szCs w:val="28"/>
          <w:highlight w:val="none"/>
          <w14:textFill>
            <w14:solidFill>
              <w14:schemeClr w14:val="tx1"/>
            </w14:solidFill>
          </w14:textFill>
        </w:rPr>
        <w:t>原始数据处理，可对回放图像进行≥35个参数调节</w:t>
      </w:r>
    </w:p>
    <w:p>
      <w:pPr>
        <w:pStyle w:val="119"/>
        <w:pageBreakBefore w:val="0"/>
        <w:widowControl w:val="0"/>
        <w:numPr>
          <w:ilvl w:val="0"/>
          <w:numId w:val="0"/>
        </w:numPr>
        <w:shd w:val="clear" w:fill="FFFFFF" w:themeFill="background1"/>
        <w:tabs>
          <w:tab w:val="left" w:pos="426"/>
        </w:tabs>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sz w:val="28"/>
          <w:szCs w:val="28"/>
          <w:highlight w:val="none"/>
          <w14:textFill>
            <w14:solidFill>
              <w14:schemeClr w14:val="tx1"/>
            </w14:solidFill>
          </w14:textFill>
        </w:rPr>
        <w:t>信息管理与存储</w:t>
      </w:r>
    </w:p>
    <w:p>
      <w:pPr>
        <w:pStyle w:val="119"/>
        <w:pageBreakBefore w:val="0"/>
        <w:widowControl w:val="0"/>
        <w:numPr>
          <w:ilvl w:val="0"/>
          <w:numId w:val="1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128G固态硬盘</w:t>
      </w:r>
    </w:p>
    <w:p>
      <w:pPr>
        <w:pStyle w:val="119"/>
        <w:pageBreakBefore w:val="0"/>
        <w:widowControl w:val="0"/>
        <w:numPr>
          <w:ilvl w:val="0"/>
          <w:numId w:val="1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内置超声工作站，支持同步存储，即后台存储或导出图像数据的同时前台可以完成实时扫描，不影响检查操作</w:t>
      </w:r>
    </w:p>
    <w:p>
      <w:pPr>
        <w:pStyle w:val="119"/>
        <w:pageBreakBefore w:val="0"/>
        <w:widowControl w:val="0"/>
        <w:numPr>
          <w:ilvl w:val="0"/>
          <w:numId w:val="1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支持直接一键存储至硬盘或U盘，突然关机或未结束检查关机资料不丢失</w:t>
      </w:r>
    </w:p>
    <w:p>
      <w:pPr>
        <w:pStyle w:val="119"/>
        <w:pageBreakBefore w:val="0"/>
        <w:widowControl w:val="0"/>
        <w:numPr>
          <w:ilvl w:val="0"/>
          <w:numId w:val="1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动态图像、静态图像以PC格式直接导出（支持单帧图像文件包含： DCM、TIFF、BMP、JPG单帧，电影文件包括：CIN、AVI、DCM、MP4），无需特殊软件即能在普通PC 机上直接观看图像。</w:t>
      </w:r>
    </w:p>
    <w:p>
      <w:pPr>
        <w:pStyle w:val="119"/>
        <w:pageBreakBefore w:val="0"/>
        <w:widowControl w:val="0"/>
        <w:numPr>
          <w:ilvl w:val="0"/>
          <w:numId w:val="1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支持主机一键将动态和静态图像快速传输至手机和电脑，并可对接收到的图像能够通过微信分享，添加标签、评论，便于会诊、交流</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420" w:leftChars="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b/>
          <w:bCs/>
          <w:color w:val="000000" w:themeColor="text1"/>
          <w:sz w:val="28"/>
          <w:szCs w:val="28"/>
          <w:highlight w:val="none"/>
          <w14:textFill>
            <w14:solidFill>
              <w14:schemeClr w14:val="tx1"/>
            </w14:solidFill>
          </w14:textFill>
        </w:rPr>
        <w:t>连通性</w:t>
      </w:r>
    </w:p>
    <w:p>
      <w:pPr>
        <w:pStyle w:val="119"/>
        <w:pageBreakBefore w:val="0"/>
        <w:widowControl w:val="0"/>
        <w:numPr>
          <w:ilvl w:val="0"/>
          <w:numId w:val="5"/>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p>
    <w:p>
      <w:pPr>
        <w:pStyle w:val="119"/>
        <w:pageBreakBefore w:val="0"/>
        <w:widowControl w:val="0"/>
        <w:numPr>
          <w:ilvl w:val="0"/>
          <w:numId w:val="16"/>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HDMI、USB3.0接口、网络接口</w:t>
      </w:r>
    </w:p>
    <w:p>
      <w:pPr>
        <w:pStyle w:val="119"/>
        <w:pageBreakBefore w:val="0"/>
        <w:widowControl w:val="0"/>
        <w:numPr>
          <w:ilvl w:val="0"/>
          <w:numId w:val="16"/>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支持数据无线传输</w:t>
      </w:r>
    </w:p>
    <w:p>
      <w:pPr>
        <w:pStyle w:val="119"/>
        <w:pageBreakBefore w:val="0"/>
        <w:widowControl w:val="0"/>
        <w:numPr>
          <w:ilvl w:val="0"/>
          <w:numId w:val="16"/>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DICOM3.0系统</w:t>
      </w:r>
    </w:p>
    <w:p>
      <w:pPr>
        <w:pStyle w:val="119"/>
        <w:pageBreakBefore w:val="0"/>
        <w:widowControl w:val="0"/>
        <w:numPr>
          <w:ilvl w:val="0"/>
          <w:numId w:val="16"/>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多功能台车：可拆卸的储物篮，电源缆线专用放置架，防撞支架</w:t>
      </w:r>
    </w:p>
    <w:p>
      <w:pPr>
        <w:pStyle w:val="119"/>
        <w:pageBreakBefore w:val="0"/>
        <w:widowControl w:val="0"/>
        <w:numPr>
          <w:ilvl w:val="0"/>
          <w:numId w:val="16"/>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专用旅行箱，可装载主机、探头及相关备件</w:t>
      </w:r>
    </w:p>
    <w:p>
      <w:pPr>
        <w:pStyle w:val="119"/>
        <w:pageBreakBefore w:val="0"/>
        <w:widowControl w:val="0"/>
        <w:numPr>
          <w:ilvl w:val="0"/>
          <w:numId w:val="16"/>
        </w:numPr>
        <w:shd w:val="clear" w:fill="FFFFFF" w:themeFill="background1"/>
        <w:kinsoku/>
        <w:wordWrap/>
        <w:overflowPunct/>
        <w:topLinePunct w:val="0"/>
        <w:autoSpaceDE/>
        <w:autoSpaceDN/>
        <w:bidi w:val="0"/>
        <w:adjustRightInd/>
        <w:snapToGrid/>
        <w:spacing w:line="540" w:lineRule="exact"/>
        <w:ind w:left="0" w:leftChars="0" w:firstLine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国标220V电源线，采用磁性电源插头，避免意外损坏</w:t>
      </w:r>
    </w:p>
    <w:p>
      <w:pPr>
        <w:pStyle w:val="119"/>
        <w:pageBreakBefore w:val="0"/>
        <w:widowControl w:val="0"/>
        <w:numPr>
          <w:ilvl w:val="0"/>
          <w:numId w:val="0"/>
        </w:numPr>
        <w:shd w:val="clear" w:fill="FFFFFF" w:themeFill="background1"/>
        <w:kinsoku/>
        <w:wordWrap/>
        <w:overflowPunct/>
        <w:topLinePunct w:val="0"/>
        <w:autoSpaceDE/>
        <w:autoSpaceDN/>
        <w:bidi w:val="0"/>
        <w:adjustRightInd/>
        <w:snapToGrid/>
        <w:spacing w:line="540" w:lineRule="exact"/>
        <w:ind w:left="-720" w:leftChars="0"/>
        <w:jc w:val="lef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十一.</w:t>
      </w:r>
      <w:r>
        <w:rPr>
          <w:rFonts w:hint="eastAsia" w:ascii="仿宋" w:hAnsi="仿宋" w:eastAsia="仿宋" w:cs="仿宋"/>
          <w:b/>
          <w:color w:val="000000" w:themeColor="text1"/>
          <w:sz w:val="28"/>
          <w:szCs w:val="28"/>
          <w:highlight w:val="none"/>
          <w14:textFill>
            <w14:solidFill>
              <w14:schemeClr w14:val="tx1"/>
            </w14:solidFill>
          </w14:textFill>
        </w:rPr>
        <w:t>配置要求：</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1.全套配置，标配主机1台、台车1个、凸阵探头1把，线阵探头1把，心脏探头1把、探头扩展器1个、同品牌工作站1套。</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2.另配：</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1）计算机1套、技术要求：CPU10代i5以上，内存≥四代8G，固态≥256G一块，显卡：带HDMI接口，显存1G，显示器≥24寸，带正版操作系统。</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2）彩色打印机1套、技术要求：品牌彩色打印机，具备打印、复印、扫描三合一功能，具备自动双面、无线连接、快速打印功能，自带墨水一套，具有图标式显示屏，自带A4打印纸一</w:t>
      </w:r>
      <w:r>
        <w:rPr>
          <w:rFonts w:hint="eastAsia" w:ascii="仿宋" w:hAnsi="仿宋" w:eastAsia="仿宋" w:cs="仿宋"/>
          <w:color w:val="000000" w:themeColor="text1"/>
          <w:sz w:val="28"/>
          <w:szCs w:val="28"/>
          <w:highlight w:val="none"/>
          <w:lang w:val="en-US" w:eastAsia="zh-CN"/>
          <w14:textFill>
            <w14:solidFill>
              <w14:schemeClr w14:val="tx1"/>
            </w14:solidFill>
          </w14:textFill>
        </w:rPr>
        <w:t>件</w:t>
      </w:r>
      <w:r>
        <w:rPr>
          <w:rFonts w:hint="eastAsia" w:ascii="仿宋" w:hAnsi="仿宋" w:eastAsia="仿宋" w:cs="仿宋"/>
          <w:color w:val="000000" w:themeColor="text1"/>
          <w:sz w:val="28"/>
          <w:szCs w:val="28"/>
          <w:highlight w:val="none"/>
          <w14:textFill>
            <w14:solidFill>
              <w14:schemeClr w14:val="tx1"/>
            </w14:solidFill>
          </w14:textFill>
        </w:rPr>
        <w:t>。</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3）耦合剂1件，不锈钢按摩床1张，要求：1. 规格：≥1900×620×650mm。2. 床边采用25×50优质不锈钢钢矩管壁厚度≥1.5mm，床脚采用38*38优质不锈钢钢方管，壁厚度≥1.5mm；抬条采用15×30优质不锈钢钢矩管壁厚度≥1.5mm焊接成型。3.床面由优质皮革和3公分高密度海绵1.5公分多层实木板组成。3. 床称重荷≥250KG。。</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另配需满足医院临床使用需求。</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十二</w:t>
      </w:r>
      <w:r>
        <w:rPr>
          <w:rFonts w:hint="eastAsia" w:ascii="仿宋" w:hAnsi="仿宋" w:eastAsia="仿宋" w:cs="仿宋"/>
          <w:b/>
          <w:color w:val="000000" w:themeColor="text1"/>
          <w:sz w:val="28"/>
          <w:szCs w:val="28"/>
          <w:highlight w:val="none"/>
          <w14:textFill>
            <w14:solidFill>
              <w14:schemeClr w14:val="tx1"/>
            </w14:solidFill>
          </w14:textFill>
        </w:rPr>
        <w:t>、质保及售后服务要求：</w:t>
      </w:r>
    </w:p>
    <w:p>
      <w:pPr>
        <w:pageBreakBefore w:val="0"/>
        <w:widowControl w:val="0"/>
        <w:numPr>
          <w:ilvl w:val="1"/>
          <w:numId w:val="0"/>
        </w:numPr>
        <w:shd w:val="clear" w:fill="FFFFFF" w:themeFill="background1"/>
        <w:tabs>
          <w:tab w:val="left" w:pos="426"/>
          <w:tab w:val="left" w:pos="709"/>
        </w:tabs>
        <w:kinsoku/>
        <w:wordWrap/>
        <w:overflowPunct/>
        <w:topLinePunct w:val="0"/>
        <w:autoSpaceDE/>
        <w:autoSpaceDN/>
        <w:bidi w:val="0"/>
        <w:adjustRightInd/>
        <w:snapToGrid/>
        <w:spacing w:line="540" w:lineRule="exact"/>
        <w:ind w:left="0" w:leftChars="0" w:hanging="567"/>
        <w:jc w:val="left"/>
        <w:textAlignment w:val="auto"/>
        <w:outlineLvl w:val="9"/>
        <w:rPr>
          <w:rFonts w:hint="eastAsia" w:ascii="仿宋" w:hAnsi="仿宋" w:eastAsia="仿宋" w:cs="仿宋"/>
          <w:vanish/>
          <w:color w:val="000000" w:themeColor="text1"/>
          <w:sz w:val="28"/>
          <w:szCs w:val="28"/>
          <w:highlight w:val="none"/>
          <w14:textFill>
            <w14:solidFill>
              <w14:schemeClr w14:val="tx1"/>
            </w14:solidFill>
          </w14:textFill>
        </w:rPr>
      </w:pPr>
      <w:r>
        <w:rPr>
          <w:rFonts w:hint="eastAsia" w:ascii="仿宋" w:hAnsi="仿宋" w:eastAsia="仿宋" w:cs="仿宋"/>
          <w:vanish/>
          <w:color w:val="000000" w:themeColor="text1"/>
          <w:sz w:val="28"/>
          <w:szCs w:val="28"/>
          <w:highlight w:val="none"/>
          <w14:textFill>
            <w14:solidFill>
              <w14:schemeClr w14:val="tx1"/>
            </w14:solidFill>
          </w14:textFill>
        </w:rPr>
        <w:t>5.4</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1.质保期:自验收合格之日起计保修期，提供整机（含标配探头）原厂保修服务≥3年，承担保修期内设备任何故障产生的费用。</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2.免费提供操作人员培训和技术服务，提供完善的设备培训方案，现场做专业技术培训，以保证使用老师完全掌握基本操作与维护。</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3.保修期内每季度定期由专业工程师对设备进行巡检。</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
          <w:bCs w:val="0"/>
          <w:color w:val="000000" w:themeColor="text1"/>
          <w:sz w:val="28"/>
          <w:szCs w:val="28"/>
          <w:highlight w:val="none"/>
          <w14:textFill>
            <w14:solidFill>
              <w14:schemeClr w14:val="tx1"/>
            </w14:solidFill>
          </w14:textFill>
        </w:rPr>
      </w:pP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000000" w:themeColor="text1"/>
          <w:sz w:val="28"/>
          <w:szCs w:val="28"/>
          <w:highlight w:val="none"/>
          <w14:textFill>
            <w14:solidFill>
              <w14:schemeClr w14:val="tx1"/>
            </w14:solidFill>
          </w14:textFill>
        </w:rPr>
        <w:t>4.软件提供与医院现有信息系统对接的标准数据接口，满足医院的信息化建设需要，所有接口费由中标单位承担。</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5. 出现故障30分钟内响应，如需现场解决的问题4小时内到达。</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 为方便安装、维护、培训，有完善的售后服务。</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7.须提供第三方检测报告。</w:t>
      </w:r>
    </w:p>
    <w:p>
      <w:pPr>
        <w:pageBreakBefore w:val="0"/>
        <w:widowControl w:val="0"/>
        <w:shd w:val="clear" w:fill="FFFFFF" w:themeFill="background1"/>
        <w:kinsoku/>
        <w:wordWrap/>
        <w:overflowPunct/>
        <w:topLinePunct w:val="0"/>
        <w:autoSpaceDE/>
        <w:autoSpaceDN/>
        <w:bidi w:val="0"/>
        <w:adjustRightInd/>
        <w:snapToGrid/>
        <w:spacing w:beforeAutospacing="0" w:afterAutospacing="0" w:line="540" w:lineRule="exact"/>
        <w:ind w:left="0" w:leftChars="0"/>
        <w:textAlignment w:val="auto"/>
        <w:outlineLvl w:val="9"/>
        <w:rPr>
          <w:rFonts w:hint="eastAsia" w:ascii="仿宋" w:hAnsi="仿宋" w:eastAsia="仿宋" w:cs="仿宋"/>
          <w:color w:val="auto"/>
          <w:sz w:val="28"/>
          <w:szCs w:val="28"/>
          <w:highlight w:val="none"/>
          <w:lang w:val="en-US" w:eastAsia="zh-CN"/>
        </w:rPr>
      </w:pPr>
    </w:p>
    <w:p>
      <w:pPr>
        <w:pageBreakBefore w:val="0"/>
        <w:widowControl w:val="0"/>
        <w:shd w:val="clear" w:fill="FFFFFF" w:themeFill="background1"/>
        <w:tabs>
          <w:tab w:val="left" w:pos="2624"/>
        </w:tabs>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40" w:lineRule="exact"/>
        <w:ind w:left="0" w:leftChars="0"/>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0"/>
        <w:rPr>
          <w:rFonts w:hint="eastAsia" w:ascii="仿宋" w:hAnsi="仿宋" w:eastAsia="仿宋" w:cs="仿宋"/>
          <w:b/>
          <w:bCs w:val="0"/>
          <w:color w:val="auto"/>
          <w:sz w:val="44"/>
          <w:szCs w:val="44"/>
          <w:highlight w:val="none"/>
          <w:lang w:val="en-US" w:eastAsia="zh-CN"/>
        </w:rPr>
      </w:pPr>
      <w:bookmarkStart w:id="151" w:name="_Toc18638"/>
      <w:r>
        <w:rPr>
          <w:rFonts w:hint="eastAsia" w:ascii="仿宋" w:hAnsi="仿宋" w:eastAsia="仿宋" w:cs="仿宋"/>
          <w:b/>
          <w:bCs w:val="0"/>
          <w:color w:val="auto"/>
          <w:sz w:val="44"/>
          <w:szCs w:val="44"/>
          <w:highlight w:val="none"/>
          <w:lang w:val="en-US" w:eastAsia="zh-CN"/>
        </w:rPr>
        <w:t>标项三</w:t>
      </w:r>
      <w:bookmarkEnd w:id="151"/>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auto"/>
        <w:outlineLvl w:val="9"/>
        <w:rPr>
          <w:rFonts w:hint="default" w:ascii="仿宋" w:hAnsi="仿宋" w:eastAsia="仿宋" w:cs="仿宋"/>
          <w:color w:val="auto"/>
          <w:spacing w:val="0"/>
          <w:w w:val="100"/>
          <w:sz w:val="36"/>
          <w:szCs w:val="36"/>
          <w:highlight w:val="none"/>
          <w:lang w:val="en-US" w:eastAsia="zh-CN"/>
        </w:rPr>
      </w:pPr>
      <w:r>
        <w:rPr>
          <w:rFonts w:hint="default" w:ascii="仿宋" w:hAnsi="仿宋" w:eastAsia="仿宋" w:cs="仿宋"/>
          <w:color w:val="auto"/>
          <w:spacing w:val="0"/>
          <w:w w:val="100"/>
          <w:sz w:val="36"/>
          <w:szCs w:val="36"/>
          <w:highlight w:val="none"/>
          <w:lang w:val="en-US" w:eastAsia="zh-CN"/>
        </w:rPr>
        <w:t>网络心电图机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一、技术要求：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（1）ECG输入：支持12、15、18导心电同步采集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（2）输入阻抗：≥5MΩ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（3）输入回路电流：≤0.1μA</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（4）噪声：≤15μVp-p</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（5）共模抑制比：≥89dB</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（6）时间常数：≥3.2s</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（7）耐极化电压：在±300mV直流极化电压下，灵敏度变化±5%</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（8）A/D转换：24bit</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（9）用于医疗机构描记和分析ECG（常规心电图）、VLP（心室晚电位）、HRV（心率变异）等。提供含有ECG（常规心电图）、VLP（心室晚电位）、HRV（心率变异）等医疗器械注册证或其附件证明。</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用于医疗机构描记和分析FCG（频谱心电图）、VCG（空间向量心电图）和TVCG（时间向量心电图）。提供含有FCG（频谱心电图）、VCG（空间向量心电图）和TVCG（时间向量心电图）医疗器械注册证或其附件证明。</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（11）支持12导心电+心向量同步采集技术：可同时支持WILLSON与FRANK两种导联，实现一次采集12导心电图与心电向量的数据。提供“12导心电+心向量采集”的真实软件界面截图。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（12）具备波形预采功能，可用于捕捉偶发、一过性的心律失常事件，预采集时间可设置。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（13）支持起搏心电采集功能。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（14）具备自动测量、自动诊断功能，能够自动给出自动测量值与自动诊断结果。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（15）具备心电事件功能。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（16）支持阿托品、心得安试验检查模式，且具有专业报告模板；提供阿托品、心得安试验报告模板截图。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（17）具有标准的心电图诊断摸板报告助手，以辅助医生快速诊断心电图。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（18）支持与医院心电信息管理系统、HIS\EMR无缝集成，实现全院心电数据的统一存储与统一管理，能与新疆医科大学第一附属医院或新疆自治区人民医院发送远程会诊。</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1、心电工作站软件参数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(1)无需安装客户端软件，任意电脑中浏览器直接登录访问；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(2)具备新检查病历到达提醒、会诊病历到达提醒及会诊病历返回提醒功能，并支持设置是否提醒、声音提醒开启时间设置及提醒方式的设置；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(3)具备对异常测量参数标红显示，同时支持以每一个分析测量值进行手动修改；</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(4)支持原始采集的心电波形进行重分析；</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(5)支持对原始采集的心电波形进行重新调整滤波设置，可设置滤波包括：25、35、45、75、100、150、无；</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(6)提供丰富的测量分析工具：电子测量尺、平行尺、波形微调、波形定标、多种波形显示方式、波形放大等；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(7)电子标尺功能：支持一次拖动测量框，可一次性得到“时间差”、“心率”、“幅值差”的测量值。提供软件界面截图；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(8)平行尺功能：等距标尺可对间期倍数快速测量；对于波形重叠的心电图，支持重新排列以方便测量分析，测量精度达毫秒/微伏级；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(9)心拍放大分析功能：支持任意心搏单击放大分析，可对每个P、</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Q、T测量点进行手动微调，使测量结果更加精准；每个单击放大QRS波群测量参数不少于25种，并且支持12导波形叠加对比；</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(10)同屏对比功能：患者历史检查数据多次同屏对比功能，可便于观察患者术前、术后心电图的变化情况；</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(11)具备导联纠错功能：在肢体导联接反或胸导联接错的情况下，可以通过软件直接修正，无需重复采集。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(12)提供复合波与选中心搏两种分析模式，医生可根据波形情况在分析诊断界面手动选择不同的分析模式；提供软件界面截图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(13)具备AF房颤分析功能，医生可在分析诊断界面手动开启或取消房颤分析；提供软件界面截图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(14)具备详细参数矩阵，≥200种测量参数值，提供软件界面截图;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可对接电子病历系统，在分析诊断界直接查看患者电子病史和电子检查申请单，诊断医生结合患者历史病史及临床诊断来综合判断；(16)支持导联标识等特殊字符快速输入功能，医生快速书写诊断结论；(17)具备报告助手功能，提供常用公共模板及个人模板，医生可使用诊断术语库内容完成心电图诊断；</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(18)具备报告记录功能，可详细查看每一个医生对本份病历的每一次操作及报告修改记录，并查看操作人、操作时间及修改具备内容；提供软件界面截图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(19)具备微信分享功能，可在进行心电图诊断分析时直接将该份病历的原始心电波形分享至微信群或专家微信，并支持在微信端打开心电原始波形，进行走纸速度、灵敏度、显示模式的调整，及查看心电报告；提供软件界面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(20)具备心电关键字管理功能，可后台自定义新增、修改、删除，关键字内容包括但不限于不同心电诊断结论对应的心脏示意图、电轴示意图等，设置后，可针对不同心电图诊断结论，提供对应病变位置心脏示意图、电轴示意图等，给临床医生及患者提供病变部位参考；提供心电关键字管理功能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(21)支持典型病例收藏功能：支持个人收藏及公共收藏两种方式，个人收藏仅病例的收藏者有权限进行查看，公共收藏所有用户均有权限进行查看；支持单独的已收藏病历显示列表，快速查看已收藏病历；提供软件截图证明；</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(22)具备病历随访功能：支持建立随访计划，支持单独的随访病历显示列表，快速查看随访病历结论；提供软件截图证明；</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2、心电质控管理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(1)具备心电质控功能，包含图像质控、报告质控、综合质控；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(2)图像质控：支持对心电波形图像是否良好、是否存在干扰及导联错接情况进行质控；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(3)支持对报告诊断的规范与否，是否误诊断进行报告质量的质控；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(4)综合质控：支持图像质控与报告质量双重质控，全面评价心电图像采集与诊断的质量；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(5)支持对所有质控报告进行统一列表管理，并显示质控不合格原因；提供软件截图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(6)支持根据时间范围、报告医生，按比例抽取心电图进行质控；提供软件截图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3、统计分析管理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(1)无需安装客户端软件，任意电脑中浏览器直接登录访问；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(2)提供可自由定制的数据统计模块，所有的字段信息都可作为统计条件，并组合使用；根据需要可进行工作量、科研、教学统计；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(3)阳性率统计：统计指定时间段内，各个检查项目的检查人次，阳性人次数，阳性率，阴性人次数，阴性比；可按检查项目汇总阳性率；</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(4)工作量统计：统计指定时间段内，检查医生工作量、科室工作量、审核医生工作量、报告医生工作量；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(5)报告时间统计：统计指定时间段内，门诊、急诊、住院等报告时限的统计；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(6)统计结果可显示统计列表、统计数量、趋势图/直方图/柱状图等多种样式的统计图表，并支持导出；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4、其他要求</w:t>
      </w:r>
    </w:p>
    <w:p>
      <w:pPr>
        <w:pageBreakBefore w:val="0"/>
        <w:widowControl w:val="0"/>
        <w:shd w:val="clear" w:fill="FFFFFF" w:themeFill="background1"/>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sz w:val="28"/>
          <w:szCs w:val="28"/>
          <w:highlight w:val="none"/>
        </w:rPr>
      </w:pP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spacing w:val="-4"/>
          <w:sz w:val="28"/>
          <w:szCs w:val="28"/>
          <w:highlight w:val="none"/>
        </w:rPr>
        <w:t>支持与</w:t>
      </w:r>
      <w:r>
        <w:rPr>
          <w:rFonts w:hint="eastAsia" w:ascii="仿宋" w:hAnsi="仿宋" w:eastAsia="仿宋" w:cs="仿宋"/>
          <w:spacing w:val="-4"/>
          <w:sz w:val="28"/>
          <w:szCs w:val="28"/>
          <w:highlight w:val="none"/>
          <w:lang w:eastAsia="zh-CN"/>
        </w:rPr>
        <w:t>新疆基层医疗机构管理系统（冠新系统）</w:t>
      </w:r>
      <w:r>
        <w:rPr>
          <w:rFonts w:hint="eastAsia" w:ascii="仿宋" w:hAnsi="仿宋" w:eastAsia="仿宋" w:cs="仿宋"/>
          <w:spacing w:val="-4"/>
          <w:sz w:val="28"/>
          <w:szCs w:val="28"/>
          <w:highlight w:val="none"/>
        </w:rPr>
        <w:t>全民</w:t>
      </w:r>
      <w:r>
        <w:rPr>
          <w:rFonts w:hint="eastAsia" w:ascii="仿宋" w:hAnsi="仿宋" w:eastAsia="仿宋" w:cs="仿宋"/>
          <w:spacing w:val="-9"/>
          <w:sz w:val="28"/>
          <w:szCs w:val="28"/>
          <w:highlight w:val="none"/>
        </w:rPr>
        <w:t>体检、公卫系统对接，支持与昌吉州健康云做数据上传，以上接口费</w:t>
      </w:r>
      <w:r>
        <w:rPr>
          <w:rFonts w:hint="eastAsia" w:ascii="仿宋" w:hAnsi="仿宋" w:eastAsia="仿宋" w:cs="仿宋"/>
          <w:spacing w:val="-6"/>
          <w:sz w:val="28"/>
          <w:szCs w:val="28"/>
          <w:highlight w:val="none"/>
        </w:rPr>
        <w:t>用均有中标单位承担。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二、配置要求：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1.标准配置：全套配置。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2.另配：</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1）计算机3套、技术要求：CPU10代i5以上，内存≥四代8G，固态≥256G一块，显卡：带HDMI接口，显存1G，显示器≥24寸，带正版操作系统。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2）打印机3套、技术要求：品牌打印机，具备打印、复印、扫描三合一功能，具备自动双面打印，无线连接、快速打印功能。A4打印纸10件。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另配需满足医院临床使用需求。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三、质保及售后服务要求：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1.质保期:自验收合格之日起计保修期，提供整机原厂保修服务≥3年，承担保修期内设备任何故障产生的费用。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2.免费提供操作人员培训和技术服务，提供完善的设备培训方案，现场做专业技术培训，以保证使用老师完全掌握基本操作与维护。</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3.保修期内每季度定期由专业工程师对设备进行巡检。</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★4.软件提供与医院现有信息系统对接的标准数据接口，满足医院的信息化建设需要，所有接口费由中标单位承担。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5.提供操作手册。</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6.出现故障30分钟内响应，如需现场解决的问题4小时内到达。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7.为保证售后及时性，售后工程师人数不低于2人。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sectPr>
          <w:headerReference r:id="rId5" w:type="default"/>
          <w:footerReference r:id="rId6" w:type="default"/>
          <w:pgSz w:w="11906" w:h="16839"/>
          <w:pgMar w:top="1440" w:right="1800" w:bottom="1440" w:left="1800" w:header="737" w:footer="0" w:gutter="0"/>
          <w:cols w:space="720" w:num="1"/>
          <w:docGrid w:linePitch="0" w:charSpace="0"/>
        </w:sectPr>
      </w:pPr>
      <w:r>
        <w:rPr>
          <w:rFonts w:hint="eastAsia" w:ascii="仿宋" w:hAnsi="仿宋" w:eastAsia="仿宋" w:cs="仿宋"/>
          <w:color w:val="auto"/>
          <w:spacing w:val="0"/>
          <w:w w:val="100"/>
          <w:sz w:val="28"/>
          <w:szCs w:val="28"/>
          <w:highlight w:val="none"/>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动态血压监检测仪</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技术</w:t>
      </w:r>
      <w:r>
        <w:rPr>
          <w:rFonts w:hint="eastAsia" w:ascii="仿宋" w:hAnsi="仿宋" w:eastAsia="仿宋" w:cs="仿宋"/>
          <w:b/>
          <w:color w:val="auto"/>
          <w:sz w:val="28"/>
          <w:szCs w:val="28"/>
          <w:highlight w:val="none"/>
        </w:rPr>
        <w:t>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必须与现有动态心电、动态血压主机系统相匹配能与医院HIS系统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公卫系统、全民体检系统对接，实现患者信息获取及结果回传。</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  动态血压分析</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新建病历：可通过与医院HIS系统对接，输入门诊号、住院号、检查申请单号等设定好的关联ID，提 取已有检查医嘱的对应患者信息，减少手工登记录入。</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设置检测方案：利用软件设置的检测周期信息可通过计算机同步至动态血压监测仪， 自动采集间隔 支持设置：5、10、15、20、30、45、60、90、120分钟。</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测量值列表：在录入监测仪记录的数据后，可查看对应动态血压数据， 自动屏蔽无效数据和已删除 的数据。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小时平均表：可将测量数据按小时为单位整理为一个列表；显示内容应包含编号、时间、读数、收 缩压、舒张压、平均压、心率、脉压等信息。</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血压趋势图：可显示血压数据的收缩压、平均压、舒张压、心率趋势图。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血压变化图：可显示血压数据的收缩压、舒张压、平均压、平均压拟合曲线、平均压变化率趋势图。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K线图：具备可显示血压高低压变化的 K 线图。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 柱状图：可显示全天， 白天和夜间的柱状图。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 饼状图：可统计白天，夜间及全天收缩压、舒张压中大于一定值的血压值占全部值的比例。</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(10)血压关联图：可显示某点的收缩压和舒张压数值。</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(11)报告功能：可进行报告编写、保存、生成PDF及打印。具备报告助手，可提供丰富的报告诊断库和报 告模板。</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(12)具备对接入现有动态血压设备数据接入集中管理，统一维护设备的类型、生产厂家、型号、产品序 列号及所属科室等，方便医院对设备及使用情况进行管理；</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(13)支持对现有设备进行新增、修改与删除，实时管理医院心电电生理设备；</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(14)支持对接入系统的心电设备进行统一升级维护，可选强制升级和手动升级。</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(15)具备远程会诊功能，可接收由申请端上传的动态心电数据并进行分析及回传报告；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(16)具有会诊列表功能，可显示数据的发送方及患者基本信息、传输状态、报告状态等。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( 17) 支持与现有电生理网络系统无缝集成承担接口费用。（包含、HIS、电子病历等系统接口费）</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  动态血压记录器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测量方法：阶梯放气示波法</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收缩压测量范围：40-260 mmHg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舒张压测量范围：20-210 mmHg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脉率测量范围：40-200 bpm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分辨率：血压为≤1mmHg；脉率为≤1bpm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准确性：血压为±3 mmHg；脉率为±3bpm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监测时长：不低于24小时</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 手动按钮：具备手动插入测量按钮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 事件按钮：具备佩戴者手动按键记录异常情况按钮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(10)工作电源：两节5号AA碱性电池</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(11)数据存储器：闪存储存≥300个读数</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(12)安全系统：最大充气压力限制到290mmHg；断电自动安全打开阀门；最大BP测量时间限制到少于120 秒。</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(13)取样周期：具备多个独立可程序化周期(5，10，15，20，30，45，60，90、120min)</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(14)袖带：支持4种袖带规格（18cm-26cm、22cm-32cm、26cm-36cm、30cm-43cm）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(15)数据连接：USB传输、蓝牙传输</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(16)支持与现有电生理网络系统无缝集成承担接口费用。（包含、HIS、电子病历等系统接口费）</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二、配置要求：</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1.标准配置：全套配置。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2.另配：</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1）计算机1套、技术要求：CPU10代i5以上，内存≥四代8G，固态≥256G一块，显卡：带HDMI接口，显存1G，显示器≥24寸，带正版操作系统。</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2）打印机1套、技术要求：品牌打印机，具备打印、复印、扫描三合一功能，具备自动双面打印，无线连接、快速打印功能。</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水银血压计5套、双管双头多功能听诊器10个</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A4打印纸10件、5号AA碱性电池100节</w:t>
      </w:r>
      <w:r>
        <w:rPr>
          <w:rFonts w:hint="eastAsia" w:ascii="仿宋" w:hAnsi="仿宋" w:eastAsia="仿宋" w:cs="仿宋"/>
          <w:color w:val="auto"/>
          <w:kern w:val="0"/>
          <w:sz w:val="28"/>
          <w:szCs w:val="28"/>
          <w:highlight w:val="none"/>
        </w:rPr>
        <w:t>。</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另配需满足医院临床使用需求。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、质保及售后服务要求：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1.质保期:自验收合格之日起计保修期，提供整机原厂保修服务≥3年，承担保修期内设备任何故障产生的费用。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2.免费提供操作人员培训和技术服务，提供完善的设备培训方案，现场做专业技术培训，以保证使用老师完全掌握基本操作与维护。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3.保修期内每季度定期由专业工程师对设备进行巡检。</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auto"/>
          <w:sz w:val="28"/>
          <w:szCs w:val="28"/>
          <w:highlight w:val="none"/>
        </w:rPr>
        <w:t>4.软件提供与医院现有信息系统对接的标准数据接口，满足医院的信息化建设需要，所有接口费由中标单位承担。</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5.提供操作手册。</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6. 出现故障30分钟内响应，如需现场解决的问题4小时内到达</w:t>
      </w:r>
      <w:r>
        <w:rPr>
          <w:rFonts w:hint="eastAsia" w:ascii="仿宋" w:hAnsi="仿宋" w:eastAsia="仿宋" w:cs="仿宋"/>
          <w:bCs/>
          <w:color w:val="auto"/>
          <w:sz w:val="28"/>
          <w:szCs w:val="28"/>
          <w:highlight w:val="none"/>
          <w:lang w:eastAsia="zh-CN"/>
        </w:rPr>
        <w:t>。</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7.为保证售后及时性，售后工程师人数不低于2人。</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both"/>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动态心电图仪</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val="0"/>
          <w:bCs/>
          <w:color w:val="auto"/>
          <w:sz w:val="28"/>
          <w:szCs w:val="28"/>
          <w:highlight w:val="none"/>
          <w:lang w:val="en-US"/>
        </w:rPr>
      </w:pPr>
      <w:r>
        <w:rPr>
          <w:rFonts w:hint="eastAsia" w:ascii="仿宋" w:hAnsi="仿宋" w:eastAsia="仿宋" w:cs="仿宋"/>
          <w:b w:val="0"/>
          <w:bCs/>
          <w:color w:val="auto"/>
          <w:sz w:val="28"/>
          <w:szCs w:val="28"/>
          <w:highlight w:val="none"/>
        </w:rPr>
        <w:t>台数：8</w:t>
      </w:r>
      <w:r>
        <w:rPr>
          <w:rFonts w:hint="eastAsia" w:ascii="仿宋" w:hAnsi="仿宋" w:eastAsia="仿宋" w:cs="仿宋"/>
          <w:b w:val="0"/>
          <w:bCs/>
          <w:color w:val="auto"/>
          <w:sz w:val="28"/>
          <w:szCs w:val="28"/>
          <w:highlight w:val="none"/>
          <w:lang w:val="en-US" w:eastAsia="zh-CN"/>
        </w:rPr>
        <w:t>台</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val="en-US" w:eastAsia="zh-CN"/>
        </w:rPr>
        <w:t>预算2.5万  总预算20万</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技术</w:t>
      </w:r>
      <w:r>
        <w:rPr>
          <w:rFonts w:hint="eastAsia" w:ascii="仿宋" w:hAnsi="仿宋" w:eastAsia="仿宋" w:cs="仿宋"/>
          <w:b/>
          <w:color w:val="auto"/>
          <w:sz w:val="28"/>
          <w:szCs w:val="28"/>
          <w:highlight w:val="none"/>
        </w:rPr>
        <w:t>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能与医院HIS系统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公卫系统、全民体检系统对接，实现患者信息获取及结果回传。</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1、动态心电</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动态心电分析系统</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支持记录和采集24小时内的人体十二导联心电信号，并对记录和采集的数据进行存储，通过计算机 软件系统，对数据进行读取、病例填写、显示、回放、分析、查看和打印。</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分析工具自由组合：提供多种分析工具，包括K线图、直方图、散点图、栅状图、事件图、波形全览 图等。使用者根据自身习惯灵活设置、 自由组合分析工具栏。</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分析工具智能联动：K线图、直方图、散点图、栅状图、事件图、波形全览图等工具全部自动联动， 在任意一个工具中调节波形或数据，其他工具实时随之联动；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智能散点图功能 ：具有时间散点图、小时散点图、Lorenz散点图、差值散点图、四象限散点图五项 散点图功能；任意圈选散点进行心搏修改，对心律失常进行快速分析；散点图可进行放大操作；具备散点图按时段选取功能，通过时间按钮的设置可以查看任意时间段的散点图分布情况；</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阵发性房颤、房扑快速定位分析：基于时间散点图和小时时间散点图，快速的定位房颤、房扑发生 的位置以及起始结束时间；</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睡眠分析、运动、体位分析：记录睡眠时呼吸波以及运动、体位的测量数据，与心电图综合分析会诊；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总览编辑功能：总览编辑界面提供多种分析工具：单心博趋势图、K线图、栅状全览图、心率趋势 图、直方图、散点图、事件窗口、12导联心电波形；</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 各工具之间具有联动性，可以依据心电图大夫自身分析习惯灵活设置、 自由组合分析工具栏</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 模板分析功能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(10)根据波形形态逐跳进行模版分类，对形态相同，定义不同的心搏进行分类及定义编辑，确保异常波形精准识别，使心律失常分析更加细致准确；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(11)具备多种不同形态模板： N、V、S、A、X、J、AF、P、AP、TP、VP、fP、DP等；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(12)模板支持反复修改、单波修改、多波批量修改；</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(13)直方图分析功能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(14)具备间期直方图、间期比直方图、分布直方图三大类直方图；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(15)包括：R-R、N-N、S-S、V-V、J-J、X-X、N-S、N-V、N-J、S-N、V-N、J-N、AF-AF、AF-AF、R-X、PR、 V-S间期直方图；R-R、N-N、S-S、V-V、J-J、N-S、N-V、N-J、S-N、V-N、J-N、AF-AF、AF-AF间期比直方图；室性分布直方图、室上性分布直方图、停博分布直方图、心率直方图等丰富的直方图；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(16)起搏器分析功能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(17)具备起搏分析通道，无需勾选起搏器类型，可自动检测起搏脉冲信号；</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(18)具备多种起搏心搏分析模板：P、AP、VP、DP；</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(19)ST分析功能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(20)具备自动进行ST段分析，生成ST事件列表，并支持手动添加STT事件；</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(21)具备ST重分析，且测量点可根据波形手动调整；</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val="en-US" w:eastAsia="zh-CN"/>
        </w:rPr>
        <w:t>具有</w:t>
      </w:r>
      <w:r>
        <w:rPr>
          <w:rFonts w:hint="eastAsia" w:ascii="仿宋" w:hAnsi="仿宋" w:eastAsia="仿宋" w:cs="仿宋"/>
          <w:color w:val="auto"/>
          <w:sz w:val="28"/>
          <w:szCs w:val="28"/>
          <w:highlight w:val="none"/>
        </w:rPr>
        <w:t>分析测量工具</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(23)心电波形上可实时测量并显示R-R间期数值、心率值,为医生提供最直接的间期分析与心率分析；</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(24)提供电压测量尺、平行尺等多种测量工具；</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(25)具备导联纠错功能，导联接错时，不用重新采集，可直接在软件上进行导联交换。</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(26)心率变异性分析功能：包含心率变异性分析频域和时域两种分析报告；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(27)具有心率震荡分析功能；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(28)快速生成条图功能：方便医生快速留图，条图功能支持选择12导、3导条图，及打印方向选择，并可自定义条图名称；</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(29)具备对接入现有动态心电设备数据接入集中管理，统一维护设备的类型、生产厂家、型号、产品序列号及所属科室等；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(30)支持对现有设备进行新增、修改与删除，实时管理医院心电电生理设备；</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(31)支持对接入系统的心电及电生理设备进行统一升级维护；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(32)软件提供设备维修管理模块可维护设备维修信息，包含但不限于设备类型、编号、故障原因、维修时间、维修周期等。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(33)具备远程会诊功能，可接收由申请端上传的动态心电数据并进行分析及回传报告；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(34)具有会诊列表功能，可显示数据的发送方及患者基本信息、传输状态、报告状态等。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(35)支持与现有电生理网络系统无缝集成承担接口费用。（包含、HIS、电子病历等系统接口费）</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动态心电记录器：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电源：电池</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记录时间：支持连续记录时间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24小时</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导联：支持3导联、12导联心电数据记录</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输入阻抗：≥10MΩ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共模抑制比：≥80dB</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起博检测：支持硬件采集起搏信号</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屏幕显示：支持显示心电波形、记录时间、当前时间等信息</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 支持导联脱落提醒功能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 断电续采：当电池断电或没电，换上电池可继续记录心电波形</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(10)支持记录呼吸、体位及运动功能：能记录呼吸波形，可显示仰位、附位、左侧位、右侧位、坐立位和运动曲线。</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二、配置要求：</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1.标准配置：全套配置。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2.另配：</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1）计算机1套、技术要求：CPU10代i5以上，内存≥四代8G，固态≥256G一块，显卡：带HDMI接口，显存1G，显示器≥24寸，带正版操作系统。</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2）打印机1套、技术要求：品牌打印机，具备打印、复印、扫描三合一功能，具备自动双面打印，无线连接、快速打印功能。</w:t>
      </w:r>
      <w:r>
        <w:rPr>
          <w:rFonts w:hint="eastAsia" w:ascii="仿宋" w:hAnsi="仿宋" w:eastAsia="仿宋" w:cs="仿宋"/>
          <w:color w:val="auto"/>
          <w:kern w:val="0"/>
          <w:sz w:val="28"/>
          <w:szCs w:val="28"/>
          <w:highlight w:val="none"/>
          <w:lang w:val="en-US" w:eastAsia="zh-CN"/>
        </w:rPr>
        <w:t>A4打印纸10件、5号AA碱性电池100节</w:t>
      </w:r>
      <w:r>
        <w:rPr>
          <w:rFonts w:hint="eastAsia" w:ascii="仿宋" w:hAnsi="仿宋" w:eastAsia="仿宋" w:cs="仿宋"/>
          <w:color w:val="auto"/>
          <w:kern w:val="0"/>
          <w:sz w:val="28"/>
          <w:szCs w:val="28"/>
          <w:highlight w:val="none"/>
        </w:rPr>
        <w:t>。</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另配需满足医院临床使用需求。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、质保及售后服务要求：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1.质保期:自验收合格之日起计保修期，提供整机原厂保修服务≥3年，承担保修期内设备任何故障产生的费用。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2.免费提供操作人员培训和技术服务，提供完善的设备培训方案，现场做专业技术培训，以保证使用老师完全掌握基本操作与维护。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3.保修期内每季度定期由专业工程师对设备进行巡检。</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auto"/>
          <w:sz w:val="28"/>
          <w:szCs w:val="28"/>
          <w:highlight w:val="none"/>
        </w:rPr>
        <w:t>4.软件提供与医院现有信息系统对接的标准数据接口，满足医院的信息化建设需要，所有接口费由中标单位承担。</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5.提供操作手册。</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6. 出现故障30分钟内响应，如需现场解决的问题4小时内到达</w:t>
      </w:r>
      <w:r>
        <w:rPr>
          <w:rFonts w:hint="eastAsia" w:ascii="仿宋" w:hAnsi="仿宋" w:eastAsia="仿宋" w:cs="仿宋"/>
          <w:bCs/>
          <w:color w:val="auto"/>
          <w:sz w:val="28"/>
          <w:szCs w:val="28"/>
          <w:highlight w:val="none"/>
          <w:lang w:eastAsia="zh-CN"/>
        </w:rPr>
        <w:t>。</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7.为保证售后及时性，售后工程师人数不低于2人</w:t>
      </w:r>
      <w:r>
        <w:rPr>
          <w:rFonts w:hint="eastAsia" w:ascii="仿宋" w:hAnsi="仿宋" w:eastAsia="仿宋" w:cs="仿宋"/>
          <w:bCs/>
          <w:color w:val="auto"/>
          <w:sz w:val="28"/>
          <w:szCs w:val="28"/>
          <w:highlight w:val="none"/>
          <w:lang w:eastAsia="zh-CN"/>
        </w:rPr>
        <w:t>。</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both"/>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肺功能仪</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技术</w:t>
      </w:r>
      <w:r>
        <w:rPr>
          <w:rFonts w:hint="eastAsia" w:ascii="仿宋" w:hAnsi="仿宋" w:eastAsia="仿宋" w:cs="仿宋"/>
          <w:b/>
          <w:color w:val="auto"/>
          <w:sz w:val="28"/>
          <w:szCs w:val="28"/>
          <w:highlight w:val="none"/>
        </w:rPr>
        <w:t>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1.数据采集原理：采用涡轮式技术原理；</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2.资质认证：符合 ATS/ERS 临床标准；    </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3.检测显示参数：包含FVC、FEV1、PEF、FEV1/FVC、FEF25-75、FEF25、FEF50、FEF75、FET、Vexp、并有流速容量图、容量时间曲线、质控评级、结果分析等；</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4.测量范围（BTPS）：流量（L/S）：0-16，误差±5% 或±0.1L/s；容量（L）：0-10，误差±3%或0.1L；</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5.随访问卷模块：慢阻肺评估测试（CAT）模块、哮喘控制测试（ACT评分表）等； </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6.具备语音指导功能，能帮助指导患者完成测试。符合人体工程学的挤压手柄；</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7.趋势图：能以曲线直观显示患者7天、14天、30天及指定时间范围内病情趋势；</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8.支持患者含基础信息、家族患病史、危险因素、体征及临床诊断、急性发病史及治疗用药等模块的数字化档案；</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9.可进行数据查看权限设定，支持数据导出功能；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10.可以查看病人历次报告及修改、审核记录并可以修改病人信息。能调阅病人在不同时期的诊断报告；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11.提醒与报警：能对不同患者分别设置检查、呼吸练习时间提醒及检查结果、症状、体重/BMI报警；</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12.可以进行患者的分类管理，支持健康宣教功能，提高患者健康常识及肺部护理知识；</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13.支持多中心联合筛查及分级诊疗管理模式：系统云端大数据共享，根据医疗机构需求，统计检查结果及日常数据管理。上级医院可远端实时了解检查情况，支持多中心联合筛查及分级诊疗模式；</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14.数据存储</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16条，云平台储存数据无限。最高级别进行数据备份，保障数据安全不丢失；</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15.能同时提供纸质及电子检查报告。非热敏彩色打印；</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16.适用年龄：2岁及以上人群；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17.0°C-45°C（32°F-113°F）温度范围，0-95%RH（无冷凝）相对湿度范围，大气压力：700hPa～1060hPa</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18.在规定范围内使用无需校准；</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19.电源电池：一组B类可充电锂离子电池，工作电流≤1A；</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20.安全保障：防电击：BF型应用部分；防进液：IP22；</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21.重量：</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300克；</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22.网络功能：支持蓝牙BLE4.2；</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23.一次性专业耗材，吹嘴含有滤芯；</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24.工作站一套（按购方要求提供）。</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二、配置要求：</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1.标准配置：全套配置。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1）计算机1套、技术要求：CPU10代i5以上，内存≥四代8G，固态≥256G一块，显卡：带HDMI接口，显存1G，显示器≥24寸，带正版操作系统。</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2）打印机1套、技术要求：品牌打印机，具备打印、复印、扫描三合一功能，具备自动双面打印，无线连接、快速打印功能</w:t>
      </w:r>
      <w:r>
        <w:rPr>
          <w:rFonts w:hint="eastAsia" w:ascii="仿宋" w:hAnsi="仿宋" w:eastAsia="仿宋" w:cs="仿宋"/>
          <w:color w:val="auto"/>
          <w:sz w:val="28"/>
          <w:szCs w:val="28"/>
          <w:highlight w:val="none"/>
          <w:lang w:eastAsia="zh-CN"/>
        </w:rPr>
        <w:t>。</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3）一次性呼吸过滤器20个、口嘴100个。</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另配需满足医院临床使用需求。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、质保及售后服务要求：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1.质保期:自验收合格之日起计保修期，提供整机原厂保修服务≥3年，承担保修期内设备任何故障产生的费用。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2.免费提供操作人员培训和技术服务，提供完善的设备培训方案，现场做专业技术培训，以保证使用老师完全掌握基本操作与维护。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3.保修期内每季度定期由专业工程师对设备进行巡检。</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auto"/>
          <w:sz w:val="28"/>
          <w:szCs w:val="28"/>
          <w:highlight w:val="none"/>
        </w:rPr>
        <w:t>4.软件提供与医院现有信息系统对接的标准数据接口，满足医院的信息化建设需要，所有接口费由中标单位承担。</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5.提供操作手册。</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6. 出现故障30分钟内响应，如需现场解决的问题4小时内到达</w:t>
      </w:r>
      <w:r>
        <w:rPr>
          <w:rFonts w:hint="eastAsia" w:ascii="仿宋" w:hAnsi="仿宋" w:eastAsia="仿宋" w:cs="仿宋"/>
          <w:bCs/>
          <w:color w:val="auto"/>
          <w:sz w:val="28"/>
          <w:szCs w:val="28"/>
          <w:highlight w:val="none"/>
          <w:lang w:eastAsia="zh-CN"/>
        </w:rPr>
        <w:t>。</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7.为保证售后及时性，售后工程师人数不低于2人</w:t>
      </w:r>
      <w:r>
        <w:rPr>
          <w:rFonts w:hint="eastAsia" w:ascii="仿宋" w:hAnsi="仿宋" w:eastAsia="仿宋" w:cs="仿宋"/>
          <w:bCs/>
          <w:color w:val="auto"/>
          <w:sz w:val="28"/>
          <w:szCs w:val="28"/>
          <w:highlight w:val="none"/>
          <w:lang w:eastAsia="zh-CN"/>
        </w:rPr>
        <w:t>。</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心电监护仪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一、技术要求：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1.便携一体式监护仪。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2.主机集成附件收纳槽。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3.≥12英寸彩色LED背光液晶屏，屏幕分辨率≥800*600。</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4.标配锂电池工作时间≥4小时。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5.安全规格：ECG,RESP、TEMP,SpO2,NIBP监测参数抗电击程度为防除颤CF型。</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6.主机使用寿命≥10年。</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7.整机防水等级≥IPX1。</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8.具备心电、血氧、脉博、无创血压、呼吸、体温等参数。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1.心电：</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1.1.标配3/5导心电；</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1.2.具有智能导联脱落功能，具有多导同步分析功能；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1.3.耐极化电压：</w:t>
      </w:r>
      <w:r>
        <w:rPr>
          <w:rFonts w:hint="eastAsia" w:ascii="仿宋" w:hAnsi="仿宋" w:eastAsia="仿宋" w:cs="仿宋"/>
          <w:color w:val="FF0000"/>
          <w:spacing w:val="0"/>
          <w:w w:val="100"/>
          <w:sz w:val="28"/>
          <w:szCs w:val="28"/>
          <w:highlight w:val="none"/>
        </w:rPr>
        <w:t>±8</w:t>
      </w:r>
      <w:r>
        <w:rPr>
          <w:rFonts w:hint="eastAsia" w:ascii="仿宋" w:hAnsi="仿宋" w:eastAsia="仿宋" w:cs="仿宋"/>
          <w:color w:val="FF0000"/>
          <w:spacing w:val="0"/>
          <w:w w:val="100"/>
          <w:sz w:val="28"/>
          <w:szCs w:val="28"/>
          <w:highlight w:val="none"/>
          <w:lang w:val="en-US" w:eastAsia="zh-CN"/>
        </w:rPr>
        <w:t>0</w:t>
      </w:r>
      <w:r>
        <w:rPr>
          <w:rFonts w:hint="eastAsia" w:ascii="仿宋" w:hAnsi="仿宋" w:eastAsia="仿宋" w:cs="仿宋"/>
          <w:color w:val="FF0000"/>
          <w:spacing w:val="0"/>
          <w:w w:val="100"/>
          <w:sz w:val="28"/>
          <w:szCs w:val="28"/>
          <w:highlight w:val="none"/>
        </w:rPr>
        <w:t>0mV</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FF0000"/>
          <w:spacing w:val="0"/>
          <w:w w:val="100"/>
          <w:sz w:val="28"/>
          <w:szCs w:val="28"/>
          <w:highlight w:val="none"/>
        </w:rPr>
      </w:pPr>
      <w:r>
        <w:rPr>
          <w:rFonts w:hint="eastAsia" w:ascii="仿宋" w:hAnsi="仿宋" w:eastAsia="仿宋" w:cs="仿宋"/>
          <w:color w:val="auto"/>
          <w:spacing w:val="0"/>
          <w:w w:val="100"/>
          <w:sz w:val="28"/>
          <w:szCs w:val="28"/>
          <w:highlight w:val="none"/>
        </w:rPr>
        <w:t>1.4.共模抑制比≥106db</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1.5.具备心拍类型识别功能，可区分正常心拍、异常心拍、起搏心拍；</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1.6.具备≥</w:t>
      </w:r>
      <w:r>
        <w:rPr>
          <w:rFonts w:hint="eastAsia" w:ascii="仿宋" w:hAnsi="仿宋" w:eastAsia="仿宋" w:cs="仿宋"/>
          <w:color w:val="FF0000"/>
          <w:spacing w:val="0"/>
          <w:w w:val="100"/>
          <w:sz w:val="28"/>
          <w:szCs w:val="28"/>
          <w:highlight w:val="none"/>
          <w:lang w:val="en-US" w:eastAsia="zh-CN"/>
        </w:rPr>
        <w:t>27种</w:t>
      </w:r>
      <w:r>
        <w:rPr>
          <w:rFonts w:hint="eastAsia" w:ascii="仿宋" w:hAnsi="仿宋" w:eastAsia="仿宋" w:cs="仿宋"/>
          <w:color w:val="auto"/>
          <w:spacing w:val="0"/>
          <w:w w:val="100"/>
          <w:sz w:val="28"/>
          <w:szCs w:val="28"/>
          <w:highlight w:val="none"/>
        </w:rPr>
        <w:t>种心律失常分析，包括房颤、室颤、停搏、SVCs/min等；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1.7.具有ST段分析和STView功能，可实时监测ST段，评估心肌缺血情况;</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1.8.具有QT/QTc测量功能。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2.血氧：</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2.1.血氧测量范围：0%-100%；</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2.2.脉率测量范围：20bpm-300bpm；</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2.3.标配PI血氧灌注指数，测量范围：0.05%-20%，分辨率0.01%；2.4.具有与NIBP同侧测量功能。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3.无创血压：</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3.1.测量范围：</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成人：收缩压25mmHg-290mmHg，舒张压10mmHg-250mmHg，平均压15mmHg-260mmHg；</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小儿：收缩压25mmHg-240mmHg，舒张压10mmHg-200mmHg，平均压15mmHg-215mmHg；</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新生儿：收缩压25mmHg-140mmHg，舒张压10mmHg-115mmHg，平均压15mmHg-125mmHg；</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3.2.血压测量模式：手动、自动、序列、整点和连续测量；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3.3.具有血压动态分析监测界面，可查看测量时间段的收缩压和舒张压的正常数据、低于正常数据以及高于正常数据的百分率，收缩压和舒张压的平均值、最大值和最小值；3.4.具有辅助静脉穿刺功能。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4.体温：</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4.1.具有双通道体温监测，可提供体温差值显示；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4.2.支持体表和腔内两种体温探头类型。</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5.软件功能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5.1.支持常规、大字体、动态趋势、呼吸氧合、ECG全屏、ECG半屏、单血氧等多种界面；</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5.2.用户可自定义调节界面布局波形和参数功能；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5.3.支持计时器功能，可以同时显示最多4个计时器；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5.4.支持所有监测参数报警限一键自动设置功能；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5.5.计算功能：具有药物计算和滴定表、肾功能计算、氧合计算、通气计算、血流动力学计算功能；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5.6.支持≥2400 小时趋势图/表</w:t>
      </w:r>
      <w:r>
        <w:rPr>
          <w:rFonts w:hint="eastAsia" w:ascii="仿宋" w:hAnsi="仿宋" w:eastAsia="仿宋" w:cs="仿宋"/>
          <w:color w:val="FF0000"/>
          <w:spacing w:val="0"/>
          <w:w w:val="100"/>
          <w:sz w:val="28"/>
          <w:szCs w:val="28"/>
          <w:highlight w:val="none"/>
          <w:lang w:val="en-US" w:eastAsia="zh-CN"/>
        </w:rPr>
        <w:t>存储</w:t>
      </w:r>
      <w:r>
        <w:rPr>
          <w:rFonts w:hint="eastAsia" w:ascii="仿宋" w:hAnsi="仿宋" w:eastAsia="仿宋" w:cs="仿宋"/>
          <w:color w:val="auto"/>
          <w:spacing w:val="0"/>
          <w:w w:val="100"/>
          <w:sz w:val="28"/>
          <w:szCs w:val="28"/>
          <w:highlight w:val="none"/>
        </w:rPr>
        <w:t>≥3500组NIBP列表、≥2500组报警事件、≥72小时全息波形、≥48小时心律失常数据的存储和回顾；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5.7.具备监护、待机、演示、体外循环、隐私和夜间等工作模式。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二、配置要求：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1.标准配置：全套配置。2.另配：</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1）计算机1套、技术要求：CPU10代i5以上，内存≥四代8G，固态≥256G一块，显卡：带HDMI接口，显存1G，显示器≥24寸，带正版操作系统。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2）打印机1套、技术要求：品牌打印机，具备打印、复印、扫描三合一功能，具备自动双面打印，无线连接、快速打印功能。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3）电极片50个、微量泵1个、输液泵1个、轮椅1个。另配需满足医院临床使用需求。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三、质保及售后服务要求：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1.质保期:自验收合格之日起计保修期，提供整机原厂保修服务≥3年，承担保修期内设备任何故障产生的费用。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right"/>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2.免费提供操作人员培训和技术服务，提供完善的设备培训方案，现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场做专业技术培训，以保证使用老师完全掌握基本操作与维护。3.保修期内每季度定期由专业工程师对设备进行巡检。</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★4.软件提供与医院现有信息系统对接的标准数据接口，满足医院的信息化建设需要，所有接口费由中标单位承担。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5.提供操作手册。</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6.出现故障30分钟内响应，如需现场解决的问题4小时内到达。</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7.为保证售后及时性，售后工程师人数不低于2人。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除颤仪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一、技术要求：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1.具备手动除颤、心电监护功能。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2.同步除颤和手动除颤中，能量分≥</w:t>
      </w:r>
      <w:r>
        <w:rPr>
          <w:rFonts w:hint="eastAsia" w:ascii="仿宋" w:hAnsi="仿宋" w:eastAsia="仿宋" w:cs="仿宋"/>
          <w:color w:val="FF0000"/>
          <w:spacing w:val="0"/>
          <w:w w:val="100"/>
          <w:sz w:val="28"/>
          <w:szCs w:val="28"/>
          <w:highlight w:val="none"/>
          <w:lang w:val="en-US" w:eastAsia="zh-CN"/>
        </w:rPr>
        <w:t>20</w:t>
      </w:r>
      <w:r>
        <w:rPr>
          <w:rFonts w:hint="eastAsia" w:ascii="仿宋" w:hAnsi="仿宋" w:eastAsia="仿宋" w:cs="仿宋"/>
          <w:color w:val="auto"/>
          <w:spacing w:val="0"/>
          <w:w w:val="100"/>
          <w:sz w:val="28"/>
          <w:szCs w:val="28"/>
          <w:highlight w:val="none"/>
        </w:rPr>
        <w:t>，可通过体外电极板进行能量选择最小为1J，最大为360J。</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3.支持AED除颤功能，电击能量：100～360J。</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4.除颤，充电至200J≤3s，充电至360J≤7s。</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5.体外除颤电极板手柄支持充电、放电、能量选择，具备充电完成指示灯。成人、小儿一体化电极板。</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6.病人阻抗范围：体外除颤：</w:t>
      </w:r>
      <w:r>
        <w:rPr>
          <w:rFonts w:hint="eastAsia" w:ascii="仿宋" w:hAnsi="仿宋" w:eastAsia="仿宋" w:cs="仿宋"/>
          <w:color w:val="FF0000"/>
          <w:spacing w:val="0"/>
          <w:w w:val="100"/>
          <w:sz w:val="28"/>
          <w:szCs w:val="28"/>
          <w:highlight w:val="none"/>
          <w:lang w:val="en-US" w:eastAsia="zh-CN"/>
        </w:rPr>
        <w:t>20~200</w:t>
      </w:r>
      <w:r>
        <w:rPr>
          <w:rFonts w:hint="eastAsia" w:ascii="仿宋" w:hAnsi="仿宋" w:eastAsia="仿宋" w:cs="仿宋"/>
          <w:color w:val="auto"/>
          <w:spacing w:val="0"/>
          <w:w w:val="100"/>
          <w:sz w:val="28"/>
          <w:szCs w:val="28"/>
          <w:highlight w:val="none"/>
        </w:rPr>
        <w:t>Ω;体内除颤：</w:t>
      </w:r>
      <w:r>
        <w:rPr>
          <w:rFonts w:hint="eastAsia" w:ascii="仿宋" w:hAnsi="仿宋" w:eastAsia="仿宋" w:cs="仿宋"/>
          <w:color w:val="FF0000"/>
          <w:spacing w:val="0"/>
          <w:w w:val="100"/>
          <w:sz w:val="28"/>
          <w:szCs w:val="28"/>
          <w:highlight w:val="none"/>
          <w:lang w:val="en-US" w:eastAsia="zh-CN"/>
        </w:rPr>
        <w:t>15~200</w:t>
      </w:r>
      <w:r>
        <w:rPr>
          <w:rFonts w:hint="eastAsia" w:ascii="仿宋" w:hAnsi="仿宋" w:eastAsia="仿宋" w:cs="仿宋"/>
          <w:color w:val="auto"/>
          <w:spacing w:val="0"/>
          <w:w w:val="100"/>
          <w:sz w:val="28"/>
          <w:szCs w:val="28"/>
          <w:highlight w:val="none"/>
        </w:rPr>
        <w:t>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7.监护功能：可升级SpO2、NIBP、EtCO2监测功能。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8.具有≥25种心律失常分析。</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9.支持3/5/6/12导和自动导联心电监测，并提供12导联心电静息报告输出功能。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10.配备1块电池，最大可支持360J除颤≥200次，电池体上带有LED电池电量指示装置。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11.具备生理报警和技术报警功能，并且具有双报警灯，分别显示生理报警和技术报警。</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12.彩色TFT显示屏≥7英寸,分辨率≥800×480，可显示≥4道监护参数波形，有高对比度显示界面。</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13.体外除颤监护仪配置50mm记录仪，实时记录时间有3秒、5秒、</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8秒、16秒、32秒、连续可供选择。</w:t>
      </w:r>
    </w:p>
    <w:p>
      <w:pPr>
        <w:pStyle w:val="11"/>
        <w:keepNext w:val="0"/>
        <w:keepLines w:val="0"/>
        <w:pageBreakBefore w:val="0"/>
        <w:widowControl/>
        <w:numPr>
          <w:ilvl w:val="0"/>
          <w:numId w:val="17"/>
        </w:numPr>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主机具备录音功能，最大支持≥240min录音存储。</w:t>
      </w:r>
    </w:p>
    <w:p>
      <w:pPr>
        <w:pStyle w:val="11"/>
        <w:keepNext w:val="0"/>
        <w:keepLines w:val="0"/>
        <w:pageBreakBefore w:val="0"/>
        <w:widowControl/>
        <w:numPr>
          <w:ilvl w:val="0"/>
          <w:numId w:val="17"/>
        </w:numPr>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关机状态下设备可自动运行自检，支持大能量自检、屏幕、按键检测。</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16.防护等级IP55。</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二、配置要求：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1.标准配置：全套配置。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2.折叠担架1个。满足医院临床使用需求。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三、质保及售后服务要求：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1.质保期:自验收合格之日起计保修期，提供整机原厂保修服务≥3年，承担保修期内设备任何故障产生的费用。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right"/>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2.免费提供操作人员培训和技术服务，提供完善的设备培训方案，现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场做专业技术培训，以保证使用老师完全掌握基本操作与维护。3.保修期内每季度定期由专业工程师对设备进行巡检。</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★4.软件提供与医院现有信息系统对接的标准数据接口，满足医院的信息化建设需要，所有接口费由中标单位承担。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5.提供操作手册。</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6.出现故障30分钟内响应，如需现场解决的问题4小时内到达7.为保证售后及时性，售后工程师人数不低于2人。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both"/>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无创呼吸机</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技术</w:t>
      </w:r>
      <w:r>
        <w:rPr>
          <w:rFonts w:hint="eastAsia" w:ascii="仿宋" w:hAnsi="仿宋" w:eastAsia="仿宋" w:cs="仿宋"/>
          <w:b/>
          <w:color w:val="auto"/>
          <w:sz w:val="28"/>
          <w:szCs w:val="28"/>
          <w:highlight w:val="none"/>
        </w:rPr>
        <w:t>要求：</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屏幕：≥4.5寸 触摸屏，同屏显示工作模式、监测参数、设置参数、报警信息等。</w:t>
      </w:r>
    </w:p>
    <w:p>
      <w:pPr>
        <w:keepNext w:val="0"/>
        <w:keepLines w:val="0"/>
        <w:pageBreakBefore w:val="0"/>
        <w:widowControl/>
        <w:numPr>
          <w:ilvl w:val="0"/>
          <w:numId w:val="18"/>
        </w:numPr>
        <w:shd w:val="clear" w:fill="FFFFFF" w:themeFill="background1"/>
        <w:kinsoku/>
        <w:wordWrap/>
        <w:overflowPunct/>
        <w:topLinePunct w:val="0"/>
        <w:bidi w:val="0"/>
        <w:snapToGrid/>
        <w:spacing w:line="540" w:lineRule="exact"/>
        <w:ind w:left="0" w:leftChars="0"/>
        <w:jc w:val="left"/>
        <w:textAlignment w:val="baseline"/>
        <w:rPr>
          <w:rStyle w:val="43"/>
          <w:rFonts w:hint="eastAsia" w:ascii="仿宋" w:hAnsi="仿宋" w:eastAsia="仿宋" w:cs="仿宋"/>
          <w:color w:val="auto"/>
          <w:sz w:val="28"/>
          <w:szCs w:val="28"/>
          <w:highlight w:val="none"/>
        </w:rPr>
      </w:pPr>
      <w:r>
        <w:rPr>
          <w:rStyle w:val="43"/>
          <w:rFonts w:hint="eastAsia" w:ascii="仿宋" w:hAnsi="仿宋" w:eastAsia="仿宋" w:cs="仿宋"/>
          <w:color w:val="auto"/>
          <w:kern w:val="0"/>
          <w:sz w:val="28"/>
          <w:szCs w:val="28"/>
          <w:highlight w:val="none"/>
        </w:rPr>
        <w:t>液晶背光两种模式可调：常亮/渐暗。</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Style w:val="43"/>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无创通气模式：CPAP（持续正压模式）、S（自主模式）、T（定时控制模式）、S/T（自主/定时模式）、PC（压力控制模式）、MVAPS控制模式。</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最大流速</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200L/min。</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具备自动漏气补偿功能，最大补偿能力</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120L/min。</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具备WiFi模块，可连接数据终端，与pad进行数据传输功能。</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具备自动灵敏度技术和手动灵敏度技术。</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具备压力释放技术，</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4档可调。</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吸气触发灵敏度自动、</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档可调。</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呼气切换灵敏度自动、</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档可调。</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压力设置范围：</w:t>
      </w:r>
    </w:p>
    <w:p>
      <w:pPr>
        <w:pStyle w:val="119"/>
        <w:keepNext w:val="0"/>
        <w:keepLines w:val="0"/>
        <w:pageBreakBefore w:val="0"/>
        <w:numPr>
          <w:ilvl w:val="1"/>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吸气正压(IPAP)：4-30 cmH2O</w:t>
      </w:r>
    </w:p>
    <w:p>
      <w:pPr>
        <w:pStyle w:val="119"/>
        <w:keepNext w:val="0"/>
        <w:keepLines w:val="0"/>
        <w:pageBreakBefore w:val="0"/>
        <w:numPr>
          <w:ilvl w:val="1"/>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呼气正压(EPAP)：4-20 cmH2O</w:t>
      </w:r>
    </w:p>
    <w:p>
      <w:pPr>
        <w:pStyle w:val="119"/>
        <w:keepNext w:val="0"/>
        <w:keepLines w:val="0"/>
        <w:pageBreakBefore w:val="0"/>
        <w:numPr>
          <w:ilvl w:val="1"/>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持续正压（CPAP）：4-20 cmH2O</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压力上升时间：0.1-0.6s/自动。</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潮气量范围：200-2000 ml</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吸气时间：0.5-3.0s</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呼吸频率：2-40</w:t>
      </w:r>
      <w:r>
        <w:rPr>
          <w:rFonts w:hint="eastAsia" w:ascii="仿宋" w:hAnsi="仿宋" w:eastAsia="仿宋" w:cs="仿宋"/>
          <w:color w:val="auto"/>
          <w:sz w:val="28"/>
          <w:szCs w:val="28"/>
          <w:highlight w:val="none"/>
          <w:lang w:val="en-US" w:eastAsia="zh-CN"/>
        </w:rPr>
        <w:t>bpm</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无创模式温度调节：29--34℃，</w:t>
      </w:r>
      <w:r>
        <w:rPr>
          <w:rFonts w:hint="eastAsia" w:ascii="仿宋" w:hAnsi="仿宋" w:eastAsia="仿宋" w:cs="仿宋"/>
          <w:color w:val="auto"/>
          <w:sz w:val="28"/>
          <w:szCs w:val="28"/>
          <w:highlight w:val="none"/>
          <w:lang w:val="en-US" w:eastAsia="zh-CN"/>
        </w:rPr>
        <w:t>步进</w:t>
      </w:r>
      <w:r>
        <w:rPr>
          <w:rFonts w:hint="eastAsia" w:ascii="仿宋" w:hAnsi="仿宋" w:eastAsia="仿宋" w:cs="仿宋"/>
          <w:color w:val="auto"/>
          <w:sz w:val="28"/>
          <w:szCs w:val="28"/>
          <w:highlight w:val="none"/>
        </w:rPr>
        <w:t>1℃。</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加湿方式：集成一体化加湿方式</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报警：氧气浓度低报警、氧气浓度高报警、内部故障报警、检查水量报警、断电报警、WiFi通信异常报警、管道脱落报警、漏气报警、窒息报警、高/低呼吸频率报警、超温报警、高吸气压力报警。</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连接管路</w:t>
      </w:r>
      <w:r>
        <w:rPr>
          <w:rFonts w:hint="eastAsia" w:ascii="仿宋" w:hAnsi="仿宋" w:eastAsia="仿宋" w:cs="仿宋"/>
          <w:color w:val="auto"/>
          <w:sz w:val="28"/>
          <w:szCs w:val="28"/>
          <w:highlight w:val="none"/>
          <w:lang w:val="en-US" w:eastAsia="zh-CN"/>
        </w:rPr>
        <w:t>具有</w:t>
      </w:r>
      <w:r>
        <w:rPr>
          <w:rFonts w:hint="eastAsia" w:ascii="仿宋" w:hAnsi="仿宋" w:eastAsia="仿宋" w:cs="仿宋"/>
          <w:color w:val="auto"/>
          <w:sz w:val="28"/>
          <w:szCs w:val="28"/>
          <w:highlight w:val="none"/>
        </w:rPr>
        <w:t>加温</w:t>
      </w:r>
      <w:r>
        <w:rPr>
          <w:rFonts w:hint="eastAsia" w:ascii="仿宋" w:hAnsi="仿宋" w:eastAsia="仿宋" w:cs="仿宋"/>
          <w:color w:val="auto"/>
          <w:sz w:val="28"/>
          <w:szCs w:val="28"/>
          <w:highlight w:val="none"/>
          <w:lang w:val="en-US" w:eastAsia="zh-CN"/>
        </w:rPr>
        <w:t>功能</w:t>
      </w:r>
      <w:r>
        <w:rPr>
          <w:rFonts w:hint="eastAsia" w:ascii="仿宋" w:hAnsi="仿宋" w:eastAsia="仿宋" w:cs="仿宋"/>
          <w:color w:val="auto"/>
          <w:sz w:val="28"/>
          <w:szCs w:val="28"/>
          <w:highlight w:val="none"/>
        </w:rPr>
        <w:t>。</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消毒方式：便携式可充电臭氧发生器。</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转运模式：设备常按静音键3秒可进入转运模式。</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使用结束后，长按启动/停止键3秒钟，设备进入干燥模式。</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配备一体式移动台车，可搭载氧气瓶。</w:t>
      </w:r>
    </w:p>
    <w:p>
      <w:pPr>
        <w:pStyle w:val="119"/>
        <w:keepNext w:val="0"/>
        <w:keepLines w:val="0"/>
        <w:pageBreakBefore w:val="0"/>
        <w:numPr>
          <w:ilvl w:val="0"/>
          <w:numId w:val="18"/>
        </w:numPr>
        <w:shd w:val="clear" w:fill="FFFFFF" w:themeFill="background1"/>
        <w:kinsoku/>
        <w:wordWrap/>
        <w:overflowPunct/>
        <w:topLinePunct w:val="0"/>
        <w:bidi w:val="0"/>
        <w:snapToGrid/>
        <w:spacing w:line="540" w:lineRule="exact"/>
        <w:ind w:left="0" w:leftChars="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设备使用期限：</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9年</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二、配置要求：</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1.标准配置：全套配置。</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2.简易呼吸气囊4个、一次性气管插管50根。</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、质保及售后服务要求：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1.质保期:自验收合格之日起计保修期，提供整机原厂保修服务≥3年，承担保修期内设备任何故障产生的费用。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2.免费提供操作人员培训和技术服务，提供完善的设备培训方案，现场做专业技术培训，以保证使用老师完全掌握基本操作与维护。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3.保修期内每季度定期由专业工程师对设备进行巡检。</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auto"/>
          <w:sz w:val="28"/>
          <w:szCs w:val="28"/>
          <w:highlight w:val="none"/>
        </w:rPr>
        <w:t>4.软件提供与医院现有信息系统对接的标准数据接口，满足医院的信息化建设需要，所有接口费由中标单位承担。</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5.提供操作手册。</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6. 出现故障30分钟内响应，如需现场解决的问题4小时内到达</w:t>
      </w:r>
      <w:r>
        <w:rPr>
          <w:rFonts w:hint="eastAsia" w:ascii="仿宋" w:hAnsi="仿宋" w:eastAsia="仿宋" w:cs="仿宋"/>
          <w:bCs/>
          <w:color w:val="auto"/>
          <w:sz w:val="28"/>
          <w:szCs w:val="28"/>
          <w:highlight w:val="none"/>
          <w:lang w:eastAsia="zh-CN"/>
        </w:rPr>
        <w:t>。</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7.为保证售后及时性，在疆内需设有售后服务机构网点，售后工程师人数不低于2人（提供职称证书及上岗证）。</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8.须提供第三方检测报告。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可视喉镜</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技术</w:t>
      </w:r>
      <w:r>
        <w:rPr>
          <w:rFonts w:hint="eastAsia" w:ascii="仿宋" w:hAnsi="仿宋" w:eastAsia="仿宋" w:cs="仿宋"/>
          <w:b/>
          <w:color w:val="auto"/>
          <w:sz w:val="28"/>
          <w:szCs w:val="28"/>
          <w:highlight w:val="none"/>
        </w:rPr>
        <w:t>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1.喉镜片采用进口医用级PC料，无菌包装 ，一次性使用，无需消毒</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2.喉镜摄像头与叶片前端的垂直距离：≤35mm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3.镜片长度：≥119mm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4.镜片厚度（摄像头处）：≤10mm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5.镜片角度：≤41度</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6.高清广角显示屏≥3寸</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7.分辨率：≥960×480</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8.屏幕旋转角度：前后：0º～135º，左右：0º～275º</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9.具备AV输出接口，数据导出和充电接口，内存≥32G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10.数字化摄像系统，像素≥200万</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11.视场角≥7</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º</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12.有效景深：3～100mm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13.防雾要求：开机即用，无需预热</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14.光照度：≥3000lux</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15.充电器输入:100～240V，50/60Hz</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16.充电器输出:5V,2000mA</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17.电池容量≥3400mA</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18.充电时间:≤4h</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19.电池放电时间≥6h</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20.具有一键拍照、一键定格、实时录像等功能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21.具有AV输出功能，方便教学及演示</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22.手柄和摄像系统的连接采用一体化设计</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二、配置要求：</w:t>
      </w:r>
    </w:p>
    <w:p>
      <w:pPr>
        <w:keepNext w:val="0"/>
        <w:keepLines w:val="0"/>
        <w:pageBreakBefore w:val="0"/>
        <w:widowControl/>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1.标准配置：全套配置。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、质保及售后服务要求：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1.质保期:自验收合格之日起计保修期，提供整机原厂保修服务≥3年，承担保修期内设备任何故障产生的费用。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2.保修期内每季度定期由专业工程师对设备进行巡检。</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3.出现故障30分钟内响应，如需现场解决的问题4小时内到达</w:t>
      </w:r>
      <w:r>
        <w:rPr>
          <w:rFonts w:hint="eastAsia" w:ascii="仿宋" w:hAnsi="仿宋" w:eastAsia="仿宋" w:cs="仿宋"/>
          <w:bCs/>
          <w:color w:val="auto"/>
          <w:sz w:val="28"/>
          <w:szCs w:val="28"/>
          <w:highlight w:val="none"/>
          <w:lang w:eastAsia="zh-CN"/>
        </w:rPr>
        <w:t>。</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4.须提供第三方检测报告。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p>
    <w:p>
      <w:pPr>
        <w:keepNext w:val="0"/>
        <w:keepLines w:val="0"/>
        <w:pageBreakBefore w:val="0"/>
        <w:shd w:val="clear" w:fill="FFFFFF" w:themeFill="background1"/>
        <w:kinsoku/>
        <w:wordWrap/>
        <w:overflowPunct/>
        <w:topLinePunct w:val="0"/>
        <w:bidi w:val="0"/>
        <w:snapToGrid/>
        <w:spacing w:line="540" w:lineRule="exact"/>
        <w:ind w:left="0" w:leftChars="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keepNext w:val="0"/>
        <w:keepLines w:val="0"/>
        <w:pageBreakBefore w:val="0"/>
        <w:shd w:val="clear" w:fill="FFFFFF" w:themeFill="background1"/>
        <w:kinsoku/>
        <w:wordWrap/>
        <w:overflowPunct/>
        <w:topLinePunct w:val="0"/>
        <w:bidi w:val="0"/>
        <w:snapToGrid/>
        <w:spacing w:line="540" w:lineRule="exact"/>
        <w:ind w:left="0" w:leftChars="0"/>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产后访视包</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一、</w:t>
      </w:r>
      <w:r>
        <w:rPr>
          <w:rFonts w:hint="eastAsia" w:ascii="仿宋" w:hAnsi="仿宋" w:eastAsia="仿宋" w:cs="仿宋"/>
          <w:b w:val="0"/>
          <w:bCs/>
          <w:color w:val="auto"/>
          <w:sz w:val="28"/>
          <w:szCs w:val="28"/>
          <w:highlight w:val="none"/>
          <w:lang w:val="en-US" w:eastAsia="zh-CN"/>
        </w:rPr>
        <w:t>技术</w:t>
      </w:r>
      <w:r>
        <w:rPr>
          <w:rFonts w:hint="eastAsia" w:ascii="仿宋" w:hAnsi="仿宋" w:eastAsia="仿宋" w:cs="仿宋"/>
          <w:b w:val="0"/>
          <w:bCs/>
          <w:color w:val="auto"/>
          <w:sz w:val="28"/>
          <w:szCs w:val="28"/>
          <w:highlight w:val="none"/>
        </w:rPr>
        <w:t>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1.产后访视包主要配置：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便携式多功能母婴秤、吸盘式软头垫、身长测量滑杆、便携式访视包</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其他附件：</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血压表、听诊器(双听)、体温计、镊子、拆线剪、药水瓶(盛放碘伏、酒精或双氧水的容器)、不锈钢消毒盘、医用棉签、纱布绷带、医用棉球软皮尺、鞋套等访视基本用品，可按院方要求进行定制。</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2.便携式多功能母婴秤主要技术指标和性能</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1.婴幼儿身长测量范围:41-84cm，测量精度:±0.1cm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2.婴幼儿体重测量范围:0-40kg，测量精度:±0.05kg;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3.可测量产后妈妈及孕妇体重，量程:0-1</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0kg;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4.大屏幕LCD屏数字显示;</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.旋转折叠结构，尺寸:</w:t>
      </w:r>
      <w:r>
        <w:rPr>
          <w:rFonts w:hint="eastAsia" w:ascii="仿宋" w:hAnsi="仿宋" w:eastAsia="仿宋" w:cs="仿宋"/>
          <w:bCs/>
          <w:color w:val="auto"/>
          <w:sz w:val="28"/>
          <w:szCs w:val="28"/>
          <w:highlight w:val="none"/>
          <w:lang w:val="en-US" w:eastAsia="zh-CN"/>
        </w:rPr>
        <w:t>约</w:t>
      </w:r>
      <w:r>
        <w:rPr>
          <w:rFonts w:hint="eastAsia" w:ascii="仿宋" w:hAnsi="仿宋" w:eastAsia="仿宋" w:cs="仿宋"/>
          <w:bCs/>
          <w:color w:val="auto"/>
          <w:sz w:val="28"/>
          <w:szCs w:val="28"/>
          <w:highlight w:val="none"/>
        </w:rPr>
        <w:t>38cm(长)x32cm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(宽)x4.5cm(高)；</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.配备吸盘式软头垫，采用海绵内衬，尺寸:</w:t>
      </w:r>
      <w:r>
        <w:rPr>
          <w:rFonts w:hint="eastAsia" w:ascii="仿宋" w:hAnsi="仿宋" w:eastAsia="仿宋" w:cs="仿宋"/>
          <w:bCs/>
          <w:color w:val="auto"/>
          <w:sz w:val="28"/>
          <w:szCs w:val="28"/>
          <w:highlight w:val="none"/>
          <w:lang w:val="en-US" w:eastAsia="zh-CN"/>
        </w:rPr>
        <w:t>约</w:t>
      </w:r>
      <w:r>
        <w:rPr>
          <w:rFonts w:hint="eastAsia" w:ascii="仿宋" w:hAnsi="仿宋" w:eastAsia="仿宋" w:cs="仿宋"/>
          <w:bCs/>
          <w:color w:val="auto"/>
          <w:sz w:val="28"/>
          <w:szCs w:val="28"/>
          <w:highlight w:val="none"/>
        </w:rPr>
        <w:t>20cm(长)x17cm(宽)x8cm(高)；</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.配备测量新生儿身长(卧姿)用滑杆，确保精准测量</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.产后访视包内每种访视用品均有相应的固定存放位置，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专业婴幼儿体格生长发育测评软件:可海量存储婴幼儿各项主要生长发</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育指标，实时生成体重/身长/BMI生长发育曲线，进行专业分析评价。</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、配置要求：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1.标准配置：全套配置。</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2.另配：</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1）婴儿计量秤1个、技术要求：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测量范围身高：20-110cm、体重：0.05kg-60kg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精确度：身高：±0.1cm、体重：±0.01kg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使用温湿度：-20℃-40℃、20%-85%RH</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2）儿童体重秤1个、技术要求：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测量范围：身高：20-180cm、体重：1kg-500kg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精确度：身高：±0.1cm或±0.5cm、体重：±0.1kg</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可折叠功能 ：采用双金属折叠扣的方式，折叠完总高≥120cm</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使用温湿度：-20℃-40℃、20%-85%RH</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3）视力测查工具1套、技术要求：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配置至少包含：1.视动性眼震仪（用于对新生儿视力的定性检查）2.婴幼儿选择性注视检测卡（用于对一岁以内的幼儿视力检查）3.点状视力表（用于对一岁半至五岁儿童的视力检查）。</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4）婴儿视力筛查包1套、技术要求：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配置至少包含：1.儿童图形视力卡 2.幼儿视锐度(视力)检测卡(2个) 3.笔灯 4.调节视标 5.主导眼板 6.遮眼板 7.色觉检查图 8.立体视觉检测板 9.红球 10.点击棒 11.红绿板</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（用于不能自主辨识视标的婴幼儿视力及视路疾患治疗效果的检测。）</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另配满足医院临床使用需求。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、质保及售后服务要求：</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1.质保期:自验收合格之日起计保修期，提供整机原厂保修服务≥3年，承担保修期内设备任何故障产生的费用。</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2.免费提供操作人员培训和技术服务，提供完善的设备培训方案，现场做专业技术培训，以保证使用老师完全掌握基本操作与维护。</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3.保修期内每季度定期由专业工程师对设备进行巡检。</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.提供操作手册。</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 出现故障30分钟内响应，如需现场解决的问题4小时内到达，</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.为保证售后及时性，售后工程师人数不低于2人</w:t>
      </w:r>
      <w:r>
        <w:rPr>
          <w:rFonts w:hint="eastAsia" w:ascii="仿宋" w:hAnsi="仿宋" w:eastAsia="仿宋" w:cs="仿宋"/>
          <w:bCs/>
          <w:color w:val="auto"/>
          <w:sz w:val="28"/>
          <w:szCs w:val="28"/>
          <w:highlight w:val="none"/>
          <w:lang w:eastAsia="zh-CN"/>
        </w:rPr>
        <w:t>。</w:t>
      </w:r>
    </w:p>
    <w:p>
      <w:pPr>
        <w:keepNext w:val="0"/>
        <w:keepLines w:val="0"/>
        <w:pageBreakBefore w:val="0"/>
        <w:widowControl w:val="0"/>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7.须提供第三方检测报告。</w:t>
      </w:r>
    </w:p>
    <w:p>
      <w:pPr>
        <w:keepNext w:val="0"/>
        <w:keepLines w:val="0"/>
        <w:pageBreakBefore w:val="0"/>
        <w:shd w:val="clear" w:fill="FFFFFF" w:themeFill="background1"/>
        <w:kinsoku/>
        <w:wordWrap/>
        <w:overflowPunct/>
        <w:topLinePunct w:val="0"/>
        <w:bidi w:val="0"/>
        <w:snapToGrid/>
        <w:spacing w:line="540" w:lineRule="exact"/>
        <w:ind w:left="0" w:leftChars="0"/>
        <w:jc w:val="left"/>
        <w:rPr>
          <w:rFonts w:hint="eastAsia" w:ascii="仿宋" w:hAnsi="仿宋" w:eastAsia="仿宋" w:cs="仿宋"/>
          <w:color w:val="auto"/>
          <w:sz w:val="28"/>
          <w:szCs w:val="28"/>
          <w:highlight w:val="none"/>
        </w:rPr>
      </w:pPr>
    </w:p>
    <w:p>
      <w:pPr>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仿宋" w:hAnsi="仿宋" w:eastAsia="仿宋" w:cs="仿宋"/>
          <w:color w:val="auto"/>
          <w:sz w:val="28"/>
          <w:szCs w:val="28"/>
          <w:highlight w:val="none"/>
        </w:rPr>
      </w:pP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color w:val="auto"/>
          <w:sz w:val="28"/>
          <w:szCs w:val="28"/>
          <w:highlight w:val="none"/>
          <w:lang w:val="en-US" w:eastAsia="zh-CN"/>
        </w:rPr>
      </w:pPr>
    </w:p>
    <w:p>
      <w:pPr>
        <w:pageBreakBefore w:val="0"/>
        <w:kinsoku/>
        <w:wordWrap/>
        <w:overflowPunct/>
        <w:topLinePunct w:val="0"/>
        <w:bidi w:val="0"/>
        <w:spacing w:line="540" w:lineRule="exact"/>
        <w:ind w:left="0" w:leftChars="0"/>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br w:type="page"/>
      </w:r>
    </w:p>
    <w:p>
      <w:pPr>
        <w:pStyle w:val="9"/>
        <w:keepNext w:val="0"/>
        <w:keepLines w:val="0"/>
        <w:pageBreakBefore w:val="0"/>
        <w:widowControl w:val="0"/>
        <w:kinsoku/>
        <w:wordWrap/>
        <w:overflowPunct/>
        <w:topLinePunct w:val="0"/>
        <w:autoSpaceDE/>
        <w:autoSpaceDN/>
        <w:bidi w:val="0"/>
        <w:adjustRightInd/>
        <w:snapToGrid/>
        <w:spacing w:before="0" w:line="540" w:lineRule="exact"/>
        <w:ind w:left="0" w:leftChars="0"/>
        <w:jc w:val="center"/>
        <w:textAlignment w:val="auto"/>
        <w:outlineLvl w:val="0"/>
        <w:rPr>
          <w:rFonts w:hint="eastAsia" w:ascii="仿宋" w:hAnsi="仿宋" w:eastAsia="仿宋" w:cs="仿宋"/>
          <w:b/>
          <w:bCs w:val="0"/>
          <w:color w:val="auto"/>
          <w:sz w:val="44"/>
          <w:szCs w:val="44"/>
          <w:highlight w:val="none"/>
          <w:lang w:val="en-US" w:eastAsia="zh-CN"/>
        </w:rPr>
      </w:pPr>
      <w:bookmarkStart w:id="152" w:name="_Toc11539"/>
      <w:bookmarkStart w:id="153" w:name="_Toc8517"/>
      <w:r>
        <w:rPr>
          <w:rFonts w:hint="eastAsia" w:ascii="仿宋" w:hAnsi="仿宋" w:eastAsia="仿宋" w:cs="仿宋"/>
          <w:b/>
          <w:bCs w:val="0"/>
          <w:color w:val="auto"/>
          <w:sz w:val="44"/>
          <w:szCs w:val="44"/>
          <w:highlight w:val="none"/>
          <w:lang w:val="en-US" w:eastAsia="zh-CN"/>
        </w:rPr>
        <w:t>标项六</w:t>
      </w:r>
      <w:bookmarkEnd w:id="152"/>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jc w:val="center"/>
        <w:textAlignment w:val="auto"/>
        <w:outlineLvl w:val="9"/>
        <w:rPr>
          <w:rFonts w:hint="default"/>
          <w:highlight w:val="none"/>
          <w:lang w:val="en-US"/>
        </w:rPr>
      </w:pPr>
      <w:r>
        <w:rPr>
          <w:rFonts w:hint="eastAsia" w:ascii="仿宋" w:hAnsi="仿宋" w:eastAsia="仿宋" w:cs="仿宋"/>
          <w:color w:val="auto"/>
          <w:spacing w:val="0"/>
          <w:w w:val="100"/>
          <w:sz w:val="44"/>
          <w:szCs w:val="44"/>
          <w:highlight w:val="none"/>
        </w:rPr>
        <w:t>全科医生移动诊疗箱（配便携式超声）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一、用途:用于基层医疗机构上门或其他非医疗环境下的巡回诊察作业工作。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二、技术要求：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1.具备血压、脉率、12导联心电图、血氧、耳温、血糖、尿常规11项、便携式超声、中医九型体质筛查。</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2.以身份证识别建档，长期储存用户健康数据，可随时查看调用。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3.综合多个健康检测项目，自动生成评估分析报告，并永久储存用户健康数据。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4.协助医生对常见病的初步诊断和筛查，健康应急第一手数据收录，群众日常健康数据动态监测与管理。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5.软件功能：自动获取健康检测数据，形成健康曲线，并对检测结果进行系统分析、评估、形成干预方案、干预指导、健康知识获取、健康教育、指导受检者日常的饮食、锻炼、养生建议方案。健康数据发送到云平台，通过移动终端手机、微信公众号互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6.预留标准的API接口，可对接HIS、LIS、EMR、公卫管理后端、移动站。</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7.血糖仪：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7.1检测样本：成人和儿童新鲜毛细血管血</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7.2样本量：≤0.4μL</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7.3测量范围：0.6~33.3mmol/L(10~600mg/dL)</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7.4血球容积比范围：30%-60%</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7.5测试时间：≤4s</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8.血氧仪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8.1测量范围：血氧饱和度35%-100%；脉率：30bpm-250bpm</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8.2血氧饱和度测量精度：70%-100%，±2%</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8.3脉率测量精度：±2bpm</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9.电子血压计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9.1测量方法：脉搏波法/示波法</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9.2测量范围：血压30~280mmHg（4~37.3KPa），脉搏40~195次/分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9.3精准度：压力±3mmHg脉搏数±5%</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9.4血压单位：mmHg/KPa</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9.5通讯方式：蓝牙4.0版本，语音播报功能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9.6其他功能：心率不齐提醒、二次加压、自动泄压、断电数据保存</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9.7数据传输：蓝牙</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10.红外体温计</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10.1测量方法：非接触式红外传感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10.2测量部位：额头</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10.3测量范围：34.0℃~42.9℃</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10.4分辨率：0.1℃</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11.尿液分析仪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11.1检测项目：葡萄糖（GLU）、胆红素（BIL）、比重（SG）、潜血（BLD）、蛋白质（PRO）、尿胆原（UBG）、亚硝酸盐（NIT）、白细胞（LEU）、pH值（pH）、酮体（KET）、维生素C(VC)</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11.2检测原理：光反射比色法</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11.3连续测试速度：≥60份/小时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11.4显示屏：数码液晶显示屏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11.5存储容量：可存储≥500个样本结果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11.6数据传输：蓝牙</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11.7重复性：CV≤1%；</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11.8稳定性：CV≤1%；</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12.蓝牙心电检测仪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12.1标准12导联心电信号同步采集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12.2采集方式：支持USB有线和蓝牙无线两种心电采集方式。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12.3心率测量范围：30～300bpm，最大允许误差为±1</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12.5共模抑制比：≥100dB，开启交流滤波时≥120dB</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12.6定标电压：1mV误差范围±2%</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12.7时间常数：≥3.2s</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12.8噪声电平：≤15μV（峰-谷值）</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12.9定标电压：1mV误差范围±2%</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12.10抗干扰滤波：基线滤波、低通滤波、肌电滤波、交流滤波</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12.11灵敏度：1.25mm/mV、2.5mm/mV、5mm/mV(×0.5)、10mm/mV(×1）、10/5mm/mV、20/10mm/mV、20mm/mV(×2）、40mm/mV、AGC九档固定增益，误差不超过±2%</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12.12走纸速度：5mm/s、6.25mm/s、10mm/s、12.5mm/s，25mm/s、50mm/s六档，误差范围不超过±2%</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12.13支持导联脱落检测与提示功能和心拍提示音；支持起搏信号检测，起搏波检测灵敏度可调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12.14支持PDF、JPEG等多种格式输出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12.15支持高QRS波增益自动减半</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12.16支持标准A4纸打印心电图报告，支持彩色打印，支持打印网络线，且粗细网格线颜色可选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12.17支持Windows、安卓操作系统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12.18供电方式：USB供电或电池供电</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12.19数据传输方式：蓝牙</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13.二代身份证阅读器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13.1符合居民身份证阅读器通用技术要求，兼容ISO/IEC14443TYPEB标准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13.2读卡距离0-3cm</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13.3传输方式：蓝牙</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14.平板电脑</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14.1操作系统：Android13</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14.2CPU：紫光展锐虎贲T618八核处理器两颗CortexA75核心主频2.0GHz六颗CortexA55核心主频2.0GHz</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14.3屏幕尺寸≥10.4英寸，分辨率≥1200*2000</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14.4支持GPS定位</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14.5TF/SIM卡：三选二卡托；TF卡最高支持2TB，NanoSIM卡支持双卡双待</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14.6存储容量≥128GB，运行内存≥6GB（提供产品规格书予以佐证，不提供或提供的内容不符合要求不得分）。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14.7内置高清摄像头，像素：前置5MFF，后置8MPAF</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14.8电池容量：≥6200mAh，聚合物电芯</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15.手持式彩色超声诊断仪</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15.1掌上彩色多普勒超声诊断仪凸阵/线阵</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15.2用途：急诊、询诊、床旁、腹部、浅表组织、小器官、外周血管等临床诊断</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15.3所配软件为该机型的最新软件版本</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15.4显示器：可通过Type-C数据线连接不同品牌平板或手机（安卓系统）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15.5掌上彩超主机采用即插即用，内置电池无需外置电源(提供彩页予以佐证)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15.6连接好数据线和平板,打开主机电源可以瞬间自动进入超声系统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15.7掌上彩超主机机身仅1个按键：即主机开/关机键(提供彩页予以佐证)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15.8掌上彩超主机为一体化设计，自带电池,耗能低。</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15.9掌上彩超主机标配电池、充电器,可为掌超主机单独充电保证连续使用时间</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15.10掌上彩超整机带缆线</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15.11掌上彩超外壳上有3档电量显示,实时显示主机供电情况(提供技术白皮书予以佐证)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15.12全数字化二维灰阶成像单元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15.13.全数字化彩色多普勒单元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15.14脉冲波多普勒模式（PW）</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15.15实时自动图像追踪优化技术(提供技术白皮书予以佐证)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15.16二维+频谱同屏显示功能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15.17B、C、M、B/D、B/C/D模式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15.18最大扫描深度≥22cm</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15.19预设模式：调节多种参数，针对不同的医生调整预设条件</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15.20增益调节≥255</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15.21取样门宽度多级可调，位置可调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15.22注释：手动输入注释；注释的位置，可视可调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15.23体位标记：丰富的体位图库</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15.24图像存储与回放重现单元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15.25电影存储与回放重现单元</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15.26手指触屏控制：深度调节，焦点位置调节，取样容积及偏转角度等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15.27测量：距离、面积、周长、时间、心率、速度等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15.28回调图像后测量功能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15.29病案管理单元包括病人资料、报告、图像等的存储、检索等</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15.30动、静态图像以PC通用格式直接存储，无需特殊软件即能在PC机上直接观看图像</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15.31病人信息同步保存在平板或手机图库中，可通过微信发送(提供技术白皮书予以佐证)。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15.32界面语言：中英文切换及其他15.33PAD端：</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15.33.1可测量体温、体脂、血压、脉率、血氧饱和度、血糖仪、12导心电、尿生化11项、超声检测功能，设备终端通过蓝牙传输的方式自动将测量结果上传到用户数据管理终端，并对相关检测项进行日常疾病的筛查、健康评估、干预、追踪、随访及异常项监测。</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2</w:t>
      </w:r>
      <w:r>
        <w:rPr>
          <w:rFonts w:hint="eastAsia" w:ascii="仿宋" w:hAnsi="仿宋" w:eastAsia="仿宋" w:cs="仿宋"/>
          <w:color w:val="auto"/>
          <w:spacing w:val="0"/>
          <w:w w:val="100"/>
          <w:sz w:val="28"/>
          <w:szCs w:val="28"/>
          <w:highlight w:val="none"/>
        </w:rPr>
        <w:t>内置二代身份证扫描功能，可扫描居民身份证，自动提取居民身份证号码进行身份识别，支持人脸识别居民身份（提供软件截图予以佐证）。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3</w:t>
      </w:r>
      <w:r>
        <w:rPr>
          <w:rFonts w:hint="eastAsia" w:ascii="仿宋" w:hAnsi="仿宋" w:eastAsia="仿宋" w:cs="仿宋"/>
          <w:color w:val="auto"/>
          <w:spacing w:val="0"/>
          <w:w w:val="100"/>
          <w:sz w:val="28"/>
          <w:szCs w:val="28"/>
          <w:highlight w:val="none"/>
        </w:rPr>
        <w:t>支持人群标签管理，便于查找居民。支持随访表格默认值和必填项两个配置功能,最终实现漏项检查（提供软件截图予以佐证，不提供或提供的内容不符合要求不得分）</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4</w:t>
      </w:r>
      <w:r>
        <w:rPr>
          <w:rFonts w:hint="eastAsia" w:ascii="仿宋" w:hAnsi="仿宋" w:eastAsia="仿宋" w:cs="仿宋"/>
          <w:color w:val="auto"/>
          <w:spacing w:val="0"/>
          <w:w w:val="100"/>
          <w:sz w:val="28"/>
          <w:szCs w:val="28"/>
          <w:highlight w:val="none"/>
        </w:rPr>
        <w:t>居民可选择签约服务包、服务年限进行签约，并可现场拍照留档，支持居民电子签名。</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5</w:t>
      </w:r>
      <w:r>
        <w:rPr>
          <w:rFonts w:hint="eastAsia" w:ascii="仿宋" w:hAnsi="仿宋" w:eastAsia="仿宋" w:cs="仿宋"/>
          <w:color w:val="auto"/>
          <w:spacing w:val="0"/>
          <w:w w:val="100"/>
          <w:sz w:val="28"/>
          <w:szCs w:val="28"/>
          <w:highlight w:val="none"/>
        </w:rPr>
        <w:t>支持老年人、高血压患者、Ⅱ型糖尿病患者、重性精神疾病患者、孕产妇、0-6岁儿童、肺结核患者的随访工作。</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6</w:t>
      </w:r>
      <w:r>
        <w:rPr>
          <w:rFonts w:hint="eastAsia" w:ascii="仿宋" w:hAnsi="仿宋" w:eastAsia="仿宋" w:cs="仿宋"/>
          <w:color w:val="auto"/>
          <w:spacing w:val="0"/>
          <w:w w:val="100"/>
          <w:sz w:val="28"/>
          <w:szCs w:val="28"/>
          <w:highlight w:val="none"/>
        </w:rPr>
        <w:t>支持随访时可直接启动体征检测，不需要切换菜单，且可同步上次随访记录作为本次随访基础，可查看最近四次随访满意度。15.33.</w:t>
      </w:r>
      <w:r>
        <w:rPr>
          <w:rFonts w:hint="eastAsia" w:ascii="仿宋" w:hAnsi="仿宋" w:eastAsia="仿宋" w:cs="仿宋"/>
          <w:color w:val="auto"/>
          <w:spacing w:val="0"/>
          <w:w w:val="100"/>
          <w:sz w:val="28"/>
          <w:szCs w:val="28"/>
          <w:highlight w:val="none"/>
          <w:lang w:val="en-US" w:eastAsia="zh-CN"/>
        </w:rPr>
        <w:t>7</w:t>
      </w:r>
      <w:r>
        <w:rPr>
          <w:rFonts w:hint="eastAsia" w:ascii="仿宋" w:hAnsi="仿宋" w:eastAsia="仿宋" w:cs="仿宋"/>
          <w:color w:val="auto"/>
          <w:spacing w:val="0"/>
          <w:w w:val="100"/>
          <w:sz w:val="28"/>
          <w:szCs w:val="28"/>
          <w:highlight w:val="none"/>
        </w:rPr>
        <w:t>医生通过软件可完成居民的中医体质分类与判定，分析出居民中医体质类型，以及体质特征及调理方法，支持老年人自理能力评估。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8</w:t>
      </w:r>
      <w:r>
        <w:rPr>
          <w:rFonts w:hint="eastAsia" w:ascii="仿宋" w:hAnsi="仿宋" w:eastAsia="仿宋" w:cs="仿宋"/>
          <w:color w:val="auto"/>
          <w:spacing w:val="0"/>
          <w:w w:val="100"/>
          <w:sz w:val="28"/>
          <w:szCs w:val="28"/>
          <w:highlight w:val="none"/>
        </w:rPr>
        <w:t>支持在线、离线数据操作：支持离线存储，可自动保存≥5000人次的检查数据。支持居民健康档案、体检表、随访表历史数据下载后离线使用，在没有网络情况下能查询、编辑、新增档案、体检表、随访记录等，并可在离线状态下记录随访信息。也可设置成实时在线方式，体检表、随访表数据采集完成保存后即可上传至后台系统。</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（提供软件截图予以佐证）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w:t>
      </w:r>
      <w:r>
        <w:rPr>
          <w:rFonts w:hint="eastAsia" w:ascii="仿宋" w:hAnsi="仿宋" w:eastAsia="仿宋" w:cs="仿宋"/>
          <w:color w:val="auto"/>
          <w:spacing w:val="0"/>
          <w:w w:val="100"/>
          <w:sz w:val="28"/>
          <w:szCs w:val="28"/>
          <w:highlight w:val="none"/>
          <w:lang w:val="en-US" w:eastAsia="zh-CN"/>
        </w:rPr>
        <w:t>9</w:t>
      </w:r>
      <w:r>
        <w:rPr>
          <w:rFonts w:hint="eastAsia" w:ascii="仿宋" w:hAnsi="仿宋" w:eastAsia="仿宋" w:cs="仿宋"/>
          <w:color w:val="auto"/>
          <w:spacing w:val="0"/>
          <w:w w:val="100"/>
          <w:sz w:val="28"/>
          <w:szCs w:val="28"/>
          <w:highlight w:val="none"/>
        </w:rPr>
        <w:t>在系统连接到网络后可将离线采集的数据上传至后台。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15.33.1</w:t>
      </w:r>
      <w:r>
        <w:rPr>
          <w:rFonts w:hint="eastAsia" w:ascii="仿宋" w:hAnsi="仿宋" w:eastAsia="仿宋" w:cs="仿宋"/>
          <w:color w:val="auto"/>
          <w:spacing w:val="0"/>
          <w:w w:val="100"/>
          <w:sz w:val="28"/>
          <w:szCs w:val="28"/>
          <w:highlight w:val="none"/>
          <w:lang w:val="en-US" w:eastAsia="zh-CN"/>
        </w:rPr>
        <w:t>0</w:t>
      </w:r>
      <w:r>
        <w:rPr>
          <w:rFonts w:hint="eastAsia" w:ascii="仿宋" w:hAnsi="仿宋" w:eastAsia="仿宋" w:cs="仿宋"/>
          <w:color w:val="auto"/>
          <w:spacing w:val="0"/>
          <w:w w:val="100"/>
          <w:sz w:val="28"/>
          <w:szCs w:val="28"/>
          <w:highlight w:val="none"/>
        </w:rPr>
        <w:t>支持实时在线家庭医生签约或离线签约两种方式。（提供软件截图予以佐证）</w:t>
      </w:r>
      <w:r>
        <w:rPr>
          <w:rFonts w:hint="eastAsia" w:ascii="仿宋" w:hAnsi="仿宋" w:eastAsia="仿宋" w:cs="仿宋"/>
          <w:color w:val="auto"/>
          <w:spacing w:val="0"/>
          <w:w w:val="100"/>
          <w:sz w:val="28"/>
          <w:szCs w:val="28"/>
          <w:highlight w:val="none"/>
          <w:lang w:eastAsia="zh-CN"/>
        </w:rPr>
        <w:t>。</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15.33.1</w:t>
      </w:r>
      <w:r>
        <w:rPr>
          <w:rFonts w:hint="eastAsia" w:ascii="仿宋" w:hAnsi="仿宋" w:eastAsia="仿宋" w:cs="仿宋"/>
          <w:color w:val="auto"/>
          <w:spacing w:val="0"/>
          <w:w w:val="100"/>
          <w:sz w:val="28"/>
          <w:szCs w:val="28"/>
          <w:highlight w:val="none"/>
          <w:lang w:val="en-US" w:eastAsia="zh-CN"/>
        </w:rPr>
        <w:t>1</w:t>
      </w:r>
      <w:r>
        <w:rPr>
          <w:rFonts w:hint="eastAsia" w:ascii="仿宋" w:hAnsi="仿宋" w:eastAsia="仿宋" w:cs="仿宋"/>
          <w:color w:val="auto"/>
          <w:spacing w:val="0"/>
          <w:w w:val="100"/>
          <w:sz w:val="28"/>
          <w:szCs w:val="28"/>
          <w:highlight w:val="none"/>
        </w:rPr>
        <w:t>信息技术服务体系认证：所投产品的操作台制造商具备ISO20000信息技术服务体系认证（提供证书并加盖投标人公章）。</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15.34智能健康随访包管理软件：</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15.34.1居民信息管理，包括新增居民、维护居民信息。</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15.34.2体检报告管理：可根据时间段、数据来源、居民基本信息查询所有体检报告清单，并支持批量打印及批量导入功能。</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15.34.3检验报告：可根据机构、检验仪器、检验日期、申请科室、条码、就诊类型等分页显示辖区范围内所有样本和检测项目信息。可批量选择打印检验报告。</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15.34.4健康档案：支持单个/批量打印，查看单个居民健康总档功能（包括各类随访、体检、评估等各维度健康信息）。（提供软件截图予以佐证）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15.34.5健康年检：可在同一页面查看近期每天体检总人数、上传公卫数，并在同一页面可查看某天体检人员清单，且支持批量打印。支持编辑单个体检表，可一键同步各项体检数据（含心电图、B超、生化、血常规等）（提供软件截图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15.34.6高血压管理：支持单个/批量打印随访表。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可以根据所属机构、上传的状态、体检日期、姓名、身份证等进行条件搜索，可选择批量、单个上传高血压数据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15.34.7糖尿病管理：可选择性的同步体检数据(从近几次体检数据中选择)。支持批量上传糖尿病随访记录。</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15.34.8中医体质管理：可选择批量、单个上传中医体质辨识数据，支持单个/批量打印。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15.34.9自理能力评估：支持批量、单个上传自理能力评估数据，可单个/批量打印。</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15.34.10系统维护：可记录系统涉及数据变更的所有操作。可按照新增、修改、导出等条件搜索查找操作日志（含操作IP地址、操作人、执行的操作）。可记录用户登入登出的操作,可按照新增、修改、导出等条件搜索查找登录日志可记录所有检测设备执行检测日志。可按照、生化、尿检、血检、多项检验仪器条件搜索查找所需数据。（提供软件截图予以佐证）</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15.34.11可一站式处理公卫各类事项：家庭医生签约、公卫体检、慢病随访。</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15.34.12支持在查询终端实现居民自助查询个人健康档案、体检记录（包含院内生化数据、B超图片、心电图片）；且可根据体检报告中异常项给出合理的健康指导建议，分为饮食、运动、养生三个方面。</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lang w:eastAsia="zh-CN"/>
        </w:rPr>
      </w:pPr>
      <w:r>
        <w:rPr>
          <w:rFonts w:hint="eastAsia" w:ascii="仿宋" w:hAnsi="仿宋" w:eastAsia="仿宋" w:cs="仿宋"/>
          <w:color w:val="auto"/>
          <w:spacing w:val="0"/>
          <w:w w:val="100"/>
          <w:sz w:val="28"/>
          <w:szCs w:val="28"/>
          <w:highlight w:val="none"/>
        </w:rPr>
        <w:t>15.34.13实现公共卫生考核指标统计功能，可根据公卫服务数据行程统计分析图表，提供软件截图</w:t>
      </w:r>
      <w:r>
        <w:rPr>
          <w:rFonts w:hint="eastAsia" w:ascii="仿宋" w:hAnsi="仿宋" w:eastAsia="仿宋" w:cs="仿宋"/>
          <w:color w:val="auto"/>
          <w:spacing w:val="0"/>
          <w:w w:val="100"/>
          <w:sz w:val="28"/>
          <w:szCs w:val="28"/>
          <w:highlight w:val="none"/>
          <w:lang w:eastAsia="zh-CN"/>
        </w:rPr>
        <w:t>。</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二、配置要求：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1.标准配置：全套配置，</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标配：</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1.</w:t>
      </w:r>
      <w:r>
        <w:rPr>
          <w:rFonts w:hint="eastAsia" w:ascii="仿宋" w:hAnsi="仿宋" w:eastAsia="仿宋" w:cs="仿宋"/>
          <w:color w:val="auto"/>
          <w:spacing w:val="0"/>
          <w:w w:val="100"/>
          <w:sz w:val="28"/>
          <w:szCs w:val="28"/>
          <w:highlight w:val="none"/>
        </w:rPr>
        <w:t>平板电脑</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2.</w:t>
      </w:r>
      <w:r>
        <w:rPr>
          <w:rFonts w:hint="eastAsia" w:ascii="仿宋" w:hAnsi="仿宋" w:eastAsia="仿宋" w:cs="仿宋"/>
          <w:color w:val="auto"/>
          <w:spacing w:val="0"/>
          <w:w w:val="100"/>
          <w:sz w:val="28"/>
          <w:szCs w:val="28"/>
          <w:highlight w:val="none"/>
        </w:rPr>
        <w:t>二代身份证阅读器</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3.</w:t>
      </w:r>
      <w:r>
        <w:rPr>
          <w:rFonts w:hint="eastAsia" w:ascii="仿宋" w:hAnsi="仿宋" w:eastAsia="仿宋" w:cs="仿宋"/>
          <w:color w:val="auto"/>
          <w:spacing w:val="0"/>
          <w:w w:val="100"/>
          <w:sz w:val="28"/>
          <w:szCs w:val="28"/>
          <w:highlight w:val="none"/>
        </w:rPr>
        <w:t>随访包</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4.</w:t>
      </w:r>
      <w:r>
        <w:rPr>
          <w:rFonts w:hint="eastAsia" w:ascii="仿宋" w:hAnsi="仿宋" w:eastAsia="仿宋" w:cs="仿宋"/>
          <w:color w:val="auto"/>
          <w:spacing w:val="0"/>
          <w:w w:val="100"/>
          <w:sz w:val="28"/>
          <w:szCs w:val="28"/>
          <w:highlight w:val="none"/>
        </w:rPr>
        <w:t>臂式电子血压计</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5.</w:t>
      </w:r>
      <w:r>
        <w:rPr>
          <w:rFonts w:hint="eastAsia" w:ascii="仿宋" w:hAnsi="仿宋" w:eastAsia="仿宋" w:cs="仿宋"/>
          <w:color w:val="auto"/>
          <w:spacing w:val="0"/>
          <w:w w:val="100"/>
          <w:sz w:val="28"/>
          <w:szCs w:val="28"/>
          <w:highlight w:val="none"/>
        </w:rPr>
        <w:t>红外线体温计</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6.</w:t>
      </w:r>
      <w:r>
        <w:rPr>
          <w:rFonts w:hint="eastAsia" w:ascii="仿宋" w:hAnsi="仿宋" w:eastAsia="仿宋" w:cs="仿宋"/>
          <w:color w:val="auto"/>
          <w:spacing w:val="0"/>
          <w:w w:val="100"/>
          <w:sz w:val="28"/>
          <w:szCs w:val="28"/>
          <w:highlight w:val="none"/>
        </w:rPr>
        <w:t>指夹式血氧仪</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7.</w:t>
      </w:r>
      <w:r>
        <w:rPr>
          <w:rFonts w:hint="eastAsia" w:ascii="仿宋" w:hAnsi="仿宋" w:eastAsia="仿宋" w:cs="仿宋"/>
          <w:color w:val="auto"/>
          <w:spacing w:val="0"/>
          <w:w w:val="100"/>
          <w:sz w:val="28"/>
          <w:szCs w:val="28"/>
          <w:highlight w:val="none"/>
        </w:rPr>
        <w:t>血糖检测仪</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8.</w:t>
      </w:r>
      <w:r>
        <w:rPr>
          <w:rFonts w:hint="eastAsia" w:ascii="仿宋" w:hAnsi="仿宋" w:eastAsia="仿宋" w:cs="仿宋"/>
          <w:color w:val="auto"/>
          <w:spacing w:val="0"/>
          <w:w w:val="100"/>
          <w:sz w:val="28"/>
          <w:szCs w:val="28"/>
          <w:highlight w:val="none"/>
        </w:rPr>
        <w:t>数字化心电工作站</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9.</w:t>
      </w:r>
      <w:r>
        <w:rPr>
          <w:rFonts w:hint="eastAsia" w:ascii="仿宋" w:hAnsi="仿宋" w:eastAsia="仿宋" w:cs="仿宋"/>
          <w:color w:val="auto"/>
          <w:spacing w:val="0"/>
          <w:w w:val="100"/>
          <w:sz w:val="28"/>
          <w:szCs w:val="28"/>
          <w:highlight w:val="none"/>
        </w:rPr>
        <w:t>尿常规检测仪</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10.</w:t>
      </w:r>
      <w:r>
        <w:rPr>
          <w:rFonts w:hint="eastAsia" w:ascii="仿宋" w:hAnsi="仿宋" w:eastAsia="仿宋" w:cs="仿宋"/>
          <w:color w:val="auto"/>
          <w:spacing w:val="0"/>
          <w:w w:val="100"/>
          <w:sz w:val="28"/>
          <w:szCs w:val="28"/>
          <w:highlight w:val="none"/>
        </w:rPr>
        <w:t>血糖试纸</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11.</w:t>
      </w:r>
      <w:r>
        <w:rPr>
          <w:rFonts w:hint="eastAsia" w:ascii="仿宋" w:hAnsi="仿宋" w:eastAsia="仿宋" w:cs="仿宋"/>
          <w:color w:val="auto"/>
          <w:spacing w:val="0"/>
          <w:w w:val="100"/>
          <w:sz w:val="28"/>
          <w:szCs w:val="28"/>
          <w:highlight w:val="none"/>
        </w:rPr>
        <w:t>尿常规试纸</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kern w:val="2"/>
          <w:sz w:val="28"/>
          <w:szCs w:val="28"/>
          <w:highlight w:val="none"/>
          <w:lang w:val="en-US" w:eastAsia="zh-CN" w:bidi="ar-SA"/>
        </w:rPr>
        <w:t>12.</w:t>
      </w:r>
      <w:r>
        <w:rPr>
          <w:rFonts w:hint="eastAsia" w:ascii="仿宋" w:hAnsi="仿宋" w:eastAsia="仿宋" w:cs="仿宋"/>
          <w:color w:val="auto"/>
          <w:spacing w:val="0"/>
          <w:w w:val="100"/>
          <w:sz w:val="28"/>
          <w:szCs w:val="28"/>
          <w:highlight w:val="none"/>
        </w:rPr>
        <w:t>便携式超声。</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right="0" w:rightChars="0"/>
        <w:jc w:val="both"/>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软件配置：具有1.上位机软件系统2.查询系统3.中医九型体质评估软件4.健康管理系统（Saas)。</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jc w:val="left"/>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2.人体身高体重秤5个、技术要求：精密平衡梁式压力传感器称重、测量范围：身高:20cm~210cm、体重:1kg~500kg、精确度：身高:±0.5cm或±0.1cm、体重:±0.1kg、</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体型：国际通用体质指数(BMI)、显示方式：5英寸高分辨率显示</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三、质保及售后服务要求：</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1.质保期:自验收合格之日起计保修期，提供整机（含系统）原厂保修服务≥3年，承担保修期内设备任何故障产生的费用。</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2.免费提供操作人员培训和技术服务，提供完善的设备培训方案，现场做专业技术培训，以保证使用老师完全掌握基本操作与维护。</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3.保修期内每季度定期由专业工程师对设备进行巡检。</w:t>
      </w:r>
    </w:p>
    <w:p>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b/>
          <w:bCs/>
          <w:color w:val="auto"/>
          <w:spacing w:val="0"/>
          <w:w w:val="100"/>
          <w:sz w:val="28"/>
          <w:szCs w:val="28"/>
          <w:highlight w:val="none"/>
        </w:rPr>
        <w:t>★4.软件提供与医院现有信息系统对接的标准数据接口，满足医院的信息化建设需要，所有接口费由中标单位承担。</w:t>
      </w:r>
    </w:p>
    <w:p>
      <w:pPr>
        <w:pStyle w:val="11"/>
        <w:keepNext w:val="0"/>
        <w:keepLines w:val="0"/>
        <w:pageBreakBefore w:val="0"/>
        <w:widowControl/>
        <w:numPr>
          <w:ilvl w:val="0"/>
          <w:numId w:val="19"/>
        </w:numPr>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出现故障30分钟内响应，如需现场解决的问题4小时内到达。</w:t>
      </w:r>
    </w:p>
    <w:p>
      <w:pPr>
        <w:pStyle w:val="11"/>
        <w:keepNext w:val="0"/>
        <w:keepLines w:val="0"/>
        <w:pageBreakBefore w:val="0"/>
        <w:widowControl/>
        <w:numPr>
          <w:ilvl w:val="0"/>
          <w:numId w:val="19"/>
        </w:numPr>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color w:val="auto"/>
          <w:spacing w:val="0"/>
          <w:w w:val="100"/>
          <w:sz w:val="28"/>
          <w:szCs w:val="28"/>
          <w:highlight w:val="none"/>
        </w:rPr>
      </w:pPr>
      <w:r>
        <w:rPr>
          <w:rFonts w:hint="eastAsia" w:ascii="仿宋" w:hAnsi="仿宋" w:eastAsia="仿宋" w:cs="仿宋"/>
          <w:color w:val="auto"/>
          <w:spacing w:val="0"/>
          <w:w w:val="100"/>
          <w:sz w:val="28"/>
          <w:szCs w:val="28"/>
          <w:highlight w:val="none"/>
        </w:rPr>
        <w:t>为方便安装、维护、培训，有完善的售后服务。</w:t>
      </w:r>
    </w:p>
    <w:p>
      <w:pPr>
        <w:pStyle w:val="11"/>
        <w:keepNext w:val="0"/>
        <w:keepLines w:val="0"/>
        <w:pageBreakBefore w:val="0"/>
        <w:widowControl/>
        <w:numPr>
          <w:ilvl w:val="0"/>
          <w:numId w:val="19"/>
        </w:numPr>
        <w:kinsoku w:val="0"/>
        <w:wordWrap/>
        <w:overflowPunct/>
        <w:topLinePunct w:val="0"/>
        <w:autoSpaceDE w:val="0"/>
        <w:autoSpaceDN w:val="0"/>
        <w:bidi w:val="0"/>
        <w:adjustRightInd w:val="0"/>
        <w:snapToGrid w:val="0"/>
        <w:spacing w:line="500" w:lineRule="exact"/>
        <w:ind w:left="0" w:right="0" w:rightChars="0" w:firstLine="0"/>
        <w:textAlignment w:val="auto"/>
        <w:outlineLvl w:val="9"/>
        <w:rPr>
          <w:rFonts w:hint="eastAsia" w:ascii="仿宋" w:hAnsi="仿宋" w:eastAsia="仿宋" w:cs="仿宋"/>
          <w:b/>
          <w:bCs w:val="0"/>
          <w:color w:val="auto"/>
          <w:sz w:val="28"/>
          <w:szCs w:val="28"/>
          <w:highlight w:val="none"/>
          <w:lang w:eastAsia="zh-CN"/>
        </w:rPr>
      </w:pPr>
      <w:r>
        <w:rPr>
          <w:rFonts w:hint="eastAsia" w:ascii="仿宋" w:hAnsi="仿宋" w:eastAsia="仿宋" w:cs="仿宋"/>
          <w:color w:val="auto"/>
          <w:spacing w:val="0"/>
          <w:w w:val="100"/>
          <w:sz w:val="28"/>
          <w:szCs w:val="28"/>
          <w:highlight w:val="none"/>
        </w:rPr>
        <w:t>须提供第三方检测报告。</w:t>
      </w:r>
      <w:bookmarkEnd w:id="153"/>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center"/>
        <w:textAlignment w:val="auto"/>
        <w:outlineLvl w:val="0"/>
        <w:rPr>
          <w:rFonts w:hint="eastAsia" w:ascii="仿宋" w:hAnsi="仿宋" w:eastAsia="仿宋" w:cs="仿宋"/>
          <w:b/>
          <w:bCs w:val="0"/>
          <w:color w:val="auto"/>
          <w:sz w:val="28"/>
          <w:szCs w:val="28"/>
          <w:highlight w:val="none"/>
          <w:lang w:eastAsia="zh-CN"/>
        </w:rPr>
      </w:pPr>
      <w:bookmarkStart w:id="154" w:name="_Toc1378"/>
      <w:r>
        <w:rPr>
          <w:rFonts w:hint="eastAsia" w:ascii="仿宋" w:hAnsi="仿宋" w:eastAsia="仿宋" w:cs="仿宋"/>
          <w:b/>
          <w:bCs w:val="0"/>
          <w:color w:val="auto"/>
          <w:sz w:val="28"/>
          <w:szCs w:val="28"/>
          <w:highlight w:val="none"/>
          <w:lang w:eastAsia="zh-CN"/>
        </w:rPr>
        <w:t>第五章  评标办法</w:t>
      </w:r>
      <w:bookmarkEnd w:id="149"/>
      <w:bookmarkEnd w:id="154"/>
      <w:bookmarkStart w:id="155" w:name="_Hlt101846155"/>
      <w:bookmarkEnd w:id="155"/>
      <w:bookmarkStart w:id="156" w:name="_Toc183582280"/>
      <w:bookmarkStart w:id="157" w:name="_Toc208849007"/>
      <w:bookmarkStart w:id="158" w:name="_Toc183682415"/>
      <w:bookmarkStart w:id="159" w:name="_Toc21744609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总则</w:t>
      </w:r>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根据《中华人民共和国政府采购法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中华人民共和国政府采购法实施条例》和《政府采购货物和服务招标投标管理办法》（财政部第87号令）等法律法规、规章和相关规定，结合招标项目特点制定本评标办法。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 </w:t>
      </w:r>
      <w:r>
        <w:rPr>
          <w:rFonts w:hint="eastAsia" w:ascii="仿宋" w:hAnsi="仿宋" w:eastAsia="仿宋" w:cs="仿宋"/>
          <w:bCs/>
          <w:color w:val="auto"/>
          <w:sz w:val="28"/>
          <w:szCs w:val="28"/>
          <w:highlight w:val="none"/>
        </w:rPr>
        <w:t>评标工作由采购人负责组织，具体评标工作由采购人依法组建的评标委员会负责。评标委员会由采购人代表和有关技术、经济等方面的专家组成。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评标工作应遵循公平、公正、科学及择优的原则。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评标委员会按照招标文件规定的评标方法和标准进行评标，并独立履行下列职责：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（1）审查投标文件是否符合招标文件要求，并作出评价；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对投标文件有关事项作出解释或者澄清；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（3）推荐中标候选投标人名单，或者受采购人委托按照事先确定的办法直接确定中标投标人；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（4）向采购人或者有关部门报告非法干预评标工作的行为。</w:t>
      </w:r>
      <w:bookmarkStart w:id="160" w:name="_Toc21744609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评标过程严格保密。投标人对评标委员会的评标过程或合同授予决定施加影响的任何行为都可能导致其投标被拒绝。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1.6评标委员会决定投标文件的响应性应依据投标文件本身的内容，而不寻求外部的证据。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1.7评标委员会发现招标文件表述不明确或需要说明的事项，可提请采购人书面解释说明。发现招标文件违反法律、法规、规章和相关规定的，可以拒绝评标，并向采购人书面说明情况。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本项目评标方法为：综合评分法。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评标程序</w:t>
      </w:r>
      <w:bookmarkEnd w:id="16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bookmarkStart w:id="161" w:name="_Toc217446099"/>
      <w:r>
        <w:rPr>
          <w:rFonts w:hint="eastAsia" w:ascii="仿宋" w:hAnsi="仿宋" w:eastAsia="仿宋" w:cs="仿宋"/>
          <w:color w:val="auto"/>
          <w:sz w:val="28"/>
          <w:szCs w:val="28"/>
          <w:highlight w:val="none"/>
        </w:rPr>
        <w:t>3.1资格审查</w:t>
      </w:r>
    </w:p>
    <w:p>
      <w:pPr>
        <w:keepNext/>
        <w:keepLines/>
        <w:pageBreakBefore w:val="0"/>
        <w:wordWrap/>
        <w:overflowPunct/>
        <w:topLinePunct w:val="0"/>
        <w:bidi w:val="0"/>
        <w:spacing w:line="560" w:lineRule="exact"/>
        <w:ind w:left="0" w:leftChars="0" w:right="0" w:right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资格审查表</w:t>
      </w:r>
    </w:p>
    <w:tbl>
      <w:tblPr>
        <w:tblStyle w:val="32"/>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3236"/>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802" w:type="dxa"/>
            <w:vMerge w:val="restart"/>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335" w:type="dxa"/>
            <w:vMerge w:val="restart"/>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审查</w:t>
            </w:r>
            <w:r>
              <w:rPr>
                <w:rFonts w:hint="eastAsia" w:ascii="仿宋" w:hAnsi="仿宋" w:eastAsia="仿宋" w:cs="仿宋"/>
                <w:color w:val="auto"/>
                <w:sz w:val="28"/>
                <w:szCs w:val="28"/>
                <w:highlight w:val="none"/>
                <w:lang w:val="en-US" w:eastAsia="zh-CN"/>
              </w:rPr>
              <w:t>因素</w:t>
            </w:r>
          </w:p>
        </w:tc>
        <w:tc>
          <w:tcPr>
            <w:tcW w:w="4352" w:type="dxa"/>
            <w:vMerge w:val="restart"/>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02" w:type="dxa"/>
            <w:vMerge w:val="continue"/>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p>
        </w:tc>
        <w:tc>
          <w:tcPr>
            <w:tcW w:w="3335" w:type="dxa"/>
            <w:vMerge w:val="continue"/>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p>
        </w:tc>
        <w:tc>
          <w:tcPr>
            <w:tcW w:w="4352" w:type="dxa"/>
            <w:vMerge w:val="continue"/>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335"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具有独立承担民事责任的能力；</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满足以下条件之一即可</w:t>
            </w:r>
            <w:r>
              <w:rPr>
                <w:rFonts w:hint="eastAsia" w:ascii="仿宋" w:hAnsi="仿宋" w:eastAsia="仿宋" w:cs="仿宋"/>
                <w:color w:val="auto"/>
                <w:sz w:val="28"/>
                <w:szCs w:val="28"/>
                <w:highlight w:val="none"/>
                <w:lang w:eastAsia="zh-CN"/>
              </w:rPr>
              <w:t>：</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投标人为企业（包括合伙企业）的，应提供有效的“营业执照”；</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投标人为事业单位的，应提供有效的“事业单位法人证书”；</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投标人是非企业机构的，应提供有效的“执业许可证”、“登记证书”等证明文件；</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投标人是个体工商户的，应提供有效的“个体工商户营业执照”；</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投标人是自然人的，应提供有效的自然人身份证明。</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33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具有良好的商业信誉和健全的财务会计制度；</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具有良好的商业信誉和健全的财务会计制度；</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①以开标截止时间点投标人未列入“信用中国”&lt;www.creditchina.gov.cn&gt;网站的“失信被执行人”和“重大税收违法失信主体”及“中国政府采购网”&lt;www.ccgp.gov.cn&gt;网站的“政府采购严重违法失信行为记录名单”；开标截止时间点，由采购代理公司统一登陆网站查询递交响应文件的供应商信誉情况，并以保存的网页查询截图为准。投标人为自然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事业单位、个体工商户</w:t>
            </w:r>
            <w:r>
              <w:rPr>
                <w:rFonts w:hint="eastAsia" w:ascii="仿宋" w:hAnsi="仿宋" w:eastAsia="仿宋" w:cs="仿宋"/>
                <w:color w:val="auto"/>
                <w:sz w:val="28"/>
                <w:szCs w:val="28"/>
                <w:highlight w:val="none"/>
              </w:rPr>
              <w:t>需提供</w:t>
            </w:r>
            <w:r>
              <w:rPr>
                <w:rFonts w:hint="eastAsia" w:ascii="仿宋" w:hAnsi="仿宋" w:eastAsia="仿宋" w:cs="仿宋"/>
                <w:color w:val="auto"/>
                <w:sz w:val="28"/>
                <w:szCs w:val="28"/>
                <w:highlight w:val="none"/>
                <w:lang w:val="en-US" w:eastAsia="zh-CN"/>
              </w:rPr>
              <w:t>承诺函；</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②银行出具的近1年内</w:t>
            </w:r>
            <w:r>
              <w:rPr>
                <w:rFonts w:hint="eastAsia" w:ascii="仿宋" w:hAnsi="仿宋" w:eastAsia="仿宋" w:cs="仿宋"/>
                <w:color w:val="auto"/>
                <w:sz w:val="28"/>
                <w:szCs w:val="28"/>
                <w:highlight w:val="none"/>
                <w:lang w:val="en-US" w:eastAsia="zh-CN"/>
              </w:rPr>
              <w:t>任意三个月银行</w:t>
            </w:r>
            <w:r>
              <w:rPr>
                <w:rFonts w:hint="eastAsia" w:ascii="仿宋" w:hAnsi="仿宋" w:eastAsia="仿宋" w:cs="仿宋"/>
                <w:color w:val="auto"/>
                <w:sz w:val="28"/>
                <w:szCs w:val="28"/>
                <w:highlight w:val="none"/>
              </w:rPr>
              <w:t>资信证明或2023年度经会计师事务所或审计机构审计的财务审计报告，财务报告</w:t>
            </w:r>
            <w:r>
              <w:rPr>
                <w:rFonts w:hint="eastAsia" w:ascii="仿宋" w:hAnsi="仿宋" w:eastAsia="仿宋" w:cs="仿宋"/>
                <w:color w:val="auto"/>
                <w:sz w:val="28"/>
                <w:szCs w:val="28"/>
                <w:highlight w:val="none"/>
                <w:lang w:val="en-US" w:eastAsia="zh-CN"/>
              </w:rPr>
              <w:t>至少包含现金流量表‌、资产负债表、利润表；</w:t>
            </w:r>
            <w:r>
              <w:rPr>
                <w:rFonts w:hint="eastAsia" w:ascii="仿宋" w:hAnsi="仿宋" w:eastAsia="仿宋" w:cs="仿宋"/>
                <w:color w:val="auto"/>
                <w:sz w:val="28"/>
                <w:szCs w:val="28"/>
                <w:highlight w:val="none"/>
              </w:rPr>
              <w:t>投标人为自然人</w:t>
            </w:r>
            <w:r>
              <w:rPr>
                <w:rFonts w:hint="eastAsia" w:ascii="仿宋" w:hAnsi="仿宋" w:eastAsia="仿宋" w:cs="仿宋"/>
                <w:color w:val="auto"/>
                <w:sz w:val="28"/>
                <w:szCs w:val="28"/>
                <w:highlight w:val="none"/>
                <w:lang w:val="en-US" w:eastAsia="zh-CN"/>
              </w:rPr>
              <w:t>、个体工商户、营业执照成立日期不足一年的新成立单位</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33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具有履行合同所必需的设备和专业技术能力；</w:t>
            </w:r>
          </w:p>
        </w:tc>
        <w:tc>
          <w:tcPr>
            <w:tcW w:w="4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提供相关设备设施购置发票或单据</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pacing w:val="-2"/>
                <w:sz w:val="28"/>
                <w:szCs w:val="28"/>
                <w:highlight w:val="none"/>
              </w:rPr>
              <w:t>具有履行合同所必需的专业技术能力相关证明材料或</w:t>
            </w:r>
            <w:r>
              <w:rPr>
                <w:rFonts w:hint="eastAsia" w:ascii="仿宋" w:hAnsi="仿宋" w:eastAsia="仿宋" w:cs="仿宋"/>
                <w:color w:val="auto"/>
                <w:sz w:val="28"/>
                <w:szCs w:val="28"/>
                <w:highlight w:val="none"/>
              </w:rPr>
              <w:t>承诺函</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3335" w:type="dxa"/>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有依法缴纳税收和社会保障资金的良好记录；</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提供：①近</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个月内任意</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个月已依法缴纳税收的凭据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自然人、个体工商户无需提供；</w:t>
            </w:r>
            <w:r>
              <w:rPr>
                <w:rFonts w:hint="eastAsia" w:ascii="仿宋" w:hAnsi="仿宋" w:eastAsia="仿宋" w:cs="仿宋"/>
                <w:color w:val="auto"/>
                <w:sz w:val="28"/>
                <w:szCs w:val="28"/>
                <w:highlight w:val="none"/>
              </w:rPr>
              <w:t>依法免税</w:t>
            </w:r>
            <w:r>
              <w:rPr>
                <w:rFonts w:hint="eastAsia" w:ascii="仿宋" w:hAnsi="仿宋" w:eastAsia="仿宋" w:cs="仿宋"/>
                <w:color w:val="auto"/>
                <w:sz w:val="28"/>
                <w:szCs w:val="28"/>
                <w:highlight w:val="none"/>
                <w:lang w:eastAsia="zh-CN"/>
              </w:rPr>
              <w:t>的投标人</w:t>
            </w:r>
            <w:r>
              <w:rPr>
                <w:rFonts w:hint="eastAsia" w:ascii="仿宋" w:hAnsi="仿宋" w:eastAsia="仿宋" w:cs="仿宋"/>
                <w:color w:val="auto"/>
                <w:sz w:val="28"/>
                <w:szCs w:val="28"/>
                <w:highlight w:val="none"/>
              </w:rPr>
              <w:t>，应提供相应证明文件；②近</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个月内任意</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个月已依法缴纳社会保险的凭据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自然人、个体工商户无需提供。</w:t>
            </w:r>
          </w:p>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公司员工为返聘人员提供返聘合同、退休证；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33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参加政府采购活动前三年内，在经营活动中没有重大违法记录；</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提供承诺函</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自行承诺并承担后果，声明不实的，按《政府采购法》及相关法律法规中提供虚假材料的有关规定处理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0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33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法律、行政法规规定的其他条件；</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提供承诺函，投标人自行承诺并承担后果，声明函不实的，按《政府采购法》及相关法律法规中提供虚假材料的有关规定处理）；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33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合格有效的</w:t>
            </w:r>
            <w:r>
              <w:rPr>
                <w:rFonts w:hint="eastAsia" w:ascii="仿宋" w:hAnsi="仿宋" w:eastAsia="仿宋" w:cs="仿宋"/>
                <w:color w:val="auto"/>
                <w:spacing w:val="-2"/>
                <w:sz w:val="28"/>
                <w:szCs w:val="28"/>
                <w:highlight w:val="none"/>
                <w:lang w:val="en-US" w:eastAsia="zh-CN"/>
              </w:rPr>
              <w:t>相关</w:t>
            </w:r>
            <w:r>
              <w:rPr>
                <w:rFonts w:hint="eastAsia" w:ascii="仿宋" w:hAnsi="仿宋" w:eastAsia="仿宋" w:cs="仿宋"/>
                <w:color w:val="auto"/>
                <w:sz w:val="28"/>
                <w:szCs w:val="28"/>
                <w:highlight w:val="none"/>
              </w:rPr>
              <w:t>证明</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80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33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w:t>
            </w:r>
          </w:p>
        </w:tc>
        <w:tc>
          <w:tcPr>
            <w:tcW w:w="4352" w:type="dxa"/>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无需提供任何证明材料。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89" w:type="dxa"/>
            <w:gridSpan w:val="3"/>
            <w:vAlign w:val="center"/>
          </w:tcPr>
          <w:p>
            <w:pPr>
              <w:pStyle w:val="90"/>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shd w:val="clear" w:color="auto" w:fill="FFFFFF"/>
              </w:rPr>
              <w:t>如果资格性审查有一项未通过上述审查标准，</w:t>
            </w:r>
            <w:r>
              <w:rPr>
                <w:rFonts w:hint="eastAsia" w:ascii="仿宋" w:hAnsi="仿宋" w:eastAsia="仿宋" w:cs="仿宋"/>
                <w:color w:val="auto"/>
                <w:sz w:val="28"/>
                <w:szCs w:val="28"/>
                <w:highlight w:val="none"/>
                <w:shd w:val="clear" w:color="auto" w:fill="FFFFFF"/>
                <w:lang w:val="en-US" w:eastAsia="zh-CN"/>
              </w:rPr>
              <w:t>采购人或采购代理机构</w:t>
            </w:r>
            <w:r>
              <w:rPr>
                <w:rFonts w:hint="eastAsia" w:ascii="仿宋" w:hAnsi="仿宋" w:eastAsia="仿宋" w:cs="仿宋"/>
                <w:color w:val="auto"/>
                <w:sz w:val="28"/>
                <w:szCs w:val="28"/>
                <w:highlight w:val="none"/>
                <w:shd w:val="clear" w:color="auto" w:fill="FFFFFF"/>
              </w:rPr>
              <w:t>将认定整个投标文件不响应招标文件而予以无效处理，并且不允许</w:t>
            </w:r>
            <w:r>
              <w:rPr>
                <w:rFonts w:hint="eastAsia" w:ascii="仿宋" w:hAnsi="仿宋" w:eastAsia="仿宋" w:cs="仿宋"/>
                <w:color w:val="auto"/>
                <w:sz w:val="28"/>
                <w:szCs w:val="28"/>
                <w:highlight w:val="none"/>
                <w:shd w:val="clear" w:color="auto" w:fill="FFFFFF"/>
                <w:lang w:eastAsia="zh-CN"/>
              </w:rPr>
              <w:t>投标供应商</w:t>
            </w:r>
            <w:r>
              <w:rPr>
                <w:rFonts w:hint="eastAsia" w:ascii="仿宋" w:hAnsi="仿宋" w:eastAsia="仿宋" w:cs="仿宋"/>
                <w:color w:val="auto"/>
                <w:sz w:val="28"/>
                <w:szCs w:val="28"/>
                <w:highlight w:val="none"/>
                <w:shd w:val="clear" w:color="auto" w:fill="FFFFFF"/>
              </w:rPr>
              <w:t>通过修改或撤销其不符合要求的差异或保留，使之成为具有响应性的投标。</w:t>
            </w:r>
          </w:p>
        </w:tc>
      </w:tr>
    </w:tbl>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strike/>
          <w:color w:val="auto"/>
          <w:sz w:val="28"/>
          <w:szCs w:val="28"/>
          <w:highlight w:val="none"/>
        </w:rPr>
      </w:pPr>
      <w:r>
        <w:rPr>
          <w:rFonts w:hint="eastAsia" w:ascii="仿宋" w:hAnsi="仿宋" w:eastAsia="仿宋" w:cs="仿宋"/>
          <w:color w:val="auto"/>
          <w:sz w:val="28"/>
          <w:szCs w:val="28"/>
          <w:highlight w:val="none"/>
        </w:rPr>
        <w:t>3.2符合性审查。依据招标文件的规定，从投标文件的有效性、完整性和对招标文件的响应程度进行审查，以确定是否对招标文件的实质性要求作出响应。</w:t>
      </w:r>
    </w:p>
    <w:p>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符合性审查表</w:t>
      </w:r>
    </w:p>
    <w:tbl>
      <w:tblPr>
        <w:tblStyle w:val="32"/>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6" w:type="dxa"/>
            <w:vMerge w:val="restart"/>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7333" w:type="dxa"/>
            <w:vMerge w:val="restart"/>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审   查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606" w:type="dxa"/>
            <w:vMerge w:val="continue"/>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p>
        </w:tc>
        <w:tc>
          <w:tcPr>
            <w:tcW w:w="7333" w:type="dxa"/>
            <w:vMerge w:val="continue"/>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exact"/>
          <w:jc w:val="center"/>
        </w:trPr>
        <w:tc>
          <w:tcPr>
            <w:tcW w:w="606" w:type="dxa"/>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7333" w:type="dxa"/>
            <w:vAlign w:val="center"/>
          </w:tcPr>
          <w:p>
            <w:pPr>
              <w:pStyle w:val="90"/>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按照招标文件规定的格式要求编制投标文件，实质性响应招标文件内容</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6" w:type="dxa"/>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333" w:type="dxa"/>
            <w:vAlign w:val="center"/>
          </w:tcPr>
          <w:p>
            <w:pPr>
              <w:pStyle w:val="90"/>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exact"/>
          <w:jc w:val="center"/>
        </w:trPr>
        <w:tc>
          <w:tcPr>
            <w:tcW w:w="606" w:type="dxa"/>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333" w:type="dxa"/>
            <w:vAlign w:val="center"/>
          </w:tcPr>
          <w:p>
            <w:pPr>
              <w:pStyle w:val="90"/>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的规定提交</w:t>
            </w:r>
            <w:r>
              <w:rPr>
                <w:rFonts w:hint="eastAsia" w:ascii="仿宋" w:hAnsi="仿宋" w:eastAsia="仿宋" w:cs="仿宋"/>
                <w:color w:val="auto"/>
                <w:sz w:val="28"/>
                <w:szCs w:val="28"/>
                <w:highlight w:val="none"/>
                <w:lang w:val="en-US" w:eastAsia="zh-CN"/>
              </w:rPr>
              <w:t>投标保证金</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exact"/>
          <w:jc w:val="center"/>
        </w:trPr>
        <w:tc>
          <w:tcPr>
            <w:tcW w:w="606" w:type="dxa"/>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7333" w:type="dxa"/>
            <w:vAlign w:val="center"/>
          </w:tcPr>
          <w:p>
            <w:pPr>
              <w:pStyle w:val="90"/>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w:t>
            </w:r>
            <w:r>
              <w:rPr>
                <w:rFonts w:hint="eastAsia" w:ascii="仿宋" w:hAnsi="仿宋" w:eastAsia="仿宋" w:cs="仿宋"/>
                <w:color w:val="auto"/>
                <w:sz w:val="28"/>
                <w:szCs w:val="28"/>
                <w:highlight w:val="none"/>
                <w:lang w:val="en-US" w:eastAsia="zh-CN"/>
              </w:rPr>
              <w:t>未</w:t>
            </w:r>
            <w:r>
              <w:rPr>
                <w:rFonts w:hint="eastAsia" w:ascii="仿宋" w:hAnsi="仿宋" w:eastAsia="仿宋" w:cs="仿宋"/>
                <w:color w:val="auto"/>
                <w:sz w:val="28"/>
                <w:szCs w:val="28"/>
                <w:highlight w:val="none"/>
              </w:rPr>
              <w:t>超过</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中规定的</w:t>
            </w:r>
            <w:r>
              <w:rPr>
                <w:rFonts w:hint="eastAsia" w:ascii="仿宋" w:hAnsi="仿宋" w:eastAsia="仿宋" w:cs="仿宋"/>
                <w:color w:val="auto"/>
                <w:sz w:val="28"/>
                <w:szCs w:val="28"/>
                <w:highlight w:val="none"/>
                <w:lang w:val="en-US" w:eastAsia="zh-CN"/>
              </w:rPr>
              <w:t>单价、总价</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zh-CN"/>
              </w:rPr>
              <w:t>任何有选择的报价或有附加条件的报价，视为无效报价</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exact"/>
          <w:jc w:val="center"/>
        </w:trPr>
        <w:tc>
          <w:tcPr>
            <w:tcW w:w="606" w:type="dxa"/>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7333" w:type="dxa"/>
            <w:vAlign w:val="center"/>
          </w:tcPr>
          <w:p>
            <w:pPr>
              <w:pStyle w:val="90"/>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供货期、</w:t>
            </w:r>
            <w:r>
              <w:rPr>
                <w:rFonts w:hint="eastAsia" w:ascii="仿宋" w:hAnsi="仿宋" w:eastAsia="仿宋" w:cs="仿宋"/>
                <w:color w:val="auto"/>
                <w:sz w:val="28"/>
                <w:szCs w:val="28"/>
                <w:highlight w:val="none"/>
              </w:rPr>
              <w:t>质保期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投标有效期、</w:t>
            </w:r>
            <w:r>
              <w:rPr>
                <w:rFonts w:hint="eastAsia" w:ascii="仿宋" w:hAnsi="仿宋" w:eastAsia="仿宋" w:cs="仿宋"/>
                <w:b w:val="0"/>
                <w:bCs/>
                <w:color w:val="auto"/>
                <w:sz w:val="28"/>
                <w:szCs w:val="28"/>
                <w:highlight w:val="none"/>
                <w:u w:val="none"/>
                <w:lang w:val="en-US" w:eastAsia="zh-CN"/>
              </w:rPr>
              <w:t>质量标准</w:t>
            </w: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606" w:type="dxa"/>
            <w:vAlign w:val="center"/>
          </w:tcPr>
          <w:p>
            <w:pPr>
              <w:pStyle w:val="90"/>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333" w:type="dxa"/>
            <w:vAlign w:val="center"/>
          </w:tcPr>
          <w:p>
            <w:pPr>
              <w:pStyle w:val="90"/>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lang w:val="en-US" w:eastAsia="zh-CN"/>
              </w:rPr>
              <w:t>不存在</w:t>
            </w:r>
            <w:r>
              <w:rPr>
                <w:rFonts w:hint="eastAsia" w:ascii="仿宋" w:hAnsi="仿宋" w:eastAsia="仿宋" w:cs="仿宋"/>
                <w:color w:val="auto"/>
                <w:sz w:val="28"/>
                <w:szCs w:val="28"/>
                <w:highlight w:val="none"/>
                <w:lang w:eastAsia="zh-CN"/>
              </w:rPr>
              <w:t>采购人不能接受的附加条件</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exact"/>
          <w:jc w:val="center"/>
        </w:trPr>
        <w:tc>
          <w:tcPr>
            <w:tcW w:w="7939" w:type="dxa"/>
            <w:gridSpan w:val="2"/>
            <w:vAlign w:val="center"/>
          </w:tcPr>
          <w:p>
            <w:pPr>
              <w:pStyle w:val="90"/>
              <w:pageBreakBefore w:val="0"/>
              <w:kinsoku/>
              <w:wordWrap/>
              <w:overflowPunct/>
              <w:topLinePunct w:val="0"/>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符合性审查</w:t>
            </w:r>
            <w:r>
              <w:rPr>
                <w:rFonts w:hint="eastAsia" w:ascii="仿宋" w:hAnsi="仿宋" w:eastAsia="仿宋" w:cs="仿宋"/>
                <w:color w:val="auto"/>
                <w:sz w:val="28"/>
                <w:szCs w:val="28"/>
                <w:highlight w:val="none"/>
              </w:rPr>
              <w:t>中有一项未通过上述审查标准，</w:t>
            </w:r>
            <w:r>
              <w:rPr>
                <w:rFonts w:hint="eastAsia" w:ascii="仿宋" w:hAnsi="仿宋" w:eastAsia="仿宋" w:cs="仿宋"/>
                <w:color w:val="auto"/>
                <w:sz w:val="28"/>
                <w:szCs w:val="28"/>
                <w:highlight w:val="none"/>
                <w:lang w:eastAsia="zh-CN"/>
              </w:rPr>
              <w:t>评审委员会</w:t>
            </w:r>
            <w:r>
              <w:rPr>
                <w:rFonts w:hint="eastAsia" w:ascii="仿宋" w:hAnsi="仿宋" w:eastAsia="仿宋" w:cs="仿宋"/>
                <w:color w:val="auto"/>
                <w:sz w:val="28"/>
                <w:szCs w:val="28"/>
                <w:highlight w:val="none"/>
              </w:rPr>
              <w:t>将认定整个投标文件不响应招标文件而予以无效处理，并且不允许</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通过修改或撤销其不符合要求的差异或保留，使之成为具有响应性的投标</w:t>
            </w:r>
            <w:r>
              <w:rPr>
                <w:rFonts w:hint="eastAsia" w:ascii="仿宋" w:hAnsi="仿宋" w:eastAsia="仿宋" w:cs="仿宋"/>
                <w:color w:val="auto"/>
                <w:sz w:val="28"/>
                <w:szCs w:val="28"/>
                <w:highlight w:val="none"/>
                <w:lang w:eastAsia="zh-CN"/>
              </w:rPr>
              <w:t>。</w:t>
            </w:r>
          </w:p>
        </w:tc>
      </w:tr>
    </w:tbl>
    <w:p>
      <w:pPr>
        <w:pStyle w:val="12"/>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3.2.1在投标文件符合性审查过程中，如果出现评标委员会成员意见不一致的情况，按照少数服从多数的原则确定，但不得违背政府采购基本原则和招标文件规定。</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62" w:name="_Toc217446104"/>
      <w:bookmarkStart w:id="163" w:name="_Toc183582287"/>
      <w:bookmarkStart w:id="164" w:name="_Toc183682422"/>
    </w:p>
    <w:bookmarkEnd w:id="162"/>
    <w:bookmarkEnd w:id="163"/>
    <w:bookmarkEnd w:id="164"/>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3.4比较与评价。按招标文件中规定的评标方法和标准，对符合性审查合格的投标文件进行综合比较与评价。</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3.5推荐中标候选人名单。中标候选人数量应当根据招标文件确定，但必须按顺序排列中标候选人。</w:t>
      </w:r>
    </w:p>
    <w:p>
      <w:pPr>
        <w:pStyle w:val="85"/>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3.5.1评标委员会根据综合评分情况，按照评标得分由高到低顺序推荐3名中标候选人，并编写评标报告。得分相同的，按投标报价由低到高顺序排列。得分且投标报价相同的</w:t>
      </w:r>
      <w:r>
        <w:rPr>
          <w:rFonts w:hint="eastAsia" w:ascii="仿宋" w:hAnsi="仿宋" w:eastAsia="仿宋" w:cs="仿宋"/>
          <w:color w:val="auto"/>
          <w:sz w:val="28"/>
          <w:szCs w:val="28"/>
          <w:highlight w:val="none"/>
          <w:shd w:val="clear" w:color="auto" w:fill="FAFAFA"/>
        </w:rPr>
        <w:t>，按照技术指标优劣顺序推荐</w:t>
      </w:r>
      <w:r>
        <w:rPr>
          <w:rFonts w:hint="eastAsia" w:ascii="仿宋" w:hAnsi="仿宋" w:eastAsia="仿宋" w:cs="仿宋"/>
          <w:color w:val="auto"/>
          <w:sz w:val="28"/>
          <w:szCs w:val="28"/>
          <w:highlight w:val="none"/>
        </w:rPr>
        <w:t>。</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3.6编写评标报告。评标报告是评标委员会根据评标委员成员签字的原始评标记录和评标结果编写的报告，其主要内容包括：</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（1）项目概况、开标日期和地点；</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（2）参与竞争的的投标人名单和评标委员会成员名单；</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（3）评审因素和评分标准；</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（4）开标记录和评标情况及说明，包括投标无效投标人名单及原因；</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（5）评标结果和中标候选人排序。</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5" w:name="_Toc217446103"/>
      <w:r>
        <w:rPr>
          <w:rFonts w:hint="eastAsia" w:ascii="仿宋" w:hAnsi="仿宋" w:eastAsia="仿宋" w:cs="仿宋"/>
          <w:color w:val="auto"/>
          <w:sz w:val="28"/>
          <w:szCs w:val="28"/>
          <w:highlight w:val="none"/>
        </w:rPr>
        <w:t>4. 评标细则及标准</w:t>
      </w:r>
      <w:bookmarkEnd w:id="165"/>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评标委员会只对通过符合性审查的投标文件，根据招标文件的要求采用相同的评标程序、评分办法及标准进行评价和比较。</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 本次综合评分的因素是：商务、价格、技术服务、业绩、对招标文件的响应程度以及投标文件规范性等。</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 除价格因素外，评标委员会成员应依据投标文件规定的评审因素和评分标准进行比较打分。</w:t>
      </w:r>
    </w:p>
    <w:p>
      <w:pPr>
        <w:pStyle w:val="12"/>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评标细则及标准的制定以科学合理、降低评标委员会自由裁量权为原则。</w:t>
      </w:r>
    </w:p>
    <w:p>
      <w:pPr>
        <w:pStyle w:val="12"/>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评标委员会将按照下述评分标准对通过符合性审查的投标文件进行详细评标，投标人评标得分等于所有评委评分的算术平均值，结果保留两位小数。</w:t>
      </w:r>
    </w:p>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评审因素权重表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974"/>
        <w:gridCol w:w="2241"/>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1</w:t>
            </w:r>
          </w:p>
        </w:tc>
        <w:tc>
          <w:tcPr>
            <w:tcW w:w="1315"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2</w:t>
            </w:r>
          </w:p>
        </w:tc>
        <w:tc>
          <w:tcPr>
            <w:tcW w:w="1583"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权重</w:t>
            </w:r>
          </w:p>
        </w:tc>
        <w:tc>
          <w:tcPr>
            <w:tcW w:w="1158"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30%</w:t>
            </w:r>
          </w:p>
        </w:tc>
        <w:tc>
          <w:tcPr>
            <w:tcW w:w="1315"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lang w:val="en-US" w:eastAsia="zh-CN"/>
              </w:rPr>
              <w:t>70</w:t>
            </w:r>
            <w:r>
              <w:rPr>
                <w:rFonts w:hint="eastAsia" w:ascii="仿宋" w:hAnsi="仿宋" w:eastAsia="仿宋" w:cs="仿宋"/>
                <w:color w:val="auto"/>
                <w:spacing w:val="6"/>
                <w:kern w:val="0"/>
                <w:sz w:val="28"/>
                <w:szCs w:val="28"/>
                <w:highlight w:val="none"/>
              </w:rPr>
              <w:t>%</w:t>
            </w:r>
          </w:p>
        </w:tc>
        <w:tc>
          <w:tcPr>
            <w:tcW w:w="1583"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100%</w:t>
            </w:r>
          </w:p>
        </w:tc>
      </w:tr>
    </w:tbl>
    <w:p>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12"/>
        <w:keepNext w:val="0"/>
        <w:keepLines w:val="0"/>
        <w:pageBreakBefore w:val="0"/>
        <w:widowControl w:val="0"/>
        <w:tabs>
          <w:tab w:val="left" w:pos="600"/>
        </w:tabs>
        <w:kinsoku/>
        <w:wordWrap/>
        <w:overflowPunct/>
        <w:topLinePunct w:val="0"/>
        <w:bidi w:val="0"/>
        <w:snapToGrid/>
        <w:spacing w:line="560" w:lineRule="exact"/>
        <w:ind w:left="0" w:leftChars="0" w:right="0" w:rightChars="0" w:firstLine="0"/>
        <w:jc w:val="center"/>
        <w:textAlignment w:val="auto"/>
        <w:outlineLvl w:val="1"/>
        <w:rPr>
          <w:rFonts w:hint="eastAsia" w:ascii="仿宋" w:hAnsi="仿宋" w:eastAsia="仿宋" w:cs="仿宋"/>
          <w:color w:val="auto"/>
          <w:spacing w:val="6"/>
          <w:kern w:val="0"/>
          <w:sz w:val="28"/>
          <w:szCs w:val="28"/>
          <w:highlight w:val="none"/>
        </w:rPr>
      </w:pPr>
      <w:r>
        <w:rPr>
          <w:rFonts w:hint="eastAsia" w:ascii="仿宋" w:hAnsi="仿宋" w:eastAsia="仿宋" w:cs="仿宋"/>
          <w:b/>
          <w:bCs/>
          <w:color w:val="auto"/>
          <w:sz w:val="28"/>
          <w:szCs w:val="28"/>
          <w:highlight w:val="none"/>
          <w:lang w:val="en-US" w:eastAsia="zh-CN"/>
        </w:rPr>
        <w:t>标项一至标项八：</w:t>
      </w:r>
      <w:r>
        <w:rPr>
          <w:rFonts w:hint="eastAsia" w:ascii="仿宋" w:hAnsi="仿宋" w:eastAsia="仿宋" w:cs="仿宋"/>
          <w:b/>
          <w:bCs/>
          <w:color w:val="auto"/>
          <w:sz w:val="28"/>
          <w:szCs w:val="28"/>
          <w:highlight w:val="none"/>
        </w:rPr>
        <w:t>商务、技术部分评审标准（70分）</w:t>
      </w:r>
    </w:p>
    <w:tbl>
      <w:tblPr>
        <w:tblStyle w:val="32"/>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635"/>
        <w:gridCol w:w="1050"/>
        <w:gridCol w:w="1223"/>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w:t>
            </w:r>
          </w:p>
        </w:tc>
        <w:tc>
          <w:tcPr>
            <w:tcW w:w="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评审项目</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分值 </w:t>
            </w:r>
          </w:p>
        </w:tc>
        <w:tc>
          <w:tcPr>
            <w:tcW w:w="5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商务部分</w:t>
            </w:r>
          </w:p>
        </w:tc>
        <w:tc>
          <w:tcPr>
            <w:tcW w:w="6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1</w:t>
            </w:r>
          </w:p>
        </w:tc>
        <w:tc>
          <w:tcPr>
            <w:tcW w:w="1082"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z w:val="28"/>
                <w:szCs w:val="28"/>
                <w:highlight w:val="none"/>
                <w:lang w:val="en-US" w:eastAsia="zh-CN"/>
              </w:rPr>
              <w:t>类似业绩</w:t>
            </w: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z w:val="28"/>
                <w:szCs w:val="28"/>
                <w:highlight w:val="none"/>
                <w:lang w:val="en-US" w:eastAsia="zh-CN"/>
              </w:rPr>
              <w:t>5分</w:t>
            </w:r>
          </w:p>
        </w:tc>
        <w:tc>
          <w:tcPr>
            <w:tcW w:w="5822"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240" w:lineRule="auto"/>
              <w:ind w:left="0" w:leftChars="0"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投标人近三年内（2021年01月01日-投标文件上传截止时间前，以合同签订日期为准）完成类似项目的业绩，每个项目业绩得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分，最多得5分。 注：①须提供中标（成交）通知书</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 xml:space="preserve">合同（至少包括合同首页、标的页、签字盖章页、采购内容页）彩色扫描件，未按要求提供不得分；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6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技术部分</w:t>
            </w:r>
          </w:p>
        </w:tc>
        <w:tc>
          <w:tcPr>
            <w:tcW w:w="6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2</w:t>
            </w:r>
          </w:p>
        </w:tc>
        <w:tc>
          <w:tcPr>
            <w:tcW w:w="1082"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z w:val="28"/>
                <w:szCs w:val="28"/>
                <w:highlight w:val="none"/>
                <w:lang w:val="en-US" w:eastAsia="zh-CN"/>
              </w:rPr>
              <w:t>质量保障及技术参数的符合程度</w:t>
            </w: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240" w:lineRule="auto"/>
              <w:ind w:left="0" w:leftChars="0" w:right="0" w:rightChars="0"/>
              <w:jc w:val="center"/>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41分</w:t>
            </w:r>
          </w:p>
        </w:tc>
        <w:tc>
          <w:tcPr>
            <w:tcW w:w="5822"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spacing w:line="240" w:lineRule="auto"/>
              <w:ind w:left="0" w:leftChars="0" w:right="0" w:righ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“第四章项目</w:t>
            </w:r>
            <w:r>
              <w:rPr>
                <w:rFonts w:hint="eastAsia" w:ascii="仿宋" w:hAnsi="仿宋" w:eastAsia="仿宋" w:cs="仿宋"/>
                <w:color w:val="auto"/>
                <w:sz w:val="28"/>
                <w:szCs w:val="28"/>
                <w:highlight w:val="none"/>
                <w:lang w:eastAsia="zh-CN"/>
              </w:rPr>
              <w:t>采购需求▲</w:t>
            </w:r>
            <w:r>
              <w:rPr>
                <w:rFonts w:hint="eastAsia" w:ascii="仿宋" w:hAnsi="仿宋" w:eastAsia="仿宋" w:cs="仿宋"/>
                <w:color w:val="auto"/>
                <w:sz w:val="28"/>
                <w:szCs w:val="28"/>
                <w:highlight w:val="none"/>
                <w:lang w:val="en-US" w:eastAsia="zh-CN"/>
              </w:rPr>
              <w:t>号项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项为关键参数项</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一项不满足扣</w:t>
            </w:r>
            <w:r>
              <w:rPr>
                <w:rFonts w:hint="eastAsia" w:ascii="仿宋" w:hAnsi="仿宋" w:eastAsia="仿宋" w:cs="仿宋"/>
                <w:color w:val="auto"/>
                <w:sz w:val="28"/>
                <w:szCs w:val="28"/>
                <w:highlight w:val="none"/>
                <w:lang w:val="en-US" w:eastAsia="zh-CN"/>
              </w:rPr>
              <w:t>3分；</w:t>
            </w:r>
          </w:p>
          <w:p>
            <w:pPr>
              <w:pageBreakBefore w:val="0"/>
              <w:wordWrap/>
              <w:overflowPunct/>
              <w:topLinePunct w:val="0"/>
              <w:bidi w:val="0"/>
              <w:spacing w:line="240" w:lineRule="auto"/>
              <w:ind w:left="0" w:leftChars="0" w:right="0" w:righ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号项为一般参数项</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一项不满足扣</w:t>
            </w:r>
            <w:r>
              <w:rPr>
                <w:rFonts w:hint="eastAsia" w:ascii="仿宋" w:hAnsi="仿宋" w:eastAsia="仿宋" w:cs="仿宋"/>
                <w:color w:val="auto"/>
                <w:sz w:val="28"/>
                <w:szCs w:val="28"/>
                <w:highlight w:val="none"/>
                <w:lang w:val="en-US" w:eastAsia="zh-CN"/>
              </w:rPr>
              <w:t>1分，扣完为止。</w:t>
            </w:r>
          </w:p>
          <w:p>
            <w:pPr>
              <w:pageBreakBefore w:val="0"/>
              <w:wordWrap/>
              <w:overflowPunct/>
              <w:topLinePunct w:val="0"/>
              <w:bidi w:val="0"/>
              <w:spacing w:line="240" w:lineRule="auto"/>
              <w:ind w:left="0" w:leftChars="0" w:right="0" w:rightChars="0"/>
              <w:jc w:val="left"/>
              <w:rPr>
                <w:rFonts w:hint="eastAsia"/>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r>
              <w:rPr>
                <w:rFonts w:hint="default" w:ascii="仿宋" w:hAnsi="仿宋" w:eastAsia="仿宋" w:cs="仿宋"/>
                <w:color w:val="auto"/>
                <w:sz w:val="28"/>
                <w:szCs w:val="28"/>
                <w:highlight w:val="none"/>
                <w:lang w:val="en-US" w:eastAsia="zh-CN"/>
              </w:rPr>
              <w:t>每项</w:t>
            </w:r>
            <w:r>
              <w:rPr>
                <w:rFonts w:hint="eastAsia" w:ascii="仿宋" w:hAnsi="仿宋" w:eastAsia="仿宋" w:cs="仿宋"/>
                <w:color w:val="auto"/>
                <w:sz w:val="28"/>
                <w:szCs w:val="28"/>
                <w:highlight w:val="none"/>
                <w:lang w:val="en-US" w:eastAsia="zh-CN"/>
              </w:rPr>
              <w:t>投标人</w:t>
            </w:r>
            <w:r>
              <w:rPr>
                <w:rFonts w:hint="default" w:ascii="仿宋" w:hAnsi="仿宋" w:eastAsia="仿宋" w:cs="仿宋"/>
                <w:color w:val="auto"/>
                <w:sz w:val="28"/>
                <w:szCs w:val="28"/>
                <w:highlight w:val="none"/>
                <w:lang w:val="en-US" w:eastAsia="zh-CN"/>
              </w:rPr>
              <w:t>需提供与产品技术参数相关的</w:t>
            </w:r>
            <w:r>
              <w:rPr>
                <w:rFonts w:hint="eastAsia" w:ascii="仿宋" w:hAnsi="仿宋" w:eastAsia="仿宋" w:cs="仿宋"/>
                <w:color w:val="auto"/>
                <w:sz w:val="28"/>
                <w:szCs w:val="28"/>
                <w:highlight w:val="none"/>
                <w:lang w:val="en-US" w:eastAsia="zh-CN"/>
              </w:rPr>
              <w:t>证明</w:t>
            </w:r>
            <w:r>
              <w:rPr>
                <w:rFonts w:hint="default" w:ascii="仿宋" w:hAnsi="仿宋" w:eastAsia="仿宋" w:cs="仿宋"/>
                <w:color w:val="auto"/>
                <w:sz w:val="28"/>
                <w:szCs w:val="28"/>
                <w:highlight w:val="none"/>
                <w:lang w:val="en-US" w:eastAsia="zh-CN"/>
              </w:rPr>
              <w:t>材料（如</w:t>
            </w:r>
            <w:r>
              <w:rPr>
                <w:rFonts w:hint="eastAsia" w:ascii="仿宋" w:hAnsi="仿宋" w:eastAsia="仿宋" w:cs="仿宋"/>
                <w:color w:val="auto"/>
                <w:sz w:val="28"/>
                <w:szCs w:val="28"/>
                <w:highlight w:val="none"/>
                <w:lang w:val="en-US" w:eastAsia="zh-CN"/>
              </w:rPr>
              <w:t>产品</w:t>
            </w:r>
            <w:r>
              <w:rPr>
                <w:rFonts w:hint="default" w:ascii="仿宋" w:hAnsi="仿宋" w:eastAsia="仿宋" w:cs="仿宋"/>
                <w:color w:val="auto"/>
                <w:sz w:val="28"/>
                <w:szCs w:val="28"/>
                <w:highlight w:val="none"/>
                <w:lang w:val="en-US" w:eastAsia="zh-CN"/>
              </w:rPr>
              <w:t>样式及材质清单、认证证书、产品检测报告、鉴定证书、制造商产品彩页、制造商官网截图、制造商技术白皮书、制造商产品说明书</w:t>
            </w:r>
            <w:r>
              <w:rPr>
                <w:rFonts w:hint="eastAsia" w:ascii="仿宋" w:hAnsi="仿宋" w:eastAsia="仿宋" w:cs="仿宋"/>
                <w:color w:val="auto"/>
                <w:sz w:val="28"/>
                <w:szCs w:val="28"/>
                <w:highlight w:val="none"/>
                <w:lang w:val="en-US" w:eastAsia="zh-CN"/>
              </w:rPr>
              <w:t>、检测报告中的检测结果数据、产品注册证</w:t>
            </w:r>
            <w:r>
              <w:rPr>
                <w:rFonts w:hint="default"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lang w:val="en-US" w:eastAsia="zh-CN"/>
              </w:rPr>
              <w:t>彩页或彩色实物照片，提供任一项即可）</w:t>
            </w:r>
            <w:r>
              <w:rPr>
                <w:rFonts w:hint="default" w:ascii="仿宋" w:hAnsi="仿宋" w:eastAsia="仿宋" w:cs="仿宋"/>
                <w:color w:val="auto"/>
                <w:sz w:val="28"/>
                <w:szCs w:val="28"/>
                <w:highlight w:val="none"/>
                <w:lang w:val="en-US" w:eastAsia="zh-CN"/>
              </w:rPr>
              <w:t>，不提供、不清楚不准确</w:t>
            </w:r>
            <w:r>
              <w:rPr>
                <w:rFonts w:hint="eastAsia" w:ascii="仿宋" w:hAnsi="仿宋" w:eastAsia="仿宋" w:cs="仿宋"/>
                <w:color w:val="auto"/>
                <w:sz w:val="28"/>
                <w:szCs w:val="28"/>
                <w:highlight w:val="none"/>
                <w:lang w:val="en-US" w:eastAsia="zh-CN"/>
              </w:rPr>
              <w:t>提供不全不得分，并在“技术需求偏离表”中注明“响应情况”和“偏离情况”。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eastAsia" w:ascii="仿宋" w:hAnsi="仿宋" w:eastAsia="仿宋" w:cs="仿宋"/>
                <w:color w:val="auto"/>
                <w:spacing w:val="6"/>
                <w:kern w:val="0"/>
                <w:sz w:val="28"/>
                <w:szCs w:val="28"/>
                <w:highlight w:val="none"/>
                <w:lang w:val="en-US" w:eastAsia="zh-CN"/>
              </w:rPr>
            </w:pPr>
          </w:p>
        </w:tc>
        <w:tc>
          <w:tcPr>
            <w:tcW w:w="655" w:type="dxa"/>
            <w:tcBorders>
              <w:left w:val="single" w:color="auto" w:sz="4" w:space="0"/>
              <w:right w:val="single" w:color="auto" w:sz="4" w:space="0"/>
            </w:tcBorders>
            <w:vAlign w:val="center"/>
          </w:tcPr>
          <w:p>
            <w:pPr>
              <w:autoSpaceDE w:val="0"/>
              <w:autoSpaceDN w:val="0"/>
              <w:adjustRightInd w:val="0"/>
              <w:spacing w:line="340" w:lineRule="exact"/>
              <w:jc w:val="center"/>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bCs/>
                <w:color w:val="auto"/>
                <w:sz w:val="28"/>
                <w:szCs w:val="28"/>
                <w:highlight w:val="none"/>
                <w:lang w:val="en-US" w:eastAsia="zh-CN"/>
              </w:rPr>
              <w:t>3</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服务方案</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8分</w:t>
            </w:r>
          </w:p>
        </w:tc>
        <w:tc>
          <w:tcPr>
            <w:tcW w:w="5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（1）供货方案（包括但不仅限于：①货物保证</w:t>
            </w:r>
            <w:r>
              <w:rPr>
                <w:rFonts w:hint="eastAsia" w:ascii="仿宋" w:hAnsi="仿宋" w:eastAsia="仿宋" w:cs="仿宋"/>
                <w:color w:val="auto"/>
                <w:sz w:val="28"/>
                <w:szCs w:val="28"/>
                <w:highlight w:val="none"/>
                <w:lang w:val="en-US" w:bidi="zh-CN"/>
              </w:rPr>
              <w:t>方案、②管理措施、③重点难点、④安装调试等</w:t>
            </w:r>
            <w:r>
              <w:rPr>
                <w:rFonts w:hint="eastAsia" w:ascii="仿宋" w:hAnsi="仿宋" w:eastAsia="仿宋" w:cs="仿宋"/>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z w:val="28"/>
                <w:szCs w:val="28"/>
                <w:highlight w:val="none"/>
                <w:lang w:val="en-US" w:eastAsia="zh-CN"/>
              </w:rPr>
              <w:t>（2）项目管理制度（包括但不仅限于：①</w:t>
            </w:r>
            <w:r>
              <w:rPr>
                <w:rFonts w:hint="eastAsia" w:ascii="仿宋" w:hAnsi="仿宋" w:eastAsia="仿宋" w:cs="仿宋"/>
                <w:color w:val="auto"/>
                <w:spacing w:val="6"/>
                <w:kern w:val="0"/>
                <w:sz w:val="28"/>
                <w:szCs w:val="28"/>
                <w:highlight w:val="none"/>
                <w:lang w:val="en-US" w:eastAsia="zh-CN"/>
              </w:rPr>
              <w:t>人员失职惩罚方案、②给采购人造成负面影响经济损失问题处理方案、③项目达成目标、④项目现状分析等</w:t>
            </w:r>
            <w:r>
              <w:rPr>
                <w:rFonts w:hint="eastAsia" w:ascii="仿宋" w:hAnsi="仿宋" w:eastAsia="仿宋" w:cs="仿宋"/>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应急</w:t>
            </w:r>
            <w:r>
              <w:rPr>
                <w:rFonts w:hint="eastAsia" w:ascii="仿宋" w:hAnsi="仿宋" w:eastAsia="仿宋" w:cs="仿宋"/>
                <w:color w:val="auto"/>
                <w:sz w:val="28"/>
                <w:szCs w:val="28"/>
                <w:highlight w:val="none"/>
              </w:rPr>
              <w:t>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当有紧急情况发生时，可保障采购人设备的使用，有应急保障能力，并提供应急保障方案</w:t>
            </w:r>
            <w:r>
              <w:rPr>
                <w:rFonts w:hint="eastAsia" w:ascii="仿宋" w:hAnsi="仿宋" w:eastAsia="仿宋" w:cs="仿宋"/>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（4）培训及技术指导方案（包括但不仅限于：①设备使用培训方案；②培训计划及使用过程技术指导方案；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0" w:leftChars="0" w:firstLine="0" w:firstLineChars="0"/>
              <w:jc w:val="left"/>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以上</w:t>
            </w:r>
            <w:r>
              <w:rPr>
                <w:rFonts w:hint="eastAsia" w:ascii="仿宋" w:hAnsi="仿宋" w:eastAsia="仿宋" w:cs="仿宋"/>
                <w:b w:val="0"/>
                <w:bCs w:val="0"/>
                <w:color w:val="000000" w:themeColor="text1"/>
                <w:sz w:val="28"/>
                <w:szCs w:val="28"/>
                <w:highlight w:val="none"/>
                <w14:textFill>
                  <w14:solidFill>
                    <w14:schemeClr w14:val="tx1"/>
                  </w14:solidFill>
                </w14:textFill>
              </w:rPr>
              <w:t>方案内容完整齐全，</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无</w:t>
            </w:r>
            <w:r>
              <w:rPr>
                <w:rFonts w:hint="eastAsia" w:ascii="仿宋" w:hAnsi="仿宋" w:eastAsia="仿宋" w:cs="仿宋"/>
                <w:color w:val="000000"/>
                <w:sz w:val="28"/>
                <w:szCs w:val="28"/>
                <w:highlight w:val="none"/>
                <w:lang w:eastAsia="zh-CN"/>
              </w:rPr>
              <w:t>瑕疵</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符合项目实际，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一项</w:t>
            </w:r>
            <w:r>
              <w:rPr>
                <w:rFonts w:hint="eastAsia" w:ascii="仿宋" w:hAnsi="仿宋" w:eastAsia="仿宋" w:cs="仿宋"/>
                <w:b w:val="0"/>
                <w:bCs w:val="0"/>
                <w:color w:val="000000" w:themeColor="text1"/>
                <w:sz w:val="28"/>
                <w:szCs w:val="28"/>
                <w:highlight w:val="none"/>
                <w14:textFill>
                  <w14:solidFill>
                    <w14:schemeClr w14:val="tx1"/>
                  </w14:solidFill>
                </w14:textFill>
              </w:rPr>
              <w:t>得</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8"/>
                <w:szCs w:val="28"/>
                <w:highlight w:val="none"/>
                <w14:textFill>
                  <w14:solidFill>
                    <w14:schemeClr w14:val="tx1"/>
                  </w14:solidFill>
                </w14:textFill>
              </w:rPr>
              <w:t>分</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最高得8分。</w:t>
            </w:r>
            <w:r>
              <w:rPr>
                <w:rFonts w:hint="eastAsia" w:ascii="仿宋" w:hAnsi="仿宋" w:eastAsia="仿宋" w:cs="仿宋"/>
                <w:b w:val="0"/>
                <w:bCs w:val="0"/>
                <w:color w:val="000000" w:themeColor="text1"/>
                <w:sz w:val="28"/>
                <w:szCs w:val="28"/>
                <w:highlight w:val="none"/>
                <w14:textFill>
                  <w14:solidFill>
                    <w14:schemeClr w14:val="tx1"/>
                  </w14:solidFill>
                </w14:textFill>
              </w:rPr>
              <w:t>内容存在</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缺项、漏项或有</w:t>
            </w:r>
            <w:r>
              <w:rPr>
                <w:rFonts w:hint="eastAsia" w:ascii="仿宋" w:hAnsi="仿宋" w:eastAsia="仿宋" w:cs="仿宋"/>
                <w:b w:val="0"/>
                <w:bCs w:val="0"/>
                <w:color w:val="000000" w:themeColor="text1"/>
                <w:sz w:val="28"/>
                <w:szCs w:val="28"/>
                <w:highlight w:val="none"/>
                <w14:textFill>
                  <w14:solidFill>
                    <w14:schemeClr w14:val="tx1"/>
                  </w14:solidFill>
                </w14:textFill>
              </w:rPr>
              <w:t>缺陷</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等瑕疵，一项依次递减1</w:t>
            </w:r>
            <w:r>
              <w:rPr>
                <w:rFonts w:hint="eastAsia" w:ascii="仿宋" w:hAnsi="仿宋" w:eastAsia="仿宋" w:cs="仿宋"/>
                <w:b w:val="0"/>
                <w:bCs w:val="0"/>
                <w:color w:val="000000" w:themeColor="text1"/>
                <w:sz w:val="28"/>
                <w:szCs w:val="28"/>
                <w:highlight w:val="none"/>
                <w14:textFill>
                  <w14:solidFill>
                    <w14:schemeClr w14:val="tx1"/>
                  </w14:solidFill>
                </w14:textFill>
              </w:rPr>
              <w:t>分，</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扣完为止，</w:t>
            </w:r>
            <w:r>
              <w:rPr>
                <w:rFonts w:hint="eastAsia" w:ascii="仿宋" w:hAnsi="仿宋" w:eastAsia="仿宋" w:cs="仿宋"/>
                <w:b w:val="0"/>
                <w:bCs w:val="0"/>
                <w:color w:val="000000" w:themeColor="text1"/>
                <w:sz w:val="28"/>
                <w:szCs w:val="28"/>
                <w:highlight w:val="none"/>
                <w14:textFill>
                  <w14:solidFill>
                    <w14:schemeClr w14:val="tx1"/>
                  </w14:solidFill>
                </w14:textFill>
              </w:rPr>
              <w:t>未提供不得分。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0" w:leftChars="0" w:firstLine="0" w:firstLineChars="0"/>
              <w:jc w:val="left"/>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sz w:val="28"/>
                <w:szCs w:val="28"/>
                <w:highlight w:val="none"/>
                <w:lang w:val="en-US" w:eastAsia="zh-CN"/>
              </w:rPr>
              <w:t>备注：</w:t>
            </w:r>
            <w:r>
              <w:rPr>
                <w:rFonts w:hint="eastAsia" w:ascii="仿宋" w:hAnsi="仿宋" w:eastAsia="仿宋" w:cs="仿宋"/>
                <w:color w:val="000000"/>
                <w:sz w:val="28"/>
                <w:szCs w:val="28"/>
                <w:highlight w:val="none"/>
                <w:lang w:eastAsia="zh-CN"/>
              </w:rPr>
              <w:t>本项目称“瑕疵”是指内容缺项、不完整或缺少关键点；非专门针对本项目或不适用本项目特征、套用其他项目内容两队同一问题前后前述不一致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center"/>
              <w:textAlignment w:val="auto"/>
              <w:rPr>
                <w:rFonts w:hint="eastAsia" w:ascii="仿宋" w:hAnsi="仿宋" w:eastAsia="仿宋" w:cs="仿宋"/>
                <w:color w:val="auto"/>
                <w:spacing w:val="6"/>
                <w:kern w:val="0"/>
                <w:sz w:val="28"/>
                <w:szCs w:val="28"/>
                <w:highlight w:val="none"/>
                <w:lang w:val="en-US" w:eastAsia="zh-CN"/>
              </w:rPr>
            </w:pPr>
          </w:p>
        </w:tc>
        <w:tc>
          <w:tcPr>
            <w:tcW w:w="655" w:type="dxa"/>
            <w:tcBorders>
              <w:left w:val="single" w:color="auto" w:sz="4" w:space="0"/>
              <w:right w:val="single" w:color="auto" w:sz="4" w:space="0"/>
            </w:tcBorders>
            <w:vAlign w:val="center"/>
          </w:tcPr>
          <w:p>
            <w:pPr>
              <w:autoSpaceDE w:val="0"/>
              <w:autoSpaceDN w:val="0"/>
              <w:adjustRightInd w:val="0"/>
              <w:spacing w:line="340" w:lineRule="exact"/>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售后方案</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val="en-US" w:eastAsia="zh-CN"/>
              </w:rPr>
              <w:t>16分</w:t>
            </w:r>
          </w:p>
        </w:tc>
        <w:tc>
          <w:tcPr>
            <w:tcW w:w="5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根据投标人提供的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z w:val="28"/>
                <w:szCs w:val="28"/>
                <w:highlight w:val="none"/>
                <w:lang w:val="en-US" w:eastAsia="zh-CN"/>
              </w:rPr>
              <w:t>（1）售后方案（包括但不仅限于：①</w:t>
            </w:r>
            <w:r>
              <w:rPr>
                <w:rFonts w:hint="eastAsia" w:ascii="仿宋" w:hAnsi="仿宋" w:eastAsia="仿宋" w:cs="仿宋"/>
                <w:color w:val="auto"/>
                <w:sz w:val="28"/>
                <w:szCs w:val="28"/>
                <w:highlight w:val="none"/>
              </w:rPr>
              <w:t>售后承诺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rPr>
              <w:t>售后流程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③</w:t>
            </w:r>
            <w:r>
              <w:rPr>
                <w:rFonts w:hint="eastAsia" w:ascii="仿宋" w:hAnsi="仿宋" w:eastAsia="仿宋" w:cs="仿宋"/>
                <w:color w:val="auto"/>
                <w:sz w:val="28"/>
                <w:szCs w:val="28"/>
                <w:highlight w:val="none"/>
              </w:rPr>
              <w:t>定期回访</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维护维修方案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包括但不仅限于：①</w:t>
            </w:r>
            <w:r>
              <w:rPr>
                <w:rFonts w:hint="eastAsia" w:ascii="仿宋" w:hAnsi="仿宋" w:eastAsia="仿宋" w:cs="仿宋"/>
                <w:color w:val="auto"/>
                <w:sz w:val="28"/>
                <w:szCs w:val="28"/>
                <w:highlight w:val="none"/>
                <w:lang w:eastAsia="zh-CN"/>
              </w:rPr>
              <w:t>设备专业维修人员</w:t>
            </w:r>
            <w:r>
              <w:rPr>
                <w:rFonts w:hint="eastAsia" w:ascii="仿宋" w:hAnsi="仿宋" w:eastAsia="仿宋" w:cs="仿宋"/>
                <w:color w:val="auto"/>
                <w:sz w:val="28"/>
                <w:szCs w:val="28"/>
                <w:highlight w:val="none"/>
                <w:lang w:val="en-US" w:eastAsia="zh-CN"/>
              </w:rPr>
              <w:t>清单、②</w:t>
            </w:r>
            <w:r>
              <w:rPr>
                <w:rFonts w:hint="eastAsia" w:ascii="仿宋" w:hAnsi="仿宋" w:eastAsia="仿宋" w:cs="仿宋"/>
                <w:color w:val="auto"/>
                <w:sz w:val="28"/>
                <w:szCs w:val="28"/>
                <w:highlight w:val="none"/>
              </w:rPr>
              <w:t>维护维修</w:t>
            </w:r>
            <w:r>
              <w:rPr>
                <w:rFonts w:hint="eastAsia" w:ascii="仿宋" w:hAnsi="仿宋" w:eastAsia="仿宋" w:cs="仿宋"/>
                <w:color w:val="auto"/>
                <w:sz w:val="28"/>
                <w:szCs w:val="28"/>
                <w:highlight w:val="none"/>
                <w:lang w:val="en-US" w:eastAsia="zh-CN"/>
              </w:rPr>
              <w:t>范围、③</w:t>
            </w:r>
            <w:r>
              <w:rPr>
                <w:rFonts w:hint="eastAsia" w:ascii="仿宋" w:hAnsi="仿宋" w:eastAsia="仿宋" w:cs="仿宋"/>
                <w:color w:val="auto"/>
                <w:sz w:val="28"/>
                <w:szCs w:val="28"/>
                <w:highlight w:val="none"/>
              </w:rPr>
              <w:t>维护维修</w:t>
            </w:r>
            <w:r>
              <w:rPr>
                <w:rFonts w:hint="eastAsia" w:ascii="仿宋" w:hAnsi="仿宋" w:eastAsia="仿宋" w:cs="仿宋"/>
                <w:color w:val="auto"/>
                <w:sz w:val="28"/>
                <w:szCs w:val="28"/>
                <w:highlight w:val="none"/>
                <w:lang w:val="en-US" w:eastAsia="zh-CN"/>
              </w:rPr>
              <w:t>具体实施方案等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z w:val="28"/>
                <w:szCs w:val="28"/>
                <w:highlight w:val="none"/>
                <w:lang w:val="en-US" w:eastAsia="zh-CN"/>
              </w:rPr>
              <w:t>（3）备品备件（包括但不仅限于：①备品备件清单、②质保期后备品备件价格及质量承诺、③突发状况备品备件供应时间承诺）；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spacing w:val="6"/>
                <w:kern w:val="0"/>
                <w:sz w:val="28"/>
                <w:szCs w:val="28"/>
                <w:highlight w:val="none"/>
                <w:lang w:val="en-US" w:eastAsia="zh-CN"/>
              </w:rPr>
            </w:pPr>
            <w:r>
              <w:rPr>
                <w:rFonts w:hint="eastAsia" w:ascii="仿宋" w:hAnsi="仿宋" w:eastAsia="仿宋" w:cs="仿宋"/>
                <w:color w:val="auto"/>
                <w:spacing w:val="6"/>
                <w:kern w:val="0"/>
                <w:sz w:val="28"/>
                <w:szCs w:val="28"/>
                <w:highlight w:val="none"/>
                <w:lang w:eastAsia="zh-CN"/>
              </w:rPr>
              <w:t>（</w:t>
            </w:r>
            <w:r>
              <w:rPr>
                <w:rFonts w:hint="eastAsia" w:ascii="仿宋" w:hAnsi="仿宋" w:eastAsia="仿宋" w:cs="仿宋"/>
                <w:color w:val="auto"/>
                <w:spacing w:val="6"/>
                <w:kern w:val="0"/>
                <w:sz w:val="28"/>
                <w:szCs w:val="28"/>
                <w:highlight w:val="none"/>
                <w:lang w:val="en-US" w:eastAsia="zh-CN"/>
              </w:rPr>
              <w:t>4</w:t>
            </w:r>
            <w:r>
              <w:rPr>
                <w:rFonts w:hint="eastAsia" w:ascii="仿宋" w:hAnsi="仿宋" w:eastAsia="仿宋" w:cs="仿宋"/>
                <w:color w:val="auto"/>
                <w:spacing w:val="6"/>
                <w:kern w:val="0"/>
                <w:sz w:val="28"/>
                <w:szCs w:val="28"/>
                <w:highlight w:val="none"/>
                <w:lang w:eastAsia="zh-CN"/>
              </w:rPr>
              <w:t>）质量保证</w:t>
            </w:r>
            <w:r>
              <w:rPr>
                <w:rFonts w:hint="eastAsia" w:ascii="仿宋" w:hAnsi="仿宋" w:eastAsia="仿宋" w:cs="仿宋"/>
                <w:color w:val="auto"/>
                <w:spacing w:val="6"/>
                <w:kern w:val="0"/>
                <w:sz w:val="28"/>
                <w:szCs w:val="28"/>
                <w:highlight w:val="none"/>
                <w:lang w:val="en-US" w:eastAsia="zh-CN"/>
              </w:rPr>
              <w:t>方案</w:t>
            </w:r>
            <w:r>
              <w:rPr>
                <w:rFonts w:hint="eastAsia" w:ascii="仿宋" w:hAnsi="仿宋" w:eastAsia="仿宋" w:cs="仿宋"/>
                <w:color w:val="auto"/>
                <w:sz w:val="28"/>
                <w:szCs w:val="28"/>
                <w:highlight w:val="none"/>
                <w:lang w:val="en-US" w:bidi="zh-CN"/>
              </w:rPr>
              <w:t>（包括但不仅限于：①货物</w:t>
            </w:r>
            <w:r>
              <w:rPr>
                <w:rFonts w:hint="eastAsia" w:ascii="仿宋" w:hAnsi="仿宋" w:eastAsia="仿宋" w:cs="仿宋"/>
                <w:color w:val="auto"/>
                <w:kern w:val="0"/>
                <w:sz w:val="28"/>
                <w:szCs w:val="28"/>
                <w:highlight w:val="none"/>
                <w:lang w:bidi="zh-CN"/>
              </w:rPr>
              <w:t>质量控制</w:t>
            </w:r>
            <w:r>
              <w:rPr>
                <w:rFonts w:hint="eastAsia" w:ascii="仿宋" w:hAnsi="仿宋" w:eastAsia="仿宋" w:cs="仿宋"/>
                <w:color w:val="auto"/>
                <w:kern w:val="0"/>
                <w:sz w:val="28"/>
                <w:szCs w:val="28"/>
                <w:highlight w:val="none"/>
                <w:lang w:val="zh-CN" w:bidi="zh-CN"/>
              </w:rPr>
              <w:t>措施、</w:t>
            </w:r>
            <w:r>
              <w:rPr>
                <w:rFonts w:hint="eastAsia" w:ascii="仿宋" w:hAnsi="仿宋" w:eastAsia="仿宋" w:cs="仿宋"/>
                <w:color w:val="auto"/>
                <w:kern w:val="0"/>
                <w:sz w:val="28"/>
                <w:szCs w:val="28"/>
                <w:highlight w:val="none"/>
                <w:lang w:val="en-US" w:bidi="zh-CN"/>
              </w:rPr>
              <w:t>②</w:t>
            </w:r>
            <w:r>
              <w:rPr>
                <w:rFonts w:hint="eastAsia" w:ascii="仿宋" w:hAnsi="仿宋" w:eastAsia="仿宋" w:cs="仿宋"/>
                <w:color w:val="auto"/>
                <w:sz w:val="28"/>
                <w:szCs w:val="28"/>
                <w:highlight w:val="none"/>
                <w:lang w:val="en-US" w:bidi="zh-CN"/>
              </w:rPr>
              <w:t>货物质</w:t>
            </w:r>
            <w:r>
              <w:rPr>
                <w:rFonts w:hint="eastAsia" w:ascii="仿宋" w:hAnsi="仿宋" w:eastAsia="仿宋" w:cs="仿宋"/>
                <w:color w:val="auto"/>
                <w:kern w:val="0"/>
                <w:sz w:val="28"/>
                <w:szCs w:val="28"/>
                <w:highlight w:val="none"/>
                <w:lang w:val="zh-CN" w:bidi="zh-CN"/>
              </w:rPr>
              <w:t>量事故处理</w:t>
            </w:r>
            <w:r>
              <w:rPr>
                <w:rFonts w:hint="eastAsia" w:ascii="仿宋" w:hAnsi="仿宋" w:eastAsia="仿宋" w:cs="仿宋"/>
                <w:color w:val="auto"/>
                <w:kern w:val="0"/>
                <w:sz w:val="28"/>
                <w:szCs w:val="28"/>
                <w:highlight w:val="none"/>
                <w:lang w:val="en-US" w:bidi="zh-CN"/>
              </w:rPr>
              <w:t>方案</w:t>
            </w:r>
            <w:r>
              <w:rPr>
                <w:rFonts w:hint="eastAsia" w:ascii="仿宋" w:hAnsi="仿宋" w:eastAsia="仿宋" w:cs="仿宋"/>
                <w:color w:val="auto"/>
                <w:kern w:val="0"/>
                <w:sz w:val="28"/>
                <w:szCs w:val="28"/>
                <w:highlight w:val="none"/>
                <w:lang w:val="zh-CN" w:bidi="zh-CN"/>
              </w:rPr>
              <w:t>、</w:t>
            </w:r>
            <w:r>
              <w:rPr>
                <w:rFonts w:hint="eastAsia" w:ascii="仿宋" w:hAnsi="仿宋" w:eastAsia="仿宋" w:cs="仿宋"/>
                <w:color w:val="auto"/>
                <w:kern w:val="0"/>
                <w:sz w:val="28"/>
                <w:szCs w:val="28"/>
                <w:highlight w:val="none"/>
                <w:lang w:val="en-US" w:bidi="zh-CN"/>
              </w:rPr>
              <w:t>③</w:t>
            </w:r>
            <w:r>
              <w:rPr>
                <w:rFonts w:hint="eastAsia" w:ascii="仿宋" w:hAnsi="仿宋" w:eastAsia="仿宋" w:cs="仿宋"/>
                <w:color w:val="auto"/>
                <w:kern w:val="0"/>
                <w:sz w:val="28"/>
                <w:szCs w:val="28"/>
                <w:highlight w:val="none"/>
                <w:lang w:val="zh-CN" w:bidi="zh-CN"/>
              </w:rPr>
              <w:t>产品</w:t>
            </w:r>
            <w:r>
              <w:rPr>
                <w:rFonts w:hint="eastAsia" w:ascii="仿宋" w:hAnsi="仿宋" w:eastAsia="仿宋" w:cs="仿宋"/>
                <w:color w:val="auto"/>
                <w:kern w:val="0"/>
                <w:sz w:val="28"/>
                <w:szCs w:val="28"/>
                <w:highlight w:val="none"/>
                <w:lang w:val="en-US" w:bidi="zh-CN"/>
              </w:rPr>
              <w:t>检验</w:t>
            </w:r>
            <w:r>
              <w:rPr>
                <w:rFonts w:hint="eastAsia" w:ascii="仿宋" w:hAnsi="仿宋" w:eastAsia="仿宋" w:cs="仿宋"/>
                <w:color w:val="auto"/>
                <w:kern w:val="0"/>
                <w:sz w:val="28"/>
                <w:szCs w:val="28"/>
                <w:highlight w:val="none"/>
                <w:lang w:val="zh-CN" w:bidi="zh-CN"/>
              </w:rPr>
              <w:t>不合格应对措施</w:t>
            </w:r>
            <w:r>
              <w:rPr>
                <w:rFonts w:hint="eastAsia" w:ascii="仿宋" w:hAnsi="仿宋" w:eastAsia="仿宋" w:cs="仿宋"/>
                <w:color w:val="auto"/>
                <w:kern w:val="0"/>
                <w:sz w:val="28"/>
                <w:szCs w:val="28"/>
                <w:highlight w:val="none"/>
                <w:lang w:val="en-US" w:bidi="zh-CN"/>
              </w:rPr>
              <w:t>等</w:t>
            </w:r>
            <w:r>
              <w:rPr>
                <w:rFonts w:hint="eastAsia" w:ascii="仿宋" w:hAnsi="仿宋" w:eastAsia="仿宋" w:cs="仿宋"/>
                <w:color w:val="auto"/>
                <w:sz w:val="28"/>
                <w:szCs w:val="28"/>
                <w:highlight w:val="none"/>
                <w:lang w:val="en-US" w:bidi="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0" w:leftChars="0" w:firstLine="0" w:firstLineChars="0"/>
              <w:jc w:val="left"/>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以上</w:t>
            </w:r>
            <w:r>
              <w:rPr>
                <w:rFonts w:hint="eastAsia" w:ascii="仿宋" w:hAnsi="仿宋" w:eastAsia="仿宋" w:cs="仿宋"/>
                <w:b w:val="0"/>
                <w:bCs w:val="0"/>
                <w:color w:val="000000" w:themeColor="text1"/>
                <w:sz w:val="28"/>
                <w:szCs w:val="28"/>
                <w:highlight w:val="none"/>
                <w14:textFill>
                  <w14:solidFill>
                    <w14:schemeClr w14:val="tx1"/>
                  </w14:solidFill>
                </w14:textFill>
              </w:rPr>
              <w:t>方案内容完整齐全，</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无</w:t>
            </w:r>
            <w:r>
              <w:rPr>
                <w:rFonts w:hint="eastAsia" w:ascii="仿宋" w:hAnsi="仿宋" w:eastAsia="仿宋" w:cs="仿宋"/>
                <w:color w:val="000000"/>
                <w:sz w:val="28"/>
                <w:szCs w:val="28"/>
                <w:highlight w:val="none"/>
                <w:lang w:eastAsia="zh-CN"/>
              </w:rPr>
              <w:t>瑕疵</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符合项目实际，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一项</w:t>
            </w:r>
            <w:r>
              <w:rPr>
                <w:rFonts w:hint="eastAsia" w:ascii="仿宋" w:hAnsi="仿宋" w:eastAsia="仿宋" w:cs="仿宋"/>
                <w:b w:val="0"/>
                <w:bCs w:val="0"/>
                <w:color w:val="000000" w:themeColor="text1"/>
                <w:sz w:val="28"/>
                <w:szCs w:val="28"/>
                <w:highlight w:val="none"/>
                <w14:textFill>
                  <w14:solidFill>
                    <w14:schemeClr w14:val="tx1"/>
                  </w14:solidFill>
                </w14:textFill>
              </w:rPr>
              <w:t>得</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8"/>
                <w:szCs w:val="28"/>
                <w:highlight w:val="none"/>
                <w14:textFill>
                  <w14:solidFill>
                    <w14:schemeClr w14:val="tx1"/>
                  </w14:solidFill>
                </w14:textFill>
              </w:rPr>
              <w:t>分</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最高得16分。</w:t>
            </w:r>
            <w:r>
              <w:rPr>
                <w:rFonts w:hint="eastAsia" w:ascii="仿宋" w:hAnsi="仿宋" w:eastAsia="仿宋" w:cs="仿宋"/>
                <w:b w:val="0"/>
                <w:bCs w:val="0"/>
                <w:color w:val="000000" w:themeColor="text1"/>
                <w:sz w:val="28"/>
                <w:szCs w:val="28"/>
                <w:highlight w:val="none"/>
                <w14:textFill>
                  <w14:solidFill>
                    <w14:schemeClr w14:val="tx1"/>
                  </w14:solidFill>
                </w14:textFill>
              </w:rPr>
              <w:t>内容存在</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缺项、漏项或有</w:t>
            </w:r>
            <w:r>
              <w:rPr>
                <w:rFonts w:hint="eastAsia" w:ascii="仿宋" w:hAnsi="仿宋" w:eastAsia="仿宋" w:cs="仿宋"/>
                <w:b w:val="0"/>
                <w:bCs w:val="0"/>
                <w:color w:val="000000" w:themeColor="text1"/>
                <w:sz w:val="28"/>
                <w:szCs w:val="28"/>
                <w:highlight w:val="none"/>
                <w14:textFill>
                  <w14:solidFill>
                    <w14:schemeClr w14:val="tx1"/>
                  </w14:solidFill>
                </w14:textFill>
              </w:rPr>
              <w:t>缺陷</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等瑕疵，一项依次递减1</w:t>
            </w:r>
            <w:r>
              <w:rPr>
                <w:rFonts w:hint="eastAsia" w:ascii="仿宋" w:hAnsi="仿宋" w:eastAsia="仿宋" w:cs="仿宋"/>
                <w:b w:val="0"/>
                <w:bCs w:val="0"/>
                <w:color w:val="000000" w:themeColor="text1"/>
                <w:sz w:val="28"/>
                <w:szCs w:val="28"/>
                <w:highlight w:val="none"/>
                <w14:textFill>
                  <w14:solidFill>
                    <w14:schemeClr w14:val="tx1"/>
                  </w14:solidFill>
                </w14:textFill>
              </w:rPr>
              <w:t>分，</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扣完为止，</w:t>
            </w:r>
            <w:r>
              <w:rPr>
                <w:rFonts w:hint="eastAsia" w:ascii="仿宋" w:hAnsi="仿宋" w:eastAsia="仿宋" w:cs="仿宋"/>
                <w:b w:val="0"/>
                <w:bCs w:val="0"/>
                <w:color w:val="000000" w:themeColor="text1"/>
                <w:sz w:val="28"/>
                <w:szCs w:val="28"/>
                <w:highlight w:val="none"/>
                <w14:textFill>
                  <w14:solidFill>
                    <w14:schemeClr w14:val="tx1"/>
                  </w14:solidFill>
                </w14:textFill>
              </w:rPr>
              <w:t>未提供不得分。</w:t>
            </w:r>
          </w:p>
          <w:p>
            <w:pPr>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color w:val="000000"/>
                <w:sz w:val="28"/>
                <w:szCs w:val="28"/>
                <w:highlight w:val="none"/>
                <w:lang w:val="en-US" w:eastAsia="zh-CN"/>
              </w:rPr>
              <w:t>备注：</w:t>
            </w:r>
            <w:r>
              <w:rPr>
                <w:rFonts w:hint="eastAsia" w:ascii="仿宋" w:hAnsi="仿宋" w:eastAsia="仿宋" w:cs="仿宋"/>
                <w:color w:val="000000"/>
                <w:sz w:val="28"/>
                <w:szCs w:val="28"/>
                <w:highlight w:val="none"/>
                <w:lang w:eastAsia="zh-CN"/>
              </w:rPr>
              <w:t>本项目称“瑕疵”是指内容缺项、不完整或缺少关键点；非专门针对本项目或不适用本项目特征、套用其他项目内容两队同一问题前后前述不一致矛盾；存在逻辑漏洞、科学原理或常识错误；不利于本项目目标的实现、现有技术条件下不可能出现的情形等任意一种情形。</w:t>
            </w:r>
          </w:p>
        </w:tc>
      </w:tr>
    </w:tbl>
    <w:p>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报价部分评</w:t>
      </w:r>
      <w:r>
        <w:rPr>
          <w:rFonts w:hint="eastAsia" w:ascii="仿宋" w:hAnsi="仿宋" w:eastAsia="仿宋" w:cs="仿宋"/>
          <w:b/>
          <w:bCs/>
          <w:color w:val="auto"/>
          <w:sz w:val="28"/>
          <w:szCs w:val="28"/>
          <w:highlight w:val="none"/>
          <w:lang w:val="zh-CN"/>
        </w:rPr>
        <w:t>审</w:t>
      </w:r>
      <w:r>
        <w:rPr>
          <w:rFonts w:hint="eastAsia" w:ascii="仿宋" w:hAnsi="仿宋" w:eastAsia="仿宋" w:cs="仿宋"/>
          <w:b/>
          <w:bCs/>
          <w:color w:val="auto"/>
          <w:sz w:val="28"/>
          <w:szCs w:val="28"/>
          <w:highlight w:val="none"/>
        </w:rPr>
        <w:t>标准（30分）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29"/>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5"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序号</w:t>
            </w:r>
          </w:p>
        </w:tc>
        <w:tc>
          <w:tcPr>
            <w:tcW w:w="1429"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评标项目</w:t>
            </w:r>
          </w:p>
        </w:tc>
        <w:tc>
          <w:tcPr>
            <w:tcW w:w="651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75"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1</w:t>
            </w:r>
          </w:p>
        </w:tc>
        <w:tc>
          <w:tcPr>
            <w:tcW w:w="1429"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投标报价</w:t>
            </w:r>
          </w:p>
        </w:tc>
        <w:tc>
          <w:tcPr>
            <w:tcW w:w="651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满足</w:t>
            </w:r>
            <w:r>
              <w:rPr>
                <w:rFonts w:hint="eastAsia" w:ascii="仿宋" w:hAnsi="仿宋" w:eastAsia="仿宋" w:cs="仿宋"/>
                <w:color w:val="auto"/>
                <w:sz w:val="28"/>
                <w:szCs w:val="28"/>
                <w:highlight w:val="none"/>
              </w:rPr>
              <w:t>招标</w:t>
            </w:r>
            <w:r>
              <w:rPr>
                <w:rFonts w:hint="eastAsia" w:ascii="仿宋" w:hAnsi="仿宋" w:eastAsia="仿宋" w:cs="仿宋"/>
                <w:color w:val="auto"/>
                <w:sz w:val="28"/>
                <w:szCs w:val="28"/>
                <w:highlight w:val="none"/>
                <w:lang w:val="zh-CN"/>
              </w:rPr>
              <w:t>文件要求且</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报价最低的</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的价格为</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val="zh-CN"/>
              </w:rPr>
              <w:t>基准价，其价格分为满分，项目评标过程中，不得去掉</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报价中的最高报价和最低报价。</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shd w:val="clear" w:color="auto" w:fill="auto"/>
                <w:lang w:val="zh-CN"/>
              </w:rPr>
              <w:t>投标报价得分=（评标基准价/投标报价）×</w:t>
            </w:r>
            <w:r>
              <w:rPr>
                <w:rFonts w:hint="eastAsia" w:ascii="仿宋" w:hAnsi="仿宋" w:eastAsia="仿宋" w:cs="仿宋"/>
                <w:color w:val="auto"/>
                <w:sz w:val="28"/>
                <w:szCs w:val="28"/>
                <w:highlight w:val="none"/>
                <w:shd w:val="clear" w:color="auto" w:fil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dxa"/>
            <w:vMerge w:val="restart"/>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政府采购政策</w:t>
            </w:r>
            <w:r>
              <w:rPr>
                <w:rFonts w:hint="eastAsia" w:ascii="仿宋" w:hAnsi="仿宋" w:eastAsia="仿宋" w:cs="仿宋"/>
                <w:color w:val="auto"/>
                <w:sz w:val="28"/>
                <w:szCs w:val="28"/>
                <w:highlight w:val="none"/>
                <w:lang w:val="en-US" w:eastAsia="zh-CN"/>
              </w:rPr>
              <w:t>说明</w:t>
            </w:r>
          </w:p>
        </w:tc>
        <w:tc>
          <w:tcPr>
            <w:tcW w:w="1429" w:type="dxa"/>
            <w:vMerge w:val="restart"/>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中小企业</w:t>
            </w: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根据工信部等部委发布的《关于印发中小企业划型标准规定的通知》（工信部联企业</w:t>
            </w:r>
            <w:r>
              <w:rPr>
                <w:rFonts w:hint="eastAsia" w:ascii="仿宋" w:hAnsi="仿宋" w:eastAsia="仿宋" w:cs="仿宋"/>
                <w:bCs/>
                <w:color w:val="auto"/>
                <w:sz w:val="28"/>
                <w:szCs w:val="28"/>
                <w:highlight w:val="none"/>
              </w:rPr>
              <w:t>〔2011〕300</w:t>
            </w:r>
            <w:r>
              <w:rPr>
                <w:rFonts w:hint="eastAsia" w:ascii="仿宋" w:hAnsi="仿宋" w:eastAsia="仿宋" w:cs="仿宋"/>
                <w:color w:val="auto"/>
                <w:sz w:val="28"/>
                <w:szCs w:val="28"/>
                <w:highlight w:val="none"/>
              </w:rPr>
              <w:t>号），按照本次</w:t>
            </w:r>
            <w:r>
              <w:rPr>
                <w:rFonts w:hint="eastAsia" w:ascii="仿宋" w:hAnsi="仿宋" w:eastAsia="仿宋" w:cs="仿宋"/>
                <w:color w:val="auto"/>
                <w:sz w:val="28"/>
                <w:szCs w:val="28"/>
                <w:highlight w:val="none"/>
                <w:lang w:val="en-US" w:eastAsia="zh-CN"/>
              </w:rPr>
              <w:t>政府采购</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的所属行业的划型标准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招标文件载明的行业）</w:t>
            </w:r>
            <w:r>
              <w:rPr>
                <w:rFonts w:hint="eastAsia" w:ascii="仿宋" w:hAnsi="仿宋" w:eastAsia="仿宋" w:cs="仿宋"/>
                <w:color w:val="auto"/>
                <w:sz w:val="28"/>
                <w:szCs w:val="28"/>
                <w:highlight w:val="none"/>
              </w:rPr>
              <w:t>，符合条件的中小企业须提供</w:t>
            </w:r>
            <w:r>
              <w:rPr>
                <w:rFonts w:hint="eastAsia" w:ascii="仿宋" w:hAnsi="仿宋" w:eastAsia="仿宋" w:cs="仿宋"/>
                <w:color w:val="auto"/>
                <w:sz w:val="28"/>
                <w:szCs w:val="28"/>
                <w:highlight w:val="none"/>
                <w:lang w:val="en-US" w:eastAsia="zh-CN"/>
              </w:rPr>
              <w:t>招标文件提供格式的</w:t>
            </w:r>
            <w:r>
              <w:rPr>
                <w:rFonts w:hint="eastAsia" w:ascii="仿宋" w:hAnsi="仿宋" w:eastAsia="仿宋" w:cs="仿宋"/>
                <w:color w:val="auto"/>
                <w:sz w:val="28"/>
                <w:szCs w:val="28"/>
                <w:highlight w:val="none"/>
              </w:rPr>
              <w:t>《中小企业声明函》。投标人应当对其出具的《中小企业声明函》真实性负责，投标人出具的《中小企业声明函》内容不实的，属于提供虚假材料谋取中标，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75"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429"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货物服务采购项目给予小微企业的价格扣除优惠，</w:t>
            </w:r>
            <w:r>
              <w:rPr>
                <w:rFonts w:hint="eastAsia" w:ascii="仿宋" w:hAnsi="仿宋" w:eastAsia="仿宋" w:cs="仿宋"/>
                <w:color w:val="auto"/>
                <w:sz w:val="28"/>
                <w:szCs w:val="28"/>
                <w:highlight w:val="none"/>
                <w:lang w:val="en-US" w:eastAsia="zh-CN"/>
              </w:rPr>
              <w:t>根据</w:t>
            </w:r>
            <w:r>
              <w:rPr>
                <w:rFonts w:hint="eastAsia" w:ascii="仿宋" w:hAnsi="仿宋" w:eastAsia="仿宋" w:cs="仿宋"/>
                <w:color w:val="auto"/>
                <w:sz w:val="28"/>
                <w:szCs w:val="28"/>
                <w:highlight w:val="none"/>
              </w:rPr>
              <w:t>《关于进一步加大政府采购支持中小企业力度的通知》（财库〔2022〕19号）文件规定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小微企业报价给予10%</w:t>
            </w:r>
            <w:r>
              <w:rPr>
                <w:rFonts w:hint="eastAsia" w:ascii="仿宋" w:hAnsi="仿宋" w:eastAsia="仿宋" w:cs="仿宋"/>
                <w:color w:val="auto"/>
                <w:sz w:val="28"/>
                <w:szCs w:val="28"/>
                <w:highlight w:val="none"/>
                <w:lang w:val="en-US" w:eastAsia="zh-CN"/>
              </w:rPr>
              <w:t>的扣除优惠</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429" w:type="dxa"/>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w:t>
            </w: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rPr>
              <w:t>根据财库〔2014〕68号《财政部司法部关于政府采购支持监狱企业发展有关问题的通知》，能够</w:t>
            </w:r>
            <w:r>
              <w:rPr>
                <w:rFonts w:hint="eastAsia" w:ascii="仿宋" w:hAnsi="仿宋" w:eastAsia="仿宋" w:cs="仿宋"/>
                <w:color w:val="auto"/>
                <w:sz w:val="28"/>
                <w:szCs w:val="28"/>
                <w:highlight w:val="none"/>
              </w:rPr>
              <w:t>提供由省级以上监狱管理局、戒毒管理局（含新疆生产建设兵团）出具的“属于监狱企业的证明文件”的监狱企业，</w:t>
            </w:r>
            <w:r>
              <w:rPr>
                <w:rFonts w:hint="eastAsia" w:ascii="仿宋" w:hAnsi="仿宋" w:eastAsia="仿宋" w:cs="仿宋"/>
                <w:bCs/>
                <w:color w:val="auto"/>
                <w:sz w:val="28"/>
                <w:szCs w:val="28"/>
                <w:highlight w:val="none"/>
              </w:rPr>
              <w:t>视同</w:t>
            </w:r>
            <w:r>
              <w:rPr>
                <w:rFonts w:hint="eastAsia" w:ascii="仿宋" w:hAnsi="仿宋" w:eastAsia="仿宋" w:cs="仿宋"/>
                <w:color w:val="auto"/>
                <w:sz w:val="28"/>
                <w:szCs w:val="28"/>
                <w:highlight w:val="none"/>
              </w:rPr>
              <w:t>中小企业</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429" w:type="dxa"/>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福利企业</w:t>
            </w: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根据财库〔2017〕141号《财政部民政部中国残疾人联合会关于促进残疾人就业政府采购政策的通知》，符合享受政府采购支持政策的残疾人福利性单位条件且提供</w:t>
            </w:r>
            <w:r>
              <w:rPr>
                <w:rFonts w:hint="eastAsia" w:ascii="仿宋" w:hAnsi="仿宋" w:eastAsia="仿宋" w:cs="仿宋"/>
                <w:color w:val="auto"/>
                <w:sz w:val="28"/>
                <w:szCs w:val="28"/>
                <w:highlight w:val="none"/>
              </w:rPr>
              <w:t>自拟格式的</w:t>
            </w:r>
            <w:r>
              <w:rPr>
                <w:rFonts w:hint="eastAsia" w:ascii="仿宋" w:hAnsi="仿宋" w:eastAsia="仿宋" w:cs="仿宋"/>
                <w:bCs/>
                <w:color w:val="auto"/>
                <w:sz w:val="28"/>
                <w:szCs w:val="28"/>
                <w:highlight w:val="none"/>
              </w:rPr>
              <w:t>《残疾人福利性单位声明函》的残疾人福利性单位，视同</w:t>
            </w:r>
            <w:r>
              <w:rPr>
                <w:rFonts w:hint="eastAsia" w:ascii="仿宋" w:hAnsi="仿宋" w:eastAsia="仿宋" w:cs="仿宋"/>
                <w:color w:val="auto"/>
                <w:sz w:val="28"/>
                <w:szCs w:val="28"/>
                <w:highlight w:val="none"/>
              </w:rPr>
              <w:t>中小企业</w:t>
            </w:r>
            <w:r>
              <w:rPr>
                <w:rFonts w:hint="eastAsia" w:ascii="仿宋" w:hAnsi="仿宋" w:eastAsia="仿宋" w:cs="仿宋"/>
                <w:bCs/>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429" w:type="dxa"/>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特别说明</w:t>
            </w:r>
          </w:p>
        </w:tc>
        <w:tc>
          <w:tcPr>
            <w:tcW w:w="6518" w:type="dxa"/>
            <w:vAlign w:val="center"/>
          </w:tcPr>
          <w:p>
            <w:pPr>
              <w:keepNext w:val="0"/>
              <w:keepLines w:val="0"/>
              <w:pageBreakBefore w:val="0"/>
              <w:widowControl w:val="0"/>
              <w:numPr>
                <w:ilvl w:val="0"/>
                <w:numId w:val="0"/>
              </w:numPr>
              <w:kinsoku/>
              <w:wordWrap/>
              <w:overflowPunct/>
              <w:topLinePunct w:val="0"/>
              <w:bidi w:val="0"/>
              <w:snapToGrid/>
              <w:spacing w:line="560" w:lineRule="exact"/>
              <w:ind w:left="0" w:leftChars="0" w:right="0" w:rightChars="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kern w:val="2"/>
                <w:sz w:val="28"/>
                <w:szCs w:val="28"/>
                <w:highlight w:val="none"/>
                <w:lang w:val="en-US" w:eastAsia="zh-CN" w:bidi="ar-SA"/>
              </w:rPr>
              <w:t>（1）</w:t>
            </w:r>
            <w:r>
              <w:rPr>
                <w:rFonts w:hint="eastAsia" w:ascii="仿宋" w:hAnsi="仿宋" w:eastAsia="仿宋" w:cs="仿宋"/>
                <w:bCs/>
                <w:color w:val="auto"/>
                <w:sz w:val="28"/>
                <w:szCs w:val="28"/>
                <w:highlight w:val="none"/>
              </w:rPr>
              <w:t>按照《政府采购促进中小企业发展管理办法》（财库〔2020〕46号，以下称《办法》）规定，在货物采购项目中，货物由中小企业制造（货物由中小企业生产且使用该中小企业商号或者注册商标）的，可享受中小企业扶持政策。如果一个采购项目或采购包含有多个采购标的的，则每个采购标的均应由中小企业制造。采购项目或者采购包中，大型企业提供的所有采购标的均为小微企业制造的，可享受价格评审优惠政策。</w:t>
            </w:r>
          </w:p>
          <w:p>
            <w:pPr>
              <w:keepNext w:val="0"/>
              <w:keepLines w:val="0"/>
              <w:pageBreakBefore w:val="0"/>
              <w:widowControl w:val="0"/>
              <w:numPr>
                <w:ilvl w:val="0"/>
                <w:numId w:val="0"/>
              </w:numPr>
              <w:kinsoku/>
              <w:wordWrap/>
              <w:overflowPunct/>
              <w:topLinePunct w:val="0"/>
              <w:bidi w:val="0"/>
              <w:snapToGrid/>
              <w:spacing w:line="560" w:lineRule="exact"/>
              <w:ind w:left="0" w:leftChars="0" w:right="0" w:rightChars="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kern w:val="2"/>
                <w:sz w:val="28"/>
                <w:szCs w:val="28"/>
                <w:highlight w:val="none"/>
                <w:lang w:val="en-US" w:eastAsia="zh-CN" w:bidi="ar-SA"/>
              </w:rPr>
              <w:t>（2）</w:t>
            </w:r>
            <w:r>
              <w:rPr>
                <w:rFonts w:hint="eastAsia" w:ascii="仿宋" w:hAnsi="仿宋" w:eastAsia="仿宋" w:cs="仿宋"/>
                <w:bCs/>
                <w:color w:val="auto"/>
                <w:sz w:val="28"/>
                <w:szCs w:val="28"/>
                <w:highlight w:val="none"/>
                <w:lang w:eastAsia="zh-CN"/>
              </w:rPr>
              <w:t>在货物采购项目中，供应商提供的货物既有中型企业制造，也有小微企业制造的，不享受</w:t>
            </w:r>
            <w:r>
              <w:rPr>
                <w:rFonts w:hint="eastAsia" w:ascii="仿宋" w:hAnsi="仿宋" w:eastAsia="仿宋" w:cs="仿宋"/>
                <w:bCs/>
                <w:color w:val="auto"/>
                <w:sz w:val="28"/>
                <w:szCs w:val="28"/>
                <w:highlight w:val="none"/>
              </w:rPr>
              <w:t>《政府采购促进中小企业发展管理办法》（财库〔2020〕46号</w:t>
            </w:r>
            <w:r>
              <w:rPr>
                <w:rFonts w:hint="eastAsia" w:ascii="仿宋" w:hAnsi="仿宋" w:eastAsia="仿宋" w:cs="仿宋"/>
                <w:bCs/>
                <w:color w:val="auto"/>
                <w:sz w:val="28"/>
                <w:szCs w:val="28"/>
                <w:highlight w:val="none"/>
                <w:lang w:eastAsia="zh-CN"/>
              </w:rPr>
              <w:t>）规定的小微企业扶持政策。</w:t>
            </w:r>
          </w:p>
        </w:tc>
      </w:tr>
    </w:tbl>
    <w:p>
      <w:pPr>
        <w:pStyle w:val="12"/>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4.5.1投标人总分=报价部分得分+技术、商务部分得分，结果保留两位小数。</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6" w:name="_Toc217446060"/>
      <w:r>
        <w:rPr>
          <w:rFonts w:hint="eastAsia" w:ascii="仿宋" w:hAnsi="仿宋" w:eastAsia="仿宋" w:cs="仿宋"/>
          <w:color w:val="auto"/>
          <w:sz w:val="28"/>
          <w:szCs w:val="28"/>
          <w:highlight w:val="none"/>
        </w:rPr>
        <w:t>5. 终止招标</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采购人、采购代理机构在发布招标公告、资格预审公告或者发出投标邀请书后，除因重大变故采购任务取消情况外，不得擅自终止招标活动。</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定标</w:t>
      </w:r>
      <w:bookmarkEnd w:id="166"/>
      <w:bookmarkStart w:id="167" w:name="_Toc217446061"/>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定标原则</w:t>
      </w:r>
      <w:bookmarkEnd w:id="167"/>
      <w:r>
        <w:rPr>
          <w:rFonts w:hint="eastAsia" w:ascii="仿宋" w:hAnsi="仿宋" w:eastAsia="仿宋" w:cs="仿宋"/>
          <w:color w:val="auto"/>
          <w:sz w:val="28"/>
          <w:szCs w:val="28"/>
          <w:highlight w:val="none"/>
        </w:rPr>
        <w:t>：本项目根据评标委员会推荐的中标候选人名单，按顺序确定中标人。</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8" w:name="_Toc217446062"/>
      <w:r>
        <w:rPr>
          <w:rFonts w:hint="eastAsia" w:ascii="仿宋" w:hAnsi="仿宋" w:eastAsia="仿宋" w:cs="仿宋"/>
          <w:color w:val="auto"/>
          <w:sz w:val="28"/>
          <w:szCs w:val="28"/>
          <w:highlight w:val="none"/>
        </w:rPr>
        <w:t>6.2. 定标程序</w:t>
      </w:r>
      <w:bookmarkEnd w:id="168"/>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 采购代理机构在评标结束后两个工作日内将评标报告送至采购人。</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 采购人应当自收到评标报告之日起5个工作日内在评标报告推荐的中标候选人中按顺序确定中标人。</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6.2.4 根据采购人确定的中标人，采购人在招标公告发布的媒体上发布中标公告，同时向中标人发出中标通知书。</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6.2.5 采购人不退回投标文件和其他投标资料。</w:t>
      </w:r>
    </w:p>
    <w:bookmarkEnd w:id="161"/>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9" w:name="_Toc208849022"/>
      <w:bookmarkStart w:id="170" w:name="_Toc183682432"/>
      <w:bookmarkStart w:id="171" w:name="_Toc183582297"/>
      <w:bookmarkStart w:id="172" w:name="_Toc217446105"/>
      <w:r>
        <w:rPr>
          <w:rFonts w:hint="eastAsia" w:ascii="仿宋" w:hAnsi="仿宋" w:eastAsia="仿宋" w:cs="仿宋"/>
          <w:color w:val="auto"/>
          <w:sz w:val="28"/>
          <w:szCs w:val="28"/>
          <w:highlight w:val="none"/>
        </w:rPr>
        <w:t xml:space="preserve">7. </w:t>
      </w:r>
      <w:bookmarkEnd w:id="169"/>
      <w:bookmarkEnd w:id="170"/>
      <w:bookmarkEnd w:id="171"/>
      <w:bookmarkEnd w:id="172"/>
      <w:r>
        <w:rPr>
          <w:rFonts w:hint="eastAsia" w:ascii="仿宋" w:hAnsi="仿宋" w:eastAsia="仿宋" w:cs="仿宋"/>
          <w:color w:val="auto"/>
          <w:sz w:val="28"/>
          <w:szCs w:val="28"/>
          <w:highlight w:val="none"/>
        </w:rPr>
        <w:t>评标专家在政府采购活动中承担以下义务：</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 遵纪守法，客观、公正、廉洁地履行职责。</w:t>
      </w:r>
    </w:p>
    <w:p>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 保守秘密。不得透露招标项目情况，不得泄漏投标人的投标文件及知悉的商业秘密，不得向投标人透露评标情况。</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 发现投标人在政府采购活动中有不正当竞争或恶意串通等违规行为，及时向政府采购评标工作的组织者或财政部门报告并加以制止。</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发现采购人、采购代理机构及其工作人员在招标活动中有干预评标、发表倾向性和歧视性言论、受贿或者接受投标人的其他好处及其他违法违规行为，及时向财政部门报告。</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7.5 配合采购人或者采购代理机构答复投标人质疑，配合投诉处理工作等事宜。</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7.6 法律、法规和规章规定的其他义务。</w:t>
      </w:r>
    </w:p>
    <w:p>
      <w:pPr>
        <w:pageBreakBefore w:val="0"/>
        <w:widowControl/>
        <w:wordWrap/>
        <w:overflowPunct/>
        <w:topLinePunct w:val="0"/>
        <w:autoSpaceDE w:val="0"/>
        <w:autoSpaceDN w:val="0"/>
        <w:bidi w:val="0"/>
        <w:spacing w:line="560" w:lineRule="exact"/>
        <w:ind w:left="0" w:leftChars="0" w:right="0" w:rightChars="0" w:firstLine="562" w:firstLineChars="200"/>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评标专家在招标活动中应当遵守以下工作纪律：</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应邀按时参加评标活动。遇特殊情况不能出席或途中遇阻不能按时参加评标的，应及时告知财政部门或者采购人或者采购代理机构，不得私自转托他人。</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不得参加与自己有利害关系的招标项目的评标活动。对与自己有利害关系的评标项目，如受到邀请，应主动提出回避。财政部门、采购人或采购代理机构也可要求该评标专家回避。</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有利害关系主要是指三年内曾在参加该招标项目投标人中任职(包括一般工作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或担任顾问，配偶或直系亲属在参加该招标项目的投标人中任职或担任顾问，与参加该招标项目投标人发生过法律纠纷，以及其他可能影响公正评标的情况。</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评标过程中关闭通讯设备，不得与外界联系。</w:t>
      </w:r>
    </w:p>
    <w:p>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br w:type="page"/>
      </w:r>
      <w:bookmarkStart w:id="173" w:name="_Toc6803"/>
      <w:r>
        <w:rPr>
          <w:rFonts w:hint="eastAsia" w:ascii="仿宋" w:hAnsi="仿宋" w:eastAsia="仿宋" w:cs="仿宋"/>
          <w:color w:val="auto"/>
          <w:sz w:val="28"/>
          <w:szCs w:val="28"/>
          <w:highlight w:val="none"/>
        </w:rPr>
        <w:t>第六章  拟签订的合同文本</w:t>
      </w:r>
      <w:bookmarkEnd w:id="173"/>
    </w:p>
    <w:p>
      <w:pPr>
        <w:pStyle w:val="109"/>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color w:val="auto"/>
          <w:sz w:val="28"/>
          <w:szCs w:val="28"/>
          <w:highlight w:val="none"/>
        </w:rPr>
      </w:pPr>
      <w:r>
        <w:rPr>
          <w:rStyle w:val="35"/>
          <w:rFonts w:hint="eastAsia" w:ascii="仿宋" w:hAnsi="仿宋" w:eastAsia="仿宋" w:cs="仿宋"/>
          <w:color w:val="auto"/>
          <w:sz w:val="28"/>
          <w:szCs w:val="28"/>
          <w:highlight w:val="none"/>
        </w:rPr>
        <w:t>　</w:t>
      </w:r>
      <w:r>
        <w:rPr>
          <w:rStyle w:val="35"/>
          <w:rFonts w:hint="eastAsia" w:ascii="仿宋" w:hAnsi="仿宋" w:eastAsia="仿宋" w:cs="仿宋"/>
          <w:b/>
          <w:bCs/>
          <w:color w:val="auto"/>
          <w:sz w:val="28"/>
          <w:szCs w:val="28"/>
          <w:highlight w:val="none"/>
        </w:rPr>
        <w:t>　</w:t>
      </w:r>
      <w:r>
        <w:rPr>
          <w:rFonts w:hint="eastAsia" w:ascii="仿宋" w:hAnsi="仿宋" w:eastAsia="仿宋" w:cs="仿宋"/>
          <w:b w:val="0"/>
          <w:bCs w:val="0"/>
          <w:color w:val="auto"/>
          <w:sz w:val="28"/>
          <w:szCs w:val="28"/>
          <w:highlight w:val="none"/>
        </w:rPr>
        <w:t>（仅供参考，具体合同条款以最终签订为准）</w:t>
      </w:r>
    </w:p>
    <w:p>
      <w:pPr>
        <w:pStyle w:val="11"/>
        <w:spacing w:after="0"/>
        <w:jc w:val="center"/>
        <w:rPr>
          <w:rFonts w:ascii="宋体" w:hAnsi="宋体" w:cs="宋体"/>
          <w:b/>
          <w:bCs/>
          <w:spacing w:val="-20"/>
          <w:kern w:val="44"/>
          <w:sz w:val="48"/>
          <w:szCs w:val="48"/>
          <w:highlight w:val="none"/>
        </w:rPr>
      </w:pPr>
      <w:bookmarkStart w:id="174" w:name="_Toc3995"/>
    </w:p>
    <w:p>
      <w:pPr>
        <w:pStyle w:val="11"/>
        <w:spacing w:after="0"/>
        <w:jc w:val="center"/>
        <w:rPr>
          <w:rFonts w:hint="eastAsia" w:ascii="仿宋" w:hAnsi="仿宋" w:eastAsia="仿宋" w:cs="仿宋"/>
          <w:b/>
          <w:bCs/>
          <w:spacing w:val="-20"/>
          <w:kern w:val="44"/>
          <w:sz w:val="48"/>
          <w:szCs w:val="48"/>
          <w:highlight w:val="none"/>
        </w:rPr>
      </w:pPr>
    </w:p>
    <w:p>
      <w:pPr>
        <w:pStyle w:val="11"/>
        <w:spacing w:after="0"/>
        <w:jc w:val="center"/>
        <w:rPr>
          <w:rFonts w:hint="eastAsia"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w:t>
      </w:r>
      <w:r>
        <w:rPr>
          <w:rFonts w:hint="eastAsia" w:ascii="仿宋" w:hAnsi="仿宋" w:eastAsia="仿宋" w:cs="仿宋"/>
          <w:b/>
          <w:bCs/>
          <w:spacing w:val="-20"/>
          <w:kern w:val="44"/>
          <w:sz w:val="48"/>
          <w:szCs w:val="48"/>
          <w:highlight w:val="none"/>
          <w:lang w:eastAsia="zh-CN"/>
        </w:rPr>
        <w:t>货物买卖</w:t>
      </w:r>
      <w:r>
        <w:rPr>
          <w:rFonts w:hint="eastAsia" w:ascii="仿宋" w:hAnsi="仿宋" w:eastAsia="仿宋" w:cs="仿宋"/>
          <w:b/>
          <w:bCs/>
          <w:spacing w:val="-20"/>
          <w:kern w:val="44"/>
          <w:sz w:val="48"/>
          <w:szCs w:val="48"/>
          <w:highlight w:val="none"/>
        </w:rPr>
        <w:t>合同</w:t>
      </w:r>
    </w:p>
    <w:p>
      <w:pPr>
        <w:pStyle w:val="11"/>
        <w:spacing w:after="0"/>
        <w:jc w:val="center"/>
        <w:rPr>
          <w:rFonts w:hint="eastAsia" w:ascii="仿宋" w:hAnsi="仿宋" w:eastAsia="仿宋" w:cs="仿宋"/>
          <w:b/>
          <w:bCs/>
          <w:spacing w:val="-20"/>
          <w:kern w:val="44"/>
          <w:sz w:val="48"/>
          <w:szCs w:val="48"/>
          <w:highlight w:val="none"/>
          <w:lang w:eastAsia="zh-CN"/>
        </w:rPr>
      </w:pPr>
      <w:r>
        <w:rPr>
          <w:rFonts w:hint="eastAsia" w:ascii="仿宋" w:hAnsi="仿宋" w:eastAsia="仿宋" w:cs="仿宋"/>
          <w:b/>
          <w:bCs/>
          <w:spacing w:val="-20"/>
          <w:kern w:val="44"/>
          <w:sz w:val="48"/>
          <w:szCs w:val="48"/>
          <w:highlight w:val="none"/>
          <w:lang w:eastAsia="zh-CN"/>
        </w:rPr>
        <w:t>（试行）</w:t>
      </w:r>
    </w:p>
    <w:p>
      <w:pPr>
        <w:rPr>
          <w:rFonts w:hint="eastAsia" w:ascii="仿宋" w:hAnsi="仿宋" w:eastAsia="仿宋" w:cs="仿宋"/>
          <w:b/>
          <w:bCs/>
          <w:spacing w:val="-20"/>
          <w:kern w:val="44"/>
          <w:sz w:val="40"/>
          <w:szCs w:val="40"/>
          <w:highlight w:val="none"/>
        </w:rPr>
      </w:pPr>
    </w:p>
    <w:p>
      <w:pPr>
        <w:rPr>
          <w:rFonts w:hint="eastAsia" w:ascii="仿宋" w:hAnsi="仿宋" w:eastAsia="仿宋" w:cs="仿宋"/>
          <w:b/>
          <w:bCs/>
          <w:spacing w:val="-20"/>
          <w:kern w:val="44"/>
          <w:sz w:val="40"/>
          <w:szCs w:val="40"/>
          <w:highlight w:val="none"/>
        </w:rPr>
      </w:pPr>
    </w:p>
    <w:p>
      <w:pPr>
        <w:rPr>
          <w:rFonts w:hint="eastAsia" w:ascii="仿宋" w:hAnsi="仿宋" w:eastAsia="仿宋" w:cs="仿宋"/>
          <w:b/>
          <w:bCs/>
          <w:spacing w:val="-20"/>
          <w:kern w:val="44"/>
          <w:sz w:val="40"/>
          <w:szCs w:val="40"/>
          <w:highlight w:val="none"/>
        </w:rPr>
      </w:pPr>
    </w:p>
    <w:p>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pPr>
        <w:rPr>
          <w:rFonts w:hint="eastAsia" w:ascii="仿宋" w:hAnsi="仿宋" w:eastAsia="仿宋" w:cs="仿宋"/>
          <w:highlight w:val="none"/>
        </w:rPr>
      </w:pPr>
    </w:p>
    <w:p>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使</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明</w:t>
      </w:r>
    </w:p>
    <w:p>
      <w:pPr>
        <w:ind w:firstLine="480" w:firstLineChars="200"/>
        <w:rPr>
          <w:rFonts w:hint="eastAsia" w:ascii="仿宋" w:hAnsi="仿宋" w:eastAsia="仿宋" w:cs="仿宋"/>
          <w:sz w:val="24"/>
          <w:szCs w:val="24"/>
          <w:highlight w:val="none"/>
          <w:lang w:val="en-US" w:eastAsia="zh-CN"/>
        </w:rPr>
      </w:pPr>
    </w:p>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2.本合同标准文本为政府采购货物买卖合同编制提供参考，可以结合采购项目具体情况，对文本作必要的调整修订后使用。</w:t>
      </w:r>
    </w:p>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3.本合同标准文本各条款中，如涉及填写多家供应商、制造商，多种采购标的、分包主要内容等信息的，可根据采购项目具体情况添加信息项。</w:t>
      </w:r>
    </w:p>
    <w:p>
      <w:pPr>
        <w:ind w:firstLine="480" w:firstLineChars="200"/>
        <w:jc w:val="both"/>
        <w:rPr>
          <w:rFonts w:hint="eastAsia" w:ascii="仿宋" w:hAnsi="仿宋" w:eastAsia="仿宋" w:cs="仿宋"/>
          <w:sz w:val="24"/>
          <w:szCs w:val="2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74"/>
    <w:p>
      <w:pPr>
        <w:pStyle w:val="4"/>
        <w:adjustRightInd w:val="0"/>
        <w:snapToGrid w:val="0"/>
        <w:spacing w:beforeLines="0" w:line="400" w:lineRule="exact"/>
        <w:jc w:val="center"/>
        <w:rPr>
          <w:rFonts w:hint="eastAsia" w:ascii="仿宋" w:hAnsi="仿宋" w:eastAsia="仿宋" w:cs="仿宋"/>
          <w:sz w:val="24"/>
          <w:szCs w:val="24"/>
          <w:highlight w:val="none"/>
        </w:rPr>
      </w:pPr>
      <w:bookmarkStart w:id="175" w:name="_Toc22209"/>
    </w:p>
    <w:p>
      <w:pPr>
        <w:pStyle w:val="4"/>
        <w:adjustRightInd w:val="0"/>
        <w:snapToGrid w:val="0"/>
        <w:spacing w:beforeLines="0" w:line="400" w:lineRule="exact"/>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第一节 政府采购合同协议书</w:t>
      </w:r>
      <w:bookmarkEnd w:id="175"/>
    </w:p>
    <w:p>
      <w:pPr>
        <w:pStyle w:val="4"/>
        <w:adjustRightInd w:val="0"/>
        <w:snapToGrid w:val="0"/>
        <w:spacing w:beforeLines="0" w:line="400" w:lineRule="exact"/>
        <w:jc w:val="center"/>
        <w:rPr>
          <w:rFonts w:hint="eastAsia" w:ascii="仿宋" w:hAnsi="仿宋" w:eastAsia="仿宋" w:cs="仿宋"/>
          <w:b w:val="0"/>
          <w:bCs w:val="0"/>
          <w:sz w:val="24"/>
          <w:szCs w:val="24"/>
          <w:highlight w:val="none"/>
        </w:rPr>
      </w:pPr>
    </w:p>
    <w:p>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eastAsia="zh-CN"/>
        </w:rPr>
        <w:t>、受采购人委托签订合同的单位</w:t>
      </w:r>
      <w:r>
        <w:rPr>
          <w:rFonts w:hint="eastAsia" w:ascii="仿宋" w:hAnsi="仿宋" w:eastAsia="仿宋" w:cs="仿宋"/>
          <w:sz w:val="24"/>
          <w:szCs w:val="24"/>
          <w:highlight w:val="none"/>
        </w:rPr>
        <w:t>或采购</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文件约定的合同甲方）</w:t>
      </w:r>
    </w:p>
    <w:p>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w:t>
      </w:r>
    </w:p>
    <w:p>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乙方2（全称）：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lang w:val="en-US" w:eastAsia="zh-CN"/>
        </w:rPr>
        <w:t>3（全称）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pPr>
        <w:spacing w:beforeLines="0" w:line="400" w:lineRule="exact"/>
        <w:rPr>
          <w:rFonts w:hint="eastAsia" w:ascii="仿宋" w:hAnsi="仿宋" w:eastAsia="仿宋" w:cs="仿宋"/>
          <w:sz w:val="24"/>
          <w:szCs w:val="24"/>
          <w:highlight w:val="none"/>
          <w:lang w:val="en-US" w:eastAsia="zh-CN"/>
        </w:rPr>
      </w:pPr>
    </w:p>
    <w:p>
      <w:pPr>
        <w:pStyle w:val="12"/>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 w:val="24"/>
          <w:szCs w:val="24"/>
          <w:highlight w:val="none"/>
        </w:rPr>
        <w:t xml:space="preserve">     </w:t>
      </w:r>
    </w:p>
    <w:p>
      <w:pPr>
        <w:numPr>
          <w:ilvl w:val="0"/>
          <w:numId w:val="2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项目信息</w:t>
      </w:r>
    </w:p>
    <w:p>
      <w:pPr>
        <w:pStyle w:val="12"/>
        <w:numPr>
          <w:ilvl w:val="0"/>
          <w:numId w:val="21"/>
        </w:numPr>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single"/>
        </w:rPr>
        <w:t xml:space="preserve">                                          </w:t>
      </w:r>
    </w:p>
    <w:p>
      <w:pPr>
        <w:pStyle w:val="12"/>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 xml:space="preserve">         采购项目编号：</w:t>
      </w:r>
      <w:r>
        <w:rPr>
          <w:rFonts w:hint="eastAsia" w:ascii="仿宋" w:hAnsi="仿宋" w:eastAsia="仿宋" w:cs="仿宋"/>
          <w:sz w:val="24"/>
          <w:szCs w:val="24"/>
          <w:highlight w:val="none"/>
          <w:u w:val="single"/>
        </w:rPr>
        <w:t xml:space="preserve">                                          </w:t>
      </w:r>
    </w:p>
    <w:p>
      <w:pPr>
        <w:pStyle w:val="12"/>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（2）采购计划编号：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（3）项目内容：</w:t>
      </w:r>
    </w:p>
    <w:p>
      <w:pPr>
        <w:adjustRightInd w:val="0"/>
        <w:snapToGrid w:val="0"/>
        <w:spacing w:before="0"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采购标的及数量</w:t>
      </w:r>
      <w:r>
        <w:rPr>
          <w:rFonts w:hint="eastAsia" w:ascii="仿宋" w:hAnsi="仿宋" w:eastAsia="仿宋" w:cs="仿宋"/>
          <w:sz w:val="24"/>
          <w:szCs w:val="24"/>
          <w:highlight w:val="none"/>
          <w:lang w:val="en-US" w:eastAsia="zh-CN"/>
        </w:rPr>
        <w:t>（台/套</w:t>
      </w:r>
      <w:r>
        <w:rPr>
          <w:rFonts w:hint="eastAsia" w:ascii="仿宋" w:hAnsi="仿宋" w:eastAsia="仿宋" w:cs="仿宋"/>
          <w:sz w:val="24"/>
          <w:szCs w:val="24"/>
          <w:highlight w:val="none"/>
          <w:lang w:val="en" w:eastAsia="zh-CN"/>
        </w:rPr>
        <w:t>/个/架/组等</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highlight w:val="none"/>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 w:eastAsia="zh-CN"/>
        </w:rPr>
        <w:t xml:space="preserve">     </w:t>
      </w:r>
      <w:r>
        <w:rPr>
          <w:rFonts w:hint="eastAsia" w:ascii="仿宋" w:hAnsi="仿宋" w:eastAsia="仿宋" w:cs="仿宋"/>
          <w:sz w:val="24"/>
          <w:szCs w:val="24"/>
          <w:highlight w:val="none"/>
          <w:lang w:val="en-US" w:eastAsia="zh-CN"/>
        </w:rPr>
        <w:t>规格型号：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p>
    <w:p>
      <w:pPr>
        <w:adjustRightInd w:val="0"/>
        <w:snapToGrid w:val="0"/>
        <w:spacing w:before="0" w:beforeLines="0" w:line="4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仿宋" w:hAnsi="仿宋" w:eastAsia="仿宋" w:cs="仿宋"/>
          <w:kern w:val="0"/>
          <w:sz w:val="24"/>
          <w:szCs w:val="24"/>
          <w:highlight w:val="none"/>
          <w:u w:val="single"/>
          <w:lang w:val="en-US" w:eastAsia="zh-CN"/>
        </w:rPr>
      </w:pPr>
      <w:r>
        <w:rPr>
          <w:rFonts w:hint="eastAsia" w:ascii="仿宋" w:hAnsi="仿宋" w:eastAsia="仿宋" w:cs="仿宋"/>
          <w:sz w:val="24"/>
          <w:szCs w:val="24"/>
          <w:highlight w:val="none"/>
          <w:lang w:val="en-US" w:eastAsia="zh-CN"/>
        </w:rPr>
        <w:t xml:space="preserve">     标的名称：</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 w:eastAsia="zh-CN"/>
        </w:rPr>
        <w:t xml:space="preserve">               </w:t>
      </w:r>
      <w:r>
        <w:rPr>
          <w:rFonts w:hint="eastAsia" w:ascii="仿宋" w:hAnsi="仿宋" w:eastAsia="仿宋" w:cs="仿宋"/>
          <w:kern w:val="0"/>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关键部件：</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pStyle w:val="2"/>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2"/>
          <w:sz w:val="24"/>
          <w:szCs w:val="24"/>
          <w:highlight w:val="none"/>
          <w:lang w:val="en-US" w:eastAsia="zh-CN"/>
        </w:rPr>
        <w:t>关键部件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pStyle w:val="2"/>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关键部件：</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p>
    <w:p>
      <w:pPr>
        <w:pStyle w:val="2"/>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②涉及车辆采购，请填写是否属于新能源汽车：</w:t>
      </w:r>
    </w:p>
    <w:p>
      <w:pPr>
        <w:pStyle w:val="2"/>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，《政府采购品目分类目录》底级品目名称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数量：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金额：</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val="0"/>
          <w:sz w:val="24"/>
          <w:szCs w:val="24"/>
          <w:highlight w:val="none"/>
          <w:lang w:val="en-US" w:eastAsia="zh-CN"/>
        </w:rPr>
        <w:t xml:space="preserve"> </w:t>
      </w:r>
    </w:p>
    <w:p>
      <w:pPr>
        <w:pStyle w:val="2"/>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highlight w:val="none"/>
          <w:lang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否</w:t>
      </w:r>
    </w:p>
    <w:p>
      <w:pPr>
        <w:pStyle w:val="2"/>
        <w:numPr>
          <w:ilvl w:val="-1"/>
          <w:numId w:val="0"/>
        </w:numPr>
        <w:adjustRightInd w:val="0"/>
        <w:snapToGrid w:val="0"/>
        <w:spacing w:before="0" w:beforeLines="0" w:line="400" w:lineRule="exact"/>
        <w:ind w:left="0" w:firstLine="0" w:firstLineChars="0"/>
        <w:rPr>
          <w:rFonts w:hint="eastAsia" w:ascii="仿宋" w:hAnsi="仿宋" w:eastAsia="仿宋" w:cs="仿宋"/>
          <w:iCs w:val="0"/>
          <w:sz w:val="24"/>
          <w:szCs w:val="24"/>
          <w:highlight w:val="non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lang w:val="en" w:eastAsia="zh-CN"/>
        </w:rPr>
        <w:t>4</w:t>
      </w:r>
      <w:r>
        <w:rPr>
          <w:rFonts w:hint="eastAsia" w:ascii="仿宋" w:hAnsi="仿宋" w:eastAsia="仿宋" w:cs="仿宋"/>
          <w:iCs w:val="0"/>
          <w:sz w:val="24"/>
          <w:szCs w:val="24"/>
          <w:highlight w:val="none"/>
          <w:lang w:val="en-US" w:eastAsia="zh-CN"/>
        </w:rPr>
        <w:t>）政府采购组织形式：</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政府集中采购</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val="en-US" w:eastAsia="zh-CN"/>
        </w:rPr>
        <w:t xml:space="preserve">部门集中采购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val="en-US" w:eastAsia="zh-CN"/>
        </w:rPr>
        <w:t>分散采购</w:t>
      </w:r>
    </w:p>
    <w:p>
      <w:pPr>
        <w:pStyle w:val="2"/>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lang w:eastAsia="zh-CN"/>
        </w:rPr>
      </w:pPr>
      <w:r>
        <w:rPr>
          <w:rFonts w:hint="eastAsia" w:ascii="仿宋" w:hAnsi="仿宋" w:eastAsia="仿宋" w:cs="仿宋"/>
          <w:iCs w:val="0"/>
          <w:sz w:val="24"/>
          <w:szCs w:val="24"/>
          <w:highlight w:val="none"/>
          <w:lang w:val="en-US" w:eastAsia="zh-CN"/>
        </w:rPr>
        <w:t>（</w:t>
      </w:r>
      <w:r>
        <w:rPr>
          <w:rFonts w:hint="eastAsia" w:ascii="仿宋" w:hAnsi="仿宋" w:eastAsia="仿宋" w:cs="仿宋"/>
          <w:iCs w:val="0"/>
          <w:sz w:val="24"/>
          <w:szCs w:val="24"/>
          <w:highlight w:val="none"/>
          <w:lang w:val="en" w:eastAsia="zh-CN"/>
        </w:rPr>
        <w:t>5</w:t>
      </w:r>
      <w:r>
        <w:rPr>
          <w:rFonts w:hint="eastAsia" w:ascii="仿宋" w:hAnsi="仿宋" w:eastAsia="仿宋" w:cs="仿宋"/>
          <w:iCs w:val="0"/>
          <w:sz w:val="24"/>
          <w:szCs w:val="24"/>
          <w:highlight w:val="none"/>
          <w:lang w:val="en-US" w:eastAsia="zh-CN"/>
        </w:rPr>
        <w:t>）政府采购方式：</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公开招标</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邀请招标</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竞争性谈判</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竞争性磋商</w:t>
      </w:r>
    </w:p>
    <w:p>
      <w:pPr>
        <w:pStyle w:val="2"/>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u w:val="single"/>
          <w:lang w:val="en-US"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询价</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单一来源</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框架协议</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其他：</w:t>
      </w:r>
      <w:r>
        <w:rPr>
          <w:rFonts w:hint="eastAsia" w:ascii="仿宋" w:hAnsi="仿宋" w:eastAsia="仿宋" w:cs="仿宋"/>
          <w:iCs w:val="0"/>
          <w:sz w:val="24"/>
          <w:szCs w:val="24"/>
          <w:highlight w:val="none"/>
          <w:u w:val="single"/>
          <w:lang w:val="en-US" w:eastAsia="zh-CN"/>
        </w:rPr>
        <w:t xml:space="preserve">          </w:t>
      </w:r>
    </w:p>
    <w:p>
      <w:pPr>
        <w:pStyle w:val="2"/>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u w:val="none"/>
          <w:lang w:val="en-US" w:eastAsia="zh-CN"/>
        </w:rPr>
      </w:pPr>
      <w:r>
        <w:rPr>
          <w:rFonts w:hint="eastAsia" w:ascii="仿宋" w:hAnsi="仿宋" w:eastAsia="仿宋" w:cs="仿宋"/>
          <w:iCs w:val="0"/>
          <w:sz w:val="24"/>
          <w:szCs w:val="24"/>
          <w:highlight w:val="none"/>
          <w:u w:val="none"/>
          <w:lang w:val="en-US" w:eastAsia="zh-CN"/>
        </w:rPr>
        <w:t>（注：在框架协议采购的第二阶段，可选择使用该合同文本）</w:t>
      </w:r>
    </w:p>
    <w:p>
      <w:pPr>
        <w:pStyle w:val="2"/>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highlight w:val="no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 w:eastAsia="zh-CN"/>
        </w:rPr>
        <w:t>6</w:t>
      </w:r>
      <w:r>
        <w:rPr>
          <w:rFonts w:hint="eastAsia" w:ascii="仿宋" w:hAnsi="仿宋" w:eastAsia="仿宋" w:cs="仿宋"/>
          <w:sz w:val="24"/>
          <w:szCs w:val="24"/>
          <w:highlight w:val="none"/>
          <w:lang w:val="en-US" w:eastAsia="zh-CN"/>
        </w:rPr>
        <w:t>）</w:t>
      </w:r>
      <w:r>
        <w:rPr>
          <w:rFonts w:hint="eastAsia" w:ascii="仿宋" w:hAnsi="仿宋" w:eastAsia="仿宋" w:cs="仿宋"/>
          <w:w w:val="100"/>
          <w:kern w:val="2"/>
          <w:sz w:val="24"/>
          <w:szCs w:val="24"/>
          <w:highlight w:val="none"/>
          <w:lang w:val="en-US" w:eastAsia="zh-CN" w:bidi="ar-SA"/>
        </w:rPr>
        <w:t>中标（成交）采购标的制造商是否为中小企业：</w:t>
      </w:r>
      <w:r>
        <w:rPr>
          <w:rFonts w:hint="eastAsia" w:ascii="仿宋" w:hAnsi="仿宋" w:eastAsia="仿宋" w:cs="仿宋"/>
          <w:w w:val="100"/>
          <w:kern w:val="2"/>
          <w:sz w:val="24"/>
          <w:szCs w:val="24"/>
          <w:highlight w:val="none"/>
          <w:lang w:val="en-US" w:eastAsia="zh-CN" w:bidi="ar-SA"/>
        </w:rPr>
        <w:sym w:font="Wingdings" w:char="00A8"/>
      </w:r>
      <w:r>
        <w:rPr>
          <w:rFonts w:hint="eastAsia" w:ascii="仿宋" w:hAnsi="仿宋" w:eastAsia="仿宋" w:cs="仿宋"/>
          <w:w w:val="100"/>
          <w:kern w:val="2"/>
          <w:sz w:val="24"/>
          <w:szCs w:val="24"/>
          <w:highlight w:val="none"/>
          <w:lang w:val="en-US" w:eastAsia="zh-CN" w:bidi="ar-SA"/>
        </w:rPr>
        <w:t xml:space="preserve">是      </w:t>
      </w:r>
      <w:r>
        <w:rPr>
          <w:rFonts w:hint="eastAsia" w:ascii="仿宋" w:hAnsi="仿宋" w:eastAsia="仿宋" w:cs="仿宋"/>
          <w:w w:val="100"/>
          <w:kern w:val="2"/>
          <w:sz w:val="24"/>
          <w:szCs w:val="24"/>
          <w:highlight w:val="none"/>
          <w:lang w:val="en-US" w:eastAsia="zh-CN" w:bidi="ar-SA"/>
        </w:rPr>
        <w:sym w:font="Wingdings" w:char="00A8"/>
      </w:r>
      <w:r>
        <w:rPr>
          <w:rFonts w:hint="eastAsia" w:ascii="仿宋" w:hAnsi="仿宋" w:eastAsia="仿宋" w:cs="仿宋"/>
          <w:w w:val="100"/>
          <w:kern w:val="2"/>
          <w:sz w:val="24"/>
          <w:szCs w:val="24"/>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w w:val="100"/>
          <w:sz w:val="24"/>
          <w:szCs w:val="24"/>
          <w:highlight w:val="none"/>
          <w:lang w:val="en-US" w:eastAsia="zh-CN"/>
        </w:rPr>
        <w:t xml:space="preserve">         本合同</w:t>
      </w:r>
      <w:r>
        <w:rPr>
          <w:rFonts w:hint="eastAsia" w:ascii="仿宋" w:hAnsi="仿宋" w:eastAsia="仿宋" w:cs="仿宋"/>
          <w:w w:val="100"/>
          <w:sz w:val="24"/>
          <w:szCs w:val="24"/>
          <w:highlight w:val="none"/>
        </w:rPr>
        <w:t>是否</w:t>
      </w:r>
      <w:r>
        <w:rPr>
          <w:rFonts w:hint="eastAsia" w:ascii="仿宋" w:hAnsi="仿宋" w:eastAsia="仿宋" w:cs="仿宋"/>
          <w:w w:val="100"/>
          <w:sz w:val="24"/>
          <w:szCs w:val="24"/>
          <w:highlight w:val="none"/>
          <w:lang w:eastAsia="zh-CN"/>
        </w:rPr>
        <w:t>为专门面向</w:t>
      </w:r>
      <w:r>
        <w:rPr>
          <w:rFonts w:hint="eastAsia" w:ascii="仿宋" w:hAnsi="仿宋" w:eastAsia="仿宋" w:cs="仿宋"/>
          <w:w w:val="100"/>
          <w:sz w:val="24"/>
          <w:szCs w:val="24"/>
          <w:highlight w:val="none"/>
        </w:rPr>
        <w:t>中小企业</w:t>
      </w:r>
      <w:r>
        <w:rPr>
          <w:rFonts w:hint="eastAsia" w:ascii="仿宋" w:hAnsi="仿宋" w:eastAsia="仿宋" w:cs="仿宋"/>
          <w:w w:val="100"/>
          <w:sz w:val="24"/>
          <w:szCs w:val="24"/>
          <w:highlight w:val="none"/>
          <w:lang w:eastAsia="zh-CN"/>
        </w:rPr>
        <w:t>的采</w:t>
      </w:r>
      <w:r>
        <w:rPr>
          <w:rFonts w:hint="eastAsia" w:ascii="仿宋" w:hAnsi="仿宋" w:eastAsia="仿宋" w:cs="仿宋"/>
          <w:w w:val="100"/>
          <w:sz w:val="24"/>
          <w:szCs w:val="24"/>
          <w:highlight w:val="none"/>
          <w:shd w:val="clear"/>
          <w:lang w:eastAsia="zh-CN"/>
        </w:rPr>
        <w:t>购</w:t>
      </w:r>
      <w:r>
        <w:rPr>
          <w:rFonts w:hint="eastAsia" w:ascii="仿宋" w:hAnsi="仿宋" w:eastAsia="仿宋" w:cs="仿宋"/>
          <w:w w:val="100"/>
          <w:sz w:val="24"/>
          <w:szCs w:val="24"/>
          <w:highlight w:val="none"/>
          <w:shd w:val="clear"/>
        </w:rPr>
        <w:t>合同</w:t>
      </w:r>
      <w:r>
        <w:rPr>
          <w:rFonts w:hint="eastAsia" w:ascii="仿宋" w:hAnsi="仿宋" w:eastAsia="仿宋" w:cs="仿宋"/>
          <w:w w:val="100"/>
          <w:sz w:val="24"/>
          <w:szCs w:val="24"/>
          <w:highlight w:val="none"/>
          <w:shd w:val="clear"/>
          <w:lang w:eastAsia="zh-CN"/>
        </w:rPr>
        <w:t>（中小企业预留合同）</w:t>
      </w:r>
      <w:r>
        <w:rPr>
          <w:rFonts w:hint="eastAsia" w:ascii="仿宋" w:hAnsi="仿宋" w:eastAsia="仿宋" w:cs="仿宋"/>
          <w:sz w:val="24"/>
          <w:szCs w:val="24"/>
          <w:highlight w:val="none"/>
          <w:shd w:val="clear"/>
        </w:rPr>
        <w:t>：</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lang w:val="en-US" w:eastAsia="zh-CN"/>
        </w:rPr>
        <w:t xml:space="preserve">         若本项目不专门面向中小企业采购，是否给予小微企业评审优惠：</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lang w:val="en-US" w:eastAsia="zh-CN"/>
        </w:rPr>
        <w:t xml:space="preserve">         中标（成交）采购标的制造商是否为残疾人福利性单位：</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numPr>
          <w:ilvl w:val="0"/>
          <w:numId w:val="0"/>
        </w:numPr>
        <w:snapToGrid w:val="0"/>
        <w:spacing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中标（成交）采购标的制造商是否为监狱企业：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 w:eastAsia="zh-CN"/>
        </w:rPr>
        <w:t>7</w:t>
      </w:r>
      <w:r>
        <w:rPr>
          <w:rFonts w:hint="eastAsia" w:ascii="仿宋" w:hAnsi="仿宋" w:eastAsia="仿宋" w:cs="仿宋"/>
          <w:sz w:val="24"/>
          <w:szCs w:val="24"/>
          <w:highlight w:val="none"/>
        </w:rPr>
        <w:t>）合同是否分包：</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分包主要内容：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highlight w:val="none"/>
        </w:rPr>
        <w:t>：</w:t>
      </w:r>
    </w:p>
    <w:p>
      <w:pPr>
        <w:adjustRightInd w:val="0"/>
        <w:snapToGrid w:val="0"/>
        <w:spacing w:beforeLines="0" w:line="400" w:lineRule="exact"/>
        <w:ind w:firstLine="960" w:firstLineChars="40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大型企业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中型企业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小微型企业</w:t>
      </w:r>
      <w:r>
        <w:rPr>
          <w:rFonts w:hint="eastAsia" w:ascii="仿宋" w:hAnsi="仿宋" w:eastAsia="仿宋" w:cs="仿宋"/>
          <w:iCs/>
          <w:sz w:val="24"/>
          <w:szCs w:val="24"/>
          <w:highlight w:val="none"/>
          <w:lang w:val="en-US" w:eastAsia="zh-CN"/>
        </w:rPr>
        <w:t xml:space="preserve">  </w:t>
      </w:r>
    </w:p>
    <w:p>
      <w:pPr>
        <w:adjustRightInd w:val="0"/>
        <w:snapToGrid w:val="0"/>
        <w:spacing w:beforeLines="0" w:line="400" w:lineRule="exact"/>
        <w:ind w:firstLine="960" w:firstLineChars="400"/>
        <w:rPr>
          <w:rFonts w:hint="eastAsia" w:ascii="仿宋" w:hAnsi="仿宋" w:eastAsia="仿宋" w:cs="仿宋"/>
          <w:sz w:val="24"/>
          <w:szCs w:val="24"/>
          <w:highlight w:val="none"/>
          <w:u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残疾人福利性单位</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监狱</w:t>
      </w:r>
      <w:r>
        <w:rPr>
          <w:rFonts w:hint="eastAsia" w:ascii="仿宋" w:hAnsi="仿宋" w:eastAsia="仿宋" w:cs="仿宋"/>
          <w:iCs/>
          <w:sz w:val="24"/>
          <w:szCs w:val="24"/>
          <w:highlight w:val="none"/>
        </w:rPr>
        <w:t>企业</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pStyle w:val="2"/>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pPr>
        <w:numPr>
          <w:ilvl w:val="-1"/>
          <w:numId w:val="0"/>
        </w:numPr>
        <w:adjustRightInd w:val="0"/>
        <w:snapToGrid w:val="0"/>
        <w:spacing w:before="0" w:beforeLines="0" w:line="400" w:lineRule="exact"/>
        <w:ind w:firstLine="480" w:firstLineChars="20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none"/>
          <w:lang w:val="en" w:eastAsia="zh-CN"/>
        </w:rPr>
        <w:t>9</w:t>
      </w:r>
      <w:r>
        <w:rPr>
          <w:rFonts w:hint="eastAsia" w:ascii="仿宋" w:hAnsi="仿宋" w:eastAsia="仿宋" w:cs="仿宋"/>
          <w:b w:val="0"/>
          <w:bCs w:val="0"/>
          <w:sz w:val="24"/>
          <w:szCs w:val="24"/>
          <w:highlight w:val="none"/>
          <w:u w:val="none"/>
          <w:lang w:val="en-US" w:eastAsia="zh-CN"/>
        </w:rPr>
        <w:t>）是否涉及进口产品：</w:t>
      </w:r>
    </w:p>
    <w:p>
      <w:pPr>
        <w:numPr>
          <w:ilvl w:val="-1"/>
          <w:numId w:val="0"/>
        </w:numPr>
        <w:adjustRightInd w:val="0"/>
        <w:snapToGrid w:val="0"/>
        <w:spacing w:before="0" w:beforeLines="0" w:line="400" w:lineRule="exact"/>
        <w:ind w:firstLine="960" w:firstLineChars="400"/>
        <w:rPr>
          <w:rFonts w:hint="eastAsia" w:ascii="仿宋" w:hAnsi="仿宋" w:eastAsia="仿宋" w:cs="仿宋"/>
          <w:sz w:val="24"/>
          <w:szCs w:val="24"/>
          <w:highlight w:val="none"/>
          <w:u w:val="singl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，《政府采购品目分类目录》底级品目名称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金额：</w:t>
      </w:r>
      <w:r>
        <w:rPr>
          <w:rFonts w:hint="eastAsia" w:ascii="仿宋" w:hAnsi="仿宋" w:eastAsia="仿宋" w:cs="仿宋"/>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highlight w:val="none"/>
        </w:rPr>
      </w:pPr>
      <w:r>
        <w:rPr>
          <w:rFonts w:hint="eastAsia" w:ascii="仿宋" w:hAnsi="仿宋" w:eastAsia="仿宋" w:cs="仿宋"/>
          <w:sz w:val="24"/>
          <w:szCs w:val="24"/>
          <w:highlight w:val="none"/>
          <w:lang w:val="en-US" w:eastAsia="zh-CN"/>
        </w:rPr>
        <w:t xml:space="preserve">        国别：</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规格型号：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val="0"/>
          <w:sz w:val="24"/>
          <w:szCs w:val="24"/>
          <w:highlight w:val="none"/>
        </w:rPr>
        <w:t xml:space="preserve">      </w:t>
      </w:r>
    </w:p>
    <w:p>
      <w:pPr>
        <w:adjustRightInd w:val="0"/>
        <w:snapToGrid w:val="0"/>
        <w:spacing w:before="0" w:beforeLines="0" w:line="400" w:lineRule="exact"/>
        <w:ind w:firstLine="960" w:firstLineChars="400"/>
        <w:rPr>
          <w:rFonts w:hint="eastAsia" w:ascii="仿宋" w:hAnsi="仿宋" w:eastAsia="仿宋" w:cs="仿宋"/>
          <w:sz w:val="24"/>
          <w:szCs w:val="24"/>
          <w:highlight w:val="none"/>
          <w:u w:val="non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（1</w:t>
      </w:r>
      <w:r>
        <w:rPr>
          <w:rFonts w:hint="eastAsia" w:ascii="仿宋" w:hAnsi="仿宋" w:eastAsia="仿宋" w:cs="仿宋"/>
          <w:b w:val="0"/>
          <w:bCs w:val="0"/>
          <w:sz w:val="24"/>
          <w:szCs w:val="24"/>
          <w:highlight w:val="none"/>
          <w:u w:val="none"/>
          <w:lang w:val="en" w:eastAsia="zh-CN"/>
        </w:rPr>
        <w:t>0</w:t>
      </w:r>
      <w:r>
        <w:rPr>
          <w:rFonts w:hint="eastAsia" w:ascii="仿宋" w:hAnsi="仿宋" w:eastAsia="仿宋" w:cs="仿宋"/>
          <w:b w:val="0"/>
          <w:bCs w:val="0"/>
          <w:sz w:val="24"/>
          <w:szCs w:val="24"/>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，《节能产品政府采购品目清单》的底级品目名称：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highlight w:val="none"/>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highlight w:val="none"/>
          <w:lang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，《环境标志产品政府采购品目清单》的底级品目名称：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p>
    <w:p>
      <w:pPr>
        <w:pStyle w:val="2"/>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kern w:val="2"/>
          <w:sz w:val="24"/>
          <w:szCs w:val="24"/>
          <w:highlight w:val="none"/>
          <w:u w:val="none"/>
          <w:lang w:val="en-US" w:eastAsia="zh-CN"/>
        </w:rPr>
        <w:t>是否涉及绿色产品：</w:t>
      </w:r>
      <w:r>
        <w:rPr>
          <w:rFonts w:hint="eastAsia" w:ascii="仿宋" w:hAnsi="仿宋" w:eastAsia="仿宋" w:cs="仿宋"/>
          <w:iCs w:val="0"/>
          <w:kern w:val="2"/>
          <w:sz w:val="24"/>
          <w:szCs w:val="24"/>
          <w:highlight w:val="none"/>
          <w:u w:val="none"/>
          <w:lang w:val="en-US" w:eastAsia="zh-CN"/>
        </w:rPr>
        <w:t xml:space="preserve"> </w:t>
      </w:r>
    </w:p>
    <w:p>
      <w:pPr>
        <w:pStyle w:val="2"/>
        <w:spacing w:beforeLines="0"/>
        <w:ind w:firstLine="420" w:firstLineChars="0"/>
        <w:rPr>
          <w:rFonts w:hint="eastAsia" w:ascii="仿宋" w:hAnsi="仿宋" w:eastAsia="仿宋" w:cs="仿宋"/>
          <w:sz w:val="24"/>
          <w:szCs w:val="24"/>
          <w:highlight w:val="none"/>
          <w:u w:val="single"/>
          <w:lang w:val="en-US" w:eastAsia="zh-CN"/>
        </w:rPr>
      </w:pPr>
      <w:r>
        <w:rPr>
          <w:rFonts w:hint="eastAsia" w:ascii="仿宋" w:hAnsi="仿宋" w:eastAsia="仿宋" w:cs="仿宋"/>
          <w:iCs w:val="0"/>
          <w:kern w:val="2"/>
          <w:sz w:val="24"/>
          <w:szCs w:val="24"/>
          <w:highlight w:val="none"/>
          <w:u w:val="none"/>
          <w:lang w:val="en-US" w:eastAsia="zh-CN"/>
        </w:rPr>
        <w:t xml:space="preserve">     </w:t>
      </w:r>
      <w:r>
        <w:rPr>
          <w:rFonts w:hint="eastAsia" w:ascii="仿宋" w:hAnsi="仿宋" w:eastAsia="仿宋" w:cs="仿宋"/>
          <w:iCs w:val="0"/>
          <w:kern w:val="2"/>
          <w:sz w:val="24"/>
          <w:szCs w:val="24"/>
          <w:highlight w:val="none"/>
          <w:u w:val="none"/>
        </w:rPr>
        <w:sym w:font="Wingdings" w:char="00A8"/>
      </w:r>
      <w:r>
        <w:rPr>
          <w:rFonts w:hint="eastAsia" w:ascii="仿宋" w:hAnsi="仿宋" w:eastAsia="仿宋" w:cs="仿宋"/>
          <w:iCs w:val="0"/>
          <w:kern w:val="2"/>
          <w:sz w:val="24"/>
          <w:szCs w:val="24"/>
          <w:highlight w:val="none"/>
          <w:u w:val="none"/>
        </w:rPr>
        <w:t>是</w:t>
      </w:r>
      <w:r>
        <w:rPr>
          <w:rFonts w:hint="eastAsia" w:ascii="仿宋" w:hAnsi="仿宋" w:eastAsia="仿宋" w:cs="仿宋"/>
          <w:iCs w:val="0"/>
          <w:kern w:val="2"/>
          <w:sz w:val="24"/>
          <w:szCs w:val="24"/>
          <w:highlight w:val="none"/>
          <w:u w:val="none"/>
          <w:lang w:eastAsia="zh-CN"/>
        </w:rPr>
        <w:t>，绿色产品政府采购相关政策确定的底级品目名称：</w:t>
      </w:r>
      <w:r>
        <w:rPr>
          <w:rFonts w:hint="eastAsia" w:ascii="仿宋" w:hAnsi="仿宋" w:eastAsia="仿宋" w:cs="仿宋"/>
          <w:sz w:val="24"/>
          <w:szCs w:val="24"/>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pPr>
        <w:pStyle w:val="2"/>
        <w:spacing w:beforeLines="0"/>
        <w:ind w:firstLine="42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iCs w:val="0"/>
          <w:kern w:val="2"/>
          <w:sz w:val="24"/>
          <w:szCs w:val="24"/>
          <w:highlight w:val="none"/>
          <w:u w:val="none"/>
          <w:lang w:val="en-US" w:eastAsia="zh-CN"/>
        </w:rPr>
        <w:t xml:space="preserve">     </w:t>
      </w:r>
      <w:r>
        <w:rPr>
          <w:rFonts w:hint="eastAsia" w:ascii="仿宋" w:hAnsi="仿宋" w:eastAsia="仿宋" w:cs="仿宋"/>
          <w:iCs w:val="0"/>
          <w:kern w:val="2"/>
          <w:sz w:val="24"/>
          <w:szCs w:val="24"/>
          <w:highlight w:val="none"/>
          <w:u w:val="none"/>
        </w:rPr>
        <w:sym w:font="Wingdings" w:char="00A8"/>
      </w:r>
      <w:r>
        <w:rPr>
          <w:rFonts w:hint="eastAsia" w:ascii="仿宋" w:hAnsi="仿宋" w:eastAsia="仿宋" w:cs="仿宋"/>
          <w:iCs w:val="0"/>
          <w:kern w:val="2"/>
          <w:sz w:val="24"/>
          <w:szCs w:val="24"/>
          <w:highlight w:val="none"/>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（1</w:t>
      </w:r>
      <w:r>
        <w:rPr>
          <w:rFonts w:hint="eastAsia" w:ascii="仿宋" w:hAnsi="仿宋" w:eastAsia="仿宋" w:cs="仿宋"/>
          <w:sz w:val="24"/>
          <w:szCs w:val="24"/>
          <w:highlight w:val="none"/>
          <w:lang w:val="en" w:eastAsia="zh-CN"/>
        </w:rPr>
        <w:t>1</w:t>
      </w:r>
      <w:r>
        <w:rPr>
          <w:rFonts w:hint="eastAsia" w:ascii="仿宋" w:hAnsi="仿宋" w:eastAsia="仿宋" w:cs="仿宋"/>
          <w:sz w:val="24"/>
          <w:szCs w:val="24"/>
          <w:highlight w:val="none"/>
          <w:lang w:val="en-US" w:eastAsia="zh-CN"/>
        </w:rPr>
        <w:t>）涉及商品包装和快递包装的，是否参考</w:t>
      </w:r>
      <w:r>
        <w:rPr>
          <w:rFonts w:hint="eastAsia" w:ascii="仿宋" w:hAnsi="仿宋" w:eastAsia="仿宋" w:cs="仿宋"/>
          <w:sz w:val="24"/>
          <w:szCs w:val="24"/>
          <w:highlight w:val="none"/>
        </w:rPr>
        <w:t>《商品包装政府采购需求标准（试行）》、《快递包装政府采购需求标准（试行）》</w:t>
      </w:r>
      <w:r>
        <w:rPr>
          <w:rFonts w:hint="eastAsia" w:ascii="仿宋" w:hAnsi="仿宋" w:eastAsia="仿宋" w:cs="仿宋"/>
          <w:sz w:val="24"/>
          <w:szCs w:val="24"/>
          <w:highlight w:val="none"/>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highlight w:val="none"/>
          <w:lang w:val="en-US" w:eastAsia="zh-CN"/>
        </w:rPr>
      </w:pP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 xml:space="preserve">是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不涉及</w:t>
      </w:r>
    </w:p>
    <w:p>
      <w:pPr>
        <w:numPr>
          <w:ilvl w:val="0"/>
          <w:numId w:val="2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left="0"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分包金额</w:t>
      </w:r>
      <w:r>
        <w:rPr>
          <w:rFonts w:hint="eastAsia" w:ascii="仿宋" w:hAnsi="仿宋" w:eastAsia="仿宋" w:cs="仿宋"/>
          <w:sz w:val="24"/>
          <w:szCs w:val="24"/>
          <w:highlight w:val="none"/>
          <w:lang w:eastAsia="zh-CN"/>
        </w:rPr>
        <w:t>（如有）</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合同定价方式</w:t>
      </w:r>
      <w:r>
        <w:rPr>
          <w:rFonts w:hint="eastAsia" w:ascii="仿宋" w:hAnsi="仿宋" w:eastAsia="仿宋" w:cs="仿宋"/>
          <w:sz w:val="24"/>
          <w:szCs w:val="24"/>
          <w:highlight w:val="none"/>
          <w:lang w:eastAsia="zh-CN"/>
        </w:rPr>
        <w:t>（采用组合定价方式的，可以勾选多项）</w:t>
      </w:r>
      <w:r>
        <w:rPr>
          <w:rFonts w:hint="eastAsia" w:ascii="仿宋" w:hAnsi="仿宋" w:eastAsia="仿宋" w:cs="仿宋"/>
          <w:sz w:val="24"/>
          <w:szCs w:val="24"/>
          <w:highlight w:val="none"/>
        </w:rPr>
        <w:t>：</w:t>
      </w:r>
    </w:p>
    <w:p>
      <w:pPr>
        <w:adjustRightInd w:val="0"/>
        <w:snapToGrid w:val="0"/>
        <w:spacing w:before="0" w:beforeLines="0"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固定总价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固定单价</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固定费率</w:t>
      </w: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成本补偿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绩效激励</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其他</w:t>
      </w:r>
      <w:r>
        <w:rPr>
          <w:rFonts w:hint="eastAsia" w:ascii="仿宋" w:hAnsi="仿宋" w:eastAsia="仿宋" w:cs="仿宋"/>
          <w:sz w:val="24"/>
          <w:szCs w:val="24"/>
          <w:highlight w:val="none"/>
          <w:u w:val="single"/>
        </w:rPr>
        <w:t xml:space="preserve">       </w:t>
      </w:r>
    </w:p>
    <w:p>
      <w:pPr>
        <w:pStyle w:val="88"/>
        <w:spacing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）付款方式（按项目实际勾选填写）：</w:t>
      </w:r>
    </w:p>
    <w:p>
      <w:pPr>
        <w:adjustRightInd w:val="0"/>
        <w:snapToGrid w:val="0"/>
        <w:spacing w:before="0" w:beforeLines="0"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全额付款：</w:t>
      </w:r>
      <w:r>
        <w:rPr>
          <w:rFonts w:hint="eastAsia" w:ascii="仿宋" w:hAnsi="仿宋" w:eastAsia="仿宋" w:cs="仿宋"/>
          <w:sz w:val="24"/>
          <w:szCs w:val="24"/>
          <w:highlight w:val="none"/>
          <w:u w:val="single"/>
        </w:rPr>
        <w:t xml:space="preserve">     （应</w:t>
      </w:r>
      <w:r>
        <w:rPr>
          <w:rFonts w:hint="eastAsia" w:ascii="仿宋" w:hAnsi="仿宋" w:eastAsia="仿宋" w:cs="仿宋"/>
          <w:sz w:val="24"/>
          <w:szCs w:val="24"/>
          <w:highlight w:val="none"/>
          <w:u w:val="single"/>
          <w:lang w:eastAsia="zh-CN"/>
        </w:rPr>
        <w:t>明确</w:t>
      </w:r>
      <w:r>
        <w:rPr>
          <w:rFonts w:hint="eastAsia" w:ascii="仿宋" w:hAnsi="仿宋" w:eastAsia="仿宋" w:cs="仿宋"/>
          <w:sz w:val="24"/>
          <w:szCs w:val="24"/>
          <w:highlight w:val="none"/>
          <w:u w:val="single"/>
        </w:rPr>
        <w:t>一次性支付合同款项</w:t>
      </w:r>
      <w:r>
        <w:rPr>
          <w:rFonts w:hint="eastAsia" w:ascii="仿宋" w:hAnsi="仿宋" w:eastAsia="仿宋" w:cs="仿宋"/>
          <w:sz w:val="24"/>
          <w:szCs w:val="24"/>
          <w:highlight w:val="none"/>
          <w:u w:val="single"/>
          <w:lang w:eastAsia="zh-CN"/>
        </w:rPr>
        <w:t>的条件</w:t>
      </w:r>
      <w:r>
        <w:rPr>
          <w:rFonts w:hint="eastAsia" w:ascii="仿宋" w:hAnsi="仿宋" w:eastAsia="仿宋" w:cs="仿宋"/>
          <w:sz w:val="24"/>
          <w:szCs w:val="24"/>
          <w:highlight w:val="none"/>
          <w:u w:val="single"/>
        </w:rPr>
        <w:t xml:space="preserve">）                    </w:t>
      </w:r>
    </w:p>
    <w:p>
      <w:pPr>
        <w:snapToGrid w:val="0"/>
        <w:spacing w:beforeLines="0"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分期付款：</w:t>
      </w:r>
      <w:r>
        <w:rPr>
          <w:rFonts w:hint="eastAsia" w:ascii="仿宋" w:hAnsi="仿宋" w:eastAsia="仿宋" w:cs="仿宋"/>
          <w:sz w:val="24"/>
          <w:szCs w:val="24"/>
          <w:highlight w:val="none"/>
          <w:u w:val="single"/>
        </w:rPr>
        <w:t xml:space="preserve">  （应明确分期支付合同款项的各期比例和支付条件</w:t>
      </w:r>
      <w:r>
        <w:rPr>
          <w:rFonts w:hint="eastAsia" w:ascii="仿宋" w:hAnsi="仿宋" w:eastAsia="仿宋" w:cs="仿宋"/>
          <w:sz w:val="24"/>
          <w:szCs w:val="24"/>
          <w:highlight w:val="none"/>
          <w:u w:val="single"/>
          <w:lang w:eastAsia="zh-CN"/>
        </w:rPr>
        <w:t>，各期支付条件应与分期履约验收情况挂钩</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lang w:eastAsia="zh-CN"/>
        </w:rPr>
        <w:t>其中涉及预付款的</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（应明确预付款的支付比例和支付条件） </w:t>
      </w:r>
    </w:p>
    <w:p>
      <w:pPr>
        <w:adjustRightInd w:val="0"/>
        <w:snapToGrid w:val="0"/>
        <w:spacing w:before="0" w:beforeLines="0"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成本补偿：</w:t>
      </w:r>
      <w:r>
        <w:rPr>
          <w:rFonts w:hint="eastAsia" w:ascii="仿宋" w:hAnsi="仿宋" w:eastAsia="仿宋" w:cs="仿宋"/>
          <w:sz w:val="24"/>
          <w:szCs w:val="24"/>
          <w:highlight w:val="none"/>
          <w:u w:val="single"/>
        </w:rPr>
        <w:t xml:space="preserve">      （应明确按照成本补偿方式的支付方式和支付条件）   </w:t>
      </w:r>
    </w:p>
    <w:p>
      <w:pPr>
        <w:adjustRightInd w:val="0"/>
        <w:snapToGrid w:val="0"/>
        <w:spacing w:before="0" w:beforeLines="0"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绩效激励：</w:t>
      </w:r>
      <w:r>
        <w:rPr>
          <w:rFonts w:hint="eastAsia" w:ascii="仿宋" w:hAnsi="仿宋" w:eastAsia="仿宋" w:cs="仿宋"/>
          <w:sz w:val="24"/>
          <w:szCs w:val="24"/>
          <w:highlight w:val="none"/>
          <w:u w:val="single"/>
        </w:rPr>
        <w:t xml:space="preserve">      （应明确按照绩效激励方式的支付方式和支付条件）   </w:t>
      </w:r>
    </w:p>
    <w:p>
      <w:pPr>
        <w:numPr>
          <w:ilvl w:val="0"/>
          <w:numId w:val="20"/>
        </w:numPr>
        <w:adjustRightInd w:val="0"/>
        <w:snapToGrid w:val="0"/>
        <w:spacing w:before="0" w:beforeLines="0" w:line="400" w:lineRule="exact"/>
        <w:ind w:firstLine="482" w:firstLineChars="200"/>
        <w:rPr>
          <w:rFonts w:hint="eastAsia" w:ascii="仿宋" w:hAnsi="仿宋" w:eastAsia="仿宋" w:cs="仿宋"/>
          <w:b/>
          <w:bCs w:val="0"/>
          <w:sz w:val="24"/>
          <w:szCs w:val="24"/>
          <w:highlight w:val="none"/>
          <w:u w:val="single"/>
        </w:rPr>
      </w:pPr>
      <w:r>
        <w:rPr>
          <w:rFonts w:hint="eastAsia" w:ascii="仿宋" w:hAnsi="仿宋" w:eastAsia="仿宋" w:cs="仿宋"/>
          <w:b/>
          <w:bCs w:val="0"/>
          <w:sz w:val="24"/>
          <w:szCs w:val="24"/>
          <w:highlight w:val="none"/>
        </w:rPr>
        <w:t>合同履行</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（1）起始日期：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日，完成日期：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履约</w:t>
      </w:r>
      <w:r>
        <w:rPr>
          <w:rFonts w:hint="eastAsia" w:ascii="仿宋" w:hAnsi="仿宋" w:eastAsia="仿宋" w:cs="仿宋"/>
          <w:sz w:val="24"/>
          <w:szCs w:val="24"/>
          <w:highlight w:val="none"/>
        </w:rPr>
        <w:t>地点</w:t>
      </w:r>
      <w:r>
        <w:rPr>
          <w:rFonts w:hint="eastAsia" w:ascii="仿宋" w:hAnsi="仿宋" w:eastAsia="仿宋" w:cs="仿宋"/>
          <w:b w:val="0"/>
          <w:bCs/>
          <w:sz w:val="24"/>
          <w:szCs w:val="24"/>
          <w:highlight w:val="none"/>
        </w:rPr>
        <w:t>：</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rPr>
        <w:t>（3）履约担保：</w:t>
      </w:r>
      <w:r>
        <w:rPr>
          <w:rFonts w:hint="eastAsia" w:ascii="仿宋" w:hAnsi="仿宋" w:eastAsia="仿宋" w:cs="仿宋"/>
          <w:sz w:val="24"/>
          <w:szCs w:val="24"/>
          <w:highlight w:val="none"/>
          <w:lang w:val="en-US" w:eastAsia="zh-CN"/>
        </w:rPr>
        <w:t>是否收取履约保证金：</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lang w:eastAsia="zh-CN"/>
        </w:rPr>
        <w:t>是</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lang w:eastAsia="zh-CN"/>
        </w:rPr>
        <w:t>否</w:t>
      </w:r>
    </w:p>
    <w:p>
      <w:pPr>
        <w:pStyle w:val="2"/>
        <w:spacing w:beforeLines="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u w:val="none"/>
          <w:lang w:val="en-US" w:eastAsia="zh-CN"/>
        </w:rPr>
        <w:t xml:space="preserve">  </w:t>
      </w:r>
      <w:r>
        <w:rPr>
          <w:rFonts w:hint="eastAsia" w:ascii="仿宋" w:hAnsi="仿宋" w:eastAsia="仿宋" w:cs="仿宋"/>
          <w:sz w:val="24"/>
          <w:szCs w:val="24"/>
          <w:highlight w:val="none"/>
          <w:lang w:val="en-US" w:eastAsia="zh-CN"/>
        </w:rPr>
        <w:t xml:space="preserve">  收取履约保证金形式：</w:t>
      </w:r>
      <w:r>
        <w:rPr>
          <w:rFonts w:hint="eastAsia" w:ascii="仿宋" w:hAnsi="仿宋" w:eastAsia="仿宋" w:cs="仿宋"/>
          <w:bCs/>
          <w:sz w:val="24"/>
          <w:szCs w:val="24"/>
          <w:highlight w:val="none"/>
          <w:u w:val="single"/>
        </w:rPr>
        <w:t xml:space="preserve">                            </w:t>
      </w:r>
    </w:p>
    <w:p>
      <w:pPr>
        <w:pStyle w:val="2"/>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收取履约保证金金额：</w:t>
      </w:r>
      <w:r>
        <w:rPr>
          <w:rFonts w:hint="eastAsia" w:ascii="仿宋" w:hAnsi="仿宋" w:eastAsia="仿宋" w:cs="仿宋"/>
          <w:bCs/>
          <w:sz w:val="24"/>
          <w:szCs w:val="24"/>
          <w:highlight w:val="none"/>
          <w:u w:val="single"/>
        </w:rPr>
        <w:t xml:space="preserve">                            </w:t>
      </w:r>
    </w:p>
    <w:p>
      <w:pPr>
        <w:snapToGrid w:val="0"/>
        <w:spacing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u w:val="none"/>
          <w:lang w:val="en-US" w:eastAsia="zh-CN"/>
        </w:rPr>
        <w:t xml:space="preserve">    履约担保期限</w:t>
      </w:r>
      <w:r>
        <w:rPr>
          <w:rFonts w:hint="eastAsia" w:ascii="仿宋" w:hAnsi="仿宋" w:eastAsia="仿宋" w:cs="仿宋"/>
          <w:bCs/>
          <w:sz w:val="24"/>
          <w:szCs w:val="24"/>
          <w:highlight w:val="none"/>
          <w:u w:val="non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（4）分期履行要求：</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eastAsia="zh-CN"/>
        </w:rPr>
        <w:t>风险处置措施和替代方案</w:t>
      </w:r>
      <w:r>
        <w:rPr>
          <w:rFonts w:hint="eastAsia" w:ascii="仿宋" w:hAnsi="仿宋" w:eastAsia="仿宋" w:cs="仿宋"/>
          <w:bCs/>
          <w:sz w:val="24"/>
          <w:szCs w:val="24"/>
          <w:highlight w:val="none"/>
        </w:rPr>
        <w:t>：</w:t>
      </w:r>
      <w:r>
        <w:rPr>
          <w:rFonts w:hint="eastAsia" w:ascii="仿宋" w:hAnsi="仿宋" w:eastAsia="仿宋" w:cs="仿宋"/>
          <w:color w:val="0000FF"/>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u w:val="single"/>
        </w:rPr>
        <w:t xml:space="preserve">                                                </w:t>
      </w:r>
    </w:p>
    <w:p>
      <w:pPr>
        <w:numPr>
          <w:ilvl w:val="0"/>
          <w:numId w:val="2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合同验收</w:t>
      </w:r>
    </w:p>
    <w:p>
      <w:pPr>
        <w:numPr>
          <w:ilvl w:val="0"/>
          <w:numId w:val="22"/>
        </w:num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验收组织方式：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自行组织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委托第三方组织</w:t>
      </w:r>
    </w:p>
    <w:p>
      <w:pPr>
        <w:numPr>
          <w:ilvl w:val="0"/>
          <w:numId w:val="0"/>
        </w:numPr>
        <w:adjustRightInd w:val="0"/>
        <w:snapToGrid w:val="0"/>
        <w:spacing w:before="0" w:beforeLines="0"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验收主体：</w:t>
      </w:r>
      <w:r>
        <w:rPr>
          <w:rFonts w:hint="eastAsia" w:ascii="仿宋" w:hAnsi="仿宋" w:eastAsia="仿宋" w:cs="仿宋"/>
          <w:bCs/>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是否邀请本项目的其他供应商</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是否邀请专家</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是否邀请服务对象</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是否邀请第三方检测机构</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是否进行抽查检测：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lang w:eastAsia="zh-CN"/>
        </w:rPr>
        <w:t>，抽查比例：</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u w:val="single"/>
          <w:lang w:eastAsia="zh-CN"/>
        </w:rPr>
      </w:pPr>
      <w:r>
        <w:rPr>
          <w:rFonts w:hint="eastAsia" w:ascii="仿宋" w:hAnsi="仿宋" w:eastAsia="仿宋" w:cs="仿宋"/>
          <w:bCs/>
          <w:sz w:val="24"/>
          <w:szCs w:val="24"/>
          <w:highlight w:val="none"/>
          <w:lang w:val="en-US" w:eastAsia="zh-CN"/>
        </w:rPr>
        <w:t>是否存在破坏性检测：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lang w:eastAsia="zh-CN"/>
        </w:rPr>
        <w:t>（应明确对被破坏的检测产品的处理方式）</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验收组织的其他事项：</w:t>
      </w:r>
      <w:r>
        <w:rPr>
          <w:rFonts w:hint="eastAsia" w:ascii="仿宋" w:hAnsi="仿宋" w:eastAsia="仿宋" w:cs="仿宋"/>
          <w:bCs/>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（2）履约验收时间：</w:t>
      </w:r>
      <w:r>
        <w:rPr>
          <w:rFonts w:hint="eastAsia" w:ascii="仿宋" w:hAnsi="仿宋" w:eastAsia="仿宋" w:cs="仿宋"/>
          <w:bCs/>
          <w:sz w:val="24"/>
          <w:szCs w:val="24"/>
          <w:highlight w:val="none"/>
          <w:u w:val="single"/>
        </w:rPr>
        <w:t>（计划于何时验收/供应商提出验收申请之日起   日内组织验收）</w:t>
      </w:r>
      <w:r>
        <w:rPr>
          <w:rFonts w:hint="eastAsia" w:ascii="仿宋" w:hAnsi="仿宋" w:eastAsia="仿宋" w:cs="仿宋"/>
          <w:bCs/>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（3）履约验收方式：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一次性验收         </w:t>
      </w:r>
    </w:p>
    <w:p>
      <w:pPr>
        <w:adjustRightInd w:val="0"/>
        <w:snapToGrid w:val="0"/>
        <w:spacing w:before="0" w:beforeLines="0" w:line="400" w:lineRule="exact"/>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分期/分项验收</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（应明确分期</w:t>
      </w:r>
      <w:r>
        <w:rPr>
          <w:rFonts w:hint="eastAsia" w:ascii="仿宋" w:hAnsi="仿宋" w:eastAsia="仿宋" w:cs="仿宋"/>
          <w:bCs/>
          <w:sz w:val="24"/>
          <w:szCs w:val="24"/>
          <w:highlight w:val="none"/>
          <w:u w:val="single"/>
          <w:lang w:val="en" w:eastAsia="zh-CN"/>
        </w:rPr>
        <w:t>/分项验收的工作安排</w:t>
      </w:r>
      <w:r>
        <w:rPr>
          <w:rFonts w:hint="eastAsia" w:ascii="仿宋" w:hAnsi="仿宋" w:eastAsia="仿宋" w:cs="仿宋"/>
          <w:bCs/>
          <w:sz w:val="24"/>
          <w:szCs w:val="24"/>
          <w:highlight w:val="none"/>
          <w:u w:val="singl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（4）履约验收程序：</w:t>
      </w:r>
      <w:r>
        <w:rPr>
          <w:rFonts w:hint="eastAsia" w:ascii="仿宋" w:hAnsi="仿宋" w:eastAsia="仿宋" w:cs="仿宋"/>
          <w:bCs/>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（5）履约验收的内容：</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（6）履约验收标准：</w:t>
      </w:r>
      <w:r>
        <w:rPr>
          <w:rFonts w:hint="eastAsia" w:ascii="仿宋" w:hAnsi="仿宋" w:eastAsia="仿宋" w:cs="仿宋"/>
          <w:bCs/>
          <w:sz w:val="24"/>
          <w:szCs w:val="24"/>
          <w:highlight w:val="none"/>
          <w:u w:val="single"/>
        </w:rPr>
        <w:t xml:space="preserve">                                         </w:t>
      </w:r>
    </w:p>
    <w:p>
      <w:pPr>
        <w:pStyle w:val="2"/>
        <w:spacing w:beforeLines="0"/>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u w:val="none"/>
          <w:lang w:eastAsia="zh-CN"/>
        </w:rPr>
        <w:t>（</w:t>
      </w:r>
      <w:r>
        <w:rPr>
          <w:rFonts w:hint="eastAsia" w:ascii="仿宋" w:hAnsi="仿宋" w:eastAsia="仿宋" w:cs="仿宋"/>
          <w:bCs/>
          <w:sz w:val="24"/>
          <w:szCs w:val="24"/>
          <w:highlight w:val="none"/>
          <w:u w:val="none"/>
          <w:lang w:val="en-US" w:eastAsia="zh-CN"/>
        </w:rPr>
        <w:t>7</w:t>
      </w:r>
      <w:r>
        <w:rPr>
          <w:rFonts w:hint="eastAsia" w:ascii="仿宋" w:hAnsi="仿宋" w:eastAsia="仿宋" w:cs="仿宋"/>
          <w:bCs/>
          <w:sz w:val="24"/>
          <w:szCs w:val="24"/>
          <w:highlight w:val="none"/>
          <w:u w:val="none"/>
          <w:lang w:eastAsia="zh-CN"/>
        </w:rPr>
        <w:t>）是否以采购活动中供应商提供的样品作为参考：</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（8）履约验收其他事项：</w:t>
      </w:r>
      <w:r>
        <w:rPr>
          <w:rFonts w:hint="eastAsia" w:ascii="仿宋" w:hAnsi="仿宋" w:eastAsia="仿宋" w:cs="仿宋"/>
          <w:bCs/>
          <w:sz w:val="24"/>
          <w:szCs w:val="24"/>
          <w:highlight w:val="none"/>
          <w:u w:val="single"/>
        </w:rPr>
        <w:t xml:space="preserve">      </w:t>
      </w:r>
      <w:r>
        <w:rPr>
          <w:rFonts w:hint="eastAsia" w:ascii="仿宋" w:hAnsi="仿宋" w:eastAsia="仿宋" w:cs="仿宋"/>
          <w:bCs/>
          <w:i w:val="0"/>
          <w:iCs w:val="0"/>
          <w:sz w:val="24"/>
          <w:szCs w:val="24"/>
          <w:highlight w:val="none"/>
          <w:u w:val="single"/>
        </w:rPr>
        <w:t>（产权过户登记等）</w:t>
      </w:r>
      <w:r>
        <w:rPr>
          <w:rFonts w:hint="eastAsia" w:ascii="仿宋" w:hAnsi="仿宋" w:eastAsia="仿宋" w:cs="仿宋"/>
          <w:bCs/>
          <w:sz w:val="24"/>
          <w:szCs w:val="24"/>
          <w:highlight w:val="none"/>
          <w:u w:val="single"/>
        </w:rPr>
        <w:t xml:space="preserve">          </w:t>
      </w:r>
    </w:p>
    <w:p>
      <w:pPr>
        <w:numPr>
          <w:ilvl w:val="0"/>
          <w:numId w:val="2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组成合同的文件</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）政府采购合同专用条款</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）政府采购合同通用条款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）投标（响应）文件</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（6）采购文件</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（7）有关技术文件，图纸</w:t>
      </w:r>
    </w:p>
    <w:p>
      <w:pPr>
        <w:pStyle w:val="2"/>
        <w:spacing w:beforeLines="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pPr>
        <w:numPr>
          <w:ilvl w:val="0"/>
          <w:numId w:val="2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合同生效</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生效。</w:t>
      </w:r>
    </w:p>
    <w:p>
      <w:pPr>
        <w:numPr>
          <w:ilvl w:val="0"/>
          <w:numId w:val="2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合同份数</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份，均具有同等法律效力。</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合同订立地点：</w:t>
      </w:r>
      <w:r>
        <w:rPr>
          <w:rFonts w:hint="eastAsia" w:ascii="仿宋" w:hAnsi="仿宋" w:eastAsia="仿宋" w:cs="仿宋"/>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附件：具体标</w:t>
      </w:r>
      <w:r>
        <w:rPr>
          <w:rFonts w:hint="eastAsia" w:ascii="仿宋" w:hAnsi="仿宋" w:eastAsia="仿宋" w:cs="仿宋"/>
          <w:sz w:val="24"/>
          <w:szCs w:val="24"/>
          <w:highlight w:val="none"/>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highlight w:val="none"/>
        </w:rPr>
        <w:t>、联合协议、分包</w:t>
      </w:r>
      <w:r>
        <w:rPr>
          <w:rFonts w:hint="eastAsia" w:ascii="仿宋" w:hAnsi="仿宋" w:eastAsia="仿宋" w:cs="仿宋"/>
          <w:sz w:val="24"/>
          <w:szCs w:val="24"/>
          <w:highlight w:val="none"/>
          <w:lang w:eastAsia="zh-CN"/>
        </w:rPr>
        <w:t>意向</w:t>
      </w:r>
      <w:r>
        <w:rPr>
          <w:rFonts w:hint="eastAsia" w:ascii="仿宋" w:hAnsi="仿宋" w:eastAsia="仿宋" w:cs="仿宋"/>
          <w:sz w:val="24"/>
          <w:szCs w:val="24"/>
          <w:highlight w:val="none"/>
        </w:rPr>
        <w:t>协议等。</w:t>
      </w:r>
    </w:p>
    <w:p>
      <w:pPr>
        <w:pStyle w:val="88"/>
        <w:rPr>
          <w:rFonts w:hint="eastAsia" w:ascii="仿宋" w:hAnsi="仿宋" w:eastAsia="仿宋" w:cs="仿宋"/>
          <w:sz w:val="24"/>
          <w:szCs w:val="24"/>
          <w:highlight w:val="none"/>
        </w:rPr>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49"/>
        <w:gridCol w:w="2486"/>
        <w:gridCol w:w="2039"/>
        <w:gridCol w:w="21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甲方（采购人</w:t>
            </w:r>
            <w:r>
              <w:rPr>
                <w:rFonts w:hint="eastAsia" w:ascii="仿宋" w:hAnsi="仿宋" w:eastAsia="仿宋" w:cs="仿宋"/>
                <w:sz w:val="24"/>
                <w:szCs w:val="24"/>
                <w:highlight w:val="none"/>
                <w:lang w:eastAsia="zh-CN"/>
              </w:rPr>
              <w:t>、受采购人委托签订合同的单位</w:t>
            </w:r>
            <w:r>
              <w:rPr>
                <w:rFonts w:hint="eastAsia" w:ascii="仿宋" w:hAnsi="仿宋" w:eastAsia="仿宋" w:cs="仿宋"/>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或合同章</w:t>
            </w:r>
            <w:r>
              <w:rPr>
                <w:rFonts w:hint="eastAsia" w:ascii="仿宋" w:hAnsi="仿宋" w:eastAsia="仿宋" w:cs="仿宋"/>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或合同章</w:t>
            </w:r>
            <w:r>
              <w:rPr>
                <w:rFonts w:hint="eastAsia" w:ascii="仿宋" w:hAnsi="仿宋" w:eastAsia="仿宋" w:cs="仿宋"/>
                <w:sz w:val="24"/>
                <w:szCs w:val="24"/>
                <w:highlight w:val="none"/>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pPr>
              <w:adjustRightInd w:val="0"/>
              <w:snapToGrid w:val="0"/>
              <w:spacing w:line="300" w:lineRule="exact"/>
              <w:ind w:firstLine="115" w:firstLineChars="4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2"/>
              <w:adjustRightInd w:val="0"/>
              <w:snapToGrid w:val="0"/>
              <w:spacing w:before="156" w:beforeLines="50" w:after="0" w:line="360" w:lineRule="auto"/>
              <w:ind w:left="0" w:leftChars="0"/>
              <w:jc w:val="left"/>
              <w:rPr>
                <w:rFonts w:hint="eastAsia" w:ascii="仿宋" w:hAnsi="仿宋" w:eastAsia="仿宋" w:cs="仿宋"/>
                <w:spacing w:val="20"/>
                <w:sz w:val="24"/>
                <w:szCs w:val="24"/>
                <w:highlight w:val="none"/>
              </w:rPr>
            </w:pPr>
            <w:r>
              <w:rPr>
                <w:rFonts w:hint="eastAsia" w:ascii="仿宋" w:hAnsi="仿宋" w:eastAsia="仿宋" w:cs="仿宋"/>
                <w:sz w:val="24"/>
                <w:szCs w:val="24"/>
                <w:highlight w:val="none"/>
              </w:rPr>
              <w:t>注：涉及联合体或其他合同主体的信息应按上表格式加列。</w:t>
            </w:r>
          </w:p>
        </w:tc>
      </w:tr>
    </w:tbl>
    <w:p>
      <w:pPr>
        <w:pStyle w:val="4"/>
        <w:adjustRightInd w:val="0"/>
        <w:snapToGrid w:val="0"/>
        <w:spacing w:before="156" w:before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br w:type="page"/>
      </w:r>
      <w:bookmarkStart w:id="176" w:name="_Toc27624"/>
      <w:r>
        <w:rPr>
          <w:rFonts w:hint="eastAsia" w:ascii="仿宋" w:hAnsi="仿宋" w:eastAsia="仿宋" w:cs="仿宋"/>
          <w:b w:val="0"/>
          <w:bCs w:val="0"/>
          <w:sz w:val="24"/>
          <w:szCs w:val="24"/>
          <w:highlight w:val="none"/>
        </w:rPr>
        <w:t>第二节 政府采购合同通用条款</w:t>
      </w:r>
      <w:bookmarkEnd w:id="176"/>
    </w:p>
    <w:p>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bCs/>
          <w:sz w:val="24"/>
          <w:szCs w:val="24"/>
          <w:highlight w:val="none"/>
        </w:rPr>
        <w:t>定义</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themeColor="text1"/>
          <w:sz w:val="24"/>
          <w:szCs w:val="24"/>
          <w:highlight w:val="none"/>
          <w14:textFill>
            <w14:solidFill>
              <w14:schemeClr w14:val="tx1"/>
            </w14:solidFill>
          </w14:textFill>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sz w:val="24"/>
          <w:szCs w:val="24"/>
          <w:highlight w:val="none"/>
        </w:rPr>
        <w:t>政府采购合同专用条款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政府采购合同通用条款</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投标（响应）文件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有关技术文件</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图纸</w:t>
      </w:r>
      <w:r>
        <w:rPr>
          <w:rFonts w:hint="eastAsia" w:ascii="仿宋" w:hAnsi="仿宋" w:eastAsia="仿宋" w:cs="仿宋"/>
          <w:sz w:val="24"/>
          <w:szCs w:val="24"/>
          <w:highlight w:val="none"/>
          <w:lang w:eastAsia="zh-CN"/>
        </w:rPr>
        <w:t>，以及</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themeColor="text1"/>
          <w:sz w:val="24"/>
          <w:szCs w:val="24"/>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themeColor="text1"/>
          <w:sz w:val="24"/>
          <w:szCs w:val="24"/>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4"/>
          <w:szCs w:val="24"/>
          <w:highlight w:val="none"/>
          <w14:textFill>
            <w14:solidFill>
              <w14:schemeClr w14:val="tx1"/>
            </w14:solidFill>
          </w14:textFill>
        </w:rPr>
        <w:t>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4"/>
          <w:szCs w:val="24"/>
          <w:highlight w:val="none"/>
          <w:lang w:eastAsia="zh-CN"/>
          <w14:textFill>
            <w14:solidFill>
              <w14:schemeClr w14:val="tx1"/>
            </w14:solidFill>
          </w14:textFill>
        </w:rPr>
        <w:t>废弃处置、</w:t>
      </w:r>
      <w:r>
        <w:rPr>
          <w:rFonts w:hint="eastAsia" w:ascii="仿宋" w:hAnsi="仿宋" w:eastAsia="仿宋" w:cs="仿宋"/>
          <w:color w:val="000000" w:themeColor="text1"/>
          <w:sz w:val="24"/>
          <w:szCs w:val="24"/>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）“分包”系指中标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rPr>
        <w:t>“联合体”系指</w:t>
      </w:r>
      <w:r>
        <w:rPr>
          <w:rFonts w:hint="eastAsia" w:ascii="仿宋" w:hAnsi="仿宋" w:eastAsia="仿宋" w:cs="仿宋"/>
          <w:sz w:val="24"/>
          <w:szCs w:val="24"/>
          <w:highlight w:val="none"/>
          <w:lang w:eastAsia="zh-CN"/>
        </w:rPr>
        <w:t>由</w:t>
      </w:r>
      <w:r>
        <w:rPr>
          <w:rFonts w:hint="eastAsia" w:ascii="仿宋" w:hAnsi="仿宋" w:eastAsia="仿宋" w:cs="仿宋"/>
          <w:sz w:val="24"/>
          <w:szCs w:val="24"/>
          <w:highlight w:val="none"/>
        </w:rPr>
        <w:t>两个以上的自然人、法人或者</w:t>
      </w:r>
      <w:r>
        <w:rPr>
          <w:rFonts w:hint="eastAsia" w:ascii="仿宋" w:hAnsi="仿宋" w:eastAsia="仿宋" w:cs="仿宋"/>
          <w:sz w:val="24"/>
          <w:szCs w:val="24"/>
          <w:highlight w:val="none"/>
          <w:lang w:val="en-US" w:eastAsia="zh-CN"/>
        </w:rPr>
        <w:t>非法人</w:t>
      </w:r>
      <w:r>
        <w:rPr>
          <w:rFonts w:hint="eastAsia" w:ascii="仿宋" w:hAnsi="仿宋" w:eastAsia="仿宋" w:cs="仿宋"/>
          <w:sz w:val="24"/>
          <w:szCs w:val="24"/>
          <w:highlight w:val="none"/>
        </w:rPr>
        <w:t>组织组成，</w:t>
      </w:r>
      <w:r>
        <w:rPr>
          <w:rFonts w:hint="eastAsia" w:ascii="仿宋" w:hAnsi="仿宋" w:eastAsia="仿宋" w:cs="仿宋"/>
          <w:sz w:val="24"/>
          <w:szCs w:val="24"/>
          <w:highlight w:val="none"/>
          <w:lang w:eastAsia="zh-CN"/>
        </w:rPr>
        <w:t>以一个供应商的身份共同参加政府采购的主体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）其他术语解释，见【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pPr>
        <w:numPr>
          <w:ilvl w:val="0"/>
          <w:numId w:val="23"/>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pPr>
        <w:adjustRightInd w:val="0"/>
        <w:snapToGrid w:val="0"/>
        <w:spacing w:before="0"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sz w:val="24"/>
          <w:szCs w:val="24"/>
          <w:highlight w:val="none"/>
        </w:rPr>
        <w:t>乙方应当在约定的时间、地点</w:t>
      </w:r>
      <w:r>
        <w:rPr>
          <w:rFonts w:hint="eastAsia" w:ascii="仿宋" w:hAnsi="仿宋" w:eastAsia="仿宋" w:cs="仿宋"/>
          <w:sz w:val="24"/>
          <w:szCs w:val="24"/>
          <w:highlight w:val="none"/>
          <w:lang w:eastAsia="zh-CN"/>
        </w:rPr>
        <w:t>，按照约定</w:t>
      </w:r>
      <w:r>
        <w:rPr>
          <w:rFonts w:hint="eastAsia" w:ascii="仿宋" w:hAnsi="仿宋" w:eastAsia="仿宋" w:cs="仿宋"/>
          <w:sz w:val="24"/>
          <w:szCs w:val="24"/>
          <w:highlight w:val="none"/>
        </w:rPr>
        <w:t>方式履行合同。</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4</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签署合同后，甲方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时向乙方支付</w:t>
      </w:r>
      <w:r>
        <w:rPr>
          <w:rFonts w:hint="eastAsia" w:ascii="仿宋" w:hAnsi="仿宋" w:eastAsia="仿宋" w:cs="仿宋"/>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xml:space="preserve"> 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5</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 签署合同后，乙方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服务符合合同</w:t>
      </w:r>
      <w:r>
        <w:rPr>
          <w:rFonts w:hint="eastAsia" w:ascii="仿宋" w:hAnsi="仿宋" w:eastAsia="仿宋" w:cs="仿宋"/>
          <w:color w:val="000000" w:themeColor="text1"/>
          <w:sz w:val="24"/>
          <w:szCs w:val="24"/>
          <w:highlight w:val="none"/>
          <w:lang w:eastAsia="zh-CN"/>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4"/>
          <w:szCs w:val="24"/>
          <w:highlight w:val="none"/>
          <w:lang w:eastAsia="zh-CN"/>
          <w14:textFill>
            <w14:solidFill>
              <w14:schemeClr w14:val="tx1"/>
            </w14:solidFill>
          </w14:textFill>
        </w:rPr>
        <w:t>及验收</w:t>
      </w:r>
      <w:r>
        <w:rPr>
          <w:rFonts w:hint="eastAsia" w:ascii="仿宋" w:hAnsi="仿宋" w:eastAsia="仿宋" w:cs="仿宋"/>
          <w:color w:val="000000" w:themeColor="text1"/>
          <w:sz w:val="24"/>
          <w:szCs w:val="24"/>
          <w:highlight w:val="none"/>
          <w14:textFill>
            <w14:solidFill>
              <w14:schemeClr w14:val="tx1"/>
            </w14:solidFill>
          </w14:textFill>
        </w:rPr>
        <w:t>，并负责项目实施过程中的所有协调工作。</w:t>
      </w:r>
    </w:p>
    <w:p>
      <w:pPr>
        <w:pStyle w:val="11"/>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.3乙方有权根据合同约定向甲方收取</w:t>
      </w:r>
      <w:r>
        <w:rPr>
          <w:rFonts w:hint="eastAsia" w:ascii="仿宋" w:hAnsi="仿宋" w:eastAsia="仿宋" w:cs="仿宋"/>
          <w:color w:val="000000" w:themeColor="text1"/>
          <w:sz w:val="24"/>
          <w:szCs w:val="24"/>
          <w:highlight w:val="none"/>
          <w:lang w:eastAsia="zh-CN"/>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w:t>
      </w:r>
    </w:p>
    <w:p>
      <w:pPr>
        <w:pStyle w:val="11"/>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themeColor="text1"/>
          <w:sz w:val="24"/>
          <w:szCs w:val="24"/>
          <w:highlight w:val="none"/>
          <w14:textFill>
            <w14:solidFill>
              <w14:schemeClr w14:val="tx1"/>
            </w14:solidFill>
          </w14:textFill>
        </w:rPr>
        <w:t>由乙方承担的其他义务和责任。</w:t>
      </w:r>
    </w:p>
    <w:p>
      <w:pPr>
        <w:numPr>
          <w:ilvl w:val="0"/>
          <w:numId w:val="24"/>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7</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货物包装、运输</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保险</w:t>
      </w:r>
      <w:r>
        <w:rPr>
          <w:rFonts w:hint="eastAsia" w:ascii="仿宋" w:hAnsi="仿宋" w:eastAsia="仿宋" w:cs="仿宋"/>
          <w:b/>
          <w:bCs/>
          <w:color w:val="000000" w:themeColor="text1"/>
          <w:sz w:val="24"/>
          <w:szCs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szCs w:val="24"/>
          <w:highlight w:val="none"/>
          <w14:textFill>
            <w14:solidFill>
              <w14:schemeClr w14:val="tx1"/>
            </w14:solidFill>
          </w14:textFill>
        </w:rPr>
        <w:t>要求</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本合同</w:t>
      </w:r>
      <w:r>
        <w:rPr>
          <w:rFonts w:hint="eastAsia" w:ascii="仿宋" w:hAnsi="仿宋" w:eastAsia="仿宋" w:cs="仿宋"/>
          <w:bCs/>
          <w:color w:val="000000" w:themeColor="text1"/>
          <w:sz w:val="24"/>
          <w:szCs w:val="24"/>
          <w:highlight w:val="none"/>
          <w14:textFill>
            <w14:solidFill>
              <w14:schemeClr w14:val="tx1"/>
            </w14:solidFill>
          </w14:textFill>
        </w:rPr>
        <w:t>涉及商品包装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快递包装的，</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，并装卸、交付至甲方</w:t>
      </w:r>
      <w:r>
        <w:rPr>
          <w:rFonts w:hint="eastAsia" w:ascii="仿宋" w:hAnsi="仿宋" w:eastAsia="仿宋" w:cs="仿宋"/>
          <w:color w:val="000000" w:themeColor="text1"/>
          <w:sz w:val="24"/>
          <w:szCs w:val="24"/>
          <w:highlight w:val="none"/>
          <w14:textFill>
            <w14:solidFill>
              <w14:schemeClr w14:val="tx1"/>
            </w14:solidFill>
          </w14:textFill>
        </w:rPr>
        <w:t>的一切运输事项，相关费用应</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w:t>
      </w:r>
    </w:p>
    <w:p>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货物保险要求按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规定执行</w:t>
      </w:r>
      <w:r>
        <w:rPr>
          <w:rFonts w:hint="eastAsia" w:ascii="仿宋" w:hAnsi="仿宋" w:eastAsia="仿宋" w:cs="仿宋"/>
          <w:color w:val="000000" w:themeColor="text1"/>
          <w:sz w:val="24"/>
          <w:szCs w:val="24"/>
          <w:highlight w:val="none"/>
          <w14:textFill>
            <w14:solidFill>
              <w14:schemeClr w14:val="tx1"/>
            </w14:solidFill>
          </w14:textFill>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en-US" w:eastAsia="zh-CN"/>
          <w14:textFill>
            <w14:solidFill>
              <w14:schemeClr w14:val="tx1"/>
            </w14:solidFill>
          </w14:textFill>
        </w:rPr>
        <w:t>除采购活动</w:t>
      </w:r>
      <w:r>
        <w:rPr>
          <w:rFonts w:hint="eastAsia" w:ascii="仿宋" w:hAnsi="仿宋" w:eastAsia="仿宋" w:cs="仿宋"/>
          <w:color w:val="000000" w:themeColor="text1"/>
          <w:sz w:val="24"/>
          <w:szCs w:val="24"/>
          <w:highlight w:val="none"/>
          <w14:textFill>
            <w14:solidFill>
              <w14:schemeClr w14:val="tx1"/>
            </w14:solidFill>
          </w14:textFill>
        </w:rPr>
        <w:t>对商品包装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4"/>
          <w:szCs w:val="24"/>
          <w:highlight w:val="none"/>
          <w14:textFill>
            <w14:solidFill>
              <w14:schemeClr w14:val="tx1"/>
            </w14:solidFill>
          </w14:textFill>
        </w:rPr>
        <w:t>，乙方提供产品及相关快递服务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涉及到</w:t>
      </w:r>
      <w:r>
        <w:rPr>
          <w:rFonts w:hint="eastAsia" w:ascii="仿宋" w:hAnsi="仿宋" w:eastAsia="仿宋" w:cs="仿宋"/>
          <w:color w:val="000000" w:themeColor="text1"/>
          <w:sz w:val="24"/>
          <w:szCs w:val="24"/>
          <w:highlight w:val="none"/>
          <w14:textFill>
            <w14:solidFill>
              <w14:schemeClr w14:val="tx1"/>
            </w14:solidFill>
          </w14:textFill>
        </w:rPr>
        <w:t>具体包装要求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不低于</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快递包装政府采购需求标准（试行）》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7.5 </w:t>
      </w:r>
      <w:r>
        <w:rPr>
          <w:rFonts w:hint="eastAsia" w:ascii="仿宋" w:hAnsi="仿宋" w:eastAsia="仿宋" w:cs="仿宋"/>
          <w:color w:val="000000"/>
          <w:sz w:val="24"/>
          <w:szCs w:val="24"/>
          <w:highlight w:val="none"/>
        </w:rPr>
        <w:t>乙方在运输到达之前</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提前通知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，并提示货物运输装卸的注意事项</w:t>
      </w:r>
      <w:r>
        <w:rPr>
          <w:rFonts w:hint="eastAsia" w:ascii="仿宋" w:hAnsi="仿宋" w:eastAsia="仿宋" w:cs="仿宋"/>
          <w:color w:val="000000"/>
          <w:sz w:val="24"/>
          <w:szCs w:val="24"/>
          <w:highlight w:val="none"/>
          <w:lang w:eastAsia="zh-CN"/>
        </w:rPr>
        <w:t>，甲方配合乙方做好货物的接收工作。</w:t>
      </w:r>
    </w:p>
    <w:p>
      <w:pPr>
        <w:pStyle w:val="2"/>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000000" w:themeColor="text1"/>
          <w:sz w:val="24"/>
          <w:szCs w:val="24"/>
          <w:highlight w:val="none"/>
          <w:lang w:eastAsia="zh-CN"/>
          <w14:textFill>
            <w14:solidFill>
              <w14:schemeClr w14:val="tx1"/>
            </w14:solidFill>
          </w14:textFill>
        </w:rPr>
        <w:t>8</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auto"/>
          <w:sz w:val="24"/>
          <w:szCs w:val="24"/>
          <w:highlight w:val="none"/>
        </w:rPr>
        <w:t>质量标准和保证</w:t>
      </w:r>
    </w:p>
    <w:p>
      <w:pPr>
        <w:pStyle w:val="13"/>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highlight w:val="none"/>
          <w:lang w:eastAsia="zh-CN"/>
        </w:rPr>
        <w:t>约</w:t>
      </w:r>
      <w:r>
        <w:rPr>
          <w:rFonts w:hint="eastAsia" w:ascii="仿宋" w:hAnsi="仿宋" w:eastAsia="仿宋" w:cs="仿宋"/>
          <w:color w:val="000000"/>
          <w:sz w:val="24"/>
          <w:szCs w:val="24"/>
          <w:highlight w:val="none"/>
        </w:rPr>
        <w:t>定的</w:t>
      </w:r>
      <w:r>
        <w:rPr>
          <w:rFonts w:hint="eastAsia" w:ascii="仿宋" w:hAnsi="仿宋" w:eastAsia="仿宋" w:cs="仿宋"/>
          <w:sz w:val="24"/>
          <w:szCs w:val="24"/>
          <w:highlight w:val="none"/>
        </w:rPr>
        <w:t>品牌、规格型号、技术性能、配置、质量、数量等要求。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pPr>
        <w:pStyle w:val="13"/>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highlight w:val="none"/>
        </w:rPr>
        <w:t>在其使用寿命期内具</w:t>
      </w:r>
      <w:r>
        <w:rPr>
          <w:rFonts w:hint="eastAsia" w:ascii="仿宋" w:hAnsi="仿宋" w:eastAsia="仿宋" w:cs="仿宋"/>
          <w:sz w:val="24"/>
          <w:szCs w:val="24"/>
          <w:highlight w:val="none"/>
          <w:lang w:eastAsia="zh-CN"/>
        </w:rPr>
        <w:t>备合同约定</w:t>
      </w:r>
      <w:r>
        <w:rPr>
          <w:rFonts w:hint="eastAsia" w:ascii="仿宋" w:hAnsi="仿宋" w:eastAsia="仿宋" w:cs="仿宋"/>
          <w:sz w:val="24"/>
          <w:szCs w:val="24"/>
          <w:highlight w:val="none"/>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的违约责任</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auto"/>
          <w:sz w:val="24"/>
          <w:szCs w:val="24"/>
          <w:highlight w:val="none"/>
        </w:rPr>
        <w:t>权利瑕疵担保</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sz w:val="24"/>
          <w:szCs w:val="24"/>
          <w:highlight w:val="none"/>
        </w:rPr>
        <w:t>乙方保证在交付的货物上不存在抵押权等担保物权。</w:t>
      </w:r>
    </w:p>
    <w:p>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.3 如甲方使用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货物构成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对第三人</w:t>
      </w:r>
      <w:r>
        <w:rPr>
          <w:rFonts w:hint="eastAsia" w:ascii="仿宋" w:hAnsi="仿宋" w:eastAsia="仿宋" w:cs="仿宋"/>
          <w:color w:val="000000" w:themeColor="text1"/>
          <w:sz w:val="24"/>
          <w:szCs w:val="24"/>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知识产权保护</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177" w:name="_Hlk163047038"/>
      <w:r>
        <w:rPr>
          <w:rFonts w:hint="eastAsia" w:ascii="仿宋" w:hAnsi="仿宋" w:eastAsia="仿宋" w:cs="仿宋"/>
          <w:sz w:val="24"/>
          <w:szCs w:val="24"/>
          <w:highlight w:val="none"/>
        </w:rPr>
        <w:t>因违反前述约定对第三人构成侵权的，应当由乙方向第三人承担法律责任；甲方依法向第三人赔偿后，有权向乙方追偿。甲方有其他损失的，乙方应当赔偿</w:t>
      </w:r>
      <w:bookmarkEnd w:id="177"/>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11.1 </w:t>
      </w:r>
      <w:r>
        <w:rPr>
          <w:rFonts w:hint="eastAsia" w:ascii="仿宋" w:hAnsi="仿宋" w:eastAsia="仿宋" w:cs="仿宋"/>
          <w:sz w:val="24"/>
          <w:szCs w:val="24"/>
          <w:highlight w:val="none"/>
        </w:rPr>
        <w:t>甲、乙双方</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采购和合同履行过程中所获悉的</w:t>
      </w:r>
      <w:r>
        <w:rPr>
          <w:rFonts w:hint="eastAsia" w:ascii="仿宋" w:hAnsi="仿宋" w:eastAsia="仿宋" w:cs="仿宋"/>
          <w:sz w:val="24"/>
          <w:szCs w:val="24"/>
          <w:highlight w:val="none"/>
          <w:lang w:eastAsia="zh-CN"/>
        </w:rPr>
        <w:t>国家秘密、工作秘密、</w:t>
      </w:r>
      <w:r>
        <w:rPr>
          <w:rFonts w:hint="eastAsia" w:ascii="仿宋" w:hAnsi="仿宋" w:eastAsia="仿宋" w:cs="仿宋"/>
          <w:sz w:val="24"/>
          <w:szCs w:val="24"/>
          <w:highlight w:val="none"/>
        </w:rPr>
        <w:t>商业秘密或者其他应当保密的信息，均有保密义务</w:t>
      </w:r>
      <w:r>
        <w:rPr>
          <w:rFonts w:hint="eastAsia" w:ascii="仿宋" w:hAnsi="仿宋" w:eastAsia="仿宋" w:cs="仿宋"/>
          <w:sz w:val="24"/>
          <w:szCs w:val="24"/>
          <w:highlight w:val="none"/>
          <w:lang w:eastAsia="zh-CN"/>
        </w:rPr>
        <w:t>且不受合同有效期所限，直至该信息成为公开信息</w:t>
      </w:r>
      <w:r>
        <w:rPr>
          <w:rFonts w:hint="eastAsia" w:ascii="仿宋" w:hAnsi="仿宋" w:eastAsia="仿宋" w:cs="仿宋"/>
          <w:sz w:val="24"/>
          <w:szCs w:val="24"/>
          <w:highlight w:val="none"/>
        </w:rPr>
        <w:t>。泄露、不正当地使用</w:t>
      </w:r>
      <w:r>
        <w:rPr>
          <w:rFonts w:hint="eastAsia" w:ascii="仿宋" w:hAnsi="仿宋" w:eastAsia="仿宋" w:cs="仿宋"/>
          <w:sz w:val="24"/>
          <w:szCs w:val="24"/>
          <w:highlight w:val="none"/>
          <w:lang w:eastAsia="zh-CN"/>
        </w:rPr>
        <w:t>国家秘密、工作秘密、</w:t>
      </w:r>
      <w:r>
        <w:rPr>
          <w:rFonts w:hint="eastAsia" w:ascii="仿宋" w:hAnsi="仿宋" w:eastAsia="仿宋" w:cs="仿宋"/>
          <w:sz w:val="24"/>
          <w:szCs w:val="24"/>
          <w:highlight w:val="none"/>
        </w:rPr>
        <w:t>商业秘密或者</w:t>
      </w:r>
      <w:r>
        <w:rPr>
          <w:rFonts w:hint="eastAsia" w:ascii="仿宋" w:hAnsi="仿宋" w:eastAsia="仿宋" w:cs="仿宋"/>
          <w:sz w:val="24"/>
          <w:szCs w:val="24"/>
          <w:highlight w:val="none"/>
          <w:lang w:eastAsia="zh-CN"/>
        </w:rPr>
        <w:t>其他应当保密的</w:t>
      </w:r>
      <w:r>
        <w:rPr>
          <w:rFonts w:hint="eastAsia" w:ascii="仿宋" w:hAnsi="仿宋" w:eastAsia="仿宋" w:cs="仿宋"/>
          <w:sz w:val="24"/>
          <w:szCs w:val="24"/>
          <w:highlight w:val="none"/>
        </w:rPr>
        <w:t>信息，应当承担</w:t>
      </w:r>
      <w:r>
        <w:rPr>
          <w:rFonts w:hint="eastAsia" w:ascii="仿宋" w:hAnsi="仿宋" w:eastAsia="仿宋" w:cs="仿宋"/>
          <w:sz w:val="24"/>
          <w:szCs w:val="24"/>
          <w:highlight w:val="none"/>
          <w:lang w:eastAsia="zh-CN"/>
        </w:rPr>
        <w:t>相应</w:t>
      </w:r>
      <w:r>
        <w:rPr>
          <w:rFonts w:hint="eastAsia" w:ascii="仿宋" w:hAnsi="仿宋" w:eastAsia="仿宋" w:cs="仿宋"/>
          <w:sz w:val="24"/>
          <w:szCs w:val="24"/>
          <w:highlight w:val="none"/>
        </w:rPr>
        <w:t>责任。其他应当保密的信息由双方在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pPr>
        <w:pStyle w:val="4"/>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pPr>
        <w:pStyle w:val="11"/>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highlight w:val="none"/>
        </w:rPr>
        <w:t>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highlight w:val="none"/>
          <w:lang w:eastAsia="zh-CN"/>
        </w:rPr>
        <w:t>；</w:t>
      </w:r>
    </w:p>
    <w:p>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rPr>
        <w:t>（5）依照法律、行政法规的规定或者按照</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pPr>
        <w:numPr>
          <w:ilvl w:val="0"/>
          <w:numId w:val="25"/>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（3）乙方分立、合并或者变更住所的，应当及时以书面形式告知甲方。乙方没有</w:t>
      </w:r>
      <w:r>
        <w:rPr>
          <w:rFonts w:hint="eastAsia" w:ascii="仿宋" w:hAnsi="仿宋" w:eastAsia="仿宋" w:cs="仿宋"/>
          <w:sz w:val="24"/>
          <w:szCs w:val="24"/>
          <w:highlight w:val="none"/>
          <w:lang w:eastAsia="zh-CN"/>
        </w:rPr>
        <w:t>及时告知</w:t>
      </w:r>
      <w:r>
        <w:rPr>
          <w:rFonts w:hint="eastAsia" w:ascii="仿宋" w:hAnsi="仿宋" w:eastAsia="仿宋" w:cs="仿宋"/>
          <w:sz w:val="24"/>
          <w:szCs w:val="24"/>
          <w:highlight w:val="none"/>
        </w:rPr>
        <w:t>甲方，致使</w:t>
      </w:r>
      <w:r>
        <w:rPr>
          <w:rFonts w:hint="eastAsia" w:ascii="仿宋" w:hAnsi="仿宋" w:eastAsia="仿宋" w:cs="仿宋"/>
          <w:sz w:val="24"/>
          <w:szCs w:val="24"/>
          <w:highlight w:val="none"/>
          <w:lang w:eastAsia="zh-CN"/>
        </w:rPr>
        <w:t>合同</w:t>
      </w:r>
      <w:r>
        <w:rPr>
          <w:rFonts w:hint="eastAsia" w:ascii="仿宋" w:hAnsi="仿宋" w:eastAsia="仿宋" w:cs="仿宋"/>
          <w:sz w:val="24"/>
          <w:szCs w:val="24"/>
          <w:highlight w:val="none"/>
        </w:rPr>
        <w:t>履行发生困难的，甲方可以中止合同履行并要求乙方承担由此给甲方造成的损失。</w:t>
      </w:r>
    </w:p>
    <w:p>
      <w:pPr>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pPr>
        <w:snapToGrid w:val="0"/>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并追究乙方的违约责</w:t>
      </w:r>
      <w:r>
        <w:rPr>
          <w:rFonts w:hint="eastAsia" w:ascii="仿宋" w:hAnsi="仿宋" w:eastAsia="仿宋" w:cs="仿宋"/>
          <w:sz w:val="24"/>
          <w:szCs w:val="24"/>
          <w:highlight w:val="none"/>
          <w:lang w:val="en-US" w:eastAsia="zh-CN"/>
        </w:rPr>
        <w:t>任</w:t>
      </w:r>
      <w:r>
        <w:rPr>
          <w:rFonts w:hint="eastAsia" w:ascii="仿宋" w:hAnsi="仿宋" w:eastAsia="仿宋" w:cs="仿宋"/>
          <w:color w:val="auto"/>
          <w:sz w:val="24"/>
          <w:szCs w:val="24"/>
          <w:highlight w:val="none"/>
        </w:rPr>
        <w:t>。</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highlight w:val="none"/>
        </w:rPr>
        <w:t>中止</w:t>
      </w:r>
      <w:r>
        <w:rPr>
          <w:rFonts w:hint="eastAsia" w:ascii="仿宋" w:hAnsi="仿宋" w:eastAsia="仿宋" w:cs="仿宋"/>
          <w:sz w:val="24"/>
          <w:szCs w:val="24"/>
          <w:highlight w:val="none"/>
          <w:lang w:eastAsia="zh-CN"/>
        </w:rPr>
        <w:t>或者终止</w:t>
      </w:r>
      <w:r>
        <w:rPr>
          <w:rFonts w:hint="eastAsia" w:ascii="仿宋" w:hAnsi="仿宋" w:eastAsia="仿宋" w:cs="仿宋"/>
          <w:sz w:val="24"/>
          <w:szCs w:val="24"/>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.1 因本合同及合同有关事项发生的争议，由</w:t>
      </w:r>
      <w:r>
        <w:rPr>
          <w:rFonts w:hint="eastAsia" w:ascii="仿宋" w:hAnsi="仿宋" w:eastAsia="仿宋" w:cs="仿宋"/>
          <w:sz w:val="24"/>
          <w:szCs w:val="24"/>
          <w:highlight w:val="none"/>
          <w:lang w:eastAsia="zh-CN"/>
        </w:rPr>
        <w:t>甲乙双</w:t>
      </w:r>
      <w:r>
        <w:rPr>
          <w:rFonts w:hint="eastAsia" w:ascii="仿宋" w:hAnsi="仿宋" w:eastAsia="仿宋" w:cs="仿宋"/>
          <w:sz w:val="24"/>
          <w:szCs w:val="24"/>
          <w:highlight w:val="none"/>
        </w:rPr>
        <w:t>方友好协商解决。协商不成时，可以</w:t>
      </w:r>
      <w:r>
        <w:rPr>
          <w:rFonts w:hint="eastAsia" w:ascii="仿宋" w:hAnsi="仿宋" w:eastAsia="仿宋" w:cs="仿宋"/>
          <w:sz w:val="24"/>
          <w:szCs w:val="24"/>
          <w:highlight w:val="none"/>
          <w:lang w:eastAsia="zh-CN"/>
        </w:rPr>
        <w:t>向有关组织申请</w:t>
      </w:r>
      <w:r>
        <w:rPr>
          <w:rFonts w:hint="eastAsia" w:ascii="仿宋" w:hAnsi="仿宋" w:eastAsia="仿宋" w:cs="仿宋"/>
          <w:sz w:val="24"/>
          <w:szCs w:val="24"/>
          <w:highlight w:val="none"/>
        </w:rPr>
        <w:t>调解。合同一方或</w:t>
      </w:r>
      <w:r>
        <w:rPr>
          <w:rFonts w:hint="eastAsia" w:ascii="仿宋" w:hAnsi="仿宋" w:eastAsia="仿宋" w:cs="仿宋"/>
          <w:sz w:val="24"/>
          <w:szCs w:val="24"/>
          <w:highlight w:val="none"/>
          <w:lang w:eastAsia="zh-CN"/>
        </w:rPr>
        <w:t>双</w:t>
      </w:r>
      <w:r>
        <w:rPr>
          <w:rFonts w:hint="eastAsia" w:ascii="仿宋" w:hAnsi="仿宋" w:eastAsia="仿宋" w:cs="仿宋"/>
          <w:sz w:val="24"/>
          <w:szCs w:val="24"/>
          <w:highlight w:val="none"/>
        </w:rPr>
        <w:t>方不愿调解或调解不成的，可以通过仲裁或诉讼的方式解决争议。</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highlight w:val="none"/>
        </w:rPr>
        <w:t>中进一步约定选择与争议有实际联系的地点的人民法院管辖，但管辖法院的约定不得违反级别管辖和专属管辖的规定。</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.3 如</w:t>
      </w:r>
      <w:r>
        <w:rPr>
          <w:rFonts w:hint="eastAsia" w:ascii="仿宋" w:hAnsi="仿宋" w:eastAsia="仿宋" w:cs="仿宋"/>
          <w:sz w:val="24"/>
          <w:szCs w:val="24"/>
          <w:highlight w:val="none"/>
          <w:lang w:eastAsia="zh-CN"/>
        </w:rPr>
        <w:t>甲乙双方</w:t>
      </w:r>
      <w:r>
        <w:rPr>
          <w:rFonts w:hint="eastAsia" w:ascii="仿宋" w:hAnsi="仿宋" w:eastAsia="仿宋" w:cs="仿宋"/>
          <w:sz w:val="24"/>
          <w:szCs w:val="24"/>
          <w:highlight w:val="none"/>
        </w:rPr>
        <w:t>有争议的事项不影响合同其他部分的履行，在争议解决期间，合同其他部分应</w:t>
      </w:r>
      <w:r>
        <w:rPr>
          <w:rFonts w:hint="eastAsia" w:ascii="仿宋" w:hAnsi="仿宋" w:eastAsia="仿宋" w:cs="仿宋"/>
          <w:sz w:val="24"/>
          <w:szCs w:val="24"/>
          <w:highlight w:val="none"/>
          <w:lang w:eastAsia="zh-CN"/>
        </w:rPr>
        <w:t>当</w:t>
      </w:r>
      <w:r>
        <w:rPr>
          <w:rFonts w:hint="eastAsia" w:ascii="仿宋" w:hAnsi="仿宋" w:eastAsia="仿宋" w:cs="仿宋"/>
          <w:sz w:val="24"/>
          <w:szCs w:val="24"/>
          <w:highlight w:val="none"/>
        </w:rPr>
        <w:t>继续履行。</w:t>
      </w:r>
    </w:p>
    <w:p>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highlight w:val="none"/>
          <w:lang w:val="en-GB"/>
        </w:rPr>
        <w:t>本合同应当按照规定执行政府采购政策。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highlight w:val="none"/>
          <w:lang w:eastAsia="zh-CN"/>
        </w:rPr>
        <w:t>甲乙双方</w:t>
      </w:r>
      <w:r>
        <w:rPr>
          <w:rFonts w:hint="eastAsia" w:ascii="仿宋" w:hAnsi="仿宋" w:eastAsia="仿宋" w:cs="仿宋"/>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pPr>
        <w:pStyle w:val="11"/>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 本合同的订立、生效、解释、履行及与本合同有关的争议解决，均适用法律、行政法规。</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本合同任何一方向对方发出的通知、信件、数据电文等，应当发送至本合同第一部分《政府采购合同协议书》所约定的通讯地址、联系人、联系电话或电子邮箱。</w:t>
      </w:r>
    </w:p>
    <w:p>
      <w:pPr>
        <w:pStyle w:val="2"/>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一方当事人变更名称、</w:t>
      </w:r>
      <w:r>
        <w:rPr>
          <w:rFonts w:hint="eastAsia" w:ascii="仿宋" w:hAnsi="仿宋" w:eastAsia="仿宋" w:cs="仿宋"/>
          <w:sz w:val="24"/>
          <w:szCs w:val="24"/>
          <w:highlight w:val="none"/>
          <w:lang w:eastAsia="zh-CN"/>
        </w:rPr>
        <w:t>住所</w:t>
      </w:r>
      <w:r>
        <w:rPr>
          <w:rFonts w:hint="eastAsia" w:ascii="仿宋" w:hAnsi="仿宋" w:eastAsia="仿宋" w:cs="仿宋"/>
          <w:sz w:val="24"/>
          <w:szCs w:val="24"/>
          <w:highlight w:val="none"/>
        </w:rPr>
        <w:t>、联系人、联系电话或电子邮箱</w:t>
      </w:r>
      <w:r>
        <w:rPr>
          <w:rFonts w:hint="eastAsia" w:ascii="仿宋" w:hAnsi="仿宋" w:eastAsia="仿宋" w:cs="仿宋"/>
          <w:sz w:val="24"/>
          <w:szCs w:val="24"/>
          <w:highlight w:val="none"/>
          <w:lang w:eastAsia="zh-CN"/>
        </w:rPr>
        <w:t>等信息</w:t>
      </w:r>
      <w:r>
        <w:rPr>
          <w:rFonts w:hint="eastAsia" w:ascii="仿宋" w:hAnsi="仿宋" w:eastAsia="仿宋" w:cs="仿宋"/>
          <w:sz w:val="24"/>
          <w:szCs w:val="24"/>
          <w:highlight w:val="none"/>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pPr>
        <w:numPr>
          <w:ilvl w:val="0"/>
          <w:numId w:val="26"/>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178" w:name="_Toc20313"/>
    </w:p>
    <w:p>
      <w:pPr>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br w:type="page"/>
      </w:r>
    </w:p>
    <w:p>
      <w:pPr>
        <w:pStyle w:val="4"/>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第三节 政府采购合同专用条款</w:t>
      </w:r>
      <w:bookmarkEnd w:id="178"/>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联合体具体要求</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第1.2（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w:t>
            </w:r>
          </w:p>
        </w:tc>
        <w:tc>
          <w:tcPr>
            <w:tcW w:w="1742" w:type="dxa"/>
            <w:vAlign w:val="center"/>
          </w:tcPr>
          <w:p>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其他术语解释</w:t>
            </w:r>
          </w:p>
        </w:tc>
        <w:tc>
          <w:tcPr>
            <w:tcW w:w="5170" w:type="dxa"/>
            <w:vAlign w:val="center"/>
          </w:tcPr>
          <w:p>
            <w:pPr>
              <w:adjustRightInd w:val="0"/>
              <w:snapToGrid w:val="0"/>
              <w:jc w:val="left"/>
              <w:rPr>
                <w:rFonts w:hint="eastAsia" w:ascii="仿宋" w:hAnsi="仿宋" w:eastAsia="仿宋" w:cs="仿宋"/>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4.4款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履约验收中甲方提出异议或作出说明的期限</w:t>
            </w:r>
          </w:p>
        </w:tc>
        <w:tc>
          <w:tcPr>
            <w:tcW w:w="5170" w:type="dxa"/>
            <w:vAlign w:val="center"/>
          </w:tcPr>
          <w:p>
            <w:pPr>
              <w:adjustRightInd w:val="0"/>
              <w:snapToGrid w:val="0"/>
              <w:jc w:val="left"/>
              <w:rPr>
                <w:rFonts w:hint="eastAsia" w:ascii="仿宋" w:hAnsi="仿宋" w:eastAsia="仿宋" w:cs="仿宋"/>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4.6款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约定甲方承担的其他义务和责任</w:t>
            </w:r>
          </w:p>
        </w:tc>
        <w:tc>
          <w:tcPr>
            <w:tcW w:w="5170" w:type="dxa"/>
            <w:vAlign w:val="center"/>
          </w:tcPr>
          <w:p>
            <w:pPr>
              <w:adjustRightInd w:val="0"/>
              <w:snapToGrid w:val="0"/>
              <w:jc w:val="left"/>
              <w:rPr>
                <w:rFonts w:hint="eastAsia" w:ascii="仿宋" w:hAnsi="仿宋" w:eastAsia="仿宋" w:cs="仿宋"/>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第二节</w:t>
            </w:r>
          </w:p>
          <w:p>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5.4款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约定乙方承担的其他义务和责任</w:t>
            </w:r>
          </w:p>
        </w:tc>
        <w:tc>
          <w:tcPr>
            <w:tcW w:w="5170" w:type="dxa"/>
            <w:vAlign w:val="center"/>
          </w:tcPr>
          <w:p>
            <w:pPr>
              <w:adjustRightInd w:val="0"/>
              <w:snapToGrid w:val="0"/>
              <w:jc w:val="left"/>
              <w:rPr>
                <w:rFonts w:hint="eastAsia" w:ascii="仿宋" w:hAnsi="仿宋" w:eastAsia="仿宋" w:cs="仿宋"/>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第二节</w:t>
            </w:r>
          </w:p>
          <w:p>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6.1款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履行合同义务的顺序</w:t>
            </w:r>
          </w:p>
        </w:tc>
        <w:tc>
          <w:tcPr>
            <w:tcW w:w="5170" w:type="dxa"/>
            <w:vAlign w:val="center"/>
          </w:tcPr>
          <w:p>
            <w:pPr>
              <w:adjustRightInd w:val="0"/>
              <w:snapToGrid w:val="0"/>
              <w:jc w:val="left"/>
              <w:rPr>
                <w:rFonts w:hint="eastAsia" w:ascii="仿宋" w:hAnsi="仿宋" w:eastAsia="仿宋" w:cs="仿宋"/>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eastAsia="zh-CN"/>
              </w:rPr>
              <w:t>特殊要求</w:t>
            </w:r>
          </w:p>
        </w:tc>
        <w:tc>
          <w:tcPr>
            <w:tcW w:w="5170" w:type="dxa"/>
            <w:vAlign w:val="center"/>
          </w:tcPr>
          <w:p>
            <w:pPr>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sz w:val="24"/>
                <w:szCs w:val="24"/>
                <w:highlight w:val="none"/>
              </w:rPr>
            </w:pP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指定现场</w:t>
            </w:r>
          </w:p>
        </w:tc>
        <w:tc>
          <w:tcPr>
            <w:tcW w:w="5170" w:type="dxa"/>
            <w:vAlign w:val="center"/>
          </w:tcPr>
          <w:p>
            <w:pPr>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运输特殊要求</w:t>
            </w:r>
          </w:p>
        </w:tc>
        <w:tc>
          <w:tcPr>
            <w:tcW w:w="5170" w:type="dxa"/>
            <w:vAlign w:val="center"/>
          </w:tcPr>
          <w:p>
            <w:pPr>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保险要求</w:t>
            </w:r>
          </w:p>
        </w:tc>
        <w:tc>
          <w:tcPr>
            <w:tcW w:w="5170" w:type="dxa"/>
            <w:vAlign w:val="center"/>
          </w:tcPr>
          <w:p>
            <w:pPr>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.2（1）项</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质量保证期</w:t>
            </w:r>
          </w:p>
        </w:tc>
        <w:tc>
          <w:tcPr>
            <w:tcW w:w="5170" w:type="dxa"/>
            <w:vAlign w:val="center"/>
          </w:tcPr>
          <w:p>
            <w:pPr>
              <w:autoSpaceDE w:val="0"/>
              <w:autoSpaceDN w:val="0"/>
              <w:adjustRightInd w:val="0"/>
              <w:snapToGrid w:val="0"/>
              <w:ind w:firstLine="480" w:firstLineChars="20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.2（3）项</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货物质量缺陷</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响应时间</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第二节</w:t>
            </w:r>
          </w:p>
          <w:p>
            <w:pPr>
              <w:pStyle w:val="2"/>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第11.1款</w:t>
            </w:r>
          </w:p>
        </w:tc>
        <w:tc>
          <w:tcPr>
            <w:tcW w:w="1742" w:type="dxa"/>
            <w:vAlign w:val="center"/>
          </w:tcPr>
          <w:p>
            <w:pPr>
              <w:adjustRightInd w:val="0"/>
              <w:snapToGrid w:val="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其他应当保密的信息</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.2款</w:t>
            </w:r>
          </w:p>
        </w:tc>
        <w:tc>
          <w:tcPr>
            <w:tcW w:w="1742" w:type="dxa"/>
            <w:vAlign w:val="center"/>
          </w:tcPr>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合同价款支付</w:t>
            </w:r>
            <w:r>
              <w:rPr>
                <w:rFonts w:hint="eastAsia" w:ascii="仿宋" w:hAnsi="仿宋" w:eastAsia="仿宋" w:cs="仿宋"/>
                <w:sz w:val="24"/>
                <w:szCs w:val="24"/>
                <w:highlight w:val="none"/>
                <w:lang w:eastAsia="zh-CN"/>
              </w:rPr>
              <w:t>时间</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13.2</w:t>
            </w:r>
            <w:r>
              <w:rPr>
                <w:rFonts w:hint="eastAsia" w:ascii="仿宋" w:hAnsi="仿宋" w:eastAsia="仿宋" w:cs="仿宋"/>
                <w:sz w:val="24"/>
                <w:szCs w:val="24"/>
                <w:highlight w:val="none"/>
              </w:rPr>
              <w:t>款</w:t>
            </w:r>
          </w:p>
        </w:tc>
        <w:tc>
          <w:tcPr>
            <w:tcW w:w="1742" w:type="dxa"/>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13.3</w:t>
            </w:r>
            <w:r>
              <w:rPr>
                <w:rFonts w:hint="eastAsia" w:ascii="仿宋" w:hAnsi="仿宋" w:eastAsia="仿宋" w:cs="仿宋"/>
                <w:sz w:val="24"/>
                <w:szCs w:val="24"/>
                <w:highlight w:val="none"/>
              </w:rPr>
              <w:t>款</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履约保证金退还时间及</w:t>
            </w:r>
            <w:r>
              <w:rPr>
                <w:rFonts w:hint="eastAsia" w:ascii="仿宋" w:hAnsi="仿宋" w:eastAsia="仿宋" w:cs="仿宋"/>
                <w:sz w:val="24"/>
                <w:szCs w:val="24"/>
                <w:highlight w:val="none"/>
                <w:lang w:eastAsia="zh-CN"/>
              </w:rPr>
              <w:t>逾期退还的</w:t>
            </w:r>
            <w:r>
              <w:rPr>
                <w:rFonts w:hint="eastAsia" w:ascii="仿宋" w:hAnsi="仿宋" w:eastAsia="仿宋" w:cs="仿宋"/>
                <w:sz w:val="24"/>
                <w:szCs w:val="24"/>
                <w:highlight w:val="none"/>
              </w:rPr>
              <w:t>违约金</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）项</w:t>
            </w:r>
          </w:p>
        </w:tc>
        <w:tc>
          <w:tcPr>
            <w:tcW w:w="1742" w:type="dxa"/>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运行监督、维修期限</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）项</w:t>
            </w:r>
          </w:p>
        </w:tc>
        <w:tc>
          <w:tcPr>
            <w:tcW w:w="1742" w:type="dxa"/>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货物回收的约定</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乙方提供的其他服务</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1款</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.2（2）项</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迟延交货赔偿费</w:t>
            </w:r>
          </w:p>
        </w:tc>
        <w:tc>
          <w:tcPr>
            <w:tcW w:w="5170" w:type="dxa"/>
            <w:vAlign w:val="center"/>
          </w:tcPr>
          <w:p>
            <w:pPr>
              <w:adjustRightInd w:val="0"/>
              <w:snapToGrid w:val="0"/>
              <w:jc w:val="left"/>
              <w:rPr>
                <w:rFonts w:hint="eastAsia" w:ascii="仿宋" w:hAnsi="仿宋" w:eastAsia="仿宋" w:cs="仿宋"/>
                <w:sz w:val="24"/>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3款</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逾期付款利息</w:t>
            </w:r>
          </w:p>
        </w:tc>
        <w:tc>
          <w:tcPr>
            <w:tcW w:w="5170" w:type="dxa"/>
            <w:vAlign w:val="center"/>
          </w:tcPr>
          <w:p>
            <w:pPr>
              <w:adjustRightInd w:val="0"/>
              <w:snapToGrid w:val="0"/>
              <w:jc w:val="left"/>
              <w:rPr>
                <w:rFonts w:hint="eastAsia" w:ascii="仿宋" w:hAnsi="仿宋" w:eastAsia="仿宋" w:cs="仿宋"/>
                <w:sz w:val="24"/>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sz w:val="24"/>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rPr>
              <w:t>因本合同及合同有关事项发生的争议，按下列第</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种方式解决：</w:t>
            </w:r>
          </w:p>
          <w:p>
            <w:pPr>
              <w:autoSpaceDE w:val="0"/>
              <w:autoSpaceDN w:val="0"/>
              <w:adjustRightInd w:val="0"/>
              <w:snapToGrid w:val="0"/>
              <w:spacing w:line="400" w:lineRule="exact"/>
              <w:jc w:val="left"/>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rPr>
              <w:t>（1）向</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仲裁委员会申请仲裁，仲裁地点为</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w:t>
            </w:r>
          </w:p>
          <w:p>
            <w:pPr>
              <w:adjustRightInd w:val="0"/>
              <w:snapToGrid w:val="0"/>
              <w:ind w:firstLine="0" w:firstLineChars="0"/>
              <w:jc w:val="left"/>
              <w:rPr>
                <w:rFonts w:hint="eastAsia" w:ascii="仿宋" w:hAnsi="仿宋" w:eastAsia="仿宋" w:cs="仿宋"/>
                <w:sz w:val="24"/>
                <w:szCs w:val="24"/>
                <w:highlight w:val="none"/>
                <w:u w:val="single"/>
              </w:rPr>
            </w:pPr>
            <w:r>
              <w:rPr>
                <w:rFonts w:hint="eastAsia" w:ascii="仿宋" w:hAnsi="仿宋" w:eastAsia="仿宋" w:cs="仿宋"/>
                <w:b w:val="0"/>
                <w:bCs w:val="0"/>
                <w:iCs/>
                <w:sz w:val="24"/>
                <w:szCs w:val="24"/>
                <w:highlight w:val="none"/>
              </w:rPr>
              <w:t>（2）向</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第2</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eastAsia="zh-CN"/>
              </w:rPr>
              <w:t>款</w:t>
            </w:r>
          </w:p>
        </w:tc>
        <w:tc>
          <w:tcPr>
            <w:tcW w:w="1742" w:type="dxa"/>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pPr>
              <w:adjustRightInd w:val="0"/>
              <w:snapToGrid w:val="0"/>
              <w:jc w:val="left"/>
              <w:rPr>
                <w:rFonts w:hint="eastAsia" w:ascii="仿宋" w:hAnsi="仿宋" w:eastAsia="仿宋" w:cs="仿宋"/>
                <w:sz w:val="24"/>
                <w:szCs w:val="24"/>
                <w:highlight w:val="none"/>
                <w:lang w:val="en-US" w:eastAsia="zh-CN"/>
              </w:rPr>
            </w:pPr>
          </w:p>
        </w:tc>
      </w:tr>
    </w:tbl>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1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仿宋" w:hAnsi="仿宋" w:eastAsia="仿宋" w:cs="仿宋"/>
          <w:color w:val="auto"/>
          <w:sz w:val="28"/>
          <w:szCs w:val="28"/>
          <w:highlight w:val="none"/>
        </w:rPr>
      </w:pPr>
    </w:p>
    <w:p>
      <w:pPr>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color w:val="auto"/>
          <w:sz w:val="28"/>
          <w:szCs w:val="28"/>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eastAsia="en-US"/>
        </w:rPr>
      </w:pPr>
      <w:bookmarkStart w:id="179" w:name="_Toc3286"/>
      <w:r>
        <w:rPr>
          <w:rFonts w:hint="eastAsia" w:ascii="仿宋" w:hAnsi="仿宋" w:eastAsia="仿宋" w:cs="仿宋"/>
          <w:snapToGrid w:val="0"/>
          <w:color w:val="auto"/>
          <w:spacing w:val="-9"/>
          <w:kern w:val="0"/>
          <w:sz w:val="28"/>
          <w:szCs w:val="28"/>
          <w:highlight w:val="none"/>
          <w:lang w:eastAsia="en-US"/>
        </w:rPr>
        <w:t>附件</w:t>
      </w:r>
      <w:r>
        <w:rPr>
          <w:rFonts w:hint="eastAsia" w:ascii="仿宋" w:hAnsi="仿宋" w:eastAsia="仿宋" w:cs="仿宋"/>
          <w:snapToGrid w:val="0"/>
          <w:color w:val="auto"/>
          <w:spacing w:val="-9"/>
          <w:kern w:val="0"/>
          <w:sz w:val="28"/>
          <w:szCs w:val="28"/>
          <w:highlight w:val="none"/>
          <w:lang w:val="en-US" w:eastAsia="zh-CN"/>
        </w:rPr>
        <w:t>1：</w:t>
      </w:r>
      <w:r>
        <w:rPr>
          <w:rFonts w:hint="eastAsia" w:ascii="仿宋" w:hAnsi="仿宋" w:eastAsia="仿宋" w:cs="仿宋"/>
          <w:snapToGrid w:val="0"/>
          <w:color w:val="auto"/>
          <w:spacing w:val="-9"/>
          <w:kern w:val="0"/>
          <w:sz w:val="28"/>
          <w:szCs w:val="28"/>
          <w:highlight w:val="none"/>
          <w:lang w:eastAsia="en-US"/>
        </w:rPr>
        <w:t>政府采购促进中小企业发展管理办法</w:t>
      </w:r>
      <w:bookmarkEnd w:id="179"/>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hint="eastAsia" w:ascii="仿宋" w:hAnsi="仿宋" w:eastAsia="仿宋" w:cs="仿宋"/>
          <w:b/>
          <w:bCs/>
          <w:snapToGrid w:val="0"/>
          <w:color w:val="auto"/>
          <w:spacing w:val="-9"/>
          <w:kern w:val="0"/>
          <w:sz w:val="28"/>
          <w:szCs w:val="28"/>
          <w:highlight w:val="none"/>
          <w:lang w:eastAsia="en-US"/>
        </w:rPr>
      </w:pPr>
      <w:r>
        <w:rPr>
          <w:rFonts w:hint="eastAsia" w:ascii="仿宋" w:hAnsi="仿宋" w:eastAsia="仿宋" w:cs="仿宋"/>
          <w:b/>
          <w:bCs/>
          <w:snapToGrid w:val="0"/>
          <w:color w:val="auto"/>
          <w:spacing w:val="-9"/>
          <w:kern w:val="0"/>
          <w:sz w:val="28"/>
          <w:szCs w:val="28"/>
          <w:highlight w:val="none"/>
          <w:lang w:eastAsia="en-US"/>
        </w:rPr>
        <w:t>政府采购促进中小企业发展管理办法</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第一条  为了发挥政府采购的政策功能，</w:t>
      </w:r>
      <w:r>
        <w:rPr>
          <w:rFonts w:hint="eastAsia" w:ascii="仿宋" w:hAnsi="仿宋" w:eastAsia="仿宋" w:cs="仿宋"/>
          <w:snapToGrid w:val="0"/>
          <w:color w:val="auto"/>
          <w:spacing w:val="5"/>
          <w:kern w:val="0"/>
          <w:sz w:val="28"/>
          <w:szCs w:val="28"/>
          <w:highlight w:val="none"/>
          <w:lang w:val="en-US" w:eastAsia="en-US" w:bidi="ar-SA"/>
        </w:rPr>
        <w:t>促进中小企业</w:t>
      </w:r>
      <w:r>
        <w:rPr>
          <w:rFonts w:hint="eastAsia" w:ascii="仿宋" w:hAnsi="仿宋" w:eastAsia="仿宋" w:cs="仿宋"/>
          <w:snapToGrid w:val="0"/>
          <w:color w:val="auto"/>
          <w:spacing w:val="-3"/>
          <w:kern w:val="0"/>
          <w:sz w:val="28"/>
          <w:szCs w:val="28"/>
          <w:highlight w:val="none"/>
          <w:lang w:val="en-US" w:eastAsia="en-US" w:bidi="ar-SA"/>
        </w:rPr>
        <w:t>健康发展，根据《中华人民共和国政府采购法</w:t>
      </w:r>
      <w:r>
        <w:rPr>
          <w:rFonts w:hint="eastAsia" w:ascii="仿宋" w:hAnsi="仿宋" w:eastAsia="仿宋" w:cs="仿宋"/>
          <w:snapToGrid w:val="0"/>
          <w:color w:val="auto"/>
          <w:spacing w:val="-4"/>
          <w:kern w:val="0"/>
          <w:sz w:val="28"/>
          <w:szCs w:val="28"/>
          <w:highlight w:val="none"/>
          <w:lang w:val="en-US" w:eastAsia="en-US" w:bidi="ar-SA"/>
        </w:rPr>
        <w:t>》、《中华人民</w:t>
      </w:r>
      <w:r>
        <w:rPr>
          <w:rFonts w:hint="eastAsia" w:ascii="仿宋" w:hAnsi="仿宋" w:eastAsia="仿宋" w:cs="仿宋"/>
          <w:snapToGrid w:val="0"/>
          <w:color w:val="auto"/>
          <w:spacing w:val="8"/>
          <w:kern w:val="0"/>
          <w:sz w:val="28"/>
          <w:szCs w:val="28"/>
          <w:highlight w:val="none"/>
          <w:lang w:val="en-US" w:eastAsia="en-US" w:bidi="ar-SA"/>
        </w:rPr>
        <w:t>共和国中小企业促进法》等有关法律法规，制定本办法。</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第二条  本办法所称中小企业，是指在中华人民共和国</w:t>
      </w:r>
      <w:r>
        <w:rPr>
          <w:rFonts w:hint="eastAsia" w:ascii="仿宋" w:hAnsi="仿宋" w:eastAsia="仿宋" w:cs="仿宋"/>
          <w:snapToGrid w:val="0"/>
          <w:color w:val="auto"/>
          <w:spacing w:val="8"/>
          <w:kern w:val="0"/>
          <w:sz w:val="28"/>
          <w:szCs w:val="28"/>
          <w:highlight w:val="none"/>
          <w:lang w:val="en-US" w:eastAsia="en-US" w:bidi="ar-SA"/>
        </w:rPr>
        <w:t>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righ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8"/>
          <w:kern w:val="0"/>
          <w:position w:val="15"/>
          <w:sz w:val="28"/>
          <w:szCs w:val="28"/>
          <w:highlight w:val="none"/>
          <w:lang w:val="en-US" w:eastAsia="en-US" w:bidi="ar-SA"/>
        </w:rPr>
        <w:t>符合中小企业划分标准的个体工商户，在政府采购活动</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en-US" w:bidi="ar-SA"/>
        </w:rPr>
        <w:t>中视同中小企业。</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第三条  采购人在政府采购活动中应当通过</w:t>
      </w:r>
      <w:r>
        <w:rPr>
          <w:rFonts w:hint="eastAsia" w:ascii="仿宋" w:hAnsi="仿宋" w:eastAsia="仿宋" w:cs="仿宋"/>
          <w:snapToGrid w:val="0"/>
          <w:color w:val="auto"/>
          <w:spacing w:val="18"/>
          <w:kern w:val="0"/>
          <w:sz w:val="28"/>
          <w:szCs w:val="28"/>
          <w:highlight w:val="none"/>
          <w:lang w:val="en-US" w:eastAsia="en-US" w:bidi="ar-SA"/>
        </w:rPr>
        <w:t>加强采购</w:t>
      </w:r>
      <w:r>
        <w:rPr>
          <w:rFonts w:hint="eastAsia" w:ascii="仿宋" w:hAnsi="仿宋" w:eastAsia="仿宋" w:cs="仿宋"/>
          <w:snapToGrid w:val="0"/>
          <w:color w:val="auto"/>
          <w:spacing w:val="8"/>
          <w:kern w:val="0"/>
          <w:sz w:val="28"/>
          <w:szCs w:val="28"/>
          <w:highlight w:val="none"/>
          <w:lang w:val="en-US" w:eastAsia="en-US" w:bidi="ar-SA"/>
        </w:rPr>
        <w:t>需求管理，落实预留采购份额、价格评审优惠、优先采购等措施，提高中小企业在政府采购中的份额，支持中小企业发</w:t>
      </w:r>
      <w:r>
        <w:rPr>
          <w:rFonts w:hint="eastAsia" w:ascii="仿宋" w:hAnsi="仿宋" w:eastAsia="仿宋" w:cs="仿宋"/>
          <w:snapToGrid w:val="0"/>
          <w:color w:val="auto"/>
          <w:spacing w:val="-7"/>
          <w:kern w:val="0"/>
          <w:sz w:val="28"/>
          <w:szCs w:val="28"/>
          <w:highlight w:val="none"/>
          <w:lang w:val="en-US" w:eastAsia="en-US" w:bidi="ar-SA"/>
        </w:rPr>
        <w:t>展。</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4"/>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第四条  在政府采购活动中，供应商提供的货物、工程</w:t>
      </w:r>
      <w:r>
        <w:rPr>
          <w:rFonts w:hint="eastAsia" w:ascii="仿宋" w:hAnsi="仿宋" w:eastAsia="仿宋" w:cs="仿宋"/>
          <w:snapToGrid w:val="0"/>
          <w:color w:val="auto"/>
          <w:spacing w:val="8"/>
          <w:kern w:val="0"/>
          <w:sz w:val="28"/>
          <w:szCs w:val="28"/>
          <w:highlight w:val="none"/>
          <w:lang w:val="en-US" w:eastAsia="en-US" w:bidi="ar-SA"/>
        </w:rPr>
        <w:t>或者服务符合下列情形的，享受本办法规定的中小企业扶持</w:t>
      </w:r>
      <w:r>
        <w:rPr>
          <w:rFonts w:hint="eastAsia" w:ascii="仿宋" w:hAnsi="仿宋" w:eastAsia="仿宋" w:cs="仿宋"/>
          <w:snapToGrid w:val="0"/>
          <w:color w:val="auto"/>
          <w:spacing w:val="-2"/>
          <w:kern w:val="0"/>
          <w:sz w:val="28"/>
          <w:szCs w:val="28"/>
          <w:highlight w:val="none"/>
          <w:lang w:val="en-US" w:eastAsia="en-US" w:bidi="ar-SA"/>
        </w:rPr>
        <w:t>政策：</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（一）在货物采购项目中，货物由中小企业制造，即货</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物由中小企业生产且使用该中小企业商号或者注册商标；</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（二）在工程采购项目中，工程由中小企业承建，即工</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程施工单位为中小企业；</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（三）在服务采购项目中，服务由中小企业承接，即提供服务的人员为中小企业依照《中华人民共和国劳动合同法》订立劳动合同的从业人员。</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在货物采购项目中，供应商提供的货物既有中小企业制造货物，也有大型企业制造货物的，不享受本办法规定的中小企业扶持政策。</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以联合体形式参加政府采购活动，联合体各方均为中小企业的，联合体视同中小企业。其中，联合体各方</w:t>
      </w:r>
      <w:r>
        <w:rPr>
          <w:rFonts w:hint="eastAsia" w:ascii="仿宋" w:hAnsi="仿宋" w:eastAsia="仿宋" w:cs="仿宋"/>
          <w:snapToGrid w:val="0"/>
          <w:color w:val="auto"/>
          <w:spacing w:val="8"/>
          <w:kern w:val="0"/>
          <w:sz w:val="28"/>
          <w:szCs w:val="28"/>
          <w:highlight w:val="none"/>
          <w:lang w:val="en-US" w:eastAsia="en-US" w:bidi="ar-SA"/>
        </w:rPr>
        <w:t>均为小微</w:t>
      </w:r>
      <w:r>
        <w:rPr>
          <w:rFonts w:hint="eastAsia" w:ascii="仿宋" w:hAnsi="仿宋" w:eastAsia="仿宋" w:cs="仿宋"/>
          <w:snapToGrid w:val="0"/>
          <w:color w:val="auto"/>
          <w:spacing w:val="7"/>
          <w:kern w:val="0"/>
          <w:sz w:val="28"/>
          <w:szCs w:val="28"/>
          <w:highlight w:val="none"/>
          <w:lang w:val="en-US" w:eastAsia="en-US" w:bidi="ar-SA"/>
        </w:rPr>
        <w:t>企业的，联合体视同小微企业。</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第五条  采购人在政府采购活动中应当合理</w:t>
      </w:r>
      <w:r>
        <w:rPr>
          <w:rFonts w:hint="eastAsia" w:ascii="仿宋" w:hAnsi="仿宋" w:eastAsia="仿宋" w:cs="仿宋"/>
          <w:snapToGrid w:val="0"/>
          <w:color w:val="auto"/>
          <w:spacing w:val="18"/>
          <w:kern w:val="0"/>
          <w:sz w:val="28"/>
          <w:szCs w:val="28"/>
          <w:highlight w:val="none"/>
          <w:lang w:val="en-US" w:eastAsia="en-US" w:bidi="ar-SA"/>
        </w:rPr>
        <w:t>确定采购</w:t>
      </w:r>
      <w:r>
        <w:rPr>
          <w:rFonts w:hint="eastAsia" w:ascii="仿宋" w:hAnsi="仿宋" w:eastAsia="仿宋" w:cs="仿宋"/>
          <w:snapToGrid w:val="0"/>
          <w:color w:val="auto"/>
          <w:spacing w:val="8"/>
          <w:kern w:val="0"/>
          <w:sz w:val="28"/>
          <w:szCs w:val="28"/>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第六条  主管预算单位应当组织评估本部门</w:t>
      </w:r>
      <w:r>
        <w:rPr>
          <w:rFonts w:hint="eastAsia" w:ascii="仿宋" w:hAnsi="仿宋" w:eastAsia="仿宋" w:cs="仿宋"/>
          <w:snapToGrid w:val="0"/>
          <w:color w:val="auto"/>
          <w:spacing w:val="18"/>
          <w:kern w:val="0"/>
          <w:sz w:val="28"/>
          <w:szCs w:val="28"/>
          <w:highlight w:val="none"/>
          <w:lang w:val="en-US" w:eastAsia="en-US" w:bidi="ar-SA"/>
        </w:rPr>
        <w:t>及所属单</w:t>
      </w:r>
      <w:r>
        <w:rPr>
          <w:rFonts w:hint="eastAsia" w:ascii="仿宋" w:hAnsi="仿宋" w:eastAsia="仿宋" w:cs="仿宋"/>
          <w:snapToGrid w:val="0"/>
          <w:color w:val="auto"/>
          <w:spacing w:val="8"/>
          <w:kern w:val="0"/>
          <w:sz w:val="28"/>
          <w:szCs w:val="28"/>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hint="eastAsia" w:ascii="仿宋" w:hAnsi="仿宋" w:eastAsia="仿宋" w:cs="仿宋"/>
          <w:snapToGrid w:val="0"/>
          <w:color w:val="auto"/>
          <w:spacing w:val="-4"/>
          <w:kern w:val="0"/>
          <w:sz w:val="28"/>
          <w:szCs w:val="28"/>
          <w:highlight w:val="none"/>
          <w:lang w:val="en-US" w:eastAsia="en-US" w:bidi="ar-SA"/>
        </w:rPr>
        <w:t>列示。</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36" w:firstLineChars="200"/>
        <w:jc w:val="left"/>
        <w:textAlignment w:val="baseline"/>
        <w:rPr>
          <w:rFonts w:hint="eastAsia" w:ascii="仿宋" w:hAnsi="仿宋" w:eastAsia="仿宋" w:cs="仿宋"/>
          <w:snapToGrid w:val="0"/>
          <w:color w:val="auto"/>
          <w:spacing w:val="19"/>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符合下列情形之一的，可不专门面向中小企业预留采购份额：</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36" w:firstLineChars="200"/>
        <w:jc w:val="left"/>
        <w:textAlignment w:val="baseline"/>
        <w:rPr>
          <w:rFonts w:hint="eastAsia" w:ascii="仿宋" w:hAnsi="仿宋" w:eastAsia="仿宋" w:cs="仿宋"/>
          <w:snapToGrid w:val="0"/>
          <w:color w:val="auto"/>
          <w:spacing w:val="19"/>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（一）法律法规和国家有关政策明确规定优先或者应当面向事业单位、社会组织等非企业主体采购的；</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（二）因确需使用不可替代的专利、专有技术，基础设施限制，或者提供特定公共服务等原因，只能从中小企业之外的供应商处采购的；</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（三）按照本办法规定预留采购份额无法确保充分供应、充分竞争，或者存在可能影响政府采购目标实现的情形；</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（四）框架协议采购项目；</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（五）省级以上人民政府财政部门规定的其他情形。</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除上述情形外，其他均为适宜由中小企业提供的情形。</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7"/>
          <w:kern w:val="0"/>
          <w:sz w:val="28"/>
          <w:szCs w:val="28"/>
          <w:highlight w:val="none"/>
          <w:lang w:val="en-US" w:eastAsia="en-US" w:bidi="ar-SA"/>
        </w:rPr>
        <w:t>第七条  采购限额标准以上，200</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7"/>
          <w:kern w:val="0"/>
          <w:sz w:val="28"/>
          <w:szCs w:val="28"/>
          <w:highlight w:val="none"/>
          <w:lang w:val="en-US" w:eastAsia="en-US" w:bidi="ar-SA"/>
        </w:rPr>
        <w:t>万元以下的货物和服</w:t>
      </w:r>
      <w:r>
        <w:rPr>
          <w:rFonts w:hint="eastAsia" w:ascii="仿宋" w:hAnsi="仿宋" w:eastAsia="仿宋" w:cs="仿宋"/>
          <w:snapToGrid w:val="0"/>
          <w:color w:val="auto"/>
          <w:spacing w:val="9"/>
          <w:kern w:val="0"/>
          <w:sz w:val="28"/>
          <w:szCs w:val="28"/>
          <w:highlight w:val="none"/>
          <w:lang w:val="en-US" w:eastAsia="en-US" w:bidi="ar-SA"/>
        </w:rPr>
        <w:t>务采购项目、400</w:t>
      </w:r>
      <w:r>
        <w:rPr>
          <w:rFonts w:hint="eastAsia" w:ascii="仿宋" w:hAnsi="仿宋" w:eastAsia="仿宋" w:cs="仿宋"/>
          <w:snapToGrid w:val="0"/>
          <w:color w:val="auto"/>
          <w:spacing w:val="-31"/>
          <w:kern w:val="0"/>
          <w:sz w:val="28"/>
          <w:szCs w:val="28"/>
          <w:highlight w:val="none"/>
          <w:lang w:val="en-US" w:eastAsia="en-US" w:bidi="ar-SA"/>
        </w:rPr>
        <w:t xml:space="preserve"> </w:t>
      </w:r>
      <w:r>
        <w:rPr>
          <w:rFonts w:hint="eastAsia" w:ascii="仿宋" w:hAnsi="仿宋" w:eastAsia="仿宋" w:cs="仿宋"/>
          <w:snapToGrid w:val="0"/>
          <w:color w:val="auto"/>
          <w:spacing w:val="9"/>
          <w:kern w:val="0"/>
          <w:sz w:val="28"/>
          <w:szCs w:val="28"/>
          <w:highlight w:val="none"/>
          <w:lang w:val="en-US" w:eastAsia="en-US" w:bidi="ar-SA"/>
        </w:rPr>
        <w:t>万元以下的工程采购项目，适宜由中小企</w:t>
      </w:r>
      <w:r>
        <w:rPr>
          <w:rFonts w:hint="eastAsia" w:ascii="仿宋" w:hAnsi="仿宋" w:eastAsia="仿宋" w:cs="仿宋"/>
          <w:snapToGrid w:val="0"/>
          <w:color w:val="auto"/>
          <w:spacing w:val="8"/>
          <w:kern w:val="0"/>
          <w:sz w:val="28"/>
          <w:szCs w:val="28"/>
          <w:highlight w:val="none"/>
          <w:lang w:val="en-US" w:eastAsia="en-US" w:bidi="ar-SA"/>
        </w:rPr>
        <w:t>业提供的，采购人应当专门面向中小企业采购。</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5"/>
          <w:kern w:val="0"/>
          <w:sz w:val="28"/>
          <w:szCs w:val="28"/>
          <w:highlight w:val="none"/>
          <w:lang w:val="en-US" w:eastAsia="en-US" w:bidi="ar-SA"/>
        </w:rPr>
        <w:t>第八条  超过</w:t>
      </w:r>
      <w:r>
        <w:rPr>
          <w:rFonts w:hint="eastAsia" w:ascii="仿宋" w:hAnsi="仿宋" w:eastAsia="仿宋" w:cs="仿宋"/>
          <w:snapToGrid w:val="0"/>
          <w:color w:val="auto"/>
          <w:spacing w:val="-37"/>
          <w:kern w:val="0"/>
          <w:sz w:val="28"/>
          <w:szCs w:val="28"/>
          <w:highlight w:val="none"/>
          <w:lang w:val="en-US" w:eastAsia="en-US" w:bidi="ar-SA"/>
        </w:rPr>
        <w:t xml:space="preserve"> </w:t>
      </w:r>
      <w:r>
        <w:rPr>
          <w:rFonts w:hint="eastAsia" w:ascii="仿宋" w:hAnsi="仿宋" w:eastAsia="仿宋" w:cs="仿宋"/>
          <w:snapToGrid w:val="0"/>
          <w:color w:val="auto"/>
          <w:spacing w:val="15"/>
          <w:kern w:val="0"/>
          <w:sz w:val="28"/>
          <w:szCs w:val="28"/>
          <w:highlight w:val="none"/>
          <w:lang w:val="en-US" w:eastAsia="en-US" w:bidi="ar-SA"/>
        </w:rPr>
        <w:t>200</w:t>
      </w:r>
      <w:r>
        <w:rPr>
          <w:rFonts w:hint="eastAsia" w:ascii="仿宋" w:hAnsi="仿宋" w:eastAsia="仿宋" w:cs="仿宋"/>
          <w:snapToGrid w:val="0"/>
          <w:color w:val="auto"/>
          <w:spacing w:val="-41"/>
          <w:kern w:val="0"/>
          <w:sz w:val="28"/>
          <w:szCs w:val="28"/>
          <w:highlight w:val="none"/>
          <w:lang w:val="en-US" w:eastAsia="en-US" w:bidi="ar-SA"/>
        </w:rPr>
        <w:t xml:space="preserve"> </w:t>
      </w:r>
      <w:r>
        <w:rPr>
          <w:rFonts w:hint="eastAsia" w:ascii="仿宋" w:hAnsi="仿宋" w:eastAsia="仿宋" w:cs="仿宋"/>
          <w:snapToGrid w:val="0"/>
          <w:color w:val="auto"/>
          <w:spacing w:val="15"/>
          <w:kern w:val="0"/>
          <w:sz w:val="28"/>
          <w:szCs w:val="28"/>
          <w:highlight w:val="none"/>
          <w:lang w:val="en-US" w:eastAsia="en-US" w:bidi="ar-SA"/>
        </w:rPr>
        <w:t>万元的货物和服务采购项目、超过</w:t>
      </w:r>
      <w:r>
        <w:rPr>
          <w:rFonts w:hint="eastAsia" w:ascii="仿宋" w:hAnsi="仿宋" w:eastAsia="仿宋" w:cs="仿宋"/>
          <w:snapToGrid w:val="0"/>
          <w:color w:val="auto"/>
          <w:spacing w:val="10"/>
          <w:kern w:val="0"/>
          <w:sz w:val="28"/>
          <w:szCs w:val="28"/>
          <w:highlight w:val="none"/>
          <w:lang w:val="en-US" w:eastAsia="en-US" w:bidi="ar-SA"/>
        </w:rPr>
        <w:t>400</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10"/>
          <w:kern w:val="0"/>
          <w:sz w:val="28"/>
          <w:szCs w:val="28"/>
          <w:highlight w:val="none"/>
          <w:lang w:val="en-US" w:eastAsia="en-US" w:bidi="ar-SA"/>
        </w:rPr>
        <w:t>万元的工程采购项目中适宜由中小企业提供的，预留该</w:t>
      </w:r>
      <w:r>
        <w:rPr>
          <w:rFonts w:hint="eastAsia" w:ascii="仿宋" w:hAnsi="仿宋" w:eastAsia="仿宋" w:cs="仿宋"/>
          <w:snapToGrid w:val="0"/>
          <w:color w:val="auto"/>
          <w:spacing w:val="11"/>
          <w:kern w:val="0"/>
          <w:sz w:val="28"/>
          <w:szCs w:val="28"/>
          <w:highlight w:val="none"/>
          <w:lang w:val="en-US" w:eastAsia="en-US" w:bidi="ar-SA"/>
        </w:rPr>
        <w:t>部分采购项目预算总额的</w:t>
      </w:r>
      <w:r>
        <w:rPr>
          <w:rFonts w:hint="eastAsia" w:ascii="仿宋" w:hAnsi="仿宋" w:eastAsia="仿宋" w:cs="仿宋"/>
          <w:snapToGrid w:val="0"/>
          <w:color w:val="auto"/>
          <w:spacing w:val="-55"/>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30%以上专门面向</w:t>
      </w:r>
      <w:r>
        <w:rPr>
          <w:rFonts w:hint="eastAsia" w:ascii="仿宋" w:hAnsi="仿宋" w:eastAsia="仿宋" w:cs="仿宋"/>
          <w:snapToGrid w:val="0"/>
          <w:color w:val="auto"/>
          <w:spacing w:val="10"/>
          <w:kern w:val="0"/>
          <w:sz w:val="28"/>
          <w:szCs w:val="28"/>
          <w:highlight w:val="none"/>
          <w:lang w:val="en-US" w:eastAsia="en-US" w:bidi="ar-SA"/>
        </w:rPr>
        <w:t>中小企业采购，</w:t>
      </w:r>
      <w:r>
        <w:rPr>
          <w:rFonts w:hint="eastAsia" w:ascii="仿宋" w:hAnsi="仿宋" w:eastAsia="仿宋" w:cs="仿宋"/>
          <w:snapToGrid w:val="0"/>
          <w:color w:val="auto"/>
          <w:spacing w:val="11"/>
          <w:kern w:val="0"/>
          <w:sz w:val="28"/>
          <w:szCs w:val="28"/>
          <w:highlight w:val="none"/>
          <w:lang w:val="en-US" w:eastAsia="en-US" w:bidi="ar-SA"/>
        </w:rPr>
        <w:t>其中预留给小微企业的比例不低于</w:t>
      </w:r>
      <w:r>
        <w:rPr>
          <w:rFonts w:hint="eastAsia" w:ascii="仿宋" w:hAnsi="仿宋" w:eastAsia="仿宋" w:cs="仿宋"/>
          <w:snapToGrid w:val="0"/>
          <w:color w:val="auto"/>
          <w:spacing w:val="-59"/>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60%。预留份额通</w:t>
      </w:r>
      <w:r>
        <w:rPr>
          <w:rFonts w:hint="eastAsia" w:ascii="仿宋" w:hAnsi="仿宋" w:eastAsia="仿宋" w:cs="仿宋"/>
          <w:snapToGrid w:val="0"/>
          <w:color w:val="auto"/>
          <w:spacing w:val="10"/>
          <w:kern w:val="0"/>
          <w:sz w:val="28"/>
          <w:szCs w:val="28"/>
          <w:highlight w:val="none"/>
          <w:lang w:val="en-US" w:eastAsia="en-US" w:bidi="ar-SA"/>
        </w:rPr>
        <w:t>过下列</w:t>
      </w:r>
      <w:r>
        <w:rPr>
          <w:rFonts w:hint="eastAsia" w:ascii="仿宋" w:hAnsi="仿宋" w:eastAsia="仿宋" w:cs="仿宋"/>
          <w:snapToGrid w:val="0"/>
          <w:color w:val="auto"/>
          <w:spacing w:val="3"/>
          <w:kern w:val="0"/>
          <w:sz w:val="28"/>
          <w:szCs w:val="28"/>
          <w:highlight w:val="none"/>
          <w:lang w:val="en-US" w:eastAsia="en-US" w:bidi="ar-SA"/>
        </w:rPr>
        <w:t>措施进行：</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（一）将采购项目整体或者设置采购包专门面向中小企业采购；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（二）要求供应商以联合体形式参加采购活动，且联合体中中小企业承担的部分达到一定比例；</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第九条  对于经主管预算单位统筹后未预留</w:t>
      </w:r>
      <w:r>
        <w:rPr>
          <w:rFonts w:hint="eastAsia" w:ascii="仿宋" w:hAnsi="仿宋" w:eastAsia="仿宋" w:cs="仿宋"/>
          <w:snapToGrid w:val="0"/>
          <w:color w:val="auto"/>
          <w:spacing w:val="18"/>
          <w:kern w:val="0"/>
          <w:sz w:val="28"/>
          <w:szCs w:val="28"/>
          <w:highlight w:val="none"/>
          <w:lang w:val="en-US" w:eastAsia="en-US" w:bidi="ar-SA"/>
        </w:rPr>
        <w:t>份额专门</w:t>
      </w:r>
      <w:r>
        <w:rPr>
          <w:rFonts w:hint="eastAsia" w:ascii="仿宋" w:hAnsi="仿宋" w:eastAsia="仿宋" w:cs="仿宋"/>
          <w:snapToGrid w:val="0"/>
          <w:color w:val="auto"/>
          <w:spacing w:val="8"/>
          <w:kern w:val="0"/>
          <w:sz w:val="28"/>
          <w:szCs w:val="28"/>
          <w:highlight w:val="none"/>
          <w:lang w:val="en-US" w:eastAsia="en-US" w:bidi="ar-SA"/>
        </w:rPr>
        <w:t>面向中小企业采购的采购项目，以及预留份额项目中的非预留部分采购包，采购人、采购代理机构应当对符合本办法规</w:t>
      </w:r>
      <w:r>
        <w:rPr>
          <w:rFonts w:hint="eastAsia" w:ascii="仿宋" w:hAnsi="仿宋" w:eastAsia="仿宋" w:cs="仿宋"/>
          <w:snapToGrid w:val="0"/>
          <w:color w:val="auto"/>
          <w:spacing w:val="5"/>
          <w:kern w:val="0"/>
          <w:sz w:val="28"/>
          <w:szCs w:val="28"/>
          <w:highlight w:val="none"/>
          <w:lang w:val="en-US" w:eastAsia="en-US" w:bidi="ar-SA"/>
        </w:rPr>
        <w:t>定的小微企业报价给予</w:t>
      </w:r>
      <w:r>
        <w:rPr>
          <w:rFonts w:hint="eastAsia" w:ascii="仿宋" w:hAnsi="仿宋" w:eastAsia="仿宋" w:cs="仿宋"/>
          <w:snapToGrid w:val="0"/>
          <w:color w:val="auto"/>
          <w:spacing w:val="-59"/>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6%—</w:t>
      </w:r>
      <w:r>
        <w:rPr>
          <w:rFonts w:hint="eastAsia" w:ascii="仿宋" w:hAnsi="仿宋" w:eastAsia="仿宋" w:cs="仿宋"/>
          <w:snapToGrid w:val="0"/>
          <w:color w:val="auto"/>
          <w:spacing w:val="-121"/>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10%（工程项</w:t>
      </w:r>
      <w:r>
        <w:rPr>
          <w:rFonts w:hint="eastAsia" w:ascii="仿宋" w:hAnsi="仿宋" w:eastAsia="仿宋" w:cs="仿宋"/>
          <w:snapToGrid w:val="0"/>
          <w:color w:val="auto"/>
          <w:spacing w:val="4"/>
          <w:kern w:val="0"/>
          <w:sz w:val="28"/>
          <w:szCs w:val="28"/>
          <w:highlight w:val="none"/>
          <w:lang w:val="en-US" w:eastAsia="en-US" w:bidi="ar-SA"/>
        </w:rPr>
        <w:t>目为3%—5%）的扣</w:t>
      </w:r>
      <w:r>
        <w:rPr>
          <w:rFonts w:hint="eastAsia" w:ascii="仿宋" w:hAnsi="仿宋" w:eastAsia="仿宋" w:cs="仿宋"/>
          <w:snapToGrid w:val="0"/>
          <w:color w:val="auto"/>
          <w:spacing w:val="8"/>
          <w:kern w:val="0"/>
          <w:sz w:val="28"/>
          <w:szCs w:val="28"/>
          <w:highlight w:val="none"/>
          <w:lang w:val="en-US" w:eastAsia="en-US" w:bidi="ar-SA"/>
        </w:rPr>
        <w:t>除，用扣除后的价格参加评审。适用招标投标法的政府采购</w:t>
      </w:r>
      <w:r>
        <w:rPr>
          <w:rFonts w:hint="eastAsia" w:ascii="仿宋" w:hAnsi="仿宋" w:eastAsia="仿宋" w:cs="仿宋"/>
          <w:snapToGrid w:val="0"/>
          <w:color w:val="auto"/>
          <w:spacing w:val="1"/>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工程建设项目，采用综合评估法但未采用低价优先法计算价格分的，评标时应当在采用原报价进行评分的基础上增加其</w:t>
      </w:r>
      <w:r>
        <w:rPr>
          <w:rFonts w:hint="eastAsia" w:ascii="仿宋" w:hAnsi="仿宋" w:eastAsia="仿宋" w:cs="仿宋"/>
          <w:snapToGrid w:val="0"/>
          <w:color w:val="auto"/>
          <w:spacing w:val="5"/>
          <w:kern w:val="0"/>
          <w:sz w:val="28"/>
          <w:szCs w:val="28"/>
          <w:highlight w:val="none"/>
          <w:lang w:val="en-US" w:eastAsia="en-US" w:bidi="ar-SA"/>
        </w:rPr>
        <w:t>价格得分的</w:t>
      </w:r>
      <w:r>
        <w:rPr>
          <w:rFonts w:hint="eastAsia" w:ascii="仿宋" w:hAnsi="仿宋" w:eastAsia="仿宋" w:cs="仿宋"/>
          <w:snapToGrid w:val="0"/>
          <w:color w:val="auto"/>
          <w:spacing w:val="-44"/>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3%—5%作为其价格分。</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接受大中型企业与小微企业组成联合体或者允许大中</w:t>
      </w:r>
      <w:r>
        <w:rPr>
          <w:rFonts w:hint="eastAsia" w:ascii="仿宋" w:hAnsi="仿宋" w:eastAsia="仿宋" w:cs="仿宋"/>
          <w:snapToGrid w:val="0"/>
          <w:color w:val="auto"/>
          <w:spacing w:val="8"/>
          <w:kern w:val="0"/>
          <w:sz w:val="28"/>
          <w:szCs w:val="28"/>
          <w:highlight w:val="none"/>
          <w:lang w:val="en-US" w:eastAsia="en-US" w:bidi="ar-SA"/>
        </w:rPr>
        <w:t>型企业向一家或者多家小微企业分包的采购项目，对于联合</w:t>
      </w:r>
      <w:r>
        <w:rPr>
          <w:rFonts w:hint="eastAsia" w:ascii="仿宋" w:hAnsi="仿宋" w:eastAsia="仿宋" w:cs="仿宋"/>
          <w:snapToGrid w:val="0"/>
          <w:color w:val="auto"/>
          <w:spacing w:val="21"/>
          <w:kern w:val="0"/>
          <w:sz w:val="28"/>
          <w:szCs w:val="28"/>
          <w:highlight w:val="none"/>
          <w:lang w:val="en-US" w:eastAsia="en-US" w:bidi="ar-SA"/>
        </w:rPr>
        <w:t>协议或者分包意向协议约定小微企业的合同份额占到合同</w:t>
      </w:r>
      <w:r>
        <w:rPr>
          <w:rFonts w:hint="eastAsia" w:ascii="仿宋" w:hAnsi="仿宋" w:eastAsia="仿宋" w:cs="仿宋"/>
          <w:snapToGrid w:val="0"/>
          <w:color w:val="auto"/>
          <w:spacing w:val="10"/>
          <w:kern w:val="0"/>
          <w:sz w:val="28"/>
          <w:szCs w:val="28"/>
          <w:highlight w:val="none"/>
          <w:lang w:val="en-US" w:eastAsia="en-US" w:bidi="ar-SA"/>
        </w:rPr>
        <w:t>总金额</w:t>
      </w:r>
      <w:r>
        <w:rPr>
          <w:rFonts w:hint="eastAsia" w:ascii="仿宋" w:hAnsi="仿宋" w:eastAsia="仿宋" w:cs="仿宋"/>
          <w:snapToGrid w:val="0"/>
          <w:color w:val="auto"/>
          <w:spacing w:val="-45"/>
          <w:kern w:val="0"/>
          <w:sz w:val="28"/>
          <w:szCs w:val="28"/>
          <w:highlight w:val="none"/>
          <w:lang w:val="en-US" w:eastAsia="en-US" w:bidi="ar-SA"/>
        </w:rPr>
        <w:t xml:space="preserve"> </w:t>
      </w:r>
      <w:r>
        <w:rPr>
          <w:rFonts w:hint="eastAsia" w:ascii="仿宋" w:hAnsi="仿宋" w:eastAsia="仿宋" w:cs="仿宋"/>
          <w:snapToGrid w:val="0"/>
          <w:color w:val="auto"/>
          <w:spacing w:val="10"/>
          <w:kern w:val="0"/>
          <w:sz w:val="28"/>
          <w:szCs w:val="28"/>
          <w:highlight w:val="none"/>
          <w:lang w:val="en-US" w:eastAsia="en-US" w:bidi="ar-SA"/>
        </w:rPr>
        <w:t>30%以上的，采购人、采购代理机构应当对联合体或</w:t>
      </w:r>
      <w:r>
        <w:rPr>
          <w:rFonts w:hint="eastAsia" w:ascii="仿宋" w:hAnsi="仿宋" w:eastAsia="仿宋" w:cs="仿宋"/>
          <w:snapToGrid w:val="0"/>
          <w:color w:val="auto"/>
          <w:spacing w:val="5"/>
          <w:kern w:val="0"/>
          <w:sz w:val="28"/>
          <w:szCs w:val="28"/>
          <w:highlight w:val="none"/>
          <w:lang w:val="en-US" w:eastAsia="en-US" w:bidi="ar-SA"/>
        </w:rPr>
        <w:t>者大中型企业的报价给予</w:t>
      </w:r>
      <w:r>
        <w:rPr>
          <w:rFonts w:hint="eastAsia" w:ascii="仿宋" w:hAnsi="仿宋" w:eastAsia="仿宋" w:cs="仿宋"/>
          <w:snapToGrid w:val="0"/>
          <w:color w:val="auto"/>
          <w:spacing w:val="-44"/>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2%-3%（工程项目为</w:t>
      </w:r>
      <w:r>
        <w:rPr>
          <w:rFonts w:hint="eastAsia" w:ascii="仿宋" w:hAnsi="仿宋" w:eastAsia="仿宋" w:cs="仿宋"/>
          <w:snapToGrid w:val="0"/>
          <w:color w:val="auto"/>
          <w:spacing w:val="-39"/>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1%—2%）的扣</w:t>
      </w:r>
      <w:r>
        <w:rPr>
          <w:rFonts w:hint="eastAsia" w:ascii="仿宋" w:hAnsi="仿宋" w:eastAsia="仿宋" w:cs="仿宋"/>
          <w:snapToGrid w:val="0"/>
          <w:color w:val="auto"/>
          <w:spacing w:val="8"/>
          <w:kern w:val="0"/>
          <w:sz w:val="28"/>
          <w:szCs w:val="28"/>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hint="eastAsia" w:ascii="仿宋" w:hAnsi="仿宋" w:eastAsia="仿宋" w:cs="仿宋"/>
          <w:snapToGrid w:val="0"/>
          <w:color w:val="auto"/>
          <w:spacing w:val="4"/>
          <w:kern w:val="0"/>
          <w:sz w:val="28"/>
          <w:szCs w:val="28"/>
          <w:highlight w:val="none"/>
          <w:lang w:val="en-US" w:eastAsia="en-US" w:bidi="ar-SA"/>
        </w:rPr>
        <w:t>价格得分的</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4"/>
          <w:kern w:val="0"/>
          <w:sz w:val="28"/>
          <w:szCs w:val="28"/>
          <w:highlight w:val="none"/>
          <w:lang w:val="en-US" w:eastAsia="en-US" w:bidi="ar-SA"/>
        </w:rPr>
        <w:t>1%—2%作为其价格分。组成联合</w:t>
      </w:r>
      <w:r>
        <w:rPr>
          <w:rFonts w:hint="eastAsia" w:ascii="仿宋" w:hAnsi="仿宋" w:eastAsia="仿宋" w:cs="仿宋"/>
          <w:snapToGrid w:val="0"/>
          <w:color w:val="auto"/>
          <w:spacing w:val="3"/>
          <w:kern w:val="0"/>
          <w:sz w:val="28"/>
          <w:szCs w:val="28"/>
          <w:highlight w:val="none"/>
          <w:lang w:val="en-US" w:eastAsia="en-US" w:bidi="ar-SA"/>
        </w:rPr>
        <w:t>体或者接受分包</w:t>
      </w:r>
      <w:r>
        <w:rPr>
          <w:rFonts w:hint="eastAsia" w:ascii="仿宋" w:hAnsi="仿宋" w:eastAsia="仿宋" w:cs="仿宋"/>
          <w:snapToGrid w:val="0"/>
          <w:color w:val="auto"/>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的小微企业与联合体内其他企业、分包企业之间存在直接控股、管理关系的，不享受价格扣除优惠政策。</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价格扣除比例或者价格分加分比例对小型企业和微型</w:t>
      </w:r>
      <w:r>
        <w:rPr>
          <w:rFonts w:hint="eastAsia" w:ascii="仿宋" w:hAnsi="仿宋" w:eastAsia="仿宋" w:cs="仿宋"/>
          <w:snapToGrid w:val="0"/>
          <w:color w:val="auto"/>
          <w:spacing w:val="8"/>
          <w:kern w:val="0"/>
          <w:sz w:val="28"/>
          <w:szCs w:val="28"/>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第十条  采购人应当严格按照本办法规定和</w:t>
      </w:r>
      <w:r>
        <w:rPr>
          <w:rFonts w:hint="eastAsia" w:ascii="仿宋" w:hAnsi="仿宋" w:eastAsia="仿宋" w:cs="仿宋"/>
          <w:snapToGrid w:val="0"/>
          <w:color w:val="auto"/>
          <w:spacing w:val="18"/>
          <w:kern w:val="0"/>
          <w:sz w:val="28"/>
          <w:szCs w:val="28"/>
          <w:highlight w:val="none"/>
          <w:lang w:val="en-US" w:eastAsia="en-US" w:bidi="ar-SA"/>
        </w:rPr>
        <w:t>主管预算</w:t>
      </w:r>
      <w:r>
        <w:rPr>
          <w:rFonts w:hint="eastAsia" w:ascii="仿宋" w:hAnsi="仿宋" w:eastAsia="仿宋" w:cs="仿宋"/>
          <w:snapToGrid w:val="0"/>
          <w:color w:val="auto"/>
          <w:spacing w:val="8"/>
          <w:kern w:val="0"/>
          <w:sz w:val="28"/>
          <w:szCs w:val="28"/>
          <w:highlight w:val="none"/>
          <w:lang w:val="en-US" w:eastAsia="en-US" w:bidi="ar-SA"/>
        </w:rPr>
        <w:t>单位制定的预留采购份额具体方案开展采购活动。预留份额的采购项目或者采购包，通过发布公告方式邀请供应商后，</w:t>
      </w:r>
      <w:r>
        <w:rPr>
          <w:rFonts w:hint="eastAsia" w:ascii="仿宋" w:hAnsi="仿宋" w:eastAsia="仿宋" w:cs="仿宋"/>
          <w:snapToGrid w:val="0"/>
          <w:color w:val="auto"/>
          <w:spacing w:val="6"/>
          <w:kern w:val="0"/>
          <w:sz w:val="28"/>
          <w:szCs w:val="28"/>
          <w:highlight w:val="none"/>
          <w:lang w:val="en-US" w:eastAsia="en-US" w:bidi="ar-SA"/>
        </w:rPr>
        <w:t>符合资格条件的中小企业数量不足</w:t>
      </w:r>
      <w:r>
        <w:rPr>
          <w:rFonts w:hint="eastAsia" w:ascii="仿宋" w:hAnsi="仿宋" w:eastAsia="仿宋" w:cs="仿宋"/>
          <w:snapToGrid w:val="0"/>
          <w:color w:val="auto"/>
          <w:spacing w:val="-47"/>
          <w:kern w:val="0"/>
          <w:sz w:val="28"/>
          <w:szCs w:val="28"/>
          <w:highlight w:val="none"/>
          <w:lang w:val="en-US" w:eastAsia="en-US" w:bidi="ar-SA"/>
        </w:rPr>
        <w:t xml:space="preserve"> </w:t>
      </w:r>
      <w:r>
        <w:rPr>
          <w:rFonts w:hint="eastAsia" w:ascii="仿宋" w:hAnsi="仿宋" w:eastAsia="仿宋" w:cs="仿宋"/>
          <w:snapToGrid w:val="0"/>
          <w:color w:val="auto"/>
          <w:spacing w:val="6"/>
          <w:kern w:val="0"/>
          <w:sz w:val="28"/>
          <w:szCs w:val="28"/>
          <w:highlight w:val="none"/>
          <w:lang w:val="en-US" w:eastAsia="en-US" w:bidi="ar-SA"/>
        </w:rPr>
        <w:t>3</w:t>
      </w:r>
      <w:r>
        <w:rPr>
          <w:rFonts w:hint="eastAsia" w:ascii="仿宋" w:hAnsi="仿宋" w:eastAsia="仿宋" w:cs="仿宋"/>
          <w:snapToGrid w:val="0"/>
          <w:color w:val="auto"/>
          <w:spacing w:val="-49"/>
          <w:kern w:val="0"/>
          <w:sz w:val="28"/>
          <w:szCs w:val="28"/>
          <w:highlight w:val="none"/>
          <w:lang w:val="en-US" w:eastAsia="en-US" w:bidi="ar-SA"/>
        </w:rPr>
        <w:t xml:space="preserve"> </w:t>
      </w:r>
      <w:r>
        <w:rPr>
          <w:rFonts w:hint="eastAsia" w:ascii="仿宋" w:hAnsi="仿宋" w:eastAsia="仿宋" w:cs="仿宋"/>
          <w:snapToGrid w:val="0"/>
          <w:color w:val="auto"/>
          <w:spacing w:val="6"/>
          <w:kern w:val="0"/>
          <w:sz w:val="28"/>
          <w:szCs w:val="28"/>
          <w:highlight w:val="none"/>
          <w:lang w:val="en-US" w:eastAsia="en-US" w:bidi="ar-SA"/>
        </w:rPr>
        <w:t>家的，应当中止采购活</w:t>
      </w:r>
      <w:r>
        <w:rPr>
          <w:rFonts w:hint="eastAsia" w:ascii="仿宋" w:hAnsi="仿宋" w:eastAsia="仿宋" w:cs="仿宋"/>
          <w:snapToGrid w:val="0"/>
          <w:color w:val="auto"/>
          <w:spacing w:val="8"/>
          <w:kern w:val="0"/>
          <w:sz w:val="28"/>
          <w:szCs w:val="28"/>
          <w:highlight w:val="none"/>
          <w:lang w:val="en-US" w:eastAsia="en-US" w:bidi="ar-SA"/>
        </w:rPr>
        <w:t>动，视同未预留份额的采购项目或者采购包，按照本办法第</w:t>
      </w:r>
      <w:r>
        <w:rPr>
          <w:rFonts w:hint="eastAsia" w:ascii="仿宋" w:hAnsi="仿宋" w:eastAsia="仿宋" w:cs="仿宋"/>
          <w:snapToGrid w:val="0"/>
          <w:color w:val="auto"/>
          <w:spacing w:val="7"/>
          <w:kern w:val="0"/>
          <w:sz w:val="28"/>
          <w:szCs w:val="28"/>
          <w:highlight w:val="none"/>
          <w:lang w:val="en-US" w:eastAsia="en-US" w:bidi="ar-SA"/>
        </w:rPr>
        <w:t>九条有关规定重新组织采购活动。</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第十一条</w:t>
      </w:r>
      <w:r>
        <w:rPr>
          <w:rFonts w:hint="eastAsia" w:ascii="仿宋" w:hAnsi="仿宋" w:eastAsia="仿宋" w:cs="仿宋"/>
          <w:snapToGrid w:val="0"/>
          <w:color w:val="auto"/>
          <w:spacing w:val="37"/>
          <w:kern w:val="0"/>
          <w:sz w:val="28"/>
          <w:szCs w:val="28"/>
          <w:highlight w:val="none"/>
          <w:lang w:val="en-US" w:eastAsia="en-US" w:bidi="ar-SA"/>
        </w:rPr>
        <w:t xml:space="preserve">  </w:t>
      </w:r>
      <w:r>
        <w:rPr>
          <w:rFonts w:hint="eastAsia" w:ascii="仿宋" w:hAnsi="仿宋" w:eastAsia="仿宋" w:cs="仿宋"/>
          <w:snapToGrid w:val="0"/>
          <w:color w:val="auto"/>
          <w:spacing w:val="3"/>
          <w:kern w:val="0"/>
          <w:sz w:val="28"/>
          <w:szCs w:val="28"/>
          <w:highlight w:val="none"/>
          <w:lang w:val="en-US" w:eastAsia="en-US" w:bidi="ar-SA"/>
        </w:rPr>
        <w:t>中小企业参加政府采购活动，应当出具本办</w:t>
      </w:r>
      <w:r>
        <w:rPr>
          <w:rFonts w:hint="eastAsia" w:ascii="仿宋" w:hAnsi="仿宋" w:eastAsia="仿宋" w:cs="仿宋"/>
          <w:snapToGrid w:val="0"/>
          <w:color w:val="auto"/>
          <w:spacing w:val="2"/>
          <w:kern w:val="0"/>
          <w:sz w:val="28"/>
          <w:szCs w:val="28"/>
          <w:highlight w:val="none"/>
          <w:lang w:val="en-US" w:eastAsia="en-US" w:bidi="ar-SA"/>
        </w:rPr>
        <w:t>法规定的《中小企业声明函》（附</w:t>
      </w:r>
      <w:r>
        <w:rPr>
          <w:rFonts w:hint="eastAsia" w:ascii="仿宋" w:hAnsi="仿宋" w:eastAsia="仿宋" w:cs="仿宋"/>
          <w:snapToGrid w:val="0"/>
          <w:color w:val="auto"/>
          <w:spacing w:val="-36"/>
          <w:kern w:val="0"/>
          <w:sz w:val="28"/>
          <w:szCs w:val="28"/>
          <w:highlight w:val="none"/>
          <w:lang w:val="en-US" w:eastAsia="en-US" w:bidi="ar-SA"/>
        </w:rPr>
        <w:t xml:space="preserve"> </w:t>
      </w:r>
      <w:r>
        <w:rPr>
          <w:rFonts w:hint="eastAsia" w:ascii="仿宋" w:hAnsi="仿宋" w:eastAsia="仿宋" w:cs="仿宋"/>
          <w:snapToGrid w:val="0"/>
          <w:color w:val="auto"/>
          <w:spacing w:val="2"/>
          <w:kern w:val="0"/>
          <w:sz w:val="28"/>
          <w:szCs w:val="28"/>
          <w:highlight w:val="none"/>
          <w:lang w:val="en-US" w:eastAsia="en-US" w:bidi="ar-SA"/>
        </w:rPr>
        <w:t>1</w:t>
      </w:r>
      <w:r>
        <w:rPr>
          <w:rFonts w:hint="eastAsia" w:ascii="仿宋" w:hAnsi="仿宋" w:eastAsia="仿宋" w:cs="仿宋"/>
          <w:snapToGrid w:val="0"/>
          <w:color w:val="auto"/>
          <w:spacing w:val="-50"/>
          <w:kern w:val="0"/>
          <w:sz w:val="28"/>
          <w:szCs w:val="28"/>
          <w:highlight w:val="none"/>
          <w:lang w:val="en-US" w:eastAsia="en-US" w:bidi="ar-SA"/>
        </w:rPr>
        <w:t>），</w:t>
      </w:r>
      <w:r>
        <w:rPr>
          <w:rFonts w:hint="eastAsia" w:ascii="仿宋" w:hAnsi="仿宋" w:eastAsia="仿宋" w:cs="仿宋"/>
          <w:snapToGrid w:val="0"/>
          <w:color w:val="auto"/>
          <w:spacing w:val="2"/>
          <w:kern w:val="0"/>
          <w:sz w:val="28"/>
          <w:szCs w:val="28"/>
          <w:highlight w:val="none"/>
          <w:lang w:val="en-US" w:eastAsia="en-US" w:bidi="ar-SA"/>
        </w:rPr>
        <w:t>否则不得享受相关中</w:t>
      </w:r>
      <w:r>
        <w:rPr>
          <w:rFonts w:hint="eastAsia" w:ascii="仿宋" w:hAnsi="仿宋" w:eastAsia="仿宋" w:cs="仿宋"/>
          <w:snapToGrid w:val="0"/>
          <w:color w:val="auto"/>
          <w:spacing w:val="8"/>
          <w:kern w:val="0"/>
          <w:sz w:val="28"/>
          <w:szCs w:val="28"/>
          <w:highlight w:val="none"/>
          <w:lang w:val="en-US" w:eastAsia="en-US" w:bidi="ar-SA"/>
        </w:rPr>
        <w:t>小企业扶持政策。任何单位和个人不得要求供应商提供《中小企业声明函》之外的中小企业身份证明文件。</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spacing w:val="2"/>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 xml:space="preserve">第十二条  </w:t>
      </w:r>
      <w:r>
        <w:rPr>
          <w:rFonts w:hint="eastAsia" w:ascii="仿宋" w:hAnsi="仿宋" w:eastAsia="仿宋" w:cs="仿宋"/>
          <w:snapToGrid w:val="0"/>
          <w:color w:val="auto"/>
          <w:spacing w:val="2"/>
          <w:kern w:val="0"/>
          <w:sz w:val="28"/>
          <w:szCs w:val="28"/>
          <w:highlight w:val="none"/>
          <w:lang w:val="en-US" w:eastAsia="en-US" w:bidi="ar-SA"/>
        </w:rPr>
        <w:t>采购项目涉及中小企业采购的，采购文件应当明确以下内容：</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（一）预留份额的采购项目或者采购包，明确该项目或</w:t>
      </w:r>
      <w:r>
        <w:rPr>
          <w:rFonts w:hint="eastAsia" w:ascii="仿宋" w:hAnsi="仿宋" w:eastAsia="仿宋" w:cs="仿宋"/>
          <w:snapToGrid w:val="0"/>
          <w:color w:val="auto"/>
          <w:spacing w:val="11"/>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相关采购包专门面向中小企业采购，以及相关标的及预算金</w:t>
      </w:r>
      <w:r>
        <w:rPr>
          <w:rFonts w:hint="eastAsia" w:ascii="仿宋" w:hAnsi="仿宋" w:eastAsia="仿宋" w:cs="仿宋"/>
          <w:snapToGrid w:val="0"/>
          <w:color w:val="auto"/>
          <w:spacing w:val="-6"/>
          <w:kern w:val="0"/>
          <w:sz w:val="28"/>
          <w:szCs w:val="28"/>
          <w:highlight w:val="none"/>
          <w:lang w:val="en-US" w:eastAsia="en-US" w:bidi="ar-SA"/>
        </w:rPr>
        <w:t>额；</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（二）要求以联合体形式参加或者合同分包的，明确联 合协议或者分包意向协议中中小企业合同金额应当达到的比例，并作为供应商资格条件；</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（三）非预留份额的采购项目或者采购包，明确有关价格扣除比例或者价格分加分比例；</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（四）规定依据本办法规定享受扶持政策获得政府采购合同的，小微企业不得将合同分包给大中型企业，中型企业不得将合同分包给大型企业；</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（五）采购人认为具备相关条件的，明确对中小企业在资金支付期限、预付款比例等方面的优惠措施；</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（六）明确采购标的对应的中小企业划分标准所属行业；</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（七）法律法规和省级以上人民政府财政部门规定的其他事项。</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第十三条</w:t>
      </w:r>
      <w:r>
        <w:rPr>
          <w:rFonts w:hint="eastAsia" w:ascii="仿宋" w:hAnsi="仿宋" w:eastAsia="仿宋" w:cs="仿宋"/>
          <w:snapToGrid w:val="0"/>
          <w:color w:val="auto"/>
          <w:spacing w:val="36"/>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中标、成交供应商享受本办法规定的中小企业扶持政策的，采购人、采购代理机构应当随中标、成交结果公开中标、成交供应商的《中小企业声明函》。</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适用招标投标法的政府采购工程建设项目，应当在公示中标候选人时公开中标候选</w:t>
      </w:r>
      <w:r>
        <w:rPr>
          <w:rFonts w:hint="eastAsia" w:ascii="仿宋" w:hAnsi="仿宋" w:eastAsia="仿宋" w:cs="仿宋"/>
          <w:snapToGrid w:val="0"/>
          <w:color w:val="auto"/>
          <w:spacing w:val="2"/>
          <w:kern w:val="0"/>
          <w:sz w:val="28"/>
          <w:szCs w:val="28"/>
          <w:highlight w:val="none"/>
          <w:lang w:val="en-US" w:eastAsia="en-US" w:bidi="ar-SA"/>
        </w:rPr>
        <w:t>人的《中小企业声明函》。</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第十四条  对于通过预留采购项目、预留专门采购包、</w:t>
      </w:r>
      <w:r>
        <w:rPr>
          <w:rFonts w:hint="eastAsia" w:ascii="仿宋" w:hAnsi="仿宋" w:eastAsia="仿宋" w:cs="仿宋"/>
          <w:snapToGrid w:val="0"/>
          <w:color w:val="auto"/>
          <w:spacing w:val="21"/>
          <w:kern w:val="0"/>
          <w:sz w:val="28"/>
          <w:szCs w:val="28"/>
          <w:highlight w:val="none"/>
          <w:lang w:val="en-US" w:eastAsia="en-US" w:bidi="ar-SA"/>
        </w:rPr>
        <w:t>要求以联合体形式参加或者合同分包等措施签订的采购合</w:t>
      </w:r>
      <w:r>
        <w:rPr>
          <w:rFonts w:hint="eastAsia" w:ascii="仿宋" w:hAnsi="仿宋" w:eastAsia="仿宋" w:cs="仿宋"/>
          <w:snapToGrid w:val="0"/>
          <w:color w:val="auto"/>
          <w:spacing w:val="8"/>
          <w:kern w:val="0"/>
          <w:sz w:val="28"/>
          <w:szCs w:val="28"/>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第十五条  鼓励各地区、各部门在采购活动中允许中小</w:t>
      </w:r>
      <w:r>
        <w:rPr>
          <w:rFonts w:hint="eastAsia" w:ascii="仿宋" w:hAnsi="仿宋" w:eastAsia="仿宋" w:cs="仿宋"/>
          <w:snapToGrid w:val="0"/>
          <w:color w:val="auto"/>
          <w:spacing w:val="8"/>
          <w:kern w:val="0"/>
          <w:sz w:val="28"/>
          <w:szCs w:val="28"/>
          <w:highlight w:val="none"/>
          <w:lang w:val="en-US" w:eastAsia="en-US" w:bidi="ar-SA"/>
        </w:rPr>
        <w:t>企业引入信用担保手段，为中小企业在投标（响应）保证、履约保证等方面提供专业化服务。鼓励中小企业依法合规通</w:t>
      </w:r>
      <w:r>
        <w:rPr>
          <w:rFonts w:hint="eastAsia" w:ascii="仿宋" w:hAnsi="仿宋" w:eastAsia="仿宋" w:cs="仿宋"/>
          <w:snapToGrid w:val="0"/>
          <w:color w:val="auto"/>
          <w:spacing w:val="6"/>
          <w:kern w:val="0"/>
          <w:sz w:val="28"/>
          <w:szCs w:val="28"/>
          <w:highlight w:val="none"/>
          <w:lang w:val="en-US" w:eastAsia="en-US" w:bidi="ar-SA"/>
        </w:rPr>
        <w:t>过政府采购合同融资。</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第十六条  政府采购监督检查、投诉处理及政府采购行</w:t>
      </w:r>
      <w:r>
        <w:rPr>
          <w:rFonts w:hint="eastAsia" w:ascii="仿宋" w:hAnsi="仿宋" w:eastAsia="仿宋" w:cs="仿宋"/>
          <w:snapToGrid w:val="0"/>
          <w:color w:val="auto"/>
          <w:spacing w:val="17"/>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政处罚中对中小企业的认定，由货物制造商或者工程、服务</w:t>
      </w:r>
      <w:r>
        <w:rPr>
          <w:rFonts w:hint="eastAsia" w:ascii="仿宋" w:hAnsi="仿宋" w:eastAsia="仿宋" w:cs="仿宋"/>
          <w:snapToGrid w:val="0"/>
          <w:color w:val="auto"/>
          <w:spacing w:val="21"/>
          <w:kern w:val="0"/>
          <w:sz w:val="28"/>
          <w:szCs w:val="28"/>
          <w:highlight w:val="none"/>
          <w:lang w:val="en-US" w:eastAsia="en-US" w:bidi="ar-SA"/>
        </w:rPr>
        <w:t>供应商注册登记所在地的县级以上人民政府中小企业主管</w:t>
      </w:r>
      <w:r>
        <w:rPr>
          <w:rFonts w:hint="eastAsia" w:ascii="仿宋" w:hAnsi="仿宋" w:eastAsia="仿宋" w:cs="仿宋"/>
          <w:snapToGrid w:val="0"/>
          <w:color w:val="auto"/>
          <w:spacing w:val="3"/>
          <w:kern w:val="0"/>
          <w:sz w:val="28"/>
          <w:szCs w:val="28"/>
          <w:highlight w:val="none"/>
          <w:lang w:val="en-US" w:eastAsia="en-US" w:bidi="ar-SA"/>
        </w:rPr>
        <w:t>部门负责。</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50"/>
        <w:jc w:val="left"/>
        <w:textAlignment w:val="baseline"/>
        <w:rPr>
          <w:rFonts w:hint="eastAsia" w:ascii="仿宋" w:hAnsi="仿宋" w:eastAsia="仿宋" w:cs="仿宋"/>
          <w:snapToGrid w:val="0"/>
          <w:color w:val="auto"/>
          <w:spacing w:val="6"/>
          <w:kern w:val="0"/>
          <w:sz w:val="28"/>
          <w:szCs w:val="28"/>
          <w:highlight w:val="none"/>
          <w:lang w:val="en-US" w:eastAsia="en-US" w:bidi="ar-SA"/>
        </w:rPr>
      </w:pPr>
      <w:r>
        <w:rPr>
          <w:rFonts w:hint="eastAsia" w:ascii="仿宋" w:hAnsi="仿宋" w:eastAsia="仿宋" w:cs="仿宋"/>
          <w:snapToGrid w:val="0"/>
          <w:color w:val="auto"/>
          <w:spacing w:val="17"/>
          <w:kern w:val="0"/>
          <w:sz w:val="28"/>
          <w:szCs w:val="28"/>
          <w:highlight w:val="none"/>
          <w:lang w:val="en-US" w:eastAsia="en-US" w:bidi="ar-SA"/>
        </w:rPr>
        <w:t>中小企业主管部门应当在收到财政部门或者有关招标</w:t>
      </w:r>
      <w:r>
        <w:rPr>
          <w:rFonts w:hint="eastAsia" w:ascii="仿宋" w:hAnsi="仿宋" w:eastAsia="仿宋" w:cs="仿宋"/>
          <w:snapToGrid w:val="0"/>
          <w:color w:val="auto"/>
          <w:spacing w:val="11"/>
          <w:kern w:val="0"/>
          <w:sz w:val="28"/>
          <w:szCs w:val="28"/>
          <w:highlight w:val="none"/>
          <w:lang w:val="en-US" w:eastAsia="en-US" w:bidi="ar-SA"/>
        </w:rPr>
        <w:t>投标行政监督部门关于协助开展中小企业认定函后10</w:t>
      </w:r>
      <w:r>
        <w:rPr>
          <w:rFonts w:hint="eastAsia" w:ascii="仿宋" w:hAnsi="仿宋" w:eastAsia="仿宋" w:cs="仿宋"/>
          <w:snapToGrid w:val="0"/>
          <w:color w:val="auto"/>
          <w:spacing w:val="-48"/>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个工</w:t>
      </w:r>
      <w:r>
        <w:rPr>
          <w:rFonts w:hint="eastAsia" w:ascii="仿宋" w:hAnsi="仿宋" w:eastAsia="仿宋" w:cs="仿宋"/>
          <w:snapToGrid w:val="0"/>
          <w:color w:val="auto"/>
          <w:spacing w:val="6"/>
          <w:kern w:val="0"/>
          <w:sz w:val="28"/>
          <w:szCs w:val="28"/>
          <w:highlight w:val="none"/>
          <w:lang w:val="en-US" w:eastAsia="en-US" w:bidi="ar-SA"/>
        </w:rPr>
        <w:t>作日内做出书面答复。</w:t>
      </w:r>
    </w:p>
    <w:p>
      <w:pPr>
        <w:keepNext w:val="0"/>
        <w:keepLines w:val="0"/>
        <w:pageBreakBefore w:val="0"/>
        <w:numPr>
          <w:ilvl w:val="0"/>
          <w:numId w:val="0"/>
        </w:numPr>
        <w:kinsoku w:val="0"/>
        <w:wordWrap/>
        <w:overflowPunct/>
        <w:topLinePunct w:val="0"/>
        <w:autoSpaceDE w:val="0"/>
        <w:autoSpaceDN w:val="0"/>
        <w:bidi w:val="0"/>
        <w:adjustRightInd w:val="0"/>
        <w:snapToGrid w:val="0"/>
        <w:spacing w:before="0" w:after="0" w:line="560" w:lineRule="exact"/>
        <w:ind w:left="0" w:leftChars="0" w:right="0" w:rightChars="0" w:firstLine="750" w:firstLineChars="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第十七条</w:t>
      </w:r>
      <w:r>
        <w:rPr>
          <w:rFonts w:hint="eastAsia" w:ascii="仿宋" w:hAnsi="仿宋" w:eastAsia="仿宋" w:cs="仿宋"/>
          <w:snapToGrid w:val="0"/>
          <w:color w:val="auto"/>
          <w:spacing w:val="5"/>
          <w:kern w:val="0"/>
          <w:sz w:val="28"/>
          <w:szCs w:val="28"/>
          <w:highlight w:val="none"/>
          <w:lang w:val="en-US" w:eastAsia="zh-CN" w:bidi="ar-SA"/>
        </w:rPr>
        <w:t xml:space="preserve"> </w:t>
      </w:r>
      <w:r>
        <w:rPr>
          <w:rFonts w:hint="eastAsia" w:ascii="仿宋" w:hAnsi="仿宋" w:eastAsia="仿宋" w:cs="仿宋"/>
          <w:snapToGrid w:val="0"/>
          <w:color w:val="auto"/>
          <w:spacing w:val="17"/>
          <w:kern w:val="0"/>
          <w:sz w:val="28"/>
          <w:szCs w:val="28"/>
          <w:highlight w:val="none"/>
          <w:lang w:val="en-US" w:eastAsia="en-US" w:bidi="ar-SA"/>
        </w:rPr>
        <w:t xml:space="preserve"> 各地区、各部门应当对涉及中小企业采购的预算项目实施全过</w:t>
      </w:r>
      <w:r>
        <w:rPr>
          <w:rFonts w:hint="eastAsia" w:ascii="仿宋" w:hAnsi="仿宋" w:eastAsia="仿宋" w:cs="仿宋"/>
          <w:snapToGrid w:val="0"/>
          <w:color w:val="auto"/>
          <w:spacing w:val="8"/>
          <w:kern w:val="0"/>
          <w:sz w:val="28"/>
          <w:szCs w:val="28"/>
          <w:highlight w:val="none"/>
          <w:lang w:val="en-US" w:eastAsia="en-US" w:bidi="ar-SA"/>
        </w:rPr>
        <w:t>程绩效管理，合理设置绩效目标和指标，落实扶持中小企业有关政策要求，定期开展绩效监控和评价，强化绩效评价结果应用。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592" w:firstLineChars="200"/>
        <w:jc w:val="left"/>
        <w:textAlignment w:val="baseline"/>
        <w:rPr>
          <w:rFonts w:hint="eastAsia" w:ascii="仿宋" w:hAnsi="仿宋" w:eastAsia="仿宋" w:cs="仿宋"/>
          <w:snapToGrid w:val="0"/>
          <w:color w:val="auto"/>
          <w:spacing w:val="8"/>
          <w:kern w:val="0"/>
          <w:position w:val="18"/>
          <w:sz w:val="28"/>
          <w:szCs w:val="28"/>
          <w:highlight w:val="none"/>
          <w:lang w:val="en-US" w:eastAsia="en-US" w:bidi="ar-SA"/>
        </w:rPr>
      </w:pPr>
      <w:r>
        <w:rPr>
          <w:rFonts w:hint="eastAsia" w:ascii="仿宋" w:hAnsi="仿宋" w:eastAsia="仿宋" w:cs="仿宋"/>
          <w:snapToGrid w:val="0"/>
          <w:color w:val="auto"/>
          <w:spacing w:val="8"/>
          <w:kern w:val="0"/>
          <w:position w:val="18"/>
          <w:sz w:val="28"/>
          <w:szCs w:val="28"/>
          <w:highlight w:val="none"/>
          <w:lang w:val="en-US" w:eastAsia="en-US" w:bidi="ar-SA"/>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636" w:firstLineChars="2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第十九条  采购人未按本办法规定为中小企</w:t>
      </w:r>
      <w:r>
        <w:rPr>
          <w:rFonts w:hint="eastAsia" w:ascii="仿宋" w:hAnsi="仿宋" w:eastAsia="仿宋" w:cs="仿宋"/>
          <w:snapToGrid w:val="0"/>
          <w:color w:val="auto"/>
          <w:spacing w:val="18"/>
          <w:kern w:val="0"/>
          <w:sz w:val="28"/>
          <w:szCs w:val="28"/>
          <w:highlight w:val="none"/>
          <w:lang w:val="en-US" w:eastAsia="en-US" w:bidi="ar-SA"/>
        </w:rPr>
        <w:t>业预留采</w:t>
      </w:r>
      <w:r>
        <w:rPr>
          <w:rFonts w:hint="eastAsia" w:ascii="仿宋" w:hAnsi="仿宋" w:eastAsia="仿宋" w:cs="仿宋"/>
          <w:snapToGrid w:val="0"/>
          <w:color w:val="auto"/>
          <w:spacing w:val="8"/>
          <w:kern w:val="0"/>
          <w:sz w:val="28"/>
          <w:szCs w:val="28"/>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hint="eastAsia" w:ascii="仿宋" w:hAnsi="仿宋" w:eastAsia="仿宋" w:cs="仿宋"/>
          <w:snapToGrid w:val="0"/>
          <w:color w:val="auto"/>
          <w:spacing w:val="5"/>
          <w:kern w:val="0"/>
          <w:sz w:val="28"/>
          <w:szCs w:val="28"/>
          <w:highlight w:val="none"/>
          <w:lang w:val="en-US" w:eastAsia="en-US" w:bidi="ar-SA"/>
        </w:rPr>
        <w:t>追究法律责任。</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第二十条  供应商按照本办法规定提供声明</w:t>
      </w:r>
      <w:r>
        <w:rPr>
          <w:rFonts w:hint="eastAsia" w:ascii="仿宋" w:hAnsi="仿宋" w:eastAsia="仿宋" w:cs="仿宋"/>
          <w:snapToGrid w:val="0"/>
          <w:color w:val="auto"/>
          <w:spacing w:val="18"/>
          <w:kern w:val="0"/>
          <w:sz w:val="28"/>
          <w:szCs w:val="28"/>
          <w:highlight w:val="none"/>
          <w:lang w:val="en-US" w:eastAsia="en-US" w:bidi="ar-SA"/>
        </w:rPr>
        <w:t>函内容不</w:t>
      </w:r>
      <w:r>
        <w:rPr>
          <w:rFonts w:hint="eastAsia" w:ascii="仿宋" w:hAnsi="仿宋" w:eastAsia="仿宋" w:cs="仿宋"/>
          <w:snapToGrid w:val="0"/>
          <w:color w:val="auto"/>
          <w:spacing w:val="8"/>
          <w:kern w:val="0"/>
          <w:sz w:val="28"/>
          <w:szCs w:val="28"/>
          <w:highlight w:val="none"/>
          <w:lang w:val="en-US" w:eastAsia="en-US" w:bidi="ar-SA"/>
        </w:rPr>
        <w:t>实的，属于提供虚假材料谋取中标、成交，依照《中华人民共和国政府采购法》等国家有关规定追究相应责任。</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38"/>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适用招标投标法的政府采购工程建设项目，投标人按照本办法规定提供声明函内容不实的，属于弄虚作假骗取</w:t>
      </w:r>
      <w:r>
        <w:rPr>
          <w:rFonts w:hint="eastAsia" w:ascii="仿宋" w:hAnsi="仿宋" w:eastAsia="仿宋" w:cs="仿宋"/>
          <w:snapToGrid w:val="0"/>
          <w:color w:val="auto"/>
          <w:spacing w:val="5"/>
          <w:kern w:val="0"/>
          <w:sz w:val="28"/>
          <w:szCs w:val="28"/>
          <w:highlight w:val="none"/>
          <w:lang w:val="en-US" w:eastAsia="en-US" w:bidi="ar-SA"/>
        </w:rPr>
        <w:t>中标，</w:t>
      </w:r>
      <w:r>
        <w:rPr>
          <w:rFonts w:hint="eastAsia" w:ascii="仿宋" w:hAnsi="仿宋" w:eastAsia="仿宋" w:cs="仿宋"/>
          <w:snapToGrid w:val="0"/>
          <w:color w:val="auto"/>
          <w:spacing w:val="8"/>
          <w:kern w:val="0"/>
          <w:sz w:val="28"/>
          <w:szCs w:val="28"/>
          <w:highlight w:val="none"/>
          <w:lang w:val="en-US" w:eastAsia="en-US" w:bidi="ar-SA"/>
        </w:rPr>
        <w:t>依照《中华人民共和国招标投标法》等国家有关规定追究相</w:t>
      </w:r>
      <w:r>
        <w:rPr>
          <w:rFonts w:hint="eastAsia" w:ascii="仿宋" w:hAnsi="仿宋" w:eastAsia="仿宋" w:cs="仿宋"/>
          <w:snapToGrid w:val="0"/>
          <w:color w:val="auto"/>
          <w:spacing w:val="2"/>
          <w:kern w:val="0"/>
          <w:sz w:val="28"/>
          <w:szCs w:val="28"/>
          <w:highlight w:val="none"/>
          <w:lang w:val="en-US" w:eastAsia="en-US" w:bidi="ar-SA"/>
        </w:rPr>
        <w:t>应责任。</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2"/>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第二十一条  财政部门、中小企业主管部门及其工作人</w:t>
      </w:r>
      <w:r>
        <w:rPr>
          <w:rFonts w:hint="eastAsia" w:ascii="仿宋" w:hAnsi="仿宋" w:eastAsia="仿宋" w:cs="仿宋"/>
          <w:snapToGrid w:val="0"/>
          <w:color w:val="auto"/>
          <w:spacing w:val="8"/>
          <w:kern w:val="0"/>
          <w:sz w:val="28"/>
          <w:szCs w:val="28"/>
          <w:highlight w:val="none"/>
          <w:lang w:val="en-US" w:eastAsia="en-US" w:bidi="ar-SA"/>
        </w:rPr>
        <w:t>员在履行职责中违反本办法规定及存在其他滥用职权、玩忽职守、徇私舞弊等违法违纪行为的，依照《</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"http://10.162.100.18:168/golaw?dbnm=gjfg&amp;flid=1116012014128049"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8"/>
          <w:kern w:val="0"/>
          <w:sz w:val="28"/>
          <w:szCs w:val="28"/>
          <w:highlight w:val="none"/>
          <w:lang w:val="en-US" w:eastAsia="en-US" w:bidi="ar-SA"/>
        </w:rPr>
        <w:t>中华人民共和国</w:t>
      </w:r>
      <w:r>
        <w:rPr>
          <w:rFonts w:hint="eastAsia" w:ascii="仿宋" w:hAnsi="仿宋" w:eastAsia="仿宋" w:cs="仿宋"/>
          <w:snapToGrid w:val="0"/>
          <w:color w:val="auto"/>
          <w:spacing w:val="8"/>
          <w:kern w:val="0"/>
          <w:sz w:val="28"/>
          <w:szCs w:val="28"/>
          <w:highlight w:val="none"/>
          <w:lang w:val="en-US" w:eastAsia="en-US" w:bidi="ar-SA"/>
        </w:rPr>
        <w:fldChar w:fldCharType="end"/>
      </w:r>
      <w:r>
        <w:rPr>
          <w:rFonts w:hint="eastAsia" w:ascii="仿宋" w:hAnsi="仿宋" w:eastAsia="仿宋" w:cs="仿宋"/>
          <w:snapToGrid w:val="0"/>
          <w:color w:val="auto"/>
          <w:spacing w:val="-14"/>
          <w:kern w:val="0"/>
          <w:sz w:val="28"/>
          <w:szCs w:val="28"/>
          <w:highlight w:val="none"/>
          <w:lang w:val="en-US" w:eastAsia="en-US" w:bidi="ar-SA"/>
        </w:rPr>
        <w:t>政府采购法》、《</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"http://10.162.100.18:168/golaw?dbnm=gjfg&amp;flid=111601200501"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14"/>
          <w:kern w:val="0"/>
          <w:sz w:val="28"/>
          <w:szCs w:val="28"/>
          <w:highlight w:val="none"/>
          <w:lang w:val="en-US" w:eastAsia="en-US" w:bidi="ar-SA"/>
        </w:rPr>
        <w:t>中华人民共和国公务员法</w:t>
      </w:r>
      <w:r>
        <w:rPr>
          <w:rFonts w:hint="eastAsia" w:ascii="仿宋" w:hAnsi="仿宋" w:eastAsia="仿宋" w:cs="仿宋"/>
          <w:snapToGrid w:val="0"/>
          <w:color w:val="auto"/>
          <w:spacing w:val="-14"/>
          <w:kern w:val="0"/>
          <w:sz w:val="28"/>
          <w:szCs w:val="28"/>
          <w:highlight w:val="none"/>
          <w:lang w:val="en-US" w:eastAsia="en-US" w:bidi="ar-SA"/>
        </w:rPr>
        <w:fldChar w:fldCharType="end"/>
      </w:r>
      <w:r>
        <w:rPr>
          <w:rFonts w:hint="eastAsia" w:ascii="仿宋" w:hAnsi="仿宋" w:eastAsia="仿宋" w:cs="仿宋"/>
          <w:snapToGrid w:val="0"/>
          <w:color w:val="auto"/>
          <w:spacing w:val="-14"/>
          <w:kern w:val="0"/>
          <w:sz w:val="28"/>
          <w:szCs w:val="28"/>
          <w:highlight w:val="none"/>
          <w:lang w:val="en-US" w:eastAsia="en-US" w:bidi="ar-SA"/>
        </w:rPr>
        <w:t>》、《</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"http://10.162.100.18:168/golaw?dbnm=gjfg&amp;flid=1117032010100014"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14"/>
          <w:kern w:val="0"/>
          <w:sz w:val="28"/>
          <w:szCs w:val="28"/>
          <w:highlight w:val="none"/>
          <w:lang w:val="en-US" w:eastAsia="en-US" w:bidi="ar-SA"/>
        </w:rPr>
        <w:t>中华人民共和</w:t>
      </w:r>
      <w:r>
        <w:rPr>
          <w:rFonts w:hint="eastAsia" w:ascii="仿宋" w:hAnsi="仿宋" w:eastAsia="仿宋" w:cs="仿宋"/>
          <w:snapToGrid w:val="0"/>
          <w:color w:val="auto"/>
          <w:spacing w:val="-14"/>
          <w:kern w:val="0"/>
          <w:sz w:val="28"/>
          <w:szCs w:val="28"/>
          <w:highlight w:val="none"/>
          <w:lang w:val="en-US" w:eastAsia="en-US" w:bidi="ar-SA"/>
        </w:rPr>
        <w:fldChar w:fldCharType="end"/>
      </w:r>
      <w:r>
        <w:rPr>
          <w:rFonts w:hint="eastAsia" w:ascii="仿宋" w:hAnsi="仿宋" w:eastAsia="仿宋" w:cs="仿宋"/>
          <w:snapToGrid w:val="0"/>
          <w:color w:val="auto"/>
          <w:spacing w:val="-3"/>
          <w:kern w:val="0"/>
          <w:sz w:val="28"/>
          <w:szCs w:val="28"/>
          <w:highlight w:val="none"/>
          <w:lang w:val="en-US" w:eastAsia="en-US" w:bidi="ar-SA"/>
        </w:rPr>
        <w:t>国监察法》、《</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"http://10.162.100.18:168/golaw?dbnm=gjfg&amp;flid=1129012015130679"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3"/>
          <w:kern w:val="0"/>
          <w:sz w:val="28"/>
          <w:szCs w:val="28"/>
          <w:highlight w:val="none"/>
          <w:lang w:val="en-US" w:eastAsia="en-US" w:bidi="ar-SA"/>
        </w:rPr>
        <w:t>中华人民共和国政府采购法实施条例</w:t>
      </w:r>
      <w:r>
        <w:rPr>
          <w:rFonts w:hint="eastAsia" w:ascii="仿宋" w:hAnsi="仿宋" w:eastAsia="仿宋" w:cs="仿宋"/>
          <w:snapToGrid w:val="0"/>
          <w:color w:val="auto"/>
          <w:spacing w:val="-3"/>
          <w:kern w:val="0"/>
          <w:sz w:val="28"/>
          <w:szCs w:val="28"/>
          <w:highlight w:val="none"/>
          <w:lang w:val="en-US" w:eastAsia="en-US" w:bidi="ar-SA"/>
        </w:rPr>
        <w:fldChar w:fldCharType="end"/>
      </w:r>
      <w:r>
        <w:rPr>
          <w:rFonts w:hint="eastAsia" w:ascii="仿宋" w:hAnsi="仿宋" w:eastAsia="仿宋" w:cs="仿宋"/>
          <w:snapToGrid w:val="0"/>
          <w:color w:val="auto"/>
          <w:spacing w:val="-3"/>
          <w:kern w:val="0"/>
          <w:sz w:val="28"/>
          <w:szCs w:val="28"/>
          <w:highlight w:val="none"/>
          <w:lang w:val="en-US" w:eastAsia="en-US" w:bidi="ar-SA"/>
        </w:rPr>
        <w:t>》等</w:t>
      </w:r>
      <w:r>
        <w:rPr>
          <w:rFonts w:hint="eastAsia" w:ascii="仿宋" w:hAnsi="仿宋" w:eastAsia="仿宋" w:cs="仿宋"/>
          <w:snapToGrid w:val="0"/>
          <w:color w:val="auto"/>
          <w:spacing w:val="-4"/>
          <w:kern w:val="0"/>
          <w:sz w:val="28"/>
          <w:szCs w:val="28"/>
          <w:highlight w:val="none"/>
          <w:lang w:val="en-US" w:eastAsia="en-US" w:bidi="ar-SA"/>
        </w:rPr>
        <w:t>国家</w:t>
      </w:r>
      <w:r>
        <w:rPr>
          <w:rFonts w:hint="eastAsia" w:ascii="仿宋" w:hAnsi="仿宋" w:eastAsia="仿宋" w:cs="仿宋"/>
          <w:snapToGrid w:val="0"/>
          <w:color w:val="auto"/>
          <w:spacing w:val="9"/>
          <w:kern w:val="0"/>
          <w:sz w:val="28"/>
          <w:szCs w:val="28"/>
          <w:highlight w:val="none"/>
          <w:lang w:val="en-US" w:eastAsia="en-US" w:bidi="ar-SA"/>
        </w:rPr>
        <w:t>有关规定追究相应责任；涉嫌犯罪的，依法</w:t>
      </w:r>
      <w:r>
        <w:rPr>
          <w:rFonts w:hint="eastAsia" w:ascii="仿宋" w:hAnsi="仿宋" w:eastAsia="仿宋" w:cs="仿宋"/>
          <w:snapToGrid w:val="0"/>
          <w:color w:val="auto"/>
          <w:spacing w:val="8"/>
          <w:kern w:val="0"/>
          <w:sz w:val="28"/>
          <w:szCs w:val="28"/>
          <w:highlight w:val="none"/>
          <w:lang w:val="en-US" w:eastAsia="en-US" w:bidi="ar-SA"/>
        </w:rPr>
        <w:t>移送有关国家机</w:t>
      </w:r>
      <w:r>
        <w:rPr>
          <w:rFonts w:hint="eastAsia" w:ascii="仿宋" w:hAnsi="仿宋" w:eastAsia="仿宋" w:cs="仿宋"/>
          <w:snapToGrid w:val="0"/>
          <w:color w:val="auto"/>
          <w:spacing w:val="-1"/>
          <w:kern w:val="0"/>
          <w:sz w:val="28"/>
          <w:szCs w:val="28"/>
          <w:highlight w:val="none"/>
          <w:lang w:val="en-US" w:eastAsia="en-US" w:bidi="ar-SA"/>
        </w:rPr>
        <w:t>关处理。</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第二十二条</w:t>
      </w:r>
      <w:r>
        <w:rPr>
          <w:rFonts w:hint="eastAsia" w:ascii="仿宋" w:hAnsi="仿宋" w:eastAsia="仿宋" w:cs="仿宋"/>
          <w:b/>
          <w:bCs/>
          <w:snapToGrid w:val="0"/>
          <w:color w:val="auto"/>
          <w:spacing w:val="8"/>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对外援助项目、国家相关资格或者资质管理制度另有规定的项目，不适用本办法。</w:t>
      </w:r>
    </w:p>
    <w:p>
      <w:pPr>
        <w:keepNext w:val="0"/>
        <w:keepLines w:val="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sectPr>
          <w:headerReference r:id="rId9" w:type="default"/>
          <w:footerReference r:id="rId10" w:type="default"/>
          <w:pgSz w:w="11906" w:h="16839"/>
          <w:pgMar w:top="1431" w:right="1553" w:bottom="1376" w:left="1785" w:header="624" w:footer="1212" w:gutter="0"/>
          <w:pgNumType w:fmt="decimal"/>
          <w:cols w:space="720" w:num="1"/>
        </w:sectPr>
      </w:pP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第二十三条</w:t>
      </w:r>
      <w:r>
        <w:rPr>
          <w:rFonts w:hint="eastAsia" w:ascii="仿宋" w:hAnsi="仿宋" w:eastAsia="仿宋" w:cs="仿宋"/>
          <w:snapToGrid w:val="0"/>
          <w:color w:val="auto"/>
          <w:spacing w:val="8"/>
          <w:kern w:val="0"/>
          <w:sz w:val="28"/>
          <w:szCs w:val="28"/>
          <w:highlight w:val="none"/>
          <w:lang w:val="en-US" w:eastAsia="en-US" w:bidi="ar-SA"/>
        </w:rPr>
        <w:t xml:space="preserve">  关于视同中小企业的其他主体的政府采</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购扶持政策，由财政部会同有关部门另行规定。</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第二十四条</w:t>
      </w:r>
      <w:r>
        <w:rPr>
          <w:rFonts w:hint="eastAsia" w:ascii="仿宋" w:hAnsi="仿宋" w:eastAsia="仿宋" w:cs="仿宋"/>
          <w:snapToGrid w:val="0"/>
          <w:color w:val="auto"/>
          <w:spacing w:val="8"/>
          <w:kern w:val="0"/>
          <w:sz w:val="28"/>
          <w:szCs w:val="28"/>
          <w:highlight w:val="none"/>
          <w:lang w:val="en-US" w:eastAsia="en-US" w:bidi="ar-SA"/>
        </w:rPr>
        <w:t xml:space="preserve">  省级财政部门可以会同中小企业主管部门根据本办法的规定制定具体实施办法。</w:t>
      </w: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第二十五条</w:t>
      </w:r>
      <w:r>
        <w:rPr>
          <w:rFonts w:hint="eastAsia" w:ascii="仿宋" w:hAnsi="仿宋" w:eastAsia="仿宋" w:cs="仿宋"/>
          <w:snapToGrid w:val="0"/>
          <w:color w:val="auto"/>
          <w:spacing w:val="8"/>
          <w:kern w:val="0"/>
          <w:sz w:val="28"/>
          <w:szCs w:val="28"/>
          <w:highlight w:val="none"/>
          <w:lang w:val="en-US" w:eastAsia="en-US" w:bidi="ar-SA"/>
        </w:rPr>
        <w:t xml:space="preserve">  本办法自2021年1月1日起施行。《财政部工业和信息化部关于印发〈政府采购促进中小企业发展暂行办法〉的通知》（财库（2011﹞181号）同时废止。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p>
    <w:p>
      <w:pPr>
        <w:keepNext w:val="0"/>
        <w:keepLines w:val="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sectPr>
          <w:footerReference r:id="rId11" w:type="default"/>
          <w:pgSz w:w="11906" w:h="16839"/>
          <w:pgMar w:top="1431" w:right="1785" w:bottom="1378" w:left="1785" w:header="0" w:footer="121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val="en-US" w:eastAsia="zh-CN"/>
        </w:rPr>
      </w:pPr>
      <w:bookmarkStart w:id="180" w:name="_Toc21498"/>
      <w:r>
        <w:rPr>
          <w:rFonts w:hint="eastAsia" w:ascii="仿宋" w:hAnsi="仿宋" w:eastAsia="仿宋" w:cs="仿宋"/>
          <w:snapToGrid w:val="0"/>
          <w:color w:val="auto"/>
          <w:spacing w:val="-9"/>
          <w:kern w:val="0"/>
          <w:sz w:val="28"/>
          <w:szCs w:val="28"/>
          <w:highlight w:val="none"/>
          <w:lang w:eastAsia="en-US"/>
        </w:rPr>
        <w:t>附件</w:t>
      </w:r>
      <w:r>
        <w:rPr>
          <w:rFonts w:hint="eastAsia" w:ascii="仿宋" w:hAnsi="仿宋" w:eastAsia="仿宋" w:cs="仿宋"/>
          <w:snapToGrid w:val="0"/>
          <w:color w:val="auto"/>
          <w:spacing w:val="-9"/>
          <w:kern w:val="0"/>
          <w:sz w:val="28"/>
          <w:szCs w:val="28"/>
          <w:highlight w:val="none"/>
          <w:lang w:val="en-US" w:eastAsia="zh-CN"/>
        </w:rPr>
        <w:t>2：关于进一步加大政府采购支持中小企业力度的通知</w:t>
      </w:r>
      <w:bookmarkEnd w:id="18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336" w:lineRule="atLeast"/>
        <w:ind w:left="0" w:right="0" w:firstLine="0"/>
        <w:jc w:val="center"/>
        <w:textAlignment w:val="baseline"/>
        <w:rPr>
          <w:rFonts w:hint="eastAsia" w:ascii="仿宋" w:hAnsi="仿宋" w:eastAsia="仿宋" w:cs="仿宋"/>
          <w:b/>
          <w:bCs/>
          <w:i w:val="0"/>
          <w:iCs w:val="0"/>
          <w:caps w:val="0"/>
          <w:color w:val="auto"/>
          <w:spacing w:val="0"/>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t>关于进一步加大政府采购支持中小企业力度的通知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textAlignment w:val="baseline"/>
        <w:rPr>
          <w:rFonts w:hint="eastAsia" w:ascii="仿宋" w:hAnsi="仿宋" w:eastAsia="仿宋" w:cs="仿宋"/>
          <w:i w:val="0"/>
          <w:iCs w:val="0"/>
          <w:caps w:val="0"/>
          <w:color w:val="auto"/>
          <w:spacing w:val="0"/>
          <w:sz w:val="28"/>
          <w:szCs w:val="28"/>
          <w:highlight w:val="none"/>
          <w:u w:val="none"/>
        </w:rPr>
      </w:pPr>
      <w:r>
        <w:rPr>
          <w:rFonts w:hint="eastAsia" w:ascii="仿宋" w:hAnsi="仿宋" w:eastAsia="仿宋" w:cs="仿宋"/>
          <w:b/>
          <w:bCs/>
          <w:i w:val="0"/>
          <w:iCs w:val="0"/>
          <w:caps w:val="0"/>
          <w:color w:val="auto"/>
          <w:spacing w:val="0"/>
          <w:kern w:val="0"/>
          <w:sz w:val="28"/>
          <w:szCs w:val="28"/>
          <w:highlight w:val="none"/>
          <w:u w:val="none"/>
          <w:shd w:val="clear" w:color="auto" w:fill="FFFFFF"/>
          <w:vertAlign w:val="baseline"/>
          <w:lang w:val="en-US" w:eastAsia="zh-CN"/>
        </w:rPr>
        <w:t>财库〔2022〕19号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各中央预算单位，各省、自治区、直辖市、计划单列市财政厅（局），新疆生产建设兵团财政局：</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一、严格落实支持中小企业政府采购政策。</w:t>
      </w:r>
      <w:r>
        <w:rPr>
          <w:rFonts w:hint="eastAsia" w:ascii="仿宋" w:hAnsi="仿宋" w:eastAsia="仿宋" w:cs="仿宋"/>
          <w:i w:val="0"/>
          <w:iCs w:val="0"/>
          <w:caps w:val="0"/>
          <w:color w:val="auto"/>
          <w:spacing w:val="0"/>
          <w:sz w:val="28"/>
          <w:szCs w:val="28"/>
          <w:highlight w:val="none"/>
          <w:u w:val="none"/>
          <w:shd w:val="clear" w:color="auto"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二、调整对小微企业的价格评审优惠幅度。</w:t>
      </w:r>
      <w:r>
        <w:rPr>
          <w:rFonts w:hint="eastAsia" w:ascii="仿宋" w:hAnsi="仿宋" w:eastAsia="仿宋" w:cs="仿宋"/>
          <w:i w:val="0"/>
          <w:iCs w:val="0"/>
          <w:caps w:val="0"/>
          <w:color w:val="auto"/>
          <w:spacing w:val="0"/>
          <w:sz w:val="28"/>
          <w:szCs w:val="28"/>
          <w:highlight w:val="none"/>
          <w:u w:val="none"/>
          <w:shd w:val="clear" w:color="auto"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三、提高政府采购工程面向中小企业预留份额。</w:t>
      </w:r>
      <w:r>
        <w:rPr>
          <w:rFonts w:hint="eastAsia" w:ascii="仿宋" w:hAnsi="仿宋" w:eastAsia="仿宋" w:cs="仿宋"/>
          <w:i w:val="0"/>
          <w:iCs w:val="0"/>
          <w:caps w:val="0"/>
          <w:color w:val="auto"/>
          <w:spacing w:val="0"/>
          <w:sz w:val="28"/>
          <w:szCs w:val="28"/>
          <w:highlight w:val="none"/>
          <w:u w:val="none"/>
          <w:shd w:val="clear" w:color="auto"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四、认真做好组织实施。</w:t>
      </w:r>
      <w:r>
        <w:rPr>
          <w:rFonts w:hint="eastAsia" w:ascii="仿宋" w:hAnsi="仿宋" w:eastAsia="仿宋" w:cs="仿宋"/>
          <w:i w:val="0"/>
          <w:iCs w:val="0"/>
          <w:caps w:val="0"/>
          <w:color w:val="auto"/>
          <w:spacing w:val="0"/>
          <w:sz w:val="28"/>
          <w:szCs w:val="28"/>
          <w:highlight w:val="none"/>
          <w:u w:val="none"/>
          <w:shd w:val="clear" w:color="auto" w:fill="FFFFFF"/>
          <w:vertAlign w:val="baseline"/>
        </w:rPr>
        <w:t>各地区、各部门应当加强组织领导，明确工作责任，细化执行要求，强化监督检查，确保国务院部署落实到位，对通知执行中出现的问题要及时向财政部报告。</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本通知自2022年7月1日起执行。</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财 政 部</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i w:val="0"/>
          <w:iCs w:val="0"/>
          <w:caps w:val="0"/>
          <w:color w:val="auto"/>
          <w:spacing w:val="0"/>
          <w:sz w:val="28"/>
          <w:szCs w:val="28"/>
          <w:highlight w:val="none"/>
          <w:u w:val="none"/>
          <w:shd w:val="clear" w:color="auto" w:fill="FFFFFF"/>
          <w:vertAlign w:val="baseli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2022年5月30日</w:t>
      </w:r>
    </w:p>
    <w:p>
      <w:pPr>
        <w:rPr>
          <w:rFonts w:hint="eastAsia" w:ascii="仿宋" w:hAnsi="仿宋" w:eastAsia="仿宋" w:cs="仿宋"/>
          <w:i w:val="0"/>
          <w:iCs w:val="0"/>
          <w:caps w:val="0"/>
          <w:color w:val="auto"/>
          <w:spacing w:val="0"/>
          <w:sz w:val="28"/>
          <w:szCs w:val="28"/>
          <w:highlight w:val="none"/>
          <w:u w:val="none"/>
          <w:shd w:val="clear" w:color="auto" w:fill="FFFFFF"/>
          <w:vertAlign w:val="baseli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val="en-US" w:eastAsia="zh-CN"/>
        </w:rPr>
      </w:pPr>
      <w:bookmarkStart w:id="181" w:name="_Toc19062"/>
      <w:r>
        <w:rPr>
          <w:rFonts w:hint="eastAsia" w:ascii="仿宋" w:hAnsi="仿宋" w:eastAsia="仿宋" w:cs="仿宋"/>
          <w:snapToGrid w:val="0"/>
          <w:color w:val="auto"/>
          <w:spacing w:val="-9"/>
          <w:kern w:val="0"/>
          <w:sz w:val="28"/>
          <w:szCs w:val="28"/>
          <w:highlight w:val="none"/>
          <w:lang w:val="en-US" w:eastAsia="zh-CN"/>
        </w:rPr>
        <w:t>附件3：关于印发中小企业划型标准规定的通知</w:t>
      </w:r>
      <w:bookmarkEnd w:id="181"/>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336" w:lineRule="atLeast"/>
        <w:ind w:left="0" w:right="0" w:firstLine="0"/>
        <w:jc w:val="center"/>
        <w:textAlignment w:val="baseline"/>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t>关于印发中小企业划型标准规定的通知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hint="eastAsia" w:ascii="仿宋" w:hAnsi="仿宋" w:eastAsia="仿宋" w:cs="仿宋"/>
          <w:b w:val="0"/>
          <w:bCs w:val="0"/>
          <w:color w:val="auto"/>
          <w:sz w:val="28"/>
          <w:szCs w:val="28"/>
          <w:highlight w:val="none"/>
          <w:u w:val="none"/>
        </w:rPr>
      </w:pPr>
      <w:r>
        <w:rPr>
          <w:rFonts w:hint="eastAsia" w:ascii="仿宋" w:hAnsi="仿宋" w:eastAsia="仿宋" w:cs="仿宋"/>
          <w:b w:val="0"/>
          <w:bCs w:val="0"/>
          <w:i w:val="0"/>
          <w:iCs w:val="0"/>
          <w:caps w:val="0"/>
          <w:color w:val="auto"/>
          <w:spacing w:val="0"/>
          <w:sz w:val="28"/>
          <w:szCs w:val="28"/>
          <w:highlight w:val="none"/>
          <w:u w:val="none"/>
          <w:shd w:val="clear" w:color="auto" w:fill="FFFFFF"/>
          <w:vertAlign w:val="baseline"/>
        </w:rPr>
        <w:t>工信部联企业〔2011〕300号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各省、自治区、直辖市人民政府，国务院各部委、各直属机构及有关单位：</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工业和信息化部</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国家统计局</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国家发展和改革委员会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财政部</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二○一一年六月十八日</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eastAsia" w:ascii="仿宋" w:hAnsi="仿宋" w:eastAsia="仿宋" w:cs="仿宋"/>
          <w:color w:val="auto"/>
          <w:sz w:val="28"/>
          <w:szCs w:val="28"/>
          <w:highlight w:val="none"/>
        </w:rPr>
      </w:pPr>
      <w:r>
        <w:rPr>
          <w:rStyle w:val="35"/>
          <w:rFonts w:hint="eastAsia" w:ascii="仿宋" w:hAnsi="仿宋" w:eastAsia="仿宋" w:cs="仿宋"/>
          <w:i w:val="0"/>
          <w:iCs w:val="0"/>
          <w:caps w:val="0"/>
          <w:color w:val="auto"/>
          <w:spacing w:val="0"/>
          <w:sz w:val="28"/>
          <w:szCs w:val="28"/>
          <w:highlight w:val="none"/>
          <w:u w:val="none"/>
          <w:shd w:val="clear" w:color="auto" w:fill="FFFFFF"/>
          <w:vertAlign w:val="baseline"/>
        </w:rPr>
        <w:t>中小企业划型标准规定</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一、根据《中华人民共和国中小企业促进法》和《国务院关于进一步促进中小企业发展的若干意见》(国发〔2009〕36号)，制定本规定。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二、中小企业划分为中型、小型、微型三种类型，具体标准根据企业从业人员、营业收入、资产总额等指标，结合行业特点制定。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四、各行业划型标准为：</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五、企业类型的划分以统计部门的统计数据为依据。</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六、本规定适用于在中华人民共和国境内依法设立的各类所有制和各种组织形式的企业。个体工商户和本规定以外的行业，参照本规定进行划型。</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八、本规定由工业和信息化部、国家统计局会同有关部门根据《国民经济行业分类》修订情况和企业发展变化情况适时修订。</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九、本规定由工业和信息化部、国家统计局会同有关部门负责解释。</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十、本规定自发布之日起执行，原国家经贸委、原国家计委、财政部和国家统计局2003年颁布的《中小企业标准暂行规定》同时废止。</w:t>
      </w:r>
    </w:p>
    <w:p>
      <w:pPr>
        <w:pStyle w:val="11"/>
        <w:rPr>
          <w:rFonts w:hint="eastAsia" w:ascii="仿宋" w:hAnsi="仿宋" w:eastAsia="仿宋" w:cs="仿宋"/>
          <w:color w:val="auto"/>
          <w:sz w:val="28"/>
          <w:szCs w:val="28"/>
          <w:highlight w:val="none"/>
          <w:lang w:eastAsia="en-US"/>
        </w:rPr>
      </w:pPr>
    </w:p>
    <w:p>
      <w:pPr>
        <w:pStyle w:val="11"/>
        <w:rPr>
          <w:rFonts w:hint="eastAsia" w:ascii="仿宋" w:hAnsi="仿宋" w:eastAsia="仿宋" w:cs="仿宋"/>
          <w:color w:val="auto"/>
          <w:sz w:val="28"/>
          <w:szCs w:val="28"/>
          <w:highlight w:val="none"/>
          <w:lang w:val="en-US" w:eastAsia="zh-CN"/>
        </w:rPr>
      </w:pPr>
    </w:p>
    <w:sectPr>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8Qp7SAQAAnw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cpUs6gNWdPM+3MGUIYVJ79CCTV9SwoZs6/lqqxoik7S5XK/W6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87xCntIBAACfAwAADgAAAAAAAAABACAAAAAfAQAA&#10;ZHJzL2Uyb0RvYy54bWxQSwUGAAAAAAYABgBZAQAAY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Fj9/BXQAQAAnAMAAA4AAAAAAAAAAQAgAAAAHwEAAGRy&#10;cy9lMm9Eb2MueG1sUEsFBgAAAAAGAAYAWQEAAGE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7" w:lineRule="auto"/>
      <w:ind w:left="4129"/>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59264" behindDoc="0" locked="0" layoutInCell="1" allowOverlap="1">
              <wp:simplePos x="0" y="0"/>
              <wp:positionH relativeFrom="margin">
                <wp:posOffset>2609215</wp:posOffset>
              </wp:positionH>
              <wp:positionV relativeFrom="paragraph">
                <wp:posOffset>116205</wp:posOffset>
              </wp:positionV>
              <wp:extent cx="231775" cy="261620"/>
              <wp:effectExtent l="0" t="0" r="0" b="0"/>
              <wp:wrapNone/>
              <wp:docPr id="4100" name="文本框 14"/>
              <wp:cNvGraphicFramePr/>
              <a:graphic xmlns:a="http://schemas.openxmlformats.org/drawingml/2006/main">
                <a:graphicData uri="http://schemas.microsoft.com/office/word/2010/wordprocessingShape">
                  <wps:wsp>
                    <wps:cNvSpPr/>
                    <wps:spPr>
                      <a:xfrm>
                        <a:off x="0" y="0"/>
                        <a:ext cx="231774" cy="261620"/>
                      </a:xfrm>
                      <a:prstGeom prst="rect">
                        <a:avLst/>
                      </a:prstGeom>
                      <a:ln>
                        <a:noFill/>
                      </a:ln>
                    </wps:spPr>
                    <wps:txbx>
                      <w:txbxContent>
                        <w:p>
                          <w:pPr>
                            <w:pStyle w:val="16"/>
                          </w:pPr>
                          <w:r>
                            <w:fldChar w:fldCharType="begin"/>
                          </w:r>
                          <w:r>
                            <w:instrText xml:space="preserve"> PAGE  \* MERGEFORMAT </w:instrText>
                          </w:r>
                          <w:r>
                            <w:fldChar w:fldCharType="separate"/>
                          </w:r>
                          <w:r>
                            <w:t>78</w:t>
                          </w:r>
                          <w:r>
                            <w:fldChar w:fldCharType="end"/>
                          </w:r>
                        </w:p>
                      </w:txbxContent>
                    </wps:txbx>
                    <wps:bodyPr vert="horz" wrap="square" lIns="0" tIns="0" rIns="0" bIns="0" anchor="t" upright="0">
                      <a:noAutofit/>
                    </wps:bodyPr>
                  </wps:wsp>
                </a:graphicData>
              </a:graphic>
            </wp:anchor>
          </w:drawing>
        </mc:Choice>
        <mc:Fallback>
          <w:pict>
            <v:rect id="文本框 14" o:spid="_x0000_s1026" o:spt="1" style="position:absolute;left:0pt;margin-left:205.45pt;margin-top:9.15pt;height:20.6pt;width:18.25pt;mso-position-horizontal-relative:margin;z-index:251659264;mso-width-relative:page;mso-height-relative:page;" filled="f" stroked="f" coordsize="21600,21600" o:gfxdata="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6NndoAAAAJAQAADwAAAAAA&#10;AAABACAAAAAiAAAAZHJzL2Rvd25yZXYueG1sUEsBAhQAFAAAAAgAh07iQBLXRy7YAQAAnwMAAA4A&#10;AAAAAAAAAQAgAAAAKQEAAGRycy9lMm9Eb2MueG1sUEsFBgAAAAAGAAYAWQEAAHMFAAAAAA==&#10;">
              <v:fill on="f" focussize="0,0"/>
              <v:stroke on="f"/>
              <v:imagedata o:title=""/>
              <o:lock v:ext="edit" aspectratio="f"/>
              <v:textbox inset="0mm,0mm,0mm,0mm">
                <w:txbxContent>
                  <w:p>
                    <w:pPr>
                      <w:pStyle w:val="16"/>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59264" behindDoc="0" locked="0" layoutInCell="1" allowOverlap="1">
              <wp:simplePos x="0" y="0"/>
              <wp:positionH relativeFrom="margin">
                <wp:posOffset>2546350</wp:posOffset>
              </wp:positionH>
              <wp:positionV relativeFrom="paragraph">
                <wp:posOffset>137795</wp:posOffset>
              </wp:positionV>
              <wp:extent cx="1828800" cy="1828800"/>
              <wp:effectExtent l="0" t="0" r="0" b="0"/>
              <wp:wrapNone/>
              <wp:docPr id="410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fldChar w:fldCharType="begin"/>
                          </w:r>
                          <w:r>
                            <w:instrText xml:space="preserve"> PAGE  \* MERGEFORMAT </w:instrText>
                          </w:r>
                          <w:r>
                            <w:fldChar w:fldCharType="separate"/>
                          </w:r>
                          <w:r>
                            <w:t>98</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left:200.5pt;margin-top:10.85pt;height:144pt;width:144pt;mso-position-horizontal-relative:margin;mso-wrap-style:none;z-index:251659264;mso-width-relative:page;mso-height-relative:page;" filled="f" stroked="f" coordsize="21600,21600" o:gfxdata="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DB3ldcAAAAKAQAADwAAAAAAAAABACAAAAAi&#10;AAAAZHJzL2Rvd25yZXYueG1sUEsBAhQAFAAAAAgAh07iQJteEz/SAQAAnwMAAA4AAAAAAAAAAQAg&#10;AAAAJgEAAGRycy9lMm9Eb2MueG1sUEsFBgAAAAAGAAYAWQEAAGo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98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fldChar w:fldCharType="begin"/>
                          </w:r>
                          <w:r>
                            <w:instrText xml:space="preserve"> PAGE  \* MERGEFORMAT </w:instrText>
                          </w:r>
                          <w:r>
                            <w:fldChar w:fldCharType="separate"/>
                          </w:r>
                          <w:r>
                            <w:t>99</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gzDL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qXnDlh6c0vP39cfv25&#10;/P7Oqp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AgzDLTAQAAnwMAAA4AAAAAAAAAAQAgAAAAHwEA&#10;AGRycy9lMm9Eb2MueG1sUEsFBgAAAAAGAAYAWQEAAGQ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99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Style w:val="43"/>
        <w:rFonts w:hint="eastAsia"/>
        <w:sz w:val="24"/>
      </w:rPr>
      <w:t xml:space="preserve">  </w:t>
    </w:r>
    <w:r>
      <w:rPr>
        <w:rStyle w:val="43"/>
        <w:sz w:val="24"/>
      </w:rPr>
      <w:drawing>
        <wp:inline distT="0" distB="0" distL="0" distR="0">
          <wp:extent cx="374015" cy="375920"/>
          <wp:effectExtent l="0" t="0" r="6985" b="5080"/>
          <wp:docPr id="4097"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4097"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3"/>
        <w:rFonts w:hint="eastAsia"/>
        <w:sz w:val="24"/>
      </w:rPr>
      <w:t xml:space="preserve">                                新疆拓源工程管理咨询有限公司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Style w:val="43"/>
        <w:rFonts w:hint="eastAsia"/>
        <w:sz w:val="24"/>
      </w:rPr>
      <w:t xml:space="preserve">  </w:t>
    </w:r>
    <w:r>
      <w:rPr>
        <w:rStyle w:val="43"/>
        <w:sz w:val="24"/>
      </w:rPr>
      <w:drawing>
        <wp:inline distT="0" distB="0" distL="0" distR="0">
          <wp:extent cx="374015" cy="375920"/>
          <wp:effectExtent l="0" t="0" r="6985" b="5080"/>
          <wp:docPr id="1"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1"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3"/>
        <w:rFonts w:hint="eastAsia"/>
        <w:sz w:val="24"/>
      </w:rPr>
      <w:t xml:space="preserve">                                新疆拓源工程管理咨询有限公司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r>
      <w:rPr>
        <w:rStyle w:val="43"/>
        <w:rFonts w:hint="eastAsia"/>
        <w:sz w:val="24"/>
        <w:szCs w:val="24"/>
      </w:rPr>
      <w:t xml:space="preserve">  </w:t>
    </w:r>
    <w:r>
      <w:rPr>
        <w:rStyle w:val="43"/>
        <w:sz w:val="24"/>
        <w:szCs w:val="24"/>
      </w:rPr>
      <w:drawing>
        <wp:inline distT="0" distB="0" distL="0" distR="0">
          <wp:extent cx="374015" cy="375920"/>
          <wp:effectExtent l="0" t="0" r="6985" b="5080"/>
          <wp:docPr id="4099"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4099"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3"/>
        <w:rFonts w:hint="eastAsia"/>
        <w:sz w:val="24"/>
        <w:szCs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4A20D"/>
    <w:multiLevelType w:val="singleLevel"/>
    <w:tmpl w:val="AE14A20D"/>
    <w:lvl w:ilvl="0" w:tentative="0">
      <w:start w:val="1"/>
      <w:numFmt w:val="decimal"/>
      <w:suff w:val="space"/>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211BA17"/>
    <w:multiLevelType w:val="singleLevel"/>
    <w:tmpl w:val="C211BA17"/>
    <w:lvl w:ilvl="0" w:tentative="0">
      <w:start w:val="14"/>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0"/>
    <w:multiLevelType w:val="singleLevel"/>
    <w:tmpl w:val="00000000"/>
    <w:lvl w:ilvl="0" w:tentative="0">
      <w:start w:val="7"/>
      <w:numFmt w:val="chineseCounting"/>
      <w:suff w:val="nothing"/>
      <w:lvlText w:val="%1、"/>
      <w:lvlJc w:val="left"/>
      <w:rPr>
        <w:rFonts w:hint="eastAsia"/>
      </w:rPr>
    </w:lvl>
  </w:abstractNum>
  <w:abstractNum w:abstractNumId="9">
    <w:nsid w:val="00000003"/>
    <w:multiLevelType w:val="multilevel"/>
    <w:tmpl w:val="00000003"/>
    <w:lvl w:ilvl="0" w:tentative="0">
      <w:start w:val="1"/>
      <w:numFmt w:val="decimal"/>
      <w:suff w:val="nothing"/>
      <w:lvlText w:val="（%1）"/>
      <w:lvlJc w:val="left"/>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1561"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00000004"/>
    <w:multiLevelType w:val="multilevel"/>
    <w:tmpl w:val="0000000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6"/>
    <w:multiLevelType w:val="multilevel"/>
    <w:tmpl w:val="00000006"/>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2">
    <w:nsid w:val="00000009"/>
    <w:multiLevelType w:val="multilevel"/>
    <w:tmpl w:val="000000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0000000A"/>
    <w:multiLevelType w:val="multilevel"/>
    <w:tmpl w:val="0000000A"/>
    <w:lvl w:ilvl="0" w:tentative="0">
      <w:start w:val="1"/>
      <w:numFmt w:val="decimal"/>
      <w:suff w:val="nothing"/>
      <w:lvlText w:val="%1、"/>
      <w:lvlJc w:val="left"/>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4">
    <w:nsid w:val="0000000B"/>
    <w:multiLevelType w:val="multilevel"/>
    <w:tmpl w:val="0000000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0000000C"/>
    <w:multiLevelType w:val="multilevel"/>
    <w:tmpl w:val="0000000C"/>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704" w:firstLine="0"/>
      </w:pPr>
      <w:rPr>
        <w:rFonts w:hint="eastAsia"/>
        <w:spacing w:val="0"/>
        <w:w w:val="100"/>
        <w:kern w:val="21"/>
        <w:position w:val="0"/>
      </w:rPr>
    </w:lvl>
    <w:lvl w:ilvl="2" w:tentative="0">
      <w:start w:val="1"/>
      <w:numFmt w:val="decimal"/>
      <w:pStyle w:val="5"/>
      <w:isLgl/>
      <w:suff w:val="space"/>
      <w:lvlText w:val="%1.%2.%3"/>
      <w:lvlJc w:val="left"/>
      <w:pPr>
        <w:ind w:left="2410"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16">
    <w:nsid w:val="0000000D"/>
    <w:multiLevelType w:val="multilevel"/>
    <w:tmpl w:val="0000000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0000000F"/>
    <w:multiLevelType w:val="singleLevel"/>
    <w:tmpl w:val="0000000F"/>
    <w:lvl w:ilvl="0" w:tentative="0">
      <w:start w:val="1"/>
      <w:numFmt w:val="decimal"/>
      <w:lvlText w:val="(%1)"/>
      <w:lvlJc w:val="left"/>
      <w:pPr>
        <w:ind w:left="425" w:hanging="425"/>
      </w:pPr>
      <w:rPr>
        <w:rFonts w:hint="default"/>
      </w:rPr>
    </w:lvl>
  </w:abstractNum>
  <w:abstractNum w:abstractNumId="18">
    <w:nsid w:val="00000010"/>
    <w:multiLevelType w:val="multilevel"/>
    <w:tmpl w:val="00000010"/>
    <w:lvl w:ilvl="0" w:tentative="0">
      <w:start w:val="1"/>
      <w:numFmt w:val="decimal"/>
      <w:lvlText w:val="%1、"/>
      <w:lvlJc w:val="left"/>
      <w:pPr>
        <w:tabs>
          <w:tab w:val="left" w:pos="740"/>
        </w:tabs>
        <w:ind w:left="1081" w:hanging="1081"/>
      </w:pPr>
      <w:rPr>
        <w:rFonts w:hint="default"/>
      </w:rPr>
    </w:lvl>
    <w:lvl w:ilvl="1" w:tentative="0">
      <w:start w:val="1"/>
      <w:numFmt w:val="decimal"/>
      <w:pStyle w:val="101"/>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2"/>
    <w:multiLevelType w:val="singleLevel"/>
    <w:tmpl w:val="00000012"/>
    <w:lvl w:ilvl="0" w:tentative="0">
      <w:start w:val="1"/>
      <w:numFmt w:val="decimal"/>
      <w:suff w:val="nothing"/>
      <w:lvlText w:val="%1、"/>
      <w:lvlJc w:val="left"/>
    </w:lvl>
  </w:abstractNum>
  <w:abstractNum w:abstractNumId="20">
    <w:nsid w:val="00000015"/>
    <w:multiLevelType w:val="singleLevel"/>
    <w:tmpl w:val="00000015"/>
    <w:lvl w:ilvl="0" w:tentative="0">
      <w:start w:val="18"/>
      <w:numFmt w:val="decimal"/>
      <w:lvlText w:val="%1."/>
      <w:lvlJc w:val="left"/>
    </w:lvl>
  </w:abstractNum>
  <w:abstractNum w:abstractNumId="21">
    <w:nsid w:val="0053208E"/>
    <w:multiLevelType w:val="multilevel"/>
    <w:tmpl w:val="00532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2978C6"/>
    <w:multiLevelType w:val="singleLevel"/>
    <w:tmpl w:val="0E2978C6"/>
    <w:lvl w:ilvl="0" w:tentative="0">
      <w:start w:val="5"/>
      <w:numFmt w:val="decimal"/>
      <w:suff w:val="space"/>
      <w:lvlText w:val="%1."/>
      <w:lvlJc w:val="left"/>
    </w:lvl>
  </w:abstractNum>
  <w:abstractNum w:abstractNumId="23">
    <w:nsid w:val="28335834"/>
    <w:multiLevelType w:val="multilevel"/>
    <w:tmpl w:val="2833583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5AB927B2"/>
    <w:multiLevelType w:val="multilevel"/>
    <w:tmpl w:val="5AB927B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A0F6431"/>
    <w:multiLevelType w:val="singleLevel"/>
    <w:tmpl w:val="7A0F6431"/>
    <w:lvl w:ilvl="0" w:tentative="0">
      <w:start w:val="1"/>
      <w:numFmt w:val="decimal"/>
      <w:suff w:val="space"/>
      <w:lvlText w:val="%1."/>
      <w:lvlJc w:val="left"/>
    </w:lvl>
  </w:abstractNum>
  <w:num w:numId="1">
    <w:abstractNumId w:val="15"/>
  </w:num>
  <w:num w:numId="2">
    <w:abstractNumId w:val="11"/>
  </w:num>
  <w:num w:numId="3">
    <w:abstractNumId w:val="18"/>
  </w:num>
  <w:num w:numId="4">
    <w:abstractNumId w:val="17"/>
  </w:num>
  <w:num w:numId="5">
    <w:abstractNumId w:val="9"/>
  </w:num>
  <w:num w:numId="6">
    <w:abstractNumId w:val="20"/>
  </w:num>
  <w:num w:numId="7">
    <w:abstractNumId w:val="19"/>
  </w:num>
  <w:num w:numId="8">
    <w:abstractNumId w:val="8"/>
  </w:num>
  <w:num w:numId="9">
    <w:abstractNumId w:val="10"/>
  </w:num>
  <w:num w:numId="10">
    <w:abstractNumId w:val="13"/>
  </w:num>
  <w:num w:numId="11">
    <w:abstractNumId w:val="0"/>
  </w:num>
  <w:num w:numId="12">
    <w:abstractNumId w:val="23"/>
  </w:num>
  <w:num w:numId="13">
    <w:abstractNumId w:val="12"/>
  </w:num>
  <w:num w:numId="14">
    <w:abstractNumId w:val="14"/>
  </w:num>
  <w:num w:numId="15">
    <w:abstractNumId w:val="21"/>
  </w:num>
  <w:num w:numId="16">
    <w:abstractNumId w:val="16"/>
  </w:num>
  <w:num w:numId="17">
    <w:abstractNumId w:val="2"/>
  </w:num>
  <w:num w:numId="18">
    <w:abstractNumId w:val="24"/>
  </w:num>
  <w:num w:numId="19">
    <w:abstractNumId w:val="22"/>
  </w:num>
  <w:num w:numId="20">
    <w:abstractNumId w:val="25"/>
  </w:num>
  <w:num w:numId="21">
    <w:abstractNumId w:val="3"/>
  </w:num>
  <w:num w:numId="22">
    <w:abstractNumId w:val="7"/>
  </w:num>
  <w:num w:numId="23">
    <w:abstractNumId w:val="5"/>
  </w:num>
  <w:num w:numId="24">
    <w:abstractNumId w:val="4"/>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WZlZTMxNGRhMzA3N2JkNjZhNTk4MzI1Nzk4ZDIifQ=="/>
    <w:docVar w:name="KSO_WPS_MARK_KEY" w:val="7f4dda96-5094-424a-97c2-1daf99f5beb2"/>
  </w:docVars>
  <w:rsids>
    <w:rsidRoot w:val="00000000"/>
    <w:rsid w:val="01D66B01"/>
    <w:rsid w:val="03196F07"/>
    <w:rsid w:val="0338372C"/>
    <w:rsid w:val="03A41333"/>
    <w:rsid w:val="04133416"/>
    <w:rsid w:val="043F131F"/>
    <w:rsid w:val="047A1C27"/>
    <w:rsid w:val="04BA7D51"/>
    <w:rsid w:val="06A53AB0"/>
    <w:rsid w:val="07145B0E"/>
    <w:rsid w:val="07411D23"/>
    <w:rsid w:val="07E32B39"/>
    <w:rsid w:val="07F73167"/>
    <w:rsid w:val="08294B5B"/>
    <w:rsid w:val="08A00D3E"/>
    <w:rsid w:val="091927F9"/>
    <w:rsid w:val="092B59D0"/>
    <w:rsid w:val="092E279E"/>
    <w:rsid w:val="095E209F"/>
    <w:rsid w:val="097A32EB"/>
    <w:rsid w:val="0A9D24B7"/>
    <w:rsid w:val="0BF751B0"/>
    <w:rsid w:val="0C0B3E50"/>
    <w:rsid w:val="0C752210"/>
    <w:rsid w:val="0D9E0D32"/>
    <w:rsid w:val="0D9E641E"/>
    <w:rsid w:val="0DB618D1"/>
    <w:rsid w:val="0ED71555"/>
    <w:rsid w:val="0F1420E1"/>
    <w:rsid w:val="0F5C32C3"/>
    <w:rsid w:val="0FC15B45"/>
    <w:rsid w:val="0FC44115"/>
    <w:rsid w:val="123208A2"/>
    <w:rsid w:val="126B242E"/>
    <w:rsid w:val="13A10592"/>
    <w:rsid w:val="14142668"/>
    <w:rsid w:val="157079BA"/>
    <w:rsid w:val="16A7470C"/>
    <w:rsid w:val="17100C34"/>
    <w:rsid w:val="17153370"/>
    <w:rsid w:val="17D94124"/>
    <w:rsid w:val="181C089E"/>
    <w:rsid w:val="18A6763E"/>
    <w:rsid w:val="18CB43A7"/>
    <w:rsid w:val="190D7E26"/>
    <w:rsid w:val="19412BFE"/>
    <w:rsid w:val="19513CCA"/>
    <w:rsid w:val="19FD18AF"/>
    <w:rsid w:val="1A3022CF"/>
    <w:rsid w:val="1AAD4BCB"/>
    <w:rsid w:val="1AEE033B"/>
    <w:rsid w:val="1CB10E7F"/>
    <w:rsid w:val="1D1D23DC"/>
    <w:rsid w:val="1EE461C3"/>
    <w:rsid w:val="1FD0232F"/>
    <w:rsid w:val="20677C6C"/>
    <w:rsid w:val="20874C13"/>
    <w:rsid w:val="21F96814"/>
    <w:rsid w:val="2266474F"/>
    <w:rsid w:val="22A93E72"/>
    <w:rsid w:val="22FC7E91"/>
    <w:rsid w:val="23411E36"/>
    <w:rsid w:val="23FA17BD"/>
    <w:rsid w:val="24F21544"/>
    <w:rsid w:val="26430DD2"/>
    <w:rsid w:val="26514E7D"/>
    <w:rsid w:val="265F4BE0"/>
    <w:rsid w:val="26D675CB"/>
    <w:rsid w:val="26F742AF"/>
    <w:rsid w:val="27663BDC"/>
    <w:rsid w:val="28752EF6"/>
    <w:rsid w:val="2882122F"/>
    <w:rsid w:val="2B4875EE"/>
    <w:rsid w:val="2C1E33D9"/>
    <w:rsid w:val="2C3E3247"/>
    <w:rsid w:val="2CCE0B84"/>
    <w:rsid w:val="2E8D7D76"/>
    <w:rsid w:val="30121A9A"/>
    <w:rsid w:val="301D09D9"/>
    <w:rsid w:val="30AE084E"/>
    <w:rsid w:val="30DF3FFF"/>
    <w:rsid w:val="319F6100"/>
    <w:rsid w:val="31D114A6"/>
    <w:rsid w:val="32186458"/>
    <w:rsid w:val="332202AE"/>
    <w:rsid w:val="3339387A"/>
    <w:rsid w:val="3496630F"/>
    <w:rsid w:val="349D3815"/>
    <w:rsid w:val="35095565"/>
    <w:rsid w:val="355D555F"/>
    <w:rsid w:val="35CA19F8"/>
    <w:rsid w:val="36A87E6A"/>
    <w:rsid w:val="36BF7BB4"/>
    <w:rsid w:val="37BA58BB"/>
    <w:rsid w:val="3832528F"/>
    <w:rsid w:val="38A07506"/>
    <w:rsid w:val="396D5AC3"/>
    <w:rsid w:val="39C550E6"/>
    <w:rsid w:val="3A91201A"/>
    <w:rsid w:val="3BA503F2"/>
    <w:rsid w:val="3CBF4BC3"/>
    <w:rsid w:val="3CE81A7C"/>
    <w:rsid w:val="3D445B93"/>
    <w:rsid w:val="3D961290"/>
    <w:rsid w:val="3D9D4A23"/>
    <w:rsid w:val="3FA77753"/>
    <w:rsid w:val="3FC671F3"/>
    <w:rsid w:val="401F0014"/>
    <w:rsid w:val="41B076E0"/>
    <w:rsid w:val="420D0EED"/>
    <w:rsid w:val="431E0717"/>
    <w:rsid w:val="43672C44"/>
    <w:rsid w:val="438660D8"/>
    <w:rsid w:val="4508359E"/>
    <w:rsid w:val="45322F35"/>
    <w:rsid w:val="45940A84"/>
    <w:rsid w:val="45DE2A82"/>
    <w:rsid w:val="45FA10AE"/>
    <w:rsid w:val="47C4377F"/>
    <w:rsid w:val="47CF301F"/>
    <w:rsid w:val="493B436E"/>
    <w:rsid w:val="4A3F7AC2"/>
    <w:rsid w:val="4B312C5F"/>
    <w:rsid w:val="4C2018C1"/>
    <w:rsid w:val="4CDC2B70"/>
    <w:rsid w:val="4CF22F6C"/>
    <w:rsid w:val="4D5D2E7B"/>
    <w:rsid w:val="4D9D06DE"/>
    <w:rsid w:val="4E957A66"/>
    <w:rsid w:val="4ED36436"/>
    <w:rsid w:val="4F6F4400"/>
    <w:rsid w:val="4FC450D1"/>
    <w:rsid w:val="4FEF7931"/>
    <w:rsid w:val="504804B7"/>
    <w:rsid w:val="50B22EF2"/>
    <w:rsid w:val="51110FA5"/>
    <w:rsid w:val="513533EB"/>
    <w:rsid w:val="51A77DFB"/>
    <w:rsid w:val="52B254B0"/>
    <w:rsid w:val="53093F86"/>
    <w:rsid w:val="5457656B"/>
    <w:rsid w:val="551F0267"/>
    <w:rsid w:val="55335A9C"/>
    <w:rsid w:val="55675003"/>
    <w:rsid w:val="55E737FF"/>
    <w:rsid w:val="55FB6939"/>
    <w:rsid w:val="566C263F"/>
    <w:rsid w:val="56D06BB2"/>
    <w:rsid w:val="56FB7F75"/>
    <w:rsid w:val="575D490D"/>
    <w:rsid w:val="59B853BE"/>
    <w:rsid w:val="5B615ECA"/>
    <w:rsid w:val="5BC24244"/>
    <w:rsid w:val="5CC95F93"/>
    <w:rsid w:val="5CD53362"/>
    <w:rsid w:val="5E2A3ED5"/>
    <w:rsid w:val="5E4951BD"/>
    <w:rsid w:val="5E9B1E6D"/>
    <w:rsid w:val="5F0F1ED5"/>
    <w:rsid w:val="5F9230A8"/>
    <w:rsid w:val="60043270"/>
    <w:rsid w:val="60762418"/>
    <w:rsid w:val="613D43B1"/>
    <w:rsid w:val="634D3C76"/>
    <w:rsid w:val="63AD6150"/>
    <w:rsid w:val="63E64090"/>
    <w:rsid w:val="64777EE0"/>
    <w:rsid w:val="650D74DA"/>
    <w:rsid w:val="6523433B"/>
    <w:rsid w:val="653D252F"/>
    <w:rsid w:val="656528E3"/>
    <w:rsid w:val="65C27DEC"/>
    <w:rsid w:val="663552DB"/>
    <w:rsid w:val="66751F24"/>
    <w:rsid w:val="66BE49B2"/>
    <w:rsid w:val="692C4A1B"/>
    <w:rsid w:val="693E784B"/>
    <w:rsid w:val="6A131496"/>
    <w:rsid w:val="6A6B7F7D"/>
    <w:rsid w:val="6ACF65B7"/>
    <w:rsid w:val="6B083D29"/>
    <w:rsid w:val="6B344DF0"/>
    <w:rsid w:val="6C6F39F5"/>
    <w:rsid w:val="6D2F00AE"/>
    <w:rsid w:val="6D4D4500"/>
    <w:rsid w:val="6D8C67E8"/>
    <w:rsid w:val="6E93082B"/>
    <w:rsid w:val="6F432FB1"/>
    <w:rsid w:val="705A24C7"/>
    <w:rsid w:val="70D311C0"/>
    <w:rsid w:val="71083F82"/>
    <w:rsid w:val="71992506"/>
    <w:rsid w:val="71C07E31"/>
    <w:rsid w:val="720A13D4"/>
    <w:rsid w:val="72892FBD"/>
    <w:rsid w:val="72A33206"/>
    <w:rsid w:val="734A7C48"/>
    <w:rsid w:val="741E320F"/>
    <w:rsid w:val="74242CF8"/>
    <w:rsid w:val="74845699"/>
    <w:rsid w:val="7711659E"/>
    <w:rsid w:val="776963DA"/>
    <w:rsid w:val="784F3EEE"/>
    <w:rsid w:val="78D443E2"/>
    <w:rsid w:val="79B46312"/>
    <w:rsid w:val="7C3945CD"/>
    <w:rsid w:val="7C732BC9"/>
    <w:rsid w:val="7E3F256B"/>
    <w:rsid w:val="7EE94821"/>
    <w:rsid w:val="7EF66C5B"/>
    <w:rsid w:val="7F406FE6"/>
    <w:rsid w:val="7F8B38CC"/>
    <w:rsid w:val="7FC63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1"/>
    <w:qFormat/>
    <w:uiPriority w:val="0"/>
    <w:pPr>
      <w:numPr>
        <w:ilvl w:val="2"/>
        <w:numId w:val="1"/>
      </w:numPr>
      <w:snapToGrid w:val="0"/>
      <w:ind w:left="567"/>
      <w:outlineLvl w:val="2"/>
    </w:pPr>
    <w:rPr>
      <w:rFonts w:ascii="微软雅黑" w:hAnsi="微软雅黑" w:eastAsia="微软雅黑" w:cs="Times New Roman"/>
      <w:bCs/>
      <w:kern w:val="2"/>
      <w:sz w:val="21"/>
      <w:szCs w:val="32"/>
      <w:lang w:val="en-US" w:eastAsia="zh-CN" w:bidi="ar-SA"/>
    </w:rPr>
  </w:style>
  <w:style w:type="paragraph" w:styleId="6">
    <w:name w:val="heading 4"/>
    <w:basedOn w:val="1"/>
    <w:next w:val="1"/>
    <w:qFormat/>
    <w:uiPriority w:val="0"/>
    <w:pPr>
      <w:keepNext/>
      <w:keepLines/>
      <w:numPr>
        <w:ilvl w:val="3"/>
        <w:numId w:val="2"/>
      </w:numPr>
      <w:spacing w:before="280" w:after="290" w:line="372" w:lineRule="auto"/>
      <w:outlineLvl w:val="3"/>
    </w:pPr>
    <w:rPr>
      <w:rFonts w:ascii="Arial" w:hAnsi="Arial" w:eastAsia="黑体"/>
      <w:b/>
      <w:sz w:val="28"/>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qFormat/>
    <w:uiPriority w:val="0"/>
    <w:pPr>
      <w:ind w:firstLine="420" w:firstLineChars="200"/>
    </w:pPr>
  </w:style>
  <w:style w:type="paragraph" w:styleId="8">
    <w:name w:val="caption"/>
    <w:basedOn w:val="1"/>
    <w:next w:val="1"/>
    <w:autoRedefine/>
    <w:qFormat/>
    <w:uiPriority w:val="0"/>
    <w:rPr>
      <w:rFonts w:ascii="Arial" w:hAnsi="Arial" w:eastAsia="黑体" w:cs="Arial"/>
      <w:sz w:val="20"/>
      <w:szCs w:val="20"/>
    </w:r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link w:val="96"/>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ind w:firstLine="630"/>
    </w:pPr>
    <w:rPr>
      <w:sz w:val="32"/>
      <w:szCs w:val="20"/>
    </w:rPr>
  </w:style>
  <w:style w:type="paragraph" w:styleId="13">
    <w:name w:val="Plain Text"/>
    <w:basedOn w:val="1"/>
    <w:qFormat/>
    <w:uiPriority w:val="0"/>
    <w:rPr>
      <w:rFonts w:ascii="宋体" w:hAnsi="Courier New"/>
      <w:szCs w:val="20"/>
    </w:r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link w:val="95"/>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envelope return"/>
    <w:basedOn w:val="1"/>
    <w:qFormat/>
    <w:uiPriority w:val="99"/>
    <w:pPr>
      <w:snapToGrid w:val="0"/>
    </w:pPr>
    <w:rPr>
      <w:rFonts w:ascii="Arial" w:hAnsi="Arial" w:cs="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pPr>
      <w:spacing w:line="480" w:lineRule="auto"/>
    </w:pPr>
    <w:rPr>
      <w:rFonts w:ascii="Times New Roman" w:hAnsi="Times New Roman"/>
      <w:sz w:val="30"/>
    </w:rPr>
  </w:style>
  <w:style w:type="paragraph" w:styleId="20">
    <w:name w:val="toc 4"/>
    <w:basedOn w:val="1"/>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21">
    <w:name w:val="index heading"/>
    <w:basedOn w:val="1"/>
    <w:next w:val="22"/>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2">
    <w:name w:val="index 1"/>
    <w:basedOn w:val="1"/>
    <w:next w:val="1"/>
    <w:autoRedefine/>
    <w:qFormat/>
    <w:uiPriority w:val="0"/>
  </w:style>
  <w:style w:type="paragraph" w:styleId="23">
    <w:name w:val="footnote text"/>
    <w:basedOn w:val="1"/>
    <w:autoRedefine/>
    <w:semiHidden/>
    <w:qFormat/>
    <w:uiPriority w:val="0"/>
    <w:pPr>
      <w:adjustRightInd w:val="0"/>
      <w:snapToGrid w:val="0"/>
      <w:jc w:val="left"/>
      <w:textAlignment w:val="baseline"/>
    </w:pPr>
    <w:rPr>
      <w:rFonts w:ascii="Times New Roman" w:hAnsi="Times New Roman"/>
      <w:sz w:val="18"/>
      <w:szCs w:val="20"/>
    </w:rPr>
  </w:style>
  <w:style w:type="paragraph" w:styleId="24">
    <w:name w:val="toc 6"/>
    <w:next w:val="1"/>
    <w:autoRedefine/>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5">
    <w:name w:val="List 5"/>
    <w:basedOn w:val="1"/>
    <w:autoRedefine/>
    <w:qFormat/>
    <w:uiPriority w:val="0"/>
    <w:pPr>
      <w:ind w:left="2100" w:hanging="420"/>
    </w:pPr>
    <w:rPr>
      <w:rFonts w:eastAsia="楷体_GB2312"/>
      <w:sz w:val="32"/>
      <w:szCs w:val="20"/>
    </w:rPr>
  </w:style>
  <w:style w:type="paragraph" w:styleId="26">
    <w:name w:val="index 7"/>
    <w:basedOn w:val="1"/>
    <w:next w:val="1"/>
    <w:autoRedefine/>
    <w:qFormat/>
    <w:uiPriority w:val="0"/>
    <w:pPr>
      <w:autoSpaceDE/>
      <w:autoSpaceDN/>
      <w:adjustRightInd/>
      <w:ind w:left="1200" w:leftChars="1200"/>
    </w:pPr>
    <w:rPr>
      <w:color w:val="auto"/>
      <w:kern w:val="2"/>
      <w:szCs w:val="24"/>
    </w:rPr>
  </w:style>
  <w:style w:type="paragraph" w:styleId="27">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0"/>
    <w:next w:val="10"/>
    <w:link w:val="97"/>
    <w:qFormat/>
    <w:uiPriority w:val="0"/>
    <w:rPr>
      <w:b/>
      <w:bCs/>
    </w:rPr>
  </w:style>
  <w:style w:type="paragraph" w:styleId="30">
    <w:name w:val="Body Text First Indent"/>
    <w:basedOn w:val="11"/>
    <w:qFormat/>
    <w:uiPriority w:val="0"/>
    <w:pPr>
      <w:ind w:firstLine="420" w:firstLineChars="100"/>
    </w:pPr>
  </w:style>
  <w:style w:type="paragraph" w:styleId="31">
    <w:name w:val="Body Text First Indent 2"/>
    <w:basedOn w:val="12"/>
    <w:next w:val="1"/>
    <w:qFormat/>
    <w:uiPriority w:val="0"/>
    <w:pPr>
      <w:ind w:firstLine="42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Hyperlink"/>
    <w:basedOn w:val="34"/>
    <w:qFormat/>
    <w:uiPriority w:val="0"/>
    <w:rPr>
      <w:rFonts w:ascii="Times New Roman" w:hAnsi="Times New Roman" w:eastAsia="微软雅黑" w:cs="Times New Roman"/>
      <w:color w:val="0000FF"/>
      <w:u w:val="single"/>
    </w:rPr>
  </w:style>
  <w:style w:type="character" w:styleId="37">
    <w:name w:val="annotation reference"/>
    <w:basedOn w:val="34"/>
    <w:qFormat/>
    <w:uiPriority w:val="0"/>
    <w:rPr>
      <w:sz w:val="21"/>
      <w:szCs w:val="21"/>
    </w:rPr>
  </w:style>
  <w:style w:type="paragraph" w:customStyle="1" w:styleId="38">
    <w:name w:val="Default"/>
    <w:basedOn w:val="28"/>
    <w:next w:val="39"/>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9">
    <w:name w:val="大标题"/>
    <w:basedOn w:val="1"/>
    <w:next w:val="31"/>
    <w:qFormat/>
    <w:uiPriority w:val="0"/>
    <w:pPr>
      <w:jc w:val="center"/>
    </w:pPr>
    <w:rPr>
      <w:rFonts w:ascii="Arial" w:hAnsi="Arial" w:eastAsia="宋体" w:cs="Times New Roman"/>
      <w:b/>
      <w:sz w:val="28"/>
      <w:szCs w:val="24"/>
    </w:rPr>
  </w:style>
  <w:style w:type="paragraph" w:customStyle="1" w:styleId="40">
    <w:name w:val="无间隔1"/>
    <w:next w:val="1"/>
    <w:qFormat/>
    <w:uiPriority w:val="1"/>
    <w:pPr>
      <w:widowControl w:val="0"/>
    </w:pPr>
    <w:rPr>
      <w:rFonts w:ascii="Calibri" w:hAnsi="Calibri" w:eastAsia="仿宋_GB2312" w:cs="Times New Roman"/>
      <w:kern w:val="2"/>
      <w:sz w:val="28"/>
      <w:szCs w:val="21"/>
      <w:lang w:val="en-US" w:eastAsia="zh-CN" w:bidi="ar-SA"/>
    </w:rPr>
  </w:style>
  <w:style w:type="character" w:customStyle="1" w:styleId="41">
    <w:name w:val="标题 1 Char"/>
    <w:link w:val="3"/>
    <w:qFormat/>
    <w:uiPriority w:val="0"/>
    <w:rPr>
      <w:rFonts w:ascii="Calibri" w:hAnsi="Calibri" w:eastAsia="宋体" w:cs="Times New Roman"/>
      <w:kern w:val="44"/>
      <w:sz w:val="44"/>
      <w:szCs w:val="44"/>
    </w:rPr>
  </w:style>
  <w:style w:type="paragraph" w:customStyle="1" w:styleId="42">
    <w:name w:val="3）三级标题 与下段同页"/>
    <w:basedOn w:val="1"/>
    <w:qFormat/>
    <w:uiPriority w:val="0"/>
    <w:pPr>
      <w:keepNext/>
      <w:spacing w:beforeLines="50" w:afterLines="50"/>
      <w:jc w:val="center"/>
      <w:outlineLvl w:val="2"/>
    </w:pPr>
    <w:rPr>
      <w:rFonts w:ascii="仿宋_GB2312" w:eastAsia="仿宋_GB2312"/>
      <w:b/>
      <w:sz w:val="32"/>
    </w:rPr>
  </w:style>
  <w:style w:type="character" w:customStyle="1" w:styleId="43">
    <w:name w:val="NormalCharacter"/>
    <w:link w:val="44"/>
    <w:qFormat/>
    <w:uiPriority w:val="0"/>
    <w:rPr>
      <w:rFonts w:ascii="Calibri" w:hAnsi="Calibri" w:eastAsia="宋体" w:cs="Times New Roman"/>
      <w:kern w:val="2"/>
      <w:sz w:val="21"/>
      <w:szCs w:val="24"/>
      <w:lang w:val="en-US" w:eastAsia="zh-CN" w:bidi="ar-SA"/>
    </w:rPr>
  </w:style>
  <w:style w:type="paragraph" w:customStyle="1" w:styleId="44">
    <w:name w:val="UserStyle_20"/>
    <w:basedOn w:val="1"/>
    <w:link w:val="43"/>
    <w:qFormat/>
    <w:uiPriority w:val="0"/>
    <w:pPr>
      <w:spacing w:after="160" w:line="240" w:lineRule="exact"/>
      <w:jc w:val="left"/>
    </w:pPr>
    <w:rPr>
      <w:rFonts w:ascii="Verdana" w:hAnsi="Verdana" w:eastAsia="仿宋_GB2312"/>
      <w:kern w:val="0"/>
      <w:sz w:val="24"/>
      <w:szCs w:val="20"/>
      <w:lang w:eastAsia="en-US"/>
    </w:rPr>
  </w:style>
  <w:style w:type="character" w:customStyle="1" w:styleId="45">
    <w:name w:val="UserStyle_3"/>
    <w:autoRedefine/>
    <w:qFormat/>
    <w:uiPriority w:val="0"/>
    <w:rPr>
      <w:rFonts w:ascii="宋体" w:hAnsi="宋体" w:eastAsia="宋体"/>
      <w:b/>
      <w:sz w:val="32"/>
      <w:szCs w:val="32"/>
    </w:rPr>
  </w:style>
  <w:style w:type="paragraph" w:customStyle="1" w:styleId="46">
    <w:name w:val="正文_2_0"/>
    <w:basedOn w:val="47"/>
    <w:next w:val="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2_1"/>
    <w:basedOn w:val="48"/>
    <w:next w:val="69"/>
    <w:autoRedefine/>
    <w:qFormat/>
    <w:uiPriority w:val="0"/>
    <w:rPr>
      <w:szCs w:val="24"/>
    </w:rPr>
  </w:style>
  <w:style w:type="paragraph" w:customStyle="1" w:styleId="48">
    <w:name w:val="正文_3_0"/>
    <w:basedOn w:val="49"/>
    <w:next w:val="52"/>
    <w:qFormat/>
    <w:uiPriority w:val="0"/>
  </w:style>
  <w:style w:type="paragraph" w:customStyle="1" w:styleId="49">
    <w:name w:val="Normal_0_0"/>
    <w:next w:val="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Body Text_0"/>
    <w:basedOn w:val="51"/>
    <w:qFormat/>
    <w:uiPriority w:val="0"/>
    <w:pPr>
      <w:spacing w:after="120"/>
    </w:pPr>
  </w:style>
  <w:style w:type="paragraph" w:customStyle="1" w:styleId="51">
    <w:name w:val="Normal_1"/>
    <w:next w:val="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缩进_0_0_1"/>
    <w:basedOn w:val="53"/>
    <w:autoRedefine/>
    <w:qFormat/>
    <w:uiPriority w:val="0"/>
    <w:pPr>
      <w:ind w:firstLine="420" w:firstLineChars="200"/>
    </w:pPr>
  </w:style>
  <w:style w:type="paragraph" w:customStyle="1" w:styleId="53">
    <w:name w:val="正文_0_1_1"/>
    <w:basedOn w:val="54"/>
    <w:next w:val="66"/>
    <w:qFormat/>
    <w:uiPriority w:val="0"/>
    <w:rPr>
      <w:rFonts w:eastAsia="Calibri"/>
    </w:rPr>
  </w:style>
  <w:style w:type="paragraph" w:customStyle="1" w:styleId="54">
    <w:name w:val="正文_3_1"/>
    <w:basedOn w:val="55"/>
    <w:next w:val="58"/>
    <w:autoRedefine/>
    <w:qFormat/>
    <w:uiPriority w:val="0"/>
    <w:rPr>
      <w:rFonts w:ascii="Calibri" w:hAnsi="Calibri"/>
      <w:sz w:val="21"/>
      <w:szCs w:val="22"/>
    </w:rPr>
  </w:style>
  <w:style w:type="paragraph" w:customStyle="1" w:styleId="55">
    <w:name w:val="Normal_0_1"/>
    <w:basedOn w:val="56"/>
    <w:qFormat/>
    <w:uiPriority w:val="0"/>
    <w:rPr>
      <w:rFonts w:ascii="黑体" w:hAnsi="黑体" w:eastAsia="黑体"/>
      <w:b/>
      <w:sz w:val="32"/>
      <w:szCs w:val="24"/>
    </w:rPr>
  </w:style>
  <w:style w:type="paragraph" w:customStyle="1" w:styleId="56">
    <w:name w:val="Normal_2"/>
    <w:next w:val="5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Body Text_1"/>
    <w:basedOn w:val="56"/>
    <w:qFormat/>
    <w:uiPriority w:val="0"/>
    <w:pPr>
      <w:spacing w:after="120"/>
    </w:pPr>
  </w:style>
  <w:style w:type="paragraph" w:customStyle="1" w:styleId="58">
    <w:name w:val="正文缩进_0_0_0"/>
    <w:basedOn w:val="59"/>
    <w:qFormat/>
    <w:uiPriority w:val="0"/>
    <w:pPr>
      <w:ind w:firstLine="420" w:firstLineChars="200"/>
    </w:pPr>
  </w:style>
  <w:style w:type="paragraph" w:customStyle="1" w:styleId="59">
    <w:name w:val="正文_0_1_0"/>
    <w:basedOn w:val="60"/>
    <w:next w:val="61"/>
    <w:qFormat/>
    <w:uiPriority w:val="0"/>
    <w:rPr>
      <w:rFonts w:eastAsia="Calibri"/>
    </w:rPr>
  </w:style>
  <w:style w:type="paragraph" w:customStyle="1" w:styleId="60">
    <w:name w:val="正文_1_1"/>
    <w:next w:val="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脚注文本_0"/>
    <w:basedOn w:val="62"/>
    <w:next w:val="64"/>
    <w:qFormat/>
    <w:uiPriority w:val="99"/>
    <w:pPr>
      <w:snapToGrid w:val="0"/>
      <w:jc w:val="left"/>
    </w:pPr>
    <w:rPr>
      <w:rFonts w:ascii="Calibri" w:hAnsi="Calibri" w:eastAsia="Calibri"/>
      <w:sz w:val="18"/>
    </w:rPr>
  </w:style>
  <w:style w:type="paragraph" w:customStyle="1" w:styleId="62">
    <w:name w:val="正文_0_2"/>
    <w:next w:val="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_0_0"/>
    <w:basedOn w:val="62"/>
    <w:qFormat/>
    <w:uiPriority w:val="99"/>
    <w:pPr>
      <w:tabs>
        <w:tab w:val="center" w:pos="4153"/>
        <w:tab w:val="right" w:pos="8306"/>
      </w:tabs>
      <w:snapToGrid w:val="0"/>
      <w:jc w:val="left"/>
    </w:pPr>
    <w:rPr>
      <w:sz w:val="18"/>
      <w:szCs w:val="18"/>
    </w:rPr>
  </w:style>
  <w:style w:type="paragraph" w:customStyle="1" w:styleId="64">
    <w:name w:val="正文_2"/>
    <w:next w:val="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文本_0"/>
    <w:basedOn w:val="46"/>
    <w:qFormat/>
    <w:uiPriority w:val="0"/>
  </w:style>
  <w:style w:type="paragraph" w:customStyle="1" w:styleId="66">
    <w:name w:val="脚注文本1"/>
    <w:basedOn w:val="67"/>
    <w:next w:val="68"/>
    <w:qFormat/>
    <w:uiPriority w:val="0"/>
    <w:pPr>
      <w:snapToGrid w:val="0"/>
      <w:jc w:val="left"/>
    </w:pPr>
    <w:rPr>
      <w:kern w:val="0"/>
      <w:sz w:val="18"/>
      <w:szCs w:val="18"/>
    </w:rPr>
  </w:style>
  <w:style w:type="paragraph" w:customStyle="1" w:styleId="67">
    <w:name w:val="正文_1_0"/>
    <w:next w:val="66"/>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索引 51"/>
    <w:basedOn w:val="67"/>
    <w:next w:val="67"/>
    <w:qFormat/>
    <w:uiPriority w:val="99"/>
    <w:pPr>
      <w:ind w:left="1680"/>
    </w:pPr>
  </w:style>
  <w:style w:type="paragraph" w:customStyle="1" w:styleId="69">
    <w:name w:val="No Spacing_0"/>
    <w:basedOn w:val="70"/>
    <w:qFormat/>
    <w:uiPriority w:val="1"/>
  </w:style>
  <w:style w:type="paragraph" w:customStyle="1" w:styleId="70">
    <w:name w:val="正文_5"/>
    <w:basedOn w:val="64"/>
    <w:next w:val="71"/>
    <w:qFormat/>
    <w:uiPriority w:val="0"/>
    <w:rPr>
      <w:rFonts w:ascii="Calibri" w:hAnsi="Calibri"/>
      <w:szCs w:val="22"/>
    </w:rPr>
  </w:style>
  <w:style w:type="paragraph" w:customStyle="1" w:styleId="71">
    <w:name w:val="段_0"/>
    <w:next w:val="70"/>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正文1_0"/>
    <w:basedOn w:val="73"/>
    <w:qFormat/>
    <w:uiPriority w:val="0"/>
    <w:pPr>
      <w:widowControl/>
      <w:spacing w:before="120" w:after="120"/>
      <w:ind w:firstLine="200" w:firstLineChars="200"/>
      <w:jc w:val="left"/>
    </w:pPr>
    <w:rPr>
      <w:rFonts w:ascii="Times New Roman" w:hAnsi="Times New Roman" w:eastAsia="Adobe 仿宋 Std R"/>
    </w:rPr>
  </w:style>
  <w:style w:type="paragraph" w:customStyle="1" w:styleId="73">
    <w:name w:val="正文_3"/>
    <w:basedOn w:val="74"/>
    <w:next w:val="76"/>
    <w:qFormat/>
    <w:uiPriority w:val="0"/>
  </w:style>
  <w:style w:type="paragraph" w:customStyle="1" w:styleId="74">
    <w:name w:val="Normal_0"/>
    <w:basedOn w:val="75"/>
    <w:next w:val="31"/>
    <w:qFormat/>
    <w:uiPriority w:val="0"/>
    <w:rPr>
      <w:rFonts w:ascii="Calibri" w:hAnsi="Calibri"/>
      <w:sz w:val="21"/>
    </w:rPr>
  </w:style>
  <w:style w:type="paragraph" w:customStyle="1" w:styleId="75">
    <w:name w:val="正文1"/>
    <w:next w:val="3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
    <w:name w:val="正文缩进_0_0"/>
    <w:basedOn w:val="77"/>
    <w:qFormat/>
    <w:uiPriority w:val="0"/>
    <w:pPr>
      <w:ind w:firstLine="420" w:firstLineChars="200"/>
    </w:pPr>
  </w:style>
  <w:style w:type="paragraph" w:customStyle="1" w:styleId="77">
    <w:name w:val="正文_2_0_0"/>
    <w:basedOn w:val="78"/>
    <w:next w:val="82"/>
    <w:qFormat/>
    <w:uiPriority w:val="0"/>
    <w:rPr>
      <w:rFonts w:cs="Calibri"/>
      <w:szCs w:val="21"/>
    </w:rPr>
  </w:style>
  <w:style w:type="paragraph" w:customStyle="1" w:styleId="78">
    <w:name w:val="正文_3_0_0"/>
    <w:basedOn w:val="79"/>
    <w:next w:val="80"/>
    <w:qFormat/>
    <w:uiPriority w:val="0"/>
    <w:rPr>
      <w:rFonts w:ascii="Calibri" w:hAnsi="Calibri"/>
    </w:rPr>
  </w:style>
  <w:style w:type="paragraph" w:customStyle="1" w:styleId="79">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文本_1_0_0"/>
    <w:basedOn w:val="81"/>
    <w:qFormat/>
    <w:uiPriority w:val="0"/>
    <w:pPr>
      <w:spacing w:after="120"/>
    </w:pPr>
  </w:style>
  <w:style w:type="paragraph" w:customStyle="1" w:styleId="81">
    <w:name w:val="正文_2_0_0_0_0"/>
    <w:next w:val="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首行缩进 2_4"/>
    <w:basedOn w:val="83"/>
    <w:qFormat/>
    <w:uiPriority w:val="99"/>
    <w:pPr>
      <w:ind w:firstLine="420" w:firstLineChars="200"/>
    </w:pPr>
  </w:style>
  <w:style w:type="paragraph" w:customStyle="1" w:styleId="83">
    <w:name w:val="正文文本缩进_5"/>
    <w:basedOn w:val="84"/>
    <w:qFormat/>
    <w:uiPriority w:val="0"/>
    <w:pPr>
      <w:spacing w:line="500" w:lineRule="exact"/>
      <w:ind w:left="1588" w:leftChars="832" w:firstLine="433" w:firstLineChars="196"/>
    </w:pPr>
    <w:rPr>
      <w:kern w:val="0"/>
      <w:sz w:val="24"/>
    </w:rPr>
  </w:style>
  <w:style w:type="paragraph" w:customStyle="1" w:styleId="84">
    <w:name w:val="正文_2_0_0_0"/>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4正文"/>
    <w:basedOn w:val="1"/>
    <w:qFormat/>
    <w:uiPriority w:val="0"/>
    <w:pPr>
      <w:snapToGrid w:val="0"/>
      <w:spacing w:line="360" w:lineRule="auto"/>
      <w:ind w:firstLine="480" w:firstLineChars="200"/>
    </w:pPr>
    <w:rPr>
      <w:rFonts w:eastAsia="仿宋"/>
      <w:sz w:val="24"/>
    </w:rPr>
  </w:style>
  <w:style w:type="paragraph" w:customStyle="1" w:styleId="86">
    <w:name w:val="首行缩进:  0.85 厘米"/>
    <w:basedOn w:val="1"/>
    <w:qFormat/>
    <w:uiPriority w:val="0"/>
    <w:pPr>
      <w:widowControl/>
      <w:spacing w:after="100" w:line="360" w:lineRule="auto"/>
      <w:ind w:firstLine="482"/>
      <w:jc w:val="left"/>
    </w:pPr>
    <w:rPr>
      <w:kern w:val="0"/>
      <w:sz w:val="24"/>
      <w:lang w:eastAsia="en-US"/>
    </w:rPr>
  </w:style>
  <w:style w:type="paragraph" w:customStyle="1" w:styleId="87">
    <w:name w:val="Table Paragraph"/>
    <w:basedOn w:val="1"/>
    <w:qFormat/>
    <w:uiPriority w:val="1"/>
    <w:rPr>
      <w:sz w:val="24"/>
    </w:rPr>
  </w:style>
  <w:style w:type="paragraph" w:customStyle="1" w:styleId="88">
    <w:name w:val="列出段落1"/>
    <w:basedOn w:val="1"/>
    <w:qFormat/>
    <w:uiPriority w:val="0"/>
    <w:pPr>
      <w:spacing w:line="360" w:lineRule="auto"/>
      <w:ind w:firstLine="420" w:firstLineChars="200"/>
    </w:pPr>
    <w:rPr>
      <w:rFonts w:ascii="等线" w:hAnsi="等线"/>
      <w:szCs w:val="22"/>
    </w:rPr>
  </w:style>
  <w:style w:type="paragraph" w:customStyle="1" w:styleId="89">
    <w:name w:val="样式 正文缩进 + 首行缩进:  2 字符"/>
    <w:basedOn w:val="7"/>
    <w:qFormat/>
    <w:uiPriority w:val="0"/>
    <w:pPr>
      <w:spacing w:line="360" w:lineRule="auto"/>
      <w:ind w:firstLine="200"/>
    </w:pPr>
    <w:rPr>
      <w:rFonts w:cs="宋体"/>
      <w:sz w:val="24"/>
      <w:szCs w:val="20"/>
    </w:rPr>
  </w:style>
  <w:style w:type="paragraph" w:customStyle="1" w:styleId="90">
    <w:name w:val="WPS Plain"/>
    <w:basedOn w:val="1"/>
    <w:qFormat/>
    <w:uiPriority w:val="0"/>
    <w:pPr>
      <w:widowControl/>
      <w:jc w:val="left"/>
    </w:pPr>
    <w:rPr>
      <w:rFonts w:ascii="Times New Roman"/>
      <w:sz w:val="24"/>
    </w:rPr>
  </w:style>
  <w:style w:type="paragraph" w:customStyle="1" w:styleId="91">
    <w:name w:val="普通(网站)1"/>
    <w:basedOn w:val="1"/>
    <w:qFormat/>
    <w:uiPriority w:val="0"/>
    <w:pPr>
      <w:jc w:val="left"/>
    </w:pPr>
    <w:rPr>
      <w:kern w:val="0"/>
      <w:sz w:val="24"/>
    </w:rPr>
  </w:style>
  <w:style w:type="paragraph" w:customStyle="1" w:styleId="92">
    <w:name w:val="Body text|1"/>
    <w:basedOn w:val="1"/>
    <w:qFormat/>
    <w:uiPriority w:val="0"/>
    <w:pPr>
      <w:spacing w:line="290" w:lineRule="auto"/>
      <w:ind w:firstLine="400"/>
    </w:pPr>
    <w:rPr>
      <w:rFonts w:ascii="宋体" w:hAnsi="宋体" w:cs="宋体"/>
      <w:sz w:val="22"/>
      <w:szCs w:val="22"/>
      <w:lang w:val="zh-CN" w:bidi="zh-CN"/>
    </w:rPr>
  </w:style>
  <w:style w:type="paragraph" w:customStyle="1" w:styleId="93">
    <w:name w:val="纯文本1"/>
    <w:basedOn w:val="1"/>
    <w:qFormat/>
    <w:uiPriority w:val="0"/>
    <w:rPr>
      <w:rFonts w:ascii="宋体" w:hAnsi="Courier New"/>
      <w:szCs w:val="22"/>
    </w:rPr>
  </w:style>
  <w:style w:type="paragraph" w:customStyle="1" w:styleId="94">
    <w:name w:val="List Paragraph_bec9d0d3-48c0-408b-9551-1be35552bd90"/>
    <w:basedOn w:val="1"/>
    <w:qFormat/>
    <w:uiPriority w:val="99"/>
    <w:pPr>
      <w:ind w:firstLine="420" w:firstLineChars="200"/>
    </w:pPr>
  </w:style>
  <w:style w:type="character" w:customStyle="1" w:styleId="95">
    <w:name w:val="批注框文本 Char"/>
    <w:basedOn w:val="34"/>
    <w:link w:val="15"/>
    <w:qFormat/>
    <w:uiPriority w:val="0"/>
    <w:rPr>
      <w:rFonts w:ascii="Calibri" w:hAnsi="Calibri"/>
      <w:kern w:val="2"/>
      <w:sz w:val="18"/>
      <w:szCs w:val="18"/>
    </w:rPr>
  </w:style>
  <w:style w:type="character" w:customStyle="1" w:styleId="96">
    <w:name w:val="批注文字 Char"/>
    <w:basedOn w:val="34"/>
    <w:link w:val="10"/>
    <w:qFormat/>
    <w:uiPriority w:val="0"/>
    <w:rPr>
      <w:rFonts w:ascii="Calibri" w:hAnsi="Calibri"/>
      <w:kern w:val="2"/>
      <w:sz w:val="21"/>
      <w:szCs w:val="24"/>
    </w:rPr>
  </w:style>
  <w:style w:type="character" w:customStyle="1" w:styleId="97">
    <w:name w:val="批注主题 Char"/>
    <w:basedOn w:val="96"/>
    <w:link w:val="29"/>
    <w:qFormat/>
    <w:uiPriority w:val="0"/>
    <w:rPr>
      <w:rFonts w:ascii="Calibri" w:hAnsi="Calibri"/>
      <w:b/>
      <w:bCs/>
      <w:kern w:val="2"/>
      <w:sz w:val="21"/>
      <w:szCs w:val="24"/>
    </w:rPr>
  </w:style>
  <w:style w:type="paragraph" w:customStyle="1" w:styleId="98">
    <w:name w:val="普通(网站)2"/>
    <w:basedOn w:val="1"/>
    <w:qFormat/>
    <w:uiPriority w:val="0"/>
    <w:pPr>
      <w:jc w:val="left"/>
    </w:pPr>
    <w:rPr>
      <w:rFonts w:ascii="Times New Roman" w:hAnsi="Times New Roman"/>
      <w:kern w:val="0"/>
      <w:sz w:val="24"/>
    </w:rPr>
  </w:style>
  <w:style w:type="paragraph" w:customStyle="1" w:styleId="99">
    <w:name w:val="普通(网站)3"/>
    <w:basedOn w:val="1"/>
    <w:qFormat/>
    <w:uiPriority w:val="0"/>
    <w:pPr>
      <w:jc w:val="left"/>
    </w:pPr>
    <w:rPr>
      <w:kern w:val="0"/>
      <w:sz w:val="24"/>
    </w:rPr>
  </w:style>
  <w:style w:type="paragraph" w:customStyle="1" w:styleId="10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1">
    <w:name w:val="题注5"/>
    <w:basedOn w:val="1"/>
    <w:next w:val="8"/>
    <w:qFormat/>
    <w:uiPriority w:val="0"/>
    <w:pPr>
      <w:numPr>
        <w:ilvl w:val="1"/>
        <w:numId w:val="3"/>
      </w:numPr>
      <w:tabs>
        <w:tab w:val="left" w:pos="0"/>
        <w:tab w:val="left" w:pos="720"/>
      </w:tabs>
      <w:spacing w:line="360" w:lineRule="auto"/>
      <w:ind w:left="720" w:hanging="720"/>
    </w:pPr>
    <w:rPr>
      <w:b/>
      <w:color w:val="000000"/>
      <w:sz w:val="28"/>
      <w:szCs w:val="28"/>
    </w:rPr>
  </w:style>
  <w:style w:type="character" w:customStyle="1" w:styleId="102">
    <w:name w:val="ft7"/>
    <w:basedOn w:val="34"/>
    <w:qFormat/>
    <w:uiPriority w:val="0"/>
  </w:style>
  <w:style w:type="character" w:customStyle="1" w:styleId="103">
    <w:name w:val="ft35"/>
    <w:basedOn w:val="34"/>
    <w:qFormat/>
    <w:uiPriority w:val="0"/>
  </w:style>
  <w:style w:type="paragraph" w:customStyle="1" w:styleId="104">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6">
    <w:name w:val="p0"/>
    <w:basedOn w:val="1"/>
    <w:qFormat/>
    <w:uiPriority w:val="0"/>
    <w:pPr>
      <w:widowControl/>
    </w:pPr>
    <w:rPr>
      <w:rFonts w:ascii="Times New Roman" w:hAnsi="Times New Roman" w:eastAsia="宋体" w:cs="Times New Roman"/>
      <w:kern w:val="0"/>
      <w:szCs w:val="21"/>
    </w:rPr>
  </w:style>
  <w:style w:type="paragraph" w:customStyle="1" w:styleId="107">
    <w:name w:val="样式2"/>
    <w:basedOn w:val="1"/>
    <w:qFormat/>
    <w:uiPriority w:val="0"/>
    <w:pPr>
      <w:spacing w:before="120" w:after="120"/>
    </w:pPr>
  </w:style>
  <w:style w:type="paragraph" w:customStyle="1" w:styleId="108">
    <w:name w:val="样式 微软雅黑 小四 行距: 固定值 22 磅 首行缩进:  2 字符"/>
    <w:basedOn w:val="1"/>
    <w:qFormat/>
    <w:uiPriority w:val="0"/>
    <w:pPr>
      <w:spacing w:line="440" w:lineRule="exact"/>
      <w:jc w:val="both"/>
    </w:pPr>
    <w:rPr>
      <w:rFonts w:eastAsia="微软雅黑"/>
      <w:sz w:val="24"/>
      <w:szCs w:val="20"/>
    </w:rPr>
  </w:style>
  <w:style w:type="paragraph" w:customStyle="1" w:styleId="109">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Normal (Web)_da840081-6722-4a06-8bb9-a1081cc0db29"/>
    <w:basedOn w:val="1"/>
    <w:qFormat/>
    <w:uiPriority w:val="0"/>
    <w:pPr>
      <w:spacing w:before="0" w:beforeAutospacing="0" w:after="0" w:afterAutospacing="0"/>
      <w:ind w:left="0" w:right="0"/>
      <w:jc w:val="left"/>
    </w:pPr>
    <w:rPr>
      <w:kern w:val="0"/>
      <w:sz w:val="24"/>
      <w:lang w:val="en-US" w:eastAsia="zh-CN"/>
    </w:rPr>
  </w:style>
  <w:style w:type="table" w:customStyle="1" w:styleId="111">
    <w:name w:val="Table Normal"/>
    <w:qFormat/>
    <w:uiPriority w:val="0"/>
    <w:tblPr>
      <w:tblCellMar>
        <w:top w:w="0" w:type="dxa"/>
        <w:left w:w="0" w:type="dxa"/>
        <w:bottom w:w="0" w:type="dxa"/>
        <w:right w:w="0" w:type="dxa"/>
      </w:tblCellMar>
    </w:tblPr>
  </w:style>
  <w:style w:type="paragraph" w:customStyle="1" w:styleId="112">
    <w:name w:val="Table Text"/>
    <w:basedOn w:val="1"/>
    <w:qFormat/>
    <w:uiPriority w:val="0"/>
    <w:rPr>
      <w:rFonts w:ascii="Arial" w:hAnsi="Arial" w:eastAsia="Arial" w:cs="Arial"/>
      <w:sz w:val="24"/>
      <w:szCs w:val="24"/>
      <w:lang w:val="en-US" w:eastAsia="en-US" w:bidi="ar-SA"/>
    </w:rPr>
  </w:style>
  <w:style w:type="paragraph" w:customStyle="1" w:styleId="113">
    <w:name w:val="表格"/>
    <w:basedOn w:val="1"/>
    <w:qFormat/>
    <w:uiPriority w:val="0"/>
    <w:pPr>
      <w:spacing w:line="400" w:lineRule="exact"/>
    </w:pPr>
    <w:rPr>
      <w:rFonts w:ascii="Times New Roman" w:hAnsi="Times New Roman" w:eastAsia="宋体" w:cs="Times New Roman"/>
      <w:sz w:val="24"/>
    </w:rPr>
  </w:style>
  <w:style w:type="character" w:customStyle="1" w:styleId="114">
    <w:name w:val="font31"/>
    <w:basedOn w:val="34"/>
    <w:qFormat/>
    <w:uiPriority w:val="0"/>
    <w:rPr>
      <w:rFonts w:hint="eastAsia" w:ascii="宋体" w:hAnsi="宋体" w:eastAsia="宋体" w:cs="宋体"/>
      <w:color w:val="000000"/>
      <w:sz w:val="24"/>
      <w:szCs w:val="24"/>
      <w:u w:val="none"/>
    </w:rPr>
  </w:style>
  <w:style w:type="character" w:customStyle="1" w:styleId="115">
    <w:name w:val="font41"/>
    <w:basedOn w:val="34"/>
    <w:qFormat/>
    <w:uiPriority w:val="0"/>
    <w:rPr>
      <w:rFonts w:hint="eastAsia" w:ascii="宋体" w:hAnsi="宋体" w:eastAsia="宋体" w:cs="宋体"/>
      <w:color w:val="000000"/>
      <w:sz w:val="24"/>
      <w:szCs w:val="24"/>
      <w:u w:val="none"/>
    </w:rPr>
  </w:style>
  <w:style w:type="character" w:customStyle="1" w:styleId="116">
    <w:name w:val="font61"/>
    <w:basedOn w:val="34"/>
    <w:qFormat/>
    <w:uiPriority w:val="0"/>
    <w:rPr>
      <w:rFonts w:hint="eastAsia" w:ascii="宋体" w:hAnsi="宋体" w:eastAsia="宋体" w:cs="宋体"/>
      <w:color w:val="000000"/>
      <w:sz w:val="24"/>
      <w:szCs w:val="24"/>
      <w:u w:val="none"/>
    </w:rPr>
  </w:style>
  <w:style w:type="paragraph" w:customStyle="1" w:styleId="117">
    <w:name w:val="Other|1"/>
    <w:basedOn w:val="1"/>
    <w:qFormat/>
    <w:uiPriority w:val="0"/>
    <w:pPr>
      <w:jc w:val="center"/>
    </w:pPr>
    <w:rPr>
      <w:rFonts w:ascii="宋体" w:hAnsi="宋体" w:eastAsia="宋体" w:cs="宋体"/>
      <w:sz w:val="16"/>
      <w:szCs w:val="16"/>
      <w:lang w:val="zh-TW" w:eastAsia="zh-TW" w:bidi="zh-TW"/>
    </w:rPr>
  </w:style>
  <w:style w:type="paragraph" w:customStyle="1" w:styleId="11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9">
    <w:name w:val="List Paragraph"/>
    <w:basedOn w:val="1"/>
    <w:qFormat/>
    <w:uiPriority w:val="34"/>
    <w:pPr>
      <w:ind w:firstLine="420" w:firstLineChars="200"/>
    </w:pPr>
  </w:style>
  <w:style w:type="paragraph" w:customStyle="1" w:styleId="1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159</Pages>
  <Words>19685</Words>
  <Characters>20749</Characters>
  <Paragraphs>2044</Paragraphs>
  <TotalTime>68</TotalTime>
  <ScaleCrop>false</ScaleCrop>
  <LinksUpToDate>false</LinksUpToDate>
  <CharactersWithSpaces>22994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2023-02-26T09:34:00Z</dcterms:created>
  <dc:creator>lenovo</dc:creator>
  <cp:lastModifiedBy>hp</cp:lastModifiedBy>
  <cp:lastPrinted>2024-03-01T12:42:00Z</cp:lastPrinted>
  <dcterms:modified xsi:type="dcterms:W3CDTF">2024-12-24T11:51:21Z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7ED702DA18F4494A9BCA8305BB229820</vt:lpwstr>
  </property>
</Properties>
</file>