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E89411">
      <w:pPr>
        <w:wordWrap w:val="0"/>
        <w:rPr>
          <w:rFonts w:ascii="宋体" w:hAnsi="宋体" w:cs="宋体"/>
          <w:color w:val="000000" w:themeColor="text1"/>
          <w:highlight w:val="yellow"/>
          <w14:textFill>
            <w14:solidFill>
              <w14:schemeClr w14:val="tx1"/>
            </w14:solidFill>
          </w14:textFill>
        </w:rPr>
      </w:pPr>
      <w:bookmarkStart w:id="0" w:name="EB56fcdcc0191c4e69804fb181c2eaf6e6"/>
      <w:r>
        <w:rPr>
          <w:rFonts w:hint="eastAsia" w:ascii="宋体" w:hAnsi="宋体" w:cs="宋体"/>
          <w:color w:val="000000" w:themeColor="text1"/>
          <w:sz w:val="20"/>
          <w:highlight w:val="white"/>
          <w14:textFill>
            <w14:solidFill>
              <w14:schemeClr w14:val="tx1"/>
            </w14:solidFill>
          </w14:textFill>
        </w:rPr>
        <w:t xml:space="preserve"> </w:t>
      </w:r>
      <w:bookmarkEnd w:id="0"/>
      <w:bookmarkStart w:id="1" w:name="EB74fd7479e08d4642b03990004a827852"/>
      <w:r>
        <w:rPr>
          <w:rFonts w:hint="eastAsia" w:ascii="宋体" w:hAnsi="宋体" w:cs="宋体"/>
          <w:color w:val="000000" w:themeColor="text1"/>
          <w:sz w:val="20"/>
          <w:highlight w:val="white"/>
          <w14:textFill>
            <w14:solidFill>
              <w14:schemeClr w14:val="tx1"/>
            </w14:solidFill>
          </w14:textFill>
        </w:rPr>
        <w:t xml:space="preserve"> </w:t>
      </w:r>
      <w:bookmarkEnd w:id="1"/>
    </w:p>
    <w:p w14:paraId="3BB3C676">
      <w:pPr>
        <w:tabs>
          <w:tab w:val="left" w:pos="1134"/>
          <w:tab w:val="left" w:pos="5481"/>
          <w:tab w:val="left" w:pos="5859"/>
        </w:tabs>
        <w:wordWrap w:val="0"/>
        <w:jc w:val="center"/>
        <w:rPr>
          <w:rFonts w:ascii="宋体" w:hAnsi="宋体" w:cs="宋体"/>
          <w:b/>
          <w:color w:val="000000" w:themeColor="text1"/>
          <w:sz w:val="52"/>
          <w14:textFill>
            <w14:solidFill>
              <w14:schemeClr w14:val="tx1"/>
            </w14:solidFill>
          </w14:textFill>
        </w:rPr>
      </w:pPr>
    </w:p>
    <w:p w14:paraId="7CC3935A">
      <w:pPr>
        <w:pStyle w:val="40"/>
      </w:pPr>
    </w:p>
    <w:p w14:paraId="7CD875AD">
      <w:pPr>
        <w:pStyle w:val="41"/>
        <w:rPr>
          <w:rFonts w:ascii="宋体" w:hAnsi="宋体" w:cs="宋体"/>
          <w:color w:val="000000" w:themeColor="text1"/>
          <w14:textFill>
            <w14:solidFill>
              <w14:schemeClr w14:val="tx1"/>
            </w14:solidFill>
          </w14:textFill>
        </w:rPr>
      </w:pPr>
    </w:p>
    <w:p w14:paraId="3FA7A8EB">
      <w:pPr>
        <w:tabs>
          <w:tab w:val="left" w:pos="1134"/>
          <w:tab w:val="left" w:pos="5481"/>
          <w:tab w:val="left" w:pos="5859"/>
        </w:tabs>
        <w:wordWrap w:val="0"/>
        <w:jc w:val="center"/>
        <w:rPr>
          <w:rFonts w:ascii="宋体" w:hAnsi="宋体" w:cs="宋体"/>
          <w:color w:val="000000" w:themeColor="text1"/>
          <w:sz w:val="72"/>
          <w:szCs w:val="72"/>
          <w:highlight w:val="white"/>
          <w14:textFill>
            <w14:solidFill>
              <w14:schemeClr w14:val="tx1"/>
            </w14:solidFill>
          </w14:textFill>
        </w:rPr>
      </w:pPr>
    </w:p>
    <w:p w14:paraId="1D682E5D">
      <w:pPr>
        <w:tabs>
          <w:tab w:val="left" w:pos="1134"/>
          <w:tab w:val="left" w:pos="5481"/>
          <w:tab w:val="left" w:pos="5859"/>
        </w:tabs>
        <w:wordWrap w:val="0"/>
        <w:jc w:val="center"/>
        <w:rPr>
          <w:rFonts w:ascii="宋体" w:hAnsi="宋体" w:cs="宋体"/>
          <w:b/>
          <w:bCs/>
          <w:color w:val="000000" w:themeColor="text1"/>
          <w:sz w:val="72"/>
          <w:szCs w:val="72"/>
          <w:highlight w:val="white"/>
          <w14:textFill>
            <w14:solidFill>
              <w14:schemeClr w14:val="tx1"/>
            </w14:solidFill>
          </w14:textFill>
        </w:rPr>
      </w:pPr>
      <w:r>
        <w:rPr>
          <w:rFonts w:hint="eastAsia" w:ascii="宋体" w:hAnsi="宋体" w:cs="宋体"/>
          <w:b/>
          <w:bCs/>
          <w:color w:val="000000" w:themeColor="text1"/>
          <w:sz w:val="72"/>
          <w:szCs w:val="72"/>
          <w:highlight w:val="white"/>
          <w14:textFill>
            <w14:solidFill>
              <w14:schemeClr w14:val="tx1"/>
            </w14:solidFill>
          </w14:textFill>
        </w:rPr>
        <w:t>竞争性磋商文件</w:t>
      </w:r>
    </w:p>
    <w:p w14:paraId="4CFEA577">
      <w:pPr>
        <w:wordWrap w:val="0"/>
        <w:jc w:val="center"/>
        <w:rPr>
          <w:rFonts w:ascii="宋体" w:hAnsi="宋体" w:cs="宋体"/>
          <w:color w:val="000000" w:themeColor="text1"/>
          <w14:textFill>
            <w14:solidFill>
              <w14:schemeClr w14:val="tx1"/>
            </w14:solidFill>
          </w14:textFill>
        </w:rPr>
      </w:pPr>
    </w:p>
    <w:p w14:paraId="690C18E2">
      <w:pPr>
        <w:wordWrap w:val="0"/>
        <w:jc w:val="center"/>
        <w:rPr>
          <w:rFonts w:ascii="宋体" w:hAnsi="宋体" w:cs="宋体"/>
          <w:color w:val="000000" w:themeColor="text1"/>
          <w14:textFill>
            <w14:solidFill>
              <w14:schemeClr w14:val="tx1"/>
            </w14:solidFill>
          </w14:textFill>
        </w:rPr>
      </w:pPr>
    </w:p>
    <w:p w14:paraId="2A9D684E">
      <w:pPr>
        <w:pStyle w:val="41"/>
        <w:rPr>
          <w:rFonts w:ascii="宋体" w:hAnsi="宋体" w:cs="宋体"/>
          <w:color w:val="000000" w:themeColor="text1"/>
          <w14:textFill>
            <w14:solidFill>
              <w14:schemeClr w14:val="tx1"/>
            </w14:solidFill>
          </w14:textFill>
        </w:rPr>
      </w:pPr>
    </w:p>
    <w:p w14:paraId="105A9B35">
      <w:pPr>
        <w:wordWrap w:val="0"/>
        <w:jc w:val="center"/>
        <w:rPr>
          <w:rFonts w:ascii="宋体" w:hAnsi="宋体" w:cs="宋体"/>
          <w:color w:val="000000" w:themeColor="text1"/>
          <w14:textFill>
            <w14:solidFill>
              <w14:schemeClr w14:val="tx1"/>
            </w14:solidFill>
          </w14:textFill>
        </w:rPr>
      </w:pPr>
    </w:p>
    <w:p w14:paraId="48E4E7F3">
      <w:pPr>
        <w:pStyle w:val="41"/>
        <w:rPr>
          <w:rFonts w:ascii="宋体" w:hAnsi="宋体" w:cs="宋体"/>
          <w:color w:val="000000" w:themeColor="text1"/>
          <w14:textFill>
            <w14:solidFill>
              <w14:schemeClr w14:val="tx1"/>
            </w14:solidFill>
          </w14:textFill>
        </w:rPr>
      </w:pPr>
    </w:p>
    <w:p w14:paraId="1ABBC4C5">
      <w:pPr>
        <w:wordWrap w:val="0"/>
        <w:jc w:val="center"/>
        <w:rPr>
          <w:rFonts w:ascii="宋体" w:hAnsi="宋体" w:cs="宋体"/>
          <w:color w:val="000000" w:themeColor="text1"/>
          <w14:textFill>
            <w14:solidFill>
              <w14:schemeClr w14:val="tx1"/>
            </w14:solidFill>
          </w14:textFill>
        </w:rPr>
      </w:pPr>
    </w:p>
    <w:p w14:paraId="3E7D94CB">
      <w:pPr>
        <w:wordWrap w:val="0"/>
        <w:jc w:val="center"/>
        <w:rPr>
          <w:rFonts w:ascii="宋体" w:hAnsi="宋体" w:cs="宋体"/>
          <w:color w:val="000000" w:themeColor="text1"/>
          <w14:textFill>
            <w14:solidFill>
              <w14:schemeClr w14:val="tx1"/>
            </w14:solidFill>
          </w14:textFill>
        </w:rPr>
      </w:pPr>
    </w:p>
    <w:p w14:paraId="0D98667A">
      <w:pPr>
        <w:wordWrap w:val="0"/>
        <w:jc w:val="both"/>
        <w:rPr>
          <w:rFonts w:ascii="宋体" w:hAnsi="宋体" w:cs="宋体"/>
          <w:color w:val="000000" w:themeColor="text1"/>
          <w14:textFill>
            <w14:solidFill>
              <w14:schemeClr w14:val="tx1"/>
            </w14:solidFill>
          </w14:textFill>
        </w:rPr>
      </w:pPr>
    </w:p>
    <w:p w14:paraId="4B35CD98">
      <w:pPr>
        <w:wordWrap w:val="0"/>
        <w:jc w:val="center"/>
        <w:rPr>
          <w:rFonts w:ascii="宋体" w:hAnsi="宋体" w:cs="宋体"/>
          <w:color w:val="000000" w:themeColor="text1"/>
          <w14:textFill>
            <w14:solidFill>
              <w14:schemeClr w14:val="tx1"/>
            </w14:solidFill>
          </w14:textFill>
        </w:rPr>
      </w:pPr>
    </w:p>
    <w:p w14:paraId="4B5CBAB9">
      <w:pPr>
        <w:wordWrap w:val="0"/>
        <w:jc w:val="both"/>
        <w:rPr>
          <w:rFonts w:ascii="宋体" w:hAnsi="宋体" w:cs="宋体"/>
          <w:color w:val="000000" w:themeColor="text1"/>
          <w14:textFill>
            <w14:solidFill>
              <w14:schemeClr w14:val="tx1"/>
            </w14:solidFill>
          </w14:textFill>
        </w:rPr>
      </w:pPr>
    </w:p>
    <w:p w14:paraId="63F56B6A">
      <w:pPr>
        <w:wordWrap w:val="0"/>
        <w:jc w:val="center"/>
        <w:rPr>
          <w:rFonts w:ascii="宋体" w:hAnsi="宋体" w:cs="宋体"/>
          <w:color w:val="000000" w:themeColor="text1"/>
          <w14:textFill>
            <w14:solidFill>
              <w14:schemeClr w14:val="tx1"/>
            </w14:solidFill>
          </w14:textFill>
        </w:rPr>
      </w:pPr>
    </w:p>
    <w:p w14:paraId="27790B1A">
      <w:pPr>
        <w:pStyle w:val="40"/>
      </w:pPr>
    </w:p>
    <w:p w14:paraId="4D6838E2">
      <w:pPr>
        <w:tabs>
          <w:tab w:val="left" w:pos="1134"/>
          <w:tab w:val="left" w:pos="5481"/>
          <w:tab w:val="left" w:pos="5859"/>
        </w:tabs>
        <w:wordWrap w:val="0"/>
        <w:spacing w:line="360" w:lineRule="auto"/>
        <w:jc w:val="center"/>
        <w:rPr>
          <w:rFonts w:ascii="宋体" w:hAnsi="宋体" w:cs="宋体"/>
          <w:b/>
          <w:color w:val="000000" w:themeColor="text1"/>
          <w:sz w:val="32"/>
          <w14:textFill>
            <w14:solidFill>
              <w14:schemeClr w14:val="tx1"/>
            </w14:solidFill>
          </w14:textFill>
        </w:rPr>
      </w:pPr>
    </w:p>
    <w:p w14:paraId="524425A6">
      <w:pPr>
        <w:pStyle w:val="16"/>
        <w:wordWrap w:val="0"/>
        <w:spacing w:line="360" w:lineRule="auto"/>
        <w:ind w:firstLine="562" w:firstLineChars="200"/>
        <w:rPr>
          <w:rFonts w:hint="eastAsia" w:ascii="宋体" w:hAnsi="宋体" w:eastAsia="宋体" w:cs="宋体"/>
          <w:b/>
          <w:color w:val="000000" w:themeColor="text1"/>
          <w:sz w:val="28"/>
          <w:szCs w:val="18"/>
          <w:highlight w:val="white"/>
          <w14:textFill>
            <w14:solidFill>
              <w14:schemeClr w14:val="tx1"/>
            </w14:solidFill>
          </w14:textFill>
        </w:rPr>
      </w:pPr>
      <w:r>
        <w:rPr>
          <w:rFonts w:hint="eastAsia" w:ascii="宋体" w:hAnsi="宋体" w:eastAsia="宋体" w:cs="宋体"/>
          <w:b/>
          <w:color w:val="000000" w:themeColor="text1"/>
          <w:sz w:val="28"/>
          <w:szCs w:val="18"/>
          <w:highlight w:val="white"/>
          <w14:textFill>
            <w14:solidFill>
              <w14:schemeClr w14:val="tx1"/>
            </w14:solidFill>
          </w14:textFill>
        </w:rPr>
        <w:t>项目名称：</w:t>
      </w:r>
      <w:r>
        <w:rPr>
          <w:rFonts w:hint="eastAsia" w:ascii="宋体" w:hAnsi="宋体" w:eastAsia="宋体" w:cs="宋体"/>
          <w:b/>
          <w:color w:val="000000" w:themeColor="text1"/>
          <w:sz w:val="28"/>
          <w:szCs w:val="18"/>
          <w:highlight w:val="white"/>
          <w:lang w:val="en-US" w:eastAsia="zh-CN"/>
          <w14:textFill>
            <w14:solidFill>
              <w14:schemeClr w14:val="tx1"/>
            </w14:solidFill>
          </w14:textFill>
        </w:rPr>
        <w:t>2025年体育健身达标活动项目</w:t>
      </w:r>
    </w:p>
    <w:p w14:paraId="24880382">
      <w:pPr>
        <w:pStyle w:val="16"/>
        <w:wordWrap w:val="0"/>
        <w:spacing w:line="360" w:lineRule="auto"/>
        <w:ind w:firstLine="562" w:firstLineChars="200"/>
        <w:rPr>
          <w:rFonts w:hint="eastAsia" w:ascii="宋体" w:hAnsi="宋体" w:eastAsia="宋体" w:cs="宋体"/>
          <w:b/>
          <w:color w:val="000000" w:themeColor="text1"/>
          <w:sz w:val="28"/>
          <w:szCs w:val="18"/>
          <w:highlight w:val="white"/>
          <w14:textFill>
            <w14:solidFill>
              <w14:schemeClr w14:val="tx1"/>
            </w14:solidFill>
          </w14:textFill>
        </w:rPr>
      </w:pPr>
    </w:p>
    <w:p w14:paraId="712987EB">
      <w:pPr>
        <w:pStyle w:val="16"/>
        <w:wordWrap w:val="0"/>
        <w:spacing w:line="360" w:lineRule="auto"/>
        <w:ind w:firstLine="562" w:firstLineChars="200"/>
        <w:rPr>
          <w:rFonts w:hint="default" w:ascii="宋体" w:hAnsi="宋体" w:eastAsia="宋体" w:cs="宋体"/>
          <w:b/>
          <w:color w:val="000000" w:themeColor="text1"/>
          <w:sz w:val="28"/>
          <w:szCs w:val="18"/>
          <w:highlight w:val="white"/>
          <w:lang w:val="en-US" w:eastAsia="zh-CN"/>
          <w14:textFill>
            <w14:solidFill>
              <w14:schemeClr w14:val="tx1"/>
            </w14:solidFill>
          </w14:textFill>
        </w:rPr>
      </w:pPr>
      <w:r>
        <w:rPr>
          <w:rFonts w:hint="eastAsia" w:ascii="宋体" w:hAnsi="宋体" w:eastAsia="宋体" w:cs="宋体"/>
          <w:b/>
          <w:color w:val="000000" w:themeColor="text1"/>
          <w:sz w:val="28"/>
          <w:szCs w:val="18"/>
          <w:highlight w:val="white"/>
          <w14:textFill>
            <w14:solidFill>
              <w14:schemeClr w14:val="tx1"/>
            </w14:solidFill>
          </w14:textFill>
        </w:rPr>
        <w:t>项目编号：</w:t>
      </w:r>
      <w:r>
        <w:rPr>
          <w:rFonts w:hint="eastAsia" w:ascii="宋体" w:hAnsi="宋体" w:eastAsia="宋体" w:cs="宋体"/>
          <w:b/>
          <w:color w:val="000000" w:themeColor="text1"/>
          <w:sz w:val="28"/>
          <w:szCs w:val="18"/>
          <w:highlight w:val="white"/>
          <w:lang w:val="en-US" w:eastAsia="zh-CN"/>
          <w14:textFill>
            <w14:solidFill>
              <w14:schemeClr w14:val="tx1"/>
            </w14:solidFill>
          </w14:textFill>
        </w:rPr>
        <w:t>TZYHM-2025-09</w:t>
      </w:r>
    </w:p>
    <w:p w14:paraId="20F1B6DD">
      <w:pPr>
        <w:pStyle w:val="16"/>
        <w:wordWrap w:val="0"/>
        <w:spacing w:line="360" w:lineRule="auto"/>
        <w:ind w:firstLine="562" w:firstLineChars="200"/>
        <w:rPr>
          <w:rFonts w:hint="eastAsia" w:ascii="宋体" w:hAnsi="宋体" w:eastAsia="宋体" w:cs="宋体"/>
          <w:b/>
          <w:color w:val="000000" w:themeColor="text1"/>
          <w:sz w:val="28"/>
          <w:szCs w:val="18"/>
          <w:highlight w:val="white"/>
          <w:lang w:eastAsia="zh-CN"/>
          <w14:textFill>
            <w14:solidFill>
              <w14:schemeClr w14:val="tx1"/>
            </w14:solidFill>
          </w14:textFill>
        </w:rPr>
      </w:pPr>
    </w:p>
    <w:p w14:paraId="0E59C6B7">
      <w:pPr>
        <w:pStyle w:val="16"/>
        <w:wordWrap w:val="0"/>
        <w:spacing w:line="360" w:lineRule="auto"/>
        <w:ind w:firstLine="562" w:firstLineChars="200"/>
        <w:rPr>
          <w:rFonts w:hint="eastAsia" w:ascii="宋体" w:hAnsi="宋体" w:eastAsia="宋体" w:cs="宋体"/>
          <w:b/>
          <w:color w:val="000000" w:themeColor="text1"/>
          <w:sz w:val="28"/>
          <w:szCs w:val="18"/>
          <w:highlight w:val="white"/>
          <w:lang w:eastAsia="zh-CN"/>
          <w14:textFill>
            <w14:solidFill>
              <w14:schemeClr w14:val="tx1"/>
            </w14:solidFill>
          </w14:textFill>
        </w:rPr>
      </w:pPr>
      <w:r>
        <w:rPr>
          <w:rFonts w:hint="eastAsia" w:ascii="宋体" w:hAnsi="宋体" w:eastAsia="宋体" w:cs="宋体"/>
          <w:b/>
          <w:color w:val="000000" w:themeColor="text1"/>
          <w:sz w:val="28"/>
          <w:szCs w:val="18"/>
          <w:highlight w:val="white"/>
          <w:lang w:eastAsia="zh-CN"/>
          <w14:textFill>
            <w14:solidFill>
              <w14:schemeClr w14:val="tx1"/>
            </w14:solidFill>
          </w14:textFill>
        </w:rPr>
        <w:t>采购单位：哈密市文化体育广播电视和旅游局</w:t>
      </w:r>
    </w:p>
    <w:p w14:paraId="01C17DAF">
      <w:pPr>
        <w:pStyle w:val="16"/>
        <w:wordWrap w:val="0"/>
        <w:spacing w:line="360" w:lineRule="auto"/>
        <w:ind w:firstLine="562" w:firstLineChars="200"/>
        <w:rPr>
          <w:rFonts w:hint="eastAsia" w:ascii="宋体" w:hAnsi="宋体" w:eastAsia="宋体" w:cs="宋体"/>
          <w:b/>
          <w:color w:val="000000" w:themeColor="text1"/>
          <w:sz w:val="28"/>
          <w:szCs w:val="18"/>
          <w:highlight w:val="white"/>
          <w14:textFill>
            <w14:solidFill>
              <w14:schemeClr w14:val="tx1"/>
            </w14:solidFill>
          </w14:textFill>
        </w:rPr>
      </w:pPr>
    </w:p>
    <w:p w14:paraId="025DCDFE">
      <w:pPr>
        <w:pStyle w:val="16"/>
        <w:wordWrap w:val="0"/>
        <w:spacing w:line="360" w:lineRule="auto"/>
        <w:ind w:firstLine="562" w:firstLineChars="200"/>
        <w:rPr>
          <w:rFonts w:hint="eastAsia" w:ascii="宋体" w:hAnsi="宋体" w:eastAsia="宋体" w:cs="宋体"/>
          <w:b/>
          <w:color w:val="000000" w:themeColor="text1"/>
          <w:sz w:val="28"/>
          <w:szCs w:val="18"/>
          <w:highlight w:val="white"/>
          <w14:textFill>
            <w14:solidFill>
              <w14:schemeClr w14:val="tx1"/>
            </w14:solidFill>
          </w14:textFill>
        </w:rPr>
      </w:pPr>
      <w:r>
        <w:rPr>
          <w:rFonts w:hint="eastAsia" w:ascii="宋体" w:hAnsi="宋体" w:eastAsia="宋体" w:cs="宋体"/>
          <w:b/>
          <w:color w:val="000000" w:themeColor="text1"/>
          <w:sz w:val="28"/>
          <w:szCs w:val="18"/>
          <w:highlight w:val="white"/>
          <w14:textFill>
            <w14:solidFill>
              <w14:schemeClr w14:val="tx1"/>
            </w14:solidFill>
          </w14:textFill>
        </w:rPr>
        <w:t>采购代理机构：</w:t>
      </w:r>
      <w:r>
        <w:rPr>
          <w:rFonts w:hint="eastAsia" w:ascii="宋体" w:hAnsi="宋体" w:eastAsia="宋体" w:cs="宋体"/>
          <w:b/>
          <w:color w:val="000000" w:themeColor="text1"/>
          <w:sz w:val="28"/>
          <w:szCs w:val="18"/>
          <w:highlight w:val="white"/>
          <w:lang w:eastAsia="zh-CN"/>
          <w14:textFill>
            <w14:solidFill>
              <w14:schemeClr w14:val="tx1"/>
            </w14:solidFill>
          </w14:textFill>
        </w:rPr>
        <w:t>新疆天之源项目管理集团有限公司</w:t>
      </w:r>
    </w:p>
    <w:p w14:paraId="192BA627">
      <w:pPr>
        <w:pStyle w:val="16"/>
        <w:wordWrap w:val="0"/>
        <w:spacing w:line="360" w:lineRule="auto"/>
        <w:ind w:firstLine="562" w:firstLineChars="200"/>
        <w:rPr>
          <w:rFonts w:hint="eastAsia" w:ascii="宋体" w:hAnsi="宋体" w:eastAsia="宋体" w:cs="宋体"/>
          <w:b/>
          <w:color w:val="000000" w:themeColor="text1"/>
          <w:sz w:val="28"/>
          <w:szCs w:val="18"/>
          <w:highlight w:val="white"/>
          <w14:textFill>
            <w14:solidFill>
              <w14:schemeClr w14:val="tx1"/>
            </w14:solidFill>
          </w14:textFill>
        </w:rPr>
      </w:pPr>
    </w:p>
    <w:p w14:paraId="343F266A">
      <w:pPr>
        <w:pStyle w:val="16"/>
        <w:wordWrap w:val="0"/>
        <w:spacing w:line="360" w:lineRule="auto"/>
        <w:ind w:firstLine="562" w:firstLineChars="200"/>
        <w:rPr>
          <w:rFonts w:ascii="宋体" w:hAnsi="宋体" w:eastAsia="宋体" w:cs="宋体"/>
          <w:b/>
          <w:color w:val="000000" w:themeColor="text1"/>
          <w:sz w:val="28"/>
          <w:szCs w:val="18"/>
          <w:highlight w:val="white"/>
          <w14:textFill>
            <w14:solidFill>
              <w14:schemeClr w14:val="tx1"/>
            </w14:solidFill>
          </w14:textFill>
        </w:rPr>
      </w:pPr>
      <w:r>
        <w:rPr>
          <w:rFonts w:hint="eastAsia" w:ascii="宋体" w:hAnsi="宋体" w:eastAsia="宋体" w:cs="宋体"/>
          <w:b/>
          <w:color w:val="000000" w:themeColor="text1"/>
          <w:sz w:val="28"/>
          <w:szCs w:val="18"/>
          <w:highlight w:val="white"/>
          <w14:textFill>
            <w14:solidFill>
              <w14:schemeClr w14:val="tx1"/>
            </w14:solidFill>
          </w14:textFill>
        </w:rPr>
        <w:t>日期：</w:t>
      </w:r>
      <w:bookmarkStart w:id="2" w:name="EB111f2327f0a4481db50634b1e102f346"/>
      <w:r>
        <w:rPr>
          <w:rFonts w:hint="eastAsia" w:ascii="宋体" w:hAnsi="宋体" w:eastAsia="宋体" w:cs="宋体"/>
          <w:b/>
          <w:color w:val="000000" w:themeColor="text1"/>
          <w:sz w:val="28"/>
          <w:szCs w:val="18"/>
          <w:highlight w:val="white"/>
          <w14:textFill>
            <w14:solidFill>
              <w14:schemeClr w14:val="tx1"/>
            </w14:solidFill>
          </w14:textFill>
        </w:rPr>
        <w:t>202</w:t>
      </w:r>
      <w:r>
        <w:rPr>
          <w:rFonts w:hint="eastAsia" w:ascii="宋体" w:hAnsi="宋体" w:eastAsia="宋体" w:cs="宋体"/>
          <w:b/>
          <w:color w:val="000000" w:themeColor="text1"/>
          <w:sz w:val="28"/>
          <w:szCs w:val="18"/>
          <w:highlight w:val="white"/>
          <w:lang w:val="en-US" w:eastAsia="zh-CN"/>
          <w14:textFill>
            <w14:solidFill>
              <w14:schemeClr w14:val="tx1"/>
            </w14:solidFill>
          </w14:textFill>
        </w:rPr>
        <w:t>5</w:t>
      </w:r>
      <w:r>
        <w:rPr>
          <w:rFonts w:hint="eastAsia" w:ascii="宋体" w:hAnsi="宋体" w:eastAsia="宋体" w:cs="宋体"/>
          <w:b/>
          <w:color w:val="000000" w:themeColor="text1"/>
          <w:sz w:val="28"/>
          <w:szCs w:val="18"/>
          <w:highlight w:val="white"/>
          <w14:textFill>
            <w14:solidFill>
              <w14:schemeClr w14:val="tx1"/>
            </w14:solidFill>
          </w14:textFill>
        </w:rPr>
        <w:t>年</w:t>
      </w:r>
      <w:r>
        <w:rPr>
          <w:rFonts w:hint="eastAsia" w:ascii="宋体" w:hAnsi="宋体" w:eastAsia="宋体" w:cs="宋体"/>
          <w:b/>
          <w:color w:val="000000" w:themeColor="text1"/>
          <w:sz w:val="28"/>
          <w:szCs w:val="18"/>
          <w:highlight w:val="white"/>
          <w:lang w:val="en-US" w:eastAsia="zh-CN"/>
          <w14:textFill>
            <w14:solidFill>
              <w14:schemeClr w14:val="tx1"/>
            </w14:solidFill>
          </w14:textFill>
        </w:rPr>
        <w:t>04</w:t>
      </w:r>
      <w:r>
        <w:rPr>
          <w:rFonts w:hint="eastAsia" w:ascii="宋体" w:hAnsi="宋体" w:eastAsia="宋体" w:cs="宋体"/>
          <w:b/>
          <w:color w:val="000000" w:themeColor="text1"/>
          <w:sz w:val="28"/>
          <w:szCs w:val="18"/>
          <w:highlight w:val="white"/>
          <w14:textFill>
            <w14:solidFill>
              <w14:schemeClr w14:val="tx1"/>
            </w14:solidFill>
          </w14:textFill>
        </w:rPr>
        <w:t>月</w:t>
      </w:r>
      <w:r>
        <w:rPr>
          <w:rFonts w:hint="eastAsia" w:ascii="宋体" w:hAnsi="宋体" w:eastAsia="宋体" w:cs="宋体"/>
          <w:b/>
          <w:color w:val="000000" w:themeColor="text1"/>
          <w:sz w:val="28"/>
          <w:szCs w:val="18"/>
          <w:highlight w:val="white"/>
          <w:lang w:val="en-US" w:eastAsia="zh-CN"/>
          <w14:textFill>
            <w14:solidFill>
              <w14:schemeClr w14:val="tx1"/>
            </w14:solidFill>
          </w14:textFill>
        </w:rPr>
        <w:t>01</w:t>
      </w:r>
      <w:r>
        <w:rPr>
          <w:rFonts w:hint="eastAsia" w:ascii="宋体" w:hAnsi="宋体" w:eastAsia="宋体" w:cs="宋体"/>
          <w:b/>
          <w:color w:val="000000" w:themeColor="text1"/>
          <w:sz w:val="28"/>
          <w:szCs w:val="18"/>
          <w:highlight w:val="white"/>
          <w14:textFill>
            <w14:solidFill>
              <w14:schemeClr w14:val="tx1"/>
            </w14:solidFill>
          </w14:textFill>
        </w:rPr>
        <w:t>日</w:t>
      </w:r>
      <w:bookmarkEnd w:id="2"/>
    </w:p>
    <w:p w14:paraId="557888A3">
      <w:pPr>
        <w:pStyle w:val="16"/>
        <w:wordWrap w:val="0"/>
        <w:spacing w:line="360" w:lineRule="auto"/>
        <w:ind w:firstLine="562" w:firstLineChars="200"/>
        <w:rPr>
          <w:rFonts w:ascii="宋体" w:hAnsi="宋体" w:cs="宋体"/>
          <w:b/>
          <w:color w:val="000000" w:themeColor="text1"/>
          <w:sz w:val="32"/>
          <w14:textFill>
            <w14:solidFill>
              <w14:schemeClr w14:val="tx1"/>
            </w14:solidFill>
          </w14:textFill>
        </w:rPr>
      </w:pPr>
      <w:r>
        <w:rPr>
          <w:rFonts w:hint="eastAsia" w:ascii="宋体" w:hAnsi="宋体" w:eastAsia="宋体" w:cs="宋体"/>
          <w:b/>
          <w:color w:val="000000" w:themeColor="text1"/>
          <w:sz w:val="28"/>
          <w:szCs w:val="18"/>
          <w:highlight w:val="white"/>
          <w14:textFill>
            <w14:solidFill>
              <w14:schemeClr w14:val="tx1"/>
            </w14:solidFill>
          </w14:textFill>
        </w:rPr>
        <w:t xml:space="preserve"> </w:t>
      </w:r>
    </w:p>
    <w:p w14:paraId="789B18E1">
      <w:pPr>
        <w:wordWrap w:val="0"/>
        <w:jc w:val="center"/>
        <w:rPr>
          <w:rFonts w:ascii="宋体" w:hAnsi="宋体" w:cs="宋体"/>
          <w:b/>
          <w:bCs/>
          <w:color w:val="000000" w:themeColor="text1"/>
          <w:sz w:val="36"/>
          <w:szCs w:val="44"/>
          <w:highlight w:val="white"/>
          <w14:textFill>
            <w14:solidFill>
              <w14:schemeClr w14:val="tx1"/>
            </w14:solidFill>
          </w14:textFill>
        </w:rPr>
        <w:sectPr>
          <w:headerReference r:id="rId4" w:type="first"/>
          <w:headerReference r:id="rId3" w:type="even"/>
          <w:pgSz w:w="11906" w:h="16838"/>
          <w:pgMar w:top="1440" w:right="1797" w:bottom="1440" w:left="1797" w:header="851" w:footer="992" w:gutter="0"/>
          <w:pgNumType w:fmt="decimal" w:start="0"/>
          <w:cols w:space="720" w:num="1"/>
          <w:docGrid w:linePitch="312" w:charSpace="0"/>
        </w:sectPr>
      </w:pPr>
      <w:bookmarkStart w:id="3" w:name="EBa2fad4264ddd4c0d8504bb183948d98b"/>
    </w:p>
    <w:p w14:paraId="4A2210E2">
      <w:pPr>
        <w:wordWrap w:val="0"/>
        <w:jc w:val="center"/>
        <w:rPr>
          <w:rFonts w:ascii="宋体" w:hAnsi="宋体" w:cs="宋体"/>
          <w:b/>
          <w:bCs/>
          <w:color w:val="000000" w:themeColor="text1"/>
          <w:sz w:val="40"/>
          <w:szCs w:val="44"/>
          <w14:textFill>
            <w14:solidFill>
              <w14:schemeClr w14:val="tx1"/>
            </w14:solidFill>
          </w14:textFill>
        </w:rPr>
      </w:pPr>
      <w:r>
        <w:rPr>
          <w:rFonts w:hint="eastAsia" w:ascii="宋体" w:hAnsi="宋体" w:cs="宋体"/>
          <w:b/>
          <w:bCs/>
          <w:color w:val="000000" w:themeColor="text1"/>
          <w:sz w:val="36"/>
          <w:szCs w:val="44"/>
          <w:highlight w:val="white"/>
          <w14:textFill>
            <w14:solidFill>
              <w14:schemeClr w14:val="tx1"/>
            </w14:solidFill>
          </w14:textFill>
        </w:rPr>
        <w:t xml:space="preserve"> </w:t>
      </w:r>
      <w:bookmarkEnd w:id="3"/>
      <w:r>
        <w:rPr>
          <w:rFonts w:hint="eastAsia" w:ascii="宋体" w:hAnsi="宋体" w:cs="宋体"/>
          <w:b/>
          <w:bCs/>
          <w:color w:val="000000" w:themeColor="text1"/>
          <w:sz w:val="40"/>
          <w:szCs w:val="44"/>
          <w:highlight w:val="white"/>
          <w14:textFill>
            <w14:solidFill>
              <w14:schemeClr w14:val="tx1"/>
            </w14:solidFill>
          </w14:textFill>
        </w:rPr>
        <w:t>目  录</w:t>
      </w:r>
    </w:p>
    <w:p w14:paraId="512254DD">
      <w:pPr>
        <w:pStyle w:val="24"/>
        <w:tabs>
          <w:tab w:val="right" w:leader="dot" w:pos="8312"/>
          <w:tab w:val="clear" w:pos="8222"/>
        </w:tabs>
        <w:wordWrap w:val="0"/>
        <w:spacing w:line="560" w:lineRule="atLeas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fldChar w:fldCharType="begin"/>
      </w:r>
      <w:r>
        <w:rPr>
          <w:rFonts w:hint="eastAsia" w:ascii="宋体" w:hAnsi="宋体" w:cs="宋体"/>
          <w:color w:val="000000" w:themeColor="text1"/>
          <w:highlight w:val="white"/>
          <w14:textFill>
            <w14:solidFill>
              <w14:schemeClr w14:val="tx1"/>
            </w14:solidFill>
          </w14:textFill>
        </w:rPr>
        <w:instrText xml:space="preserve"> TOC \o "1-3" \h \z \u </w:instrText>
      </w:r>
      <w:r>
        <w:rPr>
          <w:rFonts w:hint="eastAsia" w:ascii="宋体" w:hAnsi="宋体" w:cs="宋体"/>
          <w:color w:val="000000" w:themeColor="text1"/>
          <w14:textFill>
            <w14:solidFill>
              <w14:schemeClr w14:val="tx1"/>
            </w14:solidFill>
          </w14:textFill>
        </w:rPr>
        <w:fldChar w:fldCharType="separate"/>
      </w:r>
      <w:r>
        <w:fldChar w:fldCharType="begin"/>
      </w:r>
      <w:r>
        <w:instrText xml:space="preserve"> HYPERLINK \l "_Toc32076" </w:instrText>
      </w:r>
      <w:r>
        <w:fldChar w:fldCharType="separate"/>
      </w:r>
      <w:r>
        <w:rPr>
          <w:rFonts w:hint="eastAsia" w:ascii="宋体" w:hAnsi="宋体" w:cs="宋体"/>
          <w:color w:val="000000" w:themeColor="text1"/>
          <w:highlight w:val="white"/>
          <w14:textFill>
            <w14:solidFill>
              <w14:schemeClr w14:val="tx1"/>
            </w14:solidFill>
          </w14:textFill>
        </w:rPr>
        <w:t>第一章 竞争性磋商公告</w:t>
      </w:r>
      <w:r>
        <w:rPr>
          <w:rFonts w:hint="eastAsia" w:ascii="宋体" w:hAnsi="宋体" w:cs="宋体"/>
          <w:color w:val="000000" w:themeColor="text1"/>
          <w14:textFill>
            <w14:solidFill>
              <w14:schemeClr w14:val="tx1"/>
            </w14:solidFill>
          </w14:textFill>
        </w:rPr>
        <w:tab/>
      </w:r>
      <w:r>
        <w:rPr>
          <w:rFonts w:hint="eastAsia" w:ascii="宋体" w:hAnsi="宋体" w:cs="宋体"/>
          <w:color w:val="000000" w:themeColor="text1"/>
          <w14:textFill>
            <w14:solidFill>
              <w14:schemeClr w14:val="tx1"/>
            </w14:solidFill>
          </w14:textFill>
        </w:rPr>
        <w:fldChar w:fldCharType="begin"/>
      </w:r>
      <w:r>
        <w:rPr>
          <w:rFonts w:hint="eastAsia" w:ascii="宋体" w:hAnsi="宋体" w:cs="宋体"/>
          <w:color w:val="000000" w:themeColor="text1"/>
          <w14:textFill>
            <w14:solidFill>
              <w14:schemeClr w14:val="tx1"/>
            </w14:solidFill>
          </w14:textFill>
        </w:rPr>
        <w:instrText xml:space="preserve"> PAGEREF _Toc32076 </w:instrText>
      </w:r>
      <w:r>
        <w:rPr>
          <w:rFonts w:hint="eastAsia" w:ascii="宋体" w:hAnsi="宋体" w:cs="宋体"/>
          <w:color w:val="000000" w:themeColor="text1"/>
          <w14:textFill>
            <w14:solidFill>
              <w14:schemeClr w14:val="tx1"/>
            </w14:solidFill>
          </w14:textFill>
        </w:rPr>
        <w:fldChar w:fldCharType="separate"/>
      </w:r>
      <w:r>
        <w:rPr>
          <w:rFonts w:hint="eastAsia" w:ascii="宋体" w:hAnsi="宋体" w:cs="宋体"/>
          <w:color w:val="000000" w:themeColor="text1"/>
          <w14:textFill>
            <w14:solidFill>
              <w14:schemeClr w14:val="tx1"/>
            </w14:solidFill>
          </w14:textFill>
        </w:rPr>
        <w:t>2</w:t>
      </w:r>
      <w:r>
        <w:rPr>
          <w:rFonts w:hint="eastAsia" w:ascii="宋体" w:hAnsi="宋体" w:cs="宋体"/>
          <w:color w:val="000000" w:themeColor="text1"/>
          <w14:textFill>
            <w14:solidFill>
              <w14:schemeClr w14:val="tx1"/>
            </w14:solidFill>
          </w14:textFill>
        </w:rPr>
        <w:fldChar w:fldCharType="end"/>
      </w:r>
      <w:r>
        <w:rPr>
          <w:rFonts w:hint="eastAsia" w:ascii="宋体" w:hAnsi="宋体" w:cs="宋体"/>
          <w:color w:val="000000" w:themeColor="text1"/>
          <w14:textFill>
            <w14:solidFill>
              <w14:schemeClr w14:val="tx1"/>
            </w14:solidFill>
          </w14:textFill>
        </w:rPr>
        <w:fldChar w:fldCharType="end"/>
      </w:r>
    </w:p>
    <w:p w14:paraId="395D7CCB">
      <w:pPr>
        <w:pStyle w:val="24"/>
        <w:tabs>
          <w:tab w:val="right" w:leader="dot" w:pos="8312"/>
          <w:tab w:val="clear" w:pos="8222"/>
        </w:tabs>
        <w:wordWrap w:val="0"/>
        <w:spacing w:line="560" w:lineRule="atLeast"/>
        <w:rPr>
          <w:rFonts w:ascii="宋体" w:hAnsi="宋体" w:cs="宋体"/>
          <w:color w:val="000000" w:themeColor="text1"/>
          <w14:textFill>
            <w14:solidFill>
              <w14:schemeClr w14:val="tx1"/>
            </w14:solidFill>
          </w14:textFill>
        </w:rPr>
      </w:pPr>
      <w:r>
        <w:fldChar w:fldCharType="begin"/>
      </w:r>
      <w:r>
        <w:instrText xml:space="preserve"> HYPERLINK \l "_Toc8684" </w:instrText>
      </w:r>
      <w:r>
        <w:fldChar w:fldCharType="separate"/>
      </w:r>
      <w:r>
        <w:rPr>
          <w:rFonts w:hint="eastAsia" w:ascii="宋体" w:hAnsi="宋体" w:cs="宋体"/>
          <w:color w:val="000000" w:themeColor="text1"/>
          <w:highlight w:val="white"/>
          <w14:textFill>
            <w14:solidFill>
              <w14:schemeClr w14:val="tx1"/>
            </w14:solidFill>
          </w14:textFill>
        </w:rPr>
        <w:t>第二章 供应商须知</w:t>
      </w:r>
      <w:r>
        <w:rPr>
          <w:rFonts w:hint="eastAsia" w:ascii="宋体" w:hAnsi="宋体" w:cs="宋体"/>
          <w:color w:val="000000" w:themeColor="text1"/>
          <w14:textFill>
            <w14:solidFill>
              <w14:schemeClr w14:val="tx1"/>
            </w14:solidFill>
          </w14:textFill>
        </w:rPr>
        <w:tab/>
      </w:r>
      <w:r>
        <w:rPr>
          <w:rFonts w:hint="eastAsia" w:ascii="宋体" w:hAnsi="宋体" w:cs="宋体"/>
          <w:color w:val="000000" w:themeColor="text1"/>
          <w14:textFill>
            <w14:solidFill>
              <w14:schemeClr w14:val="tx1"/>
            </w14:solidFill>
          </w14:textFill>
        </w:rPr>
        <w:fldChar w:fldCharType="begin"/>
      </w:r>
      <w:r>
        <w:rPr>
          <w:rFonts w:hint="eastAsia" w:ascii="宋体" w:hAnsi="宋体" w:cs="宋体"/>
          <w:color w:val="000000" w:themeColor="text1"/>
          <w14:textFill>
            <w14:solidFill>
              <w14:schemeClr w14:val="tx1"/>
            </w14:solidFill>
          </w14:textFill>
        </w:rPr>
        <w:instrText xml:space="preserve"> PAGEREF _Toc8684 </w:instrText>
      </w:r>
      <w:r>
        <w:rPr>
          <w:rFonts w:hint="eastAsia" w:ascii="宋体" w:hAnsi="宋体" w:cs="宋体"/>
          <w:color w:val="000000" w:themeColor="text1"/>
          <w14:textFill>
            <w14:solidFill>
              <w14:schemeClr w14:val="tx1"/>
            </w14:solidFill>
          </w14:textFill>
        </w:rPr>
        <w:fldChar w:fldCharType="separate"/>
      </w:r>
      <w:r>
        <w:rPr>
          <w:rFonts w:hint="eastAsia" w:ascii="宋体" w:hAnsi="宋体" w:cs="宋体"/>
          <w:color w:val="000000" w:themeColor="text1"/>
          <w14:textFill>
            <w14:solidFill>
              <w14:schemeClr w14:val="tx1"/>
            </w14:solidFill>
          </w14:textFill>
        </w:rPr>
        <w:t>6</w:t>
      </w:r>
      <w:r>
        <w:rPr>
          <w:rFonts w:hint="eastAsia" w:ascii="宋体" w:hAnsi="宋体" w:cs="宋体"/>
          <w:color w:val="000000" w:themeColor="text1"/>
          <w14:textFill>
            <w14:solidFill>
              <w14:schemeClr w14:val="tx1"/>
            </w14:solidFill>
          </w14:textFill>
        </w:rPr>
        <w:fldChar w:fldCharType="end"/>
      </w:r>
      <w:r>
        <w:rPr>
          <w:rFonts w:hint="eastAsia" w:ascii="宋体" w:hAnsi="宋体" w:cs="宋体"/>
          <w:color w:val="000000" w:themeColor="text1"/>
          <w14:textFill>
            <w14:solidFill>
              <w14:schemeClr w14:val="tx1"/>
            </w14:solidFill>
          </w14:textFill>
        </w:rPr>
        <w:fldChar w:fldCharType="end"/>
      </w:r>
    </w:p>
    <w:p w14:paraId="1104EE5C">
      <w:pPr>
        <w:pStyle w:val="24"/>
        <w:tabs>
          <w:tab w:val="right" w:leader="dot" w:pos="8312"/>
          <w:tab w:val="clear" w:pos="8222"/>
        </w:tabs>
        <w:wordWrap w:val="0"/>
        <w:spacing w:line="560" w:lineRule="atLeast"/>
        <w:rPr>
          <w:rFonts w:ascii="宋体" w:hAnsi="宋体" w:cs="宋体"/>
          <w:color w:val="000000" w:themeColor="text1"/>
          <w14:textFill>
            <w14:solidFill>
              <w14:schemeClr w14:val="tx1"/>
            </w14:solidFill>
          </w14:textFill>
        </w:rPr>
      </w:pPr>
      <w:r>
        <w:fldChar w:fldCharType="begin"/>
      </w:r>
      <w:r>
        <w:instrText xml:space="preserve"> HYPERLINK \l "_Toc11453" </w:instrText>
      </w:r>
      <w:r>
        <w:fldChar w:fldCharType="separate"/>
      </w:r>
      <w:r>
        <w:rPr>
          <w:rFonts w:hint="eastAsia" w:ascii="宋体" w:hAnsi="宋体" w:cs="宋体"/>
          <w:color w:val="000000" w:themeColor="text1"/>
          <w:highlight w:val="white"/>
          <w14:textFill>
            <w14:solidFill>
              <w14:schemeClr w14:val="tx1"/>
            </w14:solidFill>
          </w14:textFill>
        </w:rPr>
        <w:t>第三章 采购需求</w:t>
      </w:r>
      <w:r>
        <w:rPr>
          <w:rFonts w:hint="eastAsia" w:ascii="宋体" w:hAnsi="宋体" w:cs="宋体"/>
          <w:color w:val="000000" w:themeColor="text1"/>
          <w14:textFill>
            <w14:solidFill>
              <w14:schemeClr w14:val="tx1"/>
            </w14:solidFill>
          </w14:textFill>
        </w:rPr>
        <w:tab/>
      </w:r>
      <w:r>
        <w:rPr>
          <w:rFonts w:hint="eastAsia" w:ascii="宋体" w:hAnsi="宋体" w:cs="宋体"/>
          <w:color w:val="000000" w:themeColor="text1"/>
          <w14:textFill>
            <w14:solidFill>
              <w14:schemeClr w14:val="tx1"/>
            </w14:solidFill>
          </w14:textFill>
        </w:rPr>
        <w:fldChar w:fldCharType="begin"/>
      </w:r>
      <w:r>
        <w:rPr>
          <w:rFonts w:hint="eastAsia" w:ascii="宋体" w:hAnsi="宋体" w:cs="宋体"/>
          <w:color w:val="000000" w:themeColor="text1"/>
          <w14:textFill>
            <w14:solidFill>
              <w14:schemeClr w14:val="tx1"/>
            </w14:solidFill>
          </w14:textFill>
        </w:rPr>
        <w:instrText xml:space="preserve"> PAGEREF _Toc11453 </w:instrText>
      </w:r>
      <w:r>
        <w:rPr>
          <w:rFonts w:hint="eastAsia" w:ascii="宋体" w:hAnsi="宋体" w:cs="宋体"/>
          <w:color w:val="000000" w:themeColor="text1"/>
          <w14:textFill>
            <w14:solidFill>
              <w14:schemeClr w14:val="tx1"/>
            </w14:solidFill>
          </w14:textFill>
        </w:rPr>
        <w:fldChar w:fldCharType="separate"/>
      </w:r>
      <w:r>
        <w:rPr>
          <w:rFonts w:hint="eastAsia" w:ascii="宋体" w:hAnsi="宋体" w:cs="宋体"/>
          <w:color w:val="000000" w:themeColor="text1"/>
          <w14:textFill>
            <w14:solidFill>
              <w14:schemeClr w14:val="tx1"/>
            </w14:solidFill>
          </w14:textFill>
        </w:rPr>
        <w:t>30</w:t>
      </w:r>
      <w:r>
        <w:rPr>
          <w:rFonts w:hint="eastAsia" w:ascii="宋体" w:hAnsi="宋体" w:cs="宋体"/>
          <w:color w:val="000000" w:themeColor="text1"/>
          <w14:textFill>
            <w14:solidFill>
              <w14:schemeClr w14:val="tx1"/>
            </w14:solidFill>
          </w14:textFill>
        </w:rPr>
        <w:fldChar w:fldCharType="end"/>
      </w:r>
      <w:r>
        <w:rPr>
          <w:rFonts w:hint="eastAsia" w:ascii="宋体" w:hAnsi="宋体" w:cs="宋体"/>
          <w:color w:val="000000" w:themeColor="text1"/>
          <w14:textFill>
            <w14:solidFill>
              <w14:schemeClr w14:val="tx1"/>
            </w14:solidFill>
          </w14:textFill>
        </w:rPr>
        <w:fldChar w:fldCharType="end"/>
      </w:r>
    </w:p>
    <w:p w14:paraId="3C99F9F1">
      <w:pPr>
        <w:pStyle w:val="24"/>
        <w:tabs>
          <w:tab w:val="right" w:leader="dot" w:pos="8312"/>
          <w:tab w:val="clear" w:pos="8222"/>
        </w:tabs>
        <w:wordWrap w:val="0"/>
        <w:spacing w:line="560" w:lineRule="atLeast"/>
        <w:rPr>
          <w:rFonts w:hint="eastAsia" w:ascii="宋体" w:hAnsi="宋体" w:eastAsia="宋体" w:cs="宋体"/>
          <w:color w:val="000000" w:themeColor="text1"/>
          <w:lang w:val="en-US" w:eastAsia="zh-CN"/>
          <w14:textFill>
            <w14:solidFill>
              <w14:schemeClr w14:val="tx1"/>
            </w14:solidFill>
          </w14:textFill>
        </w:rPr>
      </w:pPr>
      <w:r>
        <w:fldChar w:fldCharType="begin"/>
      </w:r>
      <w:r>
        <w:instrText xml:space="preserve"> HYPERLINK \l "_Toc6049" </w:instrText>
      </w:r>
      <w:r>
        <w:fldChar w:fldCharType="separate"/>
      </w:r>
      <w:r>
        <w:rPr>
          <w:rFonts w:hint="eastAsia" w:ascii="宋体" w:hAnsi="宋体" w:cs="宋体"/>
          <w:color w:val="000000" w:themeColor="text1"/>
          <w:highlight w:val="white"/>
          <w14:textFill>
            <w14:solidFill>
              <w14:schemeClr w14:val="tx1"/>
            </w14:solidFill>
          </w14:textFill>
        </w:rPr>
        <w:t>第四章 评审方法</w:t>
      </w:r>
      <w:r>
        <w:rPr>
          <w:rFonts w:hint="eastAsia" w:ascii="宋体" w:hAnsi="宋体" w:cs="宋体"/>
          <w:color w:val="000000" w:themeColor="text1"/>
          <w14:textFill>
            <w14:solidFill>
              <w14:schemeClr w14:val="tx1"/>
            </w14:solidFill>
          </w14:textFill>
        </w:rPr>
        <w:tab/>
      </w:r>
      <w:r>
        <w:rPr>
          <w:rFonts w:hint="eastAsia" w:ascii="宋体" w:hAnsi="宋体" w:cs="宋体"/>
          <w:color w:val="000000" w:themeColor="text1"/>
          <w:lang w:val="en-US" w:eastAsia="zh-CN"/>
          <w14:textFill>
            <w14:solidFill>
              <w14:schemeClr w14:val="tx1"/>
            </w14:solidFill>
          </w14:textFill>
        </w:rPr>
        <w:t>3</w:t>
      </w:r>
      <w:r>
        <w:rPr>
          <w:rFonts w:hint="eastAsia" w:ascii="宋体" w:hAnsi="宋体" w:cs="宋体"/>
          <w:color w:val="000000" w:themeColor="text1"/>
          <w14:textFill>
            <w14:solidFill>
              <w14:schemeClr w14:val="tx1"/>
            </w14:solidFill>
          </w14:textFill>
        </w:rPr>
        <w:fldChar w:fldCharType="end"/>
      </w:r>
      <w:r>
        <w:rPr>
          <w:rFonts w:hint="eastAsia" w:ascii="宋体" w:hAnsi="宋体" w:cs="宋体"/>
          <w:color w:val="000000" w:themeColor="text1"/>
          <w:lang w:val="en-US" w:eastAsia="zh-CN"/>
          <w14:textFill>
            <w14:solidFill>
              <w14:schemeClr w14:val="tx1"/>
            </w14:solidFill>
          </w14:textFill>
        </w:rPr>
        <w:t>1</w:t>
      </w:r>
    </w:p>
    <w:p w14:paraId="50E5C78F">
      <w:pPr>
        <w:pStyle w:val="24"/>
        <w:tabs>
          <w:tab w:val="right" w:leader="dot" w:pos="8312"/>
          <w:tab w:val="clear" w:pos="8222"/>
        </w:tabs>
        <w:wordWrap w:val="0"/>
        <w:spacing w:line="560" w:lineRule="atLeast"/>
        <w:rPr>
          <w:rFonts w:ascii="宋体" w:hAnsi="宋体" w:cs="宋体"/>
          <w:color w:val="000000" w:themeColor="text1"/>
          <w14:textFill>
            <w14:solidFill>
              <w14:schemeClr w14:val="tx1"/>
            </w14:solidFill>
          </w14:textFill>
        </w:rPr>
      </w:pPr>
      <w:r>
        <w:fldChar w:fldCharType="begin"/>
      </w:r>
      <w:r>
        <w:instrText xml:space="preserve"> HYPERLINK \l "_Toc8050" </w:instrText>
      </w:r>
      <w:r>
        <w:fldChar w:fldCharType="separate"/>
      </w:r>
      <w:r>
        <w:rPr>
          <w:rFonts w:hint="eastAsia" w:ascii="宋体" w:hAnsi="宋体" w:cs="宋体"/>
          <w:color w:val="000000" w:themeColor="text1"/>
          <w:highlight w:val="white"/>
          <w14:textFill>
            <w14:solidFill>
              <w14:schemeClr w14:val="tx1"/>
            </w14:solidFill>
          </w14:textFill>
        </w:rPr>
        <w:t>第五章 合同格式及合同条款</w:t>
      </w:r>
      <w:r>
        <w:rPr>
          <w:rFonts w:hint="eastAsia" w:ascii="宋体" w:hAnsi="宋体" w:cs="宋体"/>
          <w:color w:val="000000" w:themeColor="text1"/>
          <w14:textFill>
            <w14:solidFill>
              <w14:schemeClr w14:val="tx1"/>
            </w14:solidFill>
          </w14:textFill>
        </w:rPr>
        <w:tab/>
      </w:r>
      <w:r>
        <w:rPr>
          <w:rFonts w:hint="eastAsia" w:ascii="宋体" w:hAnsi="宋体" w:cs="宋体"/>
          <w:color w:val="000000" w:themeColor="text1"/>
          <w14:textFill>
            <w14:solidFill>
              <w14:schemeClr w14:val="tx1"/>
            </w14:solidFill>
          </w14:textFill>
        </w:rPr>
        <w:fldChar w:fldCharType="begin"/>
      </w:r>
      <w:r>
        <w:rPr>
          <w:rFonts w:hint="eastAsia" w:ascii="宋体" w:hAnsi="宋体" w:cs="宋体"/>
          <w:color w:val="000000" w:themeColor="text1"/>
          <w14:textFill>
            <w14:solidFill>
              <w14:schemeClr w14:val="tx1"/>
            </w14:solidFill>
          </w14:textFill>
        </w:rPr>
        <w:instrText xml:space="preserve"> PAGEREF _Toc8050 </w:instrText>
      </w:r>
      <w:r>
        <w:rPr>
          <w:rFonts w:hint="eastAsia" w:ascii="宋体" w:hAnsi="宋体" w:cs="宋体"/>
          <w:color w:val="000000" w:themeColor="text1"/>
          <w14:textFill>
            <w14:solidFill>
              <w14:schemeClr w14:val="tx1"/>
            </w14:solidFill>
          </w14:textFill>
        </w:rPr>
        <w:fldChar w:fldCharType="separate"/>
      </w:r>
      <w:r>
        <w:rPr>
          <w:rFonts w:hint="eastAsia" w:ascii="宋体" w:hAnsi="宋体" w:cs="宋体"/>
          <w:color w:val="000000" w:themeColor="text1"/>
          <w14:textFill>
            <w14:solidFill>
              <w14:schemeClr w14:val="tx1"/>
            </w14:solidFill>
          </w14:textFill>
        </w:rPr>
        <w:t>35</w:t>
      </w:r>
      <w:r>
        <w:rPr>
          <w:rFonts w:hint="eastAsia" w:ascii="宋体" w:hAnsi="宋体" w:cs="宋体"/>
          <w:color w:val="000000" w:themeColor="text1"/>
          <w14:textFill>
            <w14:solidFill>
              <w14:schemeClr w14:val="tx1"/>
            </w14:solidFill>
          </w14:textFill>
        </w:rPr>
        <w:fldChar w:fldCharType="end"/>
      </w:r>
      <w:r>
        <w:rPr>
          <w:rFonts w:hint="eastAsia" w:ascii="宋体" w:hAnsi="宋体" w:cs="宋体"/>
          <w:color w:val="000000" w:themeColor="text1"/>
          <w14:textFill>
            <w14:solidFill>
              <w14:schemeClr w14:val="tx1"/>
            </w14:solidFill>
          </w14:textFill>
        </w:rPr>
        <w:fldChar w:fldCharType="end"/>
      </w:r>
    </w:p>
    <w:p w14:paraId="4C1BB63F">
      <w:pPr>
        <w:pStyle w:val="24"/>
        <w:tabs>
          <w:tab w:val="right" w:leader="dot" w:pos="8312"/>
          <w:tab w:val="clear" w:pos="8222"/>
        </w:tabs>
        <w:wordWrap w:val="0"/>
        <w:spacing w:line="560" w:lineRule="atLeast"/>
        <w:rPr>
          <w:rFonts w:hint="default" w:ascii="宋体" w:hAnsi="宋体" w:eastAsia="宋体" w:cs="宋体"/>
          <w:color w:val="000000" w:themeColor="text1"/>
          <w:lang w:val="en-US" w:eastAsia="zh-CN"/>
          <w14:textFill>
            <w14:solidFill>
              <w14:schemeClr w14:val="tx1"/>
            </w14:solidFill>
          </w14:textFill>
        </w:rPr>
      </w:pPr>
      <w:r>
        <w:fldChar w:fldCharType="begin"/>
      </w:r>
      <w:r>
        <w:instrText xml:space="preserve"> HYPERLINK \l "_Toc9228" </w:instrText>
      </w:r>
      <w:r>
        <w:fldChar w:fldCharType="separate"/>
      </w:r>
      <w:r>
        <w:rPr>
          <w:rFonts w:hint="eastAsia" w:ascii="宋体" w:hAnsi="宋体" w:cs="宋体"/>
          <w:color w:val="000000" w:themeColor="text1"/>
          <w:highlight w:val="white"/>
          <w14:textFill>
            <w14:solidFill>
              <w14:schemeClr w14:val="tx1"/>
            </w14:solidFill>
          </w14:textFill>
        </w:rPr>
        <w:t>第六章 竞争性磋商响应文件格式</w:t>
      </w:r>
      <w:r>
        <w:rPr>
          <w:rFonts w:hint="eastAsia" w:ascii="宋体" w:hAnsi="宋体" w:cs="宋体"/>
          <w:color w:val="000000" w:themeColor="text1"/>
          <w14:textFill>
            <w14:solidFill>
              <w14:schemeClr w14:val="tx1"/>
            </w14:solidFill>
          </w14:textFill>
        </w:rPr>
        <w:tab/>
      </w:r>
      <w:r>
        <w:rPr>
          <w:rFonts w:hint="eastAsia" w:ascii="宋体" w:hAnsi="宋体" w:cs="宋体"/>
          <w:color w:val="000000" w:themeColor="text1"/>
          <w14:textFill>
            <w14:solidFill>
              <w14:schemeClr w14:val="tx1"/>
            </w14:solidFill>
          </w14:textFill>
        </w:rPr>
        <w:fldChar w:fldCharType="end"/>
      </w:r>
      <w:r>
        <w:rPr>
          <w:rFonts w:hint="eastAsia" w:ascii="宋体" w:hAnsi="宋体" w:cs="宋体"/>
          <w:color w:val="000000" w:themeColor="text1"/>
          <w:lang w:val="en-US" w:eastAsia="zh-CN"/>
          <w14:textFill>
            <w14:solidFill>
              <w14:schemeClr w14:val="tx1"/>
            </w14:solidFill>
          </w14:textFill>
        </w:rPr>
        <w:t>50</w:t>
      </w:r>
    </w:p>
    <w:p w14:paraId="55B6FB90">
      <w:pPr>
        <w:wordWrap w:val="0"/>
        <w:spacing w:line="560" w:lineRule="atLeast"/>
        <w:rPr>
          <w:rFonts w:ascii="宋体" w:hAnsi="宋体" w:cs="宋体"/>
          <w:bCs/>
          <w:color w:val="000000" w:themeColor="text1"/>
          <w:lang w:val="zh-CN"/>
          <w14:textFill>
            <w14:solidFill>
              <w14:schemeClr w14:val="tx1"/>
            </w14:solidFill>
          </w14:textFill>
        </w:rPr>
      </w:pPr>
      <w:r>
        <w:rPr>
          <w:rFonts w:hint="eastAsia" w:ascii="宋体" w:hAnsi="宋体" w:cs="宋体"/>
          <w:bCs/>
          <w:color w:val="000000" w:themeColor="text1"/>
          <w:lang w:val="zh-CN"/>
          <w14:textFill>
            <w14:solidFill>
              <w14:schemeClr w14:val="tx1"/>
            </w14:solidFill>
          </w14:textFill>
        </w:rPr>
        <w:fldChar w:fldCharType="end"/>
      </w:r>
    </w:p>
    <w:p w14:paraId="254DD8EE">
      <w:pPr>
        <w:widowControl/>
        <w:wordWrap w:val="0"/>
        <w:jc w:val="center"/>
        <w:rPr>
          <w:rFonts w:ascii="宋体" w:hAnsi="宋体" w:cs="宋体"/>
          <w:b/>
          <w:bCs/>
          <w:color w:val="000000" w:themeColor="text1"/>
          <w:sz w:val="40"/>
          <w:szCs w:val="44"/>
          <w14:textFill>
            <w14:solidFill>
              <w14:schemeClr w14:val="tx1"/>
            </w14:solidFill>
          </w14:textFill>
        </w:rPr>
      </w:pPr>
      <w:r>
        <w:rPr>
          <w:rFonts w:hint="eastAsia" w:ascii="宋体" w:hAnsi="宋体" w:cs="宋体"/>
          <w:color w:val="000000" w:themeColor="text1"/>
          <w:highlight w:val="white"/>
          <w14:textFill>
            <w14:solidFill>
              <w14:schemeClr w14:val="tx1"/>
            </w14:solidFill>
          </w14:textFill>
        </w:rPr>
        <w:br w:type="page"/>
      </w:r>
      <w:bookmarkStart w:id="4" w:name="_Toc534380783"/>
      <w:bookmarkStart w:id="5" w:name="_Toc456718475"/>
      <w:bookmarkStart w:id="6" w:name="_Toc32076"/>
      <w:bookmarkStart w:id="7" w:name="_Toc456718476"/>
      <w:r>
        <w:rPr>
          <w:rFonts w:hint="eastAsia" w:ascii="宋体" w:hAnsi="宋体" w:cs="宋体"/>
          <w:b/>
          <w:bCs/>
          <w:color w:val="000000" w:themeColor="text1"/>
          <w:sz w:val="40"/>
          <w:szCs w:val="44"/>
          <w:highlight w:val="white"/>
          <w14:textFill>
            <w14:solidFill>
              <w14:schemeClr w14:val="tx1"/>
            </w14:solidFill>
          </w14:textFill>
        </w:rPr>
        <w:t>第一章 竞争性磋商</w:t>
      </w:r>
      <w:bookmarkEnd w:id="4"/>
      <w:bookmarkEnd w:id="5"/>
      <w:r>
        <w:rPr>
          <w:rFonts w:hint="eastAsia" w:ascii="宋体" w:hAnsi="宋体" w:cs="宋体"/>
          <w:b/>
          <w:bCs/>
          <w:color w:val="000000" w:themeColor="text1"/>
          <w:sz w:val="40"/>
          <w:szCs w:val="44"/>
          <w:highlight w:val="white"/>
          <w14:textFill>
            <w14:solidFill>
              <w14:schemeClr w14:val="tx1"/>
            </w14:solidFill>
          </w14:textFill>
        </w:rPr>
        <w:t>公告</w:t>
      </w:r>
      <w:bookmarkEnd w:id="6"/>
    </w:p>
    <w:p w14:paraId="53719C57">
      <w:pPr>
        <w:wordWrap w:val="0"/>
        <w:rPr>
          <w:rFonts w:ascii="宋体" w:hAnsi="宋体" w:cs="宋体"/>
          <w:color w:val="000000" w:themeColor="text1"/>
          <w:highlight w:val="red"/>
          <w14:textFill>
            <w14:solidFill>
              <w14:schemeClr w14:val="tx1"/>
            </w14:solidFill>
          </w14:textFill>
        </w:rPr>
      </w:pPr>
      <w:bookmarkStart w:id="8" w:name="EBf4007ef6e39645fe8182334ca22855a9"/>
    </w:p>
    <w:p w14:paraId="428AA88A">
      <w:pPr>
        <w:pStyle w:val="3"/>
        <w:keepNext w:val="0"/>
        <w:keepLines w:val="0"/>
        <w:pageBreakBefore w:val="0"/>
        <w:widowControl/>
        <w:kinsoku/>
        <w:wordWrap w:val="0"/>
        <w:overflowPunct/>
        <w:topLinePunct w:val="0"/>
        <w:autoSpaceDE/>
        <w:autoSpaceDN/>
        <w:bidi w:val="0"/>
        <w:adjustRightInd/>
        <w:snapToGrid/>
        <w:spacing w:before="0" w:after="0" w:line="360" w:lineRule="auto"/>
        <w:textAlignment w:val="auto"/>
        <w:rPr>
          <w:rFonts w:hint="eastAsia" w:ascii="宋体" w:hAnsi="宋体" w:cs="宋体"/>
          <w:b/>
          <w:bCs w:val="0"/>
          <w:color w:val="000000" w:themeColor="text1"/>
          <w:sz w:val="36"/>
          <w:szCs w:val="36"/>
          <w14:textFill>
            <w14:solidFill>
              <w14:schemeClr w14:val="tx1"/>
            </w14:solidFill>
          </w14:textFill>
        </w:rPr>
      </w:pPr>
      <w:r>
        <w:rPr>
          <w:rFonts w:hint="eastAsia" w:hAnsi="宋体" w:cs="宋体"/>
          <w:b/>
          <w:bCs w:val="0"/>
          <w:color w:val="000000" w:themeColor="text1"/>
          <w:sz w:val="36"/>
          <w:szCs w:val="36"/>
          <w:lang w:val="en-US" w:eastAsia="zh-CN"/>
          <w14:textFill>
            <w14:solidFill>
              <w14:schemeClr w14:val="tx1"/>
            </w14:solidFill>
          </w14:textFill>
        </w:rPr>
        <w:t>2025年体育健身达标活动项目</w:t>
      </w:r>
    </w:p>
    <w:p w14:paraId="0F4DB0EF">
      <w:pPr>
        <w:pStyle w:val="3"/>
        <w:keepNext w:val="0"/>
        <w:keepLines w:val="0"/>
        <w:pageBreakBefore w:val="0"/>
        <w:widowControl/>
        <w:kinsoku/>
        <w:wordWrap w:val="0"/>
        <w:overflowPunct/>
        <w:topLinePunct w:val="0"/>
        <w:autoSpaceDE/>
        <w:autoSpaceDN/>
        <w:bidi w:val="0"/>
        <w:adjustRightInd/>
        <w:snapToGrid/>
        <w:spacing w:before="0" w:after="0" w:line="360" w:lineRule="auto"/>
        <w:textAlignment w:val="auto"/>
        <w:rPr>
          <w:rFonts w:hint="eastAsia" w:cs="宋体"/>
          <w:color w:val="auto"/>
          <w:lang w:eastAsia="zh-CN"/>
        </w:rPr>
      </w:pPr>
      <w:r>
        <w:rPr>
          <w:rFonts w:hint="eastAsia" w:ascii="宋体" w:hAnsi="宋体" w:cs="宋体"/>
          <w:b/>
          <w:bCs w:val="0"/>
          <w:color w:val="000000" w:themeColor="text1"/>
          <w:sz w:val="36"/>
          <w:szCs w:val="36"/>
          <w14:textFill>
            <w14:solidFill>
              <w14:schemeClr w14:val="tx1"/>
            </w14:solidFill>
          </w14:textFill>
        </w:rPr>
        <w:t>竞争性磋商公告</w:t>
      </w:r>
    </w:p>
    <w:p w14:paraId="7A06E8DE">
      <w:pPr>
        <w:pBdr>
          <w:top w:val="single" w:color="auto" w:sz="4" w:space="1"/>
          <w:left w:val="single" w:color="auto" w:sz="4" w:space="4"/>
          <w:bottom w:val="single" w:color="auto" w:sz="4" w:space="1"/>
          <w:right w:val="single" w:color="auto" w:sz="4" w:space="4"/>
        </w:pBdr>
        <w:spacing w:line="312" w:lineRule="auto"/>
        <w:rPr>
          <w:rFonts w:ascii="仿宋" w:hAnsi="仿宋" w:eastAsia="仿宋"/>
          <w:color w:val="auto"/>
          <w:sz w:val="24"/>
        </w:rPr>
      </w:pPr>
      <w:r>
        <w:rPr>
          <w:rFonts w:hint="eastAsia" w:ascii="仿宋" w:hAnsi="仿宋" w:eastAsia="仿宋"/>
          <w:color w:val="auto"/>
          <w:sz w:val="24"/>
        </w:rPr>
        <w:t>项目概况</w:t>
      </w:r>
    </w:p>
    <w:p w14:paraId="15150768">
      <w:pPr>
        <w:pBdr>
          <w:top w:val="single" w:color="auto" w:sz="4" w:space="1"/>
          <w:left w:val="single" w:color="auto" w:sz="4" w:space="4"/>
          <w:bottom w:val="single" w:color="auto" w:sz="4" w:space="1"/>
          <w:right w:val="single" w:color="auto" w:sz="4" w:space="4"/>
        </w:pBdr>
        <w:spacing w:line="312" w:lineRule="auto"/>
        <w:ind w:firstLine="480" w:firstLineChars="200"/>
        <w:rPr>
          <w:rFonts w:ascii="仿宋" w:hAnsi="仿宋" w:eastAsia="仿宋"/>
          <w:color w:val="auto"/>
          <w:sz w:val="24"/>
        </w:rPr>
      </w:pPr>
      <w:r>
        <w:rPr>
          <w:rFonts w:hint="eastAsia" w:ascii="仿宋" w:hAnsi="仿宋" w:eastAsia="仿宋" w:cs="Times New Roman"/>
          <w:color w:val="auto"/>
          <w:sz w:val="24"/>
          <w:lang w:eastAsia="zh-CN"/>
        </w:rPr>
        <w:t>2025年体育健身达标活动项目</w:t>
      </w:r>
      <w:r>
        <w:rPr>
          <w:rFonts w:hint="eastAsia" w:ascii="仿宋" w:hAnsi="仿宋" w:eastAsia="仿宋"/>
          <w:color w:val="auto"/>
          <w:sz w:val="24"/>
        </w:rPr>
        <w:t>的潜在供应商应在新疆政府采购网（http://www.ccgp-xinjiang.gov.cn）政采云系统平台线上获取采购文件，并于202</w:t>
      </w:r>
      <w:r>
        <w:rPr>
          <w:rFonts w:hint="eastAsia" w:ascii="仿宋" w:hAnsi="仿宋" w:eastAsia="仿宋"/>
          <w:color w:val="auto"/>
          <w:sz w:val="24"/>
          <w:lang w:val="en-US" w:eastAsia="zh-CN"/>
        </w:rPr>
        <w:t>5</w:t>
      </w:r>
      <w:r>
        <w:rPr>
          <w:rFonts w:hint="eastAsia" w:ascii="仿宋" w:hAnsi="仿宋" w:eastAsia="仿宋"/>
          <w:color w:val="auto"/>
          <w:sz w:val="24"/>
        </w:rPr>
        <w:t>年</w:t>
      </w:r>
      <w:r>
        <w:rPr>
          <w:rFonts w:hint="eastAsia" w:ascii="仿宋" w:hAnsi="仿宋" w:eastAsia="仿宋"/>
          <w:color w:val="auto"/>
          <w:sz w:val="24"/>
          <w:lang w:val="en-US" w:eastAsia="zh-CN"/>
        </w:rPr>
        <w:t>04</w:t>
      </w:r>
      <w:r>
        <w:rPr>
          <w:rFonts w:hint="eastAsia" w:ascii="仿宋" w:hAnsi="仿宋" w:eastAsia="仿宋"/>
          <w:color w:val="auto"/>
          <w:sz w:val="24"/>
        </w:rPr>
        <w:t>月</w:t>
      </w:r>
      <w:r>
        <w:rPr>
          <w:rFonts w:hint="eastAsia" w:ascii="仿宋" w:hAnsi="仿宋" w:eastAsia="仿宋"/>
          <w:color w:val="auto"/>
          <w:sz w:val="24"/>
          <w:lang w:val="en-US" w:eastAsia="zh-CN"/>
        </w:rPr>
        <w:t>11</w:t>
      </w:r>
      <w:r>
        <w:rPr>
          <w:rFonts w:hint="eastAsia" w:ascii="仿宋" w:hAnsi="仿宋" w:eastAsia="仿宋"/>
          <w:color w:val="auto"/>
          <w:sz w:val="24"/>
        </w:rPr>
        <w:t>日10点00分（北京时间）前递交</w:t>
      </w:r>
      <w:r>
        <w:rPr>
          <w:rFonts w:hint="eastAsia" w:ascii="仿宋" w:hAnsi="仿宋" w:eastAsia="仿宋"/>
          <w:color w:val="auto"/>
          <w:sz w:val="24"/>
          <w:lang w:eastAsia="zh-CN"/>
        </w:rPr>
        <w:t>投标</w:t>
      </w:r>
      <w:r>
        <w:rPr>
          <w:rFonts w:hint="eastAsia" w:ascii="仿宋" w:hAnsi="仿宋" w:eastAsia="仿宋"/>
          <w:color w:val="auto"/>
          <w:sz w:val="24"/>
        </w:rPr>
        <w:t>文件。</w:t>
      </w:r>
    </w:p>
    <w:p w14:paraId="370EE4F9">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一、项目基本情况</w:t>
      </w:r>
    </w:p>
    <w:p w14:paraId="1273EA2F">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项目编号：TZYHM-2025-09</w:t>
      </w:r>
    </w:p>
    <w:p w14:paraId="76D9FEB9">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仿宋" w:hAnsi="仿宋" w:eastAsia="仿宋" w:cs="Times New Roman"/>
          <w:color w:val="auto"/>
          <w:sz w:val="24"/>
          <w:lang w:eastAsia="zh-CN"/>
        </w:rPr>
      </w:pPr>
      <w:r>
        <w:rPr>
          <w:rFonts w:hint="eastAsia" w:ascii="仿宋" w:hAnsi="仿宋" w:eastAsia="仿宋" w:cs="仿宋"/>
          <w:color w:val="auto"/>
          <w:kern w:val="2"/>
          <w:sz w:val="24"/>
          <w:szCs w:val="24"/>
          <w:highlight w:val="none"/>
          <w:lang w:val="en-US" w:eastAsia="zh-CN" w:bidi="ar-SA"/>
        </w:rPr>
        <w:t>项目名称：</w:t>
      </w:r>
      <w:r>
        <w:rPr>
          <w:rFonts w:hint="eastAsia" w:ascii="仿宋" w:hAnsi="仿宋" w:eastAsia="仿宋" w:cs="Times New Roman"/>
          <w:color w:val="auto"/>
          <w:sz w:val="24"/>
          <w:lang w:eastAsia="zh-CN"/>
        </w:rPr>
        <w:t>2025年体育健身达标活动项目</w:t>
      </w:r>
    </w:p>
    <w:p w14:paraId="51386C99">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宋体" w:hAnsi="宋体" w:cs="宋体"/>
          <w:b/>
          <w:bCs w:val="0"/>
          <w:color w:val="000000" w:themeColor="text1"/>
          <w:sz w:val="36"/>
          <w:szCs w:val="36"/>
          <w14:textFill>
            <w14:solidFill>
              <w14:schemeClr w14:val="tx1"/>
            </w14:solidFill>
          </w14:textFill>
        </w:rPr>
      </w:pPr>
      <w:r>
        <w:rPr>
          <w:rFonts w:hint="eastAsia" w:ascii="仿宋" w:hAnsi="仿宋" w:eastAsia="仿宋" w:cs="仿宋"/>
          <w:color w:val="auto"/>
          <w:kern w:val="2"/>
          <w:sz w:val="24"/>
          <w:szCs w:val="24"/>
          <w:highlight w:val="none"/>
          <w:lang w:val="en-US" w:eastAsia="zh-CN" w:bidi="ar-SA"/>
        </w:rPr>
        <w:t>采购方式：竞争性磋商</w:t>
      </w:r>
    </w:p>
    <w:p w14:paraId="155F3ADD">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预算金额（元）：600000.00</w:t>
      </w:r>
    </w:p>
    <w:p w14:paraId="7A42A7FC">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最高限价（元）：600000.00</w:t>
      </w:r>
    </w:p>
    <w:p w14:paraId="4BBB0390">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采购需求：详见磋商文件第三章采购需求</w:t>
      </w:r>
    </w:p>
    <w:p w14:paraId="129E94C0">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Times New Roman"/>
          <w:color w:val="auto"/>
          <w:sz w:val="24"/>
          <w:lang w:val="en-US" w:eastAsia="zh-CN"/>
        </w:rPr>
        <w:t>服务期限：自合同签订之日起至2025年12月31日</w:t>
      </w:r>
    </w:p>
    <w:p w14:paraId="1B6C82FB">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仿宋" w:hAnsi="仿宋" w:eastAsia="仿宋" w:cs="Times New Roman"/>
          <w:color w:val="auto"/>
          <w:sz w:val="24"/>
          <w:lang w:val="en-US" w:eastAsia="zh-CN"/>
        </w:rPr>
      </w:pPr>
      <w:r>
        <w:rPr>
          <w:rFonts w:hint="eastAsia" w:ascii="仿宋" w:hAnsi="仿宋" w:eastAsia="仿宋" w:cs="Times New Roman"/>
          <w:color w:val="auto"/>
          <w:sz w:val="24"/>
          <w:lang w:val="en-US" w:eastAsia="zh-CN"/>
        </w:rPr>
        <w:t>本项目（否）接受联合体投标。</w:t>
      </w:r>
    </w:p>
    <w:p w14:paraId="243AB1A8">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二、申请人的资格要求：</w:t>
      </w:r>
    </w:p>
    <w:p w14:paraId="71AA218F">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1.满足《中华人民共和国政府采购法》第二十二条规定；</w:t>
      </w:r>
    </w:p>
    <w:p w14:paraId="7A34C0FC">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2.落实政府采购政策需满足的资格要求：本项目专门面向中小企业</w:t>
      </w:r>
    </w:p>
    <w:p w14:paraId="0764097F">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3.本项目的特定资格要求：</w:t>
      </w:r>
    </w:p>
    <w:p w14:paraId="51615227">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（1）单位负责人为同一人或者存在直接控股、管理关系的不同供应商，不得参加同一合同项下的政府采购活动。</w:t>
      </w:r>
    </w:p>
    <w:p w14:paraId="47C2331E">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（2）根据《财政部关于在政府采购活动中查询及使用信用记录有关问题的通知》（财库﹝2016﹞125号）的要求，凡拟参加本次招标项目的投标人，如在“信用中国”网站（ www.creditchina.gov.cn） 被列入失信被执行人（或中国执行公开网）、重大税收违法失信主体、中国政府采购网（http://www.ccgp.gov.cn/search/cr/）严重违法失信行为记录名单的（尚在处罚期内的），将拒绝其参加本次招标活动(如投标单位提供信用截图在评标过程中有争议，以招标代理机构或评标委员会成员现场查询截图为准)；</w:t>
      </w:r>
    </w:p>
    <w:p w14:paraId="50827737">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三、获取招标文件</w:t>
      </w:r>
    </w:p>
    <w:p w14:paraId="0C782D56">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时间：</w:t>
      </w:r>
      <w:bookmarkStart w:id="9" w:name="OLE_LINK10"/>
      <w:bookmarkStart w:id="10" w:name="OLE_LINK11"/>
      <w:r>
        <w:rPr>
          <w:rFonts w:hint="eastAsia" w:ascii="仿宋" w:hAnsi="仿宋" w:eastAsia="仿宋" w:cs="仿宋"/>
          <w:color w:val="auto"/>
          <w:kern w:val="2"/>
          <w:sz w:val="24"/>
          <w:szCs w:val="24"/>
          <w:highlight w:val="none"/>
          <w:lang w:val="en-US" w:eastAsia="zh-CN" w:bidi="ar-SA"/>
        </w:rPr>
        <w:t>2025年04月01日</w:t>
      </w:r>
      <w:bookmarkEnd w:id="9"/>
      <w:r>
        <w:rPr>
          <w:rFonts w:hint="eastAsia" w:ascii="仿宋" w:hAnsi="仿宋" w:eastAsia="仿宋" w:cs="仿宋"/>
          <w:color w:val="auto"/>
          <w:kern w:val="2"/>
          <w:sz w:val="24"/>
          <w:szCs w:val="24"/>
          <w:highlight w:val="none"/>
          <w:lang w:val="en-US" w:eastAsia="zh-CN" w:bidi="ar-SA"/>
        </w:rPr>
        <w:t>至2025年04月09日</w:t>
      </w:r>
      <w:bookmarkEnd w:id="10"/>
      <w:r>
        <w:rPr>
          <w:rFonts w:hint="eastAsia" w:ascii="仿宋" w:hAnsi="仿宋" w:eastAsia="仿宋" w:cs="仿宋"/>
          <w:color w:val="auto"/>
          <w:kern w:val="2"/>
          <w:sz w:val="24"/>
          <w:szCs w:val="24"/>
          <w:highlight w:val="none"/>
          <w:lang w:val="en-US" w:eastAsia="zh-CN" w:bidi="ar-SA"/>
        </w:rPr>
        <w:t>，</w:t>
      </w:r>
      <w:bookmarkStart w:id="11" w:name="OLE_LINK12"/>
      <w:r>
        <w:rPr>
          <w:rFonts w:hint="eastAsia" w:ascii="仿宋" w:hAnsi="仿宋" w:eastAsia="仿宋" w:cs="仿宋"/>
          <w:color w:val="auto"/>
          <w:kern w:val="2"/>
          <w:sz w:val="24"/>
          <w:szCs w:val="24"/>
          <w:highlight w:val="none"/>
          <w:lang w:val="en-US" w:eastAsia="zh-CN" w:bidi="ar-SA"/>
        </w:rPr>
        <w:t>每天上午00:00至12:00，下午12:00至23:59（北京时间，法定节假日除外）</w:t>
      </w:r>
    </w:p>
    <w:bookmarkEnd w:id="11"/>
    <w:p w14:paraId="5927E7D7">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color w:val="auto"/>
          <w:lang w:val="en-US" w:eastAsia="zh-CN"/>
        </w:rPr>
      </w:pPr>
      <w:r>
        <w:rPr>
          <w:rFonts w:hint="eastAsia" w:ascii="仿宋" w:hAnsi="仿宋" w:eastAsia="仿宋" w:cs="仿宋"/>
          <w:color w:val="auto"/>
          <w:kern w:val="2"/>
          <w:sz w:val="24"/>
          <w:szCs w:val="24"/>
          <w:highlight w:val="none"/>
          <w:lang w:val="en-US" w:eastAsia="zh-CN" w:bidi="ar-SA"/>
        </w:rPr>
        <w:t>地点：政采云平台线上获取</w:t>
      </w:r>
    </w:p>
    <w:p w14:paraId="063C5D0A">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546BA03B">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售价（元）：0</w:t>
      </w:r>
    </w:p>
    <w:p w14:paraId="44787939">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四、提交投标文件截止时间、开标时间和地点</w:t>
      </w:r>
    </w:p>
    <w:p w14:paraId="0AC2E20B">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提交投标文件截止时间：2025年04月11日 10:00（北京时间）</w:t>
      </w:r>
    </w:p>
    <w:p w14:paraId="07DF0416">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投标地点：请登录政采云投标客户端投标</w:t>
      </w:r>
    </w:p>
    <w:p w14:paraId="3DF49126">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开标时间：2025年04月11日 10:00（北京时间）</w:t>
      </w:r>
    </w:p>
    <w:p w14:paraId="4BB24054">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开标地点：</w:t>
      </w:r>
      <w:bookmarkStart w:id="12" w:name="OLE_LINK9"/>
      <w:r>
        <w:rPr>
          <w:rFonts w:hint="eastAsia" w:ascii="仿宋" w:hAnsi="仿宋" w:eastAsia="仿宋" w:cs="仿宋"/>
          <w:color w:val="auto"/>
          <w:kern w:val="2"/>
          <w:sz w:val="24"/>
          <w:szCs w:val="24"/>
          <w:highlight w:val="none"/>
          <w:lang w:val="en-US" w:eastAsia="zh-CN" w:bidi="ar-SA"/>
        </w:rPr>
        <w:t>新疆政府采购（http://www.ccgp-xinjiang.gov.cn）</w:t>
      </w:r>
      <w:bookmarkEnd w:id="12"/>
      <w:r>
        <w:rPr>
          <w:rFonts w:hint="eastAsia" w:ascii="仿宋" w:hAnsi="仿宋" w:eastAsia="仿宋" w:cs="仿宋"/>
          <w:color w:val="auto"/>
          <w:kern w:val="2"/>
          <w:sz w:val="24"/>
          <w:szCs w:val="24"/>
          <w:highlight w:val="none"/>
          <w:lang w:val="en-US" w:eastAsia="zh-CN" w:bidi="ar-SA"/>
        </w:rPr>
        <w:t>政采云线上平台</w:t>
      </w:r>
    </w:p>
    <w:p w14:paraId="2902D9E8">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五、公告期限</w:t>
      </w:r>
    </w:p>
    <w:p w14:paraId="376829F8">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自本公告发布之日起3个工作日。</w:t>
      </w:r>
    </w:p>
    <w:p w14:paraId="074E042A">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六、其他补充事宜</w:t>
      </w:r>
    </w:p>
    <w:p w14:paraId="38F21E57">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本项目采用政府采购云平台线上招标、投标，采用电子投标文件。</w:t>
      </w:r>
      <w:r>
        <w:rPr>
          <w:rFonts w:hint="eastAsia" w:ascii="仿宋" w:hAnsi="仿宋" w:eastAsia="仿宋" w:cs="仿宋"/>
          <w:color w:val="auto"/>
          <w:kern w:val="2"/>
          <w:sz w:val="24"/>
          <w:szCs w:val="24"/>
          <w:highlight w:val="none"/>
          <w:lang w:val="en-US" w:eastAsia="zh-CN" w:bidi="ar-SA"/>
        </w:rPr>
        <w:br w:type="textWrapping"/>
      </w:r>
      <w:r>
        <w:rPr>
          <w:rFonts w:hint="eastAsia" w:ascii="仿宋" w:hAnsi="仿宋" w:eastAsia="仿宋" w:cs="仿宋"/>
          <w:color w:val="auto"/>
          <w:kern w:val="2"/>
          <w:sz w:val="24"/>
          <w:szCs w:val="24"/>
          <w:highlight w:val="none"/>
          <w:lang w:val="en-US" w:eastAsia="zh-CN" w:bidi="ar-SA"/>
        </w:rPr>
        <w:t>1.各投标人应在开标前应确保成为新疆政府采购网正式注册入库投标人，并完成CA数字证书（符合国密标准）申领。因未注册入库、未办理CA数字证书等原因造成无法投标或投标失败等后果由投标人自行承担。</w:t>
      </w:r>
      <w:r>
        <w:rPr>
          <w:rFonts w:hint="eastAsia" w:ascii="仿宋" w:hAnsi="仿宋" w:eastAsia="仿宋" w:cs="仿宋"/>
          <w:color w:val="auto"/>
          <w:kern w:val="2"/>
          <w:sz w:val="24"/>
          <w:szCs w:val="24"/>
          <w:highlight w:val="none"/>
          <w:lang w:val="en-US" w:eastAsia="zh-CN" w:bidi="ar-SA"/>
        </w:rPr>
        <w:br w:type="textWrapping"/>
      </w:r>
      <w:r>
        <w:rPr>
          <w:rFonts w:hint="eastAsia" w:ascii="仿宋" w:hAnsi="仿宋" w:eastAsia="仿宋" w:cs="仿宋"/>
          <w:color w:val="auto"/>
          <w:kern w:val="2"/>
          <w:sz w:val="24"/>
          <w:szCs w:val="24"/>
          <w:highlight w:val="none"/>
          <w:lang w:val="en-US" w:eastAsia="zh-CN" w:bidi="ar-SA"/>
        </w:rPr>
        <w:t>2.有意向参与新疆区域电子开评标的投标人，可访问新疆数字证书认证中心官方网站（https://www.xjca.com.cn/）或下载“新疆政务通”APP自行进行申领。如需咨询，请联系新疆CA服务热线0991-2819290。</w:t>
      </w:r>
      <w:r>
        <w:rPr>
          <w:rFonts w:hint="eastAsia" w:ascii="仿宋" w:hAnsi="仿宋" w:eastAsia="仿宋" w:cs="仿宋"/>
          <w:color w:val="auto"/>
          <w:kern w:val="2"/>
          <w:sz w:val="24"/>
          <w:szCs w:val="24"/>
          <w:highlight w:val="none"/>
          <w:lang w:val="en-US" w:eastAsia="zh-CN" w:bidi="ar-SA"/>
        </w:rPr>
        <w:br w:type="textWrapping"/>
      </w:r>
      <w:r>
        <w:rPr>
          <w:rFonts w:hint="eastAsia" w:ascii="仿宋" w:hAnsi="仿宋" w:eastAsia="仿宋" w:cs="仿宋"/>
          <w:color w:val="auto"/>
          <w:kern w:val="2"/>
          <w:sz w:val="24"/>
          <w:szCs w:val="24"/>
          <w:highlight w:val="none"/>
          <w:lang w:val="en-US" w:eastAsia="zh-CN" w:bidi="ar-SA"/>
        </w:rPr>
        <w:t>3.投标人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95763进行咨询。如因投标人自身原因导致在规定时间内无法正常解密的（如：浏览器故障、未安装相关驱动、网络故障、加密CA与解密CA不一致等），采购中心/代理机构不予异常处理，视为投标人自动弃标。</w:t>
      </w:r>
      <w:r>
        <w:rPr>
          <w:rFonts w:hint="eastAsia" w:ascii="仿宋" w:hAnsi="仿宋" w:eastAsia="仿宋" w:cs="仿宋"/>
          <w:color w:val="auto"/>
          <w:kern w:val="2"/>
          <w:sz w:val="24"/>
          <w:szCs w:val="24"/>
          <w:highlight w:val="none"/>
          <w:lang w:val="en-US" w:eastAsia="zh-CN" w:bidi="ar-SA"/>
        </w:rPr>
        <w:br w:type="textWrapping"/>
      </w:r>
      <w:r>
        <w:rPr>
          <w:rFonts w:hint="eastAsia" w:ascii="仿宋" w:hAnsi="仿宋" w:eastAsia="仿宋" w:cs="仿宋"/>
          <w:color w:val="auto"/>
          <w:kern w:val="2"/>
          <w:sz w:val="24"/>
          <w:szCs w:val="24"/>
          <w:highlight w:val="none"/>
          <w:lang w:val="en-US" w:eastAsia="zh-CN" w:bidi="ar-SA"/>
        </w:rPr>
        <w:t>4.投标人操作指南详见新疆政府采购网（http://www.ccgp-xinjiang.gov.cn/）—办事指南—操作指南。</w:t>
      </w:r>
      <w:r>
        <w:rPr>
          <w:rFonts w:hint="eastAsia" w:ascii="仿宋" w:hAnsi="仿宋" w:eastAsia="仿宋" w:cs="仿宋"/>
          <w:color w:val="auto"/>
          <w:kern w:val="2"/>
          <w:sz w:val="24"/>
          <w:szCs w:val="24"/>
          <w:highlight w:val="none"/>
          <w:lang w:val="en-US" w:eastAsia="zh-CN" w:bidi="ar-SA"/>
        </w:rPr>
        <w:br w:type="textWrapping"/>
      </w:r>
      <w:r>
        <w:rPr>
          <w:rFonts w:hint="eastAsia" w:ascii="仿宋" w:hAnsi="仿宋" w:eastAsia="仿宋" w:cs="仿宋"/>
          <w:color w:val="auto"/>
          <w:kern w:val="2"/>
          <w:sz w:val="24"/>
          <w:szCs w:val="24"/>
          <w:highlight w:val="none"/>
          <w:lang w:val="en-US" w:eastAsia="zh-CN" w:bidi="ar-SA"/>
        </w:rPr>
        <w:t>5.请各潜在供应商及时办理CA锁和学习政府采购云平台线上投标相关知识。请在政府采购云平台登录后，进行下载招标文件。请各供应商获取招标文件后及时关注政采云平台答疑文件获取栏目。具体相关事宜见政府采购云平台。本项目采用资格后审，请供应商仔细阅读招标文件和各项要求，制作文件及相关资料过程中，若因供应商资格条件不符、提供资料不全等原因导致投标文件予以退还，责任自负。</w:t>
      </w:r>
    </w:p>
    <w:p w14:paraId="4CA11666">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color w:val="auto"/>
        </w:rPr>
      </w:pPr>
      <w:r>
        <w:rPr>
          <w:color w:val="auto"/>
        </w:rPr>
        <w:t>特别提示：</w:t>
      </w:r>
      <w:r>
        <w:rPr>
          <w:color w:val="auto"/>
        </w:rPr>
        <w:br w:type="textWrapping"/>
      </w:r>
      <w:r>
        <w:rPr>
          <w:color w:val="auto"/>
        </w:rPr>
        <w:t>1、采购限额标准以上，200万元以下的货物和服务采购项目、400万元以下的工程采购项目，适宜由中小企业提供的，采购人应当专门面向中小企业采购。</w:t>
      </w:r>
      <w:r>
        <w:rPr>
          <w:color w:val="auto"/>
        </w:rPr>
        <w:br w:type="textWrapping"/>
      </w:r>
      <w:r>
        <w:rPr>
          <w:color w:val="auto"/>
        </w:rPr>
        <w:t>2、超过200万元的货物和服务采购项目、超过400万元的工程采购项目中适宜由中小企业提供的，预留该部分采购项目预算总额的30%以上专门面向中小企业采购，其中预留给小微企业的比例不低于60%。</w:t>
      </w:r>
      <w:r>
        <w:rPr>
          <w:color w:val="auto"/>
        </w:rPr>
        <w:br w:type="textWrapping"/>
      </w:r>
      <w:r>
        <w:rPr>
          <w:color w:val="auto"/>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r>
        <w:rPr>
          <w:color w:val="auto"/>
        </w:rPr>
        <w:br w:type="textWrapping"/>
      </w:r>
      <w:r>
        <w:rPr>
          <w:color w:val="auto"/>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D1B44E0">
      <w:pPr>
        <w:pStyle w:val="29"/>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七、对本次采购提出询问，请按以下方式联系</w:t>
      </w:r>
    </w:p>
    <w:p w14:paraId="79DA441A">
      <w:pPr>
        <w:pStyle w:val="29"/>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1.采购人信息</w:t>
      </w:r>
    </w:p>
    <w:p w14:paraId="278EE086">
      <w:pPr>
        <w:pStyle w:val="29"/>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名 称：哈密市文化体育广播电视和旅游局</w:t>
      </w:r>
    </w:p>
    <w:p w14:paraId="7E3FDA68">
      <w:pPr>
        <w:pStyle w:val="29"/>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地 址：哈密市</w:t>
      </w:r>
    </w:p>
    <w:p w14:paraId="13685248">
      <w:pPr>
        <w:pStyle w:val="29"/>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联系人：王科长</w:t>
      </w:r>
    </w:p>
    <w:p w14:paraId="5A1C533B">
      <w:pPr>
        <w:pStyle w:val="29"/>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联系方式：0902-2257094</w:t>
      </w:r>
    </w:p>
    <w:p w14:paraId="617234E6">
      <w:pPr>
        <w:pStyle w:val="29"/>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2.采购代理机构信息</w:t>
      </w:r>
    </w:p>
    <w:p w14:paraId="13E072BB">
      <w:pPr>
        <w:pStyle w:val="29"/>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名 称：新疆天之源项目管理集团有限公司</w:t>
      </w:r>
    </w:p>
    <w:p w14:paraId="25DF415C">
      <w:pPr>
        <w:pStyle w:val="29"/>
        <w:keepNext w:val="0"/>
        <w:keepLines w:val="0"/>
        <w:widowControl/>
        <w:suppressLineNumbers w:val="0"/>
        <w:spacing w:before="255" w:beforeAutospacing="0" w:after="255" w:afterAutospacing="0" w:line="300" w:lineRule="atLeast"/>
        <w:ind w:left="0" w:right="0"/>
        <w:jc w:val="both"/>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地 址：新疆哈密市向阳东路源泉小区别墅区2-25号</w:t>
      </w:r>
    </w:p>
    <w:p w14:paraId="0692C3FA">
      <w:pPr>
        <w:pStyle w:val="29"/>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项目联系人：蒲雪花</w:t>
      </w:r>
    </w:p>
    <w:p w14:paraId="649CD8A5">
      <w:pPr>
        <w:pStyle w:val="29"/>
        <w:keepNext w:val="0"/>
        <w:keepLines w:val="0"/>
        <w:widowControl/>
        <w:suppressLineNumbers w:val="0"/>
        <w:spacing w:before="255" w:beforeAutospacing="0" w:after="255" w:afterAutospacing="0" w:line="300" w:lineRule="atLeast"/>
        <w:ind w:left="0" w:right="0"/>
        <w:jc w:val="both"/>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项目联系方式：0902-6992022</w:t>
      </w:r>
    </w:p>
    <w:p w14:paraId="7D333149">
      <w:pPr>
        <w:pStyle w:val="29"/>
        <w:keepNext w:val="0"/>
        <w:keepLines w:val="0"/>
        <w:widowControl/>
        <w:suppressLineNumbers w:val="0"/>
        <w:spacing w:before="75" w:beforeAutospacing="0" w:after="75" w:afterAutospacing="0"/>
        <w:ind w:left="0" w:right="0"/>
        <w:rPr>
          <w:color w:val="auto"/>
        </w:rPr>
      </w:pPr>
    </w:p>
    <w:p w14:paraId="45153EEF">
      <w:pPr>
        <w:rPr>
          <w:color w:val="auto"/>
        </w:rPr>
      </w:pPr>
    </w:p>
    <w:p w14:paraId="7CF35474">
      <w:pPr>
        <w:pStyle w:val="126"/>
        <w:wordWrap w:val="0"/>
        <w:spacing w:line="500" w:lineRule="atLeast"/>
        <w:ind w:firstLine="480" w:firstLineChars="200"/>
        <w:rPr>
          <w:rFonts w:ascii="宋体" w:hAnsi="宋体"/>
          <w:color w:val="000000" w:themeColor="text1"/>
          <w:kern w:val="0"/>
          <w:sz w:val="24"/>
          <w:szCs w:val="24"/>
          <w14:textFill>
            <w14:solidFill>
              <w14:schemeClr w14:val="tx1"/>
            </w14:solidFill>
          </w14:textFill>
        </w:rPr>
      </w:pPr>
    </w:p>
    <w:bookmarkEnd w:id="8"/>
    <w:p w14:paraId="24FEC5FF">
      <w:pPr>
        <w:widowControl/>
        <w:wordWrap w:val="0"/>
        <w:spacing w:line="500" w:lineRule="atLeast"/>
        <w:jc w:val="left"/>
        <w:rPr>
          <w:rFonts w:ascii="宋体" w:hAnsi="宋体" w:cs="宋体"/>
          <w:color w:val="000000" w:themeColor="text1"/>
          <w:sz w:val="24"/>
          <w:szCs w:val="24"/>
          <w14:textFill>
            <w14:solidFill>
              <w14:schemeClr w14:val="tx1"/>
            </w14:solidFill>
          </w14:textFill>
        </w:rPr>
        <w:sectPr>
          <w:footerReference r:id="rId5" w:type="default"/>
          <w:pgSz w:w="11906" w:h="16838"/>
          <w:pgMar w:top="1440" w:right="1797" w:bottom="1440" w:left="1797" w:header="851" w:footer="992" w:gutter="0"/>
          <w:pgNumType w:fmt="decimal" w:start="1"/>
          <w:cols w:space="720" w:num="1"/>
          <w:docGrid w:linePitch="312" w:charSpace="0"/>
        </w:sectPr>
      </w:pPr>
    </w:p>
    <w:p w14:paraId="6B30CDE2">
      <w:pPr>
        <w:pStyle w:val="3"/>
        <w:wordWrap w:val="0"/>
        <w:spacing w:before="0" w:after="0" w:line="240" w:lineRule="auto"/>
        <w:rPr>
          <w:rFonts w:ascii="宋体" w:hAnsi="宋体" w:cs="宋体"/>
          <w:b/>
          <w:bCs w:val="0"/>
          <w:color w:val="000000" w:themeColor="text1"/>
          <w:sz w:val="40"/>
          <w:szCs w:val="96"/>
          <w14:textFill>
            <w14:solidFill>
              <w14:schemeClr w14:val="tx1"/>
            </w14:solidFill>
          </w14:textFill>
        </w:rPr>
      </w:pPr>
      <w:bookmarkStart w:id="13" w:name="_Toc8684"/>
      <w:bookmarkStart w:id="14" w:name="_Toc534380784"/>
      <w:r>
        <w:rPr>
          <w:rFonts w:hint="eastAsia" w:ascii="宋体" w:hAnsi="宋体" w:cs="宋体"/>
          <w:b/>
          <w:bCs w:val="0"/>
          <w:color w:val="000000" w:themeColor="text1"/>
          <w:sz w:val="40"/>
          <w:szCs w:val="96"/>
          <w:highlight w:val="white"/>
          <w14:textFill>
            <w14:solidFill>
              <w14:schemeClr w14:val="tx1"/>
            </w14:solidFill>
          </w14:textFill>
        </w:rPr>
        <w:t>第二章 供应商须知</w:t>
      </w:r>
      <w:bookmarkEnd w:id="13"/>
      <w:bookmarkEnd w:id="14"/>
    </w:p>
    <w:p w14:paraId="6D01A14C">
      <w:pPr>
        <w:pStyle w:val="111"/>
        <w:wordWrap w:val="0"/>
        <w:jc w:val="center"/>
        <w:rPr>
          <w:rFonts w:cs="宋体"/>
          <w:color w:val="000000" w:themeColor="text1"/>
          <w14:textFill>
            <w14:solidFill>
              <w14:schemeClr w14:val="tx1"/>
            </w14:solidFill>
          </w14:textFill>
        </w:rPr>
      </w:pPr>
      <w:bookmarkStart w:id="15" w:name="_Toc256000002"/>
      <w:bookmarkStart w:id="16" w:name="_Toc22485"/>
      <w:bookmarkStart w:id="17" w:name="EB1bff30dc55724a74961ea26ab36279f9"/>
      <w:bookmarkStart w:id="18" w:name="_Toc21720"/>
      <w:r>
        <w:rPr>
          <w:rFonts w:hint="eastAsia" w:cs="宋体"/>
          <w:color w:val="000000" w:themeColor="text1"/>
          <w14:textFill>
            <w14:solidFill>
              <w14:schemeClr w14:val="tx1"/>
            </w14:solidFill>
          </w14:textFill>
        </w:rPr>
        <w:t>供应商须知前附表</w:t>
      </w:r>
      <w:bookmarkEnd w:id="15"/>
      <w:bookmarkEnd w:id="16"/>
    </w:p>
    <w:tbl>
      <w:tblPr>
        <w:tblStyle w:val="33"/>
        <w:tblW w:w="8291" w:type="dxa"/>
        <w:tblInd w:w="127"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131"/>
        <w:gridCol w:w="1691"/>
        <w:gridCol w:w="5469"/>
      </w:tblGrid>
      <w:tr w14:paraId="53C194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blHeader/>
        </w:trPr>
        <w:tc>
          <w:tcPr>
            <w:tcW w:w="1131" w:type="dxa"/>
            <w:vAlign w:val="center"/>
          </w:tcPr>
          <w:p w14:paraId="3F5A9D73">
            <w:pPr>
              <w:pStyle w:val="106"/>
              <w:wordWrap w:val="0"/>
              <w:adjustRightInd w:val="0"/>
              <w:snapToGrid w:val="0"/>
              <w:spacing w:line="500" w:lineRule="atLeast"/>
              <w:jc w:val="center"/>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序列号</w:t>
            </w:r>
          </w:p>
        </w:tc>
        <w:tc>
          <w:tcPr>
            <w:tcW w:w="1691" w:type="dxa"/>
            <w:vAlign w:val="center"/>
          </w:tcPr>
          <w:p w14:paraId="634F8A0C">
            <w:pPr>
              <w:pStyle w:val="106"/>
              <w:wordWrap w:val="0"/>
              <w:adjustRightInd w:val="0"/>
              <w:snapToGrid w:val="0"/>
              <w:spacing w:line="500" w:lineRule="atLeast"/>
              <w:jc w:val="center"/>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条款名称</w:t>
            </w:r>
          </w:p>
        </w:tc>
        <w:tc>
          <w:tcPr>
            <w:tcW w:w="5469" w:type="dxa"/>
            <w:vAlign w:val="center"/>
          </w:tcPr>
          <w:p w14:paraId="617FF52C">
            <w:pPr>
              <w:pStyle w:val="106"/>
              <w:wordWrap w:val="0"/>
              <w:adjustRightInd w:val="0"/>
              <w:snapToGrid w:val="0"/>
              <w:spacing w:line="500" w:lineRule="atLeast"/>
              <w:jc w:val="center"/>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编列内容规定</w:t>
            </w:r>
          </w:p>
        </w:tc>
      </w:tr>
      <w:tr w14:paraId="3AE544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754B2DA6">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w:t>
            </w:r>
          </w:p>
        </w:tc>
        <w:tc>
          <w:tcPr>
            <w:tcW w:w="1691" w:type="dxa"/>
            <w:vAlign w:val="center"/>
          </w:tcPr>
          <w:p w14:paraId="7E1F4CE7">
            <w:pPr>
              <w:pStyle w:val="106"/>
              <w:wordWrap w:val="0"/>
              <w:adjustRightInd w:val="0"/>
              <w:snapToGrid w:val="0"/>
              <w:spacing w:line="500" w:lineRule="atLeast"/>
              <w:jc w:val="center"/>
              <w:rPr>
                <w:rFonts w:ascii="宋体" w:hAnsi="宋体" w:cs="宋体"/>
                <w:b/>
                <w:bCs/>
                <w:color w:val="000000" w:themeColor="text1"/>
                <w:sz w:val="24"/>
                <w:szCs w:val="24"/>
                <w:highlight w:val="green"/>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项目名称</w:t>
            </w:r>
          </w:p>
        </w:tc>
        <w:tc>
          <w:tcPr>
            <w:tcW w:w="5469" w:type="dxa"/>
            <w:vAlign w:val="center"/>
          </w:tcPr>
          <w:p w14:paraId="595C19E0">
            <w:pPr>
              <w:pStyle w:val="106"/>
              <w:wordWrap w:val="0"/>
              <w:adjustRightInd w:val="0"/>
              <w:snapToGrid w:val="0"/>
              <w:spacing w:line="500" w:lineRule="atLeast"/>
              <w:rPr>
                <w:rFonts w:hint="eastAsia" w:ascii="宋体" w:hAnsi="宋体" w:eastAsia="宋体" w:cs="宋体"/>
                <w:color w:val="000000" w:themeColor="text1"/>
                <w:sz w:val="24"/>
                <w:szCs w:val="24"/>
                <w:highlight w:val="green"/>
                <w:lang w:eastAsia="zh-CN"/>
                <w14:textFill>
                  <w14:solidFill>
                    <w14:schemeClr w14:val="tx1"/>
                  </w14:solidFill>
                </w14:textFill>
              </w:rPr>
            </w:pPr>
            <w:r>
              <w:rPr>
                <w:rFonts w:hint="eastAsia" w:ascii="宋体" w:hAnsi="宋体" w:cs="宋体"/>
                <w:color w:val="000000" w:themeColor="text1"/>
                <w:sz w:val="24"/>
                <w:szCs w:val="24"/>
                <w:lang w:eastAsia="zh-CN"/>
                <w14:textFill>
                  <w14:solidFill>
                    <w14:schemeClr w14:val="tx1"/>
                  </w14:solidFill>
                </w14:textFill>
              </w:rPr>
              <w:t>2025年体育健身达标活动项目</w:t>
            </w:r>
          </w:p>
        </w:tc>
      </w:tr>
      <w:tr w14:paraId="79C2FD5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392758C3">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2</w:t>
            </w:r>
          </w:p>
        </w:tc>
        <w:tc>
          <w:tcPr>
            <w:tcW w:w="1691" w:type="dxa"/>
            <w:vAlign w:val="center"/>
          </w:tcPr>
          <w:p w14:paraId="7659F2E4">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采购人</w:t>
            </w:r>
          </w:p>
        </w:tc>
        <w:tc>
          <w:tcPr>
            <w:tcW w:w="5469" w:type="dxa"/>
            <w:vAlign w:val="center"/>
          </w:tcPr>
          <w:p w14:paraId="4EEFCEC9">
            <w:pPr>
              <w:pStyle w:val="106"/>
              <w:wordWrap w:val="0"/>
              <w:adjustRightInd w:val="0"/>
              <w:snapToGrid w:val="0"/>
              <w:spacing w:line="500" w:lineRule="atLeast"/>
              <w:rPr>
                <w:rFonts w:hint="eastAsia" w:ascii="宋体" w:hAnsi="宋体" w:eastAsia="宋体" w:cs="宋体"/>
                <w:color w:val="auto"/>
                <w:sz w:val="24"/>
                <w:szCs w:val="24"/>
                <w:highlight w:val="white"/>
                <w:lang w:eastAsia="zh-CN"/>
              </w:rPr>
            </w:pPr>
            <w:r>
              <w:rPr>
                <w:rFonts w:hint="eastAsia" w:ascii="宋体" w:hAnsi="宋体" w:cs="宋体"/>
                <w:color w:val="auto"/>
                <w:sz w:val="24"/>
                <w:szCs w:val="24"/>
                <w:highlight w:val="white"/>
              </w:rPr>
              <w:t>名  称</w:t>
            </w:r>
            <w:r>
              <w:rPr>
                <w:rFonts w:hint="eastAsia" w:ascii="宋体" w:hAnsi="宋体" w:cs="宋体"/>
                <w:color w:val="auto"/>
                <w:sz w:val="24"/>
                <w:szCs w:val="24"/>
                <w:lang w:val="en-US" w:eastAsia="zh-CN"/>
              </w:rPr>
              <w:t>：哈密市文化体育广播电视和旅游局</w:t>
            </w:r>
          </w:p>
          <w:p w14:paraId="2C828104">
            <w:pPr>
              <w:pStyle w:val="106"/>
              <w:wordWrap w:val="0"/>
              <w:adjustRightInd w:val="0"/>
              <w:snapToGrid w:val="0"/>
              <w:spacing w:line="500" w:lineRule="atLeast"/>
              <w:rPr>
                <w:rFonts w:hint="eastAsia" w:ascii="宋体" w:hAnsi="宋体" w:cs="宋体"/>
                <w:color w:val="auto"/>
                <w:sz w:val="24"/>
                <w:szCs w:val="24"/>
                <w:highlight w:val="white"/>
                <w:lang w:val="en-US" w:eastAsia="zh-CN"/>
              </w:rPr>
            </w:pPr>
            <w:r>
              <w:rPr>
                <w:rFonts w:hint="eastAsia" w:ascii="宋体" w:hAnsi="宋体" w:cs="宋体"/>
                <w:color w:val="auto"/>
                <w:sz w:val="24"/>
                <w:szCs w:val="24"/>
                <w:highlight w:val="white"/>
              </w:rPr>
              <w:t>地  址：</w:t>
            </w:r>
            <w:r>
              <w:rPr>
                <w:rFonts w:hint="eastAsia" w:ascii="宋体" w:hAnsi="宋体" w:cs="宋体"/>
                <w:color w:val="auto"/>
                <w:sz w:val="24"/>
                <w:szCs w:val="24"/>
                <w:lang w:val="en-US" w:eastAsia="zh-CN"/>
              </w:rPr>
              <w:t>哈密市</w:t>
            </w:r>
          </w:p>
          <w:p w14:paraId="6920379D">
            <w:pPr>
              <w:pStyle w:val="106"/>
              <w:wordWrap w:val="0"/>
              <w:adjustRightInd w:val="0"/>
              <w:snapToGrid w:val="0"/>
              <w:spacing w:line="500" w:lineRule="atLeast"/>
              <w:rPr>
                <w:rFonts w:hint="eastAsia" w:ascii="宋体" w:hAnsi="宋体" w:cs="宋体"/>
                <w:color w:val="auto"/>
                <w:sz w:val="24"/>
                <w:szCs w:val="24"/>
                <w:lang w:eastAsia="zh-CN"/>
              </w:rPr>
            </w:pPr>
            <w:r>
              <w:rPr>
                <w:rFonts w:hint="eastAsia" w:ascii="宋体" w:hAnsi="宋体" w:cs="宋体"/>
                <w:color w:val="auto"/>
                <w:sz w:val="24"/>
                <w:szCs w:val="24"/>
                <w:lang w:eastAsia="zh-CN"/>
              </w:rPr>
              <w:t>联系人：王科长</w:t>
            </w:r>
          </w:p>
          <w:p w14:paraId="2BB2BC88">
            <w:pPr>
              <w:pStyle w:val="106"/>
              <w:wordWrap w:val="0"/>
              <w:adjustRightInd w:val="0"/>
              <w:snapToGrid w:val="0"/>
              <w:spacing w:line="500" w:lineRule="atLeast"/>
              <w:rPr>
                <w:rFonts w:hint="default" w:ascii="宋体" w:hAnsi="宋体" w:eastAsia="宋体" w:cs="宋体"/>
                <w:color w:val="0000FF"/>
                <w:sz w:val="24"/>
                <w:szCs w:val="24"/>
                <w:lang w:val="en-US" w:eastAsia="zh-CN"/>
              </w:rPr>
            </w:pPr>
            <w:r>
              <w:rPr>
                <w:rFonts w:hint="eastAsia" w:ascii="宋体" w:hAnsi="宋体" w:cs="宋体"/>
                <w:color w:val="auto"/>
                <w:sz w:val="24"/>
                <w:szCs w:val="24"/>
              </w:rPr>
              <w:t>联系电话：0902-2257094</w:t>
            </w:r>
          </w:p>
        </w:tc>
      </w:tr>
      <w:tr w14:paraId="0264412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435" w:hRule="atLeast"/>
        </w:trPr>
        <w:tc>
          <w:tcPr>
            <w:tcW w:w="1131" w:type="dxa"/>
            <w:vAlign w:val="center"/>
          </w:tcPr>
          <w:p w14:paraId="5782A3C3">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3</w:t>
            </w:r>
          </w:p>
        </w:tc>
        <w:tc>
          <w:tcPr>
            <w:tcW w:w="1691" w:type="dxa"/>
            <w:vAlign w:val="center"/>
          </w:tcPr>
          <w:p w14:paraId="04E4E32C">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采购代理机构</w:t>
            </w:r>
          </w:p>
        </w:tc>
        <w:tc>
          <w:tcPr>
            <w:tcW w:w="5469" w:type="dxa"/>
            <w:vAlign w:val="center"/>
          </w:tcPr>
          <w:p w14:paraId="12E12F5C">
            <w:pPr>
              <w:pStyle w:val="106"/>
              <w:wordWrap w:val="0"/>
              <w:adjustRightInd w:val="0"/>
              <w:snapToGrid w:val="0"/>
              <w:spacing w:line="500" w:lineRule="atLeast"/>
              <w:rPr>
                <w:rFonts w:hint="eastAsia" w:ascii="宋体" w:hAnsi="宋体" w:eastAsia="宋体" w:cs="宋体"/>
                <w:color w:val="000000" w:themeColor="text1"/>
                <w:sz w:val="24"/>
                <w:szCs w:val="24"/>
                <w:highlight w:val="white"/>
                <w:lang w:eastAsia="zh-CN"/>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名  称：</w:t>
            </w:r>
            <w:r>
              <w:rPr>
                <w:rFonts w:hint="eastAsia" w:ascii="宋体" w:hAnsi="宋体" w:cs="宋体"/>
                <w:color w:val="000000" w:themeColor="text1"/>
                <w:sz w:val="24"/>
                <w:szCs w:val="24"/>
                <w:lang w:eastAsia="zh-CN"/>
                <w14:textFill>
                  <w14:solidFill>
                    <w14:schemeClr w14:val="tx1"/>
                  </w14:solidFill>
                </w14:textFill>
              </w:rPr>
              <w:t>新疆天之源项目管理集团有限公司</w:t>
            </w:r>
          </w:p>
          <w:p w14:paraId="508A0D2C">
            <w:pPr>
              <w:pStyle w:val="106"/>
              <w:wordWrap w:val="0"/>
              <w:adjustRightInd w:val="0"/>
              <w:snapToGrid w:val="0"/>
              <w:spacing w:line="500" w:lineRule="atLeast"/>
              <w:rPr>
                <w:rFonts w:hint="eastAsia"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地  址：新疆哈密市向阳东路源泉小区别墅区2-25号</w:t>
            </w:r>
          </w:p>
          <w:p w14:paraId="02D8D951">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电  话：</w:t>
            </w:r>
            <w:r>
              <w:rPr>
                <w:rFonts w:hint="eastAsia" w:ascii="宋体" w:hAnsi="宋体" w:cs="宋体"/>
                <w:color w:val="000000" w:themeColor="text1"/>
                <w:sz w:val="24"/>
                <w:szCs w:val="24"/>
                <w14:textFill>
                  <w14:solidFill>
                    <w14:schemeClr w14:val="tx1"/>
                  </w14:solidFill>
                </w14:textFill>
              </w:rPr>
              <w:t>0902-69</w:t>
            </w:r>
            <w:r>
              <w:rPr>
                <w:rFonts w:hint="eastAsia" w:ascii="宋体" w:hAnsi="宋体" w:cs="宋体"/>
                <w:color w:val="000000" w:themeColor="text1"/>
                <w:sz w:val="24"/>
                <w:szCs w:val="24"/>
                <w:lang w:val="en-US" w:eastAsia="zh-CN"/>
                <w14:textFill>
                  <w14:solidFill>
                    <w14:schemeClr w14:val="tx1"/>
                  </w14:solidFill>
                </w14:textFill>
              </w:rPr>
              <w:t>92022</w:t>
            </w:r>
            <w:r>
              <w:rPr>
                <w:rFonts w:hint="eastAsia" w:ascii="宋体" w:hAnsi="宋体" w:cs="宋体"/>
                <w:color w:val="000000" w:themeColor="text1"/>
                <w:sz w:val="24"/>
                <w:szCs w:val="24"/>
                <w14:textFill>
                  <w14:solidFill>
                    <w14:schemeClr w14:val="tx1"/>
                  </w14:solidFill>
                </w14:textFill>
              </w:rPr>
              <w:t xml:space="preserve">     </w:t>
            </w:r>
          </w:p>
          <w:p w14:paraId="25354743">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联系人：</w:t>
            </w:r>
            <w:r>
              <w:rPr>
                <w:rFonts w:hint="eastAsia" w:ascii="宋体" w:hAnsi="宋体" w:cs="宋体"/>
                <w:color w:val="000000" w:themeColor="text1"/>
                <w:sz w:val="24"/>
                <w:szCs w:val="24"/>
                <w:lang w:val="en-US" w:eastAsia="zh-CN"/>
                <w14:textFill>
                  <w14:solidFill>
                    <w14:schemeClr w14:val="tx1"/>
                  </w14:solidFill>
                </w14:textFill>
              </w:rPr>
              <w:t>蒲雪花</w:t>
            </w:r>
          </w:p>
        </w:tc>
      </w:tr>
      <w:tr w14:paraId="63BD87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76732CD0">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4</w:t>
            </w:r>
          </w:p>
        </w:tc>
        <w:tc>
          <w:tcPr>
            <w:tcW w:w="1691" w:type="dxa"/>
            <w:vAlign w:val="center"/>
          </w:tcPr>
          <w:p w14:paraId="32F9E947">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项目预算</w:t>
            </w:r>
          </w:p>
        </w:tc>
        <w:tc>
          <w:tcPr>
            <w:tcW w:w="5469" w:type="dxa"/>
            <w:vAlign w:val="center"/>
          </w:tcPr>
          <w:p w14:paraId="10B6C8FF">
            <w:pPr>
              <w:pStyle w:val="106"/>
              <w:wordWrap w:val="0"/>
              <w:autoSpaceDE w:val="0"/>
              <w:autoSpaceDN w:val="0"/>
              <w:adjustRightInd w:val="0"/>
              <w:snapToGrid w:val="0"/>
              <w:spacing w:line="500" w:lineRule="atLeast"/>
              <w:rPr>
                <w:rFonts w:ascii="宋体" w:hAnsi="宋体" w:cs="宋体"/>
                <w:color w:val="auto"/>
                <w:sz w:val="24"/>
                <w:szCs w:val="24"/>
                <w:highlight w:val="white"/>
                <w:lang w:val="zh-CN"/>
              </w:rPr>
            </w:pPr>
            <w:r>
              <w:rPr>
                <w:rFonts w:hint="eastAsia" w:ascii="宋体" w:hAnsi="宋体" w:cs="宋体"/>
                <w:color w:val="auto"/>
                <w:sz w:val="24"/>
                <w:szCs w:val="24"/>
                <w:highlight w:val="white"/>
                <w:lang w:val="zh-CN"/>
              </w:rPr>
              <w:t>金额（小写）：</w:t>
            </w:r>
            <w:r>
              <w:rPr>
                <w:rFonts w:hint="eastAsia" w:ascii="宋体" w:hAnsi="宋体" w:cs="宋体"/>
                <w:color w:val="auto"/>
                <w:sz w:val="24"/>
                <w:szCs w:val="24"/>
                <w:highlight w:val="white"/>
                <w:lang w:val="en-US" w:eastAsia="zh-CN"/>
              </w:rPr>
              <w:t>600000.00</w:t>
            </w:r>
            <w:r>
              <w:rPr>
                <w:rFonts w:hint="eastAsia" w:ascii="宋体" w:hAnsi="宋体" w:cs="宋体"/>
                <w:color w:val="auto"/>
                <w:sz w:val="24"/>
                <w:szCs w:val="24"/>
                <w:highlight w:val="white"/>
              </w:rPr>
              <w:t xml:space="preserve">元 </w:t>
            </w:r>
          </w:p>
          <w:p w14:paraId="1890573C">
            <w:pPr>
              <w:pStyle w:val="106"/>
              <w:wordWrap w:val="0"/>
              <w:adjustRightInd w:val="0"/>
              <w:snapToGrid w:val="0"/>
              <w:spacing w:line="500" w:lineRule="atLeast"/>
              <w:rPr>
                <w:rFonts w:hint="eastAsia" w:ascii="宋体" w:hAnsi="宋体" w:eastAsia="宋体" w:cs="宋体"/>
                <w:color w:val="auto"/>
                <w:sz w:val="24"/>
                <w:szCs w:val="24"/>
                <w:highlight w:val="white"/>
                <w:lang w:val="en-US" w:eastAsia="zh-CN"/>
              </w:rPr>
            </w:pPr>
            <w:r>
              <w:rPr>
                <w:rFonts w:hint="eastAsia" w:ascii="宋体" w:hAnsi="宋体" w:cs="宋体"/>
                <w:color w:val="auto"/>
                <w:sz w:val="24"/>
                <w:szCs w:val="24"/>
                <w:highlight w:val="white"/>
                <w:lang w:val="zh-CN"/>
              </w:rPr>
              <w:t>金额（大写）：</w:t>
            </w:r>
            <w:r>
              <w:rPr>
                <w:rFonts w:hint="eastAsia" w:ascii="宋体" w:hAnsi="宋体" w:cs="宋体"/>
                <w:color w:val="auto"/>
                <w:sz w:val="24"/>
                <w:szCs w:val="24"/>
                <w:highlight w:val="white"/>
                <w:lang w:val="en-US" w:eastAsia="zh-CN"/>
              </w:rPr>
              <w:t>陆拾</w:t>
            </w:r>
            <w:r>
              <w:rPr>
                <w:rFonts w:hint="eastAsia" w:ascii="宋体" w:hAnsi="宋体" w:cs="宋体"/>
                <w:color w:val="auto"/>
                <w:sz w:val="24"/>
                <w:szCs w:val="24"/>
                <w:highlight w:val="white"/>
                <w:lang w:val="zh-CN" w:eastAsia="zh-CN"/>
              </w:rPr>
              <w:t>万元整</w:t>
            </w:r>
          </w:p>
          <w:p w14:paraId="6A8B89EA">
            <w:pPr>
              <w:pStyle w:val="106"/>
              <w:wordWrap w:val="0"/>
              <w:adjustRightInd w:val="0"/>
              <w:snapToGrid w:val="0"/>
              <w:spacing w:line="500" w:lineRule="atLeast"/>
              <w:rPr>
                <w:rFonts w:ascii="宋体" w:hAnsi="宋体" w:cs="宋体"/>
                <w:color w:val="auto"/>
                <w:sz w:val="24"/>
                <w:szCs w:val="24"/>
                <w:highlight w:val="white"/>
              </w:rPr>
            </w:pPr>
            <w:r>
              <w:rPr>
                <w:rFonts w:hint="eastAsia" w:ascii="宋体" w:hAnsi="宋体" w:cs="宋体"/>
                <w:color w:val="auto"/>
                <w:sz w:val="24"/>
                <w:szCs w:val="24"/>
              </w:rPr>
              <w:t>投标人投标报价超过项目预算的按无效投标处理。</w:t>
            </w:r>
          </w:p>
        </w:tc>
      </w:tr>
      <w:tr w14:paraId="376E69A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7B9CA13B">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5</w:t>
            </w:r>
          </w:p>
        </w:tc>
        <w:tc>
          <w:tcPr>
            <w:tcW w:w="1691" w:type="dxa"/>
            <w:vAlign w:val="center"/>
          </w:tcPr>
          <w:p w14:paraId="72626D60">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供应商资格条件</w:t>
            </w:r>
          </w:p>
        </w:tc>
        <w:tc>
          <w:tcPr>
            <w:tcW w:w="5469" w:type="dxa"/>
            <w:vAlign w:val="center"/>
          </w:tcPr>
          <w:p w14:paraId="2C3BBD70">
            <w:pPr>
              <w:pStyle w:val="181"/>
              <w:numPr>
                <w:ilvl w:val="0"/>
                <w:numId w:val="1"/>
              </w:numPr>
              <w:spacing w:before="165" w:line="227" w:lineRule="auto"/>
              <w:ind w:left="131"/>
              <w:rPr>
                <w:color w:val="auto"/>
                <w:spacing w:val="6"/>
              </w:rPr>
            </w:pPr>
            <w:r>
              <w:rPr>
                <w:color w:val="auto"/>
                <w:spacing w:val="6"/>
              </w:rPr>
              <w:t>满足《中华人民共和国政府采购法》第二十二条规定。</w:t>
            </w:r>
          </w:p>
          <w:p w14:paraId="7942754B">
            <w:pPr>
              <w:numPr>
                <w:ilvl w:val="0"/>
                <w:numId w:val="0"/>
              </w:numPr>
              <w:spacing w:line="276"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（1）具有独立承担民事责任的能力，提供有效的营业执照；</w:t>
            </w:r>
          </w:p>
          <w:p w14:paraId="5499ECF9">
            <w:pPr>
              <w:numPr>
                <w:ilvl w:val="0"/>
                <w:numId w:val="0"/>
              </w:numPr>
              <w:spacing w:line="276"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（2）具有良好的商业信誉和健全的财务会计制度，提供2023年的财务审计报告或财务报表（如供应商新成立的，则提供成立至今的财务报表）。</w:t>
            </w:r>
          </w:p>
          <w:p w14:paraId="417A4297">
            <w:pPr>
              <w:spacing w:line="276"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（3）投标人具有履行合同所必需的设备和专业技术能力（详见格式）</w:t>
            </w:r>
          </w:p>
          <w:p w14:paraId="3FEED8EE">
            <w:pPr>
              <w:spacing w:line="276"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（4）具有依法缴纳税收和社会保障资金的良好记录，提供近半年任意1个月依法缴纳税收和缴纳社会保障资金的证明；</w:t>
            </w:r>
          </w:p>
          <w:p w14:paraId="76C92A2B">
            <w:pPr>
              <w:spacing w:line="276"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（5）参加政府采购活动前三年内，在经营活动中没有重大违法记录（详见格式）；</w:t>
            </w:r>
          </w:p>
          <w:p w14:paraId="1ECF2AB3">
            <w:pPr>
              <w:spacing w:line="276" w:lineRule="auto"/>
              <w:jc w:val="left"/>
              <w:rPr>
                <w:color w:val="auto"/>
                <w:spacing w:val="6"/>
              </w:rPr>
            </w:pPr>
            <w:r>
              <w:rPr>
                <w:rFonts w:hint="eastAsia" w:ascii="宋体" w:hAnsi="宋体" w:eastAsia="宋体" w:cs="宋体"/>
                <w:color w:val="auto"/>
                <w:kern w:val="2"/>
                <w:sz w:val="24"/>
                <w:szCs w:val="24"/>
                <w:lang w:val="en-US" w:eastAsia="zh-CN" w:bidi="ar-SA"/>
              </w:rPr>
              <w:t>（6）</w:t>
            </w:r>
            <w:bookmarkStart w:id="19" w:name="OLE_LINK6"/>
            <w:r>
              <w:rPr>
                <w:rFonts w:hint="eastAsia" w:ascii="宋体" w:hAnsi="宋体" w:eastAsia="宋体" w:cs="宋体"/>
                <w:color w:val="auto"/>
                <w:kern w:val="2"/>
                <w:sz w:val="24"/>
                <w:szCs w:val="24"/>
                <w:lang w:val="en-US" w:eastAsia="zh-CN" w:bidi="ar-SA"/>
              </w:rPr>
              <w:t>法律、行政法规规定的其他条件；</w:t>
            </w:r>
            <w:bookmarkEnd w:id="19"/>
            <w:r>
              <w:rPr>
                <w:rFonts w:hint="eastAsia" w:ascii="宋体" w:hAnsi="宋体" w:eastAsia="宋体" w:cs="宋体"/>
                <w:color w:val="auto"/>
                <w:kern w:val="2"/>
                <w:sz w:val="24"/>
                <w:szCs w:val="24"/>
                <w:lang w:val="en-US" w:eastAsia="zh-CN" w:bidi="ar-SA"/>
              </w:rPr>
              <w:t>（详见格式）</w:t>
            </w:r>
          </w:p>
          <w:p w14:paraId="55B1C43C">
            <w:pPr>
              <w:pStyle w:val="181"/>
              <w:spacing w:before="179" w:line="369" w:lineRule="auto"/>
              <w:ind w:left="114" w:right="106" w:firstLine="1"/>
              <w:rPr>
                <w:rFonts w:hint="eastAsia" w:eastAsia="宋体"/>
                <w:color w:val="auto"/>
                <w:lang w:eastAsia="zh-CN"/>
              </w:rPr>
            </w:pPr>
            <w:r>
              <w:rPr>
                <w:color w:val="auto"/>
                <w:spacing w:val="12"/>
              </w:rPr>
              <w:t>2.落实政府采购政策需满足的资格要求</w:t>
            </w:r>
            <w:r>
              <w:rPr>
                <w:rFonts w:hint="eastAsia"/>
                <w:color w:val="auto"/>
                <w:spacing w:val="12"/>
                <w:lang w:eastAsia="zh-CN"/>
              </w:rPr>
              <w:t>：</w:t>
            </w:r>
            <w:r>
              <w:rPr>
                <w:color w:val="auto"/>
                <w:spacing w:val="12"/>
              </w:rPr>
              <w:t>本项目专门面</w:t>
            </w:r>
            <w:r>
              <w:rPr>
                <w:color w:val="auto"/>
                <w:spacing w:val="11"/>
              </w:rPr>
              <w:t>向中小企业</w:t>
            </w:r>
            <w:r>
              <w:rPr>
                <w:rFonts w:hint="eastAsia"/>
                <w:color w:val="auto"/>
                <w:spacing w:val="11"/>
                <w:lang w:eastAsia="zh-CN"/>
              </w:rPr>
              <w:t>。</w:t>
            </w:r>
          </w:p>
          <w:p w14:paraId="1B03B4DA">
            <w:pPr>
              <w:pStyle w:val="181"/>
              <w:spacing w:before="156" w:line="227" w:lineRule="auto"/>
              <w:ind w:left="119"/>
              <w:rPr>
                <w:color w:val="auto"/>
              </w:rPr>
            </w:pPr>
            <w:r>
              <w:rPr>
                <w:rFonts w:hint="eastAsia"/>
                <w:color w:val="auto"/>
                <w:spacing w:val="3"/>
                <w:lang w:val="en-US" w:eastAsia="zh-CN"/>
              </w:rPr>
              <w:t>3</w:t>
            </w:r>
            <w:r>
              <w:rPr>
                <w:color w:val="auto"/>
                <w:spacing w:val="3"/>
              </w:rPr>
              <w:t>.本项目的特定资格要求：</w:t>
            </w:r>
          </w:p>
          <w:p w14:paraId="6F8D42EC">
            <w:pPr>
              <w:pStyle w:val="181"/>
              <w:spacing w:before="157" w:line="353" w:lineRule="auto"/>
              <w:ind w:right="106" w:rightChars="0"/>
              <w:jc w:val="both"/>
              <w:rPr>
                <w:rFonts w:hint="eastAsia" w:ascii="宋体" w:hAnsi="宋体" w:eastAsia="宋体" w:cs="宋体"/>
                <w:snapToGrid w:val="0"/>
                <w:color w:val="auto"/>
                <w:kern w:val="0"/>
                <w:sz w:val="23"/>
                <w:szCs w:val="23"/>
                <w:lang w:val="en-US" w:eastAsia="zh-CN" w:bidi="ar-SA"/>
              </w:rPr>
            </w:pPr>
            <w:r>
              <w:rPr>
                <w:rFonts w:hint="eastAsia" w:ascii="宋体" w:hAnsi="宋体" w:eastAsia="宋体" w:cs="宋体"/>
                <w:snapToGrid w:val="0"/>
                <w:color w:val="auto"/>
                <w:kern w:val="0"/>
                <w:sz w:val="23"/>
                <w:szCs w:val="23"/>
                <w:lang w:val="en-US" w:eastAsia="zh-CN" w:bidi="ar-SA"/>
              </w:rPr>
              <w:t>（</w:t>
            </w:r>
            <w:r>
              <w:rPr>
                <w:rFonts w:hint="eastAsia" w:cs="宋体"/>
                <w:snapToGrid w:val="0"/>
                <w:color w:val="auto"/>
                <w:kern w:val="0"/>
                <w:sz w:val="23"/>
                <w:szCs w:val="23"/>
                <w:lang w:val="en-US" w:eastAsia="zh-CN" w:bidi="ar-SA"/>
              </w:rPr>
              <w:t>1</w:t>
            </w:r>
            <w:r>
              <w:rPr>
                <w:rFonts w:hint="eastAsia" w:ascii="宋体" w:hAnsi="宋体" w:eastAsia="宋体" w:cs="宋体"/>
                <w:snapToGrid w:val="0"/>
                <w:color w:val="auto"/>
                <w:kern w:val="0"/>
                <w:sz w:val="23"/>
                <w:szCs w:val="23"/>
                <w:lang w:val="en-US" w:eastAsia="zh-CN" w:bidi="ar-SA"/>
              </w:rPr>
              <w:t>）单位负责人为同一人或者存在直接控股、管理关系的不同供应商，不得参加同一合同项下的政府采购活动</w:t>
            </w:r>
            <w:r>
              <w:rPr>
                <w:rFonts w:hint="eastAsia" w:cs="宋体"/>
                <w:snapToGrid w:val="0"/>
                <w:color w:val="auto"/>
                <w:kern w:val="0"/>
                <w:sz w:val="23"/>
                <w:szCs w:val="23"/>
                <w:lang w:val="en-US" w:eastAsia="zh-CN" w:bidi="ar-SA"/>
              </w:rPr>
              <w:t>；</w:t>
            </w:r>
            <w:r>
              <w:rPr>
                <w:rFonts w:hint="eastAsia" w:ascii="宋体" w:hAnsi="宋体" w:eastAsia="宋体" w:cs="宋体"/>
                <w:color w:val="auto"/>
                <w:kern w:val="2"/>
                <w:sz w:val="24"/>
                <w:szCs w:val="24"/>
                <w:lang w:val="en-US" w:eastAsia="zh-CN" w:bidi="ar-SA"/>
              </w:rPr>
              <w:t>（详见格式）</w:t>
            </w:r>
          </w:p>
          <w:p w14:paraId="7738CDC7">
            <w:pPr>
              <w:spacing w:line="276"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snapToGrid w:val="0"/>
                <w:color w:val="auto"/>
                <w:kern w:val="0"/>
                <w:sz w:val="23"/>
                <w:szCs w:val="23"/>
                <w:lang w:val="en-US" w:eastAsia="zh-CN" w:bidi="ar-SA"/>
              </w:rPr>
              <w:t>（</w:t>
            </w:r>
            <w:r>
              <w:rPr>
                <w:rFonts w:hint="eastAsia" w:ascii="宋体" w:hAnsi="宋体" w:cs="宋体"/>
                <w:snapToGrid w:val="0"/>
                <w:color w:val="auto"/>
                <w:kern w:val="0"/>
                <w:sz w:val="23"/>
                <w:szCs w:val="23"/>
                <w:lang w:val="en-US" w:eastAsia="zh-CN" w:bidi="ar-SA"/>
              </w:rPr>
              <w:t>2</w:t>
            </w:r>
            <w:r>
              <w:rPr>
                <w:rFonts w:hint="eastAsia" w:ascii="宋体" w:hAnsi="宋体" w:eastAsia="宋体" w:cs="宋体"/>
                <w:snapToGrid w:val="0"/>
                <w:color w:val="auto"/>
                <w:kern w:val="0"/>
                <w:sz w:val="23"/>
                <w:szCs w:val="23"/>
                <w:lang w:val="en-US" w:eastAsia="zh-CN" w:bidi="ar-SA"/>
              </w:rPr>
              <w:t>）根据《财政部关于在政府采购活动中查询及使用信用记录有关问题的通知》（财库﹝2016﹞125号）的要求，凡拟参加本次招标项目的投标人，如在“信用中国”网站（ www.creditchina.gov.cn） 被列入失信被执行人（或中国执行公开网）、重大税收违法失信主体、中国政府采购网（http://www.ccgp.gov.cn/search/cr/）严重违法失信行为记录名单的（尚在处罚期内的），将拒绝其参加本次招标活动(如投标单位提供信用截图在评标过程中有争议，以招标代理机构或评标委员会成员现场查询截图为准)；</w:t>
            </w:r>
          </w:p>
        </w:tc>
      </w:tr>
      <w:tr w14:paraId="2D94F9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21049D40">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6</w:t>
            </w:r>
          </w:p>
        </w:tc>
        <w:tc>
          <w:tcPr>
            <w:tcW w:w="1691" w:type="dxa"/>
            <w:vAlign w:val="center"/>
          </w:tcPr>
          <w:p w14:paraId="61321F9E">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联合体投标</w:t>
            </w:r>
          </w:p>
        </w:tc>
        <w:tc>
          <w:tcPr>
            <w:tcW w:w="5469" w:type="dxa"/>
            <w:vAlign w:val="center"/>
          </w:tcPr>
          <w:p w14:paraId="7F6E66AE">
            <w:pPr>
              <w:pStyle w:val="106"/>
              <w:wordWrap w:val="0"/>
              <w:adjustRightInd w:val="0"/>
              <w:snapToGrid w:val="0"/>
              <w:spacing w:line="500" w:lineRule="atLeast"/>
              <w:rPr>
                <w:rFonts w:ascii="宋体" w:hAnsi="宋体" w:cs="宋体"/>
                <w:color w:val="000000" w:themeColor="text1"/>
                <w:sz w:val="24"/>
                <w:szCs w:val="24"/>
                <w:highlight w:val="gree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sym w:font="Wingdings 2" w:char="0052"/>
            </w:r>
            <w:r>
              <w:rPr>
                <w:rFonts w:hint="eastAsia"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highlight w:val="white"/>
                <w14:textFill>
                  <w14:solidFill>
                    <w14:schemeClr w14:val="tx1"/>
                  </w14:solidFill>
                </w14:textFill>
              </w:rPr>
              <w:t xml:space="preserve">不接受 </w:t>
            </w:r>
          </w:p>
          <w:p w14:paraId="74DC7C9E">
            <w:pPr>
              <w:pStyle w:val="106"/>
              <w:wordWrap w:val="0"/>
              <w:adjustRightInd w:val="0"/>
              <w:snapToGrid w:val="0"/>
              <w:spacing w:line="500" w:lineRule="atLeas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 接受</w:t>
            </w:r>
          </w:p>
        </w:tc>
      </w:tr>
      <w:tr w14:paraId="05DD8A3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5BD25023">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7</w:t>
            </w:r>
          </w:p>
        </w:tc>
        <w:tc>
          <w:tcPr>
            <w:tcW w:w="1691" w:type="dxa"/>
            <w:vAlign w:val="center"/>
          </w:tcPr>
          <w:p w14:paraId="037B4552">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备选方案</w:t>
            </w:r>
          </w:p>
        </w:tc>
        <w:tc>
          <w:tcPr>
            <w:tcW w:w="5469" w:type="dxa"/>
            <w:vAlign w:val="center"/>
          </w:tcPr>
          <w:p w14:paraId="47CFF3E9">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sym w:font="Wingdings 2" w:char="0052"/>
            </w:r>
            <w:r>
              <w:rPr>
                <w:rFonts w:hint="eastAsia" w:ascii="宋体" w:hAnsi="宋体" w:cs="宋体"/>
                <w:color w:val="000000" w:themeColor="text1"/>
                <w:sz w:val="24"/>
                <w:szCs w:val="24"/>
                <w14:textFill>
                  <w14:solidFill>
                    <w14:schemeClr w14:val="tx1"/>
                  </w14:solidFill>
                </w14:textFill>
              </w:rPr>
              <w:t xml:space="preserve"> 不接受            </w:t>
            </w:r>
          </w:p>
          <w:p w14:paraId="10EF0D7B">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接受</w:t>
            </w:r>
          </w:p>
        </w:tc>
      </w:tr>
      <w:tr w14:paraId="400A48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753ACB4C">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8</w:t>
            </w:r>
          </w:p>
        </w:tc>
        <w:tc>
          <w:tcPr>
            <w:tcW w:w="1691" w:type="dxa"/>
            <w:vAlign w:val="center"/>
          </w:tcPr>
          <w:p w14:paraId="084648EE">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信息公告媒体</w:t>
            </w:r>
          </w:p>
        </w:tc>
        <w:tc>
          <w:tcPr>
            <w:tcW w:w="5469" w:type="dxa"/>
            <w:vAlign w:val="center"/>
          </w:tcPr>
          <w:p w14:paraId="7A6C49F7">
            <w:pPr>
              <w:pStyle w:val="106"/>
              <w:wordWrap w:val="0"/>
              <w:adjustRightInd w:val="0"/>
              <w:snapToGrid w:val="0"/>
              <w:spacing w:line="500" w:lineRule="atLeas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新疆政府采购网</w:t>
            </w:r>
          </w:p>
        </w:tc>
      </w:tr>
      <w:tr w14:paraId="77770D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619C36B3">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9</w:t>
            </w:r>
          </w:p>
        </w:tc>
        <w:tc>
          <w:tcPr>
            <w:tcW w:w="1691" w:type="dxa"/>
            <w:vAlign w:val="center"/>
          </w:tcPr>
          <w:p w14:paraId="4CCE6CFA">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响应文件递交截止时间</w:t>
            </w:r>
          </w:p>
        </w:tc>
        <w:tc>
          <w:tcPr>
            <w:tcW w:w="5469" w:type="dxa"/>
            <w:vAlign w:val="center"/>
          </w:tcPr>
          <w:p w14:paraId="00CD162F">
            <w:pPr>
              <w:pStyle w:val="106"/>
              <w:wordWrap w:val="0"/>
              <w:adjustRightInd w:val="0"/>
              <w:snapToGrid w:val="0"/>
              <w:spacing w:line="500" w:lineRule="atLeast"/>
              <w:rPr>
                <w:rFonts w:ascii="宋体" w:hAnsi="宋体" w:cs="宋体"/>
                <w:color w:val="auto"/>
                <w:sz w:val="24"/>
                <w:szCs w:val="24"/>
                <w:highlight w:val="white"/>
              </w:rPr>
            </w:pPr>
            <w:r>
              <w:rPr>
                <w:rFonts w:hint="eastAsia" w:ascii="宋体" w:hAnsi="宋体" w:cs="宋体"/>
                <w:color w:val="auto"/>
                <w:sz w:val="24"/>
                <w:szCs w:val="24"/>
              </w:rPr>
              <w:t>202</w:t>
            </w:r>
            <w:r>
              <w:rPr>
                <w:rFonts w:hint="eastAsia" w:ascii="宋体" w:hAnsi="宋体" w:cs="宋体"/>
                <w:color w:val="auto"/>
                <w:sz w:val="24"/>
                <w:szCs w:val="24"/>
                <w:lang w:val="en-US" w:eastAsia="zh-CN"/>
              </w:rPr>
              <w:t>5</w:t>
            </w:r>
            <w:r>
              <w:rPr>
                <w:rFonts w:hint="eastAsia" w:ascii="宋体" w:hAnsi="宋体" w:cs="宋体"/>
                <w:color w:val="auto"/>
                <w:sz w:val="24"/>
                <w:szCs w:val="24"/>
              </w:rPr>
              <w:t>年</w:t>
            </w:r>
            <w:r>
              <w:rPr>
                <w:rFonts w:hint="eastAsia" w:ascii="宋体" w:hAnsi="宋体" w:cs="宋体"/>
                <w:color w:val="auto"/>
                <w:sz w:val="24"/>
                <w:szCs w:val="24"/>
                <w:lang w:val="en-US" w:eastAsia="zh-CN"/>
              </w:rPr>
              <w:t>04</w:t>
            </w:r>
            <w:r>
              <w:rPr>
                <w:rFonts w:hint="eastAsia" w:ascii="宋体" w:hAnsi="宋体" w:cs="宋体"/>
                <w:color w:val="auto"/>
                <w:sz w:val="24"/>
                <w:szCs w:val="24"/>
              </w:rPr>
              <w:t>月</w:t>
            </w:r>
            <w:r>
              <w:rPr>
                <w:rFonts w:hint="eastAsia" w:ascii="宋体" w:hAnsi="宋体" w:cs="宋体"/>
                <w:color w:val="auto"/>
                <w:sz w:val="24"/>
                <w:szCs w:val="24"/>
                <w:lang w:val="en-US" w:eastAsia="zh-CN"/>
              </w:rPr>
              <w:t>11</w:t>
            </w:r>
            <w:r>
              <w:rPr>
                <w:rFonts w:hint="eastAsia" w:ascii="宋体" w:hAnsi="宋体" w:cs="宋体"/>
                <w:color w:val="auto"/>
                <w:sz w:val="24"/>
                <w:szCs w:val="24"/>
              </w:rPr>
              <w:t>日10:00（北京时间）</w:t>
            </w:r>
          </w:p>
        </w:tc>
      </w:tr>
      <w:tr w14:paraId="769A99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4B356667">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10</w:t>
            </w:r>
          </w:p>
        </w:tc>
        <w:tc>
          <w:tcPr>
            <w:tcW w:w="1691" w:type="dxa"/>
            <w:vAlign w:val="center"/>
          </w:tcPr>
          <w:p w14:paraId="61B906B5">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磋商时间、地点</w:t>
            </w:r>
          </w:p>
        </w:tc>
        <w:tc>
          <w:tcPr>
            <w:tcW w:w="5469" w:type="dxa"/>
            <w:vAlign w:val="center"/>
          </w:tcPr>
          <w:p w14:paraId="1F088797">
            <w:pPr>
              <w:pStyle w:val="106"/>
              <w:widowControl/>
              <w:wordWrap w:val="0"/>
              <w:adjustRightInd w:val="0"/>
              <w:snapToGrid w:val="0"/>
              <w:spacing w:line="500" w:lineRule="atLeast"/>
              <w:rPr>
                <w:rFonts w:ascii="宋体" w:hAnsi="宋体" w:cs="宋体"/>
                <w:b/>
                <w:color w:val="000000" w:themeColor="text1"/>
                <w:kern w:val="0"/>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sym w:font="Wingdings 2" w:char="0052"/>
            </w:r>
            <w:r>
              <w:rPr>
                <w:rFonts w:hint="eastAsia" w:ascii="宋体" w:hAnsi="宋体" w:cs="宋体"/>
                <w:color w:val="000000" w:themeColor="text1"/>
                <w:sz w:val="24"/>
                <w:szCs w:val="24"/>
                <w14:textFill>
                  <w14:solidFill>
                    <w14:schemeClr w14:val="tx1"/>
                  </w14:solidFill>
                </w14:textFill>
              </w:rPr>
              <w:t xml:space="preserve"> 采用</w:t>
            </w:r>
            <w:r>
              <w:rPr>
                <w:rFonts w:hint="eastAsia" w:ascii="宋体" w:hAnsi="宋体" w:cs="宋体"/>
                <w:color w:val="000000" w:themeColor="text1"/>
                <w:kern w:val="0"/>
                <w:sz w:val="24"/>
                <w:szCs w:val="24"/>
                <w14:textFill>
                  <w14:solidFill>
                    <w14:schemeClr w14:val="tx1"/>
                  </w14:solidFill>
                </w14:textFill>
              </w:rPr>
              <w:t>不见面开标：</w:t>
            </w:r>
          </w:p>
          <w:p w14:paraId="194D2015">
            <w:pPr>
              <w:pStyle w:val="106"/>
              <w:wordWrap w:val="0"/>
              <w:adjustRightInd w:val="0"/>
              <w:snapToGrid w:val="0"/>
              <w:spacing w:line="500" w:lineRule="atLeast"/>
              <w:ind w:left="2" w:hanging="2" w:hangingChars="1"/>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开标时间：</w:t>
            </w:r>
            <w:r>
              <w:rPr>
                <w:rFonts w:hint="eastAsia" w:ascii="宋体" w:hAnsi="宋体" w:cs="宋体"/>
                <w:color w:val="000000" w:themeColor="text1"/>
                <w:sz w:val="24"/>
                <w:szCs w:val="24"/>
                <w14:textFill>
                  <w14:solidFill>
                    <w14:schemeClr w14:val="tx1"/>
                  </w14:solidFill>
                </w14:textFill>
              </w:rPr>
              <w:t>202</w:t>
            </w:r>
            <w:r>
              <w:rPr>
                <w:rFonts w:hint="eastAsia" w:ascii="宋体" w:hAnsi="宋体" w:cs="宋体"/>
                <w:color w:val="000000" w:themeColor="text1"/>
                <w:sz w:val="24"/>
                <w:szCs w:val="24"/>
                <w:lang w:val="en-US" w:eastAsia="zh-CN"/>
                <w14:textFill>
                  <w14:solidFill>
                    <w14:schemeClr w14:val="tx1"/>
                  </w14:solidFill>
                </w14:textFill>
              </w:rPr>
              <w:t>5</w:t>
            </w:r>
            <w:r>
              <w:rPr>
                <w:rFonts w:hint="eastAsia" w:ascii="宋体" w:hAnsi="宋体" w:cs="宋体"/>
                <w:color w:val="000000" w:themeColor="text1"/>
                <w:sz w:val="24"/>
                <w:szCs w:val="24"/>
                <w14:textFill>
                  <w14:solidFill>
                    <w14:schemeClr w14:val="tx1"/>
                  </w14:solidFill>
                </w14:textFill>
              </w:rPr>
              <w:t>年</w:t>
            </w:r>
            <w:r>
              <w:rPr>
                <w:rFonts w:hint="eastAsia" w:ascii="宋体" w:hAnsi="宋体" w:cs="宋体"/>
                <w:color w:val="000000" w:themeColor="text1"/>
                <w:sz w:val="24"/>
                <w:szCs w:val="24"/>
                <w:lang w:val="en-US" w:eastAsia="zh-CN"/>
                <w14:textFill>
                  <w14:solidFill>
                    <w14:schemeClr w14:val="tx1"/>
                  </w14:solidFill>
                </w14:textFill>
              </w:rPr>
              <w:t>04</w:t>
            </w:r>
            <w:r>
              <w:rPr>
                <w:rFonts w:hint="eastAsia" w:ascii="宋体" w:hAnsi="宋体" w:cs="宋体"/>
                <w:color w:val="000000" w:themeColor="text1"/>
                <w:sz w:val="24"/>
                <w:szCs w:val="24"/>
                <w14:textFill>
                  <w14:solidFill>
                    <w14:schemeClr w14:val="tx1"/>
                  </w14:solidFill>
                </w14:textFill>
              </w:rPr>
              <w:t>月</w:t>
            </w:r>
            <w:r>
              <w:rPr>
                <w:rFonts w:hint="eastAsia" w:ascii="宋体" w:hAnsi="宋体" w:cs="宋体"/>
                <w:color w:val="000000" w:themeColor="text1"/>
                <w:sz w:val="24"/>
                <w:szCs w:val="24"/>
                <w:lang w:val="en-US" w:eastAsia="zh-CN"/>
                <w14:textFill>
                  <w14:solidFill>
                    <w14:schemeClr w14:val="tx1"/>
                  </w14:solidFill>
                </w14:textFill>
              </w:rPr>
              <w:t>11</w:t>
            </w:r>
            <w:r>
              <w:rPr>
                <w:rFonts w:hint="eastAsia" w:ascii="宋体" w:hAnsi="宋体" w:cs="宋体"/>
                <w:color w:val="000000" w:themeColor="text1"/>
                <w:sz w:val="24"/>
                <w:szCs w:val="24"/>
                <w14:textFill>
                  <w14:solidFill>
                    <w14:schemeClr w14:val="tx1"/>
                  </w14:solidFill>
                </w14:textFill>
              </w:rPr>
              <w:t>日10:00（北京时间）</w:t>
            </w:r>
          </w:p>
          <w:p w14:paraId="17C19A14">
            <w:pPr>
              <w:pStyle w:val="106"/>
              <w:wordWrap w:val="0"/>
              <w:adjustRightInd w:val="0"/>
              <w:snapToGrid w:val="0"/>
              <w:spacing w:line="500" w:lineRule="atLeas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开标地点：远程不见面开标大厅</w:t>
            </w:r>
          </w:p>
          <w:p w14:paraId="4F51613D">
            <w:pPr>
              <w:pStyle w:val="106"/>
              <w:wordWrap w:val="0"/>
              <w:adjustRightInd w:val="0"/>
              <w:snapToGrid w:val="0"/>
              <w:spacing w:line="500" w:lineRule="atLeast"/>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不见面开标默认解密时长：30分钟</w:t>
            </w:r>
          </w:p>
          <w:p w14:paraId="5E20C66F">
            <w:pPr>
              <w:pStyle w:val="106"/>
              <w:widowControl/>
              <w:wordWrap w:val="0"/>
              <w:adjustRightInd w:val="0"/>
              <w:snapToGrid w:val="0"/>
              <w:spacing w:line="500" w:lineRule="atLeast"/>
              <w:rPr>
                <w:rFonts w:ascii="宋体" w:hAnsi="宋体" w:cs="宋体"/>
                <w:b/>
                <w:color w:val="000000" w:themeColor="text1"/>
                <w:kern w:val="0"/>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关于能否延长解密时间的约定：开标现场若发现默认解密时长不足，由采购人决定是否延长解密时长。</w:t>
            </w:r>
          </w:p>
        </w:tc>
      </w:tr>
      <w:tr w14:paraId="74BA9A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7E3A26CA">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11</w:t>
            </w:r>
          </w:p>
        </w:tc>
        <w:tc>
          <w:tcPr>
            <w:tcW w:w="1691" w:type="dxa"/>
            <w:vAlign w:val="center"/>
          </w:tcPr>
          <w:p w14:paraId="144C9210">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磋商小组的组建及评审专家的确定方式</w:t>
            </w:r>
          </w:p>
        </w:tc>
        <w:tc>
          <w:tcPr>
            <w:tcW w:w="5469" w:type="dxa"/>
            <w:vAlign w:val="center"/>
          </w:tcPr>
          <w:p w14:paraId="04C10F4C">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采购单位依法组建磋商小组共3人组成，其中采购人代表0人和专家评委3人。</w:t>
            </w:r>
          </w:p>
          <w:p w14:paraId="11E84086">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小组确定方式：</w:t>
            </w:r>
          </w:p>
          <w:p w14:paraId="7127D380">
            <w:pPr>
              <w:pStyle w:val="106"/>
              <w:wordWrap w:val="0"/>
              <w:adjustRightInd w:val="0"/>
              <w:snapToGrid w:val="0"/>
              <w:spacing w:line="500" w:lineRule="atLeast"/>
              <w:rPr>
                <w:rFonts w:ascii="宋体" w:hAnsi="宋体" w:cs="宋体"/>
                <w:color w:val="000000" w:themeColor="text1"/>
                <w:sz w:val="24"/>
                <w:szCs w:val="24"/>
                <w:highlight w:val="green"/>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sym w:font="Wingdings 2" w:char="0052"/>
            </w:r>
            <w:r>
              <w:rPr>
                <w:rFonts w:hint="eastAsia" w:ascii="宋体" w:hAnsi="宋体" w:cs="宋体"/>
                <w:color w:val="000000" w:themeColor="text1"/>
                <w:sz w:val="24"/>
                <w:szCs w:val="24"/>
                <w:highlight w:val="white"/>
                <w14:textFill>
                  <w14:solidFill>
                    <w14:schemeClr w14:val="tx1"/>
                  </w14:solidFill>
                </w14:textFill>
              </w:rPr>
              <w:t xml:space="preserve"> 计算机随机抽取语音通知方式 </w:t>
            </w:r>
          </w:p>
          <w:p w14:paraId="19478F4D">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□其他方式：</w:t>
            </w:r>
            <w:r>
              <w:rPr>
                <w:rFonts w:hint="eastAsia" w:ascii="宋体" w:hAnsi="宋体" w:cs="宋体"/>
                <w:color w:val="000000" w:themeColor="text1"/>
                <w:sz w:val="24"/>
                <w:szCs w:val="24"/>
                <w14:textFill>
                  <w14:solidFill>
                    <w14:schemeClr w14:val="tx1"/>
                  </w14:solidFill>
                </w14:textFill>
              </w:rPr>
              <w:t xml:space="preserve">                      </w:t>
            </w:r>
          </w:p>
        </w:tc>
      </w:tr>
      <w:tr w14:paraId="4B3FF4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Merge w:val="restart"/>
            <w:vAlign w:val="center"/>
          </w:tcPr>
          <w:p w14:paraId="01EE9203">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12</w:t>
            </w:r>
          </w:p>
        </w:tc>
        <w:tc>
          <w:tcPr>
            <w:tcW w:w="1691" w:type="dxa"/>
            <w:vMerge w:val="restart"/>
            <w:vAlign w:val="center"/>
          </w:tcPr>
          <w:p w14:paraId="2D797A8B">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磋商保证金</w:t>
            </w:r>
          </w:p>
        </w:tc>
        <w:tc>
          <w:tcPr>
            <w:tcW w:w="5469" w:type="dxa"/>
            <w:vAlign w:val="center"/>
          </w:tcPr>
          <w:p w14:paraId="15887B72">
            <w:pPr>
              <w:pStyle w:val="106"/>
              <w:wordWrap w:val="0"/>
              <w:adjustRightInd w:val="0"/>
              <w:snapToGrid w:val="0"/>
              <w:spacing w:line="500" w:lineRule="atLeast"/>
              <w:ind w:firstLine="2"/>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缴纳方式：电汇、网银转账</w:t>
            </w:r>
            <w:r>
              <w:rPr>
                <w:rFonts w:hint="eastAsia" w:ascii="宋体" w:hAnsi="宋体" w:cs="宋体"/>
                <w:bCs/>
                <w:color w:val="000000" w:themeColor="text1"/>
                <w:sz w:val="24"/>
                <w:szCs w:val="24"/>
                <w:lang w:eastAsia="zh-CN"/>
                <w14:textFill>
                  <w14:solidFill>
                    <w14:schemeClr w14:val="tx1"/>
                  </w14:solidFill>
                </w14:textFill>
              </w:rPr>
              <w:t>、保函、保单</w:t>
            </w:r>
          </w:p>
        </w:tc>
      </w:tr>
      <w:tr w14:paraId="310B052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Merge w:val="continue"/>
            <w:vAlign w:val="center"/>
          </w:tcPr>
          <w:p w14:paraId="56AC1CDD">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p>
        </w:tc>
        <w:tc>
          <w:tcPr>
            <w:tcW w:w="1691" w:type="dxa"/>
            <w:vMerge w:val="continue"/>
            <w:vAlign w:val="center"/>
          </w:tcPr>
          <w:p w14:paraId="6AA063CE">
            <w:pPr>
              <w:pStyle w:val="106"/>
              <w:wordWrap w:val="0"/>
              <w:adjustRightInd w:val="0"/>
              <w:snapToGrid w:val="0"/>
              <w:spacing w:line="500" w:lineRule="atLeast"/>
              <w:ind w:firstLine="612" w:firstLineChars="254"/>
              <w:jc w:val="center"/>
              <w:rPr>
                <w:rFonts w:ascii="宋体" w:hAnsi="宋体" w:cs="宋体"/>
                <w:b/>
                <w:bCs/>
                <w:color w:val="000000" w:themeColor="text1"/>
                <w:sz w:val="24"/>
                <w:szCs w:val="24"/>
                <w14:textFill>
                  <w14:solidFill>
                    <w14:schemeClr w14:val="tx1"/>
                  </w14:solidFill>
                </w14:textFill>
              </w:rPr>
            </w:pPr>
          </w:p>
        </w:tc>
        <w:tc>
          <w:tcPr>
            <w:tcW w:w="5469" w:type="dxa"/>
            <w:vAlign w:val="center"/>
          </w:tcPr>
          <w:p w14:paraId="7E471B47">
            <w:pPr>
              <w:pStyle w:val="106"/>
              <w:wordWrap w:val="0"/>
              <w:adjustRightInd w:val="0"/>
              <w:snapToGrid w:val="0"/>
              <w:spacing w:line="500" w:lineRule="atLeas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金额（小写）：</w:t>
            </w:r>
            <w:r>
              <w:rPr>
                <w:rFonts w:hint="eastAsia" w:ascii="宋体" w:hAnsi="宋体" w:cs="宋体"/>
                <w:color w:val="000000" w:themeColor="text1"/>
                <w:sz w:val="24"/>
                <w:szCs w:val="24"/>
                <w:lang w:val="en-US" w:eastAsia="zh-CN"/>
                <w14:textFill>
                  <w14:solidFill>
                    <w14:schemeClr w14:val="tx1"/>
                  </w14:solidFill>
                </w14:textFill>
              </w:rPr>
              <w:t>12000</w:t>
            </w:r>
            <w:r>
              <w:rPr>
                <w:rFonts w:hint="eastAsia" w:ascii="宋体" w:hAnsi="宋体" w:cs="宋体"/>
                <w:color w:val="000000" w:themeColor="text1"/>
                <w:sz w:val="24"/>
                <w:szCs w:val="24"/>
                <w14:textFill>
                  <w14:solidFill>
                    <w14:schemeClr w14:val="tx1"/>
                  </w14:solidFill>
                </w14:textFill>
              </w:rPr>
              <w:t xml:space="preserve">.00元           </w:t>
            </w:r>
          </w:p>
          <w:p w14:paraId="0C3AC123">
            <w:pPr>
              <w:pStyle w:val="106"/>
              <w:wordWrap w:val="0"/>
              <w:adjustRightInd w:val="0"/>
              <w:snapToGrid w:val="0"/>
              <w:spacing w:line="500" w:lineRule="atLeast"/>
              <w:ind w:firstLine="2"/>
              <w:rPr>
                <w:rFonts w:ascii="宋体" w:hAnsi="宋体" w:cs="宋体"/>
                <w:bCs/>
                <w:color w:val="000000" w:themeColor="text1"/>
                <w:sz w:val="24"/>
                <w:szCs w:val="24"/>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金额（大写）：</w:t>
            </w:r>
            <w:r>
              <w:rPr>
                <w:rFonts w:hint="eastAsia" w:ascii="宋体" w:hAnsi="宋体" w:cs="宋体"/>
                <w:color w:val="000000" w:themeColor="text1"/>
                <w:sz w:val="24"/>
                <w:szCs w:val="24"/>
                <w:highlight w:val="white"/>
                <w:lang w:val="en-US" w:eastAsia="zh-CN"/>
                <w14:textFill>
                  <w14:solidFill>
                    <w14:schemeClr w14:val="tx1"/>
                  </w14:solidFill>
                </w14:textFill>
              </w:rPr>
              <w:t>壹万贰仟</w:t>
            </w:r>
            <w:r>
              <w:rPr>
                <w:rFonts w:hint="eastAsia" w:ascii="宋体" w:hAnsi="宋体" w:cs="宋体"/>
                <w:color w:val="000000" w:themeColor="text1"/>
                <w:sz w:val="24"/>
                <w:szCs w:val="24"/>
                <w:highlight w:val="white"/>
                <w:lang w:eastAsia="zh-CN"/>
                <w14:textFill>
                  <w14:solidFill>
                    <w14:schemeClr w14:val="tx1"/>
                  </w14:solidFill>
                </w14:textFill>
              </w:rPr>
              <w:t>元整</w:t>
            </w:r>
            <w:r>
              <w:rPr>
                <w:rFonts w:hint="eastAsia" w:ascii="宋体" w:hAnsi="宋体" w:cs="宋体"/>
                <w:color w:val="000000" w:themeColor="text1"/>
                <w:sz w:val="24"/>
                <w:szCs w:val="24"/>
                <w14:textFill>
                  <w14:solidFill>
                    <w14:schemeClr w14:val="tx1"/>
                  </w14:solidFill>
                </w14:textFill>
              </w:rPr>
              <w:t xml:space="preserve">           </w:t>
            </w:r>
          </w:p>
        </w:tc>
      </w:tr>
      <w:tr w14:paraId="1B56587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Merge w:val="continue"/>
            <w:vAlign w:val="center"/>
          </w:tcPr>
          <w:p w14:paraId="1F2F1F14">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p>
        </w:tc>
        <w:tc>
          <w:tcPr>
            <w:tcW w:w="1691" w:type="dxa"/>
            <w:vMerge w:val="continue"/>
            <w:vAlign w:val="center"/>
          </w:tcPr>
          <w:p w14:paraId="26D47AA5">
            <w:pPr>
              <w:pStyle w:val="106"/>
              <w:wordWrap w:val="0"/>
              <w:adjustRightInd w:val="0"/>
              <w:snapToGrid w:val="0"/>
              <w:spacing w:line="500" w:lineRule="atLeast"/>
              <w:ind w:firstLine="612" w:firstLineChars="254"/>
              <w:jc w:val="center"/>
              <w:rPr>
                <w:rFonts w:ascii="宋体" w:hAnsi="宋体" w:cs="宋体"/>
                <w:b/>
                <w:bCs/>
                <w:color w:val="000000" w:themeColor="text1"/>
                <w:sz w:val="24"/>
                <w:szCs w:val="24"/>
                <w14:textFill>
                  <w14:solidFill>
                    <w14:schemeClr w14:val="tx1"/>
                  </w14:solidFill>
                </w14:textFill>
              </w:rPr>
            </w:pPr>
          </w:p>
        </w:tc>
        <w:tc>
          <w:tcPr>
            <w:tcW w:w="5469" w:type="dxa"/>
            <w:vAlign w:val="center"/>
          </w:tcPr>
          <w:p w14:paraId="11CF06DF">
            <w:pPr>
              <w:pStyle w:val="32"/>
              <w:spacing w:line="276" w:lineRule="auto"/>
              <w:ind w:left="0" w:leftChars="0" w:firstLine="0" w:firstLineChars="0"/>
              <w:rPr>
                <w:rFonts w:hint="eastAsia" w:ascii="宋体" w:hAnsi="宋体" w:eastAsia="宋体" w:cs="宋体"/>
                <w:color w:val="000000" w:themeColor="text1"/>
                <w:kern w:val="2"/>
                <w:sz w:val="24"/>
                <w:szCs w:val="24"/>
                <w:highlight w:val="whit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white"/>
                <w:lang w:val="en-US" w:eastAsia="zh-CN" w:bidi="ar-SA"/>
                <w14:textFill>
                  <w14:solidFill>
                    <w14:schemeClr w14:val="tx1"/>
                  </w14:solidFill>
                </w14:textFill>
              </w:rPr>
              <w:t>1、形式：各企业根据自身实际自行选择银行电汇、网银转账、银行保函或出具保险保单等</w:t>
            </w:r>
            <w:r>
              <w:rPr>
                <w:rFonts w:hint="eastAsia" w:ascii="宋体" w:hAnsi="宋体" w:eastAsia="宋体" w:cs="宋体"/>
                <w:color w:val="000000"/>
                <w:kern w:val="0"/>
                <w:sz w:val="24"/>
                <w:lang w:bidi="ar"/>
              </w:rPr>
              <w:t>非现金形式缴纳</w:t>
            </w:r>
            <w:r>
              <w:rPr>
                <w:rFonts w:hint="eastAsia" w:ascii="宋体" w:hAnsi="宋体" w:eastAsia="宋体" w:cs="宋体"/>
                <w:color w:val="000000" w:themeColor="text1"/>
                <w:kern w:val="2"/>
                <w:sz w:val="24"/>
                <w:szCs w:val="24"/>
                <w:highlight w:val="white"/>
                <w:lang w:val="en-US" w:eastAsia="zh-CN" w:bidi="ar-SA"/>
                <w14:textFill>
                  <w14:solidFill>
                    <w14:schemeClr w14:val="tx1"/>
                  </w14:solidFill>
                </w14:textFill>
              </w:rPr>
              <w:t>。</w:t>
            </w:r>
          </w:p>
          <w:p w14:paraId="41D17D90">
            <w:pPr>
              <w:pStyle w:val="32"/>
              <w:spacing w:line="276" w:lineRule="auto"/>
              <w:ind w:left="0" w:leftChars="0" w:firstLine="0" w:firstLineChars="0"/>
              <w:rPr>
                <w:rFonts w:hint="eastAsia" w:ascii="宋体" w:hAnsi="宋体" w:eastAsia="宋体" w:cs="宋体"/>
                <w:color w:val="000000" w:themeColor="text1"/>
                <w:kern w:val="2"/>
                <w:sz w:val="24"/>
                <w:szCs w:val="24"/>
                <w:highlight w:val="whit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white"/>
                <w:lang w:val="en-US" w:eastAsia="zh-CN" w:bidi="ar-SA"/>
                <w14:textFill>
                  <w14:solidFill>
                    <w14:schemeClr w14:val="tx1"/>
                  </w14:solidFill>
                </w14:textFill>
              </w:rPr>
              <w:t>2、递交时间：在投标截止时间前递交（以到账时间为准）；</w:t>
            </w:r>
          </w:p>
          <w:p w14:paraId="1F1311F2">
            <w:pPr>
              <w:pStyle w:val="32"/>
              <w:spacing w:line="276" w:lineRule="auto"/>
              <w:ind w:left="0" w:leftChars="0" w:firstLine="0" w:firstLineChars="0"/>
              <w:rPr>
                <w:rFonts w:hint="eastAsia" w:ascii="宋体" w:hAnsi="宋体" w:eastAsia="宋体" w:cs="宋体"/>
                <w:color w:val="000000" w:themeColor="text1"/>
                <w:kern w:val="2"/>
                <w:sz w:val="24"/>
                <w:szCs w:val="24"/>
                <w:highlight w:val="whit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white"/>
                <w:lang w:val="en-US" w:eastAsia="zh-CN" w:bidi="ar-SA"/>
                <w14:textFill>
                  <w14:solidFill>
                    <w14:schemeClr w14:val="tx1"/>
                  </w14:solidFill>
                </w14:textFill>
              </w:rPr>
              <w:t>3、账户信息：</w:t>
            </w:r>
          </w:p>
          <w:p w14:paraId="59472CC7">
            <w:pPr>
              <w:pStyle w:val="32"/>
              <w:spacing w:line="276" w:lineRule="auto"/>
              <w:ind w:left="0" w:leftChars="0" w:firstLine="0" w:firstLineChars="0"/>
              <w:rPr>
                <w:rFonts w:hint="eastAsia" w:ascii="宋体" w:hAnsi="宋体" w:eastAsia="宋体" w:cs="宋体"/>
                <w:color w:val="000000" w:themeColor="text1"/>
                <w:kern w:val="2"/>
                <w:sz w:val="24"/>
                <w:szCs w:val="24"/>
                <w:highlight w:val="whit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white"/>
                <w:lang w:val="en-US" w:eastAsia="zh-CN" w:bidi="ar-SA"/>
                <w14:textFill>
                  <w14:solidFill>
                    <w14:schemeClr w14:val="tx1"/>
                  </w14:solidFill>
                </w14:textFill>
              </w:rPr>
              <w:t>单位名称：新疆天之源项目管理集团有限公司哈密分公司</w:t>
            </w:r>
          </w:p>
          <w:p w14:paraId="552CCBA5">
            <w:pPr>
              <w:pStyle w:val="32"/>
              <w:spacing w:line="276" w:lineRule="auto"/>
              <w:ind w:left="0" w:leftChars="0" w:firstLine="0" w:firstLineChars="0"/>
              <w:jc w:val="left"/>
              <w:rPr>
                <w:rFonts w:hint="eastAsia" w:ascii="宋体" w:hAnsi="宋体" w:eastAsia="宋体" w:cs="宋体"/>
                <w:color w:val="000000"/>
                <w:kern w:val="2"/>
                <w:sz w:val="24"/>
                <w:szCs w:val="24"/>
                <w:highlight w:val="white"/>
                <w:lang w:val="en-US" w:eastAsia="zh-CN" w:bidi="ar-SA"/>
              </w:rPr>
            </w:pPr>
            <w:r>
              <w:rPr>
                <w:rFonts w:hint="eastAsia" w:ascii="宋体" w:hAnsi="宋体" w:eastAsia="宋体" w:cs="宋体"/>
                <w:color w:val="000000"/>
                <w:kern w:val="2"/>
                <w:sz w:val="24"/>
                <w:szCs w:val="24"/>
                <w:highlight w:val="white"/>
                <w:lang w:val="en-US" w:eastAsia="zh-CN" w:bidi="ar-SA"/>
              </w:rPr>
              <w:t>开户银行：哈密红星国民村镇银行有限责任公司</w:t>
            </w:r>
          </w:p>
          <w:p w14:paraId="52AF9120">
            <w:pPr>
              <w:pStyle w:val="32"/>
              <w:spacing w:line="276" w:lineRule="auto"/>
              <w:ind w:left="0" w:leftChars="0" w:firstLine="0" w:firstLineChars="0"/>
              <w:jc w:val="left"/>
              <w:rPr>
                <w:rFonts w:hint="eastAsia" w:ascii="宋体" w:hAnsi="宋体" w:eastAsia="宋体" w:cs="宋体"/>
                <w:color w:val="000000"/>
                <w:kern w:val="2"/>
                <w:sz w:val="24"/>
                <w:szCs w:val="24"/>
                <w:highlight w:val="white"/>
                <w:lang w:val="en-US" w:eastAsia="zh-CN" w:bidi="ar-SA"/>
              </w:rPr>
            </w:pPr>
            <w:r>
              <w:rPr>
                <w:rFonts w:hint="eastAsia" w:ascii="宋体" w:hAnsi="宋体" w:eastAsia="宋体" w:cs="宋体"/>
                <w:color w:val="000000"/>
                <w:kern w:val="2"/>
                <w:sz w:val="24"/>
                <w:szCs w:val="24"/>
                <w:highlight w:val="white"/>
                <w:lang w:val="en-US" w:eastAsia="zh-CN" w:bidi="ar-SA"/>
              </w:rPr>
              <w:t>开户账号： 66060101302015542</w:t>
            </w:r>
          </w:p>
          <w:p w14:paraId="6DD55C2A">
            <w:pPr>
              <w:pStyle w:val="32"/>
              <w:spacing w:line="276" w:lineRule="auto"/>
              <w:ind w:left="0" w:leftChars="0" w:firstLine="0" w:firstLineChars="0"/>
              <w:jc w:val="left"/>
              <w:rPr>
                <w:rFonts w:hint="eastAsia" w:ascii="宋体" w:hAnsi="宋体" w:eastAsia="宋体" w:cs="宋体"/>
                <w:color w:val="000000"/>
                <w:kern w:val="2"/>
                <w:sz w:val="24"/>
                <w:szCs w:val="24"/>
                <w:highlight w:val="white"/>
                <w:lang w:val="en-US" w:eastAsia="zh-CN" w:bidi="ar-SA"/>
              </w:rPr>
            </w:pPr>
            <w:r>
              <w:rPr>
                <w:rFonts w:hint="eastAsia" w:ascii="宋体" w:hAnsi="宋体" w:eastAsia="宋体" w:cs="宋体"/>
                <w:color w:val="000000"/>
                <w:kern w:val="2"/>
                <w:sz w:val="24"/>
                <w:szCs w:val="24"/>
                <w:highlight w:val="white"/>
                <w:lang w:val="en-US" w:eastAsia="zh-CN" w:bidi="ar-SA"/>
              </w:rPr>
              <w:t>开户行行号：</w:t>
            </w:r>
            <w:r>
              <w:rPr>
                <w:rFonts w:hint="eastAsia" w:ascii="宋体" w:hAnsi="宋体" w:cs="宋体"/>
                <w:sz w:val="24"/>
              </w:rPr>
              <w:t>320884000025</w:t>
            </w:r>
          </w:p>
          <w:p w14:paraId="74E94529">
            <w:pPr>
              <w:pStyle w:val="154"/>
              <w:spacing w:line="500" w:lineRule="exact"/>
              <w:rPr>
                <w:rFonts w:ascii="宋体" w:hAnsi="宋体" w:cs="宋体"/>
                <w:bCs/>
                <w:color w:val="000000"/>
                <w:sz w:val="24"/>
                <w:szCs w:val="24"/>
              </w:rPr>
            </w:pPr>
            <w:r>
              <w:rPr>
                <w:rFonts w:hint="eastAsia" w:ascii="宋体" w:hAnsi="宋体" w:cs="宋体"/>
                <w:bCs/>
                <w:color w:val="000000"/>
                <w:sz w:val="24"/>
                <w:szCs w:val="24"/>
              </w:rPr>
              <w:t>1、保证金必须从企业基本帐户缴纳至采购代理机构给定的账户。以个人、企业的办事处、分公司、子公司名义或从他人帐户、投标人企业的其他账户缴纳的保证金无效。</w:t>
            </w:r>
            <w:r>
              <w:rPr>
                <w:rFonts w:hint="eastAsia" w:ascii="宋体" w:hAnsi="宋体" w:cs="宋体"/>
                <w:bCs/>
                <w:color w:val="000000"/>
                <w:sz w:val="24"/>
                <w:szCs w:val="24"/>
                <w:lang w:eastAsia="zh-CN"/>
              </w:rPr>
              <w:t>（提供基本户信息</w:t>
            </w:r>
            <w:r>
              <w:rPr>
                <w:rFonts w:hint="eastAsia" w:ascii="宋体" w:hAnsi="宋体" w:cs="宋体"/>
                <w:bCs/>
                <w:color w:val="000000"/>
                <w:sz w:val="24"/>
                <w:szCs w:val="24"/>
                <w:lang w:val="en-US" w:eastAsia="zh-CN"/>
              </w:rPr>
              <w:t>复印件</w:t>
            </w:r>
            <w:r>
              <w:rPr>
                <w:rFonts w:hint="eastAsia" w:ascii="宋体" w:hAnsi="宋体" w:cs="宋体"/>
                <w:bCs/>
                <w:color w:val="000000"/>
                <w:sz w:val="24"/>
                <w:szCs w:val="24"/>
                <w:lang w:eastAsia="zh-CN"/>
              </w:rPr>
              <w:t>）</w:t>
            </w:r>
          </w:p>
          <w:p w14:paraId="73DD6E3D">
            <w:pPr>
              <w:pStyle w:val="154"/>
              <w:spacing w:line="500" w:lineRule="exact"/>
              <w:rPr>
                <w:rFonts w:ascii="宋体" w:hAnsi="宋体" w:cs="宋体"/>
                <w:bCs/>
                <w:color w:val="000000"/>
                <w:sz w:val="24"/>
                <w:szCs w:val="24"/>
              </w:rPr>
            </w:pPr>
            <w:r>
              <w:rPr>
                <w:rFonts w:hint="eastAsia" w:ascii="宋体" w:hAnsi="宋体" w:cs="宋体"/>
                <w:bCs/>
                <w:color w:val="000000"/>
                <w:sz w:val="24"/>
                <w:szCs w:val="24"/>
              </w:rPr>
              <w:t>2、保证金必须在投标截止时间（开标时间）前缴纳至招标代理公司账户。投标人需自行评估因异地、跨行、公休日等因素造成的投标保证金到账延迟风险，并承担相应责任。</w:t>
            </w:r>
          </w:p>
          <w:p w14:paraId="53C2F85F">
            <w:pPr>
              <w:spacing w:line="360" w:lineRule="auto"/>
              <w:rPr>
                <w:rFonts w:ascii="宋体" w:hAnsi="宋体" w:cs="宋体"/>
                <w:b/>
                <w:bCs/>
                <w:sz w:val="24"/>
                <w:szCs w:val="24"/>
              </w:rPr>
            </w:pPr>
            <w:r>
              <w:rPr>
                <w:rFonts w:hint="eastAsia" w:ascii="宋体" w:hAnsi="宋体" w:cs="宋体"/>
                <w:b/>
                <w:bCs/>
                <w:sz w:val="24"/>
                <w:szCs w:val="24"/>
                <w:lang w:val="en-US" w:eastAsia="zh-CN"/>
              </w:rPr>
              <w:t>3</w:t>
            </w:r>
            <w:r>
              <w:rPr>
                <w:rFonts w:hint="eastAsia" w:ascii="宋体" w:hAnsi="宋体" w:cs="宋体"/>
                <w:b/>
                <w:bCs/>
                <w:sz w:val="24"/>
                <w:szCs w:val="24"/>
              </w:rPr>
              <w:t>、为简化手续，优化流程，采用电子支付方式提交投标保证金的，在退还时，按原路退回，收取时不开具收据，</w:t>
            </w:r>
            <w:r>
              <w:rPr>
                <w:rFonts w:hint="eastAsia" w:ascii="宋体" w:hAnsi="宋体" w:cs="宋体"/>
                <w:b/>
                <w:bCs/>
                <w:sz w:val="24"/>
                <w:szCs w:val="24"/>
                <w:lang w:val="en-US" w:eastAsia="zh-CN"/>
              </w:rPr>
              <w:t>退还时也不要求提交收据</w:t>
            </w:r>
            <w:r>
              <w:rPr>
                <w:rFonts w:hint="eastAsia" w:ascii="宋体" w:hAnsi="宋体" w:cs="宋体"/>
                <w:b/>
                <w:bCs/>
                <w:sz w:val="24"/>
                <w:szCs w:val="24"/>
              </w:rPr>
              <w:t>。请各投标单位在响应文件中提供开户许可证或退款账户信息（包含银行行号）。</w:t>
            </w:r>
          </w:p>
          <w:p w14:paraId="706DCD5D">
            <w:pPr>
              <w:pStyle w:val="104"/>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eastAsia="宋体" w:cs="宋体"/>
                <w:color w:val="000000" w:themeColor="text1"/>
                <w:kern w:val="2"/>
                <w:sz w:val="24"/>
                <w:szCs w:val="24"/>
                <w:highlight w:val="white"/>
                <w:lang w:val="en-US" w:eastAsia="zh-CN" w:bidi="ar-SA"/>
                <w14:textFill>
                  <w14:solidFill>
                    <w14:schemeClr w14:val="tx1"/>
                  </w14:solidFill>
                </w14:textFill>
              </w:rPr>
              <w:t>注：汇款单上需注明投标商单位名称、项目名称</w:t>
            </w:r>
            <w:r>
              <w:rPr>
                <w:rFonts w:hint="eastAsia" w:ascii="宋体" w:hAnsi="宋体" w:cs="宋体"/>
                <w:color w:val="000000" w:themeColor="text1"/>
                <w:kern w:val="2"/>
                <w:sz w:val="24"/>
                <w:szCs w:val="24"/>
                <w:highlight w:val="white"/>
                <w:lang w:val="en-US" w:eastAsia="zh-CN" w:bidi="ar-SA"/>
                <w14:textFill>
                  <w14:solidFill>
                    <w14:schemeClr w14:val="tx1"/>
                  </w14:solidFill>
                </w14:textFill>
              </w:rPr>
              <w:t>（可简写）</w:t>
            </w:r>
            <w:r>
              <w:rPr>
                <w:rFonts w:hint="eastAsia" w:ascii="宋体" w:hAnsi="宋体" w:eastAsia="宋体" w:cs="宋体"/>
                <w:color w:val="000000" w:themeColor="text1"/>
                <w:kern w:val="2"/>
                <w:sz w:val="24"/>
                <w:szCs w:val="24"/>
                <w:highlight w:val="white"/>
                <w:lang w:val="en-US" w:eastAsia="zh-CN" w:bidi="ar-SA"/>
                <w14:textFill>
                  <w14:solidFill>
                    <w14:schemeClr w14:val="tx1"/>
                  </w14:solidFill>
                </w14:textFill>
              </w:rPr>
              <w:t>、金额。保证金于截止日之前缴纳，若投标商未按照规定缴纳保证金,投标文件将被拒绝评审。</w:t>
            </w:r>
          </w:p>
        </w:tc>
      </w:tr>
      <w:tr w14:paraId="5410E6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1EF8D722">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13</w:t>
            </w:r>
          </w:p>
        </w:tc>
        <w:tc>
          <w:tcPr>
            <w:tcW w:w="1691" w:type="dxa"/>
            <w:vAlign w:val="center"/>
          </w:tcPr>
          <w:p w14:paraId="5E103B2B">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评审办法</w:t>
            </w:r>
          </w:p>
        </w:tc>
        <w:tc>
          <w:tcPr>
            <w:tcW w:w="5469" w:type="dxa"/>
            <w:vAlign w:val="center"/>
          </w:tcPr>
          <w:p w14:paraId="772CA633">
            <w:pPr>
              <w:pStyle w:val="106"/>
              <w:wordWrap w:val="0"/>
              <w:adjustRightInd w:val="0"/>
              <w:snapToGrid w:val="0"/>
              <w:spacing w:line="500" w:lineRule="atLeast"/>
              <w:ind w:left="518" w:hanging="518" w:hangingChars="216"/>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综合评分法</w:t>
            </w:r>
          </w:p>
        </w:tc>
      </w:tr>
      <w:tr w14:paraId="716BD0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0ABE4E5B">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14</w:t>
            </w:r>
          </w:p>
        </w:tc>
        <w:tc>
          <w:tcPr>
            <w:tcW w:w="1691" w:type="dxa"/>
            <w:vAlign w:val="center"/>
          </w:tcPr>
          <w:p w14:paraId="72CD39DB">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磋商有效期</w:t>
            </w:r>
          </w:p>
        </w:tc>
        <w:tc>
          <w:tcPr>
            <w:tcW w:w="5469" w:type="dxa"/>
            <w:vAlign w:val="center"/>
          </w:tcPr>
          <w:p w14:paraId="6C2F261D">
            <w:pPr>
              <w:pStyle w:val="106"/>
              <w:wordWrap w:val="0"/>
              <w:adjustRightInd w:val="0"/>
              <w:snapToGrid w:val="0"/>
              <w:spacing w:line="500" w:lineRule="atLeast"/>
              <w:rPr>
                <w:rFonts w:ascii="宋体" w:hAnsi="宋体" w:cs="宋体"/>
                <w:bCs/>
                <w:color w:val="000000" w:themeColor="text1"/>
                <w:sz w:val="24"/>
                <w:szCs w:val="24"/>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90日（日历日）</w:t>
            </w:r>
          </w:p>
        </w:tc>
      </w:tr>
      <w:tr w14:paraId="0B5F42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3245DC70">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15</w:t>
            </w:r>
          </w:p>
        </w:tc>
        <w:tc>
          <w:tcPr>
            <w:tcW w:w="1691" w:type="dxa"/>
            <w:vAlign w:val="center"/>
          </w:tcPr>
          <w:p w14:paraId="7287CA46">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投标文件份数</w:t>
            </w:r>
          </w:p>
        </w:tc>
        <w:tc>
          <w:tcPr>
            <w:tcW w:w="5469" w:type="dxa"/>
            <w:vAlign w:val="center"/>
          </w:tcPr>
          <w:p w14:paraId="27C480B3">
            <w:pPr>
              <w:pStyle w:val="114"/>
              <w:wordWrap w:val="0"/>
              <w:autoSpaceDE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投标文件包括：</w:t>
            </w:r>
          </w:p>
          <w:p w14:paraId="075D8ACF">
            <w:pPr>
              <w:pStyle w:val="114"/>
              <w:wordWrap w:val="0"/>
              <w:autoSpaceDE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1、本项目采用不见面开标、投标人需要递交电子投标文件，在投标截止时间前通过新疆政府采购网平台上传到指定位置。</w:t>
            </w:r>
          </w:p>
          <w:p w14:paraId="6AF514C4">
            <w:pPr>
              <w:pStyle w:val="114"/>
              <w:wordWrap w:val="0"/>
              <w:autoSpaceDE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2、中标单位在开标后2日内将纸质版投标文件（2份）及不加密电子版投标书</w:t>
            </w:r>
            <w:r>
              <w:rPr>
                <w:rFonts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t>份（</w:t>
            </w:r>
            <w:r>
              <w:rPr>
                <w:rFonts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t>个U盘）交于招标代理公司，纸质版投标文件内容须与电子版投标文件一致。</w:t>
            </w:r>
          </w:p>
          <w:p w14:paraId="70AE6568">
            <w:pPr>
              <w:pStyle w:val="106"/>
              <w:wordWrap w:val="0"/>
              <w:adjustRightInd w:val="0"/>
              <w:snapToGrid w:val="0"/>
              <w:spacing w:line="500" w:lineRule="atLeast"/>
              <w:ind w:left="2" w:hanging="2" w:hangingChars="1"/>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本项目采用远程不见面交易的模式。开标当日，投标人无需到达开标现场，仅需在任意地点通过新疆政府采购网（http://www.ccgp-xinjiang.gov.cn）完成远程解密、提疑澄清、开标唱标、结果公布等交互环节。投标人必须使用能正确解密投标文件的“CA锁”在规定的时间内完成远程解密，因投标人原因未能解密、解密失败或解密超时，视为投标人撤销其投标文件，系统内投标文件将被退回；因采购人原因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tc>
      </w:tr>
      <w:tr w14:paraId="28A012B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7663F722">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16</w:t>
            </w:r>
          </w:p>
        </w:tc>
        <w:tc>
          <w:tcPr>
            <w:tcW w:w="1691" w:type="dxa"/>
            <w:vAlign w:val="center"/>
          </w:tcPr>
          <w:p w14:paraId="11BAA781">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是否允许投报进口产品</w:t>
            </w:r>
          </w:p>
        </w:tc>
        <w:tc>
          <w:tcPr>
            <w:tcW w:w="5469" w:type="dxa"/>
            <w:vAlign w:val="center"/>
          </w:tcPr>
          <w:p w14:paraId="34F11755">
            <w:pPr>
              <w:pStyle w:val="106"/>
              <w:wordWrap w:val="0"/>
              <w:autoSpaceDE w:val="0"/>
              <w:autoSpaceDN w:val="0"/>
              <w:adjustRightInd w:val="0"/>
              <w:snapToGrid w:val="0"/>
              <w:spacing w:line="500" w:lineRule="atLeas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w:t>
            </w:r>
            <w:r>
              <w:rPr>
                <w:rFonts w:hint="eastAsia" w:ascii="宋体" w:hAnsi="宋体" w:cs="宋体"/>
                <w:color w:val="000000" w:themeColor="text1"/>
                <w:kern w:val="0"/>
                <w:sz w:val="24"/>
                <w:szCs w:val="24"/>
                <w14:textFill>
                  <w14:solidFill>
                    <w14:schemeClr w14:val="tx1"/>
                  </w14:solidFill>
                </w14:textFill>
              </w:rPr>
              <w:t xml:space="preserve">是               </w:t>
            </w:r>
          </w:p>
          <w:p w14:paraId="2D46ED3B">
            <w:pPr>
              <w:pStyle w:val="106"/>
              <w:wordWrap w:val="0"/>
              <w:autoSpaceDE w:val="0"/>
              <w:autoSpaceDN w:val="0"/>
              <w:adjustRightInd w:val="0"/>
              <w:snapToGrid w:val="0"/>
              <w:spacing w:line="500" w:lineRule="atLeas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sym w:font="Wingdings 2" w:char="0052"/>
            </w:r>
            <w:r>
              <w:rPr>
                <w:rFonts w:hint="eastAsia"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kern w:val="0"/>
                <w:sz w:val="24"/>
                <w:szCs w:val="24"/>
                <w14:textFill>
                  <w14:solidFill>
                    <w14:schemeClr w14:val="tx1"/>
                  </w14:solidFill>
                </w14:textFill>
              </w:rPr>
              <w:t>否</w:t>
            </w:r>
          </w:p>
        </w:tc>
      </w:tr>
      <w:tr w14:paraId="1FD2250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0A3C8B54">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17</w:t>
            </w:r>
          </w:p>
        </w:tc>
        <w:tc>
          <w:tcPr>
            <w:tcW w:w="1691" w:type="dxa"/>
            <w:vAlign w:val="center"/>
          </w:tcPr>
          <w:p w14:paraId="74E03F7F">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踏勘现场</w:t>
            </w:r>
          </w:p>
        </w:tc>
        <w:tc>
          <w:tcPr>
            <w:tcW w:w="5469" w:type="dxa"/>
            <w:vAlign w:val="center"/>
          </w:tcPr>
          <w:p w14:paraId="1425BD1C">
            <w:pPr>
              <w:pStyle w:val="106"/>
              <w:wordWrap w:val="0"/>
              <w:autoSpaceDE w:val="0"/>
              <w:autoSpaceDN w:val="0"/>
              <w:adjustRightInd w:val="0"/>
              <w:snapToGrid w:val="0"/>
              <w:spacing w:line="500" w:lineRule="atLeas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sym w:font="Wingdings 2" w:char="0052"/>
            </w:r>
            <w:r>
              <w:rPr>
                <w:rFonts w:hint="eastAsia"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kern w:val="0"/>
                <w:sz w:val="24"/>
                <w:szCs w:val="24"/>
                <w14:textFill>
                  <w14:solidFill>
                    <w14:schemeClr w14:val="tx1"/>
                  </w14:solidFill>
                </w14:textFill>
              </w:rPr>
              <w:t>自行踏勘</w:t>
            </w:r>
          </w:p>
          <w:p w14:paraId="434305F0">
            <w:pPr>
              <w:pStyle w:val="106"/>
              <w:wordWrap w:val="0"/>
              <w:autoSpaceDE w:val="0"/>
              <w:autoSpaceDN w:val="0"/>
              <w:adjustRightInd w:val="0"/>
              <w:snapToGrid w:val="0"/>
              <w:spacing w:line="500" w:lineRule="atLeas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□统一组织</w:t>
            </w:r>
            <w:r>
              <w:rPr>
                <w:rFonts w:hint="eastAsia"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kern w:val="0"/>
                <w:sz w:val="24"/>
                <w:szCs w:val="24"/>
                <w14:textFill>
                  <w14:solidFill>
                    <w14:schemeClr w14:val="tx1"/>
                  </w14:solidFill>
                </w14:textFill>
              </w:rPr>
              <w:t xml:space="preserve"> </w:t>
            </w:r>
          </w:p>
        </w:tc>
      </w:tr>
      <w:tr w14:paraId="6FBFE1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2257D358">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18</w:t>
            </w:r>
          </w:p>
        </w:tc>
        <w:tc>
          <w:tcPr>
            <w:tcW w:w="1691" w:type="dxa"/>
            <w:vAlign w:val="center"/>
          </w:tcPr>
          <w:p w14:paraId="438CA865">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kern w:val="0"/>
                <w:sz w:val="24"/>
                <w:szCs w:val="24"/>
                <w14:textFill>
                  <w14:solidFill>
                    <w14:schemeClr w14:val="tx1"/>
                  </w14:solidFill>
                </w14:textFill>
              </w:rPr>
              <w:t>节能、环保要求</w:t>
            </w:r>
          </w:p>
        </w:tc>
        <w:tc>
          <w:tcPr>
            <w:tcW w:w="5469" w:type="dxa"/>
            <w:vAlign w:val="center"/>
          </w:tcPr>
          <w:p w14:paraId="0C1607A3">
            <w:pPr>
              <w:pStyle w:val="106"/>
              <w:wordWrap w:val="0"/>
              <w:adjustRightInd w:val="0"/>
              <w:snapToGrid w:val="0"/>
              <w:spacing w:line="500" w:lineRule="atLeas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按国家有关节能环保政策执行：</w:t>
            </w:r>
          </w:p>
          <w:p w14:paraId="3AE40981">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根据《国务院办公厅关于建立政府强制采购节能产品制度的通知》（国办发[2007]51号）和财政部、发展改革委发布的《节能产品政府采购实施意见》（财库[2004]185号），本次采购货物中属政府强制采购节能产品的，投标人所投产品必须是《节能产品政府采购清单》内产品，并提供清单内证明材料，否则投标无效。其他产品若属于“节能产品政府采购清单”内产品，在同等条件下，优先采购清单中的产品。</w:t>
            </w:r>
          </w:p>
          <w:p w14:paraId="55C5202B">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节能产品”系指列入财政部、国家发改委最新公布《节能产品政府采购清单》的产品；“环境标志产品”系指列入财政部、环保部最新公布的《环境标志政府采购清单》的产品。同一合同包内的节能、环境标志、政府采购产品部分加分只对属于清单内的非强制类产品进行加分，强制类产品已作为投标时强制性要求不再给予加分。若节能、环境标志清单内的产品仅是构成投标产品的部件、组件或零件的，则该投标产品不予加分。</w:t>
            </w:r>
          </w:p>
          <w:p w14:paraId="23B3FFD2">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价格项加分：</w:t>
            </w:r>
          </w:p>
          <w:p w14:paraId="7F7D0F65">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1、（节能清单部分产品的价格/投标报价）×3%×价格项满分值</w:t>
            </w:r>
          </w:p>
          <w:p w14:paraId="09DA757F">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2、（环境清单部分产品的价格/投标报价）×3%×价格项满分值</w:t>
            </w:r>
          </w:p>
          <w:p w14:paraId="11A04578">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技术项加分：</w:t>
            </w:r>
          </w:p>
          <w:p w14:paraId="4DD3C343">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1、（节能清单部分产品的价格/投标报价）×3%×技术项满分值</w:t>
            </w:r>
          </w:p>
          <w:p w14:paraId="12D50F75">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2、（环境清单部分产品的价格/投标报价）×3%×技术项满分值</w:t>
            </w:r>
          </w:p>
          <w:p w14:paraId="7933E23B">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注：1、投标人须提供最新一期《节能产品政府采购清单》关于投标产品当前页的打印件；</w:t>
            </w:r>
          </w:p>
          <w:p w14:paraId="623CD614">
            <w:pPr>
              <w:pStyle w:val="106"/>
              <w:numPr>
                <w:ilvl w:val="0"/>
                <w:numId w:val="2"/>
              </w:numPr>
              <w:wordWrap w:val="0"/>
              <w:adjustRightInd w:val="0"/>
              <w:snapToGrid w:val="0"/>
              <w:spacing w:line="500" w:lineRule="atLeas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投标人提供最新一期《环境标志产品政府采购清单》关于投标产品当前页的打印件。</w:t>
            </w:r>
          </w:p>
        </w:tc>
      </w:tr>
      <w:tr w14:paraId="76B4B70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19ED9BA2">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19</w:t>
            </w:r>
          </w:p>
        </w:tc>
        <w:tc>
          <w:tcPr>
            <w:tcW w:w="1691" w:type="dxa"/>
            <w:vAlign w:val="center"/>
          </w:tcPr>
          <w:p w14:paraId="54CE6E46">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代理服务费</w:t>
            </w:r>
          </w:p>
        </w:tc>
        <w:tc>
          <w:tcPr>
            <w:tcW w:w="5469" w:type="dxa"/>
            <w:vAlign w:val="center"/>
          </w:tcPr>
          <w:p w14:paraId="0A707702">
            <w:pPr>
              <w:pStyle w:val="106"/>
              <w:wordWrap w:val="0"/>
              <w:adjustRightInd w:val="0"/>
              <w:snapToGrid w:val="0"/>
              <w:spacing w:line="500" w:lineRule="atLeast"/>
              <w:ind w:left="2" w:hanging="2" w:hangingChars="1"/>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 xml:space="preserve">□ 不交纳 </w:t>
            </w:r>
          </w:p>
          <w:p w14:paraId="022AE0C9">
            <w:pPr>
              <w:pStyle w:val="106"/>
              <w:wordWrap w:val="0"/>
              <w:adjustRightInd w:val="0"/>
              <w:snapToGrid w:val="0"/>
              <w:spacing w:line="500" w:lineRule="atLeast"/>
              <w:ind w:left="2" w:hanging="2" w:hangingChars="1"/>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sym w:font="Wingdings 2" w:char="0052"/>
            </w:r>
            <w:r>
              <w:rPr>
                <w:rFonts w:hint="eastAsia" w:ascii="宋体" w:hAnsi="宋体" w:cs="宋体"/>
                <w:bCs/>
                <w:color w:val="000000" w:themeColor="text1"/>
                <w:sz w:val="24"/>
                <w:szCs w:val="24"/>
                <w14:textFill>
                  <w14:solidFill>
                    <w14:schemeClr w14:val="tx1"/>
                  </w14:solidFill>
                </w14:textFill>
              </w:rPr>
              <w:t xml:space="preserve"> 交纳</w:t>
            </w:r>
          </w:p>
          <w:p w14:paraId="3D066E27">
            <w:pPr>
              <w:pStyle w:val="106"/>
              <w:wordWrap w:val="0"/>
              <w:adjustRightInd w:val="0"/>
              <w:snapToGrid w:val="0"/>
              <w:spacing w:line="500" w:lineRule="atLeast"/>
              <w:ind w:left="2" w:hanging="2" w:hangingChars="1"/>
              <w:rPr>
                <w:rFonts w:ascii="宋体" w:hAnsi="宋体" w:cs="宋体"/>
                <w:bCs/>
                <w:sz w:val="24"/>
                <w:szCs w:val="24"/>
              </w:rPr>
            </w:pPr>
            <w:r>
              <w:rPr>
                <w:rFonts w:hint="eastAsia" w:ascii="宋体" w:hAnsi="宋体" w:cs="宋体"/>
                <w:bCs/>
                <w:color w:val="000000" w:themeColor="text1"/>
                <w:sz w:val="24"/>
                <w:szCs w:val="24"/>
                <w14:textFill>
                  <w14:solidFill>
                    <w14:schemeClr w14:val="tx1"/>
                  </w14:solidFill>
                </w14:textFill>
              </w:rPr>
              <w:t>交纳时间：</w:t>
            </w:r>
            <w:r>
              <w:rPr>
                <w:rFonts w:hint="eastAsia" w:ascii="宋体" w:hAnsi="宋体" w:cs="宋体"/>
                <w:bCs/>
                <w:color w:val="auto"/>
                <w:sz w:val="24"/>
                <w:szCs w:val="24"/>
              </w:rPr>
              <w:t>中标单位支付，</w:t>
            </w:r>
            <w:r>
              <w:rPr>
                <w:rFonts w:hint="eastAsia" w:ascii="宋体" w:hAnsi="宋体" w:cs="宋体"/>
                <w:bCs/>
                <w:sz w:val="24"/>
                <w:szCs w:val="24"/>
              </w:rPr>
              <w:t>于领取中标通知书前交纳</w:t>
            </w:r>
          </w:p>
          <w:p w14:paraId="6781B749">
            <w:pPr>
              <w:pStyle w:val="106"/>
              <w:wordWrap w:val="0"/>
              <w:adjustRightInd w:val="0"/>
              <w:snapToGrid w:val="0"/>
              <w:spacing w:line="500" w:lineRule="atLeast"/>
              <w:ind w:left="2" w:hanging="2" w:hangingChars="1"/>
              <w:rPr>
                <w:rFonts w:ascii="宋体" w:hAnsi="宋体" w:cs="宋体"/>
                <w:szCs w:val="21"/>
                <w:lang w:val="zh-CN"/>
              </w:rPr>
            </w:pPr>
            <w:r>
              <w:rPr>
                <w:rFonts w:hint="eastAsia" w:ascii="宋体" w:hAnsi="宋体" w:cs="宋体"/>
                <w:bCs/>
                <w:color w:val="000000" w:themeColor="text1"/>
                <w:sz w:val="24"/>
                <w:szCs w:val="24"/>
                <w14:textFill>
                  <w14:solidFill>
                    <w14:schemeClr w14:val="tx1"/>
                  </w14:solidFill>
                </w14:textFill>
              </w:rPr>
              <w:t>交纳金额：</w:t>
            </w:r>
            <w:r>
              <w:rPr>
                <w:rFonts w:hint="eastAsia" w:ascii="宋体" w:hAnsi="宋体" w:eastAsia="宋体" w:cs="宋体"/>
                <w:bCs/>
                <w:color w:val="000000" w:themeColor="text1"/>
                <w:sz w:val="24"/>
                <w:szCs w:val="24"/>
                <w:lang w:val="zh-CN"/>
                <w14:textFill>
                  <w14:solidFill>
                    <w14:schemeClr w14:val="tx1"/>
                  </w14:solidFill>
                </w14:textFill>
              </w:rPr>
              <w:t>根据国家发改委【2015】299号</w:t>
            </w:r>
          </w:p>
          <w:p w14:paraId="235D9F80">
            <w:pPr>
              <w:pStyle w:val="106"/>
              <w:wordWrap w:val="0"/>
              <w:adjustRightInd w:val="0"/>
              <w:snapToGrid w:val="0"/>
              <w:spacing w:line="500" w:lineRule="atLeast"/>
              <w:ind w:left="2" w:hanging="2" w:hangingChars="1"/>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收款单位：</w:t>
            </w:r>
            <w:r>
              <w:rPr>
                <w:rFonts w:hint="eastAsia" w:ascii="宋体" w:hAnsi="宋体" w:cs="宋体"/>
                <w:bCs/>
                <w:color w:val="000000" w:themeColor="text1"/>
                <w:sz w:val="24"/>
                <w:szCs w:val="24"/>
                <w:lang w:eastAsia="zh-CN"/>
                <w14:textFill>
                  <w14:solidFill>
                    <w14:schemeClr w14:val="tx1"/>
                  </w14:solidFill>
                </w14:textFill>
              </w:rPr>
              <w:t>新疆天之源项目管理集团有限公司</w:t>
            </w:r>
            <w:r>
              <w:rPr>
                <w:rFonts w:hint="eastAsia" w:ascii="宋体" w:hAnsi="宋体" w:cs="宋体"/>
                <w:bCs/>
                <w:color w:val="000000" w:themeColor="text1"/>
                <w:sz w:val="24"/>
                <w:szCs w:val="24"/>
                <w14:textFill>
                  <w14:solidFill>
                    <w14:schemeClr w14:val="tx1"/>
                  </w14:solidFill>
                </w14:textFill>
              </w:rPr>
              <w:t>哈密分公司</w:t>
            </w:r>
          </w:p>
          <w:p w14:paraId="53B5EE24">
            <w:pPr>
              <w:pStyle w:val="106"/>
              <w:wordWrap w:val="0"/>
              <w:adjustRightInd w:val="0"/>
              <w:snapToGrid w:val="0"/>
              <w:spacing w:line="500" w:lineRule="atLeast"/>
              <w:ind w:left="2" w:hanging="2" w:hangingChars="1"/>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开户银行：</w:t>
            </w:r>
            <w:r>
              <w:rPr>
                <w:rFonts w:hint="eastAsia" w:ascii="宋体" w:hAnsi="宋体" w:eastAsia="宋体" w:cs="宋体"/>
                <w:color w:val="000000"/>
                <w:kern w:val="2"/>
                <w:sz w:val="24"/>
                <w:szCs w:val="24"/>
                <w:highlight w:val="white"/>
                <w:lang w:val="en-US" w:eastAsia="zh-CN" w:bidi="ar-SA"/>
              </w:rPr>
              <w:t>哈密红星国民村镇银行有限责任公司</w:t>
            </w:r>
          </w:p>
          <w:p w14:paraId="71DA1B17">
            <w:pPr>
              <w:pStyle w:val="106"/>
              <w:wordWrap w:val="0"/>
              <w:adjustRightInd w:val="0"/>
              <w:snapToGrid w:val="0"/>
              <w:spacing w:line="500" w:lineRule="atLeast"/>
              <w:ind w:left="2" w:hanging="2" w:hangingChars="1"/>
              <w:rPr>
                <w:rFonts w:ascii="宋体" w:hAnsi="宋体" w:cs="宋体"/>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银行账号：66070101302008687</w:t>
            </w:r>
          </w:p>
        </w:tc>
      </w:tr>
      <w:tr w14:paraId="64C07AF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512CEF7F">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20</w:t>
            </w:r>
          </w:p>
        </w:tc>
        <w:tc>
          <w:tcPr>
            <w:tcW w:w="1691" w:type="dxa"/>
            <w:vAlign w:val="center"/>
          </w:tcPr>
          <w:p w14:paraId="09A58F8D">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场地服务费</w:t>
            </w:r>
          </w:p>
        </w:tc>
        <w:tc>
          <w:tcPr>
            <w:tcW w:w="5469" w:type="dxa"/>
            <w:vAlign w:val="center"/>
          </w:tcPr>
          <w:p w14:paraId="6CCB6096">
            <w:pPr>
              <w:pStyle w:val="106"/>
              <w:wordWrap w:val="0"/>
              <w:adjustRightInd w:val="0"/>
              <w:snapToGrid w:val="0"/>
              <w:spacing w:line="500" w:lineRule="atLeas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sym w:font="Wingdings 2" w:char="0052"/>
            </w:r>
            <w:r>
              <w:rPr>
                <w:rFonts w:hint="eastAsia" w:ascii="宋体" w:hAnsi="宋体" w:cs="宋体"/>
                <w:color w:val="000000" w:themeColor="text1"/>
                <w:kern w:val="0"/>
                <w:sz w:val="24"/>
                <w:szCs w:val="24"/>
                <w14:textFill>
                  <w14:solidFill>
                    <w14:schemeClr w14:val="tx1"/>
                  </w14:solidFill>
                </w14:textFill>
              </w:rPr>
              <w:t xml:space="preserve"> 不交纳</w:t>
            </w:r>
          </w:p>
          <w:p w14:paraId="1437BF31">
            <w:pPr>
              <w:pStyle w:val="106"/>
              <w:wordWrap w:val="0"/>
              <w:adjustRightInd w:val="0"/>
              <w:snapToGrid w:val="0"/>
              <w:spacing w:line="500" w:lineRule="atLeas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 交纳</w:t>
            </w:r>
          </w:p>
        </w:tc>
      </w:tr>
      <w:tr w14:paraId="7F4A50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5A9BAF6C">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21</w:t>
            </w:r>
          </w:p>
        </w:tc>
        <w:tc>
          <w:tcPr>
            <w:tcW w:w="1691" w:type="dxa"/>
            <w:vAlign w:val="center"/>
          </w:tcPr>
          <w:p w14:paraId="77BA2449">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合同公证费</w:t>
            </w:r>
          </w:p>
        </w:tc>
        <w:tc>
          <w:tcPr>
            <w:tcW w:w="5469" w:type="dxa"/>
            <w:vAlign w:val="center"/>
          </w:tcPr>
          <w:p w14:paraId="1110480C">
            <w:pPr>
              <w:pStyle w:val="106"/>
              <w:wordWrap w:val="0"/>
              <w:adjustRightInd w:val="0"/>
              <w:snapToGrid w:val="0"/>
              <w:spacing w:line="500" w:lineRule="atLeas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sym w:font="Wingdings 2" w:char="0052"/>
            </w:r>
            <w:r>
              <w:rPr>
                <w:rFonts w:hint="eastAsia" w:ascii="宋体" w:hAnsi="宋体" w:cs="宋体"/>
                <w:color w:val="000000" w:themeColor="text1"/>
                <w:kern w:val="0"/>
                <w:sz w:val="24"/>
                <w:szCs w:val="24"/>
                <w14:textFill>
                  <w14:solidFill>
                    <w14:schemeClr w14:val="tx1"/>
                  </w14:solidFill>
                </w14:textFill>
              </w:rPr>
              <w:t xml:space="preserve">不交纳 </w:t>
            </w:r>
          </w:p>
          <w:p w14:paraId="61D3C2CA">
            <w:pPr>
              <w:pStyle w:val="106"/>
              <w:wordWrap w:val="0"/>
              <w:adjustRightInd w:val="0"/>
              <w:snapToGrid w:val="0"/>
              <w:spacing w:line="500" w:lineRule="atLeas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□交纳</w:t>
            </w:r>
          </w:p>
          <w:p w14:paraId="7DC9EA10">
            <w:pPr>
              <w:pStyle w:val="106"/>
              <w:wordWrap w:val="0"/>
              <w:adjustRightInd w:val="0"/>
              <w:snapToGrid w:val="0"/>
              <w:spacing w:line="500" w:lineRule="atLeas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金额：根据开评标时间确定</w:t>
            </w:r>
          </w:p>
          <w:p w14:paraId="70B68EE5">
            <w:pPr>
              <w:pStyle w:val="106"/>
              <w:wordWrap w:val="0"/>
              <w:adjustRightInd w:val="0"/>
              <w:snapToGrid w:val="0"/>
              <w:spacing w:line="500" w:lineRule="atLeas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中标人于获取中标通知书前向公证处交纳</w:t>
            </w:r>
          </w:p>
        </w:tc>
      </w:tr>
      <w:tr w14:paraId="154781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266171E1">
            <w:pPr>
              <w:pStyle w:val="106"/>
              <w:tabs>
                <w:tab w:val="left" w:pos="265"/>
              </w:tabs>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22</w:t>
            </w:r>
          </w:p>
        </w:tc>
        <w:tc>
          <w:tcPr>
            <w:tcW w:w="1691" w:type="dxa"/>
            <w:vAlign w:val="center"/>
          </w:tcPr>
          <w:p w14:paraId="7E006007">
            <w:pPr>
              <w:pStyle w:val="106"/>
              <w:wordWrap w:val="0"/>
              <w:adjustRightInd w:val="0"/>
              <w:snapToGrid w:val="0"/>
              <w:spacing w:line="500" w:lineRule="atLeast"/>
              <w:jc w:val="center"/>
              <w:rPr>
                <w:rFonts w:ascii="宋体" w:hAnsi="宋体" w:cs="宋体"/>
                <w:b/>
                <w:bCs/>
                <w:color w:val="000000" w:themeColor="text1"/>
                <w:kern w:val="0"/>
                <w:sz w:val="24"/>
                <w:szCs w:val="24"/>
                <w14:textFill>
                  <w14:solidFill>
                    <w14:schemeClr w14:val="tx1"/>
                  </w14:solidFill>
                </w14:textFill>
              </w:rPr>
            </w:pPr>
            <w:r>
              <w:rPr>
                <w:rFonts w:hint="eastAsia" w:ascii="宋体" w:hAnsi="宋体" w:cs="宋体"/>
                <w:b/>
                <w:bCs/>
                <w:color w:val="000000" w:themeColor="text1"/>
                <w:kern w:val="0"/>
                <w:sz w:val="24"/>
                <w:szCs w:val="24"/>
                <w14:textFill>
                  <w14:solidFill>
                    <w14:schemeClr w14:val="tx1"/>
                  </w14:solidFill>
                </w14:textFill>
              </w:rPr>
              <w:t>中小微型企业</w:t>
            </w:r>
          </w:p>
          <w:p w14:paraId="18263BBA">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kern w:val="0"/>
                <w:sz w:val="24"/>
                <w:szCs w:val="24"/>
                <w14:textFill>
                  <w14:solidFill>
                    <w14:schemeClr w14:val="tx1"/>
                  </w14:solidFill>
                </w14:textFill>
              </w:rPr>
              <w:t>有关政策</w:t>
            </w:r>
          </w:p>
        </w:tc>
        <w:tc>
          <w:tcPr>
            <w:tcW w:w="5469" w:type="dxa"/>
            <w:vAlign w:val="center"/>
          </w:tcPr>
          <w:p w14:paraId="080702EA">
            <w:pPr>
              <w:pStyle w:val="106"/>
              <w:wordWrap w:val="0"/>
              <w:adjustRightInd w:val="0"/>
              <w:snapToGrid w:val="0"/>
              <w:spacing w:line="500" w:lineRule="atLeas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（1）采购标的对应的中小企业划分标准所属行业为</w:t>
            </w:r>
            <w:r>
              <w:rPr>
                <w:rFonts w:hint="eastAsia" w:ascii="宋体" w:hAnsi="宋体" w:cs="宋体"/>
                <w:b/>
                <w:color w:val="auto"/>
                <w:kern w:val="0"/>
                <w:sz w:val="24"/>
                <w:szCs w:val="24"/>
                <w:u w:val="single"/>
                <w:lang w:val="en-US" w:eastAsia="zh-CN"/>
              </w:rPr>
              <w:t>其他未列明行业</w:t>
            </w:r>
            <w:r>
              <w:rPr>
                <w:rFonts w:hint="eastAsia" w:ascii="宋体" w:hAnsi="宋体" w:cs="宋体"/>
                <w:color w:val="auto"/>
                <w:kern w:val="0"/>
                <w:sz w:val="24"/>
                <w:szCs w:val="24"/>
              </w:rPr>
              <w:t>。</w:t>
            </w:r>
          </w:p>
          <w:p w14:paraId="4A4BDF67">
            <w:pPr>
              <w:pStyle w:val="106"/>
              <w:wordWrap w:val="0"/>
              <w:adjustRightInd w:val="0"/>
              <w:snapToGrid w:val="0"/>
              <w:spacing w:line="500" w:lineRule="atLeas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从业人员300人以下的为中小微型企业。其中，从业人员100人及以上的为中型企业；从业人员10人及以上的为小型企业；从业人员10人以下的为微型企业。</w:t>
            </w:r>
          </w:p>
          <w:p w14:paraId="27E15444">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（2）价格扣除幅度：小微企业价格给予</w:t>
            </w:r>
            <w:r>
              <w:rPr>
                <w:rFonts w:hint="eastAsia" w:ascii="宋体" w:hAnsi="宋体" w:cs="宋体"/>
                <w:b/>
                <w:color w:val="auto"/>
                <w:kern w:val="0"/>
                <w:sz w:val="24"/>
                <w:szCs w:val="24"/>
                <w:u w:val="single"/>
                <w:lang w:val="en-US" w:eastAsia="zh-CN"/>
              </w:rPr>
              <w:t>/</w:t>
            </w:r>
            <w:r>
              <w:rPr>
                <w:rFonts w:hint="eastAsia" w:ascii="宋体" w:hAnsi="宋体" w:cs="宋体"/>
                <w:color w:val="000000" w:themeColor="text1"/>
                <w:kern w:val="0"/>
                <w:sz w:val="24"/>
                <w:szCs w:val="24"/>
                <w14:textFill>
                  <w14:solidFill>
                    <w14:schemeClr w14:val="tx1"/>
                  </w14:solidFill>
                </w14:textFill>
              </w:rPr>
              <w:t>的扣除（其他情形均按最低价格幅度扣除）。</w:t>
            </w:r>
          </w:p>
        </w:tc>
      </w:tr>
      <w:tr w14:paraId="26F2AA6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Merge w:val="restart"/>
            <w:vAlign w:val="center"/>
          </w:tcPr>
          <w:p w14:paraId="27E318CE">
            <w:pPr>
              <w:pStyle w:val="106"/>
              <w:tabs>
                <w:tab w:val="left" w:pos="265"/>
              </w:tabs>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23</w:t>
            </w:r>
          </w:p>
        </w:tc>
        <w:tc>
          <w:tcPr>
            <w:tcW w:w="1691" w:type="dxa"/>
            <w:vMerge w:val="restart"/>
            <w:vAlign w:val="center"/>
          </w:tcPr>
          <w:p w14:paraId="0F08BBB0">
            <w:pPr>
              <w:pStyle w:val="153"/>
              <w:wordWrap w:val="0"/>
              <w:adjustRightInd w:val="0"/>
              <w:snapToGrid w:val="0"/>
              <w:spacing w:after="0" w:line="500" w:lineRule="atLeast"/>
              <w:rPr>
                <w:rFonts w:hint="eastAsia"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履约保证金</w:t>
            </w:r>
          </w:p>
        </w:tc>
        <w:tc>
          <w:tcPr>
            <w:tcW w:w="5469" w:type="dxa"/>
            <w:vAlign w:val="center"/>
          </w:tcPr>
          <w:p w14:paraId="40AA142E">
            <w:pPr>
              <w:pStyle w:val="153"/>
              <w:wordWrap w:val="0"/>
              <w:adjustRightInd w:val="0"/>
              <w:snapToGrid w:val="0"/>
              <w:spacing w:after="0" w:line="500" w:lineRule="atLeas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履约保证金的交纳必须以公对公账户进行电汇或转账，否则不予认可。</w:t>
            </w:r>
          </w:p>
        </w:tc>
      </w:tr>
      <w:tr w14:paraId="340ED5F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Merge w:val="continue"/>
            <w:vAlign w:val="center"/>
          </w:tcPr>
          <w:p w14:paraId="68039601">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p>
        </w:tc>
        <w:tc>
          <w:tcPr>
            <w:tcW w:w="1691" w:type="dxa"/>
            <w:vMerge w:val="continue"/>
            <w:vAlign w:val="center"/>
          </w:tcPr>
          <w:p w14:paraId="65A3A5D3">
            <w:pPr>
              <w:pStyle w:val="153"/>
              <w:wordWrap w:val="0"/>
              <w:adjustRightInd w:val="0"/>
              <w:snapToGrid w:val="0"/>
              <w:spacing w:after="0" w:line="500" w:lineRule="atLeast"/>
              <w:rPr>
                <w:rFonts w:hint="eastAsia" w:ascii="宋体" w:hAnsi="宋体" w:cs="宋体"/>
                <w:color w:val="000000" w:themeColor="text1"/>
                <w:sz w:val="24"/>
                <w:szCs w:val="24"/>
                <w14:textFill>
                  <w14:solidFill>
                    <w14:schemeClr w14:val="tx1"/>
                  </w14:solidFill>
                </w14:textFill>
              </w:rPr>
            </w:pPr>
          </w:p>
        </w:tc>
        <w:tc>
          <w:tcPr>
            <w:tcW w:w="5469" w:type="dxa"/>
            <w:vAlign w:val="center"/>
          </w:tcPr>
          <w:p w14:paraId="3DA5CD26">
            <w:pPr>
              <w:pStyle w:val="153"/>
              <w:wordWrap w:val="0"/>
              <w:adjustRightInd w:val="0"/>
              <w:snapToGrid w:val="0"/>
              <w:spacing w:after="0" w:line="500" w:lineRule="atLeas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交纳时间：/</w:t>
            </w:r>
          </w:p>
        </w:tc>
      </w:tr>
      <w:tr w14:paraId="4DC96C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Merge w:val="continue"/>
            <w:vAlign w:val="center"/>
          </w:tcPr>
          <w:p w14:paraId="7E6FAD87">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p>
        </w:tc>
        <w:tc>
          <w:tcPr>
            <w:tcW w:w="1691" w:type="dxa"/>
            <w:vMerge w:val="continue"/>
            <w:vAlign w:val="center"/>
          </w:tcPr>
          <w:p w14:paraId="7A728739">
            <w:pPr>
              <w:pStyle w:val="153"/>
              <w:wordWrap w:val="0"/>
              <w:adjustRightInd w:val="0"/>
              <w:snapToGrid w:val="0"/>
              <w:spacing w:after="0" w:line="500" w:lineRule="atLeast"/>
              <w:rPr>
                <w:rFonts w:hint="eastAsia" w:ascii="宋体" w:hAnsi="宋体" w:cs="宋体"/>
                <w:color w:val="000000" w:themeColor="text1"/>
                <w:sz w:val="24"/>
                <w:szCs w:val="24"/>
                <w14:textFill>
                  <w14:solidFill>
                    <w14:schemeClr w14:val="tx1"/>
                  </w14:solidFill>
                </w14:textFill>
              </w:rPr>
            </w:pPr>
          </w:p>
        </w:tc>
        <w:tc>
          <w:tcPr>
            <w:tcW w:w="5469" w:type="dxa"/>
            <w:vAlign w:val="center"/>
          </w:tcPr>
          <w:p w14:paraId="3682A905">
            <w:pPr>
              <w:pStyle w:val="153"/>
              <w:wordWrap w:val="0"/>
              <w:adjustRightInd w:val="0"/>
              <w:snapToGrid w:val="0"/>
              <w:spacing w:after="0" w:line="500" w:lineRule="atLeas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交纳金额：/</w:t>
            </w:r>
          </w:p>
        </w:tc>
      </w:tr>
      <w:tr w14:paraId="3A2C80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Merge w:val="continue"/>
            <w:vAlign w:val="center"/>
          </w:tcPr>
          <w:p w14:paraId="786C9D3D">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p>
        </w:tc>
        <w:tc>
          <w:tcPr>
            <w:tcW w:w="1691" w:type="dxa"/>
            <w:vMerge w:val="continue"/>
            <w:vAlign w:val="center"/>
          </w:tcPr>
          <w:p w14:paraId="150A2A12">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p>
        </w:tc>
        <w:tc>
          <w:tcPr>
            <w:tcW w:w="5469" w:type="dxa"/>
            <w:vAlign w:val="center"/>
          </w:tcPr>
          <w:p w14:paraId="54F59694">
            <w:pPr>
              <w:pStyle w:val="153"/>
              <w:wordWrap w:val="0"/>
              <w:adjustRightInd w:val="0"/>
              <w:snapToGrid w:val="0"/>
              <w:spacing w:after="0"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收款单位：</w:t>
            </w:r>
            <w:r>
              <w:rPr>
                <w:rFonts w:hint="eastAsia" w:ascii="宋体" w:hAnsi="宋体" w:cs="宋体"/>
                <w:color w:val="000000" w:themeColor="text1"/>
                <w:sz w:val="24"/>
                <w:szCs w:val="24"/>
                <w:lang w:val="en-US" w:eastAsia="zh-CN"/>
                <w14:textFill>
                  <w14:solidFill>
                    <w14:schemeClr w14:val="tx1"/>
                  </w14:solidFill>
                </w14:textFill>
              </w:rPr>
              <w:t>采购</w:t>
            </w:r>
            <w:r>
              <w:rPr>
                <w:rFonts w:hint="eastAsia" w:ascii="宋体" w:hAnsi="宋体" w:cs="宋体"/>
                <w:color w:val="000000" w:themeColor="text1"/>
                <w:sz w:val="24"/>
                <w:szCs w:val="24"/>
                <w14:textFill>
                  <w14:solidFill>
                    <w14:schemeClr w14:val="tx1"/>
                  </w14:solidFill>
                </w14:textFill>
              </w:rPr>
              <w:t>人提供</w:t>
            </w:r>
          </w:p>
          <w:p w14:paraId="0BD9CF38">
            <w:pPr>
              <w:pStyle w:val="153"/>
              <w:wordWrap w:val="0"/>
              <w:adjustRightInd w:val="0"/>
              <w:snapToGrid w:val="0"/>
              <w:spacing w:after="0"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开户银行：</w:t>
            </w:r>
            <w:r>
              <w:rPr>
                <w:rFonts w:hint="eastAsia" w:ascii="宋体" w:hAnsi="宋体" w:cs="宋体"/>
                <w:color w:val="000000" w:themeColor="text1"/>
                <w:sz w:val="24"/>
                <w:szCs w:val="24"/>
                <w:lang w:val="en-US" w:eastAsia="zh-CN"/>
                <w14:textFill>
                  <w14:solidFill>
                    <w14:schemeClr w14:val="tx1"/>
                  </w14:solidFill>
                </w14:textFill>
              </w:rPr>
              <w:t>采购</w:t>
            </w:r>
            <w:r>
              <w:rPr>
                <w:rFonts w:hint="eastAsia" w:ascii="宋体" w:hAnsi="宋体" w:cs="宋体"/>
                <w:color w:val="000000" w:themeColor="text1"/>
                <w:sz w:val="24"/>
                <w:szCs w:val="24"/>
                <w14:textFill>
                  <w14:solidFill>
                    <w14:schemeClr w14:val="tx1"/>
                  </w14:solidFill>
                </w14:textFill>
              </w:rPr>
              <w:t>人提供</w:t>
            </w:r>
          </w:p>
          <w:p w14:paraId="235B8F67">
            <w:pPr>
              <w:pStyle w:val="153"/>
              <w:wordWrap w:val="0"/>
              <w:adjustRightInd w:val="0"/>
              <w:snapToGrid w:val="0"/>
              <w:spacing w:after="0"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银行账号：</w:t>
            </w:r>
            <w:r>
              <w:rPr>
                <w:rFonts w:hint="eastAsia" w:ascii="宋体" w:hAnsi="宋体" w:cs="宋体"/>
                <w:color w:val="000000" w:themeColor="text1"/>
                <w:sz w:val="24"/>
                <w:szCs w:val="24"/>
                <w:lang w:val="en-US" w:eastAsia="zh-CN"/>
                <w14:textFill>
                  <w14:solidFill>
                    <w14:schemeClr w14:val="tx1"/>
                  </w14:solidFill>
                </w14:textFill>
              </w:rPr>
              <w:t>采购</w:t>
            </w:r>
            <w:r>
              <w:rPr>
                <w:rFonts w:hint="eastAsia" w:ascii="宋体" w:hAnsi="宋体" w:cs="宋体"/>
                <w:color w:val="000000" w:themeColor="text1"/>
                <w:sz w:val="24"/>
                <w:szCs w:val="24"/>
                <w14:textFill>
                  <w14:solidFill>
                    <w14:schemeClr w14:val="tx1"/>
                  </w14:solidFill>
                </w14:textFill>
              </w:rPr>
              <w:t>人提供</w:t>
            </w:r>
          </w:p>
        </w:tc>
      </w:tr>
      <w:tr w14:paraId="648791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Merge w:val="continue"/>
            <w:vAlign w:val="center"/>
          </w:tcPr>
          <w:p w14:paraId="43B9D30D">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p>
        </w:tc>
        <w:tc>
          <w:tcPr>
            <w:tcW w:w="1691" w:type="dxa"/>
            <w:vMerge w:val="continue"/>
            <w:vAlign w:val="center"/>
          </w:tcPr>
          <w:p w14:paraId="7C2F30D4">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p>
        </w:tc>
        <w:tc>
          <w:tcPr>
            <w:tcW w:w="5469" w:type="dxa"/>
            <w:vAlign w:val="center"/>
          </w:tcPr>
          <w:p w14:paraId="639FD1FA">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项目完成验收合格无质量问题后退还。</w:t>
            </w:r>
          </w:p>
        </w:tc>
      </w:tr>
      <w:tr w14:paraId="2BDED5D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21DED318">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24</w:t>
            </w:r>
          </w:p>
        </w:tc>
        <w:tc>
          <w:tcPr>
            <w:tcW w:w="1691" w:type="dxa"/>
            <w:vAlign w:val="center"/>
          </w:tcPr>
          <w:p w14:paraId="7A417E71">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kern w:val="0"/>
                <w:sz w:val="24"/>
                <w:szCs w:val="24"/>
                <w14:textFill>
                  <w14:solidFill>
                    <w14:schemeClr w14:val="tx1"/>
                  </w14:solidFill>
                </w14:textFill>
              </w:rPr>
              <w:t>质保期</w:t>
            </w:r>
          </w:p>
        </w:tc>
        <w:tc>
          <w:tcPr>
            <w:tcW w:w="5469" w:type="dxa"/>
            <w:vAlign w:val="center"/>
          </w:tcPr>
          <w:p w14:paraId="0BAB6A63">
            <w:pPr>
              <w:pStyle w:val="106"/>
              <w:wordWrap w:val="0"/>
              <w:adjustRightInd w:val="0"/>
              <w:snapToGrid w:val="0"/>
              <w:spacing w:line="500" w:lineRule="atLeast"/>
              <w:rPr>
                <w:rFonts w:ascii="宋体" w:hAnsi="宋体" w:cs="宋体"/>
                <w:color w:val="0000FF"/>
                <w:sz w:val="24"/>
                <w:szCs w:val="24"/>
              </w:rPr>
            </w:pPr>
            <w:r>
              <w:rPr>
                <w:rFonts w:hint="eastAsia" w:ascii="宋体" w:hAnsi="宋体" w:cs="宋体"/>
                <w:color w:val="auto"/>
                <w:sz w:val="24"/>
                <w:szCs w:val="24"/>
              </w:rPr>
              <w:t>/</w:t>
            </w:r>
          </w:p>
        </w:tc>
      </w:tr>
      <w:tr w14:paraId="63DBD5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38AB7439">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25</w:t>
            </w:r>
          </w:p>
        </w:tc>
        <w:tc>
          <w:tcPr>
            <w:tcW w:w="1691" w:type="dxa"/>
            <w:vAlign w:val="center"/>
          </w:tcPr>
          <w:p w14:paraId="02D7344D">
            <w:pPr>
              <w:pStyle w:val="106"/>
              <w:wordWrap w:val="0"/>
              <w:adjustRightInd w:val="0"/>
              <w:snapToGrid w:val="0"/>
              <w:spacing w:line="500" w:lineRule="atLeast"/>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服务期限</w:t>
            </w:r>
          </w:p>
        </w:tc>
        <w:tc>
          <w:tcPr>
            <w:tcW w:w="5469" w:type="dxa"/>
            <w:vAlign w:val="center"/>
          </w:tcPr>
          <w:p w14:paraId="15271896">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both"/>
              <w:textAlignment w:val="auto"/>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自合同签订之日起至2025年12月31日</w:t>
            </w:r>
          </w:p>
        </w:tc>
      </w:tr>
      <w:tr w14:paraId="4B3C1FA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2BAAB23E">
            <w:pPr>
              <w:pStyle w:val="106"/>
              <w:wordWrap w:val="0"/>
              <w:adjustRightInd w:val="0"/>
              <w:snapToGrid w:val="0"/>
              <w:spacing w:line="500" w:lineRule="atLeast"/>
              <w:jc w:val="center"/>
              <w:rPr>
                <w:rFonts w:hint="default" w:ascii="宋体" w:hAnsi="宋体" w:eastAsia="宋体" w:cs="宋体"/>
                <w:b/>
                <w:bCs/>
                <w:color w:val="000000" w:themeColor="text1"/>
                <w:sz w:val="24"/>
                <w:szCs w:val="24"/>
                <w:lang w:val="en-US" w:eastAsia="zh-CN"/>
                <w14:textFill>
                  <w14:solidFill>
                    <w14:schemeClr w14:val="tx1"/>
                  </w14:solidFill>
                </w14:textFill>
              </w:rPr>
            </w:pPr>
            <w:r>
              <w:rPr>
                <w:rFonts w:hint="eastAsia" w:ascii="宋体" w:hAnsi="宋体" w:cs="宋体"/>
                <w:b/>
                <w:bCs/>
                <w:color w:val="000000" w:themeColor="text1"/>
                <w:sz w:val="24"/>
                <w:szCs w:val="24"/>
                <w:lang w:val="en-US" w:eastAsia="zh-CN"/>
                <w14:textFill>
                  <w14:solidFill>
                    <w14:schemeClr w14:val="tx1"/>
                  </w14:solidFill>
                </w14:textFill>
              </w:rPr>
              <w:t>26</w:t>
            </w:r>
          </w:p>
        </w:tc>
        <w:tc>
          <w:tcPr>
            <w:tcW w:w="1691" w:type="dxa"/>
            <w:vAlign w:val="center"/>
          </w:tcPr>
          <w:p w14:paraId="6FD9763C">
            <w:pPr>
              <w:pStyle w:val="106"/>
              <w:wordWrap w:val="0"/>
              <w:adjustRightInd w:val="0"/>
              <w:snapToGrid w:val="0"/>
              <w:spacing w:line="500" w:lineRule="atLeast"/>
              <w:jc w:val="center"/>
              <w:rPr>
                <w:rFonts w:hint="default" w:ascii="宋体" w:hAnsi="宋体" w:eastAsia="宋体" w:cs="宋体"/>
                <w:b/>
                <w:color w:val="000000" w:themeColor="text1"/>
                <w:kern w:val="0"/>
                <w:sz w:val="24"/>
                <w:szCs w:val="24"/>
                <w:lang w:val="en-US" w:eastAsia="zh-CN"/>
                <w14:textFill>
                  <w14:solidFill>
                    <w14:schemeClr w14:val="tx1"/>
                  </w14:solidFill>
                </w14:textFill>
              </w:rPr>
            </w:pPr>
            <w:r>
              <w:rPr>
                <w:rFonts w:hint="eastAsia" w:ascii="宋体" w:hAnsi="宋体" w:cs="宋体"/>
                <w:b/>
                <w:color w:val="000000" w:themeColor="text1"/>
                <w:kern w:val="0"/>
                <w:sz w:val="24"/>
                <w:szCs w:val="24"/>
                <w:lang w:val="en-US" w:eastAsia="zh-CN"/>
                <w14:textFill>
                  <w14:solidFill>
                    <w14:schemeClr w14:val="tx1"/>
                  </w14:solidFill>
                </w14:textFill>
              </w:rPr>
              <w:t>服务地点</w:t>
            </w:r>
          </w:p>
        </w:tc>
        <w:tc>
          <w:tcPr>
            <w:tcW w:w="5469" w:type="dxa"/>
            <w:vAlign w:val="center"/>
          </w:tcPr>
          <w:p w14:paraId="1AF9BE55">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both"/>
              <w:textAlignment w:val="auto"/>
              <w:rPr>
                <w:rFonts w:hint="eastAsia" w:ascii="宋体" w:hAnsi="宋体" w:eastAsia="宋体" w:cs="宋体"/>
                <w:color w:val="000000" w:themeColor="text1"/>
                <w:kern w:val="0"/>
                <w:sz w:val="24"/>
                <w:szCs w:val="24"/>
                <w:lang w:val="en-US" w:eastAsia="zh-CN"/>
                <w14:textFill>
                  <w14:solidFill>
                    <w14:schemeClr w14:val="tx1"/>
                  </w14:solidFill>
                </w14:textFill>
              </w:rPr>
            </w:pPr>
            <w:r>
              <w:rPr>
                <w:rFonts w:hint="eastAsia" w:cs="宋体"/>
                <w:color w:val="000000" w:themeColor="text1"/>
                <w:kern w:val="0"/>
                <w:sz w:val="24"/>
                <w:szCs w:val="24"/>
                <w:lang w:val="en-US" w:eastAsia="zh-CN"/>
                <w14:textFill>
                  <w14:solidFill>
                    <w14:schemeClr w14:val="tx1"/>
                  </w14:solidFill>
                </w14:textFill>
              </w:rPr>
              <w:t>哈密市</w:t>
            </w:r>
          </w:p>
        </w:tc>
      </w:tr>
      <w:tr w14:paraId="0A5FA3C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6669E5CA">
            <w:pPr>
              <w:pStyle w:val="106"/>
              <w:wordWrap w:val="0"/>
              <w:adjustRightInd w:val="0"/>
              <w:snapToGrid w:val="0"/>
              <w:spacing w:line="500" w:lineRule="atLeast"/>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2</w:t>
            </w:r>
            <w:r>
              <w:rPr>
                <w:rFonts w:hint="eastAsia" w:ascii="宋体" w:hAnsi="宋体" w:cs="宋体"/>
                <w:b/>
                <w:bCs/>
                <w:color w:val="000000" w:themeColor="text1"/>
                <w:sz w:val="24"/>
                <w:szCs w:val="24"/>
                <w:lang w:val="en-US" w:eastAsia="zh-CN"/>
                <w14:textFill>
                  <w14:solidFill>
                    <w14:schemeClr w14:val="tx1"/>
                  </w14:solidFill>
                </w14:textFill>
              </w:rPr>
              <w:t>7</w:t>
            </w:r>
          </w:p>
        </w:tc>
        <w:tc>
          <w:tcPr>
            <w:tcW w:w="1691" w:type="dxa"/>
            <w:vAlign w:val="center"/>
          </w:tcPr>
          <w:p w14:paraId="412DCA26">
            <w:pPr>
              <w:pStyle w:val="112"/>
              <w:wordWrap w:val="0"/>
              <w:adjustRightInd w:val="0"/>
              <w:snapToGrid w:val="0"/>
              <w:spacing w:line="500" w:lineRule="atLeast"/>
              <w:jc w:val="center"/>
              <w:rPr>
                <w:rFonts w:ascii="宋体" w:hAnsi="宋体"/>
                <w:b/>
                <w:bCs/>
                <w:color w:val="000000" w:themeColor="text1"/>
                <w:kern w:val="0"/>
                <w:sz w:val="24"/>
                <w:szCs w:val="24"/>
                <w14:textFill>
                  <w14:solidFill>
                    <w14:schemeClr w14:val="tx1"/>
                  </w14:solidFill>
                </w14:textFill>
              </w:rPr>
            </w:pPr>
            <w:r>
              <w:rPr>
                <w:rFonts w:hint="eastAsia" w:ascii="宋体" w:hAnsi="宋体"/>
                <w:b/>
                <w:bCs/>
                <w:color w:val="000000" w:themeColor="text1"/>
                <w:kern w:val="0"/>
                <w:sz w:val="24"/>
                <w:szCs w:val="24"/>
                <w14:textFill>
                  <w14:solidFill>
                    <w14:schemeClr w14:val="tx1"/>
                  </w14:solidFill>
                </w14:textFill>
              </w:rPr>
              <w:t>质量要求</w:t>
            </w:r>
          </w:p>
        </w:tc>
        <w:tc>
          <w:tcPr>
            <w:tcW w:w="5469" w:type="dxa"/>
            <w:vAlign w:val="center"/>
          </w:tcPr>
          <w:p w14:paraId="3E5FD9D4">
            <w:pPr>
              <w:pStyle w:val="139"/>
              <w:wordWrap w:val="0"/>
              <w:autoSpaceDE w:val="0"/>
              <w:adjustRightInd w:val="0"/>
              <w:snapToGrid w:val="0"/>
              <w:spacing w:line="500" w:lineRule="atLeast"/>
              <w:rPr>
                <w:rFonts w:ascii="宋体" w:hAnsi="宋体"/>
                <w:color w:val="000000" w:themeColor="text1"/>
                <w:sz w:val="24"/>
                <w:szCs w:val="24"/>
                <w14:textFill>
                  <w14:solidFill>
                    <w14:schemeClr w14:val="tx1"/>
                  </w14:solidFill>
                </w14:textFill>
              </w:rPr>
            </w:pPr>
            <w:r>
              <w:rPr>
                <w:rFonts w:hint="eastAsia" w:ascii="宋体" w:hAnsi="宋体"/>
                <w:color w:val="auto"/>
                <w:kern w:val="0"/>
                <w:sz w:val="24"/>
                <w:szCs w:val="24"/>
                <w:lang w:eastAsia="zh-CN"/>
              </w:rPr>
              <w:t>符合国家相关规定，能够满足项目需求。</w:t>
            </w:r>
          </w:p>
        </w:tc>
      </w:tr>
      <w:tr w14:paraId="6207490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8" w:hRule="atLeast"/>
        </w:trPr>
        <w:tc>
          <w:tcPr>
            <w:tcW w:w="1131" w:type="dxa"/>
            <w:vAlign w:val="center"/>
          </w:tcPr>
          <w:p w14:paraId="7DB2F4EB">
            <w:pPr>
              <w:pStyle w:val="112"/>
              <w:wordWrap w:val="0"/>
              <w:adjustRightInd w:val="0"/>
              <w:snapToGrid w:val="0"/>
              <w:spacing w:line="500" w:lineRule="atLeast"/>
              <w:jc w:val="center"/>
              <w:rPr>
                <w:rFonts w:hint="eastAsia" w:ascii="宋体" w:hAnsi="宋体" w:eastAsia="宋体"/>
                <w:b/>
                <w:bCs/>
                <w:color w:val="000000" w:themeColor="text1"/>
                <w:sz w:val="24"/>
                <w:szCs w:val="24"/>
                <w:lang w:eastAsia="zh-CN"/>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2</w:t>
            </w:r>
            <w:r>
              <w:rPr>
                <w:rFonts w:hint="eastAsia" w:ascii="宋体" w:hAnsi="宋体"/>
                <w:b/>
                <w:bCs/>
                <w:color w:val="000000" w:themeColor="text1"/>
                <w:sz w:val="24"/>
                <w:szCs w:val="24"/>
                <w:lang w:val="en-US" w:eastAsia="zh-CN"/>
                <w14:textFill>
                  <w14:solidFill>
                    <w14:schemeClr w14:val="tx1"/>
                  </w14:solidFill>
                </w14:textFill>
              </w:rPr>
              <w:t>8</w:t>
            </w:r>
          </w:p>
        </w:tc>
        <w:tc>
          <w:tcPr>
            <w:tcW w:w="1691" w:type="dxa"/>
            <w:vAlign w:val="center"/>
          </w:tcPr>
          <w:p w14:paraId="373935AA">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付款方式</w:t>
            </w:r>
          </w:p>
        </w:tc>
        <w:tc>
          <w:tcPr>
            <w:tcW w:w="5469" w:type="dxa"/>
            <w:vAlign w:val="center"/>
          </w:tcPr>
          <w:p w14:paraId="2437C279">
            <w:pPr>
              <w:pStyle w:val="106"/>
              <w:wordWrap w:val="0"/>
              <w:adjustRightInd w:val="0"/>
              <w:snapToGrid w:val="0"/>
              <w:spacing w:line="500" w:lineRule="atLeast"/>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auto"/>
                <w:sz w:val="24"/>
                <w:szCs w:val="24"/>
                <w:lang w:val="en-US" w:eastAsia="zh-CN"/>
              </w:rPr>
              <w:t>合同签订后，支付合同金额的60%作为项目前期费用，剩余合同金额的40%项目结束后一次性支付。</w:t>
            </w:r>
          </w:p>
        </w:tc>
      </w:tr>
      <w:tr w14:paraId="106A6DC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2E904FB9">
            <w:pPr>
              <w:pStyle w:val="106"/>
              <w:wordWrap w:val="0"/>
              <w:adjustRightInd w:val="0"/>
              <w:snapToGrid w:val="0"/>
              <w:spacing w:line="500" w:lineRule="atLeast"/>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2</w:t>
            </w:r>
            <w:r>
              <w:rPr>
                <w:rFonts w:hint="eastAsia" w:ascii="宋体" w:hAnsi="宋体" w:cs="宋体"/>
                <w:b/>
                <w:bCs/>
                <w:color w:val="000000" w:themeColor="text1"/>
                <w:sz w:val="24"/>
                <w:szCs w:val="24"/>
                <w:lang w:val="en-US" w:eastAsia="zh-CN"/>
                <w14:textFill>
                  <w14:solidFill>
                    <w14:schemeClr w14:val="tx1"/>
                  </w14:solidFill>
                </w14:textFill>
              </w:rPr>
              <w:t>9</w:t>
            </w:r>
          </w:p>
        </w:tc>
        <w:tc>
          <w:tcPr>
            <w:tcW w:w="1691" w:type="dxa"/>
            <w:vAlign w:val="center"/>
          </w:tcPr>
          <w:p w14:paraId="7C9A899A">
            <w:pPr>
              <w:pStyle w:val="106"/>
              <w:wordWrap w:val="0"/>
              <w:adjustRightInd w:val="0"/>
              <w:snapToGrid w:val="0"/>
              <w:spacing w:line="50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采购人认为应该补充的其他内容</w:t>
            </w:r>
          </w:p>
        </w:tc>
        <w:tc>
          <w:tcPr>
            <w:tcW w:w="5469" w:type="dxa"/>
            <w:vAlign w:val="center"/>
          </w:tcPr>
          <w:p w14:paraId="2B21CAAF">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3AAD40A0">
            <w:pPr>
              <w:pStyle w:val="106"/>
              <w:wordWrap w:val="0"/>
              <w:adjustRightInd w:val="0"/>
              <w:snapToGrid w:val="0"/>
              <w:spacing w:line="500" w:lineRule="atLeas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2、退投标保证金：</w:t>
            </w:r>
          </w:p>
          <w:p w14:paraId="005C4C5A">
            <w:pPr>
              <w:pStyle w:val="106"/>
              <w:wordWrap w:val="0"/>
              <w:adjustRightInd w:val="0"/>
              <w:snapToGrid w:val="0"/>
              <w:spacing w:line="500" w:lineRule="atLeast"/>
              <w:rPr>
                <w:rFonts w:hint="eastAsia"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注</w:t>
            </w:r>
            <w:r>
              <w:rPr>
                <w:rFonts w:hint="eastAsia" w:ascii="宋体" w:hAnsi="宋体" w:cs="宋体"/>
                <w:color w:val="000000" w:themeColor="text1"/>
                <w:sz w:val="24"/>
                <w:szCs w:val="24"/>
                <w:lang w:val="en-US" w:eastAsia="zh-CN"/>
                <w14:textFill>
                  <w14:solidFill>
                    <w14:schemeClr w14:val="tx1"/>
                  </w14:solidFill>
                </w14:textFill>
              </w:rPr>
              <w:t>：中标通知书发出之日起 5 个工作日内退还未中标供应商的投标保证金，自政府采购合同签订之日起 5 个工作日内退还中标供应商的投标保证金。</w:t>
            </w:r>
          </w:p>
          <w:p w14:paraId="5C89A793">
            <w:pPr>
              <w:pStyle w:val="106"/>
              <w:wordWrap w:val="0"/>
              <w:adjustRightInd w:val="0"/>
              <w:snapToGrid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采购项目需要落实的政府采购政策：（1）财政部、国家发展改革委《关于印发《节能产品政府采购实施意见》的通知（财库〔2004〕185号文）》。（2）《财政部、环保总局关于环境标志产品政府采购实施的意见》（财库［2006］90号）。（3）财政部、工业和信息化部《关于印发《政府采购促进中小企业展暂行办法》的通知（财库〔2011〕181号文）》。（4）财政部、司法部《关于政府采购支持监狱企业发展有关问题的通知（财库〔2014〕68号文）》。（5）财政部、民政部、中国残疾人联合会《关于促进残疾人就业政府采购政策的通知》（财库[2017]141号）。</w:t>
            </w:r>
          </w:p>
        </w:tc>
      </w:tr>
      <w:tr w14:paraId="3E5063D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764D8CD9">
            <w:pPr>
              <w:pStyle w:val="129"/>
              <w:wordWrap w:val="0"/>
              <w:adjustRightInd w:val="0"/>
              <w:snapToGrid w:val="0"/>
              <w:spacing w:line="500" w:lineRule="atLeast"/>
              <w:ind w:left="482" w:hanging="482" w:hangingChars="200"/>
              <w:contextualSpacing/>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注意</w:t>
            </w:r>
          </w:p>
          <w:p w14:paraId="7DFE14E4">
            <w:pPr>
              <w:pStyle w:val="129"/>
              <w:wordWrap w:val="0"/>
              <w:adjustRightInd w:val="0"/>
              <w:snapToGrid w:val="0"/>
              <w:spacing w:line="500" w:lineRule="atLeast"/>
              <w:ind w:left="482" w:hanging="482" w:hangingChars="200"/>
              <w:contextualSpacing/>
              <w:jc w:val="center"/>
              <w:rPr>
                <w:rFonts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事项</w:t>
            </w:r>
          </w:p>
        </w:tc>
        <w:tc>
          <w:tcPr>
            <w:tcW w:w="7160" w:type="dxa"/>
            <w:gridSpan w:val="2"/>
            <w:vAlign w:val="center"/>
          </w:tcPr>
          <w:p w14:paraId="4C3B7039">
            <w:pPr>
              <w:pStyle w:val="129"/>
              <w:wordWrap w:val="0"/>
              <w:adjustRightInd w:val="0"/>
              <w:snapToGrid w:val="0"/>
              <w:spacing w:line="500" w:lineRule="atLeast"/>
              <w:ind w:firstLine="0" w:firstLineChars="0"/>
              <w:contextualSpacing/>
              <w:jc w:val="left"/>
              <w:rPr>
                <w:rFonts w:ascii="宋体" w:hAnsi="宋体" w:cs="宋体"/>
                <w:color w:val="000000" w:themeColor="text1"/>
                <w:sz w:val="24"/>
                <w:szCs w:val="24"/>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如本《投标人须知前附表》相关内容与招标文件中的相关内容如有不一致处，则以本《投标人须知前附表》相关内容为准。</w:t>
            </w:r>
          </w:p>
        </w:tc>
      </w:tr>
      <w:tr w14:paraId="0FBC819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131" w:type="dxa"/>
            <w:vAlign w:val="center"/>
          </w:tcPr>
          <w:p w14:paraId="09DA441C">
            <w:pPr>
              <w:pStyle w:val="106"/>
              <w:wordWrap w:val="0"/>
              <w:adjustRightInd w:val="0"/>
              <w:snapToGrid w:val="0"/>
              <w:spacing w:line="500" w:lineRule="atLeast"/>
              <w:jc w:val="center"/>
              <w:rPr>
                <w:rFonts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备注</w:t>
            </w:r>
          </w:p>
        </w:tc>
        <w:tc>
          <w:tcPr>
            <w:tcW w:w="7160" w:type="dxa"/>
            <w:gridSpan w:val="2"/>
            <w:vAlign w:val="center"/>
          </w:tcPr>
          <w:p w14:paraId="74CD7222">
            <w:pPr>
              <w:adjustRightInd w:val="0"/>
              <w:spacing w:line="276" w:lineRule="auto"/>
              <w:jc w:val="left"/>
              <w:textAlignment w:val="baseline"/>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本项目采用政府采购云平台线上招标、投标，采用电子投标文件。</w:t>
            </w:r>
          </w:p>
          <w:p w14:paraId="61729C5F">
            <w:pPr>
              <w:adjustRightInd w:val="0"/>
              <w:spacing w:line="276" w:lineRule="auto"/>
              <w:jc w:val="left"/>
              <w:textAlignment w:val="baseline"/>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1.各投标人应在开标前应确保成为新疆政府采购网正式注册入库投标人，并完成CA数字证书（符合国密标准）申领。因未注册入库、未办理CA数字证书等原因造成无法投标或投标失败等后果由投标人自行承担。</w:t>
            </w:r>
          </w:p>
          <w:p w14:paraId="6ED67EDA">
            <w:pPr>
              <w:adjustRightInd w:val="0"/>
              <w:spacing w:line="276" w:lineRule="auto"/>
              <w:jc w:val="left"/>
              <w:textAlignment w:val="baseline"/>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2.有意向参与新疆区域电子开评标的投标人，可访问新疆数字证书认证中心官方网站（https://www.xjca.com.cn/）或下载“新疆政务通”APP自行进行申领。如需咨询，请联系新疆CA服务热线0991-2819290。</w:t>
            </w:r>
          </w:p>
          <w:p w14:paraId="2C066A1B">
            <w:pPr>
              <w:adjustRightInd w:val="0"/>
              <w:spacing w:line="276" w:lineRule="auto"/>
              <w:jc w:val="left"/>
              <w:textAlignment w:val="baseline"/>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3.投标人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w:t>
            </w:r>
            <w:r>
              <w:rPr>
                <w:rFonts w:hint="eastAsia" w:ascii="宋体" w:hAnsi="宋体" w:cs="宋体"/>
                <w:color w:val="000000" w:themeColor="text1"/>
                <w:kern w:val="2"/>
                <w:sz w:val="24"/>
                <w:szCs w:val="24"/>
                <w:lang w:val="en-US" w:eastAsia="zh-CN" w:bidi="ar-SA"/>
                <w14:textFill>
                  <w14:solidFill>
                    <w14:schemeClr w14:val="tx1"/>
                  </w14:solidFill>
                </w14:textFill>
              </w:rPr>
              <w:t>95763</w:t>
            </w:r>
            <w:r>
              <w:rPr>
                <w:rFonts w:hint="eastAsia" w:ascii="宋体" w:hAnsi="宋体" w:eastAsia="宋体" w:cs="宋体"/>
                <w:color w:val="000000" w:themeColor="text1"/>
                <w:kern w:val="2"/>
                <w:sz w:val="24"/>
                <w:szCs w:val="24"/>
                <w:lang w:val="en-US" w:eastAsia="zh-CN" w:bidi="ar-SA"/>
                <w14:textFill>
                  <w14:solidFill>
                    <w14:schemeClr w14:val="tx1"/>
                  </w14:solidFill>
                </w14:textFill>
              </w:rPr>
              <w:t>进行咨询。如因投标人自身原因导致在规定时间内无法正常解密的（如：浏览器故障、未安装相关驱动、网络故障、加密CA与解密CA不一致等），采购中心/代理机构不予异常处理，视为投标人自动弃标。</w:t>
            </w:r>
          </w:p>
          <w:p w14:paraId="4B79718A">
            <w:pPr>
              <w:adjustRightInd w:val="0"/>
              <w:spacing w:line="276" w:lineRule="auto"/>
              <w:jc w:val="left"/>
              <w:textAlignment w:val="baseline"/>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4.投标人操作指南详见新疆政府采购网（http://www.ccgp-xinjiang.gov.cn/）—办事指南—操作指南。</w:t>
            </w:r>
          </w:p>
          <w:p w14:paraId="14CBB3BA">
            <w:pPr>
              <w:pStyle w:val="106"/>
              <w:wordWrap w:val="0"/>
              <w:adjustRightInd w:val="0"/>
              <w:snapToGrid w:val="0"/>
              <w:spacing w:line="500" w:lineRule="atLeast"/>
              <w:jc w:val="left"/>
              <w:rPr>
                <w:rFonts w:ascii="宋体" w:hAnsi="宋体" w:cs="宋体"/>
                <w:color w:val="000000" w:themeColor="text1"/>
                <w:sz w:val="24"/>
                <w:szCs w:val="24"/>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5.请各潜在供应商及时办理CA锁和学习政府采购云平台线上投标相关知识。请在政府采购云平台登录后，进行下载招标文件。请各供应商获取招标文件后及时关注云平台答疑文件获取栏目。具体相关事宜见政府采购云平台。本项目采用资格后审，请供应商仔细阅读招标文件和各项要求，制作文件及相关资料过程中，若因供应商资格条件不符、提供资料不全等原因导致投标文件予以退还，责任自负。</w:t>
            </w:r>
          </w:p>
        </w:tc>
      </w:tr>
    </w:tbl>
    <w:p w14:paraId="753D0E82">
      <w:pPr>
        <w:pStyle w:val="119"/>
        <w:widowControl w:val="0"/>
        <w:wordWrap w:val="0"/>
        <w:spacing w:before="0" w:beforeAutospacing="0" w:after="0" w:afterAutospacing="0" w:line="500" w:lineRule="atLeast"/>
        <w:jc w:val="both"/>
        <w:rPr>
          <w:b/>
          <w:bCs/>
          <w:color w:val="000000" w:themeColor="text1"/>
          <w:kern w:val="2"/>
          <w14:textFill>
            <w14:solidFill>
              <w14:schemeClr w14:val="tx1"/>
            </w14:solidFill>
          </w14:textFill>
        </w:rPr>
      </w:pPr>
      <w:r>
        <w:rPr>
          <w:rFonts w:hint="eastAsia"/>
          <w:b/>
          <w:bCs/>
          <w:color w:val="000000" w:themeColor="text1"/>
          <w:kern w:val="2"/>
          <w14:textFill>
            <w14:solidFill>
              <w14:schemeClr w14:val="tx1"/>
            </w14:solidFill>
          </w14:textFill>
        </w:rPr>
        <w:t>注：</w:t>
      </w:r>
    </w:p>
    <w:p w14:paraId="4F7048B1">
      <w:pPr>
        <w:pStyle w:val="119"/>
        <w:widowControl w:val="0"/>
        <w:wordWrap w:val="0"/>
        <w:spacing w:before="0" w:beforeAutospacing="0" w:after="0" w:afterAutospacing="0" w:line="500" w:lineRule="atLeast"/>
        <w:jc w:val="both"/>
        <w:rPr>
          <w:color w:val="000000" w:themeColor="text1"/>
          <w:kern w:val="2"/>
          <w14:textFill>
            <w14:solidFill>
              <w14:schemeClr w14:val="tx1"/>
            </w14:solidFill>
          </w14:textFill>
        </w:rPr>
      </w:pPr>
      <w:r>
        <w:rPr>
          <w:rFonts w:hint="eastAsia"/>
          <w:color w:val="000000" w:themeColor="text1"/>
          <w:kern w:val="2"/>
          <w14:textFill>
            <w14:solidFill>
              <w14:schemeClr w14:val="tx1"/>
            </w14:solidFill>
          </w14:textFill>
        </w:rPr>
        <w:t>1、本表内容与招标文件其它内容不一致的，应当以本表内容为准。</w:t>
      </w:r>
    </w:p>
    <w:p w14:paraId="072C1668">
      <w:pPr>
        <w:pStyle w:val="119"/>
        <w:widowControl w:val="0"/>
        <w:wordWrap w:val="0"/>
        <w:spacing w:before="0" w:beforeAutospacing="0" w:after="0" w:afterAutospacing="0" w:line="500" w:lineRule="atLeast"/>
        <w:jc w:val="both"/>
        <w:rPr>
          <w:color w:val="000000" w:themeColor="text1"/>
          <w:kern w:val="2"/>
          <w14:textFill>
            <w14:solidFill>
              <w14:schemeClr w14:val="tx1"/>
            </w14:solidFill>
          </w14:textFill>
        </w:rPr>
      </w:pPr>
      <w:r>
        <w:rPr>
          <w:rFonts w:hint="eastAsia"/>
          <w:color w:val="000000" w:themeColor="text1"/>
          <w:kern w:val="2"/>
          <w14:textFill>
            <w14:solidFill>
              <w14:schemeClr w14:val="tx1"/>
            </w14:solidFill>
          </w14:textFill>
        </w:rPr>
        <w:t>2、本表中“</w:t>
      </w:r>
      <w:r>
        <w:rPr>
          <w:rFonts w:hint="eastAsia"/>
          <w:color w:val="000000" w:themeColor="text1"/>
          <w:kern w:val="2"/>
          <w14:textFill>
            <w14:solidFill>
              <w14:schemeClr w14:val="tx1"/>
            </w14:solidFill>
          </w14:textFill>
        </w:rPr>
        <w:fldChar w:fldCharType="begin"/>
      </w:r>
      <w:r>
        <w:rPr>
          <w:rFonts w:hint="eastAsia"/>
          <w:color w:val="000000" w:themeColor="text1"/>
          <w:kern w:val="2"/>
          <w14:textFill>
            <w14:solidFill>
              <w14:schemeClr w14:val="tx1"/>
            </w14:solidFill>
          </w14:textFill>
        </w:rPr>
        <w:instrText xml:space="preserve"> eq \o\ac(</w:instrText>
      </w:r>
      <w:r>
        <w:rPr>
          <w:rFonts w:hint="eastAsia"/>
          <w:color w:val="000000" w:themeColor="text1"/>
          <w:kern w:val="2"/>
          <w:position w:val="-4"/>
          <w:sz w:val="36"/>
          <w14:textFill>
            <w14:solidFill>
              <w14:schemeClr w14:val="tx1"/>
            </w14:solidFill>
          </w14:textFill>
        </w:rPr>
        <w:instrText xml:space="preserve">□,</w:instrText>
      </w:r>
      <w:r>
        <w:rPr>
          <w:rFonts w:hint="eastAsia"/>
          <w:color w:val="000000" w:themeColor="text1"/>
          <w:kern w:val="2"/>
          <w:sz w:val="25"/>
          <w14:textFill>
            <w14:solidFill>
              <w14:schemeClr w14:val="tx1"/>
            </w14:solidFill>
          </w14:textFill>
        </w:rPr>
        <w:instrText xml:space="preserve">√</w:instrText>
      </w:r>
      <w:r>
        <w:rPr>
          <w:rFonts w:hint="eastAsia"/>
          <w:color w:val="000000" w:themeColor="text1"/>
          <w:kern w:val="2"/>
          <w14:textFill>
            <w14:solidFill>
              <w14:schemeClr w14:val="tx1"/>
            </w14:solidFill>
          </w14:textFill>
        </w:rPr>
        <w:instrText xml:space="preserve">)</w:instrText>
      </w:r>
      <w:r>
        <w:rPr>
          <w:rFonts w:hint="eastAsia"/>
          <w:color w:val="000000" w:themeColor="text1"/>
          <w:kern w:val="2"/>
          <w14:textFill>
            <w14:solidFill>
              <w14:schemeClr w14:val="tx1"/>
            </w14:solidFill>
          </w14:textFill>
        </w:rPr>
        <w:fldChar w:fldCharType="end"/>
      </w:r>
      <w:r>
        <w:rPr>
          <w:rFonts w:hint="eastAsia"/>
          <w:color w:val="000000" w:themeColor="text1"/>
          <w:kern w:val="2"/>
          <w14:textFill>
            <w14:solidFill>
              <w14:schemeClr w14:val="tx1"/>
            </w14:solidFill>
          </w14:textFill>
        </w:rPr>
        <w:t>或</w:t>
      </w:r>
      <w:r>
        <w:rPr>
          <w:rFonts w:hint="eastAsia"/>
          <w:color w:val="000000" w:themeColor="text1"/>
          <w14:textFill>
            <w14:solidFill>
              <w14:schemeClr w14:val="tx1"/>
            </w14:solidFill>
          </w14:textFill>
        </w:rPr>
        <w:sym w:font="Wingdings 2" w:char="0052"/>
      </w:r>
      <w:r>
        <w:rPr>
          <w:rFonts w:hint="eastAsia"/>
          <w:color w:val="000000" w:themeColor="text1"/>
          <w:kern w:val="2"/>
          <w14:textFill>
            <w14:solidFill>
              <w14:schemeClr w14:val="tx1"/>
            </w14:solidFill>
          </w14:textFill>
        </w:rPr>
        <w:t>”标示选择使用该项</w:t>
      </w:r>
      <w:bookmarkStart w:id="20" w:name="_Toc20759"/>
      <w:bookmarkStart w:id="21" w:name="_Toc1621"/>
    </w:p>
    <w:p w14:paraId="4E94BC5B">
      <w:pPr>
        <w:pStyle w:val="119"/>
        <w:widowControl w:val="0"/>
        <w:wordWrap w:val="0"/>
        <w:spacing w:before="0" w:beforeAutospacing="0" w:after="0" w:afterAutospacing="0" w:line="500" w:lineRule="atLeast"/>
        <w:jc w:val="both"/>
        <w:rPr>
          <w:b/>
          <w:color w:val="000000" w:themeColor="text1"/>
          <w:sz w:val="32"/>
          <w:szCs w:val="28"/>
          <w14:textFill>
            <w14:solidFill>
              <w14:schemeClr w14:val="tx1"/>
            </w14:solidFill>
          </w14:textFill>
        </w:rPr>
      </w:pPr>
    </w:p>
    <w:p w14:paraId="262E6485">
      <w:pPr>
        <w:pStyle w:val="119"/>
        <w:widowControl w:val="0"/>
        <w:wordWrap w:val="0"/>
        <w:spacing w:before="0" w:beforeAutospacing="0" w:after="0" w:afterAutospacing="0" w:line="500" w:lineRule="atLeast"/>
        <w:jc w:val="both"/>
        <w:rPr>
          <w:b/>
          <w:color w:val="000000" w:themeColor="text1"/>
          <w:sz w:val="32"/>
          <w:szCs w:val="28"/>
          <w14:textFill>
            <w14:solidFill>
              <w14:schemeClr w14:val="tx1"/>
            </w14:solidFill>
          </w14:textFill>
        </w:rPr>
      </w:pPr>
    </w:p>
    <w:p w14:paraId="405D51F1">
      <w:pPr>
        <w:pStyle w:val="119"/>
        <w:widowControl w:val="0"/>
        <w:spacing w:before="0" w:beforeAutospacing="0" w:after="0" w:afterAutospacing="0" w:line="500" w:lineRule="atLeast"/>
        <w:jc w:val="center"/>
        <w:rPr>
          <w:b/>
          <w:color w:val="000000" w:themeColor="text1"/>
          <w:sz w:val="32"/>
          <w:szCs w:val="28"/>
          <w14:textFill>
            <w14:solidFill>
              <w14:schemeClr w14:val="tx1"/>
            </w14:solidFill>
          </w14:textFill>
        </w:rPr>
      </w:pPr>
      <w:r>
        <w:rPr>
          <w:rFonts w:hint="eastAsia"/>
          <w:b/>
          <w:color w:val="000000" w:themeColor="text1"/>
          <w:sz w:val="32"/>
          <w:szCs w:val="28"/>
          <w14:textFill>
            <w14:solidFill>
              <w14:schemeClr w14:val="tx1"/>
            </w14:solidFill>
          </w14:textFill>
        </w:rPr>
        <w:t>一、 说明</w:t>
      </w:r>
      <w:bookmarkEnd w:id="20"/>
      <w:bookmarkEnd w:id="21"/>
    </w:p>
    <w:p w14:paraId="2057A0D5">
      <w:pPr>
        <w:pStyle w:val="104"/>
        <w:wordWrap w:val="0"/>
        <w:spacing w:line="500" w:lineRule="atLeast"/>
        <w:ind w:firstLine="484" w:firstLineChars="201"/>
        <w:contextualSpacing/>
        <w:jc w:val="left"/>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1.1适用范围</w:t>
      </w:r>
    </w:p>
    <w:p w14:paraId="6B2410BE">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1.1.1本磋商文件仅适用于本磋商公告中所述项目货物及服务的采购。</w:t>
      </w:r>
    </w:p>
    <w:p w14:paraId="3F459382">
      <w:pPr>
        <w:pStyle w:val="104"/>
        <w:wordWrap w:val="0"/>
        <w:spacing w:line="500" w:lineRule="atLeast"/>
        <w:ind w:firstLine="484" w:firstLineChars="201"/>
        <w:contextualSpacing/>
        <w:jc w:val="left"/>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1.2定义</w:t>
      </w:r>
    </w:p>
    <w:p w14:paraId="277EEF5C">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1.2.1“采购人”是指：详见供应商须知前附表。</w:t>
      </w:r>
    </w:p>
    <w:p w14:paraId="0A894553">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1.2.2“采购代理机构”是指：详见供应商须知前附表。</w:t>
      </w:r>
    </w:p>
    <w:p w14:paraId="081844C1">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1.2.3“供应商”是指：响应磋商文件要求并且符合磋商文件规定资格条件和参加竞争性磋商的法人、其他组织或者自然人。</w:t>
      </w:r>
    </w:p>
    <w:p w14:paraId="7D871177">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1.2.4“电子响应文件”是指：编制加密的响应文件。</w:t>
      </w:r>
    </w:p>
    <w:p w14:paraId="000D3333">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1.2.5“成交供应商”是指: 是指经磋商小组评审，授予合同的供应商。</w:t>
      </w:r>
    </w:p>
    <w:p w14:paraId="23B261ED">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1.2.6采购人和采购代理机构统称为招标采购单位。</w:t>
      </w:r>
    </w:p>
    <w:p w14:paraId="6D24628A">
      <w:pPr>
        <w:pStyle w:val="104"/>
        <w:wordWrap w:val="0"/>
        <w:spacing w:line="500" w:lineRule="atLeast"/>
        <w:ind w:firstLine="484" w:firstLineChars="201"/>
        <w:contextualSpacing/>
        <w:jc w:val="left"/>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1.3 货物和服务</w:t>
      </w:r>
    </w:p>
    <w:p w14:paraId="6090C9F3">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1.3.1“货物”是指：供应商制造或组织符合磋商文件要求的货物，包括原材料、燃料、设备、产品等。磋商文件中没有提及招标货物来源地的，根据《政府采购法》的相关规定均应是本国货物，另有规定的除外。</w:t>
      </w:r>
      <w:r>
        <w:rPr>
          <w:rFonts w:hint="eastAsia" w:ascii="宋体" w:hAnsi="宋体" w:cs="宋体"/>
          <w:snapToGrid w:val="0"/>
          <w:color w:val="000000" w:themeColor="text1"/>
          <w:kern w:val="0"/>
          <w:sz w:val="24"/>
          <w:szCs w:val="24"/>
          <w14:textFill>
            <w14:solidFill>
              <w14:schemeClr w14:val="tx1"/>
            </w14:solidFill>
          </w14:textFill>
        </w:rPr>
        <w:t>提供的货物必须是其合法生产的符合国家有关标准要求的货物，并能够按照合同规定的品牌、产地、质量、价格和有效期等履约。</w:t>
      </w:r>
    </w:p>
    <w:p w14:paraId="32C8EE65">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1.3.2“服务”是指：除货物和工程以外的其他政府采购对象。包括：政府自身需要的服务和政府向社会公众提供的公共服务。</w:t>
      </w:r>
    </w:p>
    <w:p w14:paraId="3152C405">
      <w:pPr>
        <w:pStyle w:val="104"/>
        <w:wordWrap w:val="0"/>
        <w:spacing w:line="500" w:lineRule="atLeast"/>
        <w:ind w:firstLine="484" w:firstLineChars="201"/>
        <w:contextualSpacing/>
        <w:jc w:val="left"/>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1.4 磋商费用</w:t>
      </w:r>
    </w:p>
    <w:p w14:paraId="60EF7469">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1.4.1供应商应承担所有与准备和参加竞争性磋商有关的费用。不论磋商的结果如何，采购单位均无义务和责任承担这些费用。</w:t>
      </w:r>
    </w:p>
    <w:p w14:paraId="5696AE91">
      <w:pPr>
        <w:pStyle w:val="104"/>
        <w:keepNext/>
        <w:keepLines/>
        <w:wordWrap w:val="0"/>
        <w:adjustRightInd w:val="0"/>
        <w:snapToGrid w:val="0"/>
        <w:spacing w:line="500" w:lineRule="atLeast"/>
        <w:contextualSpacing/>
        <w:jc w:val="center"/>
        <w:outlineLvl w:val="1"/>
        <w:rPr>
          <w:rFonts w:ascii="宋体" w:hAnsi="宋体" w:cs="宋体"/>
          <w:b/>
          <w:color w:val="000000" w:themeColor="text1"/>
          <w:sz w:val="24"/>
          <w:szCs w:val="24"/>
          <w14:textFill>
            <w14:solidFill>
              <w14:schemeClr w14:val="tx1"/>
            </w14:solidFill>
          </w14:textFill>
        </w:rPr>
      </w:pPr>
      <w:bookmarkStart w:id="22" w:name="_Toc293738992"/>
      <w:bookmarkStart w:id="23" w:name="_Toc293736054"/>
      <w:bookmarkStart w:id="24" w:name="_Toc18317"/>
      <w:bookmarkStart w:id="25" w:name="_Toc256000003"/>
      <w:bookmarkStart w:id="26" w:name="_Toc446599311"/>
      <w:bookmarkStart w:id="27" w:name="_Toc293736011"/>
      <w:bookmarkStart w:id="28" w:name="_Toc3092"/>
      <w:r>
        <w:rPr>
          <w:rFonts w:hint="eastAsia" w:ascii="宋体" w:hAnsi="宋体" w:cs="宋体"/>
          <w:b/>
          <w:color w:val="000000" w:themeColor="text1"/>
          <w:sz w:val="24"/>
          <w:szCs w:val="24"/>
          <w14:textFill>
            <w14:solidFill>
              <w14:schemeClr w14:val="tx1"/>
            </w14:solidFill>
          </w14:textFill>
        </w:rPr>
        <w:t>二、磋商文件</w:t>
      </w:r>
      <w:bookmarkEnd w:id="22"/>
      <w:bookmarkEnd w:id="23"/>
      <w:bookmarkEnd w:id="24"/>
      <w:bookmarkEnd w:id="25"/>
      <w:bookmarkEnd w:id="26"/>
      <w:bookmarkEnd w:id="27"/>
      <w:bookmarkEnd w:id="28"/>
    </w:p>
    <w:p w14:paraId="1E6D5815">
      <w:pPr>
        <w:pStyle w:val="104"/>
        <w:wordWrap w:val="0"/>
        <w:spacing w:line="500" w:lineRule="atLeast"/>
        <w:ind w:firstLine="484" w:firstLineChars="201"/>
        <w:contextualSpacing/>
        <w:jc w:val="left"/>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2.1 磋商文件的构成</w:t>
      </w:r>
    </w:p>
    <w:p w14:paraId="43F36EF3">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2.1.1磋商文件由下列文件以及在采购过程中发出的修正和补充文件组成：</w:t>
      </w:r>
    </w:p>
    <w:p w14:paraId="0FD8E095">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(1)磋商公告；</w:t>
      </w:r>
    </w:p>
    <w:p w14:paraId="5475ABF7">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(2)供应商须知；</w:t>
      </w:r>
    </w:p>
    <w:p w14:paraId="48088639">
      <w:pPr>
        <w:pStyle w:val="104"/>
        <w:tabs>
          <w:tab w:val="left" w:pos="5840"/>
        </w:tabs>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(3)采购项目服务要求；</w:t>
      </w:r>
      <w:r>
        <w:rPr>
          <w:rFonts w:hint="eastAsia" w:ascii="宋体" w:hAnsi="宋体" w:cs="宋体"/>
          <w:color w:val="000000" w:themeColor="text1"/>
          <w:sz w:val="24"/>
          <w:szCs w:val="24"/>
          <w14:textFill>
            <w14:solidFill>
              <w14:schemeClr w14:val="tx1"/>
            </w14:solidFill>
          </w14:textFill>
        </w:rPr>
        <w:tab/>
      </w:r>
    </w:p>
    <w:p w14:paraId="678A3728">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(4)评审方法、步骤、标准；</w:t>
      </w:r>
    </w:p>
    <w:p w14:paraId="74F28C14">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(5)合同格式及合同条款；</w:t>
      </w:r>
    </w:p>
    <w:p w14:paraId="5B78D229">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(6)响应文件格式；</w:t>
      </w:r>
    </w:p>
    <w:p w14:paraId="31A08977">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(7)在磋商过程中由采购单位发出的澄清和补充文件等。</w:t>
      </w:r>
    </w:p>
    <w:p w14:paraId="62006DF9">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14:paraId="2DF46461">
      <w:pPr>
        <w:pStyle w:val="104"/>
        <w:wordWrap w:val="0"/>
        <w:spacing w:line="500" w:lineRule="atLeast"/>
        <w:ind w:firstLine="484" w:firstLineChars="201"/>
        <w:contextualSpacing/>
        <w:jc w:val="left"/>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2.2. 磋商文件的澄清</w:t>
      </w:r>
    </w:p>
    <w:p w14:paraId="2B30F81E">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2.2.1供应商应仔细阅读和检查磋商文件的全部内容。供应商若对磋商文件有任何疑问，均应在响应文件递交截止时间5日前，按磋商公告中的联系地址以书面形式送达采购代理机构，采购代理机构将以书面形式予以答复。答复中包括原提出的问题，但不包括问题的来源。</w:t>
      </w:r>
    </w:p>
    <w:p w14:paraId="601B4C47">
      <w:pPr>
        <w:pStyle w:val="104"/>
        <w:wordWrap w:val="0"/>
        <w:spacing w:line="500" w:lineRule="atLeast"/>
        <w:ind w:firstLine="460"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pacing w:val="-6"/>
          <w:sz w:val="24"/>
          <w:szCs w:val="24"/>
          <w14:textFill>
            <w14:solidFill>
              <w14:schemeClr w14:val="tx1"/>
            </w14:solidFill>
          </w14:textFill>
        </w:rPr>
        <w:t>2.2.2</w:t>
      </w:r>
      <w:r>
        <w:rPr>
          <w:rFonts w:hint="eastAsia" w:ascii="宋体" w:hAnsi="宋体" w:cs="宋体"/>
          <w:color w:val="000000" w:themeColor="text1"/>
          <w:sz w:val="24"/>
          <w:szCs w:val="24"/>
          <w14:textFill>
            <w14:solidFill>
              <w14:schemeClr w14:val="tx1"/>
            </w14:solidFill>
          </w14:textFill>
        </w:rPr>
        <w:t>供应商在本项目采购公告期限届满之日起5个工作日内未对磋商文件提出异议的，采购单位将视其为同意。在规定的时间后就磋商文件内容提出的质疑将不予受理。</w:t>
      </w:r>
    </w:p>
    <w:p w14:paraId="1E3AF861">
      <w:pPr>
        <w:pStyle w:val="104"/>
        <w:wordWrap w:val="0"/>
        <w:spacing w:line="500" w:lineRule="atLeast"/>
        <w:ind w:firstLine="484" w:firstLineChars="201"/>
        <w:contextualSpacing/>
        <w:jc w:val="left"/>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2.3. 磋商文件的修改</w:t>
      </w:r>
    </w:p>
    <w:p w14:paraId="74BCA8EA">
      <w:pPr>
        <w:pStyle w:val="104"/>
        <w:wordWrap w:val="0"/>
        <w:spacing w:line="500" w:lineRule="atLeast"/>
        <w:ind w:firstLine="460" w:firstLineChars="202"/>
        <w:jc w:val="left"/>
        <w:rPr>
          <w:rFonts w:ascii="宋体" w:hAnsi="宋体" w:cs="宋体"/>
          <w:color w:val="000000" w:themeColor="text1"/>
          <w:spacing w:val="-6"/>
          <w:sz w:val="24"/>
          <w:szCs w:val="24"/>
          <w14:textFill>
            <w14:solidFill>
              <w14:schemeClr w14:val="tx1"/>
            </w14:solidFill>
          </w14:textFill>
        </w:rPr>
      </w:pPr>
      <w:r>
        <w:rPr>
          <w:rFonts w:hint="eastAsia" w:ascii="宋体" w:hAnsi="宋体" w:cs="宋体"/>
          <w:color w:val="000000" w:themeColor="text1"/>
          <w:spacing w:val="-6"/>
          <w:sz w:val="24"/>
          <w:szCs w:val="24"/>
          <w14:textFill>
            <w14:solidFill>
              <w14:schemeClr w14:val="tx1"/>
            </w14:solidFill>
          </w14:textFill>
        </w:rPr>
        <w:t>2.3.1采购代理机构可以对已发出的磋商文件进行必要的澄清或者修改。</w:t>
      </w:r>
      <w:r>
        <w:rPr>
          <w:rFonts w:hint="eastAsia" w:ascii="宋体" w:hAnsi="宋体" w:cs="宋体"/>
          <w:color w:val="000000" w:themeColor="text1"/>
          <w:sz w:val="24"/>
          <w:szCs w:val="24"/>
          <w14:textFill>
            <w14:solidFill>
              <w14:schemeClr w14:val="tx1"/>
            </w14:solidFill>
          </w14:textFill>
        </w:rPr>
        <w:t xml:space="preserve">澄清或者修改的内容可能影响响应文件编制的，采购单位将在响应文件递交截止时间五日前，以书面通知已领取磋商文件的潜在供应商。 </w:t>
      </w:r>
    </w:p>
    <w:p w14:paraId="38243247">
      <w:pPr>
        <w:pStyle w:val="104"/>
        <w:wordWrap w:val="0"/>
        <w:spacing w:line="500" w:lineRule="atLeast"/>
        <w:ind w:firstLine="460"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pacing w:val="-6"/>
          <w:sz w:val="24"/>
          <w:szCs w:val="24"/>
          <w14:textFill>
            <w14:solidFill>
              <w14:schemeClr w14:val="tx1"/>
            </w14:solidFill>
          </w14:textFill>
        </w:rPr>
        <w:t>2.3.2澄清或者修改的内容是磋商文件的组成部分</w:t>
      </w:r>
      <w:r>
        <w:rPr>
          <w:rFonts w:hint="eastAsia" w:ascii="宋体" w:hAnsi="宋体" w:cs="宋体"/>
          <w:color w:val="000000" w:themeColor="text1"/>
          <w:sz w:val="24"/>
          <w:szCs w:val="24"/>
          <w14:textFill>
            <w14:solidFill>
              <w14:schemeClr w14:val="tx1"/>
            </w14:solidFill>
          </w14:textFill>
        </w:rPr>
        <w:t>，对供应商具有约束力。</w:t>
      </w:r>
    </w:p>
    <w:p w14:paraId="02E9E7CA">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2.3.3为使供应商有充足的时间对磋商文件的修改部分进行研究，</w:t>
      </w:r>
      <w:r>
        <w:rPr>
          <w:rFonts w:hint="eastAsia" w:ascii="宋体" w:hAnsi="宋体" w:cs="宋体"/>
          <w:color w:val="000000" w:themeColor="text1"/>
          <w:spacing w:val="-6"/>
          <w:sz w:val="24"/>
          <w:szCs w:val="24"/>
          <w14:textFill>
            <w14:solidFill>
              <w14:schemeClr w14:val="tx1"/>
            </w14:solidFill>
          </w14:textFill>
        </w:rPr>
        <w:t>采购代理机构</w:t>
      </w:r>
      <w:r>
        <w:rPr>
          <w:rFonts w:hint="eastAsia" w:ascii="宋体" w:hAnsi="宋体" w:cs="宋体"/>
          <w:color w:val="000000" w:themeColor="text1"/>
          <w:sz w:val="24"/>
          <w:szCs w:val="24"/>
          <w14:textFill>
            <w14:solidFill>
              <w14:schemeClr w14:val="tx1"/>
            </w14:solidFill>
          </w14:textFill>
        </w:rPr>
        <w:t>可适当推迟响应文件递交截止时间，并以书面通知所有登记备案并领取了磋商文件的潜在供应商。</w:t>
      </w:r>
    </w:p>
    <w:p w14:paraId="0560729C">
      <w:pPr>
        <w:pStyle w:val="104"/>
        <w:wordWrap w:val="0"/>
        <w:spacing w:line="500" w:lineRule="atLeast"/>
        <w:ind w:firstLine="460" w:firstLineChars="202"/>
        <w:jc w:val="left"/>
        <w:rPr>
          <w:rFonts w:ascii="宋体" w:hAnsi="宋体" w:cs="宋体"/>
          <w:color w:val="000000" w:themeColor="text1"/>
          <w:spacing w:val="-6"/>
          <w:sz w:val="24"/>
          <w:szCs w:val="24"/>
          <w14:textFill>
            <w14:solidFill>
              <w14:schemeClr w14:val="tx1"/>
            </w14:solidFill>
          </w14:textFill>
        </w:rPr>
      </w:pPr>
      <w:r>
        <w:rPr>
          <w:rFonts w:hint="eastAsia" w:ascii="宋体" w:hAnsi="宋体" w:cs="宋体"/>
          <w:color w:val="000000" w:themeColor="text1"/>
          <w:spacing w:val="-6"/>
          <w:sz w:val="24"/>
          <w:szCs w:val="24"/>
          <w14:textFill>
            <w14:solidFill>
              <w14:schemeClr w14:val="tx1"/>
            </w14:solidFill>
          </w14:textFill>
        </w:rPr>
        <w:t>2.3.4因供应商原因未及时获知澄清、修改或补充内容而导致的任何后果将由供应商自行承担。</w:t>
      </w:r>
    </w:p>
    <w:p w14:paraId="6E205D94">
      <w:pPr>
        <w:pStyle w:val="111"/>
        <w:wordWrap w:val="0"/>
        <w:spacing w:before="0" w:after="0" w:line="500" w:lineRule="atLeast"/>
        <w:ind w:left="0" w:leftChars="0"/>
        <w:rPr>
          <w:rFonts w:cs="宋体"/>
          <w:color w:val="000000" w:themeColor="text1"/>
          <w:sz w:val="24"/>
          <w:szCs w:val="24"/>
          <w14:textFill>
            <w14:solidFill>
              <w14:schemeClr w14:val="tx1"/>
            </w14:solidFill>
          </w14:textFill>
        </w:rPr>
      </w:pPr>
      <w:bookmarkStart w:id="29" w:name="_Toc256000004"/>
      <w:bookmarkStart w:id="30" w:name="_Toc256000005"/>
      <w:bookmarkStart w:id="31" w:name="_Toc293738994"/>
      <w:bookmarkStart w:id="32" w:name="_Toc293736013"/>
      <w:bookmarkStart w:id="33" w:name="_Toc446599313"/>
      <w:bookmarkStart w:id="34" w:name="_Toc293736056"/>
      <w:r>
        <w:rPr>
          <w:rFonts w:hint="eastAsia" w:cs="宋体"/>
          <w:color w:val="000000" w:themeColor="text1"/>
          <w:sz w:val="24"/>
          <w:szCs w:val="24"/>
          <w14:textFill>
            <w14:solidFill>
              <w14:schemeClr w14:val="tx1"/>
            </w14:solidFill>
          </w14:textFill>
        </w:rPr>
        <w:t>三、响应文件的编制和数量</w:t>
      </w:r>
      <w:bookmarkEnd w:id="29"/>
      <w:bookmarkEnd w:id="30"/>
    </w:p>
    <w:p w14:paraId="0F596F58">
      <w:pPr>
        <w:pStyle w:val="82"/>
        <w:wordWrap w:val="0"/>
        <w:spacing w:line="500" w:lineRule="atLeast"/>
        <w:ind w:firstLine="484" w:firstLineChars="201"/>
        <w:contextualSpacing/>
        <w:jc w:val="left"/>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3.1．响应文件的语言</w:t>
      </w:r>
    </w:p>
    <w:p w14:paraId="4BBC9DC0">
      <w:pPr>
        <w:pStyle w:val="129"/>
        <w:wordWrap w:val="0"/>
        <w:spacing w:line="500" w:lineRule="atLeast"/>
        <w:ind w:firstLine="460" w:firstLineChars="202"/>
        <w:jc w:val="left"/>
        <w:rPr>
          <w:rFonts w:ascii="宋体" w:hAnsi="宋体" w:cs="宋体"/>
          <w:color w:val="000000" w:themeColor="text1"/>
          <w:spacing w:val="-6"/>
          <w:sz w:val="24"/>
          <w:szCs w:val="24"/>
          <w14:textFill>
            <w14:solidFill>
              <w14:schemeClr w14:val="tx1"/>
            </w14:solidFill>
          </w14:textFill>
        </w:rPr>
      </w:pPr>
      <w:r>
        <w:rPr>
          <w:rFonts w:hint="eastAsia" w:ascii="宋体" w:hAnsi="宋体" w:cs="宋体"/>
          <w:color w:val="000000" w:themeColor="text1"/>
          <w:spacing w:val="-6"/>
          <w:sz w:val="24"/>
          <w:szCs w:val="24"/>
          <w14:textFill>
            <w14:solidFill>
              <w14:schemeClr w14:val="tx1"/>
            </w14:solidFill>
          </w14:textFill>
        </w:rPr>
        <w:t>3.1.1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14:paraId="2B79B9E0">
      <w:pPr>
        <w:pStyle w:val="82"/>
        <w:wordWrap w:val="0"/>
        <w:spacing w:line="500" w:lineRule="atLeast"/>
        <w:ind w:firstLine="484" w:firstLineChars="201"/>
        <w:contextualSpacing/>
        <w:jc w:val="left"/>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3.2响应文件的构成</w:t>
      </w:r>
    </w:p>
    <w:p w14:paraId="33DDBA75">
      <w:pPr>
        <w:pStyle w:val="129"/>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3.2.1供应商编制的响应文件应包括但不少于下列内容：</w:t>
      </w:r>
    </w:p>
    <w:p w14:paraId="0BC6BC35">
      <w:pPr>
        <w:pStyle w:val="129"/>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w:t>
      </w:r>
      <w:r>
        <w:rPr>
          <w:rFonts w:hint="eastAsia" w:ascii="宋体" w:hAnsi="宋体" w:cs="宋体"/>
          <w:color w:val="000000" w:themeColor="text1"/>
          <w:spacing w:val="-6"/>
          <w:sz w:val="24"/>
          <w:szCs w:val="24"/>
          <w14:textFill>
            <w14:solidFill>
              <w14:schemeClr w14:val="tx1"/>
            </w14:solidFill>
          </w14:textFill>
        </w:rPr>
        <w:t>商务</w:t>
      </w:r>
      <w:r>
        <w:rPr>
          <w:rFonts w:hint="eastAsia" w:ascii="宋体" w:hAnsi="宋体" w:cs="宋体"/>
          <w:color w:val="000000" w:themeColor="text1"/>
          <w:sz w:val="24"/>
          <w:szCs w:val="24"/>
          <w14:textFill>
            <w14:solidFill>
              <w14:schemeClr w14:val="tx1"/>
            </w14:solidFill>
          </w14:textFill>
        </w:rPr>
        <w:t>文件内容（详见第六章商务文件组成）</w:t>
      </w:r>
    </w:p>
    <w:p w14:paraId="5CFE8D8B">
      <w:pPr>
        <w:pStyle w:val="129"/>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（2)技术文件内容（详见第六章技术文件组成）</w:t>
      </w:r>
    </w:p>
    <w:p w14:paraId="3594882B">
      <w:pPr>
        <w:pStyle w:val="82"/>
        <w:wordWrap w:val="0"/>
        <w:spacing w:line="500" w:lineRule="atLeast"/>
        <w:ind w:firstLine="484" w:firstLineChars="201"/>
        <w:contextualSpacing/>
        <w:jc w:val="left"/>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3.3响应文件编制</w:t>
      </w:r>
    </w:p>
    <w:p w14:paraId="4011D746">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3.3.1</w:t>
      </w:r>
      <w:r>
        <w:rPr>
          <w:rFonts w:hint="eastAsia" w:ascii="宋体" w:hAnsi="宋体" w:cs="宋体"/>
          <w:color w:val="000000" w:themeColor="text1"/>
          <w:spacing w:val="-6"/>
          <w:sz w:val="24"/>
          <w:szCs w:val="24"/>
          <w14:textFill>
            <w14:solidFill>
              <w14:schemeClr w14:val="tx1"/>
            </w14:solidFill>
          </w14:textFill>
        </w:rPr>
        <w:t>电子</w:t>
      </w:r>
      <w:r>
        <w:rPr>
          <w:rFonts w:hint="eastAsia" w:ascii="宋体" w:hAnsi="宋体" w:cs="宋体"/>
          <w:color w:val="000000" w:themeColor="text1"/>
          <w:kern w:val="0"/>
          <w:sz w:val="24"/>
          <w:szCs w:val="24"/>
          <w14:textFill>
            <w14:solidFill>
              <w14:schemeClr w14:val="tx1"/>
            </w14:solidFill>
          </w14:textFill>
        </w:rPr>
        <w:t>响应文件制作时，应按照磋商文件中明确的响应文件目录和投标</w:t>
      </w:r>
      <w:r>
        <w:rPr>
          <w:rFonts w:hint="eastAsia" w:ascii="宋体" w:hAnsi="宋体" w:cs="宋体"/>
          <w:color w:val="000000" w:themeColor="text1"/>
          <w:sz w:val="24"/>
          <w:szCs w:val="24"/>
          <w14:textFill>
            <w14:solidFill>
              <w14:schemeClr w14:val="tx1"/>
            </w14:solidFill>
          </w14:textFill>
        </w:rPr>
        <w:t>技术规格、参数及相关要求</w:t>
      </w:r>
      <w:r>
        <w:rPr>
          <w:rFonts w:hint="eastAsia" w:ascii="宋体" w:hAnsi="宋体" w:cs="宋体"/>
          <w:color w:val="000000" w:themeColor="text1"/>
          <w:kern w:val="0"/>
          <w:sz w:val="24"/>
          <w:szCs w:val="24"/>
          <w14:textFill>
            <w14:solidFill>
              <w14:schemeClr w14:val="tx1"/>
            </w14:solidFill>
          </w14:textFill>
        </w:rPr>
        <w:t>格式进行编制，保证目录清晰、内容完整。</w:t>
      </w:r>
    </w:p>
    <w:p w14:paraId="21E1D5CD">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3.3.2供应商应按照供应商须知前附表要求的份数编制响应文件。</w:t>
      </w:r>
    </w:p>
    <w:p w14:paraId="57B5AE4B">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3.3.3以网上</w:t>
      </w:r>
      <w:r>
        <w:rPr>
          <w:rFonts w:hint="eastAsia" w:ascii="宋体" w:hAnsi="宋体" w:cs="宋体"/>
          <w:color w:val="000000" w:themeColor="text1"/>
          <w:spacing w:val="-6"/>
          <w:sz w:val="24"/>
          <w:szCs w:val="24"/>
          <w14:textFill>
            <w14:solidFill>
              <w14:schemeClr w14:val="tx1"/>
            </w14:solidFill>
          </w14:textFill>
        </w:rPr>
        <w:t>提交</w:t>
      </w:r>
      <w:r>
        <w:rPr>
          <w:rFonts w:hint="eastAsia" w:ascii="宋体" w:hAnsi="宋体" w:cs="宋体"/>
          <w:color w:val="000000" w:themeColor="text1"/>
          <w:kern w:val="0"/>
          <w:sz w:val="24"/>
          <w:szCs w:val="24"/>
          <w14:textFill>
            <w14:solidFill>
              <w14:schemeClr w14:val="tx1"/>
            </w14:solidFill>
          </w14:textFill>
        </w:rPr>
        <w:t xml:space="preserve">的（加密）电子响应文件为准。 </w:t>
      </w:r>
    </w:p>
    <w:p w14:paraId="26F7A691">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 xml:space="preserve">3.3.4供应商因自身原因导致电子响应文件无法上传至新疆政府采购网的，该响应文件视为无效文件。 </w:t>
      </w:r>
    </w:p>
    <w:p w14:paraId="183DF3F8">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 xml:space="preserve">3.3.5电子响应文件具有法律效力,与其他形式的响应文件在内容和格式上等同，若响应文件与磋商文件要求不一致，其内容影响成交结果时，责任由供应商自行承担。 </w:t>
      </w:r>
    </w:p>
    <w:p w14:paraId="74084BE8">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3.3.6为了保证</w:t>
      </w:r>
      <w:r>
        <w:rPr>
          <w:rFonts w:hint="eastAsia" w:ascii="宋体" w:hAnsi="宋体" w:cs="宋体"/>
          <w:color w:val="000000" w:themeColor="text1"/>
          <w:spacing w:val="-6"/>
          <w:sz w:val="24"/>
          <w:szCs w:val="24"/>
          <w14:textFill>
            <w14:solidFill>
              <w14:schemeClr w14:val="tx1"/>
            </w14:solidFill>
          </w14:textFill>
        </w:rPr>
        <w:t>电子</w:t>
      </w:r>
      <w:r>
        <w:rPr>
          <w:rFonts w:hint="eastAsia" w:ascii="宋体" w:hAnsi="宋体" w:cs="宋体"/>
          <w:color w:val="000000" w:themeColor="text1"/>
          <w:kern w:val="0"/>
          <w:sz w:val="24"/>
          <w:szCs w:val="24"/>
          <w14:textFill>
            <w14:solidFill>
              <w14:schemeClr w14:val="tx1"/>
            </w14:solidFill>
          </w14:textFill>
        </w:rPr>
        <w:t>标书的合法性、安全性和完整性，电子响应文件转换完成后，应在规定区域加盖单位和法定代表人CA印章。电子响应文件若无 CA电子签章，则视为无效文件。</w:t>
      </w:r>
    </w:p>
    <w:p w14:paraId="1D4B40ED">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3.3.7供应商应完整地</w:t>
      </w:r>
      <w:r>
        <w:rPr>
          <w:rFonts w:hint="eastAsia" w:ascii="宋体" w:hAnsi="宋体" w:cs="宋体"/>
          <w:color w:val="000000" w:themeColor="text1"/>
          <w:spacing w:val="-6"/>
          <w:sz w:val="24"/>
          <w:szCs w:val="24"/>
          <w14:textFill>
            <w14:solidFill>
              <w14:schemeClr w14:val="tx1"/>
            </w14:solidFill>
          </w14:textFill>
        </w:rPr>
        <w:t>填写</w:t>
      </w:r>
      <w:r>
        <w:rPr>
          <w:rFonts w:hint="eastAsia" w:ascii="宋体" w:hAnsi="宋体" w:cs="宋体"/>
          <w:color w:val="000000" w:themeColor="text1"/>
          <w:kern w:val="0"/>
          <w:sz w:val="24"/>
          <w:szCs w:val="24"/>
          <w14:textFill>
            <w14:solidFill>
              <w14:schemeClr w14:val="tx1"/>
            </w14:solidFill>
          </w14:textFill>
        </w:rPr>
        <w:t xml:space="preserve">磋商文件中提供的《竞争性磋商函》、《竞争性磋商报价一览表》、《竞争性磋商报价明细表》等磋商文件中规定的所有内容。 </w:t>
      </w:r>
    </w:p>
    <w:p w14:paraId="0A19A91D">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 xml:space="preserve">3.3.8供应商必须保证响应文件所提供的全部资料真实可靠，并接受采购单位对其中任何资料进一步核实的要求。 </w:t>
      </w:r>
    </w:p>
    <w:p w14:paraId="21CE216A">
      <w:pPr>
        <w:pStyle w:val="82"/>
        <w:wordWrap w:val="0"/>
        <w:spacing w:line="500" w:lineRule="atLeast"/>
        <w:ind w:firstLine="484" w:firstLineChars="201"/>
        <w:contextualSpacing/>
        <w:jc w:val="left"/>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3.4. 磋商报价要求</w:t>
      </w:r>
    </w:p>
    <w:p w14:paraId="6B08EBC3">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3.4.1供应商所提供的货物和服务均以人民币报价。</w:t>
      </w:r>
    </w:p>
    <w:p w14:paraId="79E2AA25">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3.4.2供应商应按照“第三章 采购需求”规定的货物、服务内容、责任范围以及合同条款进行报价。并按《竞争性磋商报价一览表》和《竞争性磋商报价明细表》确定的格式报出分项价格和总价。磋商报价应为优惠后的报价，任何报价上的优惠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14:paraId="14F11162">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3.4.3《竞争性磋商报价明细表》填写时应响应下列要求：</w:t>
      </w:r>
    </w:p>
    <w:p w14:paraId="17448605">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（1）对于报价免费的项目应标明“免费”；</w:t>
      </w:r>
    </w:p>
    <w:p w14:paraId="426F06CC">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（2）所有根据合同或其它原因应由供应商支付的税款和其它应交纳的费用都要包括在供应商提交的磋商总价中；</w:t>
      </w:r>
    </w:p>
    <w:p w14:paraId="6DA6D98F">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（3）应包含货物运至最终目的地的运输、保险和伴随货物服务的有关费用。</w:t>
      </w:r>
    </w:p>
    <w:p w14:paraId="2BC248E0">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3.4.5每一种规格的货物、服务只允许有一个报价，否则将被视为无效投标。</w:t>
      </w:r>
    </w:p>
    <w:p w14:paraId="1AA60AF2">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3.4.6供应商所报的总价在合同执行过程中是固定不变的，不得以任何理由予以变更。</w:t>
      </w:r>
    </w:p>
    <w:p w14:paraId="136A7A78">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3.4.7供应商的最后磋商报价超过项目采购预算的为无效报价。</w:t>
      </w:r>
    </w:p>
    <w:p w14:paraId="09ED2F28">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3.5备选方案（不允许）</w:t>
      </w:r>
    </w:p>
    <w:p w14:paraId="62956E25">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3.5.1供应商应按照供应商须知前附表要求编制磋商备选方案，否则将被视为无效响应文件。</w:t>
      </w:r>
    </w:p>
    <w:p w14:paraId="08464E8B">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3.6联合体投标（不接受联合体）</w:t>
      </w:r>
    </w:p>
    <w:p w14:paraId="3147C892">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3.6.1两个以上供应商可以组成一个联合体，以一个供应商的身份共同参与磋商。</w:t>
      </w:r>
    </w:p>
    <w:p w14:paraId="7348CD82">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3.6.2采取联合体形式磋商的，联合体各方均应当符合政府采购法第二十二条规定的条件。采购人根据采购项目的特殊要求规定供应商特定条件的，联合体各方中至少有一方符合磋商文件规定的特定条件。</w:t>
      </w:r>
    </w:p>
    <w:p w14:paraId="2001CAA6">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3.6.3联合体各方之间必须签订联合磋商协议，明确约定联合体主体及各方承担的工作和相应的责任，其响应文件中必须提供联合磋商协议。</w:t>
      </w:r>
    </w:p>
    <w:p w14:paraId="5D27D4DF">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3.6.4以联合体形式参加政府采购活动的，联合体各方不得再单独参加或者与其他供应商另外组成联合体参加同一合同项下的政府采购活动。</w:t>
      </w:r>
    </w:p>
    <w:p w14:paraId="5D85876C">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3.6.5采取联合体形式投标的，其响应文件必须由联合体所有成员或其各自正式书面授权的代表签署（盖章），以便对所有成员作为整体及作为个体均具有法律约束力。</w:t>
      </w:r>
    </w:p>
    <w:p w14:paraId="39F37527">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3.6.6联合体成交的，联合体各方应当共同与采购人签订采购合同。</w:t>
      </w:r>
    </w:p>
    <w:p w14:paraId="286A8DC9">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3.6.7联合体中有同类资质的供应商按照联合体分工承担相同工作的，应当按照资质等级较低的供应商确定资质等级。</w:t>
      </w:r>
    </w:p>
    <w:p w14:paraId="49050D1E">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3.7. 供应商资格证明文件</w:t>
      </w:r>
    </w:p>
    <w:p w14:paraId="32E8556D">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3.7.1供应商应提交证明其有资格参加磋商和成交后有能力履行合同的文件，并作为其响应文件的一部分。</w:t>
      </w:r>
    </w:p>
    <w:p w14:paraId="19C9ECF3">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3.7.2资格证明文件必须真实可靠、不得伪造。</w:t>
      </w:r>
    </w:p>
    <w:p w14:paraId="6E40286F">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3.7.3供应商相关资格证明文件：</w:t>
      </w:r>
    </w:p>
    <w:p w14:paraId="7A0A1BF3">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（1）法人或者其他组织的营业执照等证明文件，自然人的身份证明；</w:t>
      </w:r>
    </w:p>
    <w:p w14:paraId="09307FBC">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（2）财务状况报告，依法缴纳税收和社会保障资金的相关材料；</w:t>
      </w:r>
    </w:p>
    <w:p w14:paraId="5AAA0D0C">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（3）具备履行合同所必需的设备和专业技术能力的证明材料；</w:t>
      </w:r>
    </w:p>
    <w:p w14:paraId="5707BBF9">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（4）参加政府采购活动前3年内在经营活动中没有重大违法记录的书面声明；</w:t>
      </w:r>
    </w:p>
    <w:p w14:paraId="66E94597">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（5）具备法律、行政法规规定的其他条件的证明材料；</w:t>
      </w:r>
    </w:p>
    <w:p w14:paraId="6BE5BB3F">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（6）采购项目有特殊要求的，供应商还应当提供其符合特殊要求的证明材料或者情况说明；</w:t>
      </w:r>
    </w:p>
    <w:p w14:paraId="556C4842">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（7）信用信息查询记录；</w:t>
      </w:r>
    </w:p>
    <w:p w14:paraId="65E0D5F7">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（8）磋商文件要求或供应商认为需提供的其它相关资格证明材料。</w:t>
      </w:r>
    </w:p>
    <w:p w14:paraId="75BCDBC2">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3.7.4 证明投标货物、服务的合格性和符合磋商文件规定的文件。</w:t>
      </w:r>
    </w:p>
    <w:p w14:paraId="18C92362">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采取资格预审方式项目的投标人在递交投标文件时，其资格条件与资格预审时发生变化的，提交变化后的资料。</w:t>
      </w:r>
    </w:p>
    <w:p w14:paraId="4C0E5401">
      <w:pPr>
        <w:pStyle w:val="82"/>
        <w:wordWrap w:val="0"/>
        <w:spacing w:line="500" w:lineRule="atLeast"/>
        <w:ind w:firstLine="484" w:firstLineChars="201"/>
        <w:contextualSpacing/>
        <w:jc w:val="left"/>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3.8. 磋商保证金</w:t>
      </w:r>
    </w:p>
    <w:p w14:paraId="26356629">
      <w:pPr>
        <w:pStyle w:val="129"/>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3.8.1</w:t>
      </w:r>
      <w:r>
        <w:rPr>
          <w:rFonts w:hint="eastAsia" w:ascii="宋体" w:hAnsi="宋体" w:cs="宋体"/>
          <w:color w:val="000000" w:themeColor="text1"/>
          <w:kern w:val="0"/>
          <w:sz w:val="24"/>
          <w:szCs w:val="24"/>
          <w14:textFill>
            <w14:solidFill>
              <w14:schemeClr w14:val="tx1"/>
            </w14:solidFill>
          </w14:textFill>
        </w:rPr>
        <w:t>供应商</w:t>
      </w:r>
      <w:r>
        <w:rPr>
          <w:rFonts w:hint="eastAsia" w:ascii="宋体" w:hAnsi="宋体" w:cs="宋体"/>
          <w:color w:val="000000" w:themeColor="text1"/>
          <w:sz w:val="24"/>
          <w:szCs w:val="24"/>
          <w14:textFill>
            <w14:solidFill>
              <w14:schemeClr w14:val="tx1"/>
            </w14:solidFill>
          </w14:textFill>
        </w:rPr>
        <w:t>应在响应文件截止时间之前，通过企业基本账户，将所规定数额的保证金以转账或电汇方式缴纳至该项目所</w:t>
      </w:r>
      <w:r>
        <w:rPr>
          <w:rFonts w:hint="eastAsia" w:ascii="宋体" w:hAnsi="宋体" w:cs="宋体"/>
          <w:color w:val="000000" w:themeColor="text1"/>
          <w:kern w:val="0"/>
          <w:sz w:val="24"/>
          <w:szCs w:val="24"/>
          <w14:textFill>
            <w14:solidFill>
              <w14:schemeClr w14:val="tx1"/>
            </w14:solidFill>
          </w14:textFill>
        </w:rPr>
        <w:t>对应的保证金收取账号内（不接受现金缴纳）。保证金缴纳时间以该项目所对应的保证金收取账号中显示的到账时间为准。</w:t>
      </w:r>
    </w:p>
    <w:p w14:paraId="36970FAE">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3.8.2对于未能按要求提交保证金的将视为未响应磋商文件的要求，其响应文件无效。</w:t>
      </w:r>
    </w:p>
    <w:p w14:paraId="0D163FE4">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3.8.3未成交的供应商，其保证金在成交公告发布后 5个工作日内，按照磋商保证金的来款渠道原路退还至供应商缴纳保证金的企业银行账户内；如有质疑或投诉，政府采购代理机构将在质疑和投诉处理完毕后5个工作日内，按照保证金的来款渠道原路退还至供应商缴纳保证金的企业银行账户内。</w:t>
      </w:r>
    </w:p>
    <w:p w14:paraId="2AED223E">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3.8.4成交供应商的磋商保证金,在供应商与采购人签订合同，并将合同原件报采购代理机构后5个工作日内，按照保证金的来款渠道原路退还至供应商缴纳保证金的企业银行账户内。</w:t>
      </w:r>
    </w:p>
    <w:p w14:paraId="7B865210">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3.8.5有下列情形之一的，保证金将被没收：</w:t>
      </w:r>
    </w:p>
    <w:p w14:paraId="6B63CCFE">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（1）供应商在响应文件中提供虚假资料的；</w:t>
      </w:r>
    </w:p>
    <w:p w14:paraId="1ABFE70B">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（2）除因不可抗力或磋商文件认可的情形以外，成交供应商不与采购人签订合同的；</w:t>
      </w:r>
    </w:p>
    <w:p w14:paraId="2B7FDF40">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（3）供应商与采购人、其他供应商或者采购代理机构恶意串通的；</w:t>
      </w:r>
    </w:p>
    <w:p w14:paraId="47CC7F19">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（4）磋商文件规定的其他情形。</w:t>
      </w:r>
    </w:p>
    <w:p w14:paraId="1D04C000">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3.8.6如开标时投标人对本单位投标保证金缴纳情况有疑义，投标人应在开标结束前向招标人提交书面申请核实保证金缴纳情况。由银行或保险公司核实后出具书面材料予以答复。</w:t>
      </w:r>
    </w:p>
    <w:p w14:paraId="726E9E3E">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3.8.7开标结束后，转账、电汇、网银形式缴纳的保证金由采购代理或采购人统一办理中标人和未中标人的保证金退还事宜。如本项目招标中遇质疑，投诉，复议等特殊情况，保证金退还时间按相关规定执行。</w:t>
      </w:r>
    </w:p>
    <w:p w14:paraId="4EB30B4B">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3.9. 磋商的有效期</w:t>
      </w:r>
    </w:p>
    <w:p w14:paraId="3E5A194F">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3.9.1磋商有效期详见供应商须知前附表。供应商响应文件中有效期不足的将被视为无效文件。</w:t>
      </w:r>
    </w:p>
    <w:p w14:paraId="1DA2DEA0">
      <w:pPr>
        <w:pStyle w:val="129"/>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3.9.2 有效期内供应商未经采购结果确认谈判达成一致不得改变其磋商最后报价及承诺的全部义务。</w:t>
      </w:r>
    </w:p>
    <w:p w14:paraId="42D2758A">
      <w:pPr>
        <w:pStyle w:val="104"/>
        <w:keepNext/>
        <w:keepLines/>
        <w:wordWrap w:val="0"/>
        <w:adjustRightInd w:val="0"/>
        <w:snapToGrid w:val="0"/>
        <w:spacing w:line="500" w:lineRule="atLeast"/>
        <w:contextualSpacing/>
        <w:jc w:val="center"/>
        <w:outlineLvl w:val="1"/>
        <w:rPr>
          <w:rFonts w:ascii="宋体" w:hAnsi="宋体" w:cs="宋体"/>
          <w:b/>
          <w:color w:val="000000" w:themeColor="text1"/>
          <w:sz w:val="24"/>
          <w:szCs w:val="24"/>
          <w14:textFill>
            <w14:solidFill>
              <w14:schemeClr w14:val="tx1"/>
            </w14:solidFill>
          </w14:textFill>
        </w:rPr>
      </w:pPr>
      <w:bookmarkStart w:id="35" w:name="_Toc256000006"/>
      <w:r>
        <w:rPr>
          <w:rFonts w:hint="eastAsia" w:ascii="宋体" w:hAnsi="宋体" w:cs="宋体"/>
          <w:b/>
          <w:color w:val="000000" w:themeColor="text1"/>
          <w:sz w:val="24"/>
          <w:szCs w:val="24"/>
          <w14:textFill>
            <w14:solidFill>
              <w14:schemeClr w14:val="tx1"/>
            </w14:solidFill>
          </w14:textFill>
        </w:rPr>
        <w:t>四、响应文件的递交</w:t>
      </w:r>
      <w:bookmarkEnd w:id="31"/>
      <w:bookmarkEnd w:id="32"/>
      <w:bookmarkEnd w:id="33"/>
      <w:bookmarkEnd w:id="34"/>
      <w:bookmarkEnd w:id="35"/>
    </w:p>
    <w:p w14:paraId="1FB8357B">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4.1 响应文件的密封和标记</w:t>
      </w:r>
    </w:p>
    <w:p w14:paraId="25582736">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4.1.1响应文件的密封和标记。电子响应文件的内容通过数字证书进行加密并签章。未按要求加密和数字证书认证的响应文件，电子评标系统将无法接受,采购代理机构不予受理。</w:t>
      </w:r>
    </w:p>
    <w:p w14:paraId="3C0E2931">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4.1.2是否采用不见面开标方式详见投标人须知前附表，若本项目采用不见面开标，开标后2日内将纸质版投标文件（2份）及不加密电子版投标书3份（3个U盘）交于招标代理公司，纸质版投标文件内容须与电子版投标文件一致。</w:t>
      </w:r>
    </w:p>
    <w:p w14:paraId="6AADBE84">
      <w:pPr>
        <w:pStyle w:val="104"/>
        <w:wordWrap w:val="0"/>
        <w:spacing w:line="500" w:lineRule="atLeast"/>
        <w:ind w:firstLine="484" w:firstLineChars="201"/>
        <w:contextualSpacing/>
        <w:jc w:val="left"/>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4.2响应文件的递交</w:t>
      </w:r>
    </w:p>
    <w:p w14:paraId="4FD03099">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4.2.1供应商应在磋商文件规定的响应文件递交截止时间前将电子响应文件上传到</w:t>
      </w:r>
      <w:r>
        <w:rPr>
          <w:rFonts w:hint="eastAsia" w:ascii="宋体" w:hAnsi="宋体" w:cs="宋体"/>
          <w:color w:val="000000" w:themeColor="text1"/>
          <w:sz w:val="24"/>
          <w:szCs w:val="24"/>
          <w14:textFill>
            <w14:solidFill>
              <w14:schemeClr w14:val="tx1"/>
            </w14:solidFill>
          </w14:textFill>
        </w:rPr>
        <w:t>新疆政府采购网（http://www.ccgp-xinjiang.gov.cn）</w:t>
      </w:r>
      <w:r>
        <w:rPr>
          <w:rFonts w:hint="eastAsia" w:ascii="宋体" w:hAnsi="宋体" w:cs="宋体"/>
          <w:color w:val="000000" w:themeColor="text1"/>
          <w:kern w:val="0"/>
          <w:sz w:val="24"/>
          <w:szCs w:val="24"/>
          <w14:textFill>
            <w14:solidFill>
              <w14:schemeClr w14:val="tx1"/>
            </w14:solidFill>
          </w14:textFill>
        </w:rPr>
        <w:t>的指定栏目。未在响应文件递交截止时间前完成上传的电子响应文件视为逾期送达。逾期上传或未按规定方式上传的电子响应文件，采购代理机构不予受理。</w:t>
      </w:r>
    </w:p>
    <w:p w14:paraId="512D42B5">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4.2.2是否采用不见面开标详见供应商须知前附表，若项目采用不见面开标。只需将电子投标文件在投标截止时间前通过</w:t>
      </w:r>
      <w:r>
        <w:rPr>
          <w:rFonts w:hint="eastAsia" w:ascii="宋体" w:hAnsi="宋体" w:cs="宋体"/>
          <w:color w:val="000000" w:themeColor="text1"/>
          <w:sz w:val="24"/>
          <w:szCs w:val="24"/>
          <w14:textFill>
            <w14:solidFill>
              <w14:schemeClr w14:val="tx1"/>
            </w14:solidFill>
          </w14:textFill>
        </w:rPr>
        <w:t>新疆政府采购网（http://www.ccgp-xinjiang.gov.cn）</w:t>
      </w:r>
      <w:r>
        <w:rPr>
          <w:rFonts w:hint="eastAsia" w:ascii="宋体" w:hAnsi="宋体" w:cs="宋体"/>
          <w:color w:val="000000" w:themeColor="text1"/>
          <w:kern w:val="0"/>
          <w:sz w:val="24"/>
          <w:szCs w:val="24"/>
          <w14:textFill>
            <w14:solidFill>
              <w14:schemeClr w14:val="tx1"/>
            </w14:solidFill>
          </w14:textFill>
        </w:rPr>
        <w:t>加密上传完成。逾期上传的或者未上传到平台的投标文件，采购人不予受理。</w:t>
      </w:r>
    </w:p>
    <w:p w14:paraId="5329003D">
      <w:pPr>
        <w:pStyle w:val="104"/>
        <w:wordWrap w:val="0"/>
        <w:spacing w:line="500" w:lineRule="atLeast"/>
        <w:ind w:firstLine="484" w:firstLineChars="201"/>
        <w:contextualSpacing/>
        <w:jc w:val="left"/>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4.3迟交的响应文件</w:t>
      </w:r>
    </w:p>
    <w:p w14:paraId="76EE4E28">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4.3</w:t>
      </w:r>
      <w:r>
        <w:rPr>
          <w:rFonts w:hint="eastAsia" w:ascii="宋体" w:hAnsi="宋体" w:cs="宋体"/>
          <w:color w:val="000000" w:themeColor="text1"/>
          <w:sz w:val="24"/>
          <w:szCs w:val="24"/>
          <w14:textFill>
            <w14:solidFill>
              <w14:schemeClr w14:val="tx1"/>
            </w14:solidFill>
          </w14:textFill>
        </w:rPr>
        <w:t>.1采购代理机构</w:t>
      </w:r>
      <w:r>
        <w:rPr>
          <w:rFonts w:hint="eastAsia" w:ascii="宋体" w:hAnsi="宋体" w:cs="宋体"/>
          <w:color w:val="000000" w:themeColor="text1"/>
          <w:kern w:val="0"/>
          <w:sz w:val="24"/>
          <w:szCs w:val="24"/>
          <w14:textFill>
            <w14:solidFill>
              <w14:schemeClr w14:val="tx1"/>
            </w14:solidFill>
          </w14:textFill>
        </w:rPr>
        <w:t>将拒绝并原封退回在规定的响应文件递交截止期后送达的任何响应文件。由于对网上招标操作不熟悉或自身电脑、网络的原因导致不能在响应文件递交截止时间之前上传响应文件，</w:t>
      </w:r>
      <w:r>
        <w:rPr>
          <w:rFonts w:hint="eastAsia" w:ascii="宋体" w:hAnsi="宋体" w:cs="宋体"/>
          <w:color w:val="000000" w:themeColor="text1"/>
          <w:sz w:val="24"/>
          <w:szCs w:val="24"/>
          <w14:textFill>
            <w14:solidFill>
              <w14:schemeClr w14:val="tx1"/>
            </w14:solidFill>
          </w14:textFill>
        </w:rPr>
        <w:t>采购代理机构</w:t>
      </w:r>
      <w:r>
        <w:rPr>
          <w:rFonts w:hint="eastAsia" w:ascii="宋体" w:hAnsi="宋体" w:cs="宋体"/>
          <w:color w:val="000000" w:themeColor="text1"/>
          <w:kern w:val="0"/>
          <w:sz w:val="24"/>
          <w:szCs w:val="24"/>
          <w14:textFill>
            <w14:solidFill>
              <w14:schemeClr w14:val="tx1"/>
            </w14:solidFill>
          </w14:textFill>
        </w:rPr>
        <w:t>不负任何责任。建议于开标前1个工作日完成响应文件的制作与上传。</w:t>
      </w:r>
    </w:p>
    <w:p w14:paraId="0CF09C32">
      <w:pPr>
        <w:pStyle w:val="104"/>
        <w:wordWrap w:val="0"/>
        <w:spacing w:line="500" w:lineRule="atLeast"/>
        <w:ind w:firstLine="484" w:firstLineChars="201"/>
        <w:contextualSpacing/>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4.4响应文件的修改和撤回</w:t>
      </w:r>
    </w:p>
    <w:p w14:paraId="66A731EE">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4.4.1供应商在磋商文件规定的响应文件递交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486DEA46">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4.4.2供应商所提交的响应文件在评审结束后，无论中标与否都不退还。</w:t>
      </w:r>
    </w:p>
    <w:p w14:paraId="4B8EA48B">
      <w:pPr>
        <w:pStyle w:val="104"/>
        <w:keepNext/>
        <w:keepLines/>
        <w:wordWrap w:val="0"/>
        <w:adjustRightInd w:val="0"/>
        <w:snapToGrid w:val="0"/>
        <w:spacing w:line="500" w:lineRule="atLeast"/>
        <w:contextualSpacing/>
        <w:jc w:val="center"/>
        <w:outlineLvl w:val="1"/>
        <w:rPr>
          <w:rFonts w:ascii="宋体" w:hAnsi="宋体" w:cs="宋体"/>
          <w:b/>
          <w:color w:val="000000" w:themeColor="text1"/>
          <w:sz w:val="24"/>
          <w:szCs w:val="24"/>
          <w14:textFill>
            <w14:solidFill>
              <w14:schemeClr w14:val="tx1"/>
            </w14:solidFill>
          </w14:textFill>
        </w:rPr>
      </w:pPr>
      <w:bookmarkStart w:id="36" w:name="_Toc293736057"/>
      <w:bookmarkStart w:id="37" w:name="_Toc293736014"/>
      <w:bookmarkStart w:id="38" w:name="_Toc446599314"/>
      <w:bookmarkStart w:id="39" w:name="_Toc293738995"/>
      <w:bookmarkStart w:id="40" w:name="_Toc256000007"/>
      <w:bookmarkStart w:id="41" w:name="_Toc4087"/>
      <w:bookmarkStart w:id="42" w:name="_Toc9220"/>
      <w:r>
        <w:rPr>
          <w:rFonts w:hint="eastAsia" w:ascii="宋体" w:hAnsi="宋体" w:cs="宋体"/>
          <w:b/>
          <w:color w:val="000000" w:themeColor="text1"/>
          <w:sz w:val="24"/>
          <w:szCs w:val="24"/>
          <w14:textFill>
            <w14:solidFill>
              <w14:schemeClr w14:val="tx1"/>
            </w14:solidFill>
          </w14:textFill>
        </w:rPr>
        <w:t>五、</w:t>
      </w:r>
      <w:bookmarkEnd w:id="36"/>
      <w:bookmarkEnd w:id="37"/>
      <w:bookmarkEnd w:id="38"/>
      <w:bookmarkEnd w:id="39"/>
      <w:r>
        <w:rPr>
          <w:rFonts w:hint="eastAsia" w:ascii="宋体" w:hAnsi="宋体" w:cs="宋体"/>
          <w:b/>
          <w:color w:val="000000" w:themeColor="text1"/>
          <w:sz w:val="24"/>
          <w:szCs w:val="24"/>
          <w14:textFill>
            <w14:solidFill>
              <w14:schemeClr w14:val="tx1"/>
            </w14:solidFill>
          </w14:textFill>
        </w:rPr>
        <w:t>竞争性磋商程序</w:t>
      </w:r>
      <w:bookmarkEnd w:id="40"/>
      <w:bookmarkEnd w:id="41"/>
      <w:bookmarkEnd w:id="42"/>
    </w:p>
    <w:p w14:paraId="1D5C2486">
      <w:pPr>
        <w:pStyle w:val="104"/>
        <w:widowControl/>
        <w:wordWrap w:val="0"/>
        <w:spacing w:line="500" w:lineRule="atLeast"/>
        <w:ind w:firstLine="482" w:firstLineChars="200"/>
        <w:textAlignment w:val="baseline"/>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5</w:t>
      </w:r>
      <w:r>
        <w:rPr>
          <w:rFonts w:hint="eastAsia" w:ascii="宋体" w:hAnsi="宋体" w:cs="宋体"/>
          <w:b/>
          <w:color w:val="000000" w:themeColor="text1"/>
          <w:kern w:val="0"/>
          <w:sz w:val="24"/>
          <w:szCs w:val="24"/>
          <w14:textFill>
            <w14:solidFill>
              <w14:schemeClr w14:val="tx1"/>
            </w14:solidFill>
          </w14:textFill>
        </w:rPr>
        <w:t>.</w:t>
      </w:r>
      <w:r>
        <w:rPr>
          <w:rFonts w:hint="eastAsia" w:ascii="宋体" w:hAnsi="宋体" w:cs="宋体"/>
          <w:b/>
          <w:color w:val="000000" w:themeColor="text1"/>
          <w:sz w:val="24"/>
          <w:szCs w:val="24"/>
          <w14:textFill>
            <w14:solidFill>
              <w14:schemeClr w14:val="tx1"/>
            </w14:solidFill>
          </w14:textFill>
        </w:rPr>
        <w:t>1磋商小组的组成</w:t>
      </w:r>
    </w:p>
    <w:p w14:paraId="5995FF72">
      <w:pPr>
        <w:pStyle w:val="104"/>
        <w:wordWrap w:val="0"/>
        <w:spacing w:line="500" w:lineRule="atLeast"/>
        <w:ind w:firstLine="480" w:firstLineChars="200"/>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5.1.1评审由采购单位依法组建的磋商小组负责。磋商小组由采购人代表和有关技术、经济等方面的专家组成。全面负责对响应文件的审查、评审、磋商、打分等全部评审工作。磋商小组人数以及技术、经济方面的专家组成见</w:t>
      </w:r>
      <w:r>
        <w:fldChar w:fldCharType="begin"/>
      </w:r>
      <w:r>
        <w:instrText xml:space="preserve"> HYPERLINK "file:///C:\\Users\\zww\\Documents\\WeChat%20Files\\wxid_6509915098812\\WordForm\\e944b4b1-01b6-4e42-b170-f783fcf7903a.doc" \l "_评标委员会" </w:instrText>
      </w:r>
      <w:r>
        <w:fldChar w:fldCharType="separate"/>
      </w:r>
      <w:r>
        <w:rPr>
          <w:rFonts w:hint="eastAsia" w:ascii="宋体" w:hAnsi="宋体" w:cs="宋体"/>
          <w:color w:val="000000" w:themeColor="text1"/>
          <w:kern w:val="0"/>
          <w:sz w:val="24"/>
          <w:szCs w:val="24"/>
          <w14:textFill>
            <w14:solidFill>
              <w14:schemeClr w14:val="tx1"/>
            </w14:solidFill>
          </w14:textFill>
        </w:rPr>
        <w:t>供应商须知前附表</w:t>
      </w:r>
      <w:r>
        <w:rPr>
          <w:rFonts w:hint="eastAsia" w:ascii="宋体" w:hAnsi="宋体" w:cs="宋体"/>
          <w:color w:val="000000" w:themeColor="text1"/>
          <w:kern w:val="0"/>
          <w:sz w:val="24"/>
          <w:szCs w:val="24"/>
          <w14:textFill>
            <w14:solidFill>
              <w14:schemeClr w14:val="tx1"/>
            </w14:solidFill>
          </w14:textFill>
        </w:rPr>
        <w:fldChar w:fldCharType="end"/>
      </w:r>
      <w:r>
        <w:rPr>
          <w:rFonts w:hint="eastAsia" w:ascii="宋体" w:hAnsi="宋体" w:cs="宋体"/>
          <w:color w:val="000000" w:themeColor="text1"/>
          <w:kern w:val="0"/>
          <w:sz w:val="24"/>
          <w:szCs w:val="24"/>
          <w14:textFill>
            <w14:solidFill>
              <w14:schemeClr w14:val="tx1"/>
            </w14:solidFill>
          </w14:textFill>
        </w:rPr>
        <w:t>。</w:t>
      </w:r>
    </w:p>
    <w:p w14:paraId="27C003FD">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5.2磋商方法</w:t>
      </w:r>
    </w:p>
    <w:p w14:paraId="7A85CEE7">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5.2.1磋商小组将按照磋商文件确定的评审方法进行评审。磋商小组对响应文件的评审分为响应文件初审、澄清有关问题、比较与评价响应文件、推荐中标候选人名单。</w:t>
      </w:r>
    </w:p>
    <w:p w14:paraId="3632094D">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5.2.1项目评审方法详见磋商文件“第四章 评审方法。</w:t>
      </w:r>
    </w:p>
    <w:p w14:paraId="29E1AE72">
      <w:pPr>
        <w:pStyle w:val="104"/>
        <w:wordWrap w:val="0"/>
        <w:spacing w:line="500" w:lineRule="atLeast"/>
        <w:rPr>
          <w:rFonts w:ascii="宋体" w:hAnsi="宋体" w:cs="宋体"/>
          <w:b/>
          <w:color w:val="000000" w:themeColor="text1"/>
          <w:sz w:val="24"/>
          <w:szCs w:val="24"/>
          <w:highlight w:val="white"/>
          <w14:textFill>
            <w14:solidFill>
              <w14:schemeClr w14:val="tx1"/>
            </w14:solidFill>
          </w14:textFill>
        </w:rPr>
      </w:pPr>
      <w:r>
        <w:rPr>
          <w:rFonts w:hint="eastAsia" w:ascii="宋体" w:hAnsi="宋体" w:cs="宋体"/>
          <w:b/>
          <w:color w:val="000000" w:themeColor="text1"/>
          <w:sz w:val="24"/>
          <w:szCs w:val="24"/>
          <w:highlight w:val="white"/>
          <w14:textFill>
            <w14:solidFill>
              <w14:schemeClr w14:val="tx1"/>
            </w14:solidFill>
          </w14:textFill>
        </w:rPr>
        <w:t>A．采用见面开标方式</w:t>
      </w:r>
    </w:p>
    <w:p w14:paraId="08F7C62A">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5.3响应文件的初审</w:t>
      </w:r>
    </w:p>
    <w:p w14:paraId="2D07015D">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初审分为资格性检查和符合性检查。</w:t>
      </w:r>
    </w:p>
    <w:p w14:paraId="1E46E905">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5.3.1资格性检查</w:t>
      </w:r>
    </w:p>
    <w:p w14:paraId="1F382441">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（1）磋商小组根据评审办法前附表规定的评审因素和评审标准，对供应商的响应文件进行资格评审。资格性检查不合格的供应商的响应文件作无效文件处理。</w:t>
      </w:r>
    </w:p>
    <w:p w14:paraId="4E562331">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（2）磋商小组在进行资格检查时，不得改变磋商文件中已载明的资格条件、标准和办法。资格性检查不合格的供应商的响应文件作无效文件处理。</w:t>
      </w:r>
    </w:p>
    <w:p w14:paraId="40140A65">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（3）供应商在递交响应文件的同时，应逐项对照上述资格性检查要求提交相应的原件和资格证明文件供磋商小组核查，否则评委将不予采信。</w:t>
      </w:r>
    </w:p>
    <w:p w14:paraId="7B40FDFC">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（4）磋商小组在评审中必要时可按供应商提供的联系方式就有关问题进行查询核实，或要求供应商做出书面澄清，查询及澄清结果将作为审查的依据。</w:t>
      </w:r>
    </w:p>
    <w:p w14:paraId="757F1C89">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（5）通过全部资格性检查条件合格的供应商才能通过资格检查，其响应文件方可进入下一个检查阶段。</w:t>
      </w:r>
    </w:p>
    <w:p w14:paraId="07EE8315">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5.3.2符合性检查</w:t>
      </w:r>
    </w:p>
    <w:p w14:paraId="2881C230">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磋商小组根据评审办法前附表规定的评审因素和评审标准，对供应商的响应文件进行符合性检查。符合性检查不合格的供应商的响应文件作无效文件处理。</w:t>
      </w:r>
    </w:p>
    <w:p w14:paraId="27DB04EF">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 xml:space="preserve">5.4违法违规行为 </w:t>
      </w:r>
    </w:p>
    <w:p w14:paraId="198BCB2E">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5.4.1在评审过程中，磋商小组发现供应商有下列情形之一的，作无效文件处理：</w:t>
      </w:r>
    </w:p>
    <w:p w14:paraId="3881E569">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（1）属于同一集团、协会、商会等组织成员的供应商按照该组织要求协同投标；</w:t>
      </w:r>
    </w:p>
    <w:p w14:paraId="46C208BC">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（2）不同供应商的响应文件由同一单位或者个人编制；</w:t>
      </w:r>
    </w:p>
    <w:p w14:paraId="6846707F">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（3）不同供应商委托同一单位或者个人办理投标事宜；</w:t>
      </w:r>
    </w:p>
    <w:p w14:paraId="53D97EB6">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（4）不同供应商的响应文件载明的项目管理成员为同一人；</w:t>
      </w:r>
    </w:p>
    <w:p w14:paraId="71EEBBCC">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（5）不同供应商的响应文件异常一致或者投标报价呈规律性差异；</w:t>
      </w:r>
    </w:p>
    <w:p w14:paraId="0395C155">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（6）不同供应商的响应文件相互混装；</w:t>
      </w:r>
    </w:p>
    <w:p w14:paraId="0DD03C6B">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（7）不同供应商的投标保证金从同一单位或者个人的账户转出；</w:t>
      </w:r>
    </w:p>
    <w:p w14:paraId="16BBC77E">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（8）使用伪造、变造的行政许可证件；</w:t>
      </w:r>
    </w:p>
    <w:p w14:paraId="5D813347">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（9）提供虚假的财务状况或者业绩；</w:t>
      </w:r>
    </w:p>
    <w:p w14:paraId="0D46DA1E">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（10）提供虚假的项目负责人或者主要技术人员简历、劳动关系证明；</w:t>
      </w:r>
    </w:p>
    <w:p w14:paraId="0BF72A56">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（11）提供虚假的信用状况；</w:t>
      </w:r>
    </w:p>
    <w:p w14:paraId="318CEBB6">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（12）其他弄虚作假的行为。</w:t>
      </w:r>
    </w:p>
    <w:p w14:paraId="34EBB0CD">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5.5 磋商小组审查响应文件是否完整、有无计算上的错误等。</w:t>
      </w:r>
    </w:p>
    <w:p w14:paraId="02DCA088">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5.5.1 响应文件的修正及澄清</w:t>
      </w:r>
    </w:p>
    <w:p w14:paraId="1ED33B8D">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（1）磋商小组对确定为实质上响应磋商文件要求的响应文件进行校核，看其是否有计算或表达上的错误，算术错误将按以下方法更正：</w:t>
      </w:r>
    </w:p>
    <w:p w14:paraId="7253BA87">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2）响应文件中开标一览表（报价表）内容与响应文件中相应内容不一致的，以开标一览表（报价表）为准；响应文件的大写金额和小写金额不一致的，以大写金额为准；总价金额与单价汇总金额不一致的，以单价汇总金额计算结果为准；单价金额小数点有明显错位的，应以总价为准，并修改单价。提交最终报价时，如果供应商不接受对其错误的更正，其响应文件将被视为无效文件。</w:t>
      </w:r>
    </w:p>
    <w:p w14:paraId="7E6E6B82">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5.5.2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14:paraId="6C8C4A53">
      <w:pPr>
        <w:pStyle w:val="104"/>
        <w:wordWrap w:val="0"/>
        <w:spacing w:line="500" w:lineRule="atLeast"/>
        <w:ind w:firstLine="484" w:firstLineChars="202"/>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5.5.3实质上没有响应磋商文件要求的响应文件将被视为无效文件。供应商不得通过修正或撤销不合要求的偏离从而使其成为实质上响应的文件。</w:t>
      </w:r>
    </w:p>
    <w:p w14:paraId="7B440E09">
      <w:pPr>
        <w:pStyle w:val="104"/>
        <w:wordWrap w:val="0"/>
        <w:spacing w:line="500" w:lineRule="atLeast"/>
        <w:ind w:firstLine="482" w:firstLineChars="201"/>
        <w:contextualSpacing/>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5.5.4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磋商小组可要求供应商对其响应文件进行澄清，但不得寻求、提供或允许供应商对投标报价等实质性内容做任何更改。有关澄清的答复均应由供应商的法定代表人或授权代表以书面形式作出并签字。</w:t>
      </w:r>
    </w:p>
    <w:p w14:paraId="1857EEE7">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5.5.5供应商的澄清文件是其响应文件</w:t>
      </w:r>
      <w:r>
        <w:rPr>
          <w:rFonts w:hint="eastAsia" w:ascii="宋体" w:hAnsi="宋体" w:cs="宋体"/>
          <w:color w:val="000000" w:themeColor="text1"/>
          <w:sz w:val="24"/>
          <w:szCs w:val="24"/>
          <w14:textFill>
            <w14:solidFill>
              <w14:schemeClr w14:val="tx1"/>
            </w14:solidFill>
          </w14:textFill>
        </w:rPr>
        <w:t>的组成部分。</w:t>
      </w:r>
    </w:p>
    <w:p w14:paraId="49464534">
      <w:pPr>
        <w:pStyle w:val="104"/>
        <w:wordWrap w:val="0"/>
        <w:spacing w:line="500" w:lineRule="atLeast"/>
        <w:ind w:firstLine="484" w:firstLineChars="202"/>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5.6磋商</w:t>
      </w:r>
    </w:p>
    <w:p w14:paraId="2525297B">
      <w:pPr>
        <w:pStyle w:val="104"/>
        <w:wordWrap w:val="0"/>
        <w:spacing w:line="500" w:lineRule="atLeast"/>
        <w:ind w:firstLine="484" w:firstLineChars="202"/>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5.6.1磋商小组所有成员应当集中与单一供应商分别进行磋商，并给予所有参加磋商的供应商平等的磋商机会。</w:t>
      </w:r>
    </w:p>
    <w:p w14:paraId="08E3B032">
      <w:pPr>
        <w:pStyle w:val="104"/>
        <w:wordWrap w:val="0"/>
        <w:spacing w:line="500" w:lineRule="atLeast"/>
        <w:ind w:firstLine="484" w:firstLineChars="202"/>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5.6.2在磋商过程中，磋商小组可以根据磋商文件和磋商情况实质性变动采购需求中的技术、服务要求以及合同草案条款，但不得变动磋商文件中的其他内容。实质性变动的内容，须经采购人代表确认。</w:t>
      </w:r>
      <w:r>
        <w:rPr>
          <w:rFonts w:hint="eastAsia" w:ascii="宋体" w:hAnsi="宋体" w:cs="宋体"/>
          <w:color w:val="000000" w:themeColor="text1"/>
          <w:sz w:val="24"/>
          <w:szCs w:val="24"/>
          <w:highlight w:val="white"/>
          <w14:textFill>
            <w14:solidFill>
              <w14:schemeClr w14:val="tx1"/>
            </w14:solidFill>
          </w14:textFill>
        </w:rPr>
        <w:br w:type="textWrapping"/>
      </w:r>
      <w:r>
        <w:rPr>
          <w:rFonts w:hint="eastAsia" w:ascii="宋体" w:hAnsi="宋体" w:cs="宋体"/>
          <w:color w:val="000000" w:themeColor="text1"/>
          <w:sz w:val="24"/>
          <w:szCs w:val="24"/>
          <w:highlight w:val="white"/>
          <w14:textFill>
            <w14:solidFill>
              <w14:schemeClr w14:val="tx1"/>
            </w14:solidFill>
          </w14:textFill>
        </w:rPr>
        <w:t>　　5.6.3对磋商文件作出的实质性变动是磋商文件的有效组成部分，磋商小组应当及时以书面形式同时通知所有参加磋商的供应商。</w:t>
      </w:r>
      <w:r>
        <w:rPr>
          <w:rFonts w:hint="eastAsia" w:ascii="宋体" w:hAnsi="宋体" w:cs="宋体"/>
          <w:color w:val="000000" w:themeColor="text1"/>
          <w:sz w:val="24"/>
          <w:szCs w:val="24"/>
          <w:highlight w:val="white"/>
          <w14:textFill>
            <w14:solidFill>
              <w14:schemeClr w14:val="tx1"/>
            </w14:solidFill>
          </w14:textFill>
        </w:rPr>
        <w:br w:type="textWrapping"/>
      </w:r>
      <w:r>
        <w:rPr>
          <w:rFonts w:hint="eastAsia" w:ascii="宋体" w:hAnsi="宋体" w:cs="宋体"/>
          <w:color w:val="000000" w:themeColor="text1"/>
          <w:sz w:val="24"/>
          <w:szCs w:val="24"/>
          <w:highlight w:val="white"/>
          <w14:textFill>
            <w14:solidFill>
              <w14:schemeClr w14:val="tx1"/>
            </w14:solidFill>
          </w14:textFill>
        </w:rPr>
        <w:t>　　5.6.4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r>
        <w:rPr>
          <w:rFonts w:hint="eastAsia" w:ascii="宋体" w:hAnsi="宋体" w:cs="宋体"/>
          <w:color w:val="000000" w:themeColor="text1"/>
          <w:sz w:val="24"/>
          <w:szCs w:val="24"/>
          <w:highlight w:val="white"/>
          <w14:textFill>
            <w14:solidFill>
              <w14:schemeClr w14:val="tx1"/>
            </w14:solidFill>
          </w14:textFill>
        </w:rPr>
        <w:br w:type="textWrapping"/>
      </w:r>
      <w:r>
        <w:rPr>
          <w:rFonts w:hint="eastAsia" w:ascii="宋体" w:hAnsi="宋体" w:cs="宋体"/>
          <w:color w:val="000000" w:themeColor="text1"/>
          <w:sz w:val="24"/>
          <w:szCs w:val="24"/>
          <w:highlight w:val="white"/>
          <w14:textFill>
            <w14:solidFill>
              <w14:schemeClr w14:val="tx1"/>
            </w14:solidFill>
          </w14:textFill>
        </w:rPr>
        <w:t>　  5.6.5磋商文件能够详细列明采购标的的技术、服务要求的，磋商结束后，磋商小组应当要求所有实质性响应的供应商在规定时间内提交最后报价，提交最后报价的供应商不得少于</w:t>
      </w:r>
      <w:r>
        <w:rPr>
          <w:rFonts w:ascii="宋体" w:hAnsi="宋体" w:cs="宋体"/>
          <w:color w:val="000000" w:themeColor="text1"/>
          <w:sz w:val="24"/>
          <w:szCs w:val="24"/>
          <w:highlight w:val="white"/>
          <w14:textFill>
            <w14:solidFill>
              <w14:schemeClr w14:val="tx1"/>
            </w14:solidFill>
          </w14:textFill>
        </w:rPr>
        <w:t>3</w:t>
      </w:r>
      <w:r>
        <w:rPr>
          <w:rFonts w:hint="eastAsia" w:ascii="宋体" w:hAnsi="宋体" w:cs="宋体"/>
          <w:color w:val="000000" w:themeColor="text1"/>
          <w:sz w:val="24"/>
          <w:szCs w:val="24"/>
          <w:highlight w:val="white"/>
          <w14:textFill>
            <w14:solidFill>
              <w14:schemeClr w14:val="tx1"/>
            </w14:solidFill>
          </w14:textFill>
        </w:rPr>
        <w:t>家。</w:t>
      </w:r>
    </w:p>
    <w:p w14:paraId="7419E1EB">
      <w:pPr>
        <w:pStyle w:val="104"/>
        <w:wordWrap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5.5.6磋商文件不能详细列明采购标的的技术、服务要求，需经磋商由供应商提供最终设计方案或解决方案的，磋商结束后，磋商小组应当按照少数服从多数的原则投票推荐</w:t>
      </w:r>
      <w:r>
        <w:rPr>
          <w:rFonts w:ascii="宋体" w:hAnsi="宋体" w:cs="宋体"/>
          <w:color w:val="000000" w:themeColor="text1"/>
          <w:sz w:val="24"/>
          <w:szCs w:val="24"/>
          <w:highlight w:val="white"/>
          <w14:textFill>
            <w14:solidFill>
              <w14:schemeClr w14:val="tx1"/>
            </w14:solidFill>
          </w14:textFill>
        </w:rPr>
        <w:t>3</w:t>
      </w:r>
      <w:r>
        <w:rPr>
          <w:rFonts w:hint="eastAsia" w:ascii="宋体" w:hAnsi="宋体" w:cs="宋体"/>
          <w:color w:val="000000" w:themeColor="text1"/>
          <w:sz w:val="24"/>
          <w:szCs w:val="24"/>
          <w:highlight w:val="white"/>
          <w14:textFill>
            <w14:solidFill>
              <w14:schemeClr w14:val="tx1"/>
            </w14:solidFill>
          </w14:textFill>
        </w:rPr>
        <w:t>家以上供应商的设计方案或者解决方案，并要求其在规定时间内提交最后报价。</w:t>
      </w:r>
    </w:p>
    <w:p w14:paraId="50F7E93D">
      <w:pPr>
        <w:pStyle w:val="104"/>
        <w:wordWrap w:val="0"/>
        <w:spacing w:line="500" w:lineRule="atLeast"/>
        <w:ind w:firstLine="484" w:firstLineChars="202"/>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5.6.7已提交响应文件的供应商，在提交最后报价之前，可以根据磋商情况退出磋商。其磋商保证金将予以退还。</w:t>
      </w:r>
    </w:p>
    <w:p w14:paraId="0B971E0E">
      <w:pPr>
        <w:pStyle w:val="104"/>
        <w:widowControl/>
        <w:wordWrap w:val="0"/>
        <w:spacing w:line="500" w:lineRule="atLeast"/>
        <w:ind w:firstLine="480" w:firstLineChars="200"/>
        <w:textAlignment w:val="baseline"/>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5.6.8</w:t>
      </w:r>
      <w:r>
        <w:rPr>
          <w:rFonts w:hint="eastAsia" w:ascii="宋体" w:hAnsi="宋体" w:cs="宋体"/>
          <w:color w:val="000000" w:themeColor="text1"/>
          <w:sz w:val="24"/>
          <w:szCs w:val="24"/>
          <w14:textFill>
            <w14:solidFill>
              <w14:schemeClr w14:val="tx1"/>
            </w14:solidFill>
          </w14:textFill>
        </w:rPr>
        <w:t>最后报价是供应商响应文件的有效组成部分，提交最后报价的供应商可以为2家。</w:t>
      </w:r>
    </w:p>
    <w:p w14:paraId="131EBDB9">
      <w:pPr>
        <w:pStyle w:val="104"/>
        <w:wordWrap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5.6.9经磋商确定最终采购需求和提交最后报价的供应商后，由磋商小组采用综合评分法对提交最后报价的供应商的响应文件和最后报价进行综合评分。</w:t>
      </w:r>
    </w:p>
    <w:p w14:paraId="19604827">
      <w:pPr>
        <w:pStyle w:val="104"/>
        <w:wordWrap w:val="0"/>
        <w:spacing w:line="500" w:lineRule="atLeast"/>
        <w:rPr>
          <w:rFonts w:ascii="宋体" w:hAnsi="宋体" w:cs="宋体"/>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B．采用不见面开标方式</w:t>
      </w:r>
      <w:r>
        <w:rPr>
          <w:rFonts w:hint="eastAsia" w:ascii="宋体" w:hAnsi="宋体" w:cs="宋体"/>
          <w:color w:val="000000" w:themeColor="text1"/>
          <w:sz w:val="24"/>
          <w:szCs w:val="24"/>
          <w14:textFill>
            <w14:solidFill>
              <w14:schemeClr w14:val="tx1"/>
            </w14:solidFill>
          </w14:textFill>
        </w:rPr>
        <w:t>（是否采用详见供应商须知前附表）</w:t>
      </w:r>
    </w:p>
    <w:p w14:paraId="5F0F025C">
      <w:pPr>
        <w:pStyle w:val="104"/>
        <w:wordWrap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采购人在本章规定的投标截止时间（开标时间）和投标人须知前附表规定的地点开标。投标人的法定代表人或其委托代理人无需到达开标现场，仅需在任意地点通过</w:t>
      </w:r>
      <w:r>
        <w:rPr>
          <w:rFonts w:hint="eastAsia" w:ascii="宋体" w:hAnsi="宋体" w:cs="宋体"/>
          <w:color w:val="000000" w:themeColor="text1"/>
          <w:sz w:val="24"/>
          <w:szCs w:val="24"/>
          <w14:textFill>
            <w14:solidFill>
              <w14:schemeClr w14:val="tx1"/>
            </w14:solidFill>
          </w14:textFill>
        </w:rPr>
        <w:t>新疆政府采购网进入</w:t>
      </w:r>
      <w:r>
        <w:rPr>
          <w:rFonts w:hint="eastAsia" w:ascii="宋体" w:hAnsi="宋体" w:cs="宋体"/>
          <w:color w:val="000000" w:themeColor="text1"/>
          <w:sz w:val="24"/>
          <w:szCs w:val="24"/>
          <w:highlight w:val="white"/>
          <w14:textFill>
            <w14:solidFill>
              <w14:schemeClr w14:val="tx1"/>
            </w14:solidFill>
          </w14:textFill>
        </w:rPr>
        <w:t>不见面开标系统，使用CA密钥完成远程解密、提疑澄清、开标唱标、结果公布等交互环节。</w:t>
      </w:r>
    </w:p>
    <w:p w14:paraId="4DA270A4">
      <w:pPr>
        <w:pStyle w:val="104"/>
        <w:wordWrap w:val="0"/>
        <w:spacing w:line="500" w:lineRule="atLeas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6670FCEF">
      <w:pPr>
        <w:pStyle w:val="104"/>
        <w:wordWrap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5.6.10采购结果确认</w:t>
      </w:r>
    </w:p>
    <w:p w14:paraId="24DB47F3">
      <w:pPr>
        <w:pStyle w:val="104"/>
        <w:wordWrap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1）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14:paraId="5E9BCFF6">
      <w:pPr>
        <w:pStyle w:val="104"/>
        <w:wordWrap w:val="0"/>
        <w:adjustRightInd w:val="0"/>
        <w:snapToGrid w:val="0"/>
        <w:spacing w:line="500" w:lineRule="atLeast"/>
        <w:ind w:firstLine="480" w:firstLineChars="200"/>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5.7.公示或公告</w:t>
      </w:r>
    </w:p>
    <w:p w14:paraId="7F1A0F86">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成交供应商确定后，采购代理机构将在政府采购监管部门指定的媒体上发布成交公告，同时向成交供应商发出《成交通知书》。《成交通知书》是合同的组成部分,对成交供应商和采购人具有同等法律效力。</w:t>
      </w:r>
    </w:p>
    <w:p w14:paraId="0DEE88DC">
      <w:pPr>
        <w:pStyle w:val="104"/>
        <w:keepNext/>
        <w:keepLines/>
        <w:wordWrap w:val="0"/>
        <w:adjustRightInd w:val="0"/>
        <w:snapToGrid w:val="0"/>
        <w:spacing w:line="500" w:lineRule="atLeast"/>
        <w:contextualSpacing/>
        <w:jc w:val="center"/>
        <w:outlineLvl w:val="1"/>
        <w:rPr>
          <w:rFonts w:ascii="宋体" w:hAnsi="宋体" w:cs="宋体"/>
          <w:b/>
          <w:color w:val="000000" w:themeColor="text1"/>
          <w:sz w:val="24"/>
          <w:szCs w:val="24"/>
          <w:highlight w:val="green"/>
          <w14:textFill>
            <w14:solidFill>
              <w14:schemeClr w14:val="tx1"/>
            </w14:solidFill>
          </w14:textFill>
        </w:rPr>
      </w:pPr>
      <w:bookmarkStart w:id="43" w:name="_Toc293736015"/>
      <w:bookmarkStart w:id="44" w:name="_Toc256000008"/>
      <w:bookmarkStart w:id="45" w:name="_Toc446599315"/>
      <w:bookmarkStart w:id="46" w:name="_Toc21441"/>
      <w:bookmarkStart w:id="47" w:name="_Toc293738996"/>
      <w:bookmarkStart w:id="48" w:name="_Toc293736058"/>
      <w:bookmarkStart w:id="49" w:name="_Toc10373"/>
      <w:r>
        <w:rPr>
          <w:rFonts w:hint="eastAsia" w:ascii="宋体" w:hAnsi="宋体" w:cs="宋体"/>
          <w:b/>
          <w:color w:val="000000" w:themeColor="text1"/>
          <w:sz w:val="24"/>
          <w:szCs w:val="24"/>
          <w14:textFill>
            <w14:solidFill>
              <w14:schemeClr w14:val="tx1"/>
            </w14:solidFill>
          </w14:textFill>
        </w:rPr>
        <w:t>六、 授予合同</w:t>
      </w:r>
      <w:bookmarkEnd w:id="43"/>
      <w:bookmarkEnd w:id="44"/>
      <w:bookmarkEnd w:id="45"/>
      <w:bookmarkEnd w:id="46"/>
      <w:bookmarkEnd w:id="47"/>
      <w:bookmarkEnd w:id="48"/>
      <w:bookmarkEnd w:id="49"/>
    </w:p>
    <w:p w14:paraId="25F7F500">
      <w:pPr>
        <w:pStyle w:val="104"/>
        <w:wordWrap w:val="0"/>
        <w:adjustRightInd w:val="0"/>
        <w:snapToGrid w:val="0"/>
        <w:spacing w:line="500" w:lineRule="atLeas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6.1 签订合同</w:t>
      </w:r>
    </w:p>
    <w:p w14:paraId="2B879862">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6.1.1采购人应在成交通知书发出后30日内，根据成交结果和磋商文件、响应文件及有关补遗文件等与成交供应商签订采购合同。</w:t>
      </w:r>
    </w:p>
    <w:p w14:paraId="075F9AF2">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6.1.2采购人应按磋商文件要求和中标人的响应文件承诺订立书面合同，不得超出磋商文件和中标人响应文件的范围，也不得再另行订立背离合同实质性内容的其他协议。</w:t>
      </w:r>
    </w:p>
    <w:p w14:paraId="60E93273">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6.1.3采购人应在《中标通知书》发出之日起30天内与中标人签订政府采购合同。签订政府采购合同后7个工作日内，采购人应将政府采购合同副本报政府采购监管部门和政府采购代理机构备案。</w:t>
      </w:r>
    </w:p>
    <w:p w14:paraId="42C6040F">
      <w:pPr>
        <w:pStyle w:val="104"/>
        <w:keepNext/>
        <w:keepLines/>
        <w:wordWrap w:val="0"/>
        <w:adjustRightInd w:val="0"/>
        <w:snapToGrid w:val="0"/>
        <w:spacing w:line="500" w:lineRule="atLeast"/>
        <w:contextualSpacing/>
        <w:jc w:val="center"/>
        <w:outlineLvl w:val="1"/>
        <w:rPr>
          <w:rFonts w:ascii="宋体" w:hAnsi="宋体" w:cs="宋体"/>
          <w:b/>
          <w:color w:val="000000" w:themeColor="text1"/>
          <w:sz w:val="24"/>
          <w:szCs w:val="24"/>
          <w14:textFill>
            <w14:solidFill>
              <w14:schemeClr w14:val="tx1"/>
            </w14:solidFill>
          </w14:textFill>
        </w:rPr>
      </w:pPr>
      <w:bookmarkStart w:id="50" w:name="_Toc293736059"/>
      <w:bookmarkStart w:id="51" w:name="_Toc446599316"/>
      <w:bookmarkStart w:id="52" w:name="_Toc293738997"/>
      <w:bookmarkStart w:id="53" w:name="_Toc293736016"/>
      <w:bookmarkStart w:id="54" w:name="_Toc3715"/>
      <w:bookmarkStart w:id="55" w:name="_Toc256000009"/>
      <w:bookmarkStart w:id="56" w:name="_Toc14775"/>
      <w:r>
        <w:rPr>
          <w:rFonts w:hint="eastAsia" w:ascii="宋体" w:hAnsi="宋体" w:cs="宋体"/>
          <w:b/>
          <w:color w:val="000000" w:themeColor="text1"/>
          <w:sz w:val="24"/>
          <w:szCs w:val="24"/>
          <w14:textFill>
            <w14:solidFill>
              <w14:schemeClr w14:val="tx1"/>
            </w14:solidFill>
          </w14:textFill>
        </w:rPr>
        <w:t>七、质疑</w:t>
      </w:r>
      <w:bookmarkEnd w:id="50"/>
      <w:bookmarkEnd w:id="51"/>
      <w:bookmarkEnd w:id="52"/>
      <w:bookmarkEnd w:id="53"/>
      <w:r>
        <w:rPr>
          <w:rFonts w:hint="eastAsia" w:ascii="宋体" w:hAnsi="宋体" w:cs="宋体"/>
          <w:b/>
          <w:color w:val="000000" w:themeColor="text1"/>
          <w:sz w:val="24"/>
          <w:szCs w:val="24"/>
          <w14:textFill>
            <w14:solidFill>
              <w14:schemeClr w14:val="tx1"/>
            </w14:solidFill>
          </w14:textFill>
        </w:rPr>
        <w:t>和投诉</w:t>
      </w:r>
      <w:bookmarkEnd w:id="54"/>
      <w:bookmarkEnd w:id="55"/>
      <w:bookmarkEnd w:id="56"/>
    </w:p>
    <w:p w14:paraId="4050718F">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bookmarkStart w:id="57" w:name="_Toc446599317"/>
      <w:bookmarkStart w:id="58" w:name="_Toc293736017"/>
      <w:bookmarkStart w:id="59" w:name="_Toc294515577"/>
      <w:bookmarkStart w:id="60" w:name="_Toc293736060"/>
      <w:bookmarkStart w:id="61" w:name="_Toc293738998"/>
      <w:r>
        <w:rPr>
          <w:rFonts w:hint="eastAsia" w:ascii="宋体" w:hAnsi="宋体" w:cs="宋体"/>
          <w:color w:val="000000" w:themeColor="text1"/>
          <w:sz w:val="24"/>
          <w:szCs w:val="24"/>
          <w:highlight w:val="white"/>
          <w14:textFill>
            <w14:solidFill>
              <w14:schemeClr w14:val="tx1"/>
            </w14:solidFill>
          </w14:textFill>
        </w:rPr>
        <w:t>7.1质疑</w:t>
      </w:r>
    </w:p>
    <w:p w14:paraId="54585556">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7.1.1供应商提出质疑应当符合以下条件：</w:t>
      </w:r>
    </w:p>
    <w:p w14:paraId="4CC540C1">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如果供应商对此次采购活动有疑问，可依据《政府采购法》等相关规定，在规定的时间内以书面形式向采购人或代理机构提出质疑。质疑书应当包括下列主要内容：</w:t>
      </w:r>
    </w:p>
    <w:p w14:paraId="5A9361B1">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（1）质疑人的名称、地址、电话等；</w:t>
      </w:r>
    </w:p>
    <w:p w14:paraId="3BB1AD32">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（2）质疑人法人签章和单位公章；</w:t>
      </w:r>
    </w:p>
    <w:p w14:paraId="5AC7287E">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（3）具体的质疑事项及事实依据；</w:t>
      </w:r>
    </w:p>
    <w:p w14:paraId="4378BD40">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（4）明确的请求和必要（合法来源）的证明材料；</w:t>
      </w:r>
    </w:p>
    <w:p w14:paraId="7AC76847">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（5）以联合体形式参与资格预审的，则必须联合体各方共同签署、盖章；</w:t>
      </w:r>
    </w:p>
    <w:p w14:paraId="2F1BE734">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（6）提起质疑的日期。</w:t>
      </w:r>
    </w:p>
    <w:p w14:paraId="7936220A">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特注：未按上述程序规定的必备内容进行质疑的，采购人或代理机构将不予以受理。</w:t>
      </w:r>
    </w:p>
    <w:p w14:paraId="46F88DC6">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7.1.2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6C39B82D">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7.1.3质疑人可以委托代理人办理质疑事项，代理人办理质疑事项时，除提交质疑书外，还应当提交质疑人的授权委托书及代理人的有效身份证明，授权委托书应当载明委托代理的具体权限和事项。</w:t>
      </w:r>
    </w:p>
    <w:p w14:paraId="1283BD98">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7.1.4被质疑人应当在受理质疑后7个工作日内作出答复，并以书面形式通知质疑人和其他有关供应商，答复内容仅限于供应商所质疑的内容，不得涉及国家秘密和商业秘密。</w:t>
      </w:r>
    </w:p>
    <w:p w14:paraId="7FFD8CD8">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bookmarkStart w:id="62" w:name="_Toc456336161"/>
      <w:bookmarkStart w:id="63" w:name="_Toc450546725"/>
      <w:bookmarkStart w:id="64" w:name="_Toc9365"/>
      <w:bookmarkStart w:id="65" w:name="_Toc483174929"/>
      <w:r>
        <w:rPr>
          <w:rFonts w:hint="eastAsia" w:ascii="宋体" w:hAnsi="宋体" w:cs="宋体"/>
          <w:color w:val="000000" w:themeColor="text1"/>
          <w:sz w:val="24"/>
          <w:szCs w:val="24"/>
          <w:highlight w:val="white"/>
          <w14:textFill>
            <w14:solidFill>
              <w14:schemeClr w14:val="tx1"/>
            </w14:solidFill>
          </w14:textFill>
        </w:rPr>
        <w:t>7.2投诉</w:t>
      </w:r>
      <w:bookmarkEnd w:id="62"/>
      <w:bookmarkEnd w:id="63"/>
      <w:bookmarkEnd w:id="64"/>
      <w:bookmarkEnd w:id="65"/>
    </w:p>
    <w:p w14:paraId="210E854F">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7.2.1质疑人如对被质疑人的质疑回复不满意或在规定时间内未做出回复的，可在答复期满后15个工作日内向本项目管辖内的政府采购监督部门提起投诉。供应商投诉应当有明确的请求和必要的证明材料。</w:t>
      </w:r>
    </w:p>
    <w:p w14:paraId="489466CD">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7.2.2投诉人提起投诉应符合以下条件：</w:t>
      </w:r>
    </w:p>
    <w:p w14:paraId="32D4847D">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(1)投诉人应是参与项目的供应商；</w:t>
      </w:r>
    </w:p>
    <w:p w14:paraId="00137407">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(2)投诉前已依法进行质疑；</w:t>
      </w:r>
    </w:p>
    <w:p w14:paraId="24CAB5E9">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(3)投诉书内容符合中华人民共和国财政部94号令《政府采购质疑和投诉办法》的规定；</w:t>
      </w:r>
    </w:p>
    <w:p w14:paraId="6D5086EB">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(4)在投诉有效期内；</w:t>
      </w:r>
    </w:p>
    <w:p w14:paraId="7040ADDC">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(5)同一投诉事项未经处理的；</w:t>
      </w:r>
    </w:p>
    <w:p w14:paraId="62BA2F61">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lang w:val="en-GB"/>
          <w14:textFill>
            <w14:solidFill>
              <w14:schemeClr w14:val="tx1"/>
            </w14:solidFill>
          </w14:textFill>
        </w:rPr>
        <w:t>(6)</w:t>
      </w:r>
      <w:r>
        <w:rPr>
          <w:rFonts w:hint="eastAsia" w:ascii="宋体" w:hAnsi="宋体" w:cs="宋体"/>
          <w:color w:val="000000" w:themeColor="text1"/>
          <w:sz w:val="24"/>
          <w:szCs w:val="24"/>
          <w:highlight w:val="white"/>
          <w14:textFill>
            <w14:solidFill>
              <w14:schemeClr w14:val="tx1"/>
            </w14:solidFill>
          </w14:textFill>
        </w:rPr>
        <w:t>相关法律、法规和省级以上人民政府财政部门规定的其他条件。</w:t>
      </w:r>
    </w:p>
    <w:p w14:paraId="28DD18B9">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7.2.3供应商投诉时，应当当面提交投诉书，投诉书应当包括下列主要内容：</w:t>
      </w:r>
    </w:p>
    <w:p w14:paraId="40ED373B">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(1)投诉人的姓名或者名称、住所、联系方式及相关证明；</w:t>
      </w:r>
    </w:p>
    <w:p w14:paraId="0836FD1D">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(2)被投诉人的名称、住所、联系方式；</w:t>
      </w:r>
    </w:p>
    <w:p w14:paraId="494A583A">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(3)具体的投诉事项、事实根据和法律依据；</w:t>
      </w:r>
    </w:p>
    <w:p w14:paraId="233F2E98">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(4)质疑和质疑答复情况及相关证明材料；</w:t>
      </w:r>
    </w:p>
    <w:p w14:paraId="3FCE2E82">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(5)提起投诉的日期。</w:t>
      </w:r>
    </w:p>
    <w:p w14:paraId="63B6E08D">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投诉人为自然人的，应当由本人签字。投诉人为法人的，应当由其法定代表人签字并加盖单位公章。投诉人为其他组织的，应当由其主要负责人签字盖章并加盖单位公章。</w:t>
      </w:r>
    </w:p>
    <w:p w14:paraId="59D5ED56">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7.2.4投诉人可以授权代理人办理投诉事务。代理人办理投诉事务时，除提交投诉书外，还应当向监督部门提交投诉人的授权委托书，授权委托书应当载明委托代理的具体权限和事项。</w:t>
      </w:r>
    </w:p>
    <w:p w14:paraId="0EC0DB17">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7.2.5投诉人不符合上述规定提起的投诉，政府采购监督部门不予受理。</w:t>
      </w:r>
    </w:p>
    <w:p w14:paraId="413014A8">
      <w:pPr>
        <w:pStyle w:val="104"/>
        <w:keepNext/>
        <w:keepLines/>
        <w:wordWrap w:val="0"/>
        <w:adjustRightInd w:val="0"/>
        <w:snapToGrid w:val="0"/>
        <w:spacing w:line="500" w:lineRule="atLeast"/>
        <w:contextualSpacing/>
        <w:jc w:val="center"/>
        <w:outlineLvl w:val="1"/>
        <w:rPr>
          <w:rFonts w:ascii="宋体" w:hAnsi="宋体" w:cs="宋体"/>
          <w:b/>
          <w:color w:val="000000" w:themeColor="text1"/>
          <w:kern w:val="0"/>
          <w:sz w:val="24"/>
          <w:szCs w:val="24"/>
          <w14:textFill>
            <w14:solidFill>
              <w14:schemeClr w14:val="tx1"/>
            </w14:solidFill>
          </w14:textFill>
        </w:rPr>
      </w:pPr>
      <w:bookmarkStart w:id="66" w:name="_Toc256000010"/>
      <w:bookmarkStart w:id="67" w:name="_Toc3182"/>
      <w:bookmarkStart w:id="68" w:name="_Toc8018"/>
      <w:r>
        <w:rPr>
          <w:rFonts w:hint="eastAsia" w:ascii="宋体" w:hAnsi="宋体" w:cs="宋体"/>
          <w:b/>
          <w:color w:val="000000" w:themeColor="text1"/>
          <w:sz w:val="24"/>
          <w:szCs w:val="24"/>
          <w14:textFill>
            <w14:solidFill>
              <w14:schemeClr w14:val="tx1"/>
            </w14:solidFill>
          </w14:textFill>
        </w:rPr>
        <w:t>八、项目验收</w:t>
      </w:r>
      <w:bookmarkEnd w:id="57"/>
      <w:bookmarkEnd w:id="58"/>
      <w:bookmarkEnd w:id="59"/>
      <w:bookmarkEnd w:id="60"/>
      <w:bookmarkEnd w:id="61"/>
      <w:bookmarkEnd w:id="66"/>
      <w:bookmarkEnd w:id="67"/>
      <w:bookmarkEnd w:id="68"/>
    </w:p>
    <w:p w14:paraId="4CC3C4E3">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8.1采购单位按照政府采购合同规定的技术、服务、安全标准对供应商履约情况进行验收，并出具验收书。验收书包括每一项技术、服务、安全标准的履约情况。</w:t>
      </w:r>
    </w:p>
    <w:p w14:paraId="67A0540F">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8.2验收标准:磋商文件、响应文件、政府采购合同规定的标准。</w:t>
      </w:r>
    </w:p>
    <w:p w14:paraId="40341AD2">
      <w:pPr>
        <w:pStyle w:val="104"/>
        <w:keepNext/>
        <w:keepLines/>
        <w:wordWrap w:val="0"/>
        <w:adjustRightInd w:val="0"/>
        <w:snapToGrid w:val="0"/>
        <w:spacing w:line="500" w:lineRule="atLeast"/>
        <w:contextualSpacing/>
        <w:jc w:val="center"/>
        <w:outlineLvl w:val="1"/>
        <w:rPr>
          <w:rFonts w:ascii="宋体" w:hAnsi="宋体" w:cs="宋体"/>
          <w:b/>
          <w:color w:val="000000" w:themeColor="text1"/>
          <w:sz w:val="24"/>
          <w:szCs w:val="24"/>
          <w14:textFill>
            <w14:solidFill>
              <w14:schemeClr w14:val="tx1"/>
            </w14:solidFill>
          </w14:textFill>
        </w:rPr>
      </w:pPr>
      <w:bookmarkStart w:id="69" w:name="_Toc256000011"/>
      <w:bookmarkStart w:id="70" w:name="_Toc28499"/>
      <w:bookmarkStart w:id="71" w:name="_Toc446599318"/>
      <w:bookmarkStart w:id="72" w:name="_Toc293736018"/>
      <w:bookmarkStart w:id="73" w:name="_Toc293736061"/>
      <w:bookmarkStart w:id="74" w:name="_Toc6671"/>
      <w:bookmarkStart w:id="75" w:name="_Toc293738999"/>
      <w:r>
        <w:rPr>
          <w:rFonts w:hint="eastAsia" w:ascii="宋体" w:hAnsi="宋体" w:cs="宋体"/>
          <w:b/>
          <w:color w:val="000000" w:themeColor="text1"/>
          <w:sz w:val="24"/>
          <w:szCs w:val="24"/>
          <w14:textFill>
            <w14:solidFill>
              <w14:schemeClr w14:val="tx1"/>
            </w14:solidFill>
          </w14:textFill>
        </w:rPr>
        <w:t>九、适用法律</w:t>
      </w:r>
      <w:bookmarkEnd w:id="69"/>
      <w:bookmarkEnd w:id="70"/>
      <w:bookmarkEnd w:id="71"/>
      <w:bookmarkEnd w:id="72"/>
      <w:bookmarkEnd w:id="73"/>
      <w:bookmarkEnd w:id="74"/>
      <w:bookmarkEnd w:id="75"/>
    </w:p>
    <w:p w14:paraId="56017F2C">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9.1招标采购单位和供应商的一切招标投标活动均适用于《政府采购法》、《政府采购实施条例》、《政府采购竞争性磋商采购方式管理办法》等相关规定。</w:t>
      </w:r>
    </w:p>
    <w:p w14:paraId="026C5245">
      <w:pPr>
        <w:pStyle w:val="104"/>
        <w:keepNext/>
        <w:keepLines/>
        <w:wordWrap w:val="0"/>
        <w:adjustRightInd w:val="0"/>
        <w:snapToGrid w:val="0"/>
        <w:spacing w:line="500" w:lineRule="atLeast"/>
        <w:contextualSpacing/>
        <w:jc w:val="center"/>
        <w:outlineLvl w:val="1"/>
        <w:rPr>
          <w:rFonts w:ascii="宋体" w:hAnsi="宋体" w:cs="宋体"/>
          <w:b/>
          <w:color w:val="000000" w:themeColor="text1"/>
          <w:sz w:val="24"/>
          <w:szCs w:val="24"/>
          <w14:textFill>
            <w14:solidFill>
              <w14:schemeClr w14:val="tx1"/>
            </w14:solidFill>
          </w14:textFill>
        </w:rPr>
      </w:pPr>
      <w:bookmarkStart w:id="76" w:name="_Toc437611460"/>
      <w:bookmarkStart w:id="77" w:name="_Toc278891599"/>
      <w:bookmarkStart w:id="78" w:name="_Toc26356"/>
      <w:bookmarkStart w:id="79" w:name="_Toc21968"/>
      <w:bookmarkStart w:id="80" w:name="_Toc446599319"/>
      <w:bookmarkStart w:id="81" w:name="_Toc272247702"/>
      <w:bookmarkStart w:id="82" w:name="_Toc256000012"/>
      <w:r>
        <w:rPr>
          <w:rFonts w:hint="eastAsia" w:ascii="宋体" w:hAnsi="宋体" w:cs="宋体"/>
          <w:b/>
          <w:color w:val="000000" w:themeColor="text1"/>
          <w:sz w:val="24"/>
          <w:szCs w:val="24"/>
          <w14:textFill>
            <w14:solidFill>
              <w14:schemeClr w14:val="tx1"/>
            </w14:solidFill>
          </w14:textFill>
        </w:rPr>
        <w:t>十、磋商文件的解释权</w:t>
      </w:r>
      <w:bookmarkEnd w:id="76"/>
      <w:bookmarkEnd w:id="77"/>
      <w:bookmarkEnd w:id="78"/>
      <w:bookmarkEnd w:id="79"/>
      <w:bookmarkEnd w:id="80"/>
      <w:bookmarkEnd w:id="81"/>
      <w:bookmarkEnd w:id="82"/>
    </w:p>
    <w:p w14:paraId="421B2A82">
      <w:pPr>
        <w:pStyle w:val="104"/>
        <w:wordWrap w:val="0"/>
        <w:spacing w:line="500" w:lineRule="atLeast"/>
        <w:ind w:firstLine="484" w:firstLineChars="202"/>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10.1本项目磋商文件的最终解释权为采购代理机构所有。</w:t>
      </w:r>
    </w:p>
    <w:p w14:paraId="26EF56DB">
      <w:pPr>
        <w:pStyle w:val="104"/>
        <w:keepNext/>
        <w:keepLines/>
        <w:wordWrap w:val="0"/>
        <w:adjustRightInd w:val="0"/>
        <w:snapToGrid w:val="0"/>
        <w:spacing w:line="500" w:lineRule="atLeast"/>
        <w:contextualSpacing/>
        <w:jc w:val="center"/>
        <w:outlineLvl w:val="1"/>
        <w:rPr>
          <w:rFonts w:ascii="宋体" w:hAnsi="宋体" w:cs="宋体"/>
          <w:b/>
          <w:color w:val="000000" w:themeColor="text1"/>
          <w:sz w:val="24"/>
          <w:szCs w:val="24"/>
          <w14:textFill>
            <w14:solidFill>
              <w14:schemeClr w14:val="tx1"/>
            </w14:solidFill>
          </w14:textFill>
        </w:rPr>
      </w:pPr>
      <w:bookmarkStart w:id="83" w:name="_Toc21207"/>
      <w:bookmarkStart w:id="84" w:name="_Toc256000013"/>
      <w:bookmarkStart w:id="85" w:name="_Toc15447"/>
      <w:bookmarkStart w:id="86" w:name="_Toc446599320"/>
      <w:bookmarkStart w:id="87" w:name="_Toc437611461"/>
      <w:r>
        <w:rPr>
          <w:rFonts w:hint="eastAsia" w:ascii="宋体" w:hAnsi="宋体" w:cs="宋体"/>
          <w:b/>
          <w:color w:val="000000" w:themeColor="text1"/>
          <w:sz w:val="24"/>
          <w:szCs w:val="24"/>
          <w14:textFill>
            <w14:solidFill>
              <w14:schemeClr w14:val="tx1"/>
            </w14:solidFill>
          </w14:textFill>
        </w:rPr>
        <w:t>十一、其他注意事项</w:t>
      </w:r>
      <w:bookmarkEnd w:id="83"/>
      <w:bookmarkEnd w:id="84"/>
      <w:bookmarkEnd w:id="85"/>
      <w:bookmarkEnd w:id="86"/>
      <w:bookmarkEnd w:id="87"/>
    </w:p>
    <w:p w14:paraId="449D31A5">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11.1单位负责人为同一人或者存在直接控股、管理关系的不同供应商，不得参加同一合同项下的政府采购活动。</w:t>
      </w:r>
    </w:p>
    <w:p w14:paraId="7216262F">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11.2供应商为采购项目提供整体设计、规范编制或者项目管理、监理、检测等服务的供应商，不得再参加该采购项目的其他采购活动。</w:t>
      </w:r>
    </w:p>
    <w:p w14:paraId="5459E272">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11.3政府采购法第二十二条第一款第五项所称重大违法记录，是指供应商因违法经营受到刑事处罚或者责令停产停业、吊销许可证或者执照、较大数额罚款等行政处罚。</w:t>
      </w:r>
    </w:p>
    <w:p w14:paraId="0D7C2A9D">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11.4按照财政部《关于规范政府采购行政处罚有关问题的通知》的规定，各级人民政府财政部门依法对参加政府采购活动的供应商作出的禁止参加政府采购活动等行政处罚决定在全国范围内生效。</w:t>
      </w:r>
    </w:p>
    <w:p w14:paraId="19C4C82D">
      <w:pPr>
        <w:pStyle w:val="104"/>
        <w:tabs>
          <w:tab w:val="left" w:pos="1875"/>
        </w:tabs>
        <w:wordWrap w:val="0"/>
        <w:adjustRightInd w:val="0"/>
        <w:snapToGrid w:val="0"/>
        <w:spacing w:line="500" w:lineRule="atLeast"/>
        <w:ind w:firstLine="480" w:firstLineChars="200"/>
        <w:jc w:val="left"/>
        <w:rPr>
          <w:rFonts w:ascii="宋体" w:hAnsi="宋体" w:cs="宋体"/>
          <w:color w:val="000000" w:themeColor="text1"/>
          <w:sz w:val="24"/>
          <w:szCs w:val="24"/>
          <w:highlight w:val="white"/>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11.5供应商在参加政府采购活动前3年内因违法经营被禁止在一定期限内参加政府采购活动，期限届满的，可以参加政府采购活动。</w:t>
      </w:r>
    </w:p>
    <w:bookmarkEnd w:id="17"/>
    <w:p w14:paraId="307875F2">
      <w:pPr>
        <w:wordWrap w:val="0"/>
        <w:spacing w:line="500" w:lineRule="atLeast"/>
        <w:rPr>
          <w:rFonts w:ascii="宋体" w:hAnsi="宋体" w:cs="宋体"/>
          <w:color w:val="000000" w:themeColor="text1"/>
          <w:sz w:val="24"/>
          <w:szCs w:val="24"/>
          <w:highlight w:val="white"/>
          <w14:textFill>
            <w14:solidFill>
              <w14:schemeClr w14:val="tx1"/>
            </w14:solidFill>
          </w14:textFill>
        </w:rPr>
      </w:pPr>
    </w:p>
    <w:bookmarkEnd w:id="7"/>
    <w:bookmarkEnd w:id="18"/>
    <w:p w14:paraId="7C676616">
      <w:pPr>
        <w:wordWrap w:val="0"/>
        <w:spacing w:line="500" w:lineRule="atLeast"/>
        <w:rPr>
          <w:rFonts w:ascii="宋体" w:hAnsi="宋体" w:cs="宋体"/>
          <w:color w:val="000000" w:themeColor="text1"/>
          <w:sz w:val="24"/>
          <w:szCs w:val="24"/>
          <w14:textFill>
            <w14:solidFill>
              <w14:schemeClr w14:val="tx1"/>
            </w14:solidFill>
          </w14:textFill>
        </w:rPr>
        <w:sectPr>
          <w:pgSz w:w="11906" w:h="16838"/>
          <w:pgMar w:top="1440" w:right="1797" w:bottom="1440" w:left="1797" w:header="851" w:footer="992" w:gutter="0"/>
          <w:pgNumType w:fmt="decimal"/>
          <w:cols w:space="720" w:num="1"/>
          <w:docGrid w:linePitch="312" w:charSpace="0"/>
        </w:sectPr>
      </w:pPr>
    </w:p>
    <w:p w14:paraId="5D41CA81">
      <w:pPr>
        <w:pStyle w:val="3"/>
        <w:wordWrap w:val="0"/>
        <w:spacing w:before="0" w:after="0" w:line="240" w:lineRule="auto"/>
        <w:rPr>
          <w:rFonts w:ascii="宋体" w:hAnsi="宋体" w:cs="宋体"/>
          <w:b/>
          <w:bCs w:val="0"/>
          <w:color w:val="000000" w:themeColor="text1"/>
          <w:sz w:val="36"/>
          <w:szCs w:val="36"/>
          <w14:textFill>
            <w14:solidFill>
              <w14:schemeClr w14:val="tx1"/>
            </w14:solidFill>
          </w14:textFill>
        </w:rPr>
      </w:pPr>
      <w:bookmarkStart w:id="88" w:name="_Toc293739000"/>
      <w:bookmarkStart w:id="89" w:name="_Toc293736019"/>
      <w:bookmarkStart w:id="90" w:name="_Toc293736062"/>
      <w:bookmarkStart w:id="91" w:name="_Toc534380785"/>
      <w:bookmarkStart w:id="92" w:name="_Toc11453"/>
      <w:bookmarkStart w:id="93" w:name="_Toc446599321"/>
      <w:bookmarkStart w:id="94" w:name="_Toc446599322"/>
      <w:bookmarkStart w:id="95" w:name="_Toc293739001"/>
      <w:bookmarkStart w:id="96" w:name="_Toc293736063"/>
      <w:bookmarkStart w:id="97" w:name="_Toc293736020"/>
      <w:r>
        <w:rPr>
          <w:rFonts w:hint="eastAsia" w:ascii="宋体" w:hAnsi="宋体" w:cs="宋体"/>
          <w:b/>
          <w:bCs w:val="0"/>
          <w:color w:val="000000" w:themeColor="text1"/>
          <w:sz w:val="36"/>
          <w:szCs w:val="36"/>
          <w:highlight w:val="white"/>
          <w14:textFill>
            <w14:solidFill>
              <w14:schemeClr w14:val="tx1"/>
            </w14:solidFill>
          </w14:textFill>
        </w:rPr>
        <w:t>第三章 采购</w:t>
      </w:r>
      <w:bookmarkEnd w:id="88"/>
      <w:bookmarkEnd w:id="89"/>
      <w:bookmarkEnd w:id="90"/>
      <w:bookmarkStart w:id="98" w:name="_Toc294515580"/>
      <w:r>
        <w:rPr>
          <w:rFonts w:hint="eastAsia" w:ascii="宋体" w:hAnsi="宋体" w:cs="宋体"/>
          <w:b/>
          <w:bCs w:val="0"/>
          <w:color w:val="000000" w:themeColor="text1"/>
          <w:sz w:val="36"/>
          <w:szCs w:val="36"/>
          <w:highlight w:val="white"/>
          <w14:textFill>
            <w14:solidFill>
              <w14:schemeClr w14:val="tx1"/>
            </w14:solidFill>
          </w14:textFill>
        </w:rPr>
        <w:t>需求</w:t>
      </w:r>
      <w:bookmarkEnd w:id="91"/>
      <w:bookmarkEnd w:id="92"/>
      <w:bookmarkEnd w:id="93"/>
    </w:p>
    <w:bookmarkEnd w:id="98"/>
    <w:p w14:paraId="72426526">
      <w:pPr>
        <w:keepNext w:val="0"/>
        <w:keepLines w:val="0"/>
        <w:pageBreakBefore w:val="0"/>
        <w:widowControl w:val="0"/>
        <w:kinsoku/>
        <w:overflowPunct/>
        <w:topLinePunct w:val="0"/>
        <w:autoSpaceDE/>
        <w:autoSpaceDN/>
        <w:bidi w:val="0"/>
        <w:adjustRightInd/>
        <w:spacing w:line="360" w:lineRule="auto"/>
        <w:textAlignment w:val="auto"/>
        <w:outlineLvl w:val="2"/>
        <w:rPr>
          <w:rFonts w:hint="eastAsia" w:ascii="宋体" w:hAnsi="宋体"/>
          <w:b/>
          <w:bCs/>
          <w:color w:val="auto"/>
          <w:sz w:val="24"/>
          <w:szCs w:val="24"/>
        </w:rPr>
      </w:pPr>
      <w:r>
        <w:rPr>
          <w:rFonts w:hint="eastAsia" w:ascii="宋体" w:hAnsi="宋体"/>
          <w:b/>
          <w:bCs/>
          <w:color w:val="auto"/>
          <w:sz w:val="24"/>
          <w:szCs w:val="24"/>
        </w:rPr>
        <w:t>一、全民健身志愿服务及推行国家体育锻炼标准</w:t>
      </w:r>
    </w:p>
    <w:p w14:paraId="143C298F">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（一）活动物料制作</w:t>
      </w:r>
    </w:p>
    <w:p w14:paraId="3DBDC8C2">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1.背景板制作</w:t>
      </w:r>
      <w:r>
        <w:rPr>
          <w:rFonts w:hint="eastAsia" w:ascii="宋体" w:hAnsi="宋体"/>
          <w:b w:val="0"/>
          <w:bCs w:val="0"/>
          <w:color w:val="auto"/>
          <w:sz w:val="24"/>
          <w:szCs w:val="24"/>
          <w:lang w:eastAsia="zh-CN"/>
        </w:rPr>
        <w:t>：</w:t>
      </w:r>
      <w:r>
        <w:rPr>
          <w:rFonts w:hint="eastAsia" w:ascii="宋体" w:hAnsi="宋体"/>
          <w:b w:val="0"/>
          <w:bCs w:val="0"/>
          <w:color w:val="auto"/>
          <w:sz w:val="24"/>
          <w:szCs w:val="24"/>
        </w:rPr>
        <w:t>1个</w:t>
      </w:r>
      <w:r>
        <w:rPr>
          <w:rFonts w:hint="eastAsia" w:ascii="宋体" w:hAnsi="宋体"/>
          <w:b w:val="0"/>
          <w:bCs w:val="0"/>
          <w:color w:val="auto"/>
          <w:sz w:val="24"/>
          <w:szCs w:val="24"/>
          <w:lang w:eastAsia="zh-CN"/>
        </w:rPr>
        <w:t>；</w:t>
      </w:r>
    </w:p>
    <w:p w14:paraId="058D4239">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2.横幅制作</w:t>
      </w:r>
      <w:r>
        <w:rPr>
          <w:rFonts w:hint="eastAsia" w:ascii="宋体" w:hAnsi="宋体"/>
          <w:b w:val="0"/>
          <w:bCs w:val="0"/>
          <w:color w:val="auto"/>
          <w:sz w:val="24"/>
          <w:szCs w:val="24"/>
          <w:lang w:eastAsia="zh-CN"/>
        </w:rPr>
        <w:t>：</w:t>
      </w:r>
      <w:r>
        <w:rPr>
          <w:rFonts w:hint="eastAsia" w:ascii="宋体" w:hAnsi="宋体"/>
          <w:b w:val="0"/>
          <w:bCs w:val="0"/>
          <w:color w:val="auto"/>
          <w:sz w:val="24"/>
          <w:szCs w:val="24"/>
        </w:rPr>
        <w:t>4个</w:t>
      </w:r>
      <w:r>
        <w:rPr>
          <w:rFonts w:hint="eastAsia" w:ascii="宋体" w:hAnsi="宋体"/>
          <w:b w:val="0"/>
          <w:bCs w:val="0"/>
          <w:color w:val="auto"/>
          <w:sz w:val="24"/>
          <w:szCs w:val="24"/>
          <w:lang w:eastAsia="zh-CN"/>
        </w:rPr>
        <w:t>；</w:t>
      </w:r>
    </w:p>
    <w:p w14:paraId="2B7390C7">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3.项目介绍板制作</w:t>
      </w:r>
      <w:r>
        <w:rPr>
          <w:rFonts w:hint="eastAsia" w:ascii="宋体" w:hAnsi="宋体"/>
          <w:b w:val="0"/>
          <w:bCs w:val="0"/>
          <w:color w:val="auto"/>
          <w:sz w:val="24"/>
          <w:szCs w:val="24"/>
          <w:lang w:eastAsia="zh-CN"/>
        </w:rPr>
        <w:t>：</w:t>
      </w:r>
      <w:r>
        <w:rPr>
          <w:rFonts w:hint="eastAsia" w:ascii="宋体" w:hAnsi="宋体"/>
          <w:b w:val="0"/>
          <w:bCs w:val="0"/>
          <w:color w:val="auto"/>
          <w:sz w:val="24"/>
          <w:szCs w:val="24"/>
        </w:rPr>
        <w:t>6个</w:t>
      </w:r>
      <w:r>
        <w:rPr>
          <w:rFonts w:hint="eastAsia" w:ascii="宋体" w:hAnsi="宋体"/>
          <w:b w:val="0"/>
          <w:bCs w:val="0"/>
          <w:color w:val="auto"/>
          <w:sz w:val="24"/>
          <w:szCs w:val="24"/>
          <w:lang w:eastAsia="zh-CN"/>
        </w:rPr>
        <w:t>；</w:t>
      </w:r>
    </w:p>
    <w:p w14:paraId="3B994DDF">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4.工作牌</w:t>
      </w:r>
      <w:r>
        <w:rPr>
          <w:rFonts w:hint="eastAsia" w:ascii="宋体" w:hAnsi="宋体"/>
          <w:b w:val="0"/>
          <w:bCs w:val="0"/>
          <w:color w:val="auto"/>
          <w:sz w:val="24"/>
          <w:szCs w:val="24"/>
          <w:lang w:eastAsia="zh-CN"/>
        </w:rPr>
        <w:t>：</w:t>
      </w:r>
      <w:r>
        <w:rPr>
          <w:rFonts w:hint="eastAsia" w:ascii="宋体" w:hAnsi="宋体"/>
          <w:b w:val="0"/>
          <w:bCs w:val="0"/>
          <w:color w:val="auto"/>
          <w:sz w:val="24"/>
          <w:szCs w:val="24"/>
        </w:rPr>
        <w:t>25个</w:t>
      </w:r>
      <w:r>
        <w:rPr>
          <w:rFonts w:hint="eastAsia" w:ascii="宋体" w:hAnsi="宋体"/>
          <w:b w:val="0"/>
          <w:bCs w:val="0"/>
          <w:color w:val="auto"/>
          <w:sz w:val="24"/>
          <w:szCs w:val="24"/>
          <w:lang w:eastAsia="zh-CN"/>
        </w:rPr>
        <w:t>；</w:t>
      </w:r>
    </w:p>
    <w:p w14:paraId="651E31B9">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5.成绩单</w:t>
      </w:r>
      <w:r>
        <w:rPr>
          <w:rFonts w:hint="eastAsia" w:ascii="宋体" w:hAnsi="宋体"/>
          <w:b w:val="0"/>
          <w:bCs w:val="0"/>
          <w:color w:val="auto"/>
          <w:sz w:val="24"/>
          <w:szCs w:val="24"/>
          <w:lang w:eastAsia="zh-CN"/>
        </w:rPr>
        <w:t>：</w:t>
      </w:r>
      <w:r>
        <w:rPr>
          <w:rFonts w:hint="eastAsia" w:ascii="宋体" w:hAnsi="宋体"/>
          <w:b w:val="0"/>
          <w:bCs w:val="0"/>
          <w:color w:val="auto"/>
          <w:sz w:val="24"/>
          <w:szCs w:val="24"/>
        </w:rPr>
        <w:t>800个</w:t>
      </w:r>
      <w:r>
        <w:rPr>
          <w:rFonts w:hint="eastAsia" w:ascii="宋体" w:hAnsi="宋体"/>
          <w:b w:val="0"/>
          <w:bCs w:val="0"/>
          <w:color w:val="auto"/>
          <w:sz w:val="24"/>
          <w:szCs w:val="24"/>
          <w:lang w:eastAsia="zh-CN"/>
        </w:rPr>
        <w:t>；</w:t>
      </w:r>
    </w:p>
    <w:p w14:paraId="25B47502">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6.号码簿</w:t>
      </w:r>
      <w:r>
        <w:rPr>
          <w:rFonts w:hint="eastAsia" w:ascii="宋体" w:hAnsi="宋体"/>
          <w:b w:val="0"/>
          <w:bCs w:val="0"/>
          <w:color w:val="auto"/>
          <w:sz w:val="24"/>
          <w:szCs w:val="24"/>
          <w:lang w:eastAsia="zh-CN"/>
        </w:rPr>
        <w:t>：</w:t>
      </w:r>
      <w:r>
        <w:rPr>
          <w:rFonts w:hint="eastAsia" w:ascii="宋体" w:hAnsi="宋体"/>
          <w:b w:val="0"/>
          <w:bCs w:val="0"/>
          <w:color w:val="auto"/>
          <w:sz w:val="24"/>
          <w:szCs w:val="24"/>
        </w:rPr>
        <w:t>800个</w:t>
      </w:r>
      <w:r>
        <w:rPr>
          <w:rFonts w:hint="eastAsia" w:ascii="宋体" w:hAnsi="宋体"/>
          <w:b w:val="0"/>
          <w:bCs w:val="0"/>
          <w:color w:val="auto"/>
          <w:sz w:val="24"/>
          <w:szCs w:val="24"/>
          <w:lang w:eastAsia="zh-CN"/>
        </w:rPr>
        <w:t>；</w:t>
      </w:r>
    </w:p>
    <w:p w14:paraId="75E0AFD0">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（二）测验耗材用品</w:t>
      </w:r>
    </w:p>
    <w:p w14:paraId="073D44B5">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1.跳绳</w:t>
      </w:r>
      <w:r>
        <w:rPr>
          <w:rFonts w:hint="eastAsia" w:ascii="宋体" w:hAnsi="宋体"/>
          <w:b w:val="0"/>
          <w:bCs w:val="0"/>
          <w:color w:val="auto"/>
          <w:sz w:val="24"/>
          <w:szCs w:val="24"/>
          <w:lang w:eastAsia="zh-CN"/>
        </w:rPr>
        <w:t>：</w:t>
      </w:r>
      <w:r>
        <w:rPr>
          <w:rFonts w:hint="eastAsia" w:ascii="宋体" w:hAnsi="宋体"/>
          <w:b w:val="0"/>
          <w:bCs w:val="0"/>
          <w:color w:val="auto"/>
          <w:sz w:val="24"/>
          <w:szCs w:val="24"/>
        </w:rPr>
        <w:t>30个</w:t>
      </w:r>
      <w:r>
        <w:rPr>
          <w:rFonts w:hint="eastAsia" w:ascii="宋体" w:hAnsi="宋体"/>
          <w:b w:val="0"/>
          <w:bCs w:val="0"/>
          <w:color w:val="auto"/>
          <w:sz w:val="24"/>
          <w:szCs w:val="24"/>
          <w:lang w:eastAsia="zh-CN"/>
        </w:rPr>
        <w:t>；</w:t>
      </w:r>
    </w:p>
    <w:p w14:paraId="22BC367F">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2.定制分队服：100件</w:t>
      </w:r>
      <w:r>
        <w:rPr>
          <w:rFonts w:hint="eastAsia" w:ascii="宋体" w:hAnsi="宋体"/>
          <w:b w:val="0"/>
          <w:bCs w:val="0"/>
          <w:color w:val="auto"/>
          <w:sz w:val="24"/>
          <w:szCs w:val="24"/>
          <w:lang w:eastAsia="zh-CN"/>
        </w:rPr>
        <w:t>；</w:t>
      </w:r>
    </w:p>
    <w:p w14:paraId="75BF658A">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3.障碍物标志杆：8套</w:t>
      </w:r>
      <w:r>
        <w:rPr>
          <w:rFonts w:hint="eastAsia" w:ascii="宋体" w:hAnsi="宋体"/>
          <w:b w:val="0"/>
          <w:bCs w:val="0"/>
          <w:color w:val="auto"/>
          <w:sz w:val="24"/>
          <w:szCs w:val="24"/>
          <w:lang w:eastAsia="zh-CN"/>
        </w:rPr>
        <w:t>；</w:t>
      </w:r>
    </w:p>
    <w:p w14:paraId="4C181795">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4.十字象限跳一次性背胶贴：10件</w:t>
      </w:r>
      <w:r>
        <w:rPr>
          <w:rFonts w:hint="eastAsia" w:ascii="宋体" w:hAnsi="宋体"/>
          <w:b w:val="0"/>
          <w:bCs w:val="0"/>
          <w:color w:val="auto"/>
          <w:sz w:val="24"/>
          <w:szCs w:val="24"/>
          <w:lang w:eastAsia="zh-CN"/>
        </w:rPr>
        <w:t>；</w:t>
      </w:r>
    </w:p>
    <w:p w14:paraId="70605F9E">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5.立定跳远测试垫、发令喇叭、计时秒表、坐位体前屈测试器、实心球、体操垫、乒乓球拍及网球、标志桶、办公耗材等</w:t>
      </w:r>
      <w:r>
        <w:rPr>
          <w:rFonts w:hint="eastAsia" w:ascii="宋体" w:hAnsi="宋体"/>
          <w:b w:val="0"/>
          <w:bCs w:val="0"/>
          <w:color w:val="auto"/>
          <w:sz w:val="24"/>
          <w:szCs w:val="24"/>
          <w:lang w:eastAsia="zh-CN"/>
        </w:rPr>
        <w:t>；</w:t>
      </w:r>
    </w:p>
    <w:p w14:paraId="4EECD9FE">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val="en-US" w:eastAsia="zh-CN"/>
        </w:rPr>
      </w:pPr>
      <w:r>
        <w:rPr>
          <w:rFonts w:hint="eastAsia" w:ascii="宋体" w:hAnsi="宋体"/>
          <w:b w:val="0"/>
          <w:bCs w:val="0"/>
          <w:color w:val="auto"/>
          <w:sz w:val="24"/>
          <w:szCs w:val="24"/>
        </w:rPr>
        <w:t>（三）工作费</w:t>
      </w:r>
      <w:r>
        <w:rPr>
          <w:rFonts w:hint="eastAsia" w:ascii="宋体" w:hAnsi="宋体"/>
          <w:b w:val="0"/>
          <w:bCs w:val="0"/>
          <w:color w:val="auto"/>
          <w:sz w:val="24"/>
          <w:szCs w:val="24"/>
          <w:lang w:val="en-US" w:eastAsia="zh-CN"/>
        </w:rPr>
        <w:t>用</w:t>
      </w:r>
    </w:p>
    <w:p w14:paraId="5831BA34">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1.裁判</w:t>
      </w:r>
      <w:r>
        <w:rPr>
          <w:rFonts w:hint="eastAsia" w:ascii="宋体" w:hAnsi="宋体"/>
          <w:b w:val="0"/>
          <w:bCs w:val="0"/>
          <w:color w:val="auto"/>
          <w:sz w:val="24"/>
          <w:szCs w:val="24"/>
          <w:lang w:eastAsia="zh-CN"/>
        </w:rPr>
        <w:t>：</w:t>
      </w:r>
      <w:r>
        <w:rPr>
          <w:rFonts w:hint="eastAsia" w:ascii="宋体" w:hAnsi="宋体"/>
          <w:b w:val="0"/>
          <w:bCs w:val="0"/>
          <w:color w:val="auto"/>
          <w:sz w:val="24"/>
          <w:szCs w:val="24"/>
        </w:rPr>
        <w:t>12人</w:t>
      </w:r>
      <w:r>
        <w:rPr>
          <w:rFonts w:hint="eastAsia" w:ascii="宋体" w:hAnsi="宋体"/>
          <w:b w:val="0"/>
          <w:bCs w:val="0"/>
          <w:color w:val="auto"/>
          <w:sz w:val="24"/>
          <w:szCs w:val="24"/>
          <w:lang w:val="en-US" w:eastAsia="zh-CN"/>
        </w:rPr>
        <w:t>/</w:t>
      </w:r>
      <w:r>
        <w:rPr>
          <w:rFonts w:hint="eastAsia" w:ascii="宋体" w:hAnsi="宋体"/>
          <w:b w:val="0"/>
          <w:bCs w:val="0"/>
          <w:color w:val="auto"/>
          <w:sz w:val="24"/>
          <w:szCs w:val="24"/>
        </w:rPr>
        <w:t>天</w:t>
      </w:r>
      <w:r>
        <w:rPr>
          <w:rFonts w:hint="eastAsia" w:ascii="宋体" w:hAnsi="宋体"/>
          <w:b w:val="0"/>
          <w:bCs w:val="0"/>
          <w:color w:val="auto"/>
          <w:sz w:val="24"/>
          <w:szCs w:val="24"/>
          <w:lang w:eastAsia="zh-CN"/>
        </w:rPr>
        <w:t>；</w:t>
      </w:r>
    </w:p>
    <w:p w14:paraId="234260FB">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2.工作人员</w:t>
      </w:r>
      <w:r>
        <w:rPr>
          <w:rFonts w:hint="eastAsia" w:ascii="宋体" w:hAnsi="宋体"/>
          <w:b w:val="0"/>
          <w:bCs w:val="0"/>
          <w:color w:val="auto"/>
          <w:sz w:val="24"/>
          <w:szCs w:val="24"/>
          <w:lang w:eastAsia="zh-CN"/>
        </w:rPr>
        <w:t>：</w:t>
      </w:r>
      <w:r>
        <w:rPr>
          <w:rFonts w:hint="eastAsia" w:ascii="宋体" w:hAnsi="宋体"/>
          <w:b w:val="0"/>
          <w:bCs w:val="0"/>
          <w:color w:val="auto"/>
          <w:sz w:val="24"/>
          <w:szCs w:val="24"/>
        </w:rPr>
        <w:t>6人</w:t>
      </w:r>
      <w:r>
        <w:rPr>
          <w:rFonts w:hint="eastAsia" w:ascii="宋体" w:hAnsi="宋体"/>
          <w:b w:val="0"/>
          <w:bCs w:val="0"/>
          <w:color w:val="auto"/>
          <w:sz w:val="24"/>
          <w:szCs w:val="24"/>
          <w:lang w:val="en-US" w:eastAsia="zh-CN"/>
        </w:rPr>
        <w:t>/</w:t>
      </w:r>
      <w:r>
        <w:rPr>
          <w:rFonts w:hint="eastAsia" w:ascii="宋体" w:hAnsi="宋体"/>
          <w:b w:val="0"/>
          <w:bCs w:val="0"/>
          <w:color w:val="auto"/>
          <w:sz w:val="24"/>
          <w:szCs w:val="24"/>
        </w:rPr>
        <w:t>天</w:t>
      </w:r>
      <w:r>
        <w:rPr>
          <w:rFonts w:hint="eastAsia" w:ascii="宋体" w:hAnsi="宋体"/>
          <w:b w:val="0"/>
          <w:bCs w:val="0"/>
          <w:color w:val="auto"/>
          <w:sz w:val="24"/>
          <w:szCs w:val="24"/>
          <w:lang w:eastAsia="zh-CN"/>
        </w:rPr>
        <w:t>；</w:t>
      </w:r>
    </w:p>
    <w:p w14:paraId="626ACFBE">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3.各项成绩收集、核算并录入上报国家平台系统人员劳务</w:t>
      </w:r>
      <w:r>
        <w:rPr>
          <w:rFonts w:hint="eastAsia" w:ascii="宋体" w:hAnsi="宋体"/>
          <w:b w:val="0"/>
          <w:bCs w:val="0"/>
          <w:color w:val="auto"/>
          <w:sz w:val="24"/>
          <w:szCs w:val="24"/>
          <w:lang w:eastAsia="zh-CN"/>
        </w:rPr>
        <w:t>：</w:t>
      </w:r>
      <w:r>
        <w:rPr>
          <w:rFonts w:hint="eastAsia" w:ascii="宋体" w:hAnsi="宋体"/>
          <w:b w:val="0"/>
          <w:bCs w:val="0"/>
          <w:color w:val="auto"/>
          <w:sz w:val="24"/>
          <w:szCs w:val="24"/>
        </w:rPr>
        <w:t>6人×7天</w:t>
      </w:r>
      <w:r>
        <w:rPr>
          <w:rFonts w:hint="eastAsia" w:ascii="宋体" w:hAnsi="宋体"/>
          <w:b w:val="0"/>
          <w:bCs w:val="0"/>
          <w:color w:val="auto"/>
          <w:sz w:val="24"/>
          <w:szCs w:val="24"/>
          <w:lang w:eastAsia="zh-CN"/>
        </w:rPr>
        <w:t>；</w:t>
      </w:r>
    </w:p>
    <w:p w14:paraId="038E2C2F">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（四）运输费用</w:t>
      </w:r>
    </w:p>
    <w:p w14:paraId="5B3BF2F5">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活动器材运输（驻地－－测试地往返）</w:t>
      </w:r>
      <w:r>
        <w:rPr>
          <w:rFonts w:hint="eastAsia" w:ascii="宋体" w:hAnsi="宋体"/>
          <w:b w:val="0"/>
          <w:bCs w:val="0"/>
          <w:color w:val="auto"/>
          <w:sz w:val="24"/>
          <w:szCs w:val="24"/>
          <w:lang w:eastAsia="zh-CN"/>
        </w:rPr>
        <w:t>：</w:t>
      </w:r>
      <w:r>
        <w:rPr>
          <w:rFonts w:hint="eastAsia" w:ascii="宋体" w:hAnsi="宋体"/>
          <w:b w:val="0"/>
          <w:bCs w:val="0"/>
          <w:color w:val="auto"/>
          <w:sz w:val="24"/>
          <w:szCs w:val="24"/>
        </w:rPr>
        <w:t>2次（往返）</w:t>
      </w:r>
      <w:r>
        <w:rPr>
          <w:rFonts w:hint="eastAsia" w:ascii="宋体" w:hAnsi="宋体"/>
          <w:b w:val="0"/>
          <w:bCs w:val="0"/>
          <w:color w:val="auto"/>
          <w:sz w:val="24"/>
          <w:szCs w:val="24"/>
          <w:lang w:eastAsia="zh-CN"/>
        </w:rPr>
        <w:t>；</w:t>
      </w:r>
    </w:p>
    <w:p w14:paraId="03764422">
      <w:pPr>
        <w:pStyle w:val="102"/>
        <w:keepNext w:val="0"/>
        <w:keepLines w:val="0"/>
        <w:pageBreakBefore w:val="0"/>
        <w:widowControl w:val="0"/>
        <w:numPr>
          <w:ilvl w:val="0"/>
          <w:numId w:val="3"/>
        </w:numPr>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差旅</w:t>
      </w:r>
    </w:p>
    <w:p w14:paraId="6AA3B1F2">
      <w:pPr>
        <w:pStyle w:val="102"/>
        <w:keepNext w:val="0"/>
        <w:keepLines w:val="0"/>
        <w:pageBreakBefore w:val="0"/>
        <w:widowControl w:val="0"/>
        <w:numPr>
          <w:ilvl w:val="0"/>
          <w:numId w:val="0"/>
        </w:numPr>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1.交通：6人</w:t>
      </w:r>
      <w:r>
        <w:rPr>
          <w:rFonts w:hint="eastAsia" w:ascii="宋体" w:hAnsi="宋体"/>
          <w:b w:val="0"/>
          <w:bCs w:val="0"/>
          <w:color w:val="auto"/>
          <w:sz w:val="24"/>
          <w:szCs w:val="24"/>
          <w:lang w:eastAsia="zh-CN"/>
        </w:rPr>
        <w:t>（</w:t>
      </w:r>
      <w:r>
        <w:rPr>
          <w:rFonts w:hint="eastAsia" w:ascii="宋体" w:hAnsi="宋体"/>
          <w:b w:val="0"/>
          <w:bCs w:val="0"/>
          <w:color w:val="auto"/>
          <w:sz w:val="24"/>
          <w:szCs w:val="24"/>
        </w:rPr>
        <w:t>核心人员</w:t>
      </w:r>
      <w:r>
        <w:rPr>
          <w:rFonts w:hint="eastAsia" w:ascii="宋体" w:hAnsi="宋体"/>
          <w:b w:val="0"/>
          <w:bCs w:val="0"/>
          <w:color w:val="auto"/>
          <w:sz w:val="24"/>
          <w:szCs w:val="24"/>
          <w:lang w:eastAsia="zh-CN"/>
        </w:rPr>
        <w:t>）</w:t>
      </w:r>
      <w:r>
        <w:rPr>
          <w:rFonts w:hint="eastAsia" w:ascii="宋体" w:hAnsi="宋体"/>
          <w:b w:val="0"/>
          <w:bCs w:val="0"/>
          <w:color w:val="auto"/>
          <w:sz w:val="24"/>
          <w:szCs w:val="24"/>
        </w:rPr>
        <w:t>×2</w:t>
      </w:r>
      <w:r>
        <w:rPr>
          <w:rFonts w:hint="eastAsia" w:ascii="宋体" w:hAnsi="宋体"/>
          <w:b w:val="0"/>
          <w:bCs w:val="0"/>
          <w:color w:val="auto"/>
          <w:sz w:val="24"/>
          <w:szCs w:val="24"/>
          <w:lang w:val="en-US" w:eastAsia="zh-CN"/>
        </w:rPr>
        <w:t>次</w:t>
      </w:r>
      <w:r>
        <w:rPr>
          <w:rFonts w:hint="eastAsia" w:ascii="宋体" w:hAnsi="宋体"/>
          <w:b w:val="0"/>
          <w:bCs w:val="0"/>
          <w:color w:val="auto"/>
          <w:sz w:val="24"/>
          <w:szCs w:val="24"/>
        </w:rPr>
        <w:t>（往返）</w:t>
      </w:r>
      <w:r>
        <w:rPr>
          <w:rFonts w:hint="eastAsia" w:ascii="宋体" w:hAnsi="宋体"/>
          <w:b w:val="0"/>
          <w:bCs w:val="0"/>
          <w:color w:val="auto"/>
          <w:sz w:val="24"/>
          <w:szCs w:val="24"/>
          <w:lang w:eastAsia="zh-CN"/>
        </w:rPr>
        <w:t>；</w:t>
      </w:r>
    </w:p>
    <w:p w14:paraId="3E325E2B">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2.住宿：6人</w:t>
      </w:r>
      <w:r>
        <w:rPr>
          <w:rFonts w:hint="eastAsia" w:ascii="宋体" w:hAnsi="宋体"/>
          <w:b w:val="0"/>
          <w:bCs w:val="0"/>
          <w:color w:val="auto"/>
          <w:sz w:val="24"/>
          <w:szCs w:val="24"/>
          <w:lang w:eastAsia="zh-CN"/>
        </w:rPr>
        <w:t>（</w:t>
      </w:r>
      <w:r>
        <w:rPr>
          <w:rFonts w:hint="eastAsia" w:ascii="宋体" w:hAnsi="宋体"/>
          <w:b w:val="0"/>
          <w:bCs w:val="0"/>
          <w:color w:val="auto"/>
          <w:sz w:val="24"/>
          <w:szCs w:val="24"/>
        </w:rPr>
        <w:t>核心人员</w:t>
      </w:r>
      <w:r>
        <w:rPr>
          <w:rFonts w:hint="eastAsia" w:ascii="宋体" w:hAnsi="宋体"/>
          <w:b w:val="0"/>
          <w:bCs w:val="0"/>
          <w:color w:val="auto"/>
          <w:sz w:val="24"/>
          <w:szCs w:val="24"/>
          <w:lang w:eastAsia="zh-CN"/>
        </w:rPr>
        <w:t>）</w:t>
      </w:r>
      <w:r>
        <w:rPr>
          <w:rFonts w:hint="eastAsia" w:ascii="宋体" w:hAnsi="宋体"/>
          <w:b w:val="0"/>
          <w:bCs w:val="0"/>
          <w:color w:val="auto"/>
          <w:sz w:val="24"/>
          <w:szCs w:val="24"/>
        </w:rPr>
        <w:t>×2天</w:t>
      </w:r>
      <w:r>
        <w:rPr>
          <w:rFonts w:hint="eastAsia" w:ascii="宋体" w:hAnsi="宋体"/>
          <w:b w:val="0"/>
          <w:bCs w:val="0"/>
          <w:color w:val="auto"/>
          <w:sz w:val="24"/>
          <w:szCs w:val="24"/>
          <w:lang w:eastAsia="zh-CN"/>
        </w:rPr>
        <w:t>；</w:t>
      </w:r>
    </w:p>
    <w:p w14:paraId="789F1040">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（六）保险</w:t>
      </w:r>
    </w:p>
    <w:p w14:paraId="357C9561">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1.购买工作人员意外险：18</w:t>
      </w:r>
      <w:r>
        <w:rPr>
          <w:rFonts w:hint="eastAsia" w:ascii="宋体" w:hAnsi="宋体"/>
          <w:b w:val="0"/>
          <w:bCs w:val="0"/>
          <w:color w:val="auto"/>
          <w:sz w:val="24"/>
          <w:szCs w:val="24"/>
          <w:lang w:val="en-US" w:eastAsia="zh-CN"/>
        </w:rPr>
        <w:t>人</w:t>
      </w:r>
      <w:r>
        <w:rPr>
          <w:rFonts w:hint="eastAsia" w:ascii="宋体" w:hAnsi="宋体"/>
          <w:b w:val="0"/>
          <w:bCs w:val="0"/>
          <w:color w:val="auto"/>
          <w:sz w:val="24"/>
          <w:szCs w:val="24"/>
        </w:rPr>
        <w:t>×7天</w:t>
      </w:r>
      <w:r>
        <w:rPr>
          <w:rFonts w:hint="eastAsia" w:ascii="宋体" w:hAnsi="宋体"/>
          <w:b w:val="0"/>
          <w:bCs w:val="0"/>
          <w:color w:val="auto"/>
          <w:sz w:val="24"/>
          <w:szCs w:val="24"/>
          <w:lang w:eastAsia="zh-CN"/>
        </w:rPr>
        <w:t>；</w:t>
      </w:r>
    </w:p>
    <w:p w14:paraId="746B23F2">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2.购买活动场地的场地险：2场</w:t>
      </w:r>
      <w:r>
        <w:rPr>
          <w:rFonts w:hint="eastAsia" w:ascii="宋体" w:hAnsi="宋体"/>
          <w:b w:val="0"/>
          <w:bCs w:val="0"/>
          <w:color w:val="auto"/>
          <w:sz w:val="24"/>
          <w:szCs w:val="24"/>
          <w:lang w:eastAsia="zh-CN"/>
        </w:rPr>
        <w:t>；</w:t>
      </w:r>
    </w:p>
    <w:p w14:paraId="395167DC">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（七）执行服务</w:t>
      </w:r>
    </w:p>
    <w:p w14:paraId="1609B30E">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活动策划、执行：1天×2场活动</w:t>
      </w:r>
      <w:r>
        <w:rPr>
          <w:rFonts w:hint="eastAsia" w:ascii="宋体" w:hAnsi="宋体"/>
          <w:b w:val="0"/>
          <w:bCs w:val="0"/>
          <w:color w:val="auto"/>
          <w:sz w:val="24"/>
          <w:szCs w:val="24"/>
          <w:lang w:eastAsia="zh-CN"/>
        </w:rPr>
        <w:t>；</w:t>
      </w:r>
    </w:p>
    <w:p w14:paraId="05CA0FC3">
      <w:pPr>
        <w:pStyle w:val="102"/>
        <w:keepNext w:val="0"/>
        <w:keepLines w:val="0"/>
        <w:pageBreakBefore w:val="0"/>
        <w:widowControl w:val="0"/>
        <w:numPr>
          <w:ilvl w:val="0"/>
          <w:numId w:val="4"/>
        </w:numPr>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饮用水及常用急救药品</w:t>
      </w:r>
    </w:p>
    <w:p w14:paraId="337462D4">
      <w:pPr>
        <w:pStyle w:val="102"/>
        <w:keepNext w:val="0"/>
        <w:keepLines w:val="0"/>
        <w:pageBreakBefore w:val="0"/>
        <w:widowControl w:val="0"/>
        <w:numPr>
          <w:ilvl w:val="0"/>
          <w:numId w:val="0"/>
        </w:numPr>
        <w:kinsoku/>
        <w:wordWrap w:val="0"/>
        <w:overflowPunct/>
        <w:topLinePunct w:val="0"/>
        <w:autoSpaceDE/>
        <w:autoSpaceDN/>
        <w:bidi w:val="0"/>
        <w:adjustRightInd/>
        <w:snapToGrid w:val="0"/>
        <w:spacing w:line="360" w:lineRule="auto"/>
        <w:textAlignment w:val="auto"/>
        <w:outlineLvl w:val="0"/>
        <w:rPr>
          <w:rFonts w:hint="eastAsia" w:ascii="宋体" w:hAnsi="宋体"/>
          <w:b/>
          <w:bCs/>
          <w:color w:val="auto"/>
          <w:sz w:val="24"/>
          <w:szCs w:val="24"/>
        </w:rPr>
      </w:pPr>
      <w:r>
        <w:rPr>
          <w:rFonts w:hint="eastAsia" w:ascii="宋体" w:hAnsi="宋体"/>
          <w:b/>
          <w:bCs/>
          <w:color w:val="auto"/>
          <w:sz w:val="24"/>
          <w:szCs w:val="24"/>
        </w:rPr>
        <w:t>二、2025年自治区线上运动会</w:t>
      </w:r>
    </w:p>
    <w:p w14:paraId="45DD5FB4">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（一）线上系统开发费用</w:t>
      </w:r>
    </w:p>
    <w:p w14:paraId="19FA01B7">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项目开发预计15个工作日，系统开发费用为人力资源费用和第三方服务费。线上平台搭建：定制开发专属的线上运动会平台，或租赁成熟的赛事活动平台并进行个性化配置，确保平台具备报名管理、赛事直播、视频上传与审核、成绩统计、互动交流等功能。</w:t>
      </w:r>
    </w:p>
    <w:p w14:paraId="562FD175">
      <w:pPr>
        <w:pStyle w:val="102"/>
        <w:keepNext w:val="0"/>
        <w:keepLines w:val="0"/>
        <w:pageBreakBefore w:val="0"/>
        <w:widowControl w:val="0"/>
        <w:numPr>
          <w:ilvl w:val="0"/>
          <w:numId w:val="5"/>
        </w:numPr>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人力资源费用</w:t>
      </w:r>
    </w:p>
    <w:p w14:paraId="6386A46F">
      <w:pPr>
        <w:pStyle w:val="102"/>
        <w:keepNext w:val="0"/>
        <w:keepLines w:val="0"/>
        <w:pageBreakBefore w:val="0"/>
        <w:widowControl w:val="0"/>
        <w:numPr>
          <w:ilvl w:val="0"/>
          <w:numId w:val="0"/>
        </w:numPr>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‌策划人员‌：负责产品的构思、规划和分析，参与项目2人×</w:t>
      </w:r>
      <w:r>
        <w:rPr>
          <w:rFonts w:hint="eastAsia" w:ascii="宋体" w:hAnsi="宋体"/>
          <w:b w:val="0"/>
          <w:bCs w:val="0"/>
          <w:color w:val="auto"/>
          <w:sz w:val="24"/>
          <w:szCs w:val="24"/>
          <w:lang w:val="en-US" w:eastAsia="zh-CN"/>
        </w:rPr>
        <w:t>15天</w:t>
      </w:r>
      <w:r>
        <w:rPr>
          <w:rFonts w:hint="eastAsia" w:ascii="宋体" w:hAnsi="宋体"/>
          <w:b w:val="0"/>
          <w:bCs w:val="0"/>
          <w:color w:val="auto"/>
          <w:sz w:val="24"/>
          <w:szCs w:val="24"/>
          <w:lang w:eastAsia="zh-CN"/>
        </w:rPr>
        <w:t>；</w:t>
      </w:r>
    </w:p>
    <w:p w14:paraId="1C31FA70">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‌UI设计师‌：负责用户界面设计</w:t>
      </w:r>
      <w:r>
        <w:rPr>
          <w:rFonts w:hint="eastAsia" w:ascii="宋体" w:hAnsi="宋体"/>
          <w:b w:val="0"/>
          <w:bCs w:val="0"/>
          <w:color w:val="auto"/>
          <w:sz w:val="24"/>
          <w:szCs w:val="24"/>
          <w:lang w:eastAsia="zh-CN"/>
        </w:rPr>
        <w:t>，</w:t>
      </w:r>
      <w:r>
        <w:rPr>
          <w:rFonts w:hint="eastAsia" w:ascii="宋体" w:hAnsi="宋体"/>
          <w:b w:val="0"/>
          <w:bCs w:val="0"/>
          <w:color w:val="auto"/>
          <w:sz w:val="24"/>
          <w:szCs w:val="24"/>
        </w:rPr>
        <w:t>参与项目2人×</w:t>
      </w:r>
      <w:r>
        <w:rPr>
          <w:rFonts w:hint="eastAsia" w:ascii="宋体" w:hAnsi="宋体"/>
          <w:b w:val="0"/>
          <w:bCs w:val="0"/>
          <w:color w:val="auto"/>
          <w:sz w:val="24"/>
          <w:szCs w:val="24"/>
          <w:lang w:val="en-US" w:eastAsia="zh-CN"/>
        </w:rPr>
        <w:t>15天</w:t>
      </w:r>
      <w:r>
        <w:rPr>
          <w:rFonts w:hint="eastAsia" w:ascii="宋体" w:hAnsi="宋体"/>
          <w:b w:val="0"/>
          <w:bCs w:val="0"/>
          <w:color w:val="auto"/>
          <w:sz w:val="24"/>
          <w:szCs w:val="24"/>
          <w:lang w:eastAsia="zh-CN"/>
        </w:rPr>
        <w:t>；</w:t>
      </w:r>
    </w:p>
    <w:p w14:paraId="0F1E4D98">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‌前端开发工程师‌：负责前端开发</w:t>
      </w:r>
      <w:r>
        <w:rPr>
          <w:rFonts w:hint="eastAsia" w:ascii="宋体" w:hAnsi="宋体"/>
          <w:b w:val="0"/>
          <w:bCs w:val="0"/>
          <w:color w:val="auto"/>
          <w:sz w:val="24"/>
          <w:szCs w:val="24"/>
          <w:lang w:eastAsia="zh-CN"/>
        </w:rPr>
        <w:t>，</w:t>
      </w:r>
      <w:r>
        <w:rPr>
          <w:rFonts w:hint="eastAsia" w:ascii="宋体" w:hAnsi="宋体"/>
          <w:b w:val="0"/>
          <w:bCs w:val="0"/>
          <w:color w:val="auto"/>
          <w:sz w:val="24"/>
          <w:szCs w:val="24"/>
        </w:rPr>
        <w:t>参与项目3人×15天</w:t>
      </w:r>
      <w:r>
        <w:rPr>
          <w:rFonts w:hint="eastAsia" w:ascii="宋体" w:hAnsi="宋体"/>
          <w:b w:val="0"/>
          <w:bCs w:val="0"/>
          <w:color w:val="auto"/>
          <w:sz w:val="24"/>
          <w:szCs w:val="24"/>
          <w:lang w:eastAsia="zh-CN"/>
        </w:rPr>
        <w:t>；</w:t>
      </w:r>
    </w:p>
    <w:p w14:paraId="5A669B55">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‌后端开发工程师‌：负责后端开发</w:t>
      </w:r>
      <w:r>
        <w:rPr>
          <w:rFonts w:hint="eastAsia" w:ascii="宋体" w:hAnsi="宋体"/>
          <w:b w:val="0"/>
          <w:bCs w:val="0"/>
          <w:color w:val="auto"/>
          <w:sz w:val="24"/>
          <w:szCs w:val="24"/>
          <w:lang w:eastAsia="zh-CN"/>
        </w:rPr>
        <w:t>，</w:t>
      </w:r>
      <w:r>
        <w:rPr>
          <w:rFonts w:hint="eastAsia" w:ascii="宋体" w:hAnsi="宋体"/>
          <w:b w:val="0"/>
          <w:bCs w:val="0"/>
          <w:color w:val="auto"/>
          <w:sz w:val="24"/>
          <w:szCs w:val="24"/>
        </w:rPr>
        <w:t>参与项目3人×</w:t>
      </w:r>
      <w:r>
        <w:rPr>
          <w:rFonts w:hint="eastAsia" w:ascii="宋体" w:hAnsi="宋体"/>
          <w:b w:val="0"/>
          <w:bCs w:val="0"/>
          <w:color w:val="auto"/>
          <w:sz w:val="24"/>
          <w:szCs w:val="24"/>
          <w:lang w:val="en-US" w:eastAsia="zh-CN"/>
        </w:rPr>
        <w:t>15天</w:t>
      </w:r>
      <w:r>
        <w:rPr>
          <w:rFonts w:hint="eastAsia" w:ascii="宋体" w:hAnsi="宋体"/>
          <w:b w:val="0"/>
          <w:bCs w:val="0"/>
          <w:color w:val="auto"/>
          <w:sz w:val="24"/>
          <w:szCs w:val="24"/>
          <w:lang w:eastAsia="zh-CN"/>
        </w:rPr>
        <w:t>；</w:t>
      </w:r>
    </w:p>
    <w:p w14:paraId="28C3A242">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‌测试人员‌：负责产品测试</w:t>
      </w:r>
      <w:r>
        <w:rPr>
          <w:rFonts w:hint="eastAsia" w:ascii="宋体" w:hAnsi="宋体"/>
          <w:b w:val="0"/>
          <w:bCs w:val="0"/>
          <w:color w:val="auto"/>
          <w:sz w:val="24"/>
          <w:szCs w:val="24"/>
          <w:lang w:eastAsia="zh-CN"/>
        </w:rPr>
        <w:t>，</w:t>
      </w:r>
      <w:r>
        <w:rPr>
          <w:rFonts w:hint="eastAsia" w:ascii="宋体" w:hAnsi="宋体"/>
          <w:b w:val="0"/>
          <w:bCs w:val="0"/>
          <w:color w:val="auto"/>
          <w:sz w:val="24"/>
          <w:szCs w:val="24"/>
        </w:rPr>
        <w:t>参与项目4人×</w:t>
      </w:r>
      <w:r>
        <w:rPr>
          <w:rFonts w:hint="eastAsia" w:ascii="宋体" w:hAnsi="宋体"/>
          <w:b w:val="0"/>
          <w:bCs w:val="0"/>
          <w:color w:val="auto"/>
          <w:sz w:val="24"/>
          <w:szCs w:val="24"/>
          <w:lang w:val="en-US" w:eastAsia="zh-CN"/>
        </w:rPr>
        <w:t>15天</w:t>
      </w:r>
      <w:r>
        <w:rPr>
          <w:rFonts w:hint="eastAsia" w:ascii="宋体" w:hAnsi="宋体"/>
          <w:b w:val="0"/>
          <w:bCs w:val="0"/>
          <w:color w:val="auto"/>
          <w:sz w:val="24"/>
          <w:szCs w:val="24"/>
          <w:lang w:eastAsia="zh-CN"/>
        </w:rPr>
        <w:t>；</w:t>
      </w:r>
    </w:p>
    <w:p w14:paraId="158AD0DD">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2.第三方服务费</w:t>
      </w:r>
    </w:p>
    <w:p w14:paraId="129BE487">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lang w:eastAsia="zh-CN"/>
        </w:rPr>
      </w:pPr>
      <w:r>
        <w:rPr>
          <w:rFonts w:hint="eastAsia" w:ascii="宋体" w:hAnsi="宋体"/>
          <w:b w:val="0"/>
          <w:bCs w:val="0"/>
          <w:color w:val="auto"/>
          <w:sz w:val="24"/>
          <w:szCs w:val="24"/>
        </w:rPr>
        <w:t>‌平台费用‌：小程序开发平台的技术维护和管理费用，使用期内平台服务费</w:t>
      </w:r>
      <w:r>
        <w:rPr>
          <w:rFonts w:hint="eastAsia" w:ascii="宋体" w:hAnsi="宋体"/>
          <w:b w:val="0"/>
          <w:bCs w:val="0"/>
          <w:color w:val="auto"/>
          <w:sz w:val="24"/>
          <w:szCs w:val="24"/>
          <w:lang w:eastAsia="zh-CN"/>
        </w:rPr>
        <w:t>。</w:t>
      </w:r>
    </w:p>
    <w:p w14:paraId="3EC6A71E">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‌服务器费用‌：根据本次活动服务器的配置和流量大小确定，使用期内‌服务器费用。</w:t>
      </w:r>
    </w:p>
    <w:p w14:paraId="2F821154">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‌数据库费用‌‌：根据本次活动数据库的类型和大小确定，使用期内‌数据库费用。</w:t>
      </w:r>
    </w:p>
    <w:p w14:paraId="3206ABE5">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（二）线上运维推广费用</w:t>
      </w:r>
    </w:p>
    <w:p w14:paraId="6CDFF66E">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项目运维不少于60天，按照60天计算，配备2名技术人员，2名专职运维人员，4名专职现场推广人员，2名数据管理，12名赛事评审人员。</w:t>
      </w:r>
    </w:p>
    <w:p w14:paraId="4C8170B9">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1.技术费用</w:t>
      </w:r>
    </w:p>
    <w:p w14:paraId="2F816B60">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运动会期间安排专业技术人员进行实时技术维护，确保平台稳定运行，及时处理各类技术问题</w:t>
      </w:r>
      <w:r>
        <w:rPr>
          <w:rFonts w:hint="eastAsia" w:ascii="宋体" w:hAnsi="宋体"/>
          <w:b w:val="0"/>
          <w:bCs w:val="0"/>
          <w:color w:val="auto"/>
          <w:sz w:val="24"/>
          <w:szCs w:val="24"/>
          <w:lang w:eastAsia="zh-CN"/>
        </w:rPr>
        <w:t>：</w:t>
      </w:r>
      <w:r>
        <w:rPr>
          <w:rFonts w:hint="eastAsia" w:ascii="宋体" w:hAnsi="宋体"/>
          <w:b w:val="0"/>
          <w:bCs w:val="0"/>
          <w:color w:val="auto"/>
          <w:sz w:val="24"/>
          <w:szCs w:val="24"/>
        </w:rPr>
        <w:t>60天×2人</w:t>
      </w:r>
      <w:r>
        <w:rPr>
          <w:rFonts w:hint="eastAsia" w:ascii="宋体" w:hAnsi="宋体"/>
          <w:b w:val="0"/>
          <w:bCs w:val="0"/>
          <w:color w:val="auto"/>
          <w:sz w:val="24"/>
          <w:szCs w:val="24"/>
          <w:lang w:eastAsia="zh-CN"/>
        </w:rPr>
        <w:t>；</w:t>
      </w:r>
    </w:p>
    <w:p w14:paraId="76C485C7">
      <w:pPr>
        <w:pStyle w:val="102"/>
        <w:keepNext w:val="0"/>
        <w:keepLines w:val="0"/>
        <w:pageBreakBefore w:val="0"/>
        <w:widowControl w:val="0"/>
        <w:numPr>
          <w:ilvl w:val="0"/>
          <w:numId w:val="5"/>
        </w:numPr>
        <w:kinsoku/>
        <w:wordWrap w:val="0"/>
        <w:overflowPunct/>
        <w:topLinePunct w:val="0"/>
        <w:autoSpaceDE/>
        <w:autoSpaceDN/>
        <w:bidi w:val="0"/>
        <w:adjustRightInd/>
        <w:snapToGrid w:val="0"/>
        <w:spacing w:line="360" w:lineRule="auto"/>
        <w:ind w:left="0" w:leftChars="0"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运维费用</w:t>
      </w:r>
    </w:p>
    <w:p w14:paraId="596DF487">
      <w:pPr>
        <w:pStyle w:val="102"/>
        <w:keepNext w:val="0"/>
        <w:keepLines w:val="0"/>
        <w:pageBreakBefore w:val="0"/>
        <w:widowControl w:val="0"/>
        <w:numPr>
          <w:ilvl w:val="0"/>
          <w:numId w:val="0"/>
        </w:numPr>
        <w:kinsoku/>
        <w:wordWrap w:val="0"/>
        <w:overflowPunct/>
        <w:topLinePunct w:val="0"/>
        <w:autoSpaceDE/>
        <w:autoSpaceDN/>
        <w:bidi w:val="0"/>
        <w:adjustRightInd/>
        <w:snapToGrid w:val="0"/>
        <w:spacing w:line="360" w:lineRule="auto"/>
        <w:ind w:left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负责赛事的日常运营管理，包括报名信息审核、选手沟通、赛事流程推进等</w:t>
      </w:r>
    </w:p>
    <w:p w14:paraId="3684F5C6">
      <w:pPr>
        <w:pStyle w:val="102"/>
        <w:keepNext w:val="0"/>
        <w:keepLines w:val="0"/>
        <w:pageBreakBefore w:val="0"/>
        <w:widowControl w:val="0"/>
        <w:numPr>
          <w:ilvl w:val="0"/>
          <w:numId w:val="0"/>
        </w:numPr>
        <w:kinsoku/>
        <w:wordWrap w:val="0"/>
        <w:overflowPunct/>
        <w:topLinePunct w:val="0"/>
        <w:autoSpaceDE/>
        <w:autoSpaceDN/>
        <w:bidi w:val="0"/>
        <w:adjustRightInd/>
        <w:snapToGrid w:val="0"/>
        <w:spacing w:line="360" w:lineRule="auto"/>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工作</w:t>
      </w:r>
      <w:r>
        <w:rPr>
          <w:rFonts w:hint="eastAsia" w:ascii="宋体" w:hAnsi="宋体"/>
          <w:b w:val="0"/>
          <w:bCs w:val="0"/>
          <w:color w:val="auto"/>
          <w:sz w:val="24"/>
          <w:szCs w:val="24"/>
          <w:lang w:eastAsia="zh-CN"/>
        </w:rPr>
        <w:t>：</w:t>
      </w:r>
      <w:r>
        <w:rPr>
          <w:rFonts w:hint="eastAsia" w:ascii="宋体" w:hAnsi="宋体"/>
          <w:b w:val="0"/>
          <w:bCs w:val="0"/>
          <w:color w:val="auto"/>
          <w:sz w:val="24"/>
          <w:szCs w:val="24"/>
        </w:rPr>
        <w:t>60天×2人</w:t>
      </w:r>
      <w:r>
        <w:rPr>
          <w:rFonts w:hint="eastAsia" w:ascii="宋体" w:hAnsi="宋体"/>
          <w:b w:val="0"/>
          <w:bCs w:val="0"/>
          <w:color w:val="auto"/>
          <w:sz w:val="24"/>
          <w:szCs w:val="24"/>
          <w:lang w:eastAsia="zh-CN"/>
        </w:rPr>
        <w:t>；</w:t>
      </w:r>
    </w:p>
    <w:p w14:paraId="48CA1E35">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3.推广费用</w:t>
      </w:r>
    </w:p>
    <w:p w14:paraId="76C9AB7B">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与新疆本地及体育相关的知名社交媒体账号合作，进行赛事推广，让更多的人参与比赛，包括发布赛事信息、精彩瞬间回顾、选手风采展示、新闻稿撰写发布等内容</w:t>
      </w:r>
      <w:r>
        <w:rPr>
          <w:rFonts w:hint="eastAsia" w:ascii="宋体" w:hAnsi="宋体"/>
          <w:b w:val="0"/>
          <w:bCs w:val="0"/>
          <w:color w:val="auto"/>
          <w:sz w:val="24"/>
          <w:szCs w:val="24"/>
          <w:lang w:eastAsia="zh-CN"/>
        </w:rPr>
        <w:t>：</w:t>
      </w:r>
      <w:r>
        <w:rPr>
          <w:rFonts w:hint="eastAsia" w:ascii="宋体" w:hAnsi="宋体"/>
          <w:b w:val="0"/>
          <w:bCs w:val="0"/>
          <w:color w:val="auto"/>
          <w:sz w:val="24"/>
          <w:szCs w:val="24"/>
        </w:rPr>
        <w:t>60天×4人</w:t>
      </w:r>
      <w:r>
        <w:rPr>
          <w:rFonts w:hint="eastAsia" w:ascii="宋体" w:hAnsi="宋体"/>
          <w:b w:val="0"/>
          <w:bCs w:val="0"/>
          <w:color w:val="auto"/>
          <w:sz w:val="24"/>
          <w:szCs w:val="24"/>
          <w:lang w:eastAsia="zh-CN"/>
        </w:rPr>
        <w:t>；</w:t>
      </w:r>
    </w:p>
    <w:p w14:paraId="2BE05B4C">
      <w:pPr>
        <w:pStyle w:val="102"/>
        <w:keepNext w:val="0"/>
        <w:keepLines w:val="0"/>
        <w:pageBreakBefore w:val="0"/>
        <w:widowControl w:val="0"/>
        <w:numPr>
          <w:ilvl w:val="0"/>
          <w:numId w:val="0"/>
        </w:numPr>
        <w:kinsoku/>
        <w:wordWrap w:val="0"/>
        <w:overflowPunct/>
        <w:topLinePunct w:val="0"/>
        <w:autoSpaceDE/>
        <w:autoSpaceDN/>
        <w:bidi w:val="0"/>
        <w:adjustRightInd/>
        <w:snapToGrid w:val="0"/>
        <w:spacing w:line="360" w:lineRule="auto"/>
        <w:ind w:left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lang w:val="en-US" w:eastAsia="zh-CN"/>
        </w:rPr>
        <w:t>4.</w:t>
      </w:r>
      <w:r>
        <w:rPr>
          <w:rFonts w:hint="eastAsia" w:ascii="宋体" w:hAnsi="宋体"/>
          <w:b w:val="0"/>
          <w:bCs w:val="0"/>
          <w:color w:val="auto"/>
          <w:sz w:val="24"/>
          <w:szCs w:val="24"/>
        </w:rPr>
        <w:t>线下推广服务费用</w:t>
      </w:r>
    </w:p>
    <w:p w14:paraId="0436060E">
      <w:pPr>
        <w:pStyle w:val="102"/>
        <w:keepNext w:val="0"/>
        <w:keepLines w:val="0"/>
        <w:pageBreakBefore w:val="0"/>
        <w:widowControl w:val="0"/>
        <w:numPr>
          <w:ilvl w:val="0"/>
          <w:numId w:val="0"/>
        </w:numPr>
        <w:kinsoku/>
        <w:wordWrap w:val="0"/>
        <w:overflowPunct/>
        <w:topLinePunct w:val="0"/>
        <w:autoSpaceDE/>
        <w:autoSpaceDN/>
        <w:bidi w:val="0"/>
        <w:adjustRightInd/>
        <w:snapToGrid w:val="0"/>
        <w:spacing w:line="360" w:lineRule="auto"/>
        <w:ind w:left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在新疆各地的体育馆、社区活动中心、学校等人员聚集的公共体育场地张贴</w:t>
      </w:r>
    </w:p>
    <w:p w14:paraId="5A2E8613">
      <w:pPr>
        <w:pStyle w:val="102"/>
        <w:keepNext w:val="0"/>
        <w:keepLines w:val="0"/>
        <w:pageBreakBefore w:val="0"/>
        <w:widowControl w:val="0"/>
        <w:numPr>
          <w:ilvl w:val="0"/>
          <w:numId w:val="0"/>
        </w:numPr>
        <w:kinsoku/>
        <w:wordWrap w:val="0"/>
        <w:overflowPunct/>
        <w:topLinePunct w:val="0"/>
        <w:autoSpaceDE/>
        <w:autoSpaceDN/>
        <w:bidi w:val="0"/>
        <w:adjustRightInd/>
        <w:snapToGrid w:val="0"/>
        <w:spacing w:line="360" w:lineRule="auto"/>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海报、发放传单，提高赛事的知晓度和参与度。</w:t>
      </w:r>
    </w:p>
    <w:p w14:paraId="6E753E65">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海报设计及印刷：30张</w:t>
      </w:r>
      <w:r>
        <w:rPr>
          <w:rFonts w:hint="eastAsia" w:ascii="宋体" w:hAnsi="宋体"/>
          <w:b w:val="0"/>
          <w:bCs w:val="0"/>
          <w:color w:val="auto"/>
          <w:sz w:val="24"/>
          <w:szCs w:val="24"/>
          <w:lang w:eastAsia="zh-CN"/>
        </w:rPr>
        <w:t>；</w:t>
      </w:r>
    </w:p>
    <w:p w14:paraId="2753F0A6">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张贴人工费用：14人</w:t>
      </w:r>
      <w:r>
        <w:rPr>
          <w:rFonts w:hint="eastAsia" w:ascii="宋体" w:hAnsi="宋体"/>
          <w:b w:val="0"/>
          <w:bCs w:val="0"/>
          <w:color w:val="auto"/>
          <w:sz w:val="24"/>
          <w:szCs w:val="24"/>
          <w:lang w:eastAsia="zh-CN"/>
        </w:rPr>
        <w:t>；</w:t>
      </w:r>
    </w:p>
    <w:p w14:paraId="30C6F68E">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5.赛事评审费用</w:t>
      </w:r>
    </w:p>
    <w:p w14:paraId="20647F6E">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组建专业评审团队，对参赛作品（如运动视频等）进行公正、专业的评审。每个项目配备专业评审及裁判长。</w:t>
      </w:r>
    </w:p>
    <w:p w14:paraId="31E56475">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6.数据管理费用</w:t>
      </w:r>
    </w:p>
    <w:p w14:paraId="5635C806">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安排专人进行比赛数据的整理、统计与分析，确保比赛成绩的准确性和公正性。</w:t>
      </w:r>
    </w:p>
    <w:p w14:paraId="2C25752E">
      <w:pPr>
        <w:pStyle w:val="102"/>
        <w:keepNext w:val="0"/>
        <w:keepLines w:val="0"/>
        <w:pageBreakBefore w:val="0"/>
        <w:widowControl w:val="0"/>
        <w:kinsoku/>
        <w:wordWrap w:val="0"/>
        <w:overflowPunct/>
        <w:topLinePunct w:val="0"/>
        <w:autoSpaceDE/>
        <w:autoSpaceDN/>
        <w:bidi w:val="0"/>
        <w:adjustRightInd/>
        <w:snapToGrid w:val="0"/>
        <w:spacing w:line="360" w:lineRule="auto"/>
        <w:textAlignment w:val="auto"/>
        <w:outlineLvl w:val="0"/>
        <w:rPr>
          <w:rFonts w:hint="eastAsia" w:ascii="宋体" w:hAnsi="宋体"/>
          <w:b w:val="0"/>
          <w:bCs w:val="0"/>
          <w:color w:val="auto"/>
          <w:sz w:val="24"/>
          <w:szCs w:val="24"/>
        </w:rPr>
      </w:pPr>
      <w:r>
        <w:rPr>
          <w:rFonts w:hint="eastAsia" w:ascii="宋体" w:hAnsi="宋体"/>
          <w:b/>
          <w:bCs/>
          <w:color w:val="auto"/>
          <w:sz w:val="24"/>
          <w:szCs w:val="24"/>
        </w:rPr>
        <w:t>三、哈密市国民体质监测</w:t>
      </w:r>
    </w:p>
    <w:p w14:paraId="0ABFA689">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（一）物料费</w:t>
      </w:r>
    </w:p>
    <w:p w14:paraId="0650B783">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1. 背景板制作：4个；</w:t>
      </w:r>
    </w:p>
    <w:p w14:paraId="68DDD064">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2. 横幅制作：16条；</w:t>
      </w:r>
    </w:p>
    <w:p w14:paraId="2ECA5318">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lang w:eastAsia="zh-CN"/>
        </w:rPr>
      </w:pPr>
      <w:r>
        <w:rPr>
          <w:rFonts w:hint="eastAsia" w:ascii="宋体" w:hAnsi="宋体"/>
          <w:b w:val="0"/>
          <w:bCs w:val="0"/>
          <w:color w:val="auto"/>
          <w:sz w:val="24"/>
          <w:szCs w:val="24"/>
        </w:rPr>
        <w:t>3. 监测耗材购置（肺活量吹嘴、鞋套、报告打印等）：4000套</w:t>
      </w:r>
      <w:r>
        <w:rPr>
          <w:rFonts w:hint="eastAsia" w:ascii="宋体" w:hAnsi="宋体"/>
          <w:b w:val="0"/>
          <w:bCs w:val="0"/>
          <w:color w:val="auto"/>
          <w:sz w:val="24"/>
          <w:szCs w:val="24"/>
          <w:lang w:eastAsia="zh-CN"/>
        </w:rPr>
        <w:t>；</w:t>
      </w:r>
    </w:p>
    <w:p w14:paraId="4C0B2C74">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4. 卫生用品（酒精、湿巾等）购置：20套；</w:t>
      </w:r>
    </w:p>
    <w:p w14:paraId="6BC266B2">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5. 矿泉水购置：4500瓶；</w:t>
      </w:r>
    </w:p>
    <w:p w14:paraId="0A111B3C">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6. 测试人员服装及证件制作：20套；</w:t>
      </w:r>
    </w:p>
    <w:p w14:paraId="4CE4B3A4">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7. 办公用品（笔、夹板、电池等）购置</w:t>
      </w:r>
      <w:r>
        <w:rPr>
          <w:rFonts w:hint="eastAsia" w:ascii="宋体" w:hAnsi="宋体"/>
          <w:b w:val="0"/>
          <w:bCs w:val="0"/>
          <w:color w:val="auto"/>
          <w:sz w:val="24"/>
          <w:szCs w:val="24"/>
          <w:lang w:eastAsia="zh-CN"/>
        </w:rPr>
        <w:t>；</w:t>
      </w:r>
    </w:p>
    <w:p w14:paraId="5AD3FD78">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（二）设备使用及运输费</w:t>
      </w:r>
    </w:p>
    <w:p w14:paraId="267F43EE">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1.设备使用：2套；</w:t>
      </w:r>
    </w:p>
    <w:p w14:paraId="2CB58A09">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2.设备运输：5次×2辆</w:t>
      </w:r>
      <w:r>
        <w:rPr>
          <w:rFonts w:hint="eastAsia" w:ascii="宋体" w:hAnsi="宋体"/>
          <w:b w:val="0"/>
          <w:bCs w:val="0"/>
          <w:color w:val="auto"/>
          <w:sz w:val="24"/>
          <w:szCs w:val="24"/>
          <w:lang w:eastAsia="zh-CN"/>
        </w:rPr>
        <w:t>；</w:t>
      </w:r>
    </w:p>
    <w:p w14:paraId="704E382E">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（三）监测人员保险</w:t>
      </w:r>
    </w:p>
    <w:p w14:paraId="17FB63E6">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监测人员保险：4000人</w:t>
      </w:r>
      <w:r>
        <w:rPr>
          <w:rFonts w:hint="eastAsia" w:ascii="宋体" w:hAnsi="宋体"/>
          <w:b w:val="0"/>
          <w:bCs w:val="0"/>
          <w:color w:val="auto"/>
          <w:sz w:val="24"/>
          <w:szCs w:val="24"/>
          <w:lang w:eastAsia="zh-CN"/>
        </w:rPr>
        <w:t>；</w:t>
      </w:r>
    </w:p>
    <w:p w14:paraId="30818C74">
      <w:pPr>
        <w:pStyle w:val="102"/>
        <w:keepNext w:val="0"/>
        <w:keepLines w:val="0"/>
        <w:pageBreakBefore w:val="0"/>
        <w:widowControl w:val="0"/>
        <w:numPr>
          <w:ilvl w:val="0"/>
          <w:numId w:val="6"/>
        </w:numPr>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交通食宿</w:t>
      </w:r>
    </w:p>
    <w:p w14:paraId="451EE256">
      <w:pPr>
        <w:pStyle w:val="102"/>
        <w:keepNext w:val="0"/>
        <w:keepLines w:val="0"/>
        <w:pageBreakBefore w:val="0"/>
        <w:widowControl w:val="0"/>
        <w:numPr>
          <w:ilvl w:val="0"/>
          <w:numId w:val="0"/>
        </w:numPr>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1. 市内交通</w:t>
      </w:r>
      <w:r>
        <w:rPr>
          <w:rFonts w:hint="eastAsia" w:ascii="宋体" w:hAnsi="宋体"/>
          <w:b w:val="0"/>
          <w:bCs w:val="0"/>
          <w:color w:val="auto"/>
          <w:sz w:val="24"/>
          <w:szCs w:val="24"/>
          <w:lang w:eastAsia="zh-CN"/>
        </w:rPr>
        <w:t>：</w:t>
      </w:r>
      <w:r>
        <w:rPr>
          <w:rFonts w:hint="eastAsia" w:ascii="宋体" w:hAnsi="宋体"/>
          <w:b w:val="0"/>
          <w:bCs w:val="0"/>
          <w:color w:val="auto"/>
          <w:sz w:val="24"/>
          <w:szCs w:val="24"/>
        </w:rPr>
        <w:t>驻地-监测场地往返市内交通费：1辆车（20座）×22天；</w:t>
      </w:r>
    </w:p>
    <w:p w14:paraId="1CED0E14">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2.</w:t>
      </w:r>
      <w:r>
        <w:rPr>
          <w:rFonts w:hint="eastAsia" w:ascii="宋体" w:hAnsi="宋体"/>
          <w:b w:val="0"/>
          <w:bCs w:val="0"/>
          <w:color w:val="auto"/>
          <w:sz w:val="24"/>
          <w:szCs w:val="24"/>
          <w:lang w:val="en-US" w:eastAsia="zh-CN"/>
        </w:rPr>
        <w:t xml:space="preserve"> </w:t>
      </w:r>
      <w:r>
        <w:rPr>
          <w:rFonts w:hint="eastAsia" w:ascii="宋体" w:hAnsi="宋体"/>
          <w:b w:val="0"/>
          <w:bCs w:val="0"/>
          <w:color w:val="auto"/>
          <w:sz w:val="24"/>
          <w:szCs w:val="24"/>
        </w:rPr>
        <w:t>食宿</w:t>
      </w:r>
      <w:r>
        <w:rPr>
          <w:rFonts w:hint="eastAsia" w:ascii="宋体" w:hAnsi="宋体"/>
          <w:b w:val="0"/>
          <w:bCs w:val="0"/>
          <w:color w:val="auto"/>
          <w:sz w:val="24"/>
          <w:szCs w:val="24"/>
          <w:lang w:eastAsia="zh-CN"/>
        </w:rPr>
        <w:t>：</w:t>
      </w:r>
      <w:r>
        <w:rPr>
          <w:rFonts w:hint="eastAsia" w:ascii="宋体" w:hAnsi="宋体"/>
          <w:b w:val="0"/>
          <w:bCs w:val="0"/>
          <w:color w:val="auto"/>
          <w:sz w:val="24"/>
          <w:szCs w:val="24"/>
        </w:rPr>
        <w:t>20人×24天</w:t>
      </w:r>
      <w:r>
        <w:rPr>
          <w:rFonts w:hint="eastAsia" w:ascii="宋体" w:hAnsi="宋体"/>
          <w:b w:val="0"/>
          <w:bCs w:val="0"/>
          <w:color w:val="auto"/>
          <w:sz w:val="24"/>
          <w:szCs w:val="24"/>
          <w:lang w:eastAsia="zh-CN"/>
        </w:rPr>
        <w:t>；</w:t>
      </w:r>
    </w:p>
    <w:p w14:paraId="5D6DC6FB">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（五）工作费</w:t>
      </w:r>
    </w:p>
    <w:p w14:paraId="627EAEA1">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1. 监测工作：20人×24天；</w:t>
      </w:r>
    </w:p>
    <w:p w14:paraId="11FDBEC7">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2. 医护人员费：2人×24天</w:t>
      </w:r>
      <w:r>
        <w:rPr>
          <w:rFonts w:hint="eastAsia" w:ascii="宋体" w:hAnsi="宋体"/>
          <w:b w:val="0"/>
          <w:bCs w:val="0"/>
          <w:color w:val="auto"/>
          <w:sz w:val="24"/>
          <w:szCs w:val="24"/>
          <w:lang w:eastAsia="zh-CN"/>
        </w:rPr>
        <w:t>；</w:t>
      </w:r>
    </w:p>
    <w:p w14:paraId="670D557B">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b w:val="0"/>
          <w:bCs w:val="0"/>
          <w:color w:val="auto"/>
          <w:sz w:val="24"/>
          <w:szCs w:val="24"/>
        </w:rPr>
      </w:pPr>
      <w:r>
        <w:rPr>
          <w:rFonts w:hint="eastAsia" w:ascii="宋体" w:hAnsi="宋体"/>
          <w:b w:val="0"/>
          <w:bCs w:val="0"/>
          <w:color w:val="auto"/>
          <w:sz w:val="24"/>
          <w:szCs w:val="24"/>
        </w:rPr>
        <w:t>（六）报告撰写服务：</w:t>
      </w:r>
    </w:p>
    <w:p w14:paraId="66DEC7F6">
      <w:pPr>
        <w:pStyle w:val="102"/>
        <w:keepNext w:val="0"/>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outlineLvl w:val="0"/>
        <w:rPr>
          <w:rFonts w:hint="eastAsia" w:ascii="宋体" w:hAnsi="宋体" w:eastAsia="宋体"/>
          <w:b w:val="0"/>
          <w:bCs w:val="0"/>
          <w:color w:val="auto"/>
          <w:sz w:val="24"/>
          <w:szCs w:val="24"/>
          <w:lang w:eastAsia="zh-CN"/>
        </w:rPr>
      </w:pPr>
      <w:r>
        <w:rPr>
          <w:rFonts w:hint="eastAsia" w:ascii="宋体" w:hAnsi="宋体"/>
          <w:b w:val="0"/>
          <w:bCs w:val="0"/>
          <w:color w:val="auto"/>
          <w:sz w:val="24"/>
          <w:szCs w:val="24"/>
        </w:rPr>
        <w:t>数据收集、统计、分析并撰写总结报告：1份</w:t>
      </w:r>
      <w:r>
        <w:rPr>
          <w:rFonts w:hint="eastAsia" w:ascii="宋体" w:hAnsi="宋体"/>
          <w:b w:val="0"/>
          <w:bCs w:val="0"/>
          <w:color w:val="auto"/>
          <w:sz w:val="24"/>
          <w:szCs w:val="24"/>
          <w:lang w:eastAsia="zh-CN"/>
        </w:rPr>
        <w:t>；</w:t>
      </w:r>
    </w:p>
    <w:p w14:paraId="20BB1A34">
      <w:pPr>
        <w:pStyle w:val="102"/>
        <w:wordWrap w:val="0"/>
        <w:snapToGrid w:val="0"/>
        <w:spacing w:line="440" w:lineRule="atLeast"/>
        <w:ind w:firstLine="480" w:firstLineChars="200"/>
        <w:outlineLvl w:val="0"/>
        <w:rPr>
          <w:rFonts w:hint="eastAsia" w:ascii="宋体" w:hAnsi="宋体"/>
          <w:b w:val="0"/>
          <w:bCs w:val="0"/>
          <w:color w:val="auto"/>
          <w:sz w:val="24"/>
          <w:szCs w:val="24"/>
          <w:lang w:val="en-US" w:eastAsia="zh-CN"/>
        </w:rPr>
      </w:pPr>
      <w:r>
        <w:rPr>
          <w:rFonts w:hint="eastAsia" w:ascii="宋体" w:hAnsi="宋体"/>
          <w:b w:val="0"/>
          <w:bCs w:val="0"/>
          <w:color w:val="auto"/>
          <w:sz w:val="24"/>
          <w:szCs w:val="24"/>
          <w:lang w:val="en-US" w:eastAsia="zh-CN"/>
        </w:rPr>
        <w:t>注：</w:t>
      </w:r>
    </w:p>
    <w:p w14:paraId="4B38D255">
      <w:pPr>
        <w:pStyle w:val="102"/>
        <w:wordWrap w:val="0"/>
        <w:snapToGrid w:val="0"/>
        <w:spacing w:line="440" w:lineRule="atLeast"/>
        <w:ind w:firstLine="480" w:firstLineChars="200"/>
        <w:outlineLvl w:val="0"/>
        <w:rPr>
          <w:rFonts w:hint="eastAsia" w:ascii="宋体" w:hAnsi="宋体"/>
          <w:b w:val="0"/>
          <w:bCs w:val="0"/>
          <w:color w:val="auto"/>
          <w:sz w:val="24"/>
          <w:szCs w:val="24"/>
        </w:rPr>
      </w:pPr>
      <w:r>
        <w:rPr>
          <w:rFonts w:hint="eastAsia" w:ascii="宋体" w:hAnsi="宋体"/>
          <w:b w:val="0"/>
          <w:bCs w:val="0"/>
          <w:color w:val="auto"/>
          <w:sz w:val="24"/>
          <w:szCs w:val="24"/>
          <w:lang w:val="en-US" w:eastAsia="zh-CN"/>
        </w:rPr>
        <w:t>一、</w:t>
      </w:r>
      <w:r>
        <w:rPr>
          <w:rFonts w:hint="eastAsia" w:ascii="宋体" w:hAnsi="宋体"/>
          <w:b w:val="0"/>
          <w:bCs w:val="0"/>
          <w:color w:val="auto"/>
          <w:sz w:val="24"/>
          <w:szCs w:val="24"/>
        </w:rPr>
        <w:t>监测队需具备的条件</w:t>
      </w:r>
    </w:p>
    <w:p w14:paraId="71CCB7B0">
      <w:pPr>
        <w:pStyle w:val="102"/>
        <w:wordWrap w:val="0"/>
        <w:snapToGrid w:val="0"/>
        <w:spacing w:line="440" w:lineRule="atLeast"/>
        <w:ind w:firstLine="480" w:firstLineChars="200"/>
        <w:outlineLvl w:val="0"/>
        <w:rPr>
          <w:rFonts w:hint="eastAsia" w:ascii="宋体" w:hAnsi="宋体"/>
          <w:b w:val="0"/>
          <w:bCs w:val="0"/>
          <w:color w:val="auto"/>
          <w:sz w:val="24"/>
          <w:szCs w:val="24"/>
        </w:rPr>
      </w:pPr>
      <w:r>
        <w:rPr>
          <w:rFonts w:hint="eastAsia" w:ascii="宋体" w:hAnsi="宋体"/>
          <w:b w:val="0"/>
          <w:bCs w:val="0"/>
          <w:color w:val="auto"/>
          <w:sz w:val="24"/>
          <w:szCs w:val="24"/>
        </w:rPr>
        <w:t>1.每队至少拥有20名以上经过培训并考核通过的检测员(其中女性不少于3人)。</w:t>
      </w:r>
    </w:p>
    <w:p w14:paraId="56C30760">
      <w:pPr>
        <w:pStyle w:val="102"/>
        <w:wordWrap w:val="0"/>
        <w:snapToGrid w:val="0"/>
        <w:spacing w:line="440" w:lineRule="atLeast"/>
        <w:ind w:firstLine="480" w:firstLineChars="200"/>
        <w:outlineLvl w:val="0"/>
        <w:rPr>
          <w:rFonts w:hint="eastAsia" w:ascii="宋体" w:hAnsi="宋体"/>
          <w:b w:val="0"/>
          <w:bCs w:val="0"/>
          <w:color w:val="auto"/>
          <w:sz w:val="24"/>
          <w:szCs w:val="24"/>
        </w:rPr>
      </w:pPr>
      <w:r>
        <w:rPr>
          <w:rFonts w:hint="eastAsia" w:ascii="宋体" w:hAnsi="宋体"/>
          <w:b w:val="0"/>
          <w:bCs w:val="0"/>
          <w:color w:val="auto"/>
          <w:sz w:val="24"/>
          <w:szCs w:val="24"/>
        </w:rPr>
        <w:t>2.按要求配备国民体质监测的仪器、器材。</w:t>
      </w:r>
    </w:p>
    <w:p w14:paraId="78BD3C48">
      <w:pPr>
        <w:pStyle w:val="102"/>
        <w:wordWrap w:val="0"/>
        <w:snapToGrid w:val="0"/>
        <w:spacing w:line="440" w:lineRule="atLeast"/>
        <w:ind w:firstLine="480" w:firstLineChars="200"/>
        <w:outlineLvl w:val="0"/>
        <w:rPr>
          <w:rFonts w:hint="eastAsia" w:ascii="宋体" w:hAnsi="宋体"/>
          <w:b w:val="0"/>
          <w:bCs w:val="0"/>
          <w:color w:val="auto"/>
          <w:sz w:val="24"/>
          <w:szCs w:val="24"/>
        </w:rPr>
      </w:pPr>
      <w:r>
        <w:rPr>
          <w:rFonts w:hint="eastAsia" w:ascii="宋体" w:hAnsi="宋体"/>
          <w:b w:val="0"/>
          <w:bCs w:val="0"/>
          <w:color w:val="auto"/>
          <w:sz w:val="24"/>
          <w:szCs w:val="24"/>
        </w:rPr>
        <w:t>3.必须有医务保障人员，现场开展医务监督工作，保障测试安全进行。</w:t>
      </w:r>
    </w:p>
    <w:p w14:paraId="1AAF760E">
      <w:pPr>
        <w:pStyle w:val="102"/>
        <w:wordWrap w:val="0"/>
        <w:snapToGrid w:val="0"/>
        <w:spacing w:line="440" w:lineRule="atLeast"/>
        <w:ind w:firstLine="480" w:firstLineChars="200"/>
        <w:outlineLvl w:val="0"/>
        <w:rPr>
          <w:rFonts w:hint="eastAsia" w:ascii="宋体" w:hAnsi="宋体"/>
          <w:b w:val="0"/>
          <w:bCs w:val="0"/>
          <w:color w:val="auto"/>
          <w:sz w:val="24"/>
          <w:szCs w:val="24"/>
          <w:lang w:val="en-US" w:eastAsia="zh-CN"/>
        </w:rPr>
      </w:pPr>
      <w:r>
        <w:rPr>
          <w:rFonts w:hint="eastAsia" w:ascii="宋体" w:hAnsi="宋体"/>
          <w:b w:val="0"/>
          <w:bCs w:val="0"/>
          <w:color w:val="auto"/>
          <w:sz w:val="24"/>
          <w:szCs w:val="24"/>
          <w:lang w:val="en-US" w:eastAsia="zh-CN"/>
        </w:rPr>
        <w:t>二、监测仪器与器材</w:t>
      </w:r>
    </w:p>
    <w:p w14:paraId="219214D5">
      <w:pPr>
        <w:pStyle w:val="102"/>
        <w:wordWrap w:val="0"/>
        <w:snapToGrid w:val="0"/>
        <w:spacing w:line="440" w:lineRule="atLeast"/>
        <w:ind w:firstLine="480" w:firstLineChars="200"/>
        <w:outlineLvl w:val="0"/>
        <w:rPr>
          <w:rFonts w:hint="eastAsia" w:ascii="宋体" w:hAnsi="宋体"/>
          <w:b w:val="0"/>
          <w:bCs w:val="0"/>
          <w:color w:val="auto"/>
          <w:sz w:val="24"/>
          <w:szCs w:val="24"/>
          <w:lang w:val="en-US" w:eastAsia="zh-CN"/>
        </w:rPr>
      </w:pPr>
      <w:r>
        <w:rPr>
          <w:rFonts w:hint="eastAsia" w:ascii="宋体" w:hAnsi="宋体"/>
          <w:b w:val="0"/>
          <w:bCs w:val="0"/>
          <w:color w:val="auto"/>
          <w:sz w:val="24"/>
          <w:szCs w:val="24"/>
          <w:lang w:val="en-US" w:eastAsia="zh-CN"/>
        </w:rPr>
        <w:t>体育总局2020年统一配发的第五次国民体质监测仪器尚未到报废年限，第六次国民体质监测原则使用第五次国民体质监测的仪器、器材，体育总局不再统一配发。各省(区、市)仪器、器材的缺损部分根据情况自行修缮，如需另行采购，仪器、器材需满足以下条件:</w:t>
      </w:r>
    </w:p>
    <w:p w14:paraId="00EF8DA5">
      <w:pPr>
        <w:pStyle w:val="102"/>
        <w:wordWrap w:val="0"/>
        <w:snapToGrid w:val="0"/>
        <w:spacing w:line="440" w:lineRule="atLeast"/>
        <w:ind w:firstLine="480" w:firstLineChars="200"/>
        <w:outlineLvl w:val="0"/>
        <w:rPr>
          <w:rFonts w:hint="eastAsia" w:ascii="宋体" w:hAnsi="宋体"/>
          <w:b w:val="0"/>
          <w:bCs w:val="0"/>
          <w:color w:val="auto"/>
          <w:sz w:val="24"/>
          <w:szCs w:val="24"/>
          <w:lang w:val="en-US" w:eastAsia="zh-CN"/>
        </w:rPr>
      </w:pPr>
      <w:r>
        <w:rPr>
          <w:rFonts w:hint="eastAsia" w:ascii="宋体" w:hAnsi="宋体"/>
          <w:b w:val="0"/>
          <w:bCs w:val="0"/>
          <w:color w:val="auto"/>
          <w:sz w:val="24"/>
          <w:szCs w:val="24"/>
          <w:lang w:val="en-US" w:eastAsia="zh-CN"/>
        </w:rPr>
        <w:t>(一)测试方法需符合《国民体质测定标准(2023年修订)》的规定。</w:t>
      </w:r>
    </w:p>
    <w:p w14:paraId="38BBA52E">
      <w:pPr>
        <w:pStyle w:val="102"/>
        <w:wordWrap w:val="0"/>
        <w:snapToGrid w:val="0"/>
        <w:spacing w:line="440" w:lineRule="atLeast"/>
        <w:ind w:firstLine="480" w:firstLineChars="200"/>
        <w:outlineLvl w:val="0"/>
        <w:rPr>
          <w:rFonts w:hint="eastAsia" w:ascii="宋体" w:hAnsi="宋体"/>
          <w:b w:val="0"/>
          <w:bCs w:val="0"/>
          <w:color w:val="auto"/>
          <w:sz w:val="24"/>
          <w:szCs w:val="24"/>
          <w:lang w:val="en-US" w:eastAsia="zh-CN"/>
        </w:rPr>
      </w:pPr>
      <w:r>
        <w:rPr>
          <w:rFonts w:hint="eastAsia" w:ascii="宋体" w:hAnsi="宋体"/>
          <w:b w:val="0"/>
          <w:bCs w:val="0"/>
          <w:color w:val="auto"/>
          <w:sz w:val="24"/>
          <w:szCs w:val="24"/>
          <w:lang w:val="en-US" w:eastAsia="zh-CN"/>
        </w:rPr>
        <w:t>(二)产品质量需符合GB/T44700-2024《国民体质测试器材通用要求》的规定，并获得有资质的专业技术机构出具的产品质量检验合格证明。</w:t>
      </w:r>
    </w:p>
    <w:p w14:paraId="3BB7F462">
      <w:pPr>
        <w:pStyle w:val="102"/>
        <w:wordWrap w:val="0"/>
        <w:snapToGrid w:val="0"/>
        <w:spacing w:line="440" w:lineRule="atLeast"/>
        <w:ind w:firstLine="480" w:firstLineChars="200"/>
        <w:outlineLvl w:val="0"/>
        <w:rPr>
          <w:rFonts w:hint="eastAsia" w:ascii="宋体" w:hAnsi="宋体"/>
          <w:b w:val="0"/>
          <w:bCs w:val="0"/>
          <w:color w:val="auto"/>
          <w:sz w:val="24"/>
          <w:szCs w:val="24"/>
          <w:lang w:val="en-US" w:eastAsia="zh-CN"/>
        </w:rPr>
      </w:pPr>
      <w:r>
        <w:rPr>
          <w:rFonts w:hint="eastAsia" w:ascii="宋体" w:hAnsi="宋体"/>
          <w:b w:val="0"/>
          <w:bCs w:val="0"/>
          <w:color w:val="auto"/>
          <w:sz w:val="24"/>
          <w:szCs w:val="24"/>
          <w:lang w:val="en-US" w:eastAsia="zh-CN"/>
        </w:rPr>
        <w:t>(三)测试的信度、效度需符合T/CSSS 023-2025《国民体质测试器材校验要求》的规定，由中国计量科学研究院出具测试报告，并获得中国体育科学学会出具的标准符合性证明。</w:t>
      </w:r>
    </w:p>
    <w:p w14:paraId="6D2DBA03">
      <w:pPr>
        <w:pStyle w:val="102"/>
        <w:wordWrap w:val="0"/>
        <w:snapToGrid w:val="0"/>
        <w:spacing w:line="440" w:lineRule="atLeast"/>
        <w:ind w:firstLine="480" w:firstLineChars="200"/>
        <w:outlineLvl w:val="0"/>
        <w:rPr>
          <w:rFonts w:hint="eastAsia" w:ascii="宋体" w:hAnsi="宋体"/>
          <w:b w:val="0"/>
          <w:bCs w:val="0"/>
          <w:color w:val="auto"/>
          <w:sz w:val="24"/>
          <w:szCs w:val="24"/>
          <w:lang w:val="en-US" w:eastAsia="zh-CN"/>
        </w:rPr>
      </w:pPr>
      <w:r>
        <w:rPr>
          <w:rFonts w:hint="eastAsia" w:ascii="宋体" w:hAnsi="宋体"/>
          <w:b w:val="0"/>
          <w:bCs w:val="0"/>
          <w:color w:val="auto"/>
          <w:sz w:val="24"/>
          <w:szCs w:val="24"/>
          <w:lang w:val="en-US" w:eastAsia="zh-CN"/>
        </w:rPr>
        <w:t>(四)数据报送需符合T/CSSS 020-2024《国民体质监测数据接口要求》的规定，由通过CNAS实验室认可的机构出具测评报告，并获得中国体育科学学会出具的标准符合性证明。</w:t>
      </w:r>
    </w:p>
    <w:p w14:paraId="5CE2F4E6">
      <w:pPr>
        <w:pStyle w:val="102"/>
        <w:wordWrap w:val="0"/>
        <w:snapToGrid w:val="0"/>
        <w:spacing w:line="440" w:lineRule="atLeast"/>
        <w:ind w:firstLine="480" w:firstLineChars="200"/>
        <w:outlineLvl w:val="0"/>
        <w:rPr>
          <w:rFonts w:hint="eastAsia" w:ascii="宋体" w:hAnsi="宋体" w:eastAsia="宋体"/>
          <w:b w:val="0"/>
          <w:bCs w:val="0"/>
          <w:color w:val="auto"/>
          <w:sz w:val="24"/>
          <w:szCs w:val="24"/>
          <w:lang w:val="en-US" w:eastAsia="zh-CN"/>
        </w:rPr>
      </w:pPr>
      <w:r>
        <w:rPr>
          <w:rFonts w:hint="eastAsia" w:ascii="宋体" w:hAnsi="宋体"/>
          <w:b w:val="0"/>
          <w:bCs w:val="0"/>
          <w:color w:val="auto"/>
          <w:sz w:val="24"/>
          <w:szCs w:val="24"/>
          <w:lang w:val="en-US" w:eastAsia="zh-CN"/>
        </w:rPr>
        <w:t>(五)数据管理系统需使用国产系统，满足国家网络和数据安全的相关要求。</w:t>
      </w:r>
    </w:p>
    <w:p w14:paraId="6EC9CD9C">
      <w:pPr>
        <w:pStyle w:val="102"/>
        <w:wordWrap w:val="0"/>
        <w:snapToGrid w:val="0"/>
        <w:spacing w:line="440" w:lineRule="atLeast"/>
        <w:ind w:firstLine="480" w:firstLineChars="200"/>
        <w:outlineLvl w:val="0"/>
        <w:rPr>
          <w:rFonts w:hint="eastAsia" w:ascii="宋体" w:hAnsi="宋体"/>
          <w:b w:val="0"/>
          <w:bCs w:val="0"/>
          <w:color w:val="auto"/>
          <w:sz w:val="24"/>
          <w:szCs w:val="24"/>
        </w:rPr>
      </w:pPr>
    </w:p>
    <w:p w14:paraId="41FE5225">
      <w:pPr>
        <w:pStyle w:val="102"/>
        <w:wordWrap w:val="0"/>
        <w:snapToGrid w:val="0"/>
        <w:spacing w:line="440" w:lineRule="atLeast"/>
        <w:ind w:firstLine="480" w:firstLineChars="200"/>
        <w:outlineLvl w:val="0"/>
        <w:rPr>
          <w:rFonts w:ascii="宋体" w:hAnsi="宋体" w:cs="宋体"/>
          <w:color w:val="000000"/>
          <w:kern w:val="0"/>
          <w:sz w:val="28"/>
          <w:szCs w:val="28"/>
          <w:lang w:val="en-US"/>
        </w:rPr>
        <w:sectPr>
          <w:pgSz w:w="11906" w:h="16838"/>
          <w:pgMar w:top="1440" w:right="1800" w:bottom="1440" w:left="1800" w:header="851" w:footer="992" w:gutter="0"/>
          <w:pgNumType w:fmt="decimal"/>
          <w:cols w:space="425" w:num="1"/>
          <w:docGrid w:type="lines" w:linePitch="312" w:charSpace="0"/>
        </w:sectPr>
      </w:pPr>
      <w:r>
        <w:rPr>
          <w:rFonts w:hint="eastAsia" w:ascii="宋体" w:hAnsi="宋体"/>
          <w:b w:val="0"/>
          <w:bCs w:val="0"/>
          <w:color w:val="auto"/>
          <w:sz w:val="24"/>
          <w:szCs w:val="24"/>
        </w:rPr>
        <w:t>注：如对本招标文件有任何疑问或要求澄清，请按本招标文件的规定提出，否则视同理解和接受。</w:t>
      </w:r>
    </w:p>
    <w:p w14:paraId="299CA82F">
      <w:pPr>
        <w:pStyle w:val="3"/>
        <w:wordWrap w:val="0"/>
        <w:spacing w:before="0" w:after="0" w:line="240" w:lineRule="auto"/>
        <w:jc w:val="both"/>
        <w:rPr>
          <w:rFonts w:hint="eastAsia" w:ascii="宋体" w:hAnsi="宋体" w:cs="宋体"/>
          <w:b/>
          <w:bCs w:val="0"/>
          <w:color w:val="000000" w:themeColor="text1"/>
          <w:sz w:val="36"/>
          <w:szCs w:val="72"/>
          <w:highlight w:val="white"/>
          <w14:textFill>
            <w14:solidFill>
              <w14:schemeClr w14:val="tx1"/>
            </w14:solidFill>
          </w14:textFill>
        </w:rPr>
      </w:pPr>
      <w:bookmarkStart w:id="99" w:name="_Toc6399391"/>
      <w:bookmarkEnd w:id="99"/>
      <w:bookmarkStart w:id="100" w:name="_Toc5888556"/>
      <w:bookmarkEnd w:id="100"/>
      <w:bookmarkStart w:id="101" w:name="_Toc36032040"/>
      <w:bookmarkEnd w:id="101"/>
      <w:bookmarkStart w:id="102" w:name="_Toc36032162"/>
      <w:bookmarkEnd w:id="102"/>
      <w:bookmarkStart w:id="103" w:name="_Toc36031365"/>
      <w:bookmarkEnd w:id="103"/>
      <w:bookmarkStart w:id="104" w:name="_Toc534380786"/>
      <w:bookmarkStart w:id="105" w:name="_Toc6049"/>
    </w:p>
    <w:p w14:paraId="3339F5C1">
      <w:pPr>
        <w:pStyle w:val="3"/>
        <w:wordWrap w:val="0"/>
        <w:spacing w:before="0" w:after="0" w:line="240" w:lineRule="auto"/>
        <w:rPr>
          <w:rFonts w:ascii="宋体" w:hAnsi="宋体" w:cs="宋体"/>
          <w:b/>
          <w:bCs w:val="0"/>
          <w:color w:val="000000" w:themeColor="text1"/>
          <w:sz w:val="36"/>
          <w:szCs w:val="72"/>
          <w:highlight w:val="white"/>
          <w14:textFill>
            <w14:solidFill>
              <w14:schemeClr w14:val="tx1"/>
            </w14:solidFill>
          </w14:textFill>
        </w:rPr>
      </w:pPr>
      <w:r>
        <w:rPr>
          <w:rFonts w:hint="eastAsia" w:ascii="宋体" w:hAnsi="宋体" w:cs="宋体"/>
          <w:b/>
          <w:bCs w:val="0"/>
          <w:color w:val="000000" w:themeColor="text1"/>
          <w:sz w:val="36"/>
          <w:szCs w:val="72"/>
          <w:highlight w:val="white"/>
          <w14:textFill>
            <w14:solidFill>
              <w14:schemeClr w14:val="tx1"/>
            </w14:solidFill>
          </w14:textFill>
        </w:rPr>
        <w:t>第四章 评审方法</w:t>
      </w:r>
      <w:bookmarkEnd w:id="94"/>
      <w:bookmarkEnd w:id="95"/>
      <w:bookmarkEnd w:id="96"/>
      <w:bookmarkEnd w:id="97"/>
      <w:bookmarkEnd w:id="104"/>
      <w:bookmarkEnd w:id="105"/>
    </w:p>
    <w:p w14:paraId="0FB05B64">
      <w:pPr>
        <w:tabs>
          <w:tab w:val="left" w:pos="420"/>
          <w:tab w:val="left" w:pos="7560"/>
          <w:tab w:val="left" w:pos="7740"/>
          <w:tab w:val="left" w:pos="7920"/>
        </w:tabs>
        <w:wordWrap w:val="0"/>
        <w:adjustRightInd w:val="0"/>
        <w:snapToGrid w:val="0"/>
        <w:spacing w:line="500" w:lineRule="atLeast"/>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highlight w:val="white"/>
          <w14:textFill>
            <w14:solidFill>
              <w14:schemeClr w14:val="tx1"/>
            </w14:solidFill>
          </w14:textFill>
        </w:rPr>
        <w:t>一、综合评分</w:t>
      </w:r>
    </w:p>
    <w:p w14:paraId="12A2ED6D">
      <w:pPr>
        <w:wordWrap w:val="0"/>
        <w:adjustRightInd w:val="0"/>
        <w:snapToGrid w:val="0"/>
        <w:spacing w:line="500" w:lineRule="atLeas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1.经磋商确定最终采购需求和提交最后报价的投标人后，由磋商小组采用综合评分法对提交最后报价的投标人的响应文件和最后报价进行综合评分。</w:t>
      </w:r>
    </w:p>
    <w:p w14:paraId="3E3307A9">
      <w:pPr>
        <w:wordWrap w:val="0"/>
        <w:adjustRightInd w:val="0"/>
        <w:snapToGrid w:val="0"/>
        <w:spacing w:line="500" w:lineRule="atLeas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综合评分法，是指响应文件满足磋商文件全部实质性要求且按评审因素的量化指标评审得分最高的投标人为成交候选投标人的评审方法。</w:t>
      </w:r>
    </w:p>
    <w:p w14:paraId="2ABFC04B">
      <w:pPr>
        <w:wordWrap w:val="0"/>
        <w:adjustRightInd w:val="0"/>
        <w:snapToGrid w:val="0"/>
        <w:spacing w:line="500" w:lineRule="atLeas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highlight w:val="white"/>
          <w14:textFill>
            <w14:solidFill>
              <w14:schemeClr w14:val="tx1"/>
            </w14:solidFill>
          </w14:textFill>
        </w:rPr>
        <w:t>2.评审时，磋商小组各成员应当独立对每个有效响应的文件进行评价、打分，然后汇总每个投标人每项评分因素的得分。</w:t>
      </w:r>
    </w:p>
    <w:p w14:paraId="6ED5E08B">
      <w:pPr>
        <w:wordWrap w:val="0"/>
        <w:adjustRightInd w:val="0"/>
        <w:snapToGrid w:val="0"/>
        <w:spacing w:line="500" w:lineRule="atLeast"/>
        <w:rPr>
          <w:rFonts w:hint="eastAsia" w:ascii="宋体" w:hAnsi="宋体" w:cs="宋体"/>
          <w:b/>
          <w:bCs/>
          <w:color w:val="000000" w:themeColor="text1"/>
          <w:sz w:val="24"/>
          <w:szCs w:val="24"/>
          <w:highlight w:val="white"/>
          <w14:textFill>
            <w14:solidFill>
              <w14:schemeClr w14:val="tx1"/>
            </w14:solidFill>
          </w14:textFill>
        </w:rPr>
      </w:pPr>
      <w:r>
        <w:rPr>
          <w:rFonts w:hint="eastAsia" w:ascii="宋体" w:hAnsi="宋体" w:cs="宋体"/>
          <w:b/>
          <w:bCs/>
          <w:color w:val="000000" w:themeColor="text1"/>
          <w:sz w:val="24"/>
          <w:szCs w:val="24"/>
          <w:highlight w:val="white"/>
          <w14:textFill>
            <w14:solidFill>
              <w14:schemeClr w14:val="tx1"/>
            </w14:solidFill>
          </w14:textFill>
        </w:rPr>
        <w:t>二.综合评分细则表</w:t>
      </w:r>
    </w:p>
    <w:p w14:paraId="22661872">
      <w:pPr>
        <w:adjustRightInd w:val="0"/>
        <w:snapToGrid w:val="0"/>
        <w:spacing w:line="360" w:lineRule="auto"/>
        <w:jc w:val="center"/>
        <w:outlineLvl w:val="2"/>
        <w:rPr>
          <w:rFonts w:hint="eastAsia" w:ascii="仿宋" w:hAnsi="仿宋" w:eastAsia="仿宋" w:cs="仿宋"/>
          <w:b/>
          <w:bCs/>
          <w:sz w:val="28"/>
          <w:szCs w:val="28"/>
        </w:rPr>
      </w:pPr>
      <w:r>
        <w:rPr>
          <w:rFonts w:hint="eastAsia" w:ascii="仿宋" w:hAnsi="仿宋" w:eastAsia="仿宋" w:cs="仿宋"/>
          <w:b/>
          <w:sz w:val="28"/>
          <w:szCs w:val="28"/>
        </w:rPr>
        <w:t>资格性审查表</w:t>
      </w:r>
    </w:p>
    <w:tbl>
      <w:tblPr>
        <w:tblStyle w:val="33"/>
        <w:tblpPr w:leftFromText="180" w:rightFromText="180" w:vertAnchor="text" w:horzAnchor="page" w:tblpXSpec="center" w:tblpY="292"/>
        <w:tblW w:w="9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2631"/>
        <w:gridCol w:w="5285"/>
        <w:gridCol w:w="703"/>
      </w:tblGrid>
      <w:tr w14:paraId="13C9A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01" w:type="dxa"/>
            <w:noWrap w:val="0"/>
            <w:vAlign w:val="center"/>
          </w:tcPr>
          <w:p w14:paraId="4F115C5F">
            <w:pPr>
              <w:spacing w:line="440" w:lineRule="exact"/>
              <w:jc w:val="center"/>
              <w:rPr>
                <w:rFonts w:hint="eastAsia" w:ascii="仿宋" w:hAnsi="仿宋" w:eastAsia="仿宋" w:cs="仿宋"/>
                <w:b/>
                <w:sz w:val="24"/>
              </w:rPr>
            </w:pPr>
            <w:r>
              <w:rPr>
                <w:rFonts w:hint="eastAsia" w:ascii="仿宋" w:hAnsi="仿宋" w:eastAsia="仿宋" w:cs="仿宋"/>
                <w:b/>
                <w:sz w:val="24"/>
              </w:rPr>
              <w:t>项目</w:t>
            </w:r>
          </w:p>
        </w:tc>
        <w:tc>
          <w:tcPr>
            <w:tcW w:w="2631" w:type="dxa"/>
            <w:noWrap w:val="0"/>
            <w:vAlign w:val="center"/>
          </w:tcPr>
          <w:p w14:paraId="3548F851">
            <w:pPr>
              <w:spacing w:line="440" w:lineRule="exact"/>
              <w:jc w:val="center"/>
              <w:rPr>
                <w:rFonts w:hint="eastAsia" w:ascii="仿宋" w:hAnsi="仿宋" w:eastAsia="仿宋" w:cs="仿宋"/>
                <w:b/>
                <w:sz w:val="24"/>
              </w:rPr>
            </w:pPr>
            <w:r>
              <w:rPr>
                <w:rFonts w:hint="eastAsia" w:ascii="仿宋" w:hAnsi="仿宋" w:eastAsia="仿宋" w:cs="仿宋"/>
                <w:b/>
                <w:sz w:val="24"/>
              </w:rPr>
              <w:t>评审因素</w:t>
            </w:r>
          </w:p>
        </w:tc>
        <w:tc>
          <w:tcPr>
            <w:tcW w:w="5285" w:type="dxa"/>
            <w:noWrap w:val="0"/>
            <w:vAlign w:val="center"/>
          </w:tcPr>
          <w:p w14:paraId="06FC30B0">
            <w:pPr>
              <w:spacing w:line="440" w:lineRule="exact"/>
              <w:jc w:val="center"/>
              <w:rPr>
                <w:rFonts w:hint="eastAsia" w:ascii="仿宋" w:hAnsi="仿宋" w:eastAsia="仿宋" w:cs="仿宋"/>
                <w:b/>
                <w:sz w:val="24"/>
              </w:rPr>
            </w:pPr>
            <w:r>
              <w:rPr>
                <w:rFonts w:hint="eastAsia" w:ascii="仿宋" w:hAnsi="仿宋" w:eastAsia="仿宋" w:cs="仿宋"/>
                <w:b/>
                <w:sz w:val="24"/>
              </w:rPr>
              <w:t>评审标准</w:t>
            </w:r>
          </w:p>
        </w:tc>
        <w:tc>
          <w:tcPr>
            <w:tcW w:w="703" w:type="dxa"/>
            <w:noWrap w:val="0"/>
            <w:vAlign w:val="center"/>
          </w:tcPr>
          <w:p w14:paraId="70C5D4CC">
            <w:pPr>
              <w:jc w:val="center"/>
              <w:rPr>
                <w:rFonts w:hint="eastAsia" w:ascii="仿宋" w:hAnsi="仿宋" w:eastAsia="仿宋" w:cs="仿宋"/>
                <w:sz w:val="24"/>
              </w:rPr>
            </w:pPr>
            <w:r>
              <w:rPr>
                <w:rFonts w:hint="eastAsia" w:ascii="仿宋" w:hAnsi="仿宋" w:eastAsia="仿宋" w:cs="仿宋"/>
                <w:sz w:val="24"/>
              </w:rPr>
              <w:t>是否符合</w:t>
            </w:r>
          </w:p>
        </w:tc>
      </w:tr>
      <w:tr w14:paraId="3A895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01" w:type="dxa"/>
            <w:vMerge w:val="restart"/>
            <w:noWrap w:val="0"/>
            <w:vAlign w:val="center"/>
          </w:tcPr>
          <w:p w14:paraId="4A1888E3">
            <w:pPr>
              <w:spacing w:line="440" w:lineRule="exact"/>
              <w:jc w:val="center"/>
              <w:rPr>
                <w:rFonts w:hint="eastAsia" w:ascii="仿宋" w:hAnsi="仿宋" w:eastAsia="仿宋" w:cs="仿宋"/>
                <w:b/>
                <w:bCs/>
                <w:sz w:val="24"/>
              </w:rPr>
            </w:pPr>
            <w:r>
              <w:rPr>
                <w:rFonts w:hint="eastAsia" w:ascii="仿宋" w:hAnsi="仿宋" w:eastAsia="仿宋" w:cs="仿宋"/>
                <w:b/>
                <w:bCs/>
                <w:sz w:val="24"/>
              </w:rPr>
              <w:t>资格性</w:t>
            </w:r>
          </w:p>
          <w:p w14:paraId="07A22131">
            <w:pPr>
              <w:spacing w:line="440" w:lineRule="exact"/>
              <w:jc w:val="center"/>
              <w:rPr>
                <w:rFonts w:hint="eastAsia" w:ascii="仿宋" w:hAnsi="仿宋" w:eastAsia="仿宋" w:cs="仿宋"/>
                <w:b/>
                <w:bCs/>
                <w:sz w:val="24"/>
              </w:rPr>
            </w:pPr>
            <w:r>
              <w:rPr>
                <w:rFonts w:hint="eastAsia" w:ascii="仿宋" w:hAnsi="仿宋" w:eastAsia="仿宋" w:cs="仿宋"/>
                <w:b/>
                <w:bCs/>
                <w:sz w:val="24"/>
              </w:rPr>
              <w:t>审查</w:t>
            </w:r>
          </w:p>
        </w:tc>
        <w:tc>
          <w:tcPr>
            <w:tcW w:w="2631" w:type="dxa"/>
            <w:noWrap w:val="0"/>
            <w:vAlign w:val="center"/>
          </w:tcPr>
          <w:p w14:paraId="030139EE">
            <w:pPr>
              <w:jc w:val="center"/>
              <w:rPr>
                <w:rFonts w:hint="eastAsia" w:ascii="仿宋" w:hAnsi="仿宋" w:eastAsia="仿宋" w:cs="仿宋"/>
                <w:sz w:val="24"/>
              </w:rPr>
            </w:pPr>
            <w:r>
              <w:rPr>
                <w:rFonts w:hint="eastAsia" w:ascii="仿宋" w:hAnsi="仿宋" w:eastAsia="仿宋" w:cs="仿宋"/>
                <w:sz w:val="24"/>
              </w:rPr>
              <w:t>供应商应为中小企业</w:t>
            </w:r>
          </w:p>
        </w:tc>
        <w:tc>
          <w:tcPr>
            <w:tcW w:w="5285" w:type="dxa"/>
            <w:noWrap w:val="0"/>
            <w:vAlign w:val="center"/>
          </w:tcPr>
          <w:p w14:paraId="7314ACC2">
            <w:pPr>
              <w:rPr>
                <w:rFonts w:hint="eastAsia" w:ascii="仿宋" w:hAnsi="仿宋" w:eastAsia="仿宋" w:cs="仿宋"/>
                <w:sz w:val="24"/>
              </w:rPr>
            </w:pPr>
            <w:r>
              <w:rPr>
                <w:rFonts w:hint="eastAsia" w:ascii="仿宋" w:hAnsi="仿宋" w:eastAsia="仿宋" w:cs="仿宋"/>
                <w:sz w:val="24"/>
              </w:rPr>
              <w:t>提供《中小企业声明函》。格式以采购文件要求为准。</w:t>
            </w:r>
          </w:p>
        </w:tc>
        <w:tc>
          <w:tcPr>
            <w:tcW w:w="703" w:type="dxa"/>
            <w:noWrap w:val="0"/>
            <w:vAlign w:val="center"/>
          </w:tcPr>
          <w:p w14:paraId="658D0C47">
            <w:pPr>
              <w:jc w:val="center"/>
              <w:rPr>
                <w:rFonts w:hint="eastAsia" w:ascii="仿宋" w:hAnsi="仿宋" w:eastAsia="仿宋" w:cs="仿宋"/>
                <w:sz w:val="24"/>
              </w:rPr>
            </w:pPr>
          </w:p>
        </w:tc>
      </w:tr>
      <w:tr w14:paraId="40592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01" w:type="dxa"/>
            <w:vMerge w:val="continue"/>
            <w:noWrap w:val="0"/>
            <w:vAlign w:val="center"/>
          </w:tcPr>
          <w:p w14:paraId="4CE6E8F7">
            <w:pPr>
              <w:spacing w:line="440" w:lineRule="exact"/>
              <w:jc w:val="center"/>
              <w:rPr>
                <w:rFonts w:hint="eastAsia" w:ascii="仿宋" w:hAnsi="仿宋" w:eastAsia="仿宋" w:cs="仿宋"/>
                <w:b/>
                <w:bCs/>
                <w:sz w:val="24"/>
              </w:rPr>
            </w:pPr>
          </w:p>
        </w:tc>
        <w:tc>
          <w:tcPr>
            <w:tcW w:w="2631" w:type="dxa"/>
            <w:noWrap w:val="0"/>
            <w:vAlign w:val="center"/>
          </w:tcPr>
          <w:p w14:paraId="47DFD6DD">
            <w:pPr>
              <w:jc w:val="center"/>
              <w:rPr>
                <w:rFonts w:hint="eastAsia" w:ascii="仿宋" w:hAnsi="仿宋" w:eastAsia="仿宋" w:cs="仿宋"/>
                <w:sz w:val="24"/>
              </w:rPr>
            </w:pPr>
            <w:r>
              <w:rPr>
                <w:rFonts w:hint="eastAsia" w:ascii="仿宋" w:hAnsi="仿宋" w:eastAsia="仿宋" w:cs="仿宋"/>
                <w:sz w:val="24"/>
              </w:rPr>
              <w:t>具有独立承担民事责任的能力</w:t>
            </w:r>
          </w:p>
        </w:tc>
        <w:tc>
          <w:tcPr>
            <w:tcW w:w="5285" w:type="dxa"/>
            <w:noWrap w:val="0"/>
            <w:vAlign w:val="center"/>
          </w:tcPr>
          <w:p w14:paraId="49703500">
            <w:pPr>
              <w:rPr>
                <w:rFonts w:hint="eastAsia" w:ascii="仿宋" w:hAnsi="仿宋" w:eastAsia="仿宋" w:cs="仿宋"/>
                <w:sz w:val="24"/>
              </w:rPr>
            </w:pPr>
            <w:r>
              <w:rPr>
                <w:rFonts w:hint="eastAsia" w:ascii="仿宋" w:hAnsi="仿宋" w:eastAsia="仿宋" w:cs="仿宋"/>
                <w:sz w:val="24"/>
              </w:rPr>
              <w:t>提供有效的营业执照；</w:t>
            </w:r>
          </w:p>
        </w:tc>
        <w:tc>
          <w:tcPr>
            <w:tcW w:w="703" w:type="dxa"/>
            <w:noWrap w:val="0"/>
            <w:vAlign w:val="center"/>
          </w:tcPr>
          <w:p w14:paraId="77F45476">
            <w:pPr>
              <w:jc w:val="center"/>
              <w:rPr>
                <w:rFonts w:hint="eastAsia" w:ascii="仿宋" w:hAnsi="仿宋" w:eastAsia="仿宋" w:cs="仿宋"/>
                <w:sz w:val="24"/>
              </w:rPr>
            </w:pPr>
          </w:p>
        </w:tc>
      </w:tr>
      <w:tr w14:paraId="24E34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01" w:type="dxa"/>
            <w:vMerge w:val="continue"/>
            <w:noWrap w:val="0"/>
            <w:vAlign w:val="center"/>
          </w:tcPr>
          <w:p w14:paraId="6935C05B">
            <w:pPr>
              <w:spacing w:line="440" w:lineRule="exact"/>
              <w:jc w:val="center"/>
              <w:rPr>
                <w:rFonts w:hint="eastAsia" w:ascii="仿宋" w:hAnsi="仿宋" w:eastAsia="仿宋" w:cs="仿宋"/>
                <w:b/>
                <w:bCs/>
                <w:sz w:val="24"/>
              </w:rPr>
            </w:pPr>
          </w:p>
        </w:tc>
        <w:tc>
          <w:tcPr>
            <w:tcW w:w="2631" w:type="dxa"/>
            <w:noWrap w:val="0"/>
            <w:vAlign w:val="center"/>
          </w:tcPr>
          <w:p w14:paraId="322EDD04">
            <w:pPr>
              <w:jc w:val="center"/>
              <w:rPr>
                <w:rFonts w:hint="eastAsia" w:ascii="仿宋" w:hAnsi="仿宋" w:eastAsia="仿宋" w:cs="仿宋"/>
                <w:sz w:val="24"/>
              </w:rPr>
            </w:pPr>
            <w:r>
              <w:rPr>
                <w:rFonts w:hint="eastAsia" w:ascii="仿宋" w:hAnsi="仿宋" w:eastAsia="仿宋" w:cs="仿宋"/>
                <w:sz w:val="24"/>
              </w:rPr>
              <w:t>具有健全的财务会计制度</w:t>
            </w:r>
          </w:p>
        </w:tc>
        <w:tc>
          <w:tcPr>
            <w:tcW w:w="5285" w:type="dxa"/>
            <w:noWrap w:val="0"/>
            <w:vAlign w:val="center"/>
          </w:tcPr>
          <w:p w14:paraId="53C77F10">
            <w:pPr>
              <w:rPr>
                <w:rFonts w:hint="eastAsia" w:ascii="仿宋" w:hAnsi="仿宋" w:eastAsia="仿宋" w:cs="仿宋"/>
                <w:sz w:val="24"/>
              </w:rPr>
            </w:pPr>
            <w:r>
              <w:rPr>
                <w:rFonts w:hint="eastAsia" w:ascii="仿宋" w:hAnsi="仿宋" w:eastAsia="仿宋" w:cs="仿宋"/>
                <w:sz w:val="24"/>
              </w:rPr>
              <w:t>提供2023年的财务审计报告或财务报表（如供应商新成立的，则提供成立至今的财务报表）</w:t>
            </w:r>
          </w:p>
        </w:tc>
        <w:tc>
          <w:tcPr>
            <w:tcW w:w="703" w:type="dxa"/>
            <w:noWrap w:val="0"/>
            <w:vAlign w:val="center"/>
          </w:tcPr>
          <w:p w14:paraId="3155ADC3">
            <w:pPr>
              <w:jc w:val="center"/>
              <w:rPr>
                <w:rFonts w:hint="eastAsia" w:ascii="仿宋" w:hAnsi="仿宋" w:eastAsia="仿宋" w:cs="仿宋"/>
                <w:sz w:val="24"/>
              </w:rPr>
            </w:pPr>
          </w:p>
        </w:tc>
      </w:tr>
      <w:tr w14:paraId="430C6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01" w:type="dxa"/>
            <w:vMerge w:val="continue"/>
            <w:noWrap w:val="0"/>
            <w:vAlign w:val="center"/>
          </w:tcPr>
          <w:p w14:paraId="2D8B37BF">
            <w:pPr>
              <w:spacing w:line="440" w:lineRule="exact"/>
              <w:jc w:val="center"/>
              <w:rPr>
                <w:rFonts w:hint="eastAsia" w:ascii="仿宋" w:hAnsi="仿宋" w:eastAsia="仿宋" w:cs="仿宋"/>
                <w:b/>
                <w:bCs/>
                <w:sz w:val="24"/>
              </w:rPr>
            </w:pPr>
          </w:p>
        </w:tc>
        <w:tc>
          <w:tcPr>
            <w:tcW w:w="2631" w:type="dxa"/>
            <w:noWrap w:val="0"/>
            <w:vAlign w:val="center"/>
          </w:tcPr>
          <w:p w14:paraId="45F8D339">
            <w:pPr>
              <w:jc w:val="center"/>
              <w:rPr>
                <w:rFonts w:hint="eastAsia" w:ascii="仿宋" w:hAnsi="仿宋" w:eastAsia="仿宋" w:cs="仿宋"/>
                <w:sz w:val="24"/>
              </w:rPr>
            </w:pPr>
            <w:r>
              <w:rPr>
                <w:rFonts w:hint="eastAsia" w:ascii="仿宋" w:hAnsi="仿宋" w:eastAsia="仿宋" w:cs="仿宋"/>
                <w:sz w:val="24"/>
              </w:rPr>
              <w:t>具有履行合同所必需的设备和专业技术能力</w:t>
            </w:r>
          </w:p>
        </w:tc>
        <w:tc>
          <w:tcPr>
            <w:tcW w:w="5285" w:type="dxa"/>
            <w:noWrap w:val="0"/>
            <w:vAlign w:val="center"/>
          </w:tcPr>
          <w:p w14:paraId="3DEC194B">
            <w:pPr>
              <w:spacing w:line="276" w:lineRule="auto"/>
              <w:jc w:val="left"/>
              <w:rPr>
                <w:rFonts w:hint="eastAsia" w:ascii="仿宋" w:hAnsi="仿宋" w:eastAsia="仿宋" w:cs="仿宋"/>
                <w:sz w:val="24"/>
              </w:rPr>
            </w:pPr>
            <w:r>
              <w:rPr>
                <w:rFonts w:hint="eastAsia" w:ascii="仿宋" w:hAnsi="仿宋" w:eastAsia="仿宋" w:cs="仿宋"/>
                <w:sz w:val="24"/>
              </w:rPr>
              <w:t>提供承诺函（详见格式）</w:t>
            </w:r>
          </w:p>
        </w:tc>
        <w:tc>
          <w:tcPr>
            <w:tcW w:w="703" w:type="dxa"/>
            <w:noWrap w:val="0"/>
            <w:vAlign w:val="center"/>
          </w:tcPr>
          <w:p w14:paraId="7A196F68">
            <w:pPr>
              <w:jc w:val="center"/>
              <w:rPr>
                <w:rFonts w:hint="eastAsia" w:ascii="仿宋" w:hAnsi="仿宋" w:eastAsia="仿宋" w:cs="仿宋"/>
                <w:sz w:val="24"/>
              </w:rPr>
            </w:pPr>
          </w:p>
        </w:tc>
      </w:tr>
      <w:tr w14:paraId="2C2EE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01" w:type="dxa"/>
            <w:vMerge w:val="continue"/>
            <w:noWrap w:val="0"/>
            <w:vAlign w:val="center"/>
          </w:tcPr>
          <w:p w14:paraId="7D661AA1">
            <w:pPr>
              <w:spacing w:line="440" w:lineRule="exact"/>
              <w:jc w:val="center"/>
              <w:rPr>
                <w:rFonts w:hint="eastAsia" w:ascii="仿宋" w:hAnsi="仿宋" w:eastAsia="仿宋" w:cs="仿宋"/>
                <w:b/>
                <w:bCs/>
                <w:sz w:val="24"/>
              </w:rPr>
            </w:pPr>
          </w:p>
        </w:tc>
        <w:tc>
          <w:tcPr>
            <w:tcW w:w="2631" w:type="dxa"/>
            <w:noWrap w:val="0"/>
            <w:vAlign w:val="center"/>
          </w:tcPr>
          <w:p w14:paraId="2D7721E8">
            <w:pPr>
              <w:jc w:val="center"/>
              <w:rPr>
                <w:rFonts w:hint="eastAsia" w:ascii="仿宋" w:hAnsi="仿宋" w:eastAsia="仿宋" w:cs="仿宋"/>
                <w:sz w:val="24"/>
              </w:rPr>
            </w:pPr>
            <w:r>
              <w:rPr>
                <w:rFonts w:hint="eastAsia" w:ascii="仿宋" w:hAnsi="仿宋" w:eastAsia="仿宋" w:cs="仿宋"/>
                <w:sz w:val="24"/>
              </w:rPr>
              <w:t>有依法缴纳税收和社会保障资金的良好记录</w:t>
            </w:r>
          </w:p>
        </w:tc>
        <w:tc>
          <w:tcPr>
            <w:tcW w:w="5285" w:type="dxa"/>
            <w:noWrap w:val="0"/>
            <w:vAlign w:val="center"/>
          </w:tcPr>
          <w:p w14:paraId="77D15DC3">
            <w:pPr>
              <w:rPr>
                <w:rFonts w:hint="eastAsia" w:ascii="仿宋" w:hAnsi="仿宋" w:eastAsia="仿宋" w:cs="仿宋"/>
                <w:sz w:val="24"/>
              </w:rPr>
            </w:pPr>
            <w:r>
              <w:rPr>
                <w:rFonts w:hint="eastAsia" w:ascii="仿宋" w:hAnsi="仿宋" w:eastAsia="仿宋" w:cs="仿宋"/>
                <w:sz w:val="24"/>
              </w:rPr>
              <w:t>提供近半年任意1个月依法缴纳税收和缴纳社会保障资金的证明；</w:t>
            </w:r>
          </w:p>
        </w:tc>
        <w:tc>
          <w:tcPr>
            <w:tcW w:w="703" w:type="dxa"/>
            <w:noWrap w:val="0"/>
            <w:vAlign w:val="center"/>
          </w:tcPr>
          <w:p w14:paraId="1DEAFDF8">
            <w:pPr>
              <w:jc w:val="center"/>
              <w:rPr>
                <w:rFonts w:hint="eastAsia" w:ascii="仿宋" w:hAnsi="仿宋" w:eastAsia="仿宋" w:cs="仿宋"/>
                <w:sz w:val="24"/>
              </w:rPr>
            </w:pPr>
          </w:p>
        </w:tc>
      </w:tr>
      <w:tr w14:paraId="4E685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01" w:type="dxa"/>
            <w:vMerge w:val="continue"/>
            <w:noWrap w:val="0"/>
            <w:vAlign w:val="center"/>
          </w:tcPr>
          <w:p w14:paraId="261C7E8A">
            <w:pPr>
              <w:spacing w:line="440" w:lineRule="exact"/>
              <w:jc w:val="center"/>
              <w:rPr>
                <w:rFonts w:hint="eastAsia" w:ascii="仿宋" w:hAnsi="仿宋" w:eastAsia="仿宋" w:cs="仿宋"/>
                <w:b/>
                <w:bCs/>
                <w:sz w:val="24"/>
              </w:rPr>
            </w:pPr>
          </w:p>
        </w:tc>
        <w:tc>
          <w:tcPr>
            <w:tcW w:w="2631" w:type="dxa"/>
            <w:noWrap w:val="0"/>
            <w:vAlign w:val="center"/>
          </w:tcPr>
          <w:p w14:paraId="63D8B1AA">
            <w:pPr>
              <w:jc w:val="center"/>
              <w:rPr>
                <w:rFonts w:hint="eastAsia" w:ascii="仿宋" w:hAnsi="仿宋" w:eastAsia="仿宋" w:cs="仿宋"/>
                <w:sz w:val="24"/>
              </w:rPr>
            </w:pPr>
            <w:r>
              <w:rPr>
                <w:rFonts w:hint="eastAsia" w:ascii="仿宋" w:hAnsi="仿宋" w:eastAsia="仿宋" w:cs="仿宋"/>
                <w:sz w:val="24"/>
              </w:rPr>
              <w:t>参加政府采购活动前三年内，在经营活动中没有重大违法记录</w:t>
            </w:r>
          </w:p>
        </w:tc>
        <w:tc>
          <w:tcPr>
            <w:tcW w:w="5285" w:type="dxa"/>
            <w:noWrap w:val="0"/>
            <w:vAlign w:val="center"/>
          </w:tcPr>
          <w:p w14:paraId="20338ACF">
            <w:pPr>
              <w:spacing w:line="276" w:lineRule="auto"/>
              <w:jc w:val="left"/>
              <w:rPr>
                <w:rFonts w:hint="eastAsia" w:ascii="仿宋" w:hAnsi="仿宋" w:eastAsia="仿宋" w:cs="仿宋"/>
                <w:sz w:val="24"/>
              </w:rPr>
            </w:pPr>
            <w:r>
              <w:rPr>
                <w:rFonts w:hint="eastAsia" w:ascii="仿宋" w:hAnsi="仿宋" w:eastAsia="仿宋" w:cs="仿宋"/>
                <w:sz w:val="24"/>
              </w:rPr>
              <w:t>参加政府采购活动前三年内，在经营活动中没有重大违法记录（详见格式）</w:t>
            </w:r>
          </w:p>
        </w:tc>
        <w:tc>
          <w:tcPr>
            <w:tcW w:w="703" w:type="dxa"/>
            <w:noWrap w:val="0"/>
            <w:vAlign w:val="center"/>
          </w:tcPr>
          <w:p w14:paraId="17EEFF5F">
            <w:pPr>
              <w:jc w:val="center"/>
              <w:rPr>
                <w:rFonts w:hint="eastAsia" w:ascii="仿宋" w:hAnsi="仿宋" w:eastAsia="仿宋" w:cs="仿宋"/>
                <w:sz w:val="24"/>
              </w:rPr>
            </w:pPr>
          </w:p>
        </w:tc>
      </w:tr>
      <w:tr w14:paraId="2D956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01" w:type="dxa"/>
            <w:vMerge w:val="continue"/>
            <w:noWrap w:val="0"/>
            <w:vAlign w:val="center"/>
          </w:tcPr>
          <w:p w14:paraId="0AEA8866">
            <w:pPr>
              <w:spacing w:line="440" w:lineRule="exact"/>
              <w:jc w:val="center"/>
              <w:rPr>
                <w:rFonts w:hint="eastAsia" w:ascii="仿宋" w:hAnsi="仿宋" w:eastAsia="仿宋" w:cs="仿宋"/>
                <w:b/>
                <w:bCs/>
                <w:sz w:val="24"/>
              </w:rPr>
            </w:pPr>
          </w:p>
        </w:tc>
        <w:tc>
          <w:tcPr>
            <w:tcW w:w="2631" w:type="dxa"/>
            <w:noWrap w:val="0"/>
            <w:vAlign w:val="center"/>
          </w:tcPr>
          <w:p w14:paraId="3541A416">
            <w:pPr>
              <w:spacing w:line="440" w:lineRule="exact"/>
              <w:jc w:val="center"/>
              <w:rPr>
                <w:rFonts w:hint="eastAsia" w:ascii="仿宋" w:hAnsi="仿宋" w:eastAsia="仿宋" w:cs="仿宋"/>
                <w:sz w:val="24"/>
              </w:rPr>
            </w:pPr>
            <w:r>
              <w:rPr>
                <w:rFonts w:hint="eastAsia" w:ascii="仿宋" w:hAnsi="仿宋" w:eastAsia="仿宋" w:cs="仿宋"/>
                <w:sz w:val="24"/>
              </w:rPr>
              <w:t>法律、行政法规规定的其他条件</w:t>
            </w:r>
          </w:p>
        </w:tc>
        <w:tc>
          <w:tcPr>
            <w:tcW w:w="5285" w:type="dxa"/>
            <w:noWrap w:val="0"/>
            <w:vAlign w:val="center"/>
          </w:tcPr>
          <w:p w14:paraId="1BA0E08F">
            <w:pPr>
              <w:rPr>
                <w:rFonts w:hint="eastAsia" w:ascii="仿宋" w:hAnsi="仿宋" w:eastAsia="仿宋" w:cs="仿宋"/>
                <w:sz w:val="24"/>
                <w:lang w:eastAsia="zh-CN"/>
              </w:rPr>
            </w:pPr>
            <w:r>
              <w:rPr>
                <w:rFonts w:hint="eastAsia" w:ascii="仿宋" w:hAnsi="仿宋" w:eastAsia="仿宋" w:cs="仿宋"/>
                <w:sz w:val="24"/>
              </w:rPr>
              <w:t>提供承诺书</w:t>
            </w:r>
            <w:r>
              <w:rPr>
                <w:rFonts w:hint="eastAsia" w:ascii="仿宋" w:hAnsi="仿宋" w:eastAsia="仿宋" w:cs="仿宋"/>
                <w:sz w:val="24"/>
                <w:lang w:eastAsia="zh-CN"/>
              </w:rPr>
              <w:t>（</w:t>
            </w:r>
            <w:r>
              <w:rPr>
                <w:rFonts w:hint="eastAsia" w:ascii="仿宋" w:hAnsi="仿宋" w:eastAsia="仿宋" w:cs="仿宋"/>
                <w:sz w:val="24"/>
              </w:rPr>
              <w:t>详见格式</w:t>
            </w:r>
            <w:r>
              <w:rPr>
                <w:rFonts w:hint="eastAsia" w:ascii="仿宋" w:hAnsi="仿宋" w:eastAsia="仿宋" w:cs="仿宋"/>
                <w:sz w:val="24"/>
                <w:lang w:eastAsia="zh-CN"/>
              </w:rPr>
              <w:t>）</w:t>
            </w:r>
          </w:p>
        </w:tc>
        <w:tc>
          <w:tcPr>
            <w:tcW w:w="703" w:type="dxa"/>
            <w:noWrap w:val="0"/>
            <w:vAlign w:val="center"/>
          </w:tcPr>
          <w:p w14:paraId="6F5A62A3">
            <w:pPr>
              <w:jc w:val="center"/>
              <w:rPr>
                <w:rFonts w:hint="eastAsia" w:ascii="仿宋" w:hAnsi="仿宋" w:eastAsia="仿宋" w:cs="仿宋"/>
                <w:sz w:val="24"/>
              </w:rPr>
            </w:pPr>
          </w:p>
        </w:tc>
      </w:tr>
      <w:tr w14:paraId="3A5D8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01" w:type="dxa"/>
            <w:vMerge w:val="continue"/>
            <w:noWrap w:val="0"/>
            <w:vAlign w:val="center"/>
          </w:tcPr>
          <w:p w14:paraId="447F9E1B">
            <w:pPr>
              <w:spacing w:line="440" w:lineRule="exact"/>
              <w:jc w:val="center"/>
              <w:rPr>
                <w:rFonts w:hint="eastAsia" w:ascii="仿宋" w:hAnsi="仿宋" w:eastAsia="仿宋" w:cs="仿宋"/>
                <w:b/>
                <w:bCs/>
                <w:sz w:val="24"/>
              </w:rPr>
            </w:pPr>
          </w:p>
        </w:tc>
        <w:tc>
          <w:tcPr>
            <w:tcW w:w="2631" w:type="dxa"/>
            <w:noWrap w:val="0"/>
            <w:vAlign w:val="center"/>
          </w:tcPr>
          <w:p w14:paraId="21F98E59">
            <w:pPr>
              <w:spacing w:line="440" w:lineRule="exact"/>
              <w:jc w:val="center"/>
              <w:rPr>
                <w:rFonts w:hint="default" w:ascii="仿宋" w:hAnsi="仿宋" w:eastAsia="仿宋" w:cs="仿宋"/>
                <w:sz w:val="24"/>
                <w:lang w:val="en-US" w:eastAsia="zh-CN"/>
              </w:rPr>
            </w:pPr>
            <w:r>
              <w:rPr>
                <w:rFonts w:hint="eastAsia" w:ascii="仿宋" w:hAnsi="仿宋" w:eastAsia="仿宋" w:cs="仿宋"/>
                <w:sz w:val="24"/>
                <w:lang w:val="en-US" w:eastAsia="zh-CN"/>
              </w:rPr>
              <w:t>特定格式</w:t>
            </w:r>
          </w:p>
        </w:tc>
        <w:tc>
          <w:tcPr>
            <w:tcW w:w="5285" w:type="dxa"/>
            <w:noWrap w:val="0"/>
            <w:vAlign w:val="center"/>
          </w:tcPr>
          <w:p w14:paraId="7684A036">
            <w:pPr>
              <w:pStyle w:val="181"/>
              <w:numPr>
                <w:ilvl w:val="0"/>
                <w:numId w:val="0"/>
              </w:numPr>
              <w:spacing w:before="157" w:line="353" w:lineRule="auto"/>
              <w:ind w:left="0" w:leftChars="0" w:right="106" w:rightChars="0" w:firstLine="0" w:firstLineChars="0"/>
              <w:jc w:val="both"/>
              <w:rPr>
                <w:rFonts w:hint="eastAsia" w:ascii="仿宋" w:hAnsi="仿宋" w:eastAsia="仿宋" w:cs="仿宋"/>
                <w:kern w:val="2"/>
                <w:sz w:val="24"/>
                <w:szCs w:val="22"/>
                <w:lang w:val="en-US" w:eastAsia="zh-CN" w:bidi="ar-SA"/>
              </w:rPr>
            </w:pPr>
            <w:r>
              <w:rPr>
                <w:rFonts w:hint="eastAsia" w:ascii="仿宋" w:hAnsi="仿宋" w:eastAsia="仿宋" w:cs="仿宋"/>
                <w:kern w:val="2"/>
                <w:sz w:val="24"/>
                <w:szCs w:val="22"/>
                <w:lang w:val="en-US" w:eastAsia="zh-CN" w:bidi="ar-SA"/>
              </w:rPr>
              <w:t>（1）单位负责人为同一人或者存在直接控股、管理关系的不同供应商，不得参加同一合同项下的政府采购活动</w:t>
            </w:r>
            <w:r>
              <w:rPr>
                <w:rFonts w:hint="eastAsia" w:ascii="仿宋" w:hAnsi="仿宋" w:eastAsia="仿宋" w:cs="仿宋"/>
                <w:sz w:val="24"/>
                <w:lang w:eastAsia="zh-CN"/>
              </w:rPr>
              <w:t>（</w:t>
            </w:r>
            <w:r>
              <w:rPr>
                <w:rFonts w:hint="eastAsia" w:ascii="仿宋" w:hAnsi="仿宋" w:eastAsia="仿宋" w:cs="仿宋"/>
                <w:sz w:val="24"/>
              </w:rPr>
              <w:t>详见格式</w:t>
            </w:r>
            <w:r>
              <w:rPr>
                <w:rFonts w:hint="eastAsia" w:ascii="仿宋" w:hAnsi="仿宋" w:eastAsia="仿宋" w:cs="仿宋"/>
                <w:sz w:val="24"/>
                <w:lang w:eastAsia="zh-CN"/>
              </w:rPr>
              <w:t>）</w:t>
            </w:r>
            <w:r>
              <w:rPr>
                <w:rFonts w:hint="eastAsia" w:ascii="仿宋" w:hAnsi="仿宋" w:eastAsia="仿宋" w:cs="仿宋"/>
                <w:kern w:val="2"/>
                <w:sz w:val="24"/>
                <w:szCs w:val="22"/>
                <w:lang w:val="en-US" w:eastAsia="zh-CN" w:bidi="ar-SA"/>
              </w:rPr>
              <w:t>；</w:t>
            </w:r>
          </w:p>
          <w:p w14:paraId="1195C31C">
            <w:pPr>
              <w:pStyle w:val="181"/>
              <w:numPr>
                <w:ilvl w:val="0"/>
                <w:numId w:val="0"/>
              </w:numPr>
              <w:spacing w:before="157" w:line="353" w:lineRule="auto"/>
              <w:ind w:left="0" w:leftChars="0" w:right="106" w:rightChars="0" w:firstLine="0" w:firstLineChars="0"/>
              <w:jc w:val="both"/>
              <w:rPr>
                <w:rFonts w:hint="eastAsia" w:ascii="仿宋" w:hAnsi="仿宋" w:eastAsia="仿宋" w:cs="仿宋"/>
                <w:kern w:val="2"/>
                <w:sz w:val="24"/>
                <w:szCs w:val="22"/>
                <w:lang w:val="en-US" w:eastAsia="zh-CN" w:bidi="ar-SA"/>
              </w:rPr>
            </w:pPr>
            <w:r>
              <w:rPr>
                <w:rFonts w:hint="eastAsia" w:ascii="仿宋" w:hAnsi="仿宋" w:eastAsia="仿宋" w:cs="仿宋"/>
                <w:kern w:val="2"/>
                <w:sz w:val="24"/>
                <w:szCs w:val="22"/>
                <w:lang w:val="en-US" w:eastAsia="zh-CN" w:bidi="ar-SA"/>
              </w:rPr>
              <w:t>（2）根据《财政部关于在政府采购活动中查询及使用信用记录有关问题的通知》（财库﹝2016﹞125号）的要求，凡拟参加本次招标项目的投标人，如在“信用中国”网站（ www.creditchina.gov.cn） 被列入失信被执行人（或中国执行公开网）、重大税收违法失信主体、中国政府采购网（http://www.ccgp.gov.cn/search/cr/）严重违法失信行为记录名单的（尚在处罚期内的），将拒绝其参加本次招标活动(如投标单位提供信用截图在评标过程中有争议，以招标代理机构或评标委员会成员现场查询截图为准)；</w:t>
            </w:r>
          </w:p>
        </w:tc>
        <w:tc>
          <w:tcPr>
            <w:tcW w:w="703" w:type="dxa"/>
            <w:noWrap w:val="0"/>
            <w:vAlign w:val="center"/>
          </w:tcPr>
          <w:p w14:paraId="4BE53D17">
            <w:pPr>
              <w:jc w:val="center"/>
              <w:rPr>
                <w:rFonts w:hint="eastAsia" w:ascii="仿宋" w:hAnsi="仿宋" w:eastAsia="仿宋" w:cs="仿宋"/>
                <w:sz w:val="24"/>
              </w:rPr>
            </w:pPr>
          </w:p>
        </w:tc>
      </w:tr>
    </w:tbl>
    <w:p w14:paraId="559CFF9B">
      <w:pPr>
        <w:pStyle w:val="12"/>
        <w:ind w:left="0" w:leftChars="0" w:firstLine="0" w:firstLineChars="0"/>
        <w:rPr>
          <w:rFonts w:hint="eastAsia" w:ascii="仿宋" w:hAnsi="仿宋" w:eastAsia="仿宋" w:cs="仿宋"/>
          <w:b/>
          <w:sz w:val="24"/>
        </w:rPr>
      </w:pPr>
    </w:p>
    <w:p w14:paraId="6E0FB727">
      <w:pPr>
        <w:pStyle w:val="12"/>
        <w:ind w:left="0" w:leftChars="0" w:firstLine="0" w:firstLineChars="0"/>
        <w:rPr>
          <w:rFonts w:hint="eastAsia" w:ascii="仿宋" w:hAnsi="仿宋" w:eastAsia="仿宋" w:cs="仿宋"/>
          <w:b/>
          <w:sz w:val="24"/>
        </w:rPr>
      </w:pPr>
      <w:r>
        <w:rPr>
          <w:rFonts w:hint="eastAsia" w:ascii="仿宋" w:hAnsi="仿宋" w:eastAsia="仿宋" w:cs="仿宋"/>
          <w:b/>
          <w:sz w:val="24"/>
        </w:rPr>
        <w:t>备注：如有一项未通过，评审小组将认定整个投标文件未响应招标文件而予以废标处理。</w:t>
      </w:r>
    </w:p>
    <w:p w14:paraId="2EB70420">
      <w:pPr>
        <w:adjustRightInd w:val="0"/>
        <w:snapToGrid w:val="0"/>
        <w:spacing w:line="360" w:lineRule="auto"/>
        <w:jc w:val="center"/>
        <w:outlineLvl w:val="2"/>
        <w:rPr>
          <w:rFonts w:hint="eastAsia" w:ascii="仿宋" w:hAnsi="仿宋" w:eastAsia="仿宋" w:cs="仿宋"/>
          <w:b/>
          <w:sz w:val="28"/>
          <w:szCs w:val="28"/>
        </w:rPr>
      </w:pPr>
    </w:p>
    <w:p w14:paraId="1C05DBAE">
      <w:pPr>
        <w:tabs>
          <w:tab w:val="center" w:pos="4209"/>
          <w:tab w:val="left" w:pos="5934"/>
        </w:tabs>
        <w:adjustRightInd w:val="0"/>
        <w:snapToGrid w:val="0"/>
        <w:spacing w:line="360" w:lineRule="auto"/>
        <w:jc w:val="left"/>
        <w:outlineLvl w:val="2"/>
        <w:rPr>
          <w:rFonts w:hint="eastAsia" w:eastAsia="仿宋"/>
          <w:lang w:val="en-US" w:eastAsia="zh-CN"/>
        </w:rPr>
      </w:pPr>
      <w:r>
        <w:rPr>
          <w:rFonts w:hint="eastAsia" w:ascii="仿宋" w:hAnsi="仿宋" w:eastAsia="仿宋" w:cs="仿宋"/>
          <w:b/>
          <w:sz w:val="28"/>
          <w:szCs w:val="28"/>
          <w:lang w:eastAsia="zh-CN"/>
        </w:rPr>
        <w:tab/>
      </w:r>
      <w:r>
        <w:rPr>
          <w:rFonts w:hint="eastAsia" w:ascii="仿宋" w:hAnsi="仿宋" w:eastAsia="仿宋" w:cs="仿宋"/>
          <w:b/>
          <w:sz w:val="28"/>
          <w:szCs w:val="28"/>
        </w:rPr>
        <w:t>符合性审查表</w:t>
      </w:r>
    </w:p>
    <w:tbl>
      <w:tblPr>
        <w:tblStyle w:val="33"/>
        <w:tblpPr w:leftFromText="180" w:rightFromText="180" w:vertAnchor="text" w:horzAnchor="page" w:tblpX="1414" w:tblpY="78"/>
        <w:tblW w:w="98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1"/>
        <w:gridCol w:w="2654"/>
        <w:gridCol w:w="5331"/>
        <w:gridCol w:w="709"/>
      </w:tblGrid>
      <w:tr w14:paraId="4B4C4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111" w:type="dxa"/>
            <w:noWrap w:val="0"/>
            <w:vAlign w:val="center"/>
          </w:tcPr>
          <w:p w14:paraId="51F1C0F5">
            <w:pPr>
              <w:spacing w:line="440" w:lineRule="exact"/>
              <w:jc w:val="center"/>
              <w:rPr>
                <w:rFonts w:hint="eastAsia" w:ascii="仿宋" w:hAnsi="仿宋" w:eastAsia="仿宋" w:cs="仿宋"/>
                <w:b/>
                <w:sz w:val="24"/>
              </w:rPr>
            </w:pPr>
            <w:r>
              <w:rPr>
                <w:rFonts w:hint="eastAsia" w:ascii="仿宋" w:hAnsi="仿宋" w:eastAsia="仿宋" w:cs="仿宋"/>
                <w:b/>
                <w:sz w:val="24"/>
              </w:rPr>
              <w:t>项目</w:t>
            </w:r>
          </w:p>
        </w:tc>
        <w:tc>
          <w:tcPr>
            <w:tcW w:w="2654" w:type="dxa"/>
            <w:noWrap w:val="0"/>
            <w:vAlign w:val="center"/>
          </w:tcPr>
          <w:p w14:paraId="6FF50143">
            <w:pPr>
              <w:spacing w:line="440" w:lineRule="exact"/>
              <w:jc w:val="center"/>
              <w:rPr>
                <w:rFonts w:hint="eastAsia" w:ascii="仿宋" w:hAnsi="仿宋" w:eastAsia="仿宋" w:cs="仿宋"/>
                <w:b/>
                <w:sz w:val="24"/>
              </w:rPr>
            </w:pPr>
            <w:r>
              <w:rPr>
                <w:rFonts w:hint="eastAsia" w:ascii="仿宋" w:hAnsi="仿宋" w:eastAsia="仿宋" w:cs="仿宋"/>
                <w:b/>
                <w:sz w:val="24"/>
              </w:rPr>
              <w:t>评审因素</w:t>
            </w:r>
          </w:p>
        </w:tc>
        <w:tc>
          <w:tcPr>
            <w:tcW w:w="5331" w:type="dxa"/>
            <w:noWrap w:val="0"/>
            <w:vAlign w:val="center"/>
          </w:tcPr>
          <w:p w14:paraId="36859A23">
            <w:pPr>
              <w:spacing w:line="440" w:lineRule="exact"/>
              <w:jc w:val="center"/>
              <w:rPr>
                <w:rFonts w:hint="eastAsia" w:ascii="仿宋" w:hAnsi="仿宋" w:eastAsia="仿宋" w:cs="仿宋"/>
                <w:b/>
                <w:sz w:val="24"/>
              </w:rPr>
            </w:pPr>
            <w:r>
              <w:rPr>
                <w:rFonts w:hint="eastAsia" w:ascii="仿宋" w:hAnsi="仿宋" w:eastAsia="仿宋" w:cs="仿宋"/>
                <w:b/>
                <w:sz w:val="24"/>
              </w:rPr>
              <w:t>评审标准</w:t>
            </w:r>
          </w:p>
        </w:tc>
        <w:tc>
          <w:tcPr>
            <w:tcW w:w="709" w:type="dxa"/>
            <w:noWrap w:val="0"/>
            <w:vAlign w:val="center"/>
          </w:tcPr>
          <w:p w14:paraId="673D51EC">
            <w:pPr>
              <w:jc w:val="center"/>
              <w:rPr>
                <w:rFonts w:hint="eastAsia" w:ascii="仿宋" w:hAnsi="仿宋" w:eastAsia="仿宋" w:cs="仿宋"/>
                <w:sz w:val="24"/>
              </w:rPr>
            </w:pPr>
            <w:r>
              <w:rPr>
                <w:rFonts w:hint="eastAsia" w:ascii="仿宋" w:hAnsi="仿宋" w:eastAsia="仿宋" w:cs="仿宋"/>
                <w:sz w:val="24"/>
              </w:rPr>
              <w:t>是否符合</w:t>
            </w:r>
          </w:p>
        </w:tc>
      </w:tr>
      <w:tr w14:paraId="59EA6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111" w:type="dxa"/>
            <w:vMerge w:val="restart"/>
            <w:noWrap w:val="0"/>
            <w:vAlign w:val="center"/>
          </w:tcPr>
          <w:p w14:paraId="67CA6B26">
            <w:pPr>
              <w:spacing w:line="440" w:lineRule="exact"/>
              <w:jc w:val="center"/>
              <w:rPr>
                <w:rFonts w:hint="eastAsia" w:ascii="仿宋" w:hAnsi="仿宋" w:eastAsia="仿宋" w:cs="仿宋"/>
                <w:b/>
                <w:bCs/>
                <w:sz w:val="24"/>
              </w:rPr>
            </w:pPr>
            <w:r>
              <w:rPr>
                <w:rFonts w:hint="eastAsia" w:ascii="仿宋" w:hAnsi="仿宋" w:eastAsia="仿宋" w:cs="仿宋"/>
                <w:b/>
                <w:bCs/>
                <w:sz w:val="24"/>
              </w:rPr>
              <w:t>符合性</w:t>
            </w:r>
          </w:p>
          <w:p w14:paraId="1C9B79D4">
            <w:pPr>
              <w:spacing w:line="440" w:lineRule="exact"/>
              <w:jc w:val="center"/>
              <w:rPr>
                <w:rFonts w:hint="eastAsia" w:ascii="仿宋" w:hAnsi="仿宋" w:eastAsia="仿宋" w:cs="仿宋"/>
                <w:b/>
                <w:bCs/>
                <w:sz w:val="24"/>
              </w:rPr>
            </w:pPr>
            <w:r>
              <w:rPr>
                <w:rFonts w:hint="eastAsia" w:ascii="仿宋" w:hAnsi="仿宋" w:eastAsia="仿宋" w:cs="仿宋"/>
                <w:b/>
                <w:bCs/>
                <w:sz w:val="24"/>
              </w:rPr>
              <w:t>审查</w:t>
            </w:r>
          </w:p>
        </w:tc>
        <w:tc>
          <w:tcPr>
            <w:tcW w:w="2654" w:type="dxa"/>
            <w:noWrap w:val="0"/>
            <w:vAlign w:val="center"/>
          </w:tcPr>
          <w:p w14:paraId="5EEEAC1D">
            <w:pPr>
              <w:spacing w:line="440" w:lineRule="exact"/>
              <w:jc w:val="center"/>
              <w:rPr>
                <w:rFonts w:hint="eastAsia" w:ascii="仿宋" w:hAnsi="仿宋" w:eastAsia="仿宋" w:cs="仿宋"/>
                <w:sz w:val="24"/>
              </w:rPr>
            </w:pPr>
            <w:r>
              <w:rPr>
                <w:rFonts w:hint="eastAsia" w:ascii="仿宋" w:hAnsi="仿宋" w:eastAsia="仿宋" w:cs="仿宋"/>
                <w:sz w:val="24"/>
              </w:rPr>
              <w:t>投标文件格式</w:t>
            </w:r>
          </w:p>
        </w:tc>
        <w:tc>
          <w:tcPr>
            <w:tcW w:w="5331" w:type="dxa"/>
            <w:noWrap w:val="0"/>
            <w:vAlign w:val="center"/>
          </w:tcPr>
          <w:p w14:paraId="0C04BB29">
            <w:pPr>
              <w:rPr>
                <w:rFonts w:hint="eastAsia" w:ascii="仿宋" w:hAnsi="仿宋" w:eastAsia="仿宋" w:cs="仿宋"/>
                <w:sz w:val="24"/>
              </w:rPr>
            </w:pPr>
            <w:r>
              <w:rPr>
                <w:rFonts w:hint="eastAsia" w:ascii="仿宋" w:hAnsi="仿宋" w:eastAsia="仿宋" w:cs="仿宋"/>
                <w:sz w:val="24"/>
              </w:rPr>
              <w:t>投标文件按照招标文件规定的内容、格式填写，字迹清晰可辨</w:t>
            </w:r>
          </w:p>
        </w:tc>
        <w:tc>
          <w:tcPr>
            <w:tcW w:w="709" w:type="dxa"/>
            <w:noWrap w:val="0"/>
            <w:vAlign w:val="center"/>
          </w:tcPr>
          <w:p w14:paraId="4F5E9B8B">
            <w:pPr>
              <w:jc w:val="center"/>
              <w:rPr>
                <w:rFonts w:hint="eastAsia" w:ascii="仿宋" w:hAnsi="仿宋" w:eastAsia="仿宋" w:cs="仿宋"/>
                <w:sz w:val="24"/>
              </w:rPr>
            </w:pPr>
          </w:p>
        </w:tc>
      </w:tr>
      <w:tr w14:paraId="39F90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111" w:type="dxa"/>
            <w:vMerge w:val="continue"/>
            <w:noWrap w:val="0"/>
            <w:vAlign w:val="center"/>
          </w:tcPr>
          <w:p w14:paraId="7B2A68DA">
            <w:pPr>
              <w:spacing w:line="440" w:lineRule="exact"/>
              <w:jc w:val="center"/>
              <w:rPr>
                <w:rFonts w:hint="eastAsia" w:ascii="仿宋" w:hAnsi="仿宋" w:eastAsia="仿宋" w:cs="仿宋"/>
                <w:sz w:val="24"/>
              </w:rPr>
            </w:pPr>
          </w:p>
        </w:tc>
        <w:tc>
          <w:tcPr>
            <w:tcW w:w="2654" w:type="dxa"/>
            <w:noWrap w:val="0"/>
            <w:vAlign w:val="center"/>
          </w:tcPr>
          <w:p w14:paraId="07400D21">
            <w:pPr>
              <w:spacing w:line="440" w:lineRule="exact"/>
              <w:jc w:val="center"/>
              <w:rPr>
                <w:rFonts w:hint="eastAsia" w:ascii="仿宋" w:hAnsi="仿宋" w:eastAsia="仿宋" w:cs="仿宋"/>
                <w:sz w:val="24"/>
              </w:rPr>
            </w:pPr>
            <w:r>
              <w:rPr>
                <w:rFonts w:hint="eastAsia" w:ascii="仿宋" w:hAnsi="仿宋" w:eastAsia="仿宋" w:cs="仿宋"/>
                <w:sz w:val="24"/>
              </w:rPr>
              <w:t>投标授权委托</w:t>
            </w:r>
          </w:p>
        </w:tc>
        <w:tc>
          <w:tcPr>
            <w:tcW w:w="5331" w:type="dxa"/>
            <w:noWrap w:val="0"/>
            <w:vAlign w:val="center"/>
          </w:tcPr>
          <w:p w14:paraId="78E468F1">
            <w:pPr>
              <w:rPr>
                <w:rFonts w:hint="eastAsia" w:ascii="仿宋" w:hAnsi="仿宋" w:eastAsia="仿宋" w:cs="仿宋"/>
                <w:sz w:val="24"/>
              </w:rPr>
            </w:pPr>
            <w:r>
              <w:rPr>
                <w:rFonts w:hint="eastAsia" w:ascii="仿宋" w:hAnsi="仿宋" w:eastAsia="仿宋" w:cs="仿宋"/>
                <w:sz w:val="24"/>
              </w:rPr>
              <w:t>投标文件提供法定代表人授权委托书或提供法定代表人身份证明</w:t>
            </w:r>
          </w:p>
        </w:tc>
        <w:tc>
          <w:tcPr>
            <w:tcW w:w="709" w:type="dxa"/>
            <w:noWrap w:val="0"/>
            <w:vAlign w:val="center"/>
          </w:tcPr>
          <w:p w14:paraId="77F9C22A">
            <w:pPr>
              <w:jc w:val="center"/>
              <w:rPr>
                <w:rFonts w:hint="eastAsia" w:ascii="仿宋" w:hAnsi="仿宋" w:eastAsia="仿宋" w:cs="仿宋"/>
                <w:sz w:val="24"/>
              </w:rPr>
            </w:pPr>
          </w:p>
        </w:tc>
      </w:tr>
      <w:tr w14:paraId="46AD3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111" w:type="dxa"/>
            <w:vMerge w:val="continue"/>
            <w:noWrap w:val="0"/>
            <w:vAlign w:val="center"/>
          </w:tcPr>
          <w:p w14:paraId="6B7CE80B">
            <w:pPr>
              <w:spacing w:line="440" w:lineRule="exact"/>
              <w:jc w:val="center"/>
              <w:rPr>
                <w:rFonts w:hint="eastAsia" w:ascii="仿宋" w:hAnsi="仿宋" w:eastAsia="仿宋" w:cs="仿宋"/>
                <w:sz w:val="24"/>
              </w:rPr>
            </w:pPr>
          </w:p>
        </w:tc>
        <w:tc>
          <w:tcPr>
            <w:tcW w:w="2654" w:type="dxa"/>
            <w:noWrap w:val="0"/>
            <w:vAlign w:val="center"/>
          </w:tcPr>
          <w:p w14:paraId="6EAF08F4">
            <w:pPr>
              <w:spacing w:line="440" w:lineRule="exact"/>
              <w:jc w:val="center"/>
              <w:rPr>
                <w:rFonts w:hint="eastAsia" w:ascii="仿宋" w:hAnsi="仿宋" w:eastAsia="仿宋" w:cs="仿宋"/>
                <w:sz w:val="24"/>
              </w:rPr>
            </w:pPr>
            <w:r>
              <w:rPr>
                <w:rFonts w:hint="eastAsia" w:ascii="仿宋" w:hAnsi="仿宋" w:eastAsia="仿宋" w:cs="仿宋"/>
                <w:sz w:val="24"/>
              </w:rPr>
              <w:t>签字盖章</w:t>
            </w:r>
          </w:p>
        </w:tc>
        <w:tc>
          <w:tcPr>
            <w:tcW w:w="5331" w:type="dxa"/>
            <w:noWrap w:val="0"/>
            <w:vAlign w:val="center"/>
          </w:tcPr>
          <w:p w14:paraId="63ED696E">
            <w:pPr>
              <w:rPr>
                <w:rFonts w:hint="eastAsia" w:ascii="仿宋" w:hAnsi="仿宋" w:eastAsia="仿宋" w:cs="仿宋"/>
                <w:sz w:val="24"/>
              </w:rPr>
            </w:pPr>
            <w:r>
              <w:rPr>
                <w:rFonts w:hint="eastAsia" w:ascii="仿宋" w:hAnsi="仿宋" w:eastAsia="仿宋" w:cs="仿宋"/>
                <w:sz w:val="24"/>
              </w:rPr>
              <w:t>投标文件按</w:t>
            </w:r>
            <w:r>
              <w:rPr>
                <w:rFonts w:hint="eastAsia" w:ascii="仿宋" w:hAnsi="仿宋" w:eastAsia="仿宋" w:cs="仿宋"/>
                <w:sz w:val="24"/>
                <w:lang w:val="en-US" w:eastAsia="zh-CN"/>
              </w:rPr>
              <w:t>招标</w:t>
            </w:r>
            <w:r>
              <w:rPr>
                <w:rFonts w:hint="eastAsia" w:ascii="仿宋" w:hAnsi="仿宋" w:eastAsia="仿宋" w:cs="仿宋"/>
                <w:sz w:val="24"/>
              </w:rPr>
              <w:t>文件要求签字、盖章</w:t>
            </w:r>
          </w:p>
        </w:tc>
        <w:tc>
          <w:tcPr>
            <w:tcW w:w="709" w:type="dxa"/>
            <w:noWrap w:val="0"/>
            <w:vAlign w:val="center"/>
          </w:tcPr>
          <w:p w14:paraId="68171B9D">
            <w:pPr>
              <w:jc w:val="center"/>
              <w:rPr>
                <w:rFonts w:hint="eastAsia" w:ascii="仿宋" w:hAnsi="仿宋" w:eastAsia="仿宋" w:cs="仿宋"/>
                <w:sz w:val="24"/>
              </w:rPr>
            </w:pPr>
          </w:p>
        </w:tc>
      </w:tr>
      <w:tr w14:paraId="70ADE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111" w:type="dxa"/>
            <w:vMerge w:val="continue"/>
            <w:noWrap w:val="0"/>
            <w:vAlign w:val="center"/>
          </w:tcPr>
          <w:p w14:paraId="740554ED">
            <w:pPr>
              <w:spacing w:line="440" w:lineRule="exact"/>
              <w:jc w:val="center"/>
              <w:rPr>
                <w:rFonts w:hint="eastAsia" w:ascii="仿宋" w:hAnsi="仿宋" w:eastAsia="仿宋" w:cs="仿宋"/>
                <w:sz w:val="24"/>
              </w:rPr>
            </w:pPr>
          </w:p>
        </w:tc>
        <w:tc>
          <w:tcPr>
            <w:tcW w:w="2654" w:type="dxa"/>
            <w:noWrap w:val="0"/>
            <w:vAlign w:val="center"/>
          </w:tcPr>
          <w:p w14:paraId="102C6EF8">
            <w:pPr>
              <w:spacing w:line="440" w:lineRule="exact"/>
              <w:jc w:val="center"/>
              <w:rPr>
                <w:rFonts w:hint="eastAsia" w:ascii="仿宋" w:hAnsi="仿宋" w:eastAsia="仿宋" w:cs="仿宋"/>
                <w:sz w:val="24"/>
              </w:rPr>
            </w:pPr>
            <w:r>
              <w:rPr>
                <w:rFonts w:hint="eastAsia" w:ascii="仿宋" w:hAnsi="仿宋" w:eastAsia="仿宋" w:cs="仿宋"/>
                <w:sz w:val="24"/>
              </w:rPr>
              <w:t>报价</w:t>
            </w:r>
          </w:p>
        </w:tc>
        <w:tc>
          <w:tcPr>
            <w:tcW w:w="5331" w:type="dxa"/>
            <w:noWrap w:val="0"/>
            <w:vAlign w:val="center"/>
          </w:tcPr>
          <w:p w14:paraId="53C8CB47">
            <w:pPr>
              <w:rPr>
                <w:rFonts w:hint="eastAsia" w:ascii="仿宋" w:hAnsi="仿宋" w:eastAsia="仿宋" w:cs="仿宋"/>
                <w:sz w:val="24"/>
              </w:rPr>
            </w:pPr>
            <w:r>
              <w:rPr>
                <w:rFonts w:hint="eastAsia" w:ascii="仿宋" w:hAnsi="仿宋" w:eastAsia="仿宋" w:cs="仿宋"/>
                <w:sz w:val="24"/>
              </w:rPr>
              <w:t>投标人报价未高于招标文件规定的最高限价</w:t>
            </w:r>
          </w:p>
        </w:tc>
        <w:tc>
          <w:tcPr>
            <w:tcW w:w="709" w:type="dxa"/>
            <w:noWrap w:val="0"/>
            <w:vAlign w:val="center"/>
          </w:tcPr>
          <w:p w14:paraId="70261FF2">
            <w:pPr>
              <w:jc w:val="center"/>
              <w:rPr>
                <w:rFonts w:hint="eastAsia" w:ascii="仿宋" w:hAnsi="仿宋" w:eastAsia="仿宋" w:cs="仿宋"/>
                <w:sz w:val="24"/>
              </w:rPr>
            </w:pPr>
          </w:p>
        </w:tc>
      </w:tr>
      <w:tr w14:paraId="19C56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1111" w:type="dxa"/>
            <w:vMerge w:val="continue"/>
            <w:noWrap w:val="0"/>
            <w:vAlign w:val="center"/>
          </w:tcPr>
          <w:p w14:paraId="101A02F2">
            <w:pPr>
              <w:spacing w:line="440" w:lineRule="exact"/>
              <w:jc w:val="center"/>
              <w:rPr>
                <w:rFonts w:hint="eastAsia" w:ascii="仿宋" w:hAnsi="仿宋" w:eastAsia="仿宋" w:cs="仿宋"/>
                <w:sz w:val="24"/>
              </w:rPr>
            </w:pPr>
          </w:p>
        </w:tc>
        <w:tc>
          <w:tcPr>
            <w:tcW w:w="2654" w:type="dxa"/>
            <w:noWrap w:val="0"/>
            <w:vAlign w:val="center"/>
          </w:tcPr>
          <w:p w14:paraId="4C087E7E">
            <w:pPr>
              <w:spacing w:line="440" w:lineRule="exact"/>
              <w:jc w:val="center"/>
              <w:rPr>
                <w:rFonts w:hint="eastAsia" w:ascii="仿宋" w:hAnsi="仿宋" w:eastAsia="仿宋" w:cs="仿宋"/>
                <w:sz w:val="24"/>
              </w:rPr>
            </w:pPr>
            <w:r>
              <w:rPr>
                <w:rFonts w:hint="eastAsia" w:ascii="仿宋" w:hAnsi="仿宋" w:eastAsia="仿宋" w:cs="仿宋"/>
                <w:sz w:val="24"/>
              </w:rPr>
              <w:t>投标有效期</w:t>
            </w:r>
          </w:p>
        </w:tc>
        <w:tc>
          <w:tcPr>
            <w:tcW w:w="5331" w:type="dxa"/>
            <w:noWrap w:val="0"/>
            <w:vAlign w:val="center"/>
          </w:tcPr>
          <w:p w14:paraId="23F86B7C">
            <w:pPr>
              <w:rPr>
                <w:rFonts w:hint="eastAsia" w:ascii="仿宋" w:hAnsi="仿宋" w:eastAsia="仿宋" w:cs="仿宋"/>
                <w:sz w:val="24"/>
              </w:rPr>
            </w:pPr>
            <w:r>
              <w:rPr>
                <w:rFonts w:hint="eastAsia" w:ascii="仿宋" w:hAnsi="仿宋" w:eastAsia="仿宋" w:cs="仿宋"/>
                <w:sz w:val="24"/>
              </w:rPr>
              <w:t>投标文件</w:t>
            </w:r>
            <w:r>
              <w:rPr>
                <w:rFonts w:hint="eastAsia" w:ascii="仿宋" w:hAnsi="仿宋" w:eastAsia="仿宋" w:cs="仿宋"/>
                <w:sz w:val="24"/>
                <w:lang w:val="en-US" w:eastAsia="zh-CN"/>
              </w:rPr>
              <w:t>中</w:t>
            </w:r>
            <w:r>
              <w:rPr>
                <w:rFonts w:hint="eastAsia" w:ascii="仿宋" w:hAnsi="仿宋" w:eastAsia="仿宋" w:cs="仿宋"/>
                <w:sz w:val="24"/>
              </w:rPr>
              <w:t>投标有效期满足招标文件要求</w:t>
            </w:r>
          </w:p>
        </w:tc>
        <w:tc>
          <w:tcPr>
            <w:tcW w:w="709" w:type="dxa"/>
            <w:noWrap w:val="0"/>
            <w:vAlign w:val="center"/>
          </w:tcPr>
          <w:p w14:paraId="3F7F32BE">
            <w:pPr>
              <w:jc w:val="center"/>
              <w:rPr>
                <w:rFonts w:hint="eastAsia" w:ascii="仿宋" w:hAnsi="仿宋" w:eastAsia="仿宋" w:cs="仿宋"/>
                <w:sz w:val="24"/>
              </w:rPr>
            </w:pPr>
          </w:p>
        </w:tc>
      </w:tr>
      <w:tr w14:paraId="6D190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1111" w:type="dxa"/>
            <w:vMerge w:val="continue"/>
            <w:noWrap w:val="0"/>
            <w:vAlign w:val="center"/>
          </w:tcPr>
          <w:p w14:paraId="0E44EBC0">
            <w:pPr>
              <w:spacing w:line="440" w:lineRule="exact"/>
              <w:jc w:val="center"/>
              <w:rPr>
                <w:rFonts w:hint="eastAsia" w:ascii="仿宋" w:hAnsi="仿宋" w:eastAsia="仿宋" w:cs="仿宋"/>
                <w:sz w:val="24"/>
              </w:rPr>
            </w:pPr>
          </w:p>
        </w:tc>
        <w:tc>
          <w:tcPr>
            <w:tcW w:w="2654" w:type="dxa"/>
            <w:noWrap w:val="0"/>
            <w:vAlign w:val="center"/>
          </w:tcPr>
          <w:p w14:paraId="0867DA66">
            <w:pPr>
              <w:spacing w:line="440" w:lineRule="exact"/>
              <w:jc w:val="center"/>
              <w:rPr>
                <w:rFonts w:hint="eastAsia" w:ascii="仿宋" w:hAnsi="仿宋" w:eastAsia="仿宋" w:cs="仿宋"/>
                <w:sz w:val="24"/>
              </w:rPr>
            </w:pPr>
            <w:r>
              <w:rPr>
                <w:rFonts w:hint="eastAsia" w:ascii="仿宋" w:hAnsi="仿宋" w:eastAsia="仿宋" w:cs="仿宋"/>
                <w:sz w:val="24"/>
              </w:rPr>
              <w:t>投标保证金</w:t>
            </w:r>
          </w:p>
        </w:tc>
        <w:tc>
          <w:tcPr>
            <w:tcW w:w="5331" w:type="dxa"/>
            <w:noWrap w:val="0"/>
            <w:vAlign w:val="center"/>
          </w:tcPr>
          <w:p w14:paraId="15BBF12F">
            <w:pPr>
              <w:rPr>
                <w:rFonts w:hint="eastAsia" w:ascii="仿宋" w:hAnsi="仿宋" w:eastAsia="仿宋" w:cs="仿宋"/>
                <w:sz w:val="24"/>
              </w:rPr>
            </w:pPr>
            <w:r>
              <w:rPr>
                <w:rFonts w:hint="eastAsia" w:ascii="仿宋" w:hAnsi="仿宋" w:eastAsia="仿宋" w:cs="仿宋"/>
                <w:sz w:val="24"/>
              </w:rPr>
              <w:t>按要求递交并在投标文件中附保证金递交证明材料</w:t>
            </w:r>
          </w:p>
        </w:tc>
        <w:tc>
          <w:tcPr>
            <w:tcW w:w="709" w:type="dxa"/>
            <w:noWrap w:val="0"/>
            <w:vAlign w:val="center"/>
          </w:tcPr>
          <w:p w14:paraId="1E27F88A">
            <w:pPr>
              <w:jc w:val="center"/>
              <w:rPr>
                <w:rFonts w:hint="eastAsia" w:ascii="仿宋" w:hAnsi="仿宋" w:eastAsia="仿宋" w:cs="仿宋"/>
                <w:sz w:val="24"/>
              </w:rPr>
            </w:pPr>
          </w:p>
        </w:tc>
      </w:tr>
      <w:tr w14:paraId="61CE0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1111" w:type="dxa"/>
            <w:vMerge w:val="continue"/>
            <w:noWrap w:val="0"/>
            <w:vAlign w:val="center"/>
          </w:tcPr>
          <w:p w14:paraId="6EC2D006">
            <w:pPr>
              <w:spacing w:line="440" w:lineRule="exact"/>
              <w:jc w:val="center"/>
              <w:rPr>
                <w:rFonts w:hint="eastAsia" w:ascii="仿宋" w:hAnsi="仿宋" w:eastAsia="仿宋" w:cs="仿宋"/>
                <w:sz w:val="24"/>
              </w:rPr>
            </w:pPr>
          </w:p>
        </w:tc>
        <w:tc>
          <w:tcPr>
            <w:tcW w:w="2654" w:type="dxa"/>
            <w:noWrap w:val="0"/>
            <w:vAlign w:val="center"/>
          </w:tcPr>
          <w:p w14:paraId="1A58DBBE">
            <w:pPr>
              <w:spacing w:line="440" w:lineRule="exact"/>
              <w:jc w:val="center"/>
              <w:rPr>
                <w:rFonts w:hint="eastAsia" w:ascii="仿宋" w:hAnsi="仿宋" w:eastAsia="仿宋" w:cs="仿宋"/>
                <w:sz w:val="24"/>
              </w:rPr>
            </w:pPr>
            <w:r>
              <w:rPr>
                <w:rFonts w:hint="eastAsia" w:ascii="仿宋" w:hAnsi="仿宋" w:eastAsia="仿宋" w:cs="仿宋"/>
                <w:sz w:val="24"/>
              </w:rPr>
              <w:t>其他</w:t>
            </w:r>
          </w:p>
        </w:tc>
        <w:tc>
          <w:tcPr>
            <w:tcW w:w="5331" w:type="dxa"/>
            <w:noWrap w:val="0"/>
            <w:vAlign w:val="center"/>
          </w:tcPr>
          <w:p w14:paraId="5AF4D588">
            <w:pPr>
              <w:rPr>
                <w:rFonts w:hint="eastAsia" w:ascii="仿宋" w:hAnsi="仿宋" w:eastAsia="仿宋" w:cs="仿宋"/>
                <w:sz w:val="24"/>
              </w:rPr>
            </w:pPr>
            <w:r>
              <w:rPr>
                <w:rFonts w:hint="eastAsia" w:ascii="仿宋" w:hAnsi="仿宋" w:eastAsia="仿宋" w:cs="仿宋"/>
                <w:sz w:val="24"/>
              </w:rPr>
              <w:t>符合招标文件中规定的其他实质性要求</w:t>
            </w:r>
          </w:p>
        </w:tc>
        <w:tc>
          <w:tcPr>
            <w:tcW w:w="709" w:type="dxa"/>
            <w:noWrap w:val="0"/>
            <w:vAlign w:val="center"/>
          </w:tcPr>
          <w:p w14:paraId="0F56C0C2">
            <w:pPr>
              <w:jc w:val="center"/>
              <w:rPr>
                <w:rFonts w:hint="eastAsia" w:ascii="仿宋" w:hAnsi="仿宋" w:eastAsia="仿宋" w:cs="仿宋"/>
                <w:sz w:val="24"/>
              </w:rPr>
            </w:pPr>
          </w:p>
        </w:tc>
      </w:tr>
    </w:tbl>
    <w:p w14:paraId="39B638AE">
      <w:pPr>
        <w:spacing w:line="360" w:lineRule="auto"/>
        <w:rPr>
          <w:rFonts w:hint="eastAsia" w:ascii="仿宋" w:hAnsi="仿宋" w:eastAsia="仿宋" w:cs="仿宋"/>
          <w:b/>
          <w:sz w:val="24"/>
        </w:rPr>
      </w:pPr>
    </w:p>
    <w:p w14:paraId="1534BC86">
      <w:pPr>
        <w:spacing w:line="360" w:lineRule="auto"/>
        <w:rPr>
          <w:rFonts w:hint="eastAsia" w:ascii="仿宋" w:hAnsi="仿宋" w:eastAsia="仿宋" w:cs="仿宋"/>
          <w:b/>
          <w:sz w:val="24"/>
        </w:rPr>
      </w:pPr>
      <w:r>
        <w:rPr>
          <w:rFonts w:hint="eastAsia" w:ascii="仿宋" w:hAnsi="仿宋" w:eastAsia="仿宋" w:cs="仿宋"/>
          <w:b/>
          <w:sz w:val="24"/>
        </w:rPr>
        <w:t>备注：如有一项未通过，评审小组将认定整个投标文件未响应招标文件而予以废标处理。</w:t>
      </w:r>
    </w:p>
    <w:p w14:paraId="4CE26343">
      <w:pPr>
        <w:spacing w:line="360" w:lineRule="auto"/>
        <w:jc w:val="center"/>
        <w:rPr>
          <w:rFonts w:hint="eastAsia" w:ascii="仿宋" w:hAnsi="仿宋" w:eastAsia="仿宋" w:cs="仿宋"/>
          <w:b/>
          <w:bCs/>
          <w:sz w:val="28"/>
          <w:szCs w:val="28"/>
        </w:rPr>
      </w:pPr>
      <w:r>
        <w:rPr>
          <w:rFonts w:hint="eastAsia" w:ascii="仿宋" w:hAnsi="仿宋" w:eastAsia="仿宋" w:cs="仿宋"/>
          <w:b/>
          <w:bCs/>
          <w:sz w:val="28"/>
          <w:szCs w:val="28"/>
        </w:rPr>
        <w:t>商务部分评审表</w:t>
      </w:r>
    </w:p>
    <w:tbl>
      <w:tblPr>
        <w:tblStyle w:val="33"/>
        <w:tblpPr w:leftFromText="180" w:rightFromText="180" w:vertAnchor="text" w:horzAnchor="page" w:tblpX="1317" w:tblpY="550"/>
        <w:tblOverlap w:val="never"/>
        <w:tblW w:w="97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9"/>
        <w:gridCol w:w="525"/>
        <w:gridCol w:w="1479"/>
        <w:gridCol w:w="5984"/>
        <w:gridCol w:w="830"/>
      </w:tblGrid>
      <w:tr w14:paraId="06290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trPr>
        <w:tc>
          <w:tcPr>
            <w:tcW w:w="929" w:type="dxa"/>
            <w:noWrap/>
            <w:vAlign w:val="center"/>
          </w:tcPr>
          <w:p w14:paraId="52B5F2E8">
            <w:pPr>
              <w:jc w:val="center"/>
              <w:rPr>
                <w:rFonts w:hint="eastAsia" w:ascii="仿宋" w:hAnsi="仿宋" w:eastAsia="仿宋" w:cs="仿宋"/>
                <w:b/>
                <w:bCs/>
                <w:kern w:val="0"/>
                <w:sz w:val="24"/>
              </w:rPr>
            </w:pPr>
            <w:r>
              <w:rPr>
                <w:rFonts w:hint="eastAsia" w:ascii="仿宋" w:hAnsi="仿宋" w:eastAsia="仿宋" w:cs="仿宋"/>
                <w:b/>
                <w:bCs/>
                <w:kern w:val="0"/>
                <w:sz w:val="24"/>
              </w:rPr>
              <w:t>序号</w:t>
            </w:r>
          </w:p>
        </w:tc>
        <w:tc>
          <w:tcPr>
            <w:tcW w:w="2004" w:type="dxa"/>
            <w:gridSpan w:val="2"/>
            <w:noWrap/>
            <w:vAlign w:val="center"/>
          </w:tcPr>
          <w:p w14:paraId="58D56340">
            <w:pPr>
              <w:jc w:val="center"/>
              <w:rPr>
                <w:rFonts w:hint="eastAsia" w:ascii="仿宋" w:hAnsi="仿宋" w:eastAsia="仿宋" w:cs="仿宋"/>
                <w:b/>
                <w:bCs/>
                <w:kern w:val="0"/>
                <w:sz w:val="24"/>
              </w:rPr>
            </w:pPr>
            <w:r>
              <w:rPr>
                <w:rFonts w:hint="eastAsia" w:ascii="仿宋" w:hAnsi="仿宋" w:eastAsia="仿宋" w:cs="仿宋"/>
                <w:b/>
                <w:bCs/>
                <w:kern w:val="0"/>
                <w:sz w:val="24"/>
              </w:rPr>
              <w:t>项目</w:t>
            </w:r>
          </w:p>
        </w:tc>
        <w:tc>
          <w:tcPr>
            <w:tcW w:w="5984" w:type="dxa"/>
            <w:noWrap/>
            <w:vAlign w:val="center"/>
          </w:tcPr>
          <w:p w14:paraId="62BD07CD">
            <w:pPr>
              <w:jc w:val="center"/>
              <w:rPr>
                <w:rFonts w:hint="eastAsia" w:ascii="仿宋" w:hAnsi="仿宋" w:eastAsia="仿宋" w:cs="仿宋"/>
                <w:b/>
                <w:bCs/>
                <w:kern w:val="0"/>
                <w:sz w:val="24"/>
              </w:rPr>
            </w:pPr>
            <w:r>
              <w:rPr>
                <w:rFonts w:hint="eastAsia" w:ascii="仿宋" w:hAnsi="仿宋" w:eastAsia="仿宋" w:cs="仿宋"/>
                <w:b/>
                <w:bCs/>
                <w:kern w:val="0"/>
                <w:sz w:val="24"/>
              </w:rPr>
              <w:t>评审内容</w:t>
            </w:r>
          </w:p>
        </w:tc>
        <w:tc>
          <w:tcPr>
            <w:tcW w:w="830" w:type="dxa"/>
            <w:noWrap/>
            <w:vAlign w:val="center"/>
          </w:tcPr>
          <w:p w14:paraId="55C01BF6">
            <w:pPr>
              <w:tabs>
                <w:tab w:val="left" w:pos="267"/>
              </w:tabs>
              <w:jc w:val="center"/>
              <w:rPr>
                <w:rFonts w:hint="eastAsia" w:ascii="仿宋" w:hAnsi="仿宋" w:eastAsia="仿宋" w:cs="仿宋"/>
                <w:b/>
                <w:bCs/>
                <w:kern w:val="0"/>
                <w:sz w:val="24"/>
              </w:rPr>
            </w:pPr>
            <w:r>
              <w:rPr>
                <w:rFonts w:hint="eastAsia" w:ascii="仿宋" w:hAnsi="仿宋" w:eastAsia="仿宋" w:cs="仿宋"/>
                <w:b/>
                <w:bCs/>
                <w:kern w:val="0"/>
                <w:sz w:val="24"/>
              </w:rPr>
              <w:t>分值</w:t>
            </w:r>
          </w:p>
        </w:tc>
      </w:tr>
      <w:tr w14:paraId="2BFEC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8" w:hRule="atLeast"/>
        </w:trPr>
        <w:tc>
          <w:tcPr>
            <w:tcW w:w="929" w:type="dxa"/>
            <w:noWrap/>
            <w:vAlign w:val="center"/>
          </w:tcPr>
          <w:p w14:paraId="77B3A15B">
            <w:pPr>
              <w:jc w:val="center"/>
              <w:rPr>
                <w:rFonts w:hint="eastAsia" w:ascii="仿宋" w:hAnsi="仿宋" w:eastAsia="仿宋" w:cs="仿宋"/>
                <w:kern w:val="0"/>
                <w:sz w:val="24"/>
              </w:rPr>
            </w:pPr>
            <w:bookmarkStart w:id="106" w:name="OLE_LINK13" w:colFirst="2" w:colLast="2"/>
            <w:bookmarkStart w:id="107" w:name="OLE_LINK18" w:colFirst="3" w:colLast="3"/>
            <w:bookmarkStart w:id="108" w:name="OLE_LINK16" w:colFirst="4" w:colLast="4"/>
            <w:r>
              <w:rPr>
                <w:rFonts w:hint="eastAsia" w:ascii="仿宋" w:hAnsi="仿宋" w:eastAsia="仿宋" w:cs="仿宋"/>
                <w:kern w:val="0"/>
                <w:sz w:val="24"/>
              </w:rPr>
              <w:t>1</w:t>
            </w:r>
          </w:p>
        </w:tc>
        <w:tc>
          <w:tcPr>
            <w:tcW w:w="525" w:type="dxa"/>
            <w:vMerge w:val="restart"/>
            <w:noWrap/>
            <w:vAlign w:val="center"/>
          </w:tcPr>
          <w:p w14:paraId="79BCBF6D">
            <w:pPr>
              <w:jc w:val="center"/>
              <w:rPr>
                <w:rFonts w:hint="eastAsia" w:ascii="仿宋" w:hAnsi="仿宋" w:eastAsia="仿宋" w:cs="仿宋"/>
                <w:kern w:val="0"/>
                <w:sz w:val="24"/>
              </w:rPr>
            </w:pPr>
            <w:bookmarkStart w:id="109" w:name="OLE_LINK14"/>
            <w:r>
              <w:rPr>
                <w:rFonts w:hint="eastAsia" w:ascii="仿宋" w:hAnsi="仿宋" w:eastAsia="仿宋" w:cs="仿宋"/>
                <w:kern w:val="0"/>
                <w:sz w:val="24"/>
              </w:rPr>
              <w:t>商务部分</w:t>
            </w:r>
          </w:p>
          <w:bookmarkEnd w:id="109"/>
          <w:p w14:paraId="2375A265">
            <w:pPr>
              <w:pStyle w:val="25"/>
              <w:ind w:left="420" w:hanging="420"/>
              <w:rPr>
                <w:rFonts w:hint="eastAsia" w:ascii="仿宋" w:hAnsi="仿宋" w:eastAsia="仿宋" w:cs="仿宋"/>
              </w:rPr>
            </w:pPr>
          </w:p>
        </w:tc>
        <w:tc>
          <w:tcPr>
            <w:tcW w:w="1479" w:type="dxa"/>
            <w:noWrap/>
            <w:vAlign w:val="center"/>
          </w:tcPr>
          <w:p w14:paraId="15DFCCC6">
            <w:pPr>
              <w:jc w:val="center"/>
              <w:rPr>
                <w:rFonts w:hint="eastAsia" w:ascii="仿宋" w:hAnsi="仿宋" w:eastAsia="仿宋" w:cs="仿宋"/>
                <w:kern w:val="0"/>
                <w:sz w:val="24"/>
                <w:lang w:eastAsia="zh-CN"/>
              </w:rPr>
            </w:pPr>
            <w:r>
              <w:rPr>
                <w:rFonts w:hint="eastAsia" w:ascii="仿宋" w:hAnsi="仿宋" w:eastAsia="仿宋" w:cs="仿宋"/>
                <w:kern w:val="0"/>
                <w:sz w:val="24"/>
                <w:lang w:val="en-US" w:eastAsia="zh-CN"/>
              </w:rPr>
              <w:t>投标人</w:t>
            </w:r>
            <w:r>
              <w:rPr>
                <w:rFonts w:hint="eastAsia" w:ascii="仿宋" w:hAnsi="仿宋" w:eastAsia="仿宋" w:cs="仿宋"/>
                <w:kern w:val="0"/>
                <w:sz w:val="24"/>
              </w:rPr>
              <w:t>业绩</w:t>
            </w:r>
          </w:p>
        </w:tc>
        <w:tc>
          <w:tcPr>
            <w:tcW w:w="5984" w:type="dxa"/>
            <w:noWrap/>
            <w:vAlign w:val="center"/>
          </w:tcPr>
          <w:p w14:paraId="41AC2940">
            <w:pPr>
              <w:spacing w:line="276" w:lineRule="auto"/>
              <w:jc w:val="left"/>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近三年内具有类似（开展过线上运动会+国民体质健康监测+国家体育锻炼标准）业绩，提供证明材料复印件（合同或中标通知书），每提供一项业绩得3分，最高得 6分。未提供不得分。</w:t>
            </w:r>
          </w:p>
        </w:tc>
        <w:tc>
          <w:tcPr>
            <w:tcW w:w="830" w:type="dxa"/>
            <w:noWrap/>
            <w:vAlign w:val="center"/>
          </w:tcPr>
          <w:p w14:paraId="5E7ED04E">
            <w:pPr>
              <w:jc w:val="center"/>
              <w:textAlignment w:val="center"/>
              <w:rPr>
                <w:rFonts w:hint="eastAsia" w:ascii="仿宋" w:hAnsi="仿宋" w:eastAsia="仿宋" w:cs="仿宋"/>
                <w:kern w:val="0"/>
                <w:sz w:val="24"/>
                <w:lang w:bidi="ar"/>
              </w:rPr>
            </w:pPr>
            <w:r>
              <w:rPr>
                <w:rFonts w:hint="eastAsia" w:ascii="仿宋" w:hAnsi="仿宋" w:eastAsia="仿宋" w:cs="仿宋"/>
                <w:kern w:val="0"/>
                <w:sz w:val="24"/>
                <w:lang w:val="en-US" w:eastAsia="zh-CN" w:bidi="ar"/>
              </w:rPr>
              <w:t>6</w:t>
            </w:r>
            <w:r>
              <w:rPr>
                <w:rFonts w:hint="eastAsia" w:ascii="仿宋" w:hAnsi="仿宋" w:eastAsia="仿宋" w:cs="仿宋"/>
                <w:kern w:val="0"/>
                <w:sz w:val="24"/>
                <w:lang w:bidi="ar"/>
              </w:rPr>
              <w:t>分</w:t>
            </w:r>
          </w:p>
        </w:tc>
      </w:tr>
      <w:tr w14:paraId="62099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6" w:hRule="atLeast"/>
        </w:trPr>
        <w:tc>
          <w:tcPr>
            <w:tcW w:w="929" w:type="dxa"/>
            <w:noWrap/>
            <w:vAlign w:val="center"/>
          </w:tcPr>
          <w:p w14:paraId="2BEEBCA1">
            <w:pPr>
              <w:jc w:val="center"/>
              <w:rPr>
                <w:rFonts w:hint="eastAsia" w:ascii="仿宋" w:hAnsi="仿宋" w:eastAsia="仿宋" w:cs="仿宋"/>
                <w:kern w:val="0"/>
                <w:sz w:val="24"/>
                <w:lang w:eastAsia="zh-CN"/>
              </w:rPr>
            </w:pPr>
            <w:r>
              <w:rPr>
                <w:rFonts w:hint="eastAsia" w:ascii="仿宋" w:hAnsi="仿宋" w:eastAsia="仿宋" w:cs="仿宋"/>
                <w:kern w:val="0"/>
                <w:sz w:val="24"/>
                <w:lang w:val="en-US" w:eastAsia="zh-CN"/>
              </w:rPr>
              <w:t>2</w:t>
            </w:r>
          </w:p>
        </w:tc>
        <w:tc>
          <w:tcPr>
            <w:tcW w:w="525" w:type="dxa"/>
            <w:vMerge w:val="continue"/>
            <w:noWrap/>
            <w:vAlign w:val="center"/>
          </w:tcPr>
          <w:p w14:paraId="07A26D42">
            <w:pPr>
              <w:pStyle w:val="25"/>
              <w:ind w:left="420" w:hanging="420"/>
              <w:rPr>
                <w:rFonts w:hint="eastAsia" w:ascii="仿宋" w:hAnsi="仿宋" w:eastAsia="仿宋" w:cs="仿宋"/>
              </w:rPr>
            </w:pPr>
          </w:p>
        </w:tc>
        <w:tc>
          <w:tcPr>
            <w:tcW w:w="1479" w:type="dxa"/>
            <w:noWrap/>
            <w:vAlign w:val="center"/>
          </w:tcPr>
          <w:p w14:paraId="0F4DDD29">
            <w:pPr>
              <w:jc w:val="center"/>
              <w:rPr>
                <w:rFonts w:hint="eastAsia" w:ascii="仿宋" w:hAnsi="仿宋" w:eastAsia="仿宋" w:cs="仿宋"/>
                <w:kern w:val="0"/>
                <w:sz w:val="24"/>
              </w:rPr>
            </w:pPr>
            <w:r>
              <w:rPr>
                <w:rFonts w:hint="eastAsia" w:ascii="仿宋" w:hAnsi="仿宋" w:eastAsia="仿宋" w:cs="仿宋"/>
                <w:kern w:val="0"/>
                <w:sz w:val="24"/>
              </w:rPr>
              <w:t>项目负责人</w:t>
            </w:r>
          </w:p>
        </w:tc>
        <w:tc>
          <w:tcPr>
            <w:tcW w:w="5984" w:type="dxa"/>
            <w:shd w:val="clear" w:color="auto" w:fill="auto"/>
            <w:noWrap/>
            <w:vAlign w:val="center"/>
          </w:tcPr>
          <w:p w14:paraId="7056D1F2">
            <w:pPr>
              <w:spacing w:line="276" w:lineRule="auto"/>
              <w:jc w:val="left"/>
              <w:rPr>
                <w:rFonts w:hint="eastAsia" w:ascii="仿宋" w:hAnsi="仿宋" w:eastAsia="仿宋" w:cs="仿宋"/>
                <w:kern w:val="0"/>
                <w:sz w:val="24"/>
                <w:szCs w:val="22"/>
                <w:lang w:val="en-US" w:eastAsia="zh-CN" w:bidi="ar-SA"/>
              </w:rPr>
            </w:pPr>
            <w:r>
              <w:rPr>
                <w:rFonts w:hint="default" w:ascii="仿宋" w:hAnsi="仿宋" w:eastAsia="仿宋" w:cs="仿宋"/>
                <w:color w:val="000000" w:themeColor="text1"/>
                <w:sz w:val="24"/>
                <w:szCs w:val="24"/>
                <w:highlight w:val="none"/>
                <w:lang w:val="en-US" w:eastAsia="zh-CN"/>
                <w14:textFill>
                  <w14:solidFill>
                    <w14:schemeClr w14:val="tx1"/>
                  </w14:solidFill>
                </w14:textFill>
              </w:rPr>
              <w:t>项目负责人具有</w:t>
            </w:r>
            <w:r>
              <w:rPr>
                <w:rFonts w:hint="eastAsia" w:ascii="仿宋" w:hAnsi="仿宋" w:eastAsia="仿宋" w:cs="仿宋"/>
                <w:color w:val="000000" w:themeColor="text1"/>
                <w:sz w:val="24"/>
                <w:szCs w:val="24"/>
                <w:highlight w:val="none"/>
                <w:lang w:val="en-US" w:eastAsia="zh-CN"/>
                <w14:textFill>
                  <w14:solidFill>
                    <w14:schemeClr w14:val="tx1"/>
                  </w14:solidFill>
                </w14:textFill>
              </w:rPr>
              <w:t>三</w:t>
            </w:r>
            <w:r>
              <w:rPr>
                <w:rFonts w:hint="eastAsia" w:ascii="仿宋" w:hAnsi="仿宋" w:eastAsia="仿宋" w:cs="仿宋"/>
                <w:color w:val="000000" w:themeColor="text1"/>
                <w:sz w:val="24"/>
                <w:szCs w:val="24"/>
                <w:highlight w:val="none"/>
                <w:lang w:val="en-US" w:eastAsia="zh-Hans"/>
                <w14:textFill>
                  <w14:solidFill>
                    <w14:schemeClr w14:val="tx1"/>
                  </w14:solidFill>
                </w14:textFill>
              </w:rPr>
              <w:t>年及以上赛事组织经验</w:t>
            </w:r>
            <w:r>
              <w:rPr>
                <w:rFonts w:hint="eastAsia" w:ascii="仿宋" w:hAnsi="仿宋" w:eastAsia="仿宋" w:cs="仿宋"/>
                <w:color w:val="000000" w:themeColor="text1"/>
                <w:sz w:val="24"/>
                <w:szCs w:val="24"/>
                <w:highlight w:val="none"/>
                <w:lang w:val="en-US" w:eastAsia="zh-CN"/>
                <w14:textFill>
                  <w14:solidFill>
                    <w14:schemeClr w14:val="tx1"/>
                  </w14:solidFill>
                </w14:textFill>
              </w:rPr>
              <w:t>，每提供一个案例</w:t>
            </w:r>
            <w:r>
              <w:rPr>
                <w:rFonts w:hint="eastAsia" w:ascii="仿宋" w:hAnsi="仿宋" w:eastAsia="仿宋" w:cs="仿宋"/>
                <w:color w:val="000000" w:themeColor="text1"/>
                <w:sz w:val="24"/>
                <w:szCs w:val="24"/>
                <w:highlight w:val="none"/>
                <w:lang w:val="en-US" w:eastAsia="zh-Hans"/>
                <w14:textFill>
                  <w14:solidFill>
                    <w14:schemeClr w14:val="tx1"/>
                  </w14:solidFill>
                </w14:textFill>
              </w:rPr>
              <w:t>得</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lang w:val="en-US" w:eastAsia="zh-Hans"/>
                <w14:textFill>
                  <w14:solidFill>
                    <w14:schemeClr w14:val="tx1"/>
                  </w14:solidFill>
                </w14:textFill>
              </w:rPr>
              <w:t>分，</w:t>
            </w:r>
            <w:r>
              <w:rPr>
                <w:rFonts w:hint="eastAsia" w:ascii="仿宋" w:hAnsi="仿宋" w:eastAsia="仿宋" w:cs="仿宋"/>
                <w:color w:val="000000" w:themeColor="text1"/>
                <w:sz w:val="24"/>
                <w:szCs w:val="24"/>
                <w:highlight w:val="none"/>
                <w:lang w:val="en-US" w:eastAsia="zh-CN"/>
                <w14:textFill>
                  <w14:solidFill>
                    <w14:schemeClr w14:val="tx1"/>
                  </w14:solidFill>
                </w14:textFill>
              </w:rPr>
              <w:t>满分9</w:t>
            </w:r>
            <w:r>
              <w:rPr>
                <w:rFonts w:hint="default" w:ascii="仿宋" w:hAnsi="仿宋" w:eastAsia="仿宋" w:cs="仿宋"/>
                <w:color w:val="000000" w:themeColor="text1"/>
                <w:sz w:val="24"/>
                <w:szCs w:val="24"/>
                <w:highlight w:val="none"/>
                <w:lang w:val="en-US" w:eastAsia="zh-CN"/>
                <w14:textFill>
                  <w14:solidFill>
                    <w14:schemeClr w14:val="tx1"/>
                  </w14:solidFill>
                </w14:textFill>
              </w:rPr>
              <w:t>分</w:t>
            </w:r>
            <w:r>
              <w:rPr>
                <w:rFonts w:hint="eastAsia" w:ascii="仿宋" w:hAnsi="仿宋" w:eastAsia="仿宋" w:cs="仿宋"/>
                <w:color w:val="000000" w:themeColor="text1"/>
                <w:sz w:val="24"/>
                <w:szCs w:val="24"/>
                <w:highlight w:val="none"/>
                <w:lang w:val="en-US" w:eastAsia="zh-Hans"/>
                <w14:textFill>
                  <w14:solidFill>
                    <w14:schemeClr w14:val="tx1"/>
                  </w14:solidFill>
                </w14:textFill>
              </w:rPr>
              <w:t>，</w:t>
            </w:r>
            <w:r>
              <w:rPr>
                <w:rFonts w:hint="default" w:ascii="仿宋" w:hAnsi="仿宋" w:eastAsia="仿宋" w:cs="仿宋"/>
                <w:color w:val="000000" w:themeColor="text1"/>
                <w:sz w:val="24"/>
                <w:szCs w:val="24"/>
                <w:highlight w:val="none"/>
                <w:lang w:val="en-US" w:eastAsia="zh-CN"/>
                <w14:textFill>
                  <w14:solidFill>
                    <w14:schemeClr w14:val="tx1"/>
                  </w14:solidFill>
                </w14:textFill>
              </w:rPr>
              <w:t>（提供项目负责人</w:t>
            </w:r>
            <w:r>
              <w:rPr>
                <w:rFonts w:hint="eastAsia" w:ascii="仿宋" w:hAnsi="仿宋" w:eastAsia="仿宋" w:cs="仿宋"/>
                <w:color w:val="000000" w:themeColor="text1"/>
                <w:sz w:val="24"/>
                <w:szCs w:val="24"/>
                <w:highlight w:val="none"/>
                <w:lang w:val="en-US" w:eastAsia="zh-Hans"/>
                <w14:textFill>
                  <w14:solidFill>
                    <w14:schemeClr w14:val="tx1"/>
                  </w14:solidFill>
                </w14:textFill>
              </w:rPr>
              <w:t>清晰的</w:t>
            </w:r>
            <w:r>
              <w:rPr>
                <w:rFonts w:hint="eastAsia" w:ascii="仿宋" w:hAnsi="仿宋" w:eastAsia="仿宋" w:cs="仿宋"/>
                <w:color w:val="000000" w:themeColor="text1"/>
                <w:sz w:val="24"/>
                <w:szCs w:val="24"/>
                <w:highlight w:val="none"/>
                <w:lang w:val="en-US" w:eastAsia="zh-CN"/>
                <w14:textFill>
                  <w14:solidFill>
                    <w14:schemeClr w14:val="tx1"/>
                  </w14:solidFill>
                </w14:textFill>
              </w:rPr>
              <w:t>案例</w:t>
            </w:r>
            <w:r>
              <w:rPr>
                <w:rFonts w:hint="eastAsia" w:ascii="仿宋" w:hAnsi="仿宋" w:eastAsia="仿宋" w:cs="仿宋"/>
                <w:color w:val="000000" w:themeColor="text1"/>
                <w:sz w:val="24"/>
                <w:szCs w:val="24"/>
                <w:highlight w:val="none"/>
                <w:lang w:val="en-US" w:eastAsia="zh-Hans"/>
                <w14:textFill>
                  <w14:solidFill>
                    <w14:schemeClr w14:val="tx1"/>
                  </w14:solidFill>
                </w14:textFill>
              </w:rPr>
              <w:t>证明</w:t>
            </w:r>
            <w:r>
              <w:rPr>
                <w:rFonts w:hint="eastAsia" w:ascii="仿宋" w:hAnsi="仿宋" w:eastAsia="仿宋" w:cs="仿宋"/>
                <w:color w:val="000000" w:themeColor="text1"/>
                <w:sz w:val="24"/>
                <w:szCs w:val="24"/>
                <w:highlight w:val="none"/>
                <w:lang w:val="en-US" w:eastAsia="zh-CN"/>
                <w14:textFill>
                  <w14:solidFill>
                    <w14:schemeClr w14:val="tx1"/>
                  </w14:solidFill>
                </w14:textFill>
              </w:rPr>
              <w:t>材料</w:t>
            </w:r>
            <w:r>
              <w:rPr>
                <w:rFonts w:hint="default" w:ascii="仿宋" w:hAnsi="仿宋" w:eastAsia="仿宋" w:cs="仿宋"/>
                <w:color w:val="000000" w:themeColor="text1"/>
                <w:sz w:val="24"/>
                <w:szCs w:val="24"/>
                <w:highlight w:val="none"/>
                <w:lang w:val="en-US" w:eastAsia="zh-CN"/>
                <w14:textFill>
                  <w14:solidFill>
                    <w14:schemeClr w14:val="tx1"/>
                  </w14:solidFill>
                </w14:textFill>
              </w:rPr>
              <w:t>作为得分依据</w:t>
            </w:r>
            <w:r>
              <w:rPr>
                <w:rFonts w:hint="eastAsia" w:ascii="仿宋" w:hAnsi="仿宋" w:eastAsia="仿宋" w:cs="仿宋"/>
                <w:color w:val="000000" w:themeColor="text1"/>
                <w:sz w:val="24"/>
                <w:szCs w:val="24"/>
                <w:highlight w:val="none"/>
                <w:lang w:val="en-US" w:eastAsia="zh-Hans"/>
                <w14:textFill>
                  <w14:solidFill>
                    <w14:schemeClr w14:val="tx1"/>
                  </w14:solidFill>
                </w14:textFill>
              </w:rPr>
              <w:t>，</w:t>
            </w:r>
            <w:r>
              <w:rPr>
                <w:rFonts w:hint="default" w:ascii="仿宋" w:hAnsi="仿宋" w:eastAsia="仿宋" w:cs="仿宋"/>
                <w:color w:val="000000" w:themeColor="text1"/>
                <w:sz w:val="24"/>
                <w:szCs w:val="24"/>
                <w:highlight w:val="none"/>
                <w:lang w:val="en-US" w:eastAsia="zh-CN"/>
                <w14:textFill>
                  <w14:solidFill>
                    <w14:schemeClr w14:val="tx1"/>
                  </w14:solidFill>
                </w14:textFill>
              </w:rPr>
              <w:t>未按要求提供上述证明材料的本项不得分</w:t>
            </w:r>
            <w:r>
              <w:rPr>
                <w:rFonts w:hint="eastAsia" w:ascii="仿宋" w:hAnsi="仿宋" w:eastAsia="仿宋" w:cs="仿宋"/>
                <w:color w:val="000000" w:themeColor="text1"/>
                <w:sz w:val="24"/>
                <w:szCs w:val="24"/>
                <w:highlight w:val="none"/>
                <w:lang w:val="en-US" w:eastAsia="zh-Hans"/>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p>
        </w:tc>
        <w:tc>
          <w:tcPr>
            <w:tcW w:w="830" w:type="dxa"/>
            <w:noWrap/>
            <w:vAlign w:val="center"/>
          </w:tcPr>
          <w:p w14:paraId="2B5A52EA">
            <w:pPr>
              <w:jc w:val="center"/>
              <w:textAlignment w:val="center"/>
              <w:rPr>
                <w:rFonts w:ascii="仿宋" w:hAnsi="仿宋" w:eastAsia="仿宋" w:cs="仿宋"/>
                <w:kern w:val="0"/>
                <w:sz w:val="24"/>
                <w:lang w:bidi="ar"/>
              </w:rPr>
            </w:pPr>
            <w:r>
              <w:rPr>
                <w:rFonts w:hint="eastAsia" w:ascii="仿宋" w:hAnsi="仿宋" w:eastAsia="仿宋" w:cs="仿宋"/>
                <w:color w:val="000000"/>
                <w:kern w:val="0"/>
                <w:sz w:val="24"/>
                <w:lang w:val="en-US" w:eastAsia="zh-CN" w:bidi="ar"/>
              </w:rPr>
              <w:t>9</w:t>
            </w:r>
            <w:r>
              <w:rPr>
                <w:rFonts w:hint="eastAsia" w:ascii="仿宋" w:hAnsi="仿宋" w:eastAsia="仿宋" w:cs="仿宋"/>
                <w:color w:val="000000"/>
                <w:kern w:val="0"/>
                <w:sz w:val="24"/>
                <w:lang w:bidi="ar"/>
              </w:rPr>
              <w:t>分</w:t>
            </w:r>
          </w:p>
        </w:tc>
      </w:tr>
      <w:bookmarkEnd w:id="106"/>
      <w:bookmarkEnd w:id="107"/>
      <w:bookmarkEnd w:id="108"/>
    </w:tbl>
    <w:p w14:paraId="00454112">
      <w:pPr>
        <w:pStyle w:val="25"/>
        <w:ind w:left="420" w:hanging="420"/>
        <w:rPr>
          <w:rFonts w:hint="eastAsia" w:ascii="仿宋" w:hAnsi="仿宋" w:eastAsia="仿宋" w:cs="仿宋"/>
        </w:rPr>
      </w:pPr>
    </w:p>
    <w:p w14:paraId="00DE0A19">
      <w:pPr>
        <w:numPr>
          <w:ilvl w:val="0"/>
          <w:numId w:val="0"/>
        </w:numPr>
        <w:spacing w:line="348" w:lineRule="auto"/>
        <w:ind w:leftChars="200"/>
        <w:rPr>
          <w:rFonts w:hint="eastAsia" w:ascii="仿宋" w:hAnsi="仿宋" w:eastAsia="仿宋" w:cs="仿宋"/>
          <w:sz w:val="24"/>
        </w:rPr>
      </w:pPr>
    </w:p>
    <w:p w14:paraId="61627EC6">
      <w:pPr>
        <w:spacing w:line="360" w:lineRule="auto"/>
        <w:jc w:val="center"/>
        <w:rPr>
          <w:rFonts w:hint="eastAsia" w:ascii="仿宋" w:hAnsi="仿宋" w:eastAsia="仿宋" w:cs="仿宋"/>
          <w:b/>
          <w:bCs/>
          <w:sz w:val="28"/>
          <w:szCs w:val="28"/>
        </w:rPr>
      </w:pPr>
      <w:r>
        <w:rPr>
          <w:rFonts w:hint="eastAsia" w:ascii="仿宋" w:hAnsi="仿宋" w:eastAsia="仿宋" w:cs="仿宋"/>
          <w:b/>
          <w:bCs/>
          <w:sz w:val="28"/>
          <w:szCs w:val="28"/>
        </w:rPr>
        <w:t>技术部分评审表</w:t>
      </w:r>
    </w:p>
    <w:tbl>
      <w:tblPr>
        <w:tblStyle w:val="33"/>
        <w:tblpPr w:leftFromText="180" w:rightFromText="180" w:vertAnchor="text" w:horzAnchor="page" w:tblpX="1267" w:tblpY="64"/>
        <w:tblOverlap w:val="never"/>
        <w:tblW w:w="97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
        <w:gridCol w:w="527"/>
        <w:gridCol w:w="1150"/>
        <w:gridCol w:w="6372"/>
        <w:gridCol w:w="801"/>
      </w:tblGrid>
      <w:tr w14:paraId="60DB2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932" w:type="dxa"/>
            <w:noWrap/>
            <w:vAlign w:val="center"/>
          </w:tcPr>
          <w:p w14:paraId="5556646B">
            <w:pPr>
              <w:jc w:val="center"/>
              <w:rPr>
                <w:rFonts w:hint="eastAsia" w:ascii="仿宋" w:hAnsi="仿宋" w:eastAsia="仿宋" w:cs="仿宋"/>
                <w:b/>
                <w:bCs/>
                <w:kern w:val="0"/>
                <w:sz w:val="24"/>
              </w:rPr>
            </w:pPr>
            <w:r>
              <w:rPr>
                <w:rFonts w:hint="eastAsia" w:ascii="仿宋" w:hAnsi="仿宋" w:eastAsia="仿宋" w:cs="仿宋"/>
                <w:b/>
                <w:bCs/>
                <w:kern w:val="0"/>
                <w:sz w:val="24"/>
              </w:rPr>
              <w:t>序号</w:t>
            </w:r>
          </w:p>
        </w:tc>
        <w:tc>
          <w:tcPr>
            <w:tcW w:w="1677" w:type="dxa"/>
            <w:gridSpan w:val="2"/>
            <w:noWrap/>
            <w:vAlign w:val="center"/>
          </w:tcPr>
          <w:p w14:paraId="051683D8">
            <w:pPr>
              <w:jc w:val="center"/>
              <w:rPr>
                <w:rFonts w:hint="eastAsia" w:ascii="仿宋" w:hAnsi="仿宋" w:eastAsia="仿宋" w:cs="仿宋"/>
                <w:b/>
                <w:bCs/>
                <w:kern w:val="0"/>
                <w:sz w:val="24"/>
              </w:rPr>
            </w:pPr>
            <w:r>
              <w:rPr>
                <w:rFonts w:hint="eastAsia" w:ascii="仿宋" w:hAnsi="仿宋" w:eastAsia="仿宋" w:cs="仿宋"/>
                <w:b/>
                <w:bCs/>
                <w:kern w:val="0"/>
                <w:sz w:val="24"/>
              </w:rPr>
              <w:t>项目</w:t>
            </w:r>
          </w:p>
        </w:tc>
        <w:tc>
          <w:tcPr>
            <w:tcW w:w="6372" w:type="dxa"/>
            <w:noWrap/>
            <w:vAlign w:val="center"/>
          </w:tcPr>
          <w:p w14:paraId="45C0A1AF">
            <w:pPr>
              <w:jc w:val="center"/>
              <w:rPr>
                <w:rFonts w:hint="eastAsia" w:ascii="仿宋" w:hAnsi="仿宋" w:eastAsia="仿宋" w:cs="仿宋"/>
                <w:b/>
                <w:bCs/>
                <w:kern w:val="0"/>
                <w:sz w:val="24"/>
              </w:rPr>
            </w:pPr>
            <w:r>
              <w:rPr>
                <w:rFonts w:hint="eastAsia" w:ascii="仿宋" w:hAnsi="仿宋" w:eastAsia="仿宋" w:cs="仿宋"/>
                <w:b/>
                <w:bCs/>
                <w:kern w:val="0"/>
                <w:sz w:val="24"/>
              </w:rPr>
              <w:t>评审内容</w:t>
            </w:r>
          </w:p>
        </w:tc>
        <w:tc>
          <w:tcPr>
            <w:tcW w:w="801" w:type="dxa"/>
            <w:noWrap/>
            <w:vAlign w:val="center"/>
          </w:tcPr>
          <w:p w14:paraId="4358AD02">
            <w:pPr>
              <w:tabs>
                <w:tab w:val="left" w:pos="267"/>
              </w:tabs>
              <w:jc w:val="center"/>
              <w:rPr>
                <w:rFonts w:hint="eastAsia" w:ascii="仿宋" w:hAnsi="仿宋" w:eastAsia="仿宋" w:cs="仿宋"/>
                <w:b/>
                <w:bCs/>
                <w:kern w:val="0"/>
                <w:sz w:val="24"/>
              </w:rPr>
            </w:pPr>
            <w:r>
              <w:rPr>
                <w:rFonts w:hint="eastAsia" w:ascii="仿宋" w:hAnsi="仿宋" w:eastAsia="仿宋" w:cs="仿宋"/>
                <w:b/>
                <w:bCs/>
                <w:kern w:val="0"/>
                <w:sz w:val="24"/>
              </w:rPr>
              <w:t>分值</w:t>
            </w:r>
          </w:p>
        </w:tc>
      </w:tr>
      <w:tr w14:paraId="51C62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7" w:hRule="atLeast"/>
        </w:trPr>
        <w:tc>
          <w:tcPr>
            <w:tcW w:w="932" w:type="dxa"/>
            <w:tcBorders>
              <w:left w:val="single" w:color="auto" w:sz="4" w:space="0"/>
              <w:right w:val="single" w:color="auto" w:sz="4" w:space="0"/>
            </w:tcBorders>
            <w:noWrap w:val="0"/>
            <w:vAlign w:val="center"/>
          </w:tcPr>
          <w:p w14:paraId="09A5A9D7">
            <w:pPr>
              <w:spacing w:line="276" w:lineRule="auto"/>
              <w:jc w:val="center"/>
              <w:rPr>
                <w:rFonts w:hint="eastAsia" w:ascii="仿宋" w:hAnsi="仿宋" w:eastAsia="仿宋" w:cs="仿宋"/>
                <w:sz w:val="24"/>
              </w:rPr>
            </w:pPr>
            <w:bookmarkStart w:id="110" w:name="OLE_LINK15" w:colFirst="0" w:colLast="3"/>
            <w:bookmarkStart w:id="111" w:name="OLE_LINK17" w:colFirst="4" w:colLast="4"/>
            <w:r>
              <w:rPr>
                <w:rFonts w:hint="eastAsia" w:ascii="仿宋" w:hAnsi="仿宋" w:eastAsia="仿宋" w:cs="仿宋"/>
                <w:sz w:val="24"/>
              </w:rPr>
              <w:t>1</w:t>
            </w:r>
          </w:p>
        </w:tc>
        <w:tc>
          <w:tcPr>
            <w:tcW w:w="527" w:type="dxa"/>
            <w:vMerge w:val="restart"/>
            <w:tcBorders>
              <w:left w:val="single" w:color="auto" w:sz="4" w:space="0"/>
              <w:right w:val="single" w:color="auto" w:sz="4" w:space="0"/>
            </w:tcBorders>
            <w:noWrap w:val="0"/>
            <w:vAlign w:val="center"/>
          </w:tcPr>
          <w:p w14:paraId="221AEFCD">
            <w:pPr>
              <w:jc w:val="center"/>
              <w:rPr>
                <w:rFonts w:ascii="仿宋" w:hAnsi="仿宋" w:eastAsia="仿宋" w:cs="仿宋"/>
                <w:kern w:val="0"/>
                <w:sz w:val="24"/>
              </w:rPr>
            </w:pPr>
            <w:r>
              <w:rPr>
                <w:rFonts w:hint="eastAsia" w:ascii="仿宋" w:hAnsi="仿宋" w:eastAsia="仿宋" w:cs="仿宋"/>
                <w:kern w:val="0"/>
                <w:sz w:val="24"/>
              </w:rPr>
              <w:t>技术部分</w:t>
            </w:r>
          </w:p>
        </w:tc>
        <w:tc>
          <w:tcPr>
            <w:tcW w:w="1150" w:type="dxa"/>
            <w:tcBorders>
              <w:top w:val="single" w:color="auto" w:sz="4" w:space="0"/>
              <w:left w:val="single" w:color="auto" w:sz="4" w:space="0"/>
              <w:right w:val="single" w:color="auto" w:sz="4" w:space="0"/>
            </w:tcBorders>
            <w:noWrap w:val="0"/>
            <w:vAlign w:val="center"/>
          </w:tcPr>
          <w:p w14:paraId="2E3B3280">
            <w:pPr>
              <w:pStyle w:val="178"/>
              <w:tabs>
                <w:tab w:val="left" w:pos="562"/>
              </w:tabs>
              <w:spacing w:line="259" w:lineRule="exact"/>
              <w:ind w:firstLine="0" w:firstLineChars="0"/>
              <w:jc w:val="both"/>
              <w:rPr>
                <w:rFonts w:hint="eastAsia" w:ascii="仿宋" w:hAnsi="仿宋" w:eastAsia="仿宋" w:cs="仿宋"/>
                <w:color w:val="auto"/>
                <w:kern w:val="2"/>
                <w:sz w:val="24"/>
                <w:szCs w:val="22"/>
                <w:lang w:val="en-US" w:eastAsia="zh-CN" w:bidi="ar-SA"/>
              </w:rPr>
            </w:pPr>
            <w:r>
              <w:rPr>
                <w:rFonts w:hint="eastAsia" w:ascii="仿宋" w:hAnsi="仿宋" w:eastAsia="仿宋" w:cs="仿宋"/>
                <w:color w:val="auto"/>
                <w:kern w:val="2"/>
                <w:sz w:val="24"/>
                <w:szCs w:val="22"/>
                <w:lang w:val="en-US" w:eastAsia="zh-CN" w:bidi="ar-SA"/>
              </w:rPr>
              <w:t>总体策</w:t>
            </w:r>
          </w:p>
          <w:p w14:paraId="16697138">
            <w:pPr>
              <w:pStyle w:val="178"/>
              <w:tabs>
                <w:tab w:val="left" w:pos="562"/>
              </w:tabs>
              <w:spacing w:line="259" w:lineRule="exact"/>
              <w:ind w:firstLine="0" w:firstLineChars="0"/>
              <w:jc w:val="both"/>
              <w:rPr>
                <w:rFonts w:hint="eastAsia" w:ascii="仿宋" w:hAnsi="仿宋" w:eastAsia="仿宋" w:cs="仿宋"/>
                <w:color w:val="auto"/>
                <w:kern w:val="2"/>
                <w:sz w:val="24"/>
                <w:szCs w:val="22"/>
                <w:lang w:val="en-US" w:eastAsia="zh-CN" w:bidi="ar-SA"/>
              </w:rPr>
            </w:pPr>
            <w:r>
              <w:rPr>
                <w:rFonts w:hint="eastAsia" w:ascii="仿宋" w:hAnsi="仿宋" w:eastAsia="仿宋" w:cs="仿宋"/>
                <w:color w:val="auto"/>
                <w:kern w:val="2"/>
                <w:sz w:val="24"/>
                <w:szCs w:val="22"/>
                <w:lang w:val="en-US" w:eastAsia="zh-CN" w:bidi="ar-SA"/>
              </w:rPr>
              <w:t>划方案</w:t>
            </w:r>
          </w:p>
        </w:tc>
        <w:tc>
          <w:tcPr>
            <w:tcW w:w="637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074F3F3">
            <w:pPr>
              <w:pStyle w:val="178"/>
              <w:keepNext w:val="0"/>
              <w:keepLines w:val="0"/>
              <w:pageBreakBefore w:val="0"/>
              <w:widowControl w:val="0"/>
              <w:tabs>
                <w:tab w:val="left" w:pos="562"/>
              </w:tabs>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color w:val="auto"/>
                <w:kern w:val="0"/>
                <w:sz w:val="24"/>
                <w:szCs w:val="22"/>
                <w:lang w:val="en-US" w:eastAsia="zh-CN" w:bidi="ar-SA"/>
              </w:rPr>
            </w:pPr>
            <w:r>
              <w:rPr>
                <w:rFonts w:hint="eastAsia" w:ascii="仿宋" w:hAnsi="仿宋" w:eastAsia="仿宋" w:cs="仿宋"/>
                <w:color w:val="auto"/>
                <w:kern w:val="0"/>
                <w:sz w:val="24"/>
                <w:szCs w:val="22"/>
                <w:lang w:val="en-US" w:eastAsia="zh-CN" w:bidi="ar-SA"/>
              </w:rPr>
              <w:t>投标人根据以下内容作出详细方案;</w:t>
            </w:r>
          </w:p>
          <w:p w14:paraId="6D2507C6">
            <w:pPr>
              <w:pStyle w:val="178"/>
              <w:keepNext w:val="0"/>
              <w:keepLines w:val="0"/>
              <w:pageBreakBefore w:val="0"/>
              <w:widowControl w:val="0"/>
              <w:tabs>
                <w:tab w:val="left" w:pos="562"/>
              </w:tabs>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color w:val="auto"/>
                <w:kern w:val="0"/>
                <w:sz w:val="24"/>
                <w:szCs w:val="22"/>
                <w:lang w:val="en-US" w:eastAsia="zh-CN" w:bidi="ar-SA"/>
              </w:rPr>
            </w:pPr>
            <w:r>
              <w:rPr>
                <w:rFonts w:hint="eastAsia" w:ascii="仿宋" w:hAnsi="仿宋" w:eastAsia="仿宋" w:cs="仿宋"/>
                <w:color w:val="auto"/>
                <w:kern w:val="0"/>
                <w:sz w:val="24"/>
                <w:szCs w:val="22"/>
                <w:lang w:val="en-US" w:eastAsia="zh-CN" w:bidi="ar-SA"/>
              </w:rPr>
              <w:t>①提供详细可行的赛事策划与包装方案、明确赛事的目的和目标、确定赛事人群等明确的得5分。如简单、操作性不强的得1分。</w:t>
            </w:r>
          </w:p>
          <w:p w14:paraId="00B6E364">
            <w:pPr>
              <w:pStyle w:val="178"/>
              <w:keepNext w:val="0"/>
              <w:keepLines w:val="0"/>
              <w:pageBreakBefore w:val="0"/>
              <w:widowControl w:val="0"/>
              <w:tabs>
                <w:tab w:val="left" w:pos="562"/>
              </w:tabs>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color w:val="auto"/>
                <w:kern w:val="0"/>
                <w:sz w:val="24"/>
                <w:szCs w:val="22"/>
                <w:lang w:val="en-US" w:eastAsia="zh-CN" w:bidi="ar-SA"/>
              </w:rPr>
            </w:pPr>
            <w:r>
              <w:rPr>
                <w:rFonts w:hint="eastAsia" w:ascii="仿宋" w:hAnsi="仿宋" w:eastAsia="仿宋" w:cs="仿宋"/>
                <w:color w:val="auto"/>
                <w:kern w:val="0"/>
                <w:sz w:val="24"/>
                <w:szCs w:val="22"/>
                <w:lang w:val="en-US" w:eastAsia="zh-CN" w:bidi="ar-SA"/>
              </w:rPr>
              <w:t>②提供详细可行的竞赛组织方案、确定竞赛主题及细节、制定竞赛规则、组织竞赛团队、选拔竞赛选手等方案明确的得5分。如简单、操作性不强的得1分。</w:t>
            </w:r>
          </w:p>
          <w:p w14:paraId="343D444E">
            <w:pPr>
              <w:pStyle w:val="178"/>
              <w:keepNext w:val="0"/>
              <w:keepLines w:val="0"/>
              <w:pageBreakBefore w:val="0"/>
              <w:widowControl w:val="0"/>
              <w:tabs>
                <w:tab w:val="left" w:pos="562"/>
              </w:tabs>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color w:val="auto"/>
                <w:kern w:val="0"/>
                <w:sz w:val="24"/>
                <w:szCs w:val="22"/>
                <w:lang w:val="en-US" w:eastAsia="zh-CN" w:bidi="ar-SA"/>
              </w:rPr>
            </w:pPr>
            <w:r>
              <w:rPr>
                <w:rFonts w:hint="eastAsia" w:ascii="仿宋" w:hAnsi="仿宋" w:eastAsia="仿宋" w:cs="仿宋"/>
                <w:color w:val="auto"/>
                <w:kern w:val="0"/>
                <w:sz w:val="24"/>
                <w:szCs w:val="22"/>
                <w:lang w:val="en-US" w:eastAsia="zh-CN" w:bidi="ar-SA"/>
              </w:rPr>
              <w:t>③设施搭建方案、场地概况、安全文明施工保证措施、质量保证措施的布置等明确的得5分。如简单、操作性不强的得1分。</w:t>
            </w:r>
          </w:p>
          <w:p w14:paraId="6069EA47">
            <w:pPr>
              <w:pStyle w:val="178"/>
              <w:keepNext w:val="0"/>
              <w:keepLines w:val="0"/>
              <w:pageBreakBefore w:val="0"/>
              <w:widowControl w:val="0"/>
              <w:tabs>
                <w:tab w:val="left" w:pos="562"/>
              </w:tabs>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color w:val="auto"/>
                <w:kern w:val="0"/>
                <w:sz w:val="24"/>
                <w:szCs w:val="22"/>
                <w:lang w:val="en-US" w:eastAsia="zh-CN" w:bidi="ar-SA"/>
              </w:rPr>
            </w:pPr>
            <w:r>
              <w:rPr>
                <w:rFonts w:hint="eastAsia" w:ascii="仿宋" w:hAnsi="仿宋" w:eastAsia="仿宋" w:cs="仿宋"/>
                <w:color w:val="auto"/>
                <w:kern w:val="0"/>
                <w:sz w:val="24"/>
                <w:szCs w:val="22"/>
                <w:lang w:val="en-US" w:eastAsia="zh-CN" w:bidi="ar-SA"/>
              </w:rPr>
              <w:t>④提供详细可行的赛事服务、赛事策划、运动员管理、医疗人员及设备、安保管理等明确的得5分。如简单不能操作的得1分。</w:t>
            </w:r>
          </w:p>
          <w:p w14:paraId="5D6A811C">
            <w:pPr>
              <w:pStyle w:val="178"/>
              <w:keepNext w:val="0"/>
              <w:keepLines w:val="0"/>
              <w:pageBreakBefore w:val="0"/>
              <w:widowControl w:val="0"/>
              <w:tabs>
                <w:tab w:val="left" w:pos="562"/>
              </w:tabs>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color w:val="auto"/>
                <w:kern w:val="0"/>
                <w:sz w:val="24"/>
                <w:szCs w:val="22"/>
                <w:lang w:val="en-US" w:eastAsia="zh-CN" w:bidi="ar-SA"/>
              </w:rPr>
            </w:pPr>
            <w:r>
              <w:rPr>
                <w:rFonts w:hint="eastAsia" w:ascii="仿宋" w:hAnsi="仿宋" w:eastAsia="仿宋" w:cs="仿宋"/>
                <w:color w:val="auto"/>
                <w:kern w:val="0"/>
                <w:sz w:val="24"/>
                <w:szCs w:val="22"/>
                <w:lang w:val="en-US" w:eastAsia="zh-CN" w:bidi="ar-SA"/>
              </w:rPr>
              <w:t>⑤提供详细可行的人员培训、制定培训方案和计划、人员场地布置、着装规范、人员应急培训等明确的得5分。如简单、作性不强的得1分。</w:t>
            </w:r>
          </w:p>
          <w:p w14:paraId="3F1ED50C">
            <w:pPr>
              <w:pStyle w:val="178"/>
              <w:keepNext w:val="0"/>
              <w:keepLines w:val="0"/>
              <w:pageBreakBefore w:val="0"/>
              <w:widowControl w:val="0"/>
              <w:tabs>
                <w:tab w:val="left" w:pos="562"/>
              </w:tabs>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color w:val="auto"/>
                <w:kern w:val="0"/>
                <w:sz w:val="24"/>
                <w:szCs w:val="22"/>
                <w:lang w:val="en-US" w:eastAsia="zh-CN" w:bidi="ar-SA"/>
              </w:rPr>
            </w:pPr>
            <w:r>
              <w:rPr>
                <w:rFonts w:hint="eastAsia" w:ascii="仿宋" w:hAnsi="仿宋" w:eastAsia="仿宋" w:cs="仿宋"/>
                <w:color w:val="auto"/>
                <w:kern w:val="0"/>
                <w:sz w:val="24"/>
                <w:szCs w:val="22"/>
                <w:lang w:val="en-US" w:eastAsia="zh-CN" w:bidi="ar-SA"/>
              </w:rPr>
              <w:t>⑥提供详细可行的嘉宾及媒体接待等做出方案;接待准备、交通安排、接待安排、接待地点等明确的得5分。如简单、操作性不强的得1分。</w:t>
            </w:r>
          </w:p>
          <w:p w14:paraId="51869FE8">
            <w:pPr>
              <w:pStyle w:val="178"/>
              <w:keepNext w:val="0"/>
              <w:keepLines w:val="0"/>
              <w:pageBreakBefore w:val="0"/>
              <w:widowControl w:val="0"/>
              <w:tabs>
                <w:tab w:val="left" w:pos="562"/>
              </w:tabs>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color w:val="auto"/>
                <w:kern w:val="2"/>
                <w:sz w:val="24"/>
                <w:szCs w:val="22"/>
                <w:lang w:val="en-US" w:eastAsia="zh-CN" w:bidi="ar-SA"/>
              </w:rPr>
            </w:pPr>
            <w:r>
              <w:rPr>
                <w:rFonts w:hint="eastAsia" w:ascii="仿宋" w:hAnsi="仿宋" w:eastAsia="仿宋" w:cs="仿宋"/>
                <w:color w:val="auto"/>
                <w:kern w:val="0"/>
                <w:sz w:val="24"/>
                <w:szCs w:val="22"/>
                <w:lang w:val="en-US" w:eastAsia="zh-CN" w:bidi="ar-SA"/>
              </w:rPr>
              <w:t>未提方案或提供的方案与本项目无关的不得分。</w:t>
            </w:r>
          </w:p>
        </w:tc>
        <w:tc>
          <w:tcPr>
            <w:tcW w:w="801" w:type="dxa"/>
            <w:tcBorders>
              <w:top w:val="single" w:color="auto" w:sz="4" w:space="0"/>
              <w:left w:val="single" w:color="auto" w:sz="4" w:space="0"/>
              <w:right w:val="single" w:color="auto" w:sz="4" w:space="0"/>
            </w:tcBorders>
            <w:noWrap w:val="0"/>
            <w:vAlign w:val="center"/>
          </w:tcPr>
          <w:p w14:paraId="00A0D5D3">
            <w:pPr>
              <w:spacing w:line="276" w:lineRule="auto"/>
              <w:jc w:val="both"/>
              <w:rPr>
                <w:rFonts w:hint="eastAsia" w:ascii="仿宋" w:hAnsi="仿宋" w:eastAsia="仿宋" w:cs="仿宋"/>
                <w:color w:val="auto"/>
                <w:kern w:val="2"/>
                <w:sz w:val="24"/>
                <w:szCs w:val="22"/>
                <w:lang w:val="en-US" w:eastAsia="zh-CN" w:bidi="ar-SA"/>
              </w:rPr>
            </w:pPr>
            <w:r>
              <w:rPr>
                <w:rFonts w:hint="eastAsia" w:ascii="仿宋" w:hAnsi="仿宋" w:eastAsia="仿宋" w:cs="仿宋"/>
                <w:color w:val="auto"/>
                <w:kern w:val="2"/>
                <w:sz w:val="24"/>
                <w:szCs w:val="22"/>
                <w:lang w:val="en-US" w:eastAsia="zh-CN" w:bidi="ar-SA"/>
              </w:rPr>
              <w:t>30分</w:t>
            </w:r>
          </w:p>
        </w:tc>
      </w:tr>
      <w:tr w14:paraId="0ACEC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4" w:hRule="atLeast"/>
        </w:trPr>
        <w:tc>
          <w:tcPr>
            <w:tcW w:w="932" w:type="dxa"/>
            <w:tcBorders>
              <w:left w:val="single" w:color="auto" w:sz="4" w:space="0"/>
              <w:right w:val="single" w:color="auto" w:sz="4" w:space="0"/>
            </w:tcBorders>
            <w:noWrap w:val="0"/>
            <w:vAlign w:val="center"/>
          </w:tcPr>
          <w:p w14:paraId="6BB5C65E">
            <w:pPr>
              <w:spacing w:line="276" w:lineRule="auto"/>
              <w:jc w:val="center"/>
              <w:rPr>
                <w:rFonts w:hint="eastAsia" w:ascii="仿宋" w:hAnsi="仿宋" w:eastAsia="仿宋" w:cs="仿宋"/>
                <w:sz w:val="24"/>
                <w:lang w:val="en-US" w:eastAsia="zh-CN"/>
              </w:rPr>
            </w:pPr>
            <w:r>
              <w:rPr>
                <w:rFonts w:hint="eastAsia" w:ascii="仿宋" w:hAnsi="仿宋" w:eastAsia="仿宋" w:cs="仿宋"/>
                <w:sz w:val="24"/>
                <w:lang w:val="en-US" w:eastAsia="zh-CN"/>
              </w:rPr>
              <w:t>2</w:t>
            </w:r>
          </w:p>
        </w:tc>
        <w:tc>
          <w:tcPr>
            <w:tcW w:w="527" w:type="dxa"/>
            <w:vMerge w:val="continue"/>
            <w:tcBorders>
              <w:left w:val="single" w:color="auto" w:sz="4" w:space="0"/>
              <w:right w:val="single" w:color="auto" w:sz="4" w:space="0"/>
            </w:tcBorders>
            <w:noWrap w:val="0"/>
            <w:vAlign w:val="center"/>
          </w:tcPr>
          <w:p w14:paraId="6D128669">
            <w:pPr>
              <w:jc w:val="center"/>
              <w:rPr>
                <w:rFonts w:hint="eastAsia" w:ascii="仿宋" w:hAnsi="仿宋" w:eastAsia="仿宋" w:cs="仿宋"/>
                <w:kern w:val="0"/>
                <w:sz w:val="24"/>
              </w:rPr>
            </w:pPr>
          </w:p>
        </w:tc>
        <w:tc>
          <w:tcPr>
            <w:tcW w:w="1150" w:type="dxa"/>
            <w:tcBorders>
              <w:left w:val="single" w:color="auto" w:sz="4" w:space="0"/>
              <w:right w:val="single" w:color="auto" w:sz="4" w:space="0"/>
            </w:tcBorders>
            <w:noWrap w:val="0"/>
            <w:vAlign w:val="center"/>
          </w:tcPr>
          <w:p w14:paraId="52CA26A3">
            <w:pPr>
              <w:pStyle w:val="178"/>
              <w:tabs>
                <w:tab w:val="left" w:pos="562"/>
              </w:tabs>
              <w:spacing w:line="259" w:lineRule="exact"/>
              <w:ind w:firstLine="0"/>
              <w:jc w:val="both"/>
              <w:rPr>
                <w:rFonts w:hint="default" w:ascii="仿宋" w:hAnsi="仿宋" w:eastAsia="仿宋" w:cs="仿宋"/>
                <w:kern w:val="0"/>
                <w:sz w:val="24"/>
                <w:lang w:val="en-US" w:eastAsia="zh-CN"/>
              </w:rPr>
            </w:pPr>
            <w:r>
              <w:rPr>
                <w:rFonts w:hint="eastAsia" w:ascii="仿宋" w:hAnsi="仿宋" w:eastAsia="仿宋" w:cs="仿宋"/>
                <w:color w:val="auto"/>
                <w:kern w:val="2"/>
                <w:sz w:val="24"/>
                <w:szCs w:val="22"/>
                <w:lang w:val="en-US" w:eastAsia="zh-CN" w:bidi="ar-SA"/>
              </w:rPr>
              <w:t>安全措施</w:t>
            </w:r>
          </w:p>
        </w:tc>
        <w:tc>
          <w:tcPr>
            <w:tcW w:w="637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8292C39">
            <w:pPr>
              <w:pStyle w:val="178"/>
              <w:keepNext w:val="0"/>
              <w:keepLines w:val="0"/>
              <w:pageBreakBefore w:val="0"/>
              <w:widowControl w:val="0"/>
              <w:tabs>
                <w:tab w:val="left" w:pos="562"/>
              </w:tabs>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color w:val="000000"/>
                <w:kern w:val="0"/>
                <w:sz w:val="24"/>
                <w:szCs w:val="20"/>
                <w:lang w:val="zh-TW" w:eastAsia="zh-CN" w:bidi="zh-TW"/>
              </w:rPr>
            </w:pPr>
            <w:r>
              <w:rPr>
                <w:rFonts w:hint="eastAsia" w:ascii="仿宋" w:hAnsi="仿宋" w:eastAsia="仿宋" w:cs="仿宋"/>
                <w:color w:val="000000"/>
                <w:kern w:val="0"/>
                <w:sz w:val="24"/>
                <w:szCs w:val="20"/>
                <w:lang w:val="zh-TW" w:eastAsia="zh-TW" w:bidi="zh-TW"/>
              </w:rPr>
              <w:t>投标人根据服务需求</w:t>
            </w:r>
            <w:r>
              <w:rPr>
                <w:rFonts w:hint="eastAsia" w:ascii="仿宋" w:hAnsi="仿宋" w:eastAsia="仿宋" w:cs="仿宋"/>
                <w:color w:val="000000"/>
                <w:kern w:val="0"/>
                <w:sz w:val="24"/>
                <w:szCs w:val="20"/>
                <w:lang w:val="zh-TW" w:eastAsia="zh-CN" w:bidi="zh-TW"/>
              </w:rPr>
              <w:t>：</w:t>
            </w:r>
            <w:bookmarkStart w:id="135" w:name="_GoBack"/>
            <w:bookmarkEnd w:id="135"/>
          </w:p>
          <w:p w14:paraId="0F971ABF">
            <w:pPr>
              <w:pStyle w:val="178"/>
              <w:keepNext w:val="0"/>
              <w:keepLines w:val="0"/>
              <w:pageBreakBefore w:val="0"/>
              <w:widowControl w:val="0"/>
              <w:tabs>
                <w:tab w:val="left" w:pos="562"/>
              </w:tabs>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color w:val="000000"/>
                <w:kern w:val="0"/>
                <w:sz w:val="24"/>
                <w:szCs w:val="20"/>
                <w:lang w:val="zh-TW" w:eastAsia="zh-TW" w:bidi="zh-TW"/>
              </w:rPr>
            </w:pPr>
            <w:r>
              <w:rPr>
                <w:rFonts w:hint="eastAsia" w:ascii="仿宋" w:hAnsi="仿宋" w:eastAsia="仿宋" w:cs="仿宋"/>
                <w:color w:val="000000"/>
                <w:kern w:val="0"/>
                <w:sz w:val="24"/>
                <w:szCs w:val="20"/>
                <w:lang w:val="zh-TW" w:eastAsia="zh-TW" w:bidi="zh-TW"/>
              </w:rPr>
              <w:t>①提供应急预案得2分</w:t>
            </w:r>
            <w:r>
              <w:rPr>
                <w:rFonts w:hint="eastAsia" w:ascii="仿宋" w:hAnsi="仿宋" w:eastAsia="仿宋" w:cs="仿宋"/>
                <w:color w:val="000000"/>
                <w:kern w:val="0"/>
                <w:sz w:val="24"/>
                <w:szCs w:val="20"/>
                <w:lang w:val="en-US" w:eastAsia="zh-CN" w:bidi="zh-TW"/>
              </w:rPr>
              <w:t>、不</w:t>
            </w:r>
            <w:r>
              <w:rPr>
                <w:rFonts w:hint="eastAsia" w:ascii="仿宋" w:hAnsi="仿宋" w:eastAsia="仿宋" w:cs="仿宋"/>
                <w:color w:val="000000"/>
                <w:kern w:val="0"/>
                <w:sz w:val="24"/>
                <w:szCs w:val="20"/>
                <w:lang w:val="zh-TW" w:eastAsia="zh-TW" w:bidi="zh-TW"/>
              </w:rPr>
              <w:t>提供不得分。</w:t>
            </w:r>
          </w:p>
          <w:p w14:paraId="268B8D52">
            <w:pPr>
              <w:pStyle w:val="178"/>
              <w:keepNext w:val="0"/>
              <w:keepLines w:val="0"/>
              <w:pageBreakBefore w:val="0"/>
              <w:widowControl w:val="0"/>
              <w:tabs>
                <w:tab w:val="left" w:pos="562"/>
              </w:tabs>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color w:val="000000"/>
                <w:kern w:val="0"/>
                <w:sz w:val="24"/>
                <w:szCs w:val="20"/>
                <w:lang w:val="zh-TW" w:eastAsia="zh-TW" w:bidi="zh-TW"/>
              </w:rPr>
            </w:pPr>
            <w:r>
              <w:rPr>
                <w:rFonts w:hint="eastAsia" w:ascii="仿宋" w:hAnsi="仿宋" w:eastAsia="仿宋" w:cs="仿宋"/>
                <w:color w:val="000000"/>
                <w:kern w:val="0"/>
                <w:sz w:val="24"/>
                <w:szCs w:val="20"/>
                <w:lang w:val="zh-TW" w:eastAsia="zh-TW" w:bidi="zh-TW"/>
              </w:rPr>
              <w:t>②建立紧急救援通道得2分、不提供不得分。</w:t>
            </w:r>
          </w:p>
          <w:p w14:paraId="69A2D7EF">
            <w:pPr>
              <w:pStyle w:val="178"/>
              <w:keepNext w:val="0"/>
              <w:keepLines w:val="0"/>
              <w:pageBreakBefore w:val="0"/>
              <w:widowControl w:val="0"/>
              <w:tabs>
                <w:tab w:val="left" w:pos="562"/>
              </w:tabs>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color w:val="000000"/>
                <w:kern w:val="0"/>
                <w:sz w:val="24"/>
                <w:szCs w:val="20"/>
                <w:lang w:val="zh-TW" w:eastAsia="zh-TW" w:bidi="zh-TW"/>
              </w:rPr>
            </w:pPr>
            <w:r>
              <w:rPr>
                <w:rFonts w:hint="eastAsia" w:ascii="仿宋" w:hAnsi="仿宋" w:eastAsia="仿宋" w:cs="仿宋"/>
                <w:color w:val="000000"/>
                <w:kern w:val="0"/>
                <w:sz w:val="24"/>
                <w:szCs w:val="20"/>
                <w:lang w:val="zh-TW" w:eastAsia="zh-TW" w:bidi="zh-TW"/>
              </w:rPr>
              <w:t>③设置紧急医疗站得2分、不提供不得分。</w:t>
            </w:r>
          </w:p>
          <w:p w14:paraId="6F2DB585">
            <w:pPr>
              <w:pStyle w:val="178"/>
              <w:keepNext w:val="0"/>
              <w:keepLines w:val="0"/>
              <w:pageBreakBefore w:val="0"/>
              <w:widowControl w:val="0"/>
              <w:tabs>
                <w:tab w:val="left" w:pos="562"/>
              </w:tabs>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color w:val="000000"/>
                <w:kern w:val="0"/>
                <w:sz w:val="24"/>
                <w:szCs w:val="20"/>
                <w:lang w:val="zh-TW" w:eastAsia="zh-CN" w:bidi="zh-TW"/>
              </w:rPr>
            </w:pPr>
            <w:r>
              <w:rPr>
                <w:rFonts w:hint="eastAsia" w:ascii="仿宋" w:hAnsi="仿宋" w:eastAsia="仿宋" w:cs="仿宋"/>
                <w:color w:val="000000"/>
                <w:kern w:val="0"/>
                <w:sz w:val="24"/>
                <w:szCs w:val="20"/>
                <w:lang w:val="zh-TW" w:eastAsia="zh-TW" w:bidi="zh-TW"/>
              </w:rPr>
              <w:t>④配备专业医疗团队及教护车得2分、不提供不得分</w:t>
            </w:r>
            <w:r>
              <w:rPr>
                <w:rFonts w:hint="eastAsia" w:ascii="仿宋" w:hAnsi="仿宋" w:eastAsia="仿宋" w:cs="仿宋"/>
                <w:color w:val="000000"/>
                <w:kern w:val="0"/>
                <w:sz w:val="24"/>
                <w:szCs w:val="20"/>
                <w:lang w:val="zh-TW" w:eastAsia="zh-CN" w:bidi="zh-TW"/>
              </w:rPr>
              <w:t>。</w:t>
            </w:r>
          </w:p>
          <w:p w14:paraId="6F76A695">
            <w:pPr>
              <w:pStyle w:val="178"/>
              <w:keepNext w:val="0"/>
              <w:keepLines w:val="0"/>
              <w:pageBreakBefore w:val="0"/>
              <w:widowControl w:val="0"/>
              <w:tabs>
                <w:tab w:val="left" w:pos="562"/>
              </w:tabs>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color w:val="000000"/>
                <w:kern w:val="0"/>
                <w:sz w:val="24"/>
                <w:szCs w:val="20"/>
                <w:lang w:val="zh-TW" w:eastAsia="zh-TW" w:bidi="zh-TW"/>
              </w:rPr>
            </w:pPr>
            <w:r>
              <w:rPr>
                <w:rFonts w:hint="eastAsia" w:ascii="仿宋" w:hAnsi="仿宋" w:eastAsia="仿宋" w:cs="仿宋"/>
                <w:color w:val="000000"/>
                <w:kern w:val="0"/>
                <w:sz w:val="24"/>
                <w:szCs w:val="20"/>
                <w:lang w:val="zh-TW" w:eastAsia="zh-TW" w:bidi="zh-TW"/>
              </w:rPr>
              <w:t>⑤比赛起点、终点提供医疗服务得2分、不提供不得分。</w:t>
            </w:r>
          </w:p>
        </w:tc>
        <w:tc>
          <w:tcPr>
            <w:tcW w:w="801" w:type="dxa"/>
            <w:tcBorders>
              <w:left w:val="single" w:color="auto" w:sz="4" w:space="0"/>
              <w:right w:val="single" w:color="auto" w:sz="4" w:space="0"/>
            </w:tcBorders>
            <w:noWrap w:val="0"/>
            <w:vAlign w:val="center"/>
          </w:tcPr>
          <w:p w14:paraId="0E962400">
            <w:pPr>
              <w:spacing w:line="276" w:lineRule="auto"/>
              <w:jc w:val="both"/>
              <w:rPr>
                <w:rFonts w:hint="default" w:ascii="仿宋" w:hAnsi="仿宋" w:eastAsia="仿宋" w:cs="仿宋"/>
                <w:sz w:val="24"/>
                <w:lang w:val="en-US" w:eastAsia="zh-CN"/>
              </w:rPr>
            </w:pPr>
            <w:r>
              <w:rPr>
                <w:rFonts w:hint="eastAsia" w:ascii="仿宋" w:hAnsi="仿宋" w:eastAsia="仿宋" w:cs="仿宋"/>
                <w:sz w:val="24"/>
                <w:lang w:val="en-US" w:eastAsia="zh-CN"/>
              </w:rPr>
              <w:t>10分</w:t>
            </w:r>
          </w:p>
        </w:tc>
      </w:tr>
      <w:tr w14:paraId="15C5A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7" w:hRule="atLeast"/>
        </w:trPr>
        <w:tc>
          <w:tcPr>
            <w:tcW w:w="932" w:type="dxa"/>
            <w:tcBorders>
              <w:left w:val="single" w:color="auto" w:sz="4" w:space="0"/>
              <w:right w:val="single" w:color="auto" w:sz="4" w:space="0"/>
            </w:tcBorders>
            <w:noWrap w:val="0"/>
            <w:vAlign w:val="center"/>
          </w:tcPr>
          <w:p w14:paraId="75EFE2EC">
            <w:pPr>
              <w:spacing w:line="276" w:lineRule="auto"/>
              <w:jc w:val="center"/>
              <w:rPr>
                <w:rFonts w:hint="eastAsia" w:ascii="仿宋" w:hAnsi="仿宋" w:eastAsia="仿宋" w:cs="仿宋"/>
                <w:sz w:val="24"/>
                <w:lang w:val="en-US" w:eastAsia="zh-CN"/>
              </w:rPr>
            </w:pPr>
            <w:r>
              <w:rPr>
                <w:rFonts w:hint="eastAsia" w:ascii="仿宋" w:hAnsi="仿宋" w:eastAsia="仿宋" w:cs="仿宋"/>
                <w:sz w:val="24"/>
                <w:lang w:val="en-US" w:eastAsia="zh-CN"/>
              </w:rPr>
              <w:t>3</w:t>
            </w:r>
          </w:p>
        </w:tc>
        <w:tc>
          <w:tcPr>
            <w:tcW w:w="527" w:type="dxa"/>
            <w:vMerge w:val="continue"/>
            <w:tcBorders>
              <w:left w:val="single" w:color="auto" w:sz="4" w:space="0"/>
              <w:right w:val="single" w:color="auto" w:sz="4" w:space="0"/>
            </w:tcBorders>
            <w:noWrap w:val="0"/>
            <w:vAlign w:val="center"/>
          </w:tcPr>
          <w:p w14:paraId="1A95E774">
            <w:pPr>
              <w:jc w:val="center"/>
              <w:rPr>
                <w:rFonts w:hint="eastAsia" w:ascii="仿宋" w:hAnsi="仿宋" w:eastAsia="仿宋" w:cs="仿宋"/>
                <w:kern w:val="0"/>
                <w:sz w:val="24"/>
              </w:rPr>
            </w:pPr>
          </w:p>
        </w:tc>
        <w:tc>
          <w:tcPr>
            <w:tcW w:w="1150" w:type="dxa"/>
            <w:tcBorders>
              <w:left w:val="single" w:color="auto" w:sz="4" w:space="0"/>
              <w:right w:val="single" w:color="auto" w:sz="4" w:space="0"/>
            </w:tcBorders>
            <w:noWrap w:val="0"/>
            <w:vAlign w:val="center"/>
          </w:tcPr>
          <w:p w14:paraId="7C341B85">
            <w:pPr>
              <w:keepNext w:val="0"/>
              <w:keepLines w:val="0"/>
              <w:widowControl/>
              <w:suppressLineNumbers w:val="0"/>
              <w:jc w:val="left"/>
              <w:rPr>
                <w:rFonts w:hint="eastAsia" w:ascii="仿宋" w:hAnsi="仿宋" w:eastAsia="仿宋" w:cs="仿宋"/>
                <w:color w:val="auto"/>
                <w:kern w:val="2"/>
                <w:sz w:val="24"/>
                <w:szCs w:val="22"/>
                <w:lang w:val="en-US" w:eastAsia="zh-CN" w:bidi="ar-SA"/>
              </w:rPr>
            </w:pPr>
          </w:p>
          <w:p w14:paraId="613B5EEF">
            <w:pPr>
              <w:keepNext w:val="0"/>
              <w:keepLines w:val="0"/>
              <w:widowControl/>
              <w:suppressLineNumbers w:val="0"/>
              <w:jc w:val="left"/>
              <w:rPr>
                <w:rFonts w:hint="eastAsia" w:ascii="仿宋" w:hAnsi="仿宋" w:eastAsia="仿宋" w:cs="仿宋"/>
                <w:color w:val="auto"/>
                <w:kern w:val="2"/>
                <w:sz w:val="24"/>
                <w:szCs w:val="22"/>
                <w:lang w:val="en-US" w:eastAsia="zh-CN" w:bidi="ar-SA"/>
              </w:rPr>
            </w:pPr>
            <w:r>
              <w:rPr>
                <w:rFonts w:hint="eastAsia" w:ascii="仿宋" w:hAnsi="仿宋" w:eastAsia="仿宋" w:cs="仿宋"/>
                <w:color w:val="auto"/>
                <w:kern w:val="2"/>
                <w:sz w:val="24"/>
                <w:szCs w:val="22"/>
                <w:lang w:val="en-US" w:eastAsia="zh-CN" w:bidi="ar-SA"/>
              </w:rPr>
              <w:t>赛事报名及保险</w:t>
            </w:r>
          </w:p>
        </w:tc>
        <w:tc>
          <w:tcPr>
            <w:tcW w:w="6372" w:type="dxa"/>
            <w:tcBorders>
              <w:top w:val="single" w:color="auto" w:sz="4" w:space="0"/>
              <w:left w:val="single" w:color="auto" w:sz="4" w:space="0"/>
              <w:bottom w:val="single" w:color="auto" w:sz="4" w:space="0"/>
              <w:right w:val="single" w:color="auto" w:sz="4" w:space="0"/>
            </w:tcBorders>
            <w:noWrap w:val="0"/>
            <w:vAlign w:val="center"/>
          </w:tcPr>
          <w:p w14:paraId="679AB32C">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2"/>
                <w:sz w:val="24"/>
                <w:szCs w:val="22"/>
                <w:lang w:val="en-US" w:eastAsia="zh-CN" w:bidi="ar-SA"/>
              </w:rPr>
            </w:pPr>
            <w:r>
              <w:rPr>
                <w:rFonts w:hint="eastAsia" w:ascii="仿宋" w:hAnsi="仿宋" w:eastAsia="仿宋" w:cs="仿宋"/>
                <w:color w:val="auto"/>
                <w:kern w:val="2"/>
                <w:sz w:val="24"/>
                <w:szCs w:val="22"/>
                <w:lang w:val="en-US" w:eastAsia="zh-CN" w:bidi="ar-SA"/>
              </w:rPr>
              <w:t>针对本赛事报名流程的可操作性，为参赛选手购买赛事保险做出承诺的得 5分；</w:t>
            </w:r>
          </w:p>
        </w:tc>
        <w:tc>
          <w:tcPr>
            <w:tcW w:w="801" w:type="dxa"/>
            <w:tcBorders>
              <w:left w:val="single" w:color="auto" w:sz="4" w:space="0"/>
              <w:right w:val="single" w:color="auto" w:sz="4" w:space="0"/>
            </w:tcBorders>
            <w:noWrap w:val="0"/>
            <w:vAlign w:val="center"/>
          </w:tcPr>
          <w:p w14:paraId="32D31E0C">
            <w:pPr>
              <w:keepNext w:val="0"/>
              <w:keepLines w:val="0"/>
              <w:widowControl/>
              <w:suppressLineNumbers w:val="0"/>
              <w:jc w:val="left"/>
              <w:rPr>
                <w:rFonts w:hint="default" w:ascii="仿宋" w:hAnsi="仿宋" w:eastAsia="仿宋" w:cs="仿宋"/>
                <w:color w:val="auto"/>
                <w:kern w:val="2"/>
                <w:sz w:val="24"/>
                <w:szCs w:val="22"/>
                <w:lang w:val="en-US" w:eastAsia="zh-CN" w:bidi="ar-SA"/>
              </w:rPr>
            </w:pPr>
            <w:r>
              <w:rPr>
                <w:rFonts w:hint="eastAsia" w:ascii="仿宋" w:hAnsi="仿宋" w:eastAsia="仿宋" w:cs="仿宋"/>
                <w:color w:val="auto"/>
                <w:kern w:val="2"/>
                <w:sz w:val="24"/>
                <w:szCs w:val="22"/>
                <w:lang w:val="en-US" w:eastAsia="zh-CN" w:bidi="ar-SA"/>
              </w:rPr>
              <w:t>5分</w:t>
            </w:r>
          </w:p>
        </w:tc>
      </w:tr>
      <w:tr w14:paraId="30FD1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trPr>
        <w:tc>
          <w:tcPr>
            <w:tcW w:w="932" w:type="dxa"/>
            <w:tcBorders>
              <w:left w:val="single" w:color="auto" w:sz="4" w:space="0"/>
              <w:right w:val="single" w:color="auto" w:sz="4" w:space="0"/>
            </w:tcBorders>
            <w:noWrap w:val="0"/>
            <w:vAlign w:val="center"/>
          </w:tcPr>
          <w:p w14:paraId="11170157">
            <w:pPr>
              <w:spacing w:line="276" w:lineRule="auto"/>
              <w:jc w:val="center"/>
              <w:rPr>
                <w:rFonts w:hint="default" w:ascii="仿宋" w:hAnsi="仿宋" w:eastAsia="仿宋" w:cs="仿宋"/>
                <w:sz w:val="24"/>
                <w:lang w:val="en-US" w:eastAsia="zh-CN"/>
              </w:rPr>
            </w:pPr>
            <w:r>
              <w:rPr>
                <w:rFonts w:hint="eastAsia" w:ascii="仿宋" w:hAnsi="仿宋" w:eastAsia="仿宋" w:cs="仿宋"/>
                <w:sz w:val="24"/>
                <w:lang w:val="en-US" w:eastAsia="zh-CN"/>
              </w:rPr>
              <w:t>5</w:t>
            </w:r>
          </w:p>
        </w:tc>
        <w:tc>
          <w:tcPr>
            <w:tcW w:w="527" w:type="dxa"/>
            <w:vMerge w:val="continue"/>
            <w:tcBorders>
              <w:left w:val="single" w:color="auto" w:sz="4" w:space="0"/>
              <w:right w:val="single" w:color="auto" w:sz="4" w:space="0"/>
            </w:tcBorders>
            <w:noWrap w:val="0"/>
            <w:vAlign w:val="center"/>
          </w:tcPr>
          <w:p w14:paraId="10498F1A">
            <w:pPr>
              <w:jc w:val="center"/>
              <w:rPr>
                <w:rFonts w:hint="eastAsia" w:ascii="仿宋" w:hAnsi="仿宋" w:eastAsia="仿宋" w:cs="仿宋"/>
                <w:kern w:val="0"/>
                <w:sz w:val="24"/>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7512B9E0">
            <w:pPr>
              <w:keepNext w:val="0"/>
              <w:keepLines w:val="0"/>
              <w:widowControl/>
              <w:suppressLineNumbers w:val="0"/>
              <w:jc w:val="left"/>
              <w:rPr>
                <w:rFonts w:hint="eastAsia" w:ascii="仿宋" w:hAnsi="仿宋" w:eastAsia="仿宋" w:cs="仿宋"/>
                <w:sz w:val="24"/>
                <w:lang w:val="en-US" w:eastAsia="zh-CN"/>
              </w:rPr>
            </w:pPr>
            <w:r>
              <w:rPr>
                <w:rFonts w:hint="eastAsia" w:ascii="仿宋" w:hAnsi="仿宋" w:eastAsia="仿宋" w:cs="仿宋"/>
                <w:sz w:val="24"/>
                <w:lang w:val="en-US" w:eastAsia="zh-CN"/>
              </w:rPr>
              <w:t>备品</w:t>
            </w:r>
          </w:p>
          <w:p w14:paraId="27E6DA45">
            <w:pPr>
              <w:keepNext w:val="0"/>
              <w:keepLines w:val="0"/>
              <w:widowControl/>
              <w:suppressLineNumbers w:val="0"/>
              <w:jc w:val="left"/>
              <w:rPr>
                <w:rFonts w:hint="eastAsia" w:ascii="仿宋" w:hAnsi="仿宋" w:eastAsia="仿宋" w:cs="仿宋"/>
                <w:color w:val="auto"/>
                <w:kern w:val="2"/>
                <w:sz w:val="24"/>
                <w:szCs w:val="22"/>
                <w:lang w:val="en-US" w:eastAsia="zh-CN" w:bidi="ar-SA"/>
              </w:rPr>
            </w:pPr>
            <w:r>
              <w:rPr>
                <w:rFonts w:hint="eastAsia" w:ascii="仿宋" w:hAnsi="仿宋" w:eastAsia="仿宋" w:cs="仿宋"/>
                <w:sz w:val="24"/>
                <w:lang w:val="en-US" w:eastAsia="zh-CN"/>
              </w:rPr>
              <w:t>备件</w:t>
            </w:r>
          </w:p>
        </w:tc>
        <w:tc>
          <w:tcPr>
            <w:tcW w:w="6372" w:type="dxa"/>
            <w:tcBorders>
              <w:top w:val="single" w:color="auto" w:sz="4" w:space="0"/>
              <w:left w:val="single" w:color="auto" w:sz="4" w:space="0"/>
              <w:bottom w:val="single" w:color="auto" w:sz="4" w:space="0"/>
              <w:right w:val="single" w:color="auto" w:sz="4" w:space="0"/>
            </w:tcBorders>
            <w:noWrap w:val="0"/>
            <w:vAlign w:val="center"/>
          </w:tcPr>
          <w:p w14:paraId="1DE34C74">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2"/>
                <w:sz w:val="24"/>
                <w:szCs w:val="22"/>
                <w:lang w:val="en-US" w:eastAsia="zh-CN" w:bidi="ar-SA"/>
              </w:rPr>
            </w:pPr>
            <w:r>
              <w:rPr>
                <w:rFonts w:hint="eastAsia" w:ascii="仿宋" w:hAnsi="仿宋" w:eastAsia="仿宋" w:cs="仿宋"/>
                <w:color w:val="auto"/>
                <w:kern w:val="2"/>
                <w:sz w:val="24"/>
                <w:szCs w:val="22"/>
                <w:lang w:val="en-US" w:eastAsia="zh-CN" w:bidi="ar-SA"/>
              </w:rPr>
              <w:t>备品备件(符合国家体育总局的监测仪器与器材)供应充足保证损坏时，及时更换维修的。提供承诺得5分，未提供不得分。(提供监测仪器与器材照片)</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11BD7773">
            <w:pPr>
              <w:keepNext w:val="0"/>
              <w:keepLines w:val="0"/>
              <w:widowControl/>
              <w:suppressLineNumbers w:val="0"/>
              <w:jc w:val="left"/>
              <w:rPr>
                <w:rFonts w:hint="default" w:ascii="仿宋" w:hAnsi="仿宋" w:eastAsia="仿宋" w:cs="仿宋"/>
                <w:color w:val="auto"/>
                <w:kern w:val="2"/>
                <w:sz w:val="24"/>
                <w:szCs w:val="22"/>
                <w:lang w:val="en-US" w:eastAsia="zh-CN" w:bidi="ar-SA"/>
              </w:rPr>
            </w:pPr>
            <w:r>
              <w:rPr>
                <w:rFonts w:hint="eastAsia" w:ascii="仿宋" w:hAnsi="仿宋" w:eastAsia="仿宋" w:cs="仿宋"/>
                <w:color w:val="auto"/>
                <w:kern w:val="2"/>
                <w:sz w:val="24"/>
                <w:szCs w:val="22"/>
                <w:lang w:val="en-US" w:eastAsia="zh-CN" w:bidi="ar-SA"/>
              </w:rPr>
              <w:t>5分</w:t>
            </w:r>
          </w:p>
        </w:tc>
      </w:tr>
      <w:tr w14:paraId="02EEB5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1" w:hRule="atLeast"/>
        </w:trPr>
        <w:tc>
          <w:tcPr>
            <w:tcW w:w="932" w:type="dxa"/>
            <w:tcBorders>
              <w:left w:val="single" w:color="auto" w:sz="4" w:space="0"/>
              <w:right w:val="single" w:color="auto" w:sz="4" w:space="0"/>
            </w:tcBorders>
            <w:noWrap w:val="0"/>
            <w:vAlign w:val="center"/>
          </w:tcPr>
          <w:p w14:paraId="2E88F744">
            <w:pPr>
              <w:spacing w:line="276" w:lineRule="auto"/>
              <w:jc w:val="center"/>
              <w:rPr>
                <w:rFonts w:hint="default" w:ascii="仿宋" w:hAnsi="仿宋" w:eastAsia="仿宋" w:cs="仿宋"/>
                <w:sz w:val="24"/>
                <w:lang w:val="en-US" w:eastAsia="zh-CN"/>
              </w:rPr>
            </w:pPr>
            <w:r>
              <w:rPr>
                <w:rFonts w:hint="eastAsia" w:ascii="仿宋" w:hAnsi="仿宋" w:eastAsia="仿宋" w:cs="仿宋"/>
                <w:sz w:val="24"/>
                <w:lang w:val="en-US" w:eastAsia="zh-CN"/>
              </w:rPr>
              <w:t>6</w:t>
            </w:r>
          </w:p>
        </w:tc>
        <w:tc>
          <w:tcPr>
            <w:tcW w:w="527" w:type="dxa"/>
            <w:vMerge w:val="continue"/>
            <w:tcBorders>
              <w:left w:val="single" w:color="auto" w:sz="4" w:space="0"/>
              <w:right w:val="single" w:color="auto" w:sz="4" w:space="0"/>
            </w:tcBorders>
            <w:noWrap w:val="0"/>
            <w:vAlign w:val="center"/>
          </w:tcPr>
          <w:p w14:paraId="4759E02C">
            <w:pPr>
              <w:jc w:val="center"/>
              <w:rPr>
                <w:rFonts w:hint="eastAsia" w:ascii="仿宋" w:hAnsi="仿宋" w:eastAsia="仿宋" w:cs="仿宋"/>
                <w:kern w:val="0"/>
                <w:sz w:val="24"/>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502664E7">
            <w:pPr>
              <w:keepNext w:val="0"/>
              <w:keepLines w:val="0"/>
              <w:widowControl/>
              <w:suppressLineNumbers w:val="0"/>
              <w:jc w:val="left"/>
              <w:rPr>
                <w:rFonts w:hint="eastAsia" w:ascii="仿宋" w:hAnsi="仿宋" w:eastAsia="仿宋" w:cs="仿宋"/>
                <w:sz w:val="24"/>
                <w:lang w:val="en-US" w:eastAsia="zh-CN"/>
              </w:rPr>
            </w:pPr>
            <w:r>
              <w:rPr>
                <w:rFonts w:hint="eastAsia" w:ascii="仿宋" w:hAnsi="仿宋" w:eastAsia="仿宋" w:cs="仿宋"/>
                <w:sz w:val="24"/>
                <w:lang w:val="en-US" w:eastAsia="zh-CN"/>
              </w:rPr>
              <w:t>宣传</w:t>
            </w:r>
          </w:p>
          <w:p w14:paraId="38BDF6CB">
            <w:pPr>
              <w:keepNext w:val="0"/>
              <w:keepLines w:val="0"/>
              <w:widowControl/>
              <w:suppressLineNumbers w:val="0"/>
              <w:jc w:val="left"/>
              <w:rPr>
                <w:rFonts w:hint="eastAsia" w:ascii="仿宋" w:hAnsi="仿宋" w:eastAsia="仿宋" w:cs="仿宋"/>
                <w:sz w:val="24"/>
                <w:lang w:val="en-US" w:eastAsia="zh-CN"/>
              </w:rPr>
            </w:pPr>
            <w:r>
              <w:rPr>
                <w:rFonts w:hint="eastAsia" w:ascii="仿宋" w:hAnsi="仿宋" w:eastAsia="仿宋" w:cs="仿宋"/>
                <w:sz w:val="24"/>
                <w:lang w:val="en-US" w:eastAsia="zh-CN"/>
              </w:rPr>
              <w:t>推广</w:t>
            </w:r>
          </w:p>
        </w:tc>
        <w:tc>
          <w:tcPr>
            <w:tcW w:w="6372" w:type="dxa"/>
            <w:tcBorders>
              <w:top w:val="single" w:color="auto" w:sz="4" w:space="0"/>
              <w:left w:val="single" w:color="auto" w:sz="4" w:space="0"/>
              <w:bottom w:val="single" w:color="auto" w:sz="4" w:space="0"/>
              <w:right w:val="single" w:color="auto" w:sz="4" w:space="0"/>
            </w:tcBorders>
            <w:noWrap w:val="0"/>
            <w:vAlign w:val="center"/>
          </w:tcPr>
          <w:p w14:paraId="7943B595">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①媒体宣传推广方案、在运动会举办地有专业媒体宣传团队的得4 分。</w:t>
            </w:r>
          </w:p>
          <w:p w14:paraId="6AE32AB6">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②能通过电视台、快手、抖音、微博、视频号等宣传的得4 分。</w:t>
            </w:r>
          </w:p>
          <w:p w14:paraId="122DFA51">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default" w:ascii="仿宋" w:hAnsi="仿宋" w:eastAsia="仿宋" w:cs="仿宋"/>
                <w:sz w:val="24"/>
                <w:lang w:val="en-US" w:eastAsia="zh-CN"/>
              </w:rPr>
            </w:pPr>
            <w:r>
              <w:rPr>
                <w:rFonts w:hint="eastAsia" w:ascii="仿宋" w:hAnsi="仿宋" w:eastAsia="仿宋" w:cs="仿宋"/>
                <w:sz w:val="24"/>
                <w:lang w:val="en-US" w:eastAsia="zh-CN"/>
              </w:rPr>
              <w:t>未提供不得分。</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2CD6B1FC">
            <w:pPr>
              <w:keepNext w:val="0"/>
              <w:keepLines w:val="0"/>
              <w:widowControl/>
              <w:suppressLineNumbers w:val="0"/>
              <w:jc w:val="left"/>
              <w:rPr>
                <w:rFonts w:hint="eastAsia" w:ascii="仿宋" w:hAnsi="仿宋" w:eastAsia="仿宋" w:cs="仿宋"/>
                <w:color w:val="auto"/>
                <w:kern w:val="2"/>
                <w:sz w:val="24"/>
                <w:szCs w:val="22"/>
                <w:lang w:val="en-US" w:eastAsia="zh-CN" w:bidi="ar-SA"/>
              </w:rPr>
            </w:pPr>
            <w:r>
              <w:rPr>
                <w:rFonts w:hint="eastAsia" w:ascii="仿宋" w:hAnsi="仿宋" w:eastAsia="仿宋" w:cs="仿宋"/>
                <w:color w:val="auto"/>
                <w:kern w:val="2"/>
                <w:sz w:val="24"/>
                <w:szCs w:val="22"/>
                <w:lang w:val="en-US" w:eastAsia="zh-CN" w:bidi="ar-SA"/>
              </w:rPr>
              <w:t>8分</w:t>
            </w:r>
          </w:p>
        </w:tc>
      </w:tr>
      <w:tr w14:paraId="70D99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9" w:hRule="atLeast"/>
        </w:trPr>
        <w:tc>
          <w:tcPr>
            <w:tcW w:w="932" w:type="dxa"/>
            <w:tcBorders>
              <w:left w:val="single" w:color="auto" w:sz="4" w:space="0"/>
              <w:right w:val="single" w:color="auto" w:sz="4" w:space="0"/>
            </w:tcBorders>
            <w:noWrap w:val="0"/>
            <w:vAlign w:val="center"/>
          </w:tcPr>
          <w:p w14:paraId="170F05B2">
            <w:pPr>
              <w:spacing w:line="276" w:lineRule="auto"/>
              <w:jc w:val="center"/>
              <w:rPr>
                <w:rFonts w:hint="eastAsia" w:ascii="仿宋" w:hAnsi="仿宋" w:eastAsia="仿宋" w:cs="仿宋"/>
                <w:sz w:val="24"/>
                <w:lang w:val="en-US" w:eastAsia="zh-CN"/>
              </w:rPr>
            </w:pPr>
            <w:r>
              <w:rPr>
                <w:rFonts w:hint="eastAsia" w:ascii="仿宋" w:hAnsi="仿宋" w:eastAsia="仿宋" w:cs="仿宋"/>
                <w:sz w:val="24"/>
                <w:lang w:val="en-US" w:eastAsia="zh-CN"/>
              </w:rPr>
              <w:t>7</w:t>
            </w:r>
          </w:p>
        </w:tc>
        <w:tc>
          <w:tcPr>
            <w:tcW w:w="527" w:type="dxa"/>
            <w:vMerge w:val="continue"/>
            <w:tcBorders>
              <w:left w:val="single" w:color="auto" w:sz="4" w:space="0"/>
              <w:right w:val="single" w:color="auto" w:sz="4" w:space="0"/>
            </w:tcBorders>
            <w:noWrap w:val="0"/>
            <w:vAlign w:val="center"/>
          </w:tcPr>
          <w:p w14:paraId="356FAEB5">
            <w:pPr>
              <w:jc w:val="center"/>
              <w:rPr>
                <w:rFonts w:hint="eastAsia" w:ascii="仿宋" w:hAnsi="仿宋" w:eastAsia="仿宋" w:cs="仿宋"/>
                <w:kern w:val="0"/>
                <w:sz w:val="24"/>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0CB536F1">
            <w:pPr>
              <w:keepNext w:val="0"/>
              <w:keepLines w:val="0"/>
              <w:widowControl/>
              <w:suppressLineNumbers w:val="0"/>
              <w:jc w:val="left"/>
              <w:rPr>
                <w:rFonts w:hint="eastAsia" w:ascii="仿宋" w:hAnsi="仿宋" w:eastAsia="仿宋" w:cs="仿宋"/>
                <w:color w:val="auto"/>
                <w:kern w:val="2"/>
                <w:sz w:val="24"/>
                <w:szCs w:val="22"/>
                <w:lang w:val="en-US" w:eastAsia="zh-CN" w:bidi="ar-SA"/>
              </w:rPr>
            </w:pPr>
          </w:p>
          <w:p w14:paraId="63770D42">
            <w:pPr>
              <w:keepNext w:val="0"/>
              <w:keepLines w:val="0"/>
              <w:widowControl/>
              <w:suppressLineNumbers w:val="0"/>
              <w:jc w:val="left"/>
              <w:rPr>
                <w:rFonts w:hint="eastAsia" w:ascii="仿宋" w:hAnsi="仿宋" w:eastAsia="仿宋" w:cs="仿宋"/>
                <w:color w:val="auto"/>
                <w:kern w:val="2"/>
                <w:sz w:val="24"/>
                <w:szCs w:val="22"/>
                <w:lang w:val="en-US" w:eastAsia="zh-CN" w:bidi="ar-SA"/>
              </w:rPr>
            </w:pPr>
            <w:r>
              <w:rPr>
                <w:rFonts w:hint="eastAsia" w:ascii="仿宋" w:hAnsi="仿宋" w:eastAsia="仿宋" w:cs="仿宋"/>
                <w:color w:val="auto"/>
                <w:kern w:val="2"/>
                <w:sz w:val="24"/>
                <w:szCs w:val="22"/>
                <w:lang w:val="en-US" w:eastAsia="zh-CN" w:bidi="ar-SA"/>
              </w:rPr>
              <w:t>质量保证方案</w:t>
            </w:r>
          </w:p>
        </w:tc>
        <w:tc>
          <w:tcPr>
            <w:tcW w:w="6372" w:type="dxa"/>
            <w:tcBorders>
              <w:top w:val="single" w:color="auto" w:sz="4" w:space="0"/>
              <w:left w:val="single" w:color="auto" w:sz="4" w:space="0"/>
              <w:bottom w:val="single" w:color="auto" w:sz="4" w:space="0"/>
              <w:right w:val="single" w:color="auto" w:sz="4" w:space="0"/>
            </w:tcBorders>
            <w:noWrap w:val="0"/>
            <w:vAlign w:val="center"/>
          </w:tcPr>
          <w:p w14:paraId="45F80F37">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2"/>
                <w:sz w:val="24"/>
                <w:szCs w:val="22"/>
                <w:lang w:val="en-US" w:eastAsia="zh-CN" w:bidi="ar-SA"/>
              </w:rPr>
            </w:pPr>
            <w:r>
              <w:rPr>
                <w:rFonts w:hint="eastAsia" w:ascii="仿宋" w:hAnsi="仿宋" w:eastAsia="仿宋" w:cs="仿宋"/>
                <w:color w:val="auto"/>
                <w:kern w:val="2"/>
                <w:sz w:val="24"/>
                <w:szCs w:val="22"/>
                <w:lang w:val="en-US" w:eastAsia="zh-CN" w:bidi="ar-SA"/>
              </w:rPr>
              <w:t>针对本项目制作、运输、安装等环节的质量计划、质量保证、</w:t>
            </w:r>
          </w:p>
          <w:p w14:paraId="28325760">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2"/>
                <w:sz w:val="24"/>
                <w:szCs w:val="22"/>
                <w:lang w:val="en-US" w:eastAsia="zh-CN" w:bidi="ar-SA"/>
              </w:rPr>
            </w:pPr>
            <w:r>
              <w:rPr>
                <w:rFonts w:hint="eastAsia" w:ascii="仿宋" w:hAnsi="仿宋" w:eastAsia="仿宋" w:cs="仿宋"/>
                <w:color w:val="auto"/>
                <w:kern w:val="2"/>
                <w:sz w:val="24"/>
                <w:szCs w:val="22"/>
                <w:lang w:val="en-US" w:eastAsia="zh-CN" w:bidi="ar-SA"/>
              </w:rPr>
              <w:t>质量控制等措施完善、能保证过程错误率低、成品准确性高， 方案全面详细、操作性强得8-15分，方案较全面，操作性一般得1-7分，未提供不得分；</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1DDCAC49">
            <w:pPr>
              <w:keepNext w:val="0"/>
              <w:keepLines w:val="0"/>
              <w:widowControl/>
              <w:suppressLineNumbers w:val="0"/>
              <w:jc w:val="left"/>
              <w:rPr>
                <w:rFonts w:hint="default" w:ascii="仿宋" w:hAnsi="仿宋" w:eastAsia="仿宋" w:cs="仿宋"/>
                <w:color w:val="auto"/>
                <w:kern w:val="2"/>
                <w:sz w:val="24"/>
                <w:szCs w:val="22"/>
                <w:lang w:val="en-US" w:eastAsia="zh-CN" w:bidi="ar-SA"/>
              </w:rPr>
            </w:pPr>
            <w:r>
              <w:rPr>
                <w:rFonts w:hint="eastAsia" w:ascii="仿宋" w:hAnsi="仿宋" w:eastAsia="仿宋" w:cs="仿宋"/>
                <w:color w:val="auto"/>
                <w:kern w:val="2"/>
                <w:sz w:val="24"/>
                <w:szCs w:val="22"/>
                <w:lang w:val="en-US" w:eastAsia="zh-CN" w:bidi="ar-SA"/>
              </w:rPr>
              <w:t>15分</w:t>
            </w:r>
          </w:p>
        </w:tc>
      </w:tr>
      <w:tr w14:paraId="1147F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trPr>
        <w:tc>
          <w:tcPr>
            <w:tcW w:w="932" w:type="dxa"/>
            <w:tcBorders>
              <w:left w:val="single" w:color="auto" w:sz="4" w:space="0"/>
              <w:right w:val="single" w:color="auto" w:sz="4" w:space="0"/>
            </w:tcBorders>
            <w:noWrap w:val="0"/>
            <w:vAlign w:val="center"/>
          </w:tcPr>
          <w:p w14:paraId="22248967">
            <w:pPr>
              <w:spacing w:line="276" w:lineRule="auto"/>
              <w:jc w:val="center"/>
              <w:rPr>
                <w:rFonts w:hint="default" w:ascii="仿宋" w:hAnsi="仿宋" w:eastAsia="仿宋" w:cs="仿宋"/>
                <w:sz w:val="24"/>
                <w:lang w:val="en-US" w:eastAsia="zh-CN"/>
              </w:rPr>
            </w:pPr>
            <w:r>
              <w:rPr>
                <w:rFonts w:hint="eastAsia" w:ascii="仿宋" w:hAnsi="仿宋" w:eastAsia="仿宋" w:cs="仿宋"/>
                <w:sz w:val="24"/>
                <w:lang w:val="en-US" w:eastAsia="zh-CN"/>
              </w:rPr>
              <w:t>8</w:t>
            </w:r>
          </w:p>
        </w:tc>
        <w:tc>
          <w:tcPr>
            <w:tcW w:w="527" w:type="dxa"/>
            <w:vMerge w:val="continue"/>
            <w:tcBorders>
              <w:left w:val="single" w:color="auto" w:sz="4" w:space="0"/>
              <w:right w:val="single" w:color="auto" w:sz="4" w:space="0"/>
            </w:tcBorders>
            <w:noWrap w:val="0"/>
            <w:vAlign w:val="center"/>
          </w:tcPr>
          <w:p w14:paraId="24FD88A4">
            <w:pPr>
              <w:jc w:val="center"/>
              <w:rPr>
                <w:rFonts w:hint="eastAsia" w:ascii="仿宋" w:hAnsi="仿宋" w:eastAsia="仿宋" w:cs="仿宋"/>
                <w:kern w:val="0"/>
                <w:sz w:val="24"/>
              </w:rPr>
            </w:pPr>
          </w:p>
        </w:tc>
        <w:tc>
          <w:tcPr>
            <w:tcW w:w="1150" w:type="dxa"/>
            <w:tcBorders>
              <w:top w:val="single" w:color="auto" w:sz="4" w:space="0"/>
              <w:left w:val="single" w:color="auto" w:sz="4" w:space="0"/>
              <w:right w:val="single" w:color="auto" w:sz="4" w:space="0"/>
            </w:tcBorders>
            <w:noWrap w:val="0"/>
            <w:vAlign w:val="center"/>
          </w:tcPr>
          <w:p w14:paraId="76A52BCE">
            <w:pPr>
              <w:keepNext w:val="0"/>
              <w:keepLines w:val="0"/>
              <w:widowControl/>
              <w:suppressLineNumbers w:val="0"/>
              <w:jc w:val="left"/>
              <w:rPr>
                <w:rFonts w:hint="eastAsia" w:ascii="仿宋" w:hAnsi="仿宋" w:eastAsia="仿宋" w:cs="仿宋"/>
                <w:color w:val="auto"/>
                <w:kern w:val="2"/>
                <w:sz w:val="24"/>
                <w:szCs w:val="22"/>
                <w:lang w:val="en-US" w:eastAsia="zh-CN" w:bidi="ar-SA"/>
              </w:rPr>
            </w:pPr>
            <w:r>
              <w:rPr>
                <w:rFonts w:hint="eastAsia" w:ascii="仿宋" w:hAnsi="仿宋" w:eastAsia="仿宋" w:cs="仿宋"/>
                <w:color w:val="auto"/>
                <w:kern w:val="2"/>
                <w:sz w:val="24"/>
                <w:szCs w:val="22"/>
                <w:lang w:val="en-US" w:eastAsia="zh-CN" w:bidi="ar-SA"/>
              </w:rPr>
              <w:t>标书完整  性</w:t>
            </w:r>
          </w:p>
        </w:tc>
        <w:tc>
          <w:tcPr>
            <w:tcW w:w="6372" w:type="dxa"/>
            <w:tcBorders>
              <w:top w:val="single" w:color="auto" w:sz="4" w:space="0"/>
              <w:left w:val="single" w:color="auto" w:sz="4" w:space="0"/>
              <w:right w:val="single" w:color="auto" w:sz="4" w:space="0"/>
            </w:tcBorders>
            <w:noWrap w:val="0"/>
            <w:vAlign w:val="center"/>
          </w:tcPr>
          <w:p w14:paraId="25749D0F">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default" w:ascii="仿宋" w:hAnsi="仿宋" w:eastAsia="仿宋" w:cs="仿宋"/>
                <w:color w:val="auto"/>
                <w:kern w:val="2"/>
                <w:sz w:val="24"/>
                <w:szCs w:val="22"/>
                <w:lang w:val="en-US" w:eastAsia="zh-CN" w:bidi="ar-SA"/>
              </w:rPr>
            </w:pPr>
            <w:r>
              <w:rPr>
                <w:rFonts w:hint="default" w:ascii="仿宋" w:hAnsi="仿宋" w:eastAsia="仿宋" w:cs="仿宋"/>
                <w:color w:val="auto"/>
                <w:kern w:val="2"/>
                <w:sz w:val="24"/>
                <w:szCs w:val="22"/>
                <w:lang w:val="en-US" w:eastAsia="zh-CN" w:bidi="ar-SA"/>
              </w:rPr>
              <w:t>根据响应文件目录、页码指向准确，内容无涂改、错页、漏页现象，优秀的得2分，一般的得1分，较差不得分；</w:t>
            </w:r>
          </w:p>
        </w:tc>
        <w:tc>
          <w:tcPr>
            <w:tcW w:w="801" w:type="dxa"/>
            <w:tcBorders>
              <w:top w:val="single" w:color="auto" w:sz="4" w:space="0"/>
              <w:left w:val="single" w:color="auto" w:sz="4" w:space="0"/>
              <w:bottom w:val="single" w:color="auto" w:sz="4" w:space="0"/>
              <w:right w:val="single" w:color="auto" w:sz="4" w:space="0"/>
            </w:tcBorders>
            <w:noWrap w:val="0"/>
            <w:vAlign w:val="top"/>
          </w:tcPr>
          <w:p w14:paraId="529ABD86">
            <w:pPr>
              <w:spacing w:line="295" w:lineRule="auto"/>
              <w:rPr>
                <w:rFonts w:ascii="Arial"/>
                <w:sz w:val="21"/>
              </w:rPr>
            </w:pPr>
          </w:p>
          <w:p w14:paraId="06BC2243">
            <w:pPr>
              <w:pStyle w:val="181"/>
              <w:spacing w:before="65" w:line="253" w:lineRule="auto"/>
              <w:ind w:right="134" w:rightChars="0"/>
              <w:rPr>
                <w:rFonts w:hint="eastAsia" w:ascii="仿宋" w:hAnsi="仿宋" w:eastAsia="宋体" w:cs="仿宋"/>
                <w:color w:val="auto"/>
                <w:kern w:val="2"/>
                <w:sz w:val="24"/>
                <w:szCs w:val="22"/>
                <w:lang w:val="en-US" w:eastAsia="zh-CN" w:bidi="ar-SA"/>
              </w:rPr>
            </w:pPr>
            <w:r>
              <w:rPr>
                <w:rFonts w:hint="eastAsia" w:ascii="仿宋" w:hAnsi="仿宋" w:eastAsia="仿宋" w:cs="仿宋"/>
                <w:color w:val="auto"/>
                <w:kern w:val="2"/>
                <w:sz w:val="24"/>
                <w:szCs w:val="22"/>
                <w:lang w:val="en-US" w:eastAsia="zh-CN" w:bidi="ar-SA"/>
              </w:rPr>
              <w:t>2分</w:t>
            </w:r>
          </w:p>
        </w:tc>
      </w:tr>
      <w:bookmarkEnd w:id="110"/>
      <w:bookmarkEnd w:id="111"/>
    </w:tbl>
    <w:p w14:paraId="00E3B04D">
      <w:pPr>
        <w:tabs>
          <w:tab w:val="left" w:pos="600"/>
        </w:tabs>
        <w:spacing w:line="348" w:lineRule="auto"/>
        <w:jc w:val="center"/>
        <w:rPr>
          <w:rFonts w:hint="eastAsia" w:ascii="仿宋" w:hAnsi="仿宋" w:eastAsia="仿宋" w:cs="仿宋"/>
          <w:b/>
          <w:bCs/>
          <w:sz w:val="24"/>
        </w:rPr>
      </w:pPr>
    </w:p>
    <w:p w14:paraId="28465234">
      <w:pPr>
        <w:tabs>
          <w:tab w:val="left" w:pos="600"/>
        </w:tabs>
        <w:spacing w:line="348" w:lineRule="auto"/>
        <w:jc w:val="center"/>
        <w:rPr>
          <w:rFonts w:hint="eastAsia" w:ascii="仿宋" w:hAnsi="仿宋" w:eastAsia="仿宋" w:cs="仿宋"/>
          <w:sz w:val="24"/>
        </w:rPr>
      </w:pPr>
      <w:r>
        <w:rPr>
          <w:rFonts w:hint="eastAsia" w:ascii="仿宋" w:hAnsi="仿宋" w:eastAsia="仿宋" w:cs="仿宋"/>
          <w:b/>
          <w:bCs/>
          <w:sz w:val="24"/>
        </w:rPr>
        <w:t>报价部分评分标准（100分，权重值占10%）</w:t>
      </w:r>
    </w:p>
    <w:tbl>
      <w:tblPr>
        <w:tblStyle w:val="33"/>
        <w:tblpPr w:leftFromText="180" w:rightFromText="180" w:vertAnchor="text" w:horzAnchor="page" w:tblpX="1467" w:tblpY="508"/>
        <w:tblOverlap w:val="never"/>
        <w:tblW w:w="94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1485"/>
        <w:gridCol w:w="7127"/>
      </w:tblGrid>
      <w:tr w14:paraId="7AF7F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854" w:type="dxa"/>
            <w:noWrap w:val="0"/>
            <w:vAlign w:val="center"/>
          </w:tcPr>
          <w:p w14:paraId="0AA11256">
            <w:pPr>
              <w:autoSpaceDE w:val="0"/>
              <w:autoSpaceDN w:val="0"/>
              <w:adjustRightInd w:val="0"/>
              <w:jc w:val="center"/>
              <w:rPr>
                <w:rFonts w:hint="eastAsia" w:ascii="仿宋" w:hAnsi="仿宋" w:eastAsia="仿宋" w:cs="仿宋"/>
                <w:b/>
                <w:bCs/>
                <w:sz w:val="24"/>
                <w:lang w:val="zh-CN"/>
              </w:rPr>
            </w:pPr>
            <w:r>
              <w:rPr>
                <w:rFonts w:hint="eastAsia" w:ascii="仿宋" w:hAnsi="仿宋" w:eastAsia="仿宋" w:cs="仿宋"/>
                <w:b/>
                <w:bCs/>
                <w:sz w:val="24"/>
                <w:lang w:val="zh-CN"/>
              </w:rPr>
              <w:t>序号</w:t>
            </w:r>
          </w:p>
        </w:tc>
        <w:tc>
          <w:tcPr>
            <w:tcW w:w="1485" w:type="dxa"/>
            <w:noWrap w:val="0"/>
            <w:vAlign w:val="center"/>
          </w:tcPr>
          <w:p w14:paraId="136F11F1">
            <w:pPr>
              <w:autoSpaceDE w:val="0"/>
              <w:autoSpaceDN w:val="0"/>
              <w:adjustRightInd w:val="0"/>
              <w:jc w:val="center"/>
              <w:rPr>
                <w:rFonts w:hint="eastAsia" w:ascii="仿宋" w:hAnsi="仿宋" w:eastAsia="仿宋" w:cs="仿宋"/>
                <w:b/>
                <w:bCs/>
                <w:sz w:val="24"/>
                <w:lang w:val="zh-CN"/>
              </w:rPr>
            </w:pPr>
            <w:r>
              <w:rPr>
                <w:rFonts w:hint="eastAsia" w:ascii="仿宋" w:hAnsi="仿宋" w:eastAsia="仿宋" w:cs="仿宋"/>
                <w:b/>
                <w:bCs/>
                <w:sz w:val="24"/>
                <w:lang w:val="zh-CN"/>
              </w:rPr>
              <w:t>评审项目</w:t>
            </w:r>
          </w:p>
        </w:tc>
        <w:tc>
          <w:tcPr>
            <w:tcW w:w="7127" w:type="dxa"/>
            <w:noWrap w:val="0"/>
            <w:vAlign w:val="center"/>
          </w:tcPr>
          <w:p w14:paraId="6D1A5B0F">
            <w:pPr>
              <w:autoSpaceDE w:val="0"/>
              <w:autoSpaceDN w:val="0"/>
              <w:adjustRightInd w:val="0"/>
              <w:jc w:val="center"/>
              <w:rPr>
                <w:rFonts w:hint="eastAsia" w:ascii="仿宋" w:hAnsi="仿宋" w:eastAsia="仿宋" w:cs="仿宋"/>
                <w:b/>
                <w:bCs/>
                <w:sz w:val="24"/>
                <w:lang w:val="zh-CN"/>
              </w:rPr>
            </w:pPr>
            <w:r>
              <w:rPr>
                <w:rFonts w:hint="eastAsia" w:ascii="仿宋" w:hAnsi="仿宋" w:eastAsia="仿宋" w:cs="仿宋"/>
                <w:b/>
                <w:bCs/>
                <w:sz w:val="24"/>
                <w:lang w:val="zh-CN"/>
              </w:rPr>
              <w:t>评分标准</w:t>
            </w:r>
          </w:p>
        </w:tc>
      </w:tr>
      <w:tr w14:paraId="47184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0" w:hRule="atLeast"/>
        </w:trPr>
        <w:tc>
          <w:tcPr>
            <w:tcW w:w="854" w:type="dxa"/>
            <w:noWrap w:val="0"/>
            <w:vAlign w:val="center"/>
          </w:tcPr>
          <w:p w14:paraId="457FC6A2">
            <w:pPr>
              <w:autoSpaceDE w:val="0"/>
              <w:autoSpaceDN w:val="0"/>
              <w:adjustRightInd w:val="0"/>
              <w:jc w:val="center"/>
              <w:rPr>
                <w:rFonts w:hint="eastAsia" w:ascii="仿宋" w:hAnsi="仿宋" w:eastAsia="仿宋" w:cs="仿宋"/>
                <w:bCs/>
                <w:sz w:val="24"/>
                <w:lang w:val="zh-CN"/>
              </w:rPr>
            </w:pPr>
            <w:r>
              <w:rPr>
                <w:rFonts w:hint="eastAsia" w:ascii="仿宋" w:hAnsi="仿宋" w:eastAsia="仿宋" w:cs="仿宋"/>
                <w:bCs/>
                <w:sz w:val="24"/>
                <w:lang w:val="zh-CN"/>
              </w:rPr>
              <w:t>1</w:t>
            </w:r>
          </w:p>
        </w:tc>
        <w:tc>
          <w:tcPr>
            <w:tcW w:w="1485" w:type="dxa"/>
            <w:noWrap w:val="0"/>
            <w:vAlign w:val="center"/>
          </w:tcPr>
          <w:p w14:paraId="7460F253">
            <w:pPr>
              <w:autoSpaceDE w:val="0"/>
              <w:autoSpaceDN w:val="0"/>
              <w:adjustRightInd w:val="0"/>
              <w:jc w:val="center"/>
              <w:rPr>
                <w:rFonts w:hint="eastAsia" w:ascii="仿宋" w:hAnsi="仿宋" w:eastAsia="仿宋" w:cs="仿宋"/>
                <w:sz w:val="24"/>
              </w:rPr>
            </w:pPr>
            <w:r>
              <w:rPr>
                <w:rFonts w:hint="eastAsia" w:ascii="仿宋" w:hAnsi="仿宋" w:eastAsia="仿宋" w:cs="仿宋"/>
                <w:sz w:val="24"/>
                <w:lang w:val="zh-CN"/>
              </w:rPr>
              <w:t>投标报价</w:t>
            </w:r>
          </w:p>
        </w:tc>
        <w:tc>
          <w:tcPr>
            <w:tcW w:w="7127" w:type="dxa"/>
            <w:noWrap w:val="0"/>
            <w:vAlign w:val="center"/>
          </w:tcPr>
          <w:p w14:paraId="309442CB">
            <w:pPr>
              <w:autoSpaceDE w:val="0"/>
              <w:autoSpaceDN w:val="0"/>
              <w:adjustRightInd w:val="0"/>
              <w:rPr>
                <w:rFonts w:hint="eastAsia" w:ascii="仿宋" w:hAnsi="仿宋" w:eastAsia="仿宋" w:cs="仿宋"/>
                <w:sz w:val="24"/>
              </w:rPr>
            </w:pPr>
            <w:r>
              <w:rPr>
                <w:rFonts w:hint="eastAsia" w:ascii="仿宋" w:hAnsi="仿宋" w:eastAsia="仿宋" w:cs="仿宋"/>
                <w:kern w:val="0"/>
                <w:sz w:val="24"/>
              </w:rPr>
              <w:t>价格分采用低价优先法计算，即满足招标文件要求且报价最低的供应商的价格为基准价，其价格分为满分。其他供应商的价格分统一按照下列公式计算：价格分=（评标基准价/投标报价）×10%×100</w:t>
            </w:r>
          </w:p>
        </w:tc>
      </w:tr>
    </w:tbl>
    <w:p w14:paraId="0C24F205">
      <w:pPr>
        <w:snapToGrid w:val="0"/>
        <w:spacing w:line="348" w:lineRule="auto"/>
        <w:ind w:firstLine="360" w:firstLineChars="150"/>
        <w:rPr>
          <w:rFonts w:hint="eastAsia" w:ascii="仿宋" w:hAnsi="仿宋" w:eastAsia="仿宋" w:cs="仿宋"/>
          <w:sz w:val="24"/>
        </w:rPr>
      </w:pPr>
    </w:p>
    <w:p w14:paraId="2DBACACC">
      <w:pPr>
        <w:snapToGrid w:val="0"/>
        <w:spacing w:line="348" w:lineRule="auto"/>
        <w:ind w:firstLine="360" w:firstLineChars="150"/>
        <w:rPr>
          <w:rFonts w:hint="eastAsia" w:ascii="仿宋" w:hAnsi="仿宋" w:eastAsia="仿宋" w:cs="仿宋"/>
          <w:sz w:val="24"/>
        </w:rPr>
      </w:pPr>
    </w:p>
    <w:p w14:paraId="67BE4772">
      <w:pPr>
        <w:snapToGrid w:val="0"/>
        <w:spacing w:line="348" w:lineRule="auto"/>
        <w:ind w:firstLine="360" w:firstLineChars="150"/>
        <w:rPr>
          <w:rFonts w:hint="eastAsia" w:ascii="仿宋" w:hAnsi="仿宋" w:eastAsia="仿宋" w:cs="仿宋"/>
          <w:sz w:val="24"/>
        </w:rPr>
      </w:pPr>
      <w:r>
        <w:rPr>
          <w:rFonts w:hint="eastAsia" w:ascii="仿宋" w:hAnsi="仿宋" w:eastAsia="仿宋" w:cs="仿宋"/>
          <w:sz w:val="24"/>
        </w:rPr>
        <w:t>技术、商务、价格部分分值分配如下：</w:t>
      </w:r>
    </w:p>
    <w:tbl>
      <w:tblPr>
        <w:tblStyle w:val="33"/>
        <w:tblpPr w:leftFromText="180" w:rightFromText="180" w:vertAnchor="text" w:horzAnchor="page" w:tblpX="1501" w:tblpY="148"/>
        <w:tblOverlap w:val="never"/>
        <w:tblW w:w="94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9"/>
        <w:gridCol w:w="2127"/>
        <w:gridCol w:w="1762"/>
        <w:gridCol w:w="1864"/>
        <w:gridCol w:w="1894"/>
      </w:tblGrid>
      <w:tr w14:paraId="125B9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1829" w:type="dxa"/>
            <w:noWrap w:val="0"/>
            <w:vAlign w:val="center"/>
          </w:tcPr>
          <w:p w14:paraId="31A96714">
            <w:pPr>
              <w:autoSpaceDE w:val="0"/>
              <w:autoSpaceDN w:val="0"/>
              <w:adjustRightInd w:val="0"/>
              <w:jc w:val="center"/>
              <w:rPr>
                <w:rFonts w:hint="eastAsia" w:ascii="仿宋" w:hAnsi="仿宋" w:eastAsia="仿宋" w:cs="仿宋"/>
                <w:b/>
                <w:kern w:val="0"/>
                <w:sz w:val="24"/>
              </w:rPr>
            </w:pPr>
            <w:r>
              <w:rPr>
                <w:rFonts w:hint="eastAsia" w:ascii="仿宋" w:hAnsi="仿宋" w:eastAsia="仿宋" w:cs="仿宋"/>
                <w:b/>
                <w:kern w:val="0"/>
                <w:sz w:val="24"/>
              </w:rPr>
              <w:t>评分项目</w:t>
            </w:r>
          </w:p>
        </w:tc>
        <w:tc>
          <w:tcPr>
            <w:tcW w:w="2127" w:type="dxa"/>
            <w:noWrap w:val="0"/>
            <w:vAlign w:val="center"/>
          </w:tcPr>
          <w:p w14:paraId="6FD32A0C">
            <w:pPr>
              <w:autoSpaceDE w:val="0"/>
              <w:autoSpaceDN w:val="0"/>
              <w:adjustRightInd w:val="0"/>
              <w:jc w:val="center"/>
              <w:rPr>
                <w:rFonts w:hint="eastAsia" w:ascii="仿宋" w:hAnsi="仿宋" w:eastAsia="仿宋" w:cs="仿宋"/>
                <w:b/>
                <w:kern w:val="0"/>
                <w:sz w:val="24"/>
              </w:rPr>
            </w:pPr>
            <w:r>
              <w:rPr>
                <w:rFonts w:hint="eastAsia" w:ascii="仿宋" w:hAnsi="仿宋" w:eastAsia="仿宋" w:cs="仿宋"/>
                <w:b/>
                <w:kern w:val="0"/>
                <w:sz w:val="24"/>
              </w:rPr>
              <w:t>商务评分</w:t>
            </w:r>
          </w:p>
        </w:tc>
        <w:tc>
          <w:tcPr>
            <w:tcW w:w="1762" w:type="dxa"/>
            <w:noWrap w:val="0"/>
            <w:vAlign w:val="center"/>
          </w:tcPr>
          <w:p w14:paraId="4EF832D2">
            <w:pPr>
              <w:autoSpaceDE w:val="0"/>
              <w:autoSpaceDN w:val="0"/>
              <w:adjustRightInd w:val="0"/>
              <w:ind w:left="16" w:leftChars="-51" w:hanging="123" w:hangingChars="51"/>
              <w:jc w:val="center"/>
              <w:rPr>
                <w:rFonts w:hint="eastAsia" w:ascii="仿宋" w:hAnsi="仿宋" w:eastAsia="仿宋" w:cs="仿宋"/>
                <w:b/>
                <w:kern w:val="0"/>
                <w:sz w:val="24"/>
              </w:rPr>
            </w:pPr>
            <w:r>
              <w:rPr>
                <w:rFonts w:hint="eastAsia" w:ascii="仿宋" w:hAnsi="仿宋" w:eastAsia="仿宋" w:cs="仿宋"/>
                <w:b/>
                <w:kern w:val="0"/>
                <w:sz w:val="24"/>
              </w:rPr>
              <w:t>技术评分</w:t>
            </w:r>
          </w:p>
        </w:tc>
        <w:tc>
          <w:tcPr>
            <w:tcW w:w="1864" w:type="dxa"/>
            <w:noWrap w:val="0"/>
            <w:vAlign w:val="center"/>
          </w:tcPr>
          <w:p w14:paraId="1D336B76">
            <w:pPr>
              <w:autoSpaceDE w:val="0"/>
              <w:autoSpaceDN w:val="0"/>
              <w:adjustRightInd w:val="0"/>
              <w:ind w:left="16" w:leftChars="-51" w:hanging="123" w:hangingChars="51"/>
              <w:jc w:val="center"/>
              <w:rPr>
                <w:rFonts w:hint="eastAsia" w:ascii="仿宋" w:hAnsi="仿宋" w:eastAsia="仿宋" w:cs="仿宋"/>
                <w:b/>
                <w:kern w:val="0"/>
                <w:sz w:val="24"/>
              </w:rPr>
            </w:pPr>
            <w:r>
              <w:rPr>
                <w:rFonts w:hint="eastAsia" w:ascii="仿宋" w:hAnsi="仿宋" w:eastAsia="仿宋" w:cs="仿宋"/>
                <w:b/>
                <w:kern w:val="0"/>
                <w:sz w:val="24"/>
              </w:rPr>
              <w:t>价格评分</w:t>
            </w:r>
          </w:p>
        </w:tc>
        <w:tc>
          <w:tcPr>
            <w:tcW w:w="1894" w:type="dxa"/>
            <w:noWrap w:val="0"/>
            <w:vAlign w:val="center"/>
          </w:tcPr>
          <w:p w14:paraId="3C545A22">
            <w:pPr>
              <w:jc w:val="center"/>
              <w:rPr>
                <w:rFonts w:hint="eastAsia" w:ascii="仿宋" w:hAnsi="仿宋" w:eastAsia="仿宋" w:cs="仿宋"/>
                <w:b/>
                <w:sz w:val="24"/>
              </w:rPr>
            </w:pPr>
            <w:r>
              <w:rPr>
                <w:rFonts w:hint="eastAsia" w:ascii="仿宋" w:hAnsi="仿宋" w:eastAsia="仿宋" w:cs="仿宋"/>
                <w:b/>
                <w:sz w:val="24"/>
              </w:rPr>
              <w:t>合  计</w:t>
            </w:r>
          </w:p>
        </w:tc>
      </w:tr>
      <w:tr w14:paraId="714F5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1829" w:type="dxa"/>
            <w:noWrap w:val="0"/>
            <w:vAlign w:val="center"/>
          </w:tcPr>
          <w:p w14:paraId="1E555DC6">
            <w:pPr>
              <w:autoSpaceDE w:val="0"/>
              <w:autoSpaceDN w:val="0"/>
              <w:adjustRightInd w:val="0"/>
              <w:jc w:val="center"/>
              <w:rPr>
                <w:rFonts w:hint="eastAsia" w:ascii="仿宋" w:hAnsi="仿宋" w:eastAsia="仿宋" w:cs="仿宋"/>
                <w:b/>
                <w:kern w:val="0"/>
                <w:sz w:val="24"/>
              </w:rPr>
            </w:pPr>
            <w:r>
              <w:rPr>
                <w:rFonts w:hint="eastAsia" w:ascii="仿宋" w:hAnsi="仿宋" w:eastAsia="仿宋" w:cs="仿宋"/>
                <w:b/>
                <w:kern w:val="0"/>
                <w:sz w:val="24"/>
              </w:rPr>
              <w:t>分值</w:t>
            </w:r>
          </w:p>
        </w:tc>
        <w:tc>
          <w:tcPr>
            <w:tcW w:w="2127" w:type="dxa"/>
            <w:noWrap w:val="0"/>
            <w:vAlign w:val="center"/>
          </w:tcPr>
          <w:p w14:paraId="456571F8">
            <w:pPr>
              <w:autoSpaceDE w:val="0"/>
              <w:autoSpaceDN w:val="0"/>
              <w:adjustRightInd w:val="0"/>
              <w:jc w:val="center"/>
              <w:rPr>
                <w:rFonts w:hint="eastAsia" w:ascii="仿宋" w:hAnsi="仿宋" w:eastAsia="仿宋" w:cs="仿宋"/>
                <w:b/>
                <w:kern w:val="0"/>
                <w:sz w:val="24"/>
              </w:rPr>
            </w:pPr>
            <w:r>
              <w:rPr>
                <w:rFonts w:hint="eastAsia" w:ascii="仿宋" w:hAnsi="仿宋" w:eastAsia="仿宋" w:cs="仿宋"/>
                <w:b/>
                <w:kern w:val="0"/>
                <w:sz w:val="24"/>
                <w:lang w:val="en-US" w:eastAsia="zh-CN"/>
              </w:rPr>
              <w:t>15</w:t>
            </w:r>
            <w:r>
              <w:rPr>
                <w:rFonts w:hint="eastAsia" w:ascii="仿宋" w:hAnsi="仿宋" w:eastAsia="仿宋" w:cs="仿宋"/>
                <w:b/>
                <w:kern w:val="0"/>
                <w:sz w:val="24"/>
              </w:rPr>
              <w:t>分</w:t>
            </w:r>
          </w:p>
        </w:tc>
        <w:tc>
          <w:tcPr>
            <w:tcW w:w="1762" w:type="dxa"/>
            <w:noWrap w:val="0"/>
            <w:vAlign w:val="center"/>
          </w:tcPr>
          <w:p w14:paraId="515EA8A8">
            <w:pPr>
              <w:autoSpaceDE w:val="0"/>
              <w:autoSpaceDN w:val="0"/>
              <w:adjustRightInd w:val="0"/>
              <w:jc w:val="center"/>
              <w:rPr>
                <w:rFonts w:hint="eastAsia" w:ascii="仿宋" w:hAnsi="仿宋" w:eastAsia="仿宋" w:cs="仿宋"/>
                <w:b/>
                <w:kern w:val="0"/>
                <w:sz w:val="24"/>
              </w:rPr>
            </w:pPr>
            <w:r>
              <w:rPr>
                <w:rFonts w:hint="eastAsia" w:ascii="仿宋" w:hAnsi="仿宋" w:eastAsia="仿宋" w:cs="仿宋"/>
                <w:b/>
                <w:kern w:val="0"/>
                <w:sz w:val="24"/>
                <w:lang w:val="en-US" w:eastAsia="zh-CN"/>
              </w:rPr>
              <w:t>75</w:t>
            </w:r>
            <w:r>
              <w:rPr>
                <w:rFonts w:hint="eastAsia" w:ascii="仿宋" w:hAnsi="仿宋" w:eastAsia="仿宋" w:cs="仿宋"/>
                <w:b/>
                <w:kern w:val="0"/>
                <w:sz w:val="24"/>
              </w:rPr>
              <w:t>分</w:t>
            </w:r>
          </w:p>
        </w:tc>
        <w:tc>
          <w:tcPr>
            <w:tcW w:w="1864" w:type="dxa"/>
            <w:noWrap w:val="0"/>
            <w:vAlign w:val="center"/>
          </w:tcPr>
          <w:p w14:paraId="322600C8">
            <w:pPr>
              <w:autoSpaceDE w:val="0"/>
              <w:autoSpaceDN w:val="0"/>
              <w:adjustRightInd w:val="0"/>
              <w:jc w:val="center"/>
              <w:rPr>
                <w:rFonts w:hint="eastAsia" w:ascii="仿宋" w:hAnsi="仿宋" w:eastAsia="仿宋" w:cs="仿宋"/>
                <w:b/>
                <w:kern w:val="0"/>
                <w:sz w:val="24"/>
              </w:rPr>
            </w:pPr>
            <w:r>
              <w:rPr>
                <w:rFonts w:hint="eastAsia" w:ascii="仿宋" w:hAnsi="仿宋" w:eastAsia="仿宋" w:cs="仿宋"/>
                <w:b/>
                <w:kern w:val="0"/>
                <w:sz w:val="24"/>
              </w:rPr>
              <w:t>10分</w:t>
            </w:r>
          </w:p>
        </w:tc>
        <w:tc>
          <w:tcPr>
            <w:tcW w:w="1894" w:type="dxa"/>
            <w:noWrap w:val="0"/>
            <w:vAlign w:val="center"/>
          </w:tcPr>
          <w:p w14:paraId="7CE2FFCB">
            <w:pPr>
              <w:jc w:val="center"/>
              <w:rPr>
                <w:rFonts w:hint="eastAsia" w:ascii="仿宋" w:hAnsi="仿宋" w:eastAsia="仿宋" w:cs="仿宋"/>
                <w:b/>
                <w:kern w:val="0"/>
                <w:sz w:val="24"/>
              </w:rPr>
            </w:pPr>
            <w:r>
              <w:rPr>
                <w:rFonts w:hint="eastAsia" w:ascii="仿宋" w:hAnsi="仿宋" w:eastAsia="仿宋" w:cs="仿宋"/>
                <w:b/>
                <w:kern w:val="0"/>
                <w:sz w:val="24"/>
              </w:rPr>
              <w:t>100分</w:t>
            </w:r>
          </w:p>
        </w:tc>
      </w:tr>
    </w:tbl>
    <w:p w14:paraId="2318E08C">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b/>
          <w:bCs w:val="0"/>
          <w:color w:val="000000" w:themeColor="text1"/>
          <w:kern w:val="2"/>
          <w:sz w:val="24"/>
          <w:szCs w:val="24"/>
          <w:highlight w:val="white"/>
          <w:lang w:val="en-US" w:eastAsia="zh-CN" w:bidi="ar-SA"/>
          <w14:textFill>
            <w14:solidFill>
              <w14:schemeClr w14:val="tx1"/>
            </w14:solidFill>
          </w14:textFill>
        </w:rPr>
      </w:pPr>
    </w:p>
    <w:p w14:paraId="53D4D74A">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b/>
          <w:bCs w:val="0"/>
          <w:color w:val="000000" w:themeColor="text1"/>
          <w:kern w:val="2"/>
          <w:sz w:val="24"/>
          <w:szCs w:val="24"/>
          <w:highlight w:val="white"/>
          <w:lang w:val="en-US" w:eastAsia="zh-CN" w:bidi="ar-SA"/>
          <w14:textFill>
            <w14:solidFill>
              <w14:schemeClr w14:val="tx1"/>
            </w14:solidFill>
          </w14:textFill>
        </w:rPr>
      </w:pPr>
      <w:r>
        <w:rPr>
          <w:rFonts w:hint="eastAsia" w:ascii="宋体" w:hAnsi="宋体" w:eastAsia="宋体" w:cs="宋体"/>
          <w:b/>
          <w:bCs w:val="0"/>
          <w:color w:val="000000" w:themeColor="text1"/>
          <w:kern w:val="2"/>
          <w:sz w:val="24"/>
          <w:szCs w:val="24"/>
          <w:highlight w:val="white"/>
          <w:lang w:val="en-US" w:eastAsia="zh-CN" w:bidi="ar-SA"/>
          <w14:textFill>
            <w14:solidFill>
              <w14:schemeClr w14:val="tx1"/>
            </w14:solidFill>
          </w14:textFill>
        </w:rPr>
        <w:t xml:space="preserve">注： 1、计算过程中，算术平均值保留 2 位小数（百分比亦取 2 位小数），第三位小数四舍五入。 </w:t>
      </w:r>
    </w:p>
    <w:p w14:paraId="566C8BF5">
      <w:pPr>
        <w:keepNext w:val="0"/>
        <w:keepLines w:val="0"/>
        <w:widowControl/>
        <w:suppressLineNumbers w:val="0"/>
        <w:ind w:firstLine="482" w:firstLineChars="200"/>
        <w:jc w:val="left"/>
        <w:rPr>
          <w:rFonts w:hint="eastAsia" w:ascii="宋体" w:hAnsi="宋体" w:eastAsia="宋体" w:cs="宋体"/>
          <w:b/>
          <w:bCs w:val="0"/>
          <w:color w:val="000000" w:themeColor="text1"/>
          <w:kern w:val="2"/>
          <w:sz w:val="24"/>
          <w:szCs w:val="24"/>
          <w:highlight w:val="white"/>
          <w:lang w:val="en-US" w:eastAsia="zh-CN" w:bidi="ar-SA"/>
          <w14:textFill>
            <w14:solidFill>
              <w14:schemeClr w14:val="tx1"/>
            </w14:solidFill>
          </w14:textFill>
        </w:rPr>
      </w:pPr>
      <w:r>
        <w:rPr>
          <w:rFonts w:hint="eastAsia" w:ascii="宋体" w:hAnsi="宋体" w:eastAsia="宋体" w:cs="宋体"/>
          <w:b/>
          <w:bCs w:val="0"/>
          <w:color w:val="000000" w:themeColor="text1"/>
          <w:kern w:val="2"/>
          <w:sz w:val="24"/>
          <w:szCs w:val="24"/>
          <w:highlight w:val="white"/>
          <w:lang w:val="en-US" w:eastAsia="zh-CN" w:bidi="ar-SA"/>
          <w14:textFill>
            <w14:solidFill>
              <w14:schemeClr w14:val="tx1"/>
            </w14:solidFill>
          </w14:textFill>
        </w:rPr>
        <w:t>2、供应商的最终得分为：所有评委对其评分的算术平均值。</w:t>
      </w:r>
    </w:p>
    <w:p w14:paraId="798D9FF6">
      <w:pPr>
        <w:wordWrap w:val="0"/>
        <w:spacing w:line="500" w:lineRule="atLeast"/>
        <w:rPr>
          <w:rFonts w:ascii="宋体" w:hAnsi="宋体" w:cs="宋体"/>
          <w:color w:val="000000" w:themeColor="text1"/>
          <w:sz w:val="24"/>
          <w:szCs w:val="24"/>
          <w14:textFill>
            <w14:solidFill>
              <w14:schemeClr w14:val="tx1"/>
            </w14:solidFill>
          </w14:textFill>
        </w:rPr>
      </w:pPr>
    </w:p>
    <w:p w14:paraId="120B2D47">
      <w:pPr>
        <w:widowControl/>
        <w:wordWrap w:val="0"/>
        <w:adjustRightInd w:val="0"/>
        <w:snapToGrid w:val="0"/>
        <w:spacing w:line="500" w:lineRule="atLeast"/>
        <w:ind w:firstLine="482" w:firstLineChars="200"/>
        <w:rPr>
          <w:rFonts w:ascii="宋体" w:hAnsi="宋体" w:cs="宋体"/>
          <w:b/>
          <w:bCs/>
          <w:color w:val="000000" w:themeColor="text1"/>
          <w:sz w:val="24"/>
          <w:szCs w:val="24"/>
          <w14:textFill>
            <w14:solidFill>
              <w14:schemeClr w14:val="tx1"/>
            </w14:solidFill>
          </w14:textFill>
        </w:rPr>
      </w:pPr>
      <w:bookmarkStart w:id="112" w:name="EB229c4d45af864dea8dc66eeade4a4ff5"/>
      <w:bookmarkStart w:id="113" w:name="_Toc293739005"/>
      <w:bookmarkStart w:id="114" w:name="_Toc293736067"/>
      <w:bookmarkStart w:id="115" w:name="_Toc446599330"/>
      <w:bookmarkStart w:id="116" w:name="_Toc293736024"/>
      <w:r>
        <w:rPr>
          <w:rFonts w:hint="eastAsia" w:ascii="宋体" w:hAnsi="宋体" w:cs="宋体"/>
          <w:b/>
          <w:bCs/>
          <w:color w:val="000000" w:themeColor="text1"/>
          <w:sz w:val="24"/>
          <w:szCs w:val="24"/>
          <w:highlight w:val="white"/>
          <w14:textFill>
            <w14:solidFill>
              <w14:schemeClr w14:val="tx1"/>
            </w14:solidFill>
          </w14:textFill>
        </w:rPr>
        <w:t>三.推荐成交投标人</w:t>
      </w:r>
    </w:p>
    <w:p w14:paraId="467F2C7C">
      <w:pPr>
        <w:widowControl/>
        <w:wordWrap w:val="0"/>
        <w:adjustRightInd w:val="0"/>
        <w:snapToGrid w:val="0"/>
        <w:spacing w:line="500" w:lineRule="atLeast"/>
        <w:ind w:firstLine="480" w:firstLineChars="200"/>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highlight w:val="white"/>
          <w14:textFill>
            <w14:solidFill>
              <w14:schemeClr w14:val="tx1"/>
            </w14:solidFill>
          </w14:textFill>
        </w:rPr>
        <w:t>1.磋商小组应当根据综合评分情况，按照评审得分由高到低顺序推荐3名以上成交候选投标人，并编写评审报告。符合《政府采购竞争性磋商采购方式管理暂行办法》（财库[2014]214号）中第二十一条第三款情形的或符合《</w:t>
      </w:r>
      <w:r>
        <w:rPr>
          <w:rFonts w:hint="eastAsia" w:ascii="宋体" w:hAnsi="宋体" w:cs="宋体"/>
          <w:bCs/>
          <w:color w:val="000000" w:themeColor="text1"/>
          <w:sz w:val="24"/>
          <w:szCs w:val="24"/>
          <w14:textFill>
            <w14:solidFill>
              <w14:schemeClr w14:val="tx1"/>
            </w14:solidFill>
          </w14:textFill>
        </w:rPr>
        <w:t>财政部关于政府采购竞争性磋商采购方式管理暂行办法有关问题的补充通知</w:t>
      </w:r>
      <w:r>
        <w:rPr>
          <w:rFonts w:hint="eastAsia" w:ascii="宋体" w:hAnsi="宋体" w:cs="宋体"/>
          <w:bCs/>
          <w:color w:val="000000" w:themeColor="text1"/>
          <w:sz w:val="24"/>
          <w:szCs w:val="24"/>
          <w:highlight w:val="white"/>
          <w14:textFill>
            <w14:solidFill>
              <w14:schemeClr w14:val="tx1"/>
            </w14:solidFill>
          </w14:textFill>
        </w:rPr>
        <w:t>》（财库[2015]124号）的，可以推荐2家成交候选投标人。评审得分相同的，按照最后报价由低到高的顺序推荐。评审得分且最后报价相同的，按照技术指标优劣顺序推荐。</w:t>
      </w:r>
    </w:p>
    <w:p w14:paraId="7606E1A4">
      <w:pPr>
        <w:widowControl/>
        <w:wordWrap w:val="0"/>
        <w:adjustRightInd w:val="0"/>
        <w:snapToGrid w:val="0"/>
        <w:spacing w:line="500" w:lineRule="atLeast"/>
        <w:ind w:firstLine="480" w:firstLineChars="200"/>
        <w:rPr>
          <w:rFonts w:ascii="宋体" w:hAnsi="宋体" w:cs="宋体"/>
          <w:bCs/>
          <w:color w:val="000000" w:themeColor="text1"/>
          <w:sz w:val="24"/>
          <w:szCs w:val="24"/>
          <w:highlight w:val="white"/>
          <w14:textFill>
            <w14:solidFill>
              <w14:schemeClr w14:val="tx1"/>
            </w14:solidFill>
          </w14:textFill>
        </w:rPr>
      </w:pPr>
      <w:r>
        <w:rPr>
          <w:rFonts w:hint="eastAsia" w:ascii="宋体" w:hAnsi="宋体" w:cs="宋体"/>
          <w:bCs/>
          <w:color w:val="000000" w:themeColor="text1"/>
          <w:sz w:val="24"/>
          <w:szCs w:val="24"/>
          <w:highlight w:val="white"/>
          <w14:textFill>
            <w14:solidFill>
              <w14:schemeClr w14:val="tx1"/>
            </w14:solidFill>
          </w14:textFill>
        </w:rPr>
        <w:t>2.评分计算方法解释</w:t>
      </w:r>
    </w:p>
    <w:p w14:paraId="094C84AA">
      <w:pPr>
        <w:widowControl/>
        <w:wordWrap w:val="0"/>
        <w:adjustRightInd w:val="0"/>
        <w:snapToGrid w:val="0"/>
        <w:spacing w:line="500" w:lineRule="atLeast"/>
        <w:ind w:firstLine="480" w:firstLineChars="200"/>
        <w:rPr>
          <w:rFonts w:ascii="宋体" w:hAnsi="宋体" w:cs="宋体"/>
          <w:bCs/>
          <w:color w:val="000000" w:themeColor="text1"/>
          <w:sz w:val="24"/>
          <w:szCs w:val="24"/>
          <w:highlight w:val="white"/>
          <w14:textFill>
            <w14:solidFill>
              <w14:schemeClr w14:val="tx1"/>
            </w14:solidFill>
          </w14:textFill>
        </w:rPr>
      </w:pPr>
      <w:r>
        <w:rPr>
          <w:rFonts w:hint="eastAsia" w:ascii="宋体" w:hAnsi="宋体" w:cs="宋体"/>
          <w:bCs/>
          <w:color w:val="000000" w:themeColor="text1"/>
          <w:sz w:val="24"/>
          <w:szCs w:val="24"/>
          <w:highlight w:val="white"/>
          <w14:textFill>
            <w14:solidFill>
              <w14:schemeClr w14:val="tx1"/>
            </w14:solidFill>
          </w14:textFill>
        </w:rPr>
        <w:t>（1）投标人的评审得分是指所有磋商小组成员对其评分的算术平均值。</w:t>
      </w:r>
    </w:p>
    <w:p w14:paraId="715C263E">
      <w:pPr>
        <w:widowControl/>
        <w:wordWrap w:val="0"/>
        <w:adjustRightInd w:val="0"/>
        <w:snapToGrid w:val="0"/>
        <w:spacing w:line="500" w:lineRule="atLeast"/>
        <w:ind w:firstLine="480" w:firstLineChars="200"/>
        <w:rPr>
          <w:rFonts w:ascii="宋体" w:hAnsi="宋体" w:cs="宋体"/>
          <w:bCs/>
          <w:color w:val="000000" w:themeColor="text1"/>
          <w:sz w:val="24"/>
          <w:szCs w:val="24"/>
          <w:highlight w:val="white"/>
          <w14:textFill>
            <w14:solidFill>
              <w14:schemeClr w14:val="tx1"/>
            </w14:solidFill>
          </w14:textFill>
        </w:rPr>
      </w:pPr>
      <w:r>
        <w:rPr>
          <w:rFonts w:hint="eastAsia" w:ascii="宋体" w:hAnsi="宋体" w:cs="宋体"/>
          <w:bCs/>
          <w:color w:val="000000" w:themeColor="text1"/>
          <w:sz w:val="24"/>
          <w:szCs w:val="24"/>
          <w:highlight w:val="white"/>
          <w14:textFill>
            <w14:solidFill>
              <w14:schemeClr w14:val="tx1"/>
            </w14:solidFill>
          </w14:textFill>
        </w:rPr>
        <w:t>（2）计算过程中，算术平均值保留2位小数（百分比亦取2位小数），第三位小数四舍五入。</w:t>
      </w:r>
    </w:p>
    <w:p w14:paraId="54B52A1B">
      <w:pPr>
        <w:widowControl/>
        <w:wordWrap w:val="0"/>
        <w:adjustRightInd w:val="0"/>
        <w:snapToGrid w:val="0"/>
        <w:spacing w:line="500" w:lineRule="atLeast"/>
        <w:ind w:firstLine="482" w:firstLineChars="200"/>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highlight w:val="white"/>
          <w14:textFill>
            <w14:solidFill>
              <w14:schemeClr w14:val="tx1"/>
            </w14:solidFill>
          </w14:textFill>
        </w:rPr>
        <w:t>四.确定成交投标人</w:t>
      </w:r>
    </w:p>
    <w:p w14:paraId="4AA5EF2F">
      <w:pPr>
        <w:widowControl/>
        <w:wordWrap w:val="0"/>
        <w:adjustRightInd w:val="0"/>
        <w:snapToGrid w:val="0"/>
        <w:spacing w:line="500" w:lineRule="atLeast"/>
        <w:ind w:firstLine="480" w:firstLineChars="200"/>
        <w:rPr>
          <w:rFonts w:ascii="宋体" w:hAnsi="宋体" w:cs="宋体"/>
          <w:bCs/>
          <w:color w:val="000000" w:themeColor="text1"/>
          <w:sz w:val="24"/>
          <w:szCs w:val="24"/>
          <w:highlight w:val="white"/>
          <w14:textFill>
            <w14:solidFill>
              <w14:schemeClr w14:val="tx1"/>
            </w14:solidFill>
          </w14:textFill>
        </w:rPr>
      </w:pPr>
      <w:r>
        <w:rPr>
          <w:rFonts w:hint="eastAsia" w:ascii="宋体" w:hAnsi="宋体" w:cs="宋体"/>
          <w:bCs/>
          <w:color w:val="000000" w:themeColor="text1"/>
          <w:sz w:val="24"/>
          <w:szCs w:val="24"/>
          <w:highlight w:val="white"/>
          <w14:textFill>
            <w14:solidFill>
              <w14:schemeClr w14:val="tx1"/>
            </w14:solidFill>
          </w14:textFill>
        </w:rPr>
        <w:t>1.招标代理机构应当在评审结束后2个工作日内将评审报告送招标人确认。</w:t>
      </w:r>
    </w:p>
    <w:p w14:paraId="61682930">
      <w:pPr>
        <w:widowControl/>
        <w:wordWrap w:val="0"/>
        <w:adjustRightInd w:val="0"/>
        <w:snapToGrid w:val="0"/>
        <w:spacing w:line="500" w:lineRule="atLeast"/>
        <w:ind w:firstLine="480" w:firstLineChars="200"/>
        <w:rPr>
          <w:rFonts w:ascii="宋体" w:hAnsi="宋体" w:cs="宋体"/>
          <w:bCs/>
          <w:color w:val="000000" w:themeColor="text1"/>
          <w:sz w:val="24"/>
          <w:szCs w:val="24"/>
          <w:highlight w:val="white"/>
          <w14:textFill>
            <w14:solidFill>
              <w14:schemeClr w14:val="tx1"/>
            </w14:solidFill>
          </w14:textFill>
        </w:rPr>
      </w:pPr>
      <w:r>
        <w:rPr>
          <w:rFonts w:hint="eastAsia" w:ascii="宋体" w:hAnsi="宋体" w:cs="宋体"/>
          <w:bCs/>
          <w:color w:val="000000" w:themeColor="text1"/>
          <w:sz w:val="24"/>
          <w:szCs w:val="24"/>
          <w:highlight w:val="white"/>
          <w14:textFill>
            <w14:solidFill>
              <w14:schemeClr w14:val="tx1"/>
            </w14:solidFill>
          </w14:textFill>
        </w:rPr>
        <w:t>2.招标人应当在收到评审报告后5个工作日内，从评审报告提出的成交候选投标人中，按照排序由高到低的原则确定成交投标人，也可以书面授权磋商小组直接确定成交投标人。招标人逾期未确定成交投标人且不提出异议的，视为确定评审报告提出的排序第一的投标人为成交投标人。</w:t>
      </w:r>
    </w:p>
    <w:p w14:paraId="4AF11378">
      <w:pPr>
        <w:jc w:val="left"/>
      </w:pPr>
    </w:p>
    <w:bookmarkEnd w:id="112"/>
    <w:p w14:paraId="14F2FB12">
      <w:pPr>
        <w:pStyle w:val="3"/>
        <w:wordWrap w:val="0"/>
        <w:spacing w:before="0" w:after="0" w:line="500" w:lineRule="atLeast"/>
        <w:rPr>
          <w:rFonts w:ascii="宋体" w:hAnsi="宋体" w:cs="宋体"/>
          <w:b/>
          <w:bCs w:val="0"/>
          <w:color w:val="000000" w:themeColor="text1"/>
          <w:sz w:val="40"/>
          <w:szCs w:val="40"/>
          <w:highlight w:val="white"/>
          <w14:textFill>
            <w14:solidFill>
              <w14:schemeClr w14:val="tx1"/>
            </w14:solidFill>
          </w14:textFill>
        </w:rPr>
      </w:pPr>
      <w:bookmarkStart w:id="117" w:name="_Toc8050"/>
      <w:bookmarkStart w:id="118" w:name="_Toc534380787"/>
    </w:p>
    <w:p w14:paraId="680973E0">
      <w:pPr>
        <w:rPr>
          <w:rFonts w:ascii="宋体" w:hAnsi="宋体" w:cs="宋体"/>
          <w:b/>
          <w:bCs w:val="0"/>
          <w:color w:val="000000" w:themeColor="text1"/>
          <w:sz w:val="40"/>
          <w:szCs w:val="40"/>
          <w:highlight w:val="white"/>
          <w14:textFill>
            <w14:solidFill>
              <w14:schemeClr w14:val="tx1"/>
            </w14:solidFill>
          </w14:textFill>
        </w:rPr>
      </w:pPr>
    </w:p>
    <w:p w14:paraId="2DBAA71E">
      <w:pPr>
        <w:rPr>
          <w:rFonts w:ascii="宋体" w:hAnsi="宋体" w:cs="宋体"/>
          <w:b/>
          <w:bCs w:val="0"/>
          <w:color w:val="000000" w:themeColor="text1"/>
          <w:sz w:val="40"/>
          <w:szCs w:val="40"/>
          <w:highlight w:val="white"/>
          <w14:textFill>
            <w14:solidFill>
              <w14:schemeClr w14:val="tx1"/>
            </w14:solidFill>
          </w14:textFill>
        </w:rPr>
      </w:pPr>
    </w:p>
    <w:p w14:paraId="523957D6">
      <w:pPr>
        <w:rPr>
          <w:rFonts w:ascii="宋体" w:hAnsi="宋体" w:cs="宋体"/>
          <w:b/>
          <w:bCs w:val="0"/>
          <w:color w:val="000000" w:themeColor="text1"/>
          <w:sz w:val="40"/>
          <w:szCs w:val="40"/>
          <w:highlight w:val="white"/>
          <w14:textFill>
            <w14:solidFill>
              <w14:schemeClr w14:val="tx1"/>
            </w14:solidFill>
          </w14:textFill>
        </w:rPr>
      </w:pPr>
    </w:p>
    <w:p w14:paraId="2F3EDFF4">
      <w:pPr>
        <w:rPr>
          <w:rFonts w:ascii="宋体" w:hAnsi="宋体" w:cs="宋体"/>
          <w:b/>
          <w:bCs w:val="0"/>
          <w:color w:val="000000" w:themeColor="text1"/>
          <w:sz w:val="40"/>
          <w:szCs w:val="40"/>
          <w:highlight w:val="white"/>
          <w14:textFill>
            <w14:solidFill>
              <w14:schemeClr w14:val="tx1"/>
            </w14:solidFill>
          </w14:textFill>
        </w:rPr>
      </w:pPr>
    </w:p>
    <w:p w14:paraId="22248248">
      <w:pPr>
        <w:rPr>
          <w:rFonts w:ascii="宋体" w:hAnsi="宋体" w:cs="宋体"/>
          <w:b/>
          <w:bCs w:val="0"/>
          <w:color w:val="000000" w:themeColor="text1"/>
          <w:sz w:val="40"/>
          <w:szCs w:val="40"/>
          <w:highlight w:val="white"/>
          <w14:textFill>
            <w14:solidFill>
              <w14:schemeClr w14:val="tx1"/>
            </w14:solidFill>
          </w14:textFill>
        </w:rPr>
      </w:pPr>
    </w:p>
    <w:p w14:paraId="19A8140A">
      <w:pPr>
        <w:rPr>
          <w:rFonts w:ascii="宋体" w:hAnsi="宋体" w:cs="宋体"/>
          <w:b/>
          <w:bCs w:val="0"/>
          <w:color w:val="000000" w:themeColor="text1"/>
          <w:sz w:val="40"/>
          <w:szCs w:val="40"/>
          <w:highlight w:val="white"/>
          <w14:textFill>
            <w14:solidFill>
              <w14:schemeClr w14:val="tx1"/>
            </w14:solidFill>
          </w14:textFill>
        </w:rPr>
      </w:pPr>
    </w:p>
    <w:p w14:paraId="251801F4">
      <w:pPr>
        <w:rPr>
          <w:rFonts w:ascii="宋体" w:hAnsi="宋体" w:cs="宋体"/>
          <w:b/>
          <w:bCs w:val="0"/>
          <w:color w:val="000000" w:themeColor="text1"/>
          <w:sz w:val="40"/>
          <w:szCs w:val="40"/>
          <w:highlight w:val="white"/>
          <w14:textFill>
            <w14:solidFill>
              <w14:schemeClr w14:val="tx1"/>
            </w14:solidFill>
          </w14:textFill>
        </w:rPr>
      </w:pPr>
    </w:p>
    <w:p w14:paraId="7CE9E77F">
      <w:pPr>
        <w:rPr>
          <w:rFonts w:ascii="宋体" w:hAnsi="宋体" w:cs="宋体"/>
          <w:b/>
          <w:bCs w:val="0"/>
          <w:color w:val="000000" w:themeColor="text1"/>
          <w:sz w:val="40"/>
          <w:szCs w:val="40"/>
          <w:highlight w:val="white"/>
          <w14:textFill>
            <w14:solidFill>
              <w14:schemeClr w14:val="tx1"/>
            </w14:solidFill>
          </w14:textFill>
        </w:rPr>
      </w:pPr>
    </w:p>
    <w:bookmarkEnd w:id="113"/>
    <w:bookmarkEnd w:id="114"/>
    <w:bookmarkEnd w:id="115"/>
    <w:bookmarkEnd w:id="116"/>
    <w:bookmarkEnd w:id="117"/>
    <w:bookmarkEnd w:id="118"/>
    <w:p w14:paraId="7D50B6F7">
      <w:pPr>
        <w:rPr>
          <w:rFonts w:hint="eastAsia" w:ascii="宋体" w:hAnsi="宋体" w:cs="宋体"/>
          <w:b/>
          <w:bCs w:val="0"/>
          <w:color w:val="000000" w:themeColor="text1"/>
          <w:sz w:val="40"/>
          <w:szCs w:val="40"/>
          <w:highlight w:val="white"/>
          <w14:textFill>
            <w14:solidFill>
              <w14:schemeClr w14:val="tx1"/>
            </w14:solidFill>
          </w14:textFill>
        </w:rPr>
      </w:pPr>
      <w:bookmarkStart w:id="119" w:name="EBe1f6dcc1acc64e30b7a34d7cfa3bf34d"/>
    </w:p>
    <w:p w14:paraId="7B75FA88">
      <w:pPr>
        <w:pStyle w:val="3"/>
        <w:wordWrap w:val="0"/>
        <w:spacing w:before="0" w:after="0" w:line="500" w:lineRule="atLeast"/>
        <w:jc w:val="center"/>
        <w:rPr>
          <w:rFonts w:ascii="宋体" w:hAnsi="宋体" w:eastAsia="宋体" w:cs="宋体"/>
          <w:b/>
          <w:color w:val="000000" w:themeColor="text1"/>
          <w:sz w:val="28"/>
          <w:szCs w:val="28"/>
          <w14:textFill>
            <w14:solidFill>
              <w14:schemeClr w14:val="tx1"/>
            </w14:solidFill>
          </w14:textFill>
        </w:rPr>
      </w:pPr>
      <w:r>
        <w:rPr>
          <w:rFonts w:hint="eastAsia" w:ascii="宋体" w:hAnsi="宋体" w:cs="宋体"/>
          <w:b/>
          <w:bCs w:val="0"/>
          <w:color w:val="000000" w:themeColor="text1"/>
          <w:sz w:val="40"/>
          <w:szCs w:val="40"/>
          <w:highlight w:val="white"/>
          <w14:textFill>
            <w14:solidFill>
              <w14:schemeClr w14:val="tx1"/>
            </w14:solidFill>
          </w14:textFill>
        </w:rPr>
        <w:t>第五章 合同格式及合同条款</w:t>
      </w:r>
    </w:p>
    <w:p w14:paraId="5E1435B6">
      <w:pPr>
        <w:pStyle w:val="169"/>
        <w:keepNext w:val="0"/>
        <w:keepLines w:val="0"/>
        <w:pageBreakBefore w:val="0"/>
        <w:widowControl w:val="0"/>
        <w:kinsoku/>
        <w:wordWrap w:val="0"/>
        <w:overflowPunct/>
        <w:topLinePunct w:val="0"/>
        <w:autoSpaceDE/>
        <w:autoSpaceDN/>
        <w:bidi w:val="0"/>
        <w:adjustRightInd/>
        <w:snapToGrid/>
        <w:spacing w:line="360" w:lineRule="auto"/>
        <w:ind w:firstLine="2160" w:firstLineChars="900"/>
        <w:textAlignment w:val="auto"/>
        <w:rPr>
          <w:rFonts w:hint="eastAsia" w:ascii="宋体" w:hAnsi="宋体" w:eastAsia="宋体" w:cs="宋体"/>
          <w:bCs/>
          <w:color w:val="000000" w:themeColor="text1"/>
          <w:sz w:val="24"/>
          <w:szCs w:val="24"/>
          <w:lang w:eastAsia="zh-CN"/>
          <w14:textFill>
            <w14:solidFill>
              <w14:schemeClr w14:val="tx1"/>
            </w14:solidFill>
          </w14:textFill>
        </w:rPr>
      </w:pPr>
    </w:p>
    <w:p w14:paraId="7BB4A22B">
      <w:pPr>
        <w:pStyle w:val="169"/>
        <w:keepNext w:val="0"/>
        <w:keepLines w:val="0"/>
        <w:pageBreakBefore w:val="0"/>
        <w:widowControl w:val="0"/>
        <w:kinsoku/>
        <w:wordWrap w:val="0"/>
        <w:overflowPunct/>
        <w:topLinePunct w:val="0"/>
        <w:autoSpaceDE/>
        <w:autoSpaceDN/>
        <w:bidi w:val="0"/>
        <w:adjustRightInd/>
        <w:snapToGrid/>
        <w:spacing w:line="360" w:lineRule="auto"/>
        <w:jc w:val="center"/>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32"/>
          <w:szCs w:val="32"/>
          <w:lang w:eastAsia="zh-CN"/>
          <w14:textFill>
            <w14:solidFill>
              <w14:schemeClr w14:val="tx1"/>
            </w14:solidFill>
          </w14:textFill>
        </w:rPr>
        <w:t>2025年体育健身达标活动项目合同书</w:t>
      </w:r>
    </w:p>
    <w:p w14:paraId="251D0AC5">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p>
    <w:p w14:paraId="46479E9A">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委托方（甲方）：</w:t>
      </w:r>
    </w:p>
    <w:p w14:paraId="7301A0C9">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统一社会信用代码：</w:t>
      </w:r>
    </w:p>
    <w:p w14:paraId="1494A95B">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住所地：</w:t>
      </w:r>
    </w:p>
    <w:p w14:paraId="020D5273">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法定代表人：</w:t>
      </w:r>
    </w:p>
    <w:p w14:paraId="160F9EC7">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项目负责人：</w:t>
      </w:r>
    </w:p>
    <w:p w14:paraId="5F26D3AB">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项目联系方式：</w:t>
      </w:r>
    </w:p>
    <w:p w14:paraId="466C0EEB">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联系地址：</w:t>
      </w:r>
    </w:p>
    <w:p w14:paraId="046A118E">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p>
    <w:p w14:paraId="6DF12947">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受托方（乙方）：</w:t>
      </w:r>
    </w:p>
    <w:p w14:paraId="23376366">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统一社会信用代码：</w:t>
      </w:r>
    </w:p>
    <w:p w14:paraId="361D4444">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住所地：</w:t>
      </w:r>
    </w:p>
    <w:p w14:paraId="6FA393C6">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法定代表人：</w:t>
      </w:r>
    </w:p>
    <w:p w14:paraId="13D200A6">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项目负责人：</w:t>
      </w:r>
    </w:p>
    <w:p w14:paraId="0E11A3DF">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项目联系方式：</w:t>
      </w:r>
    </w:p>
    <w:p w14:paraId="74B9A180">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联系地址：</w:t>
      </w:r>
    </w:p>
    <w:p w14:paraId="2A9EA0C2">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sectPr>
          <w:pgSz w:w="11906" w:h="16838"/>
          <w:pgMar w:top="1440" w:right="1800" w:bottom="1440" w:left="1800" w:header="851" w:footer="992" w:gutter="0"/>
          <w:cols w:space="425" w:num="1"/>
          <w:docGrid w:type="lines" w:linePitch="312" w:charSpace="0"/>
        </w:sectPr>
      </w:pPr>
    </w:p>
    <w:p w14:paraId="207E1DD4">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甲乙双方参照《中华人民共和国民法典》《国务院办公厅关于政府向社会力量购买服务的指导意见》（国办发〔2013〕96号）、《关于政府向社会力量购买服务的实施意见》（新政办发〔2014〕133号）、《政府向社会力量购买全民健身公共服务暂行办法》（新体群字〔2017〕28号）文件规定，为保证服务质量，明确双方权利与义务，甲乙双方在平等、自愿、协商一致的基础上，就有关事宜达成如下合同：</w:t>
      </w:r>
    </w:p>
    <w:p w14:paraId="5D74D20F">
      <w:pPr>
        <w:pStyle w:val="169"/>
        <w:keepNext w:val="0"/>
        <w:keepLines w:val="0"/>
        <w:pageBreakBefore w:val="0"/>
        <w:widowControl w:val="0"/>
        <w:kinsoku/>
        <w:wordWrap w:val="0"/>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val="0"/>
          <w:color w:val="000000" w:themeColor="text1"/>
          <w:sz w:val="24"/>
          <w:szCs w:val="24"/>
          <w:lang w:eastAsia="zh-CN"/>
          <w14:textFill>
            <w14:solidFill>
              <w14:schemeClr w14:val="tx1"/>
            </w14:solidFill>
          </w14:textFill>
        </w:rPr>
      </w:pPr>
      <w:r>
        <w:rPr>
          <w:rFonts w:hint="eastAsia" w:ascii="宋体" w:hAnsi="宋体" w:eastAsia="宋体" w:cs="宋体"/>
          <w:b/>
          <w:bCs w:val="0"/>
          <w:color w:val="000000" w:themeColor="text1"/>
          <w:sz w:val="24"/>
          <w:szCs w:val="24"/>
          <w:lang w:eastAsia="zh-CN"/>
          <w14:textFill>
            <w14:solidFill>
              <w14:schemeClr w14:val="tx1"/>
            </w14:solidFill>
          </w14:textFill>
        </w:rPr>
        <w:t>第一条 服务项目内容</w:t>
      </w:r>
    </w:p>
    <w:p w14:paraId="23807D52">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u w:val="single"/>
          <w:lang w:eastAsia="zh-CN"/>
          <w14:textFill>
            <w14:solidFill>
              <w14:schemeClr w14:val="tx1"/>
            </w14:solidFill>
          </w14:textFill>
        </w:rPr>
        <w:t>哈密市文化体育广播电视和旅游局</w:t>
      </w:r>
      <w:r>
        <w:rPr>
          <w:rFonts w:hint="eastAsia" w:ascii="宋体" w:hAnsi="宋体" w:eastAsia="宋体" w:cs="宋体"/>
          <w:bCs/>
          <w:color w:val="000000" w:themeColor="text1"/>
          <w:sz w:val="24"/>
          <w:szCs w:val="24"/>
          <w:lang w:eastAsia="zh-CN"/>
          <w14:textFill>
            <w14:solidFill>
              <w14:schemeClr w14:val="tx1"/>
            </w14:solidFill>
          </w14:textFill>
        </w:rPr>
        <w:t>委托</w:t>
      </w:r>
      <w:r>
        <w:rPr>
          <w:rFonts w:hint="eastAsia" w:ascii="宋体" w:hAnsi="宋体" w:eastAsia="宋体" w:cs="宋体"/>
          <w:bCs/>
          <w:color w:val="000000" w:themeColor="text1"/>
          <w:sz w:val="24"/>
          <w:szCs w:val="24"/>
          <w:u w:val="single"/>
          <w:lang w:val="en-US" w:eastAsia="zh-CN"/>
          <w14:textFill>
            <w14:solidFill>
              <w14:schemeClr w14:val="tx1"/>
            </w14:solidFill>
          </w14:textFill>
        </w:rPr>
        <w:t>XXXXXX</w:t>
      </w:r>
      <w:r>
        <w:rPr>
          <w:rFonts w:hint="eastAsia" w:ascii="宋体" w:hAnsi="宋体" w:eastAsia="宋体" w:cs="宋体"/>
          <w:bCs/>
          <w:color w:val="000000" w:themeColor="text1"/>
          <w:sz w:val="24"/>
          <w:szCs w:val="24"/>
          <w:lang w:eastAsia="zh-CN"/>
          <w14:textFill>
            <w14:solidFill>
              <w14:schemeClr w14:val="tx1"/>
            </w14:solidFill>
          </w14:textFill>
        </w:rPr>
        <w:t>开展</w:t>
      </w:r>
      <w:r>
        <w:rPr>
          <w:rFonts w:hint="eastAsia" w:ascii="宋体" w:hAnsi="宋体" w:eastAsia="宋体" w:cs="宋体"/>
          <w:bCs/>
          <w:color w:val="000000" w:themeColor="text1"/>
          <w:sz w:val="24"/>
          <w:szCs w:val="24"/>
          <w:u w:val="single"/>
          <w:lang w:val="en-US" w:eastAsia="zh-CN"/>
          <w14:textFill>
            <w14:solidFill>
              <w14:schemeClr w14:val="tx1"/>
            </w14:solidFill>
          </w14:textFill>
        </w:rPr>
        <w:t>XXXXXXXXXXX</w:t>
      </w:r>
      <w:r>
        <w:rPr>
          <w:rFonts w:hint="eastAsia" w:ascii="宋体" w:hAnsi="宋体" w:cs="宋体"/>
          <w:bCs/>
          <w:color w:val="000000" w:themeColor="text1"/>
          <w:sz w:val="24"/>
          <w:szCs w:val="24"/>
          <w:lang w:val="en-US" w:eastAsia="zh-CN"/>
          <w14:textFill>
            <w14:solidFill>
              <w14:schemeClr w14:val="tx1"/>
            </w14:solidFill>
          </w14:textFill>
        </w:rPr>
        <w:t>项目</w:t>
      </w:r>
      <w:r>
        <w:rPr>
          <w:rFonts w:hint="eastAsia" w:ascii="宋体" w:hAnsi="宋体" w:eastAsia="宋体" w:cs="宋体"/>
          <w:bCs/>
          <w:color w:val="000000" w:themeColor="text1"/>
          <w:sz w:val="24"/>
          <w:szCs w:val="24"/>
          <w:lang w:eastAsia="zh-CN"/>
          <w14:textFill>
            <w14:solidFill>
              <w14:schemeClr w14:val="tx1"/>
            </w14:solidFill>
          </w14:textFill>
        </w:rPr>
        <w:t>。</w:t>
      </w:r>
    </w:p>
    <w:p w14:paraId="2689CCB2">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服务期限：</w:t>
      </w:r>
      <w:r>
        <w:rPr>
          <w:rFonts w:hint="eastAsia" w:ascii="宋体" w:hAnsi="宋体" w:eastAsia="宋体" w:cs="宋体"/>
          <w:bCs/>
          <w:color w:val="000000" w:themeColor="text1"/>
          <w:sz w:val="24"/>
          <w:szCs w:val="24"/>
          <w:u w:val="single"/>
          <w:lang w:eastAsia="zh-CN"/>
          <w14:textFill>
            <w14:solidFill>
              <w14:schemeClr w14:val="tx1"/>
            </w14:solidFill>
          </w14:textFill>
        </w:rPr>
        <w:t>自合同签订之日起至2025年12月31日</w:t>
      </w:r>
      <w:r>
        <w:rPr>
          <w:rFonts w:hint="eastAsia" w:ascii="宋体" w:hAnsi="宋体" w:eastAsia="宋体" w:cs="宋体"/>
          <w:bCs/>
          <w:color w:val="000000" w:themeColor="text1"/>
          <w:sz w:val="24"/>
          <w:szCs w:val="24"/>
          <w:lang w:eastAsia="zh-CN"/>
          <w14:textFill>
            <w14:solidFill>
              <w14:schemeClr w14:val="tx1"/>
            </w14:solidFill>
          </w14:textFill>
        </w:rPr>
        <w:t>（具体时间由双方合同确认），在本协议有效期内，甲方有权根据甲方及甲方上级单位经营需要和要求，提前终止合同，但应当提前十个工作日书面通知乙方，不视为甲方违约。甲方应当依据合同约定的标准，向乙方结清合同终止前的价款，除此之外乙方不再要求甲方承担其他责任，亦不要求甲方支付其他情形的赔偿或补偿；</w:t>
      </w:r>
    </w:p>
    <w:p w14:paraId="7F540D8B">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default" w:ascii="宋体" w:hAnsi="宋体" w:eastAsia="宋体" w:cs="宋体"/>
          <w:bCs/>
          <w:color w:val="000000" w:themeColor="text1"/>
          <w:sz w:val="24"/>
          <w:szCs w:val="24"/>
          <w:u w:val="none"/>
          <w:lang w:val="en-US"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服务内容：</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cs="宋体"/>
          <w:bCs/>
          <w:color w:val="000000" w:themeColor="text1"/>
          <w:sz w:val="24"/>
          <w:szCs w:val="24"/>
          <w:u w:val="none"/>
          <w:lang w:val="en-US" w:eastAsia="zh-CN"/>
          <w14:textFill>
            <w14:solidFill>
              <w14:schemeClr w14:val="tx1"/>
            </w14:solidFill>
          </w14:textFill>
        </w:rPr>
        <w:t xml:space="preserve"> </w:t>
      </w:r>
    </w:p>
    <w:p w14:paraId="3AE7FC2F">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服务方式：</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val="en-US" w:eastAsia="zh-CN"/>
          <w14:textFill>
            <w14:solidFill>
              <w14:schemeClr w14:val="tx1"/>
            </w14:solidFill>
          </w14:textFill>
        </w:rPr>
        <w:t xml:space="preserve">     </w:t>
      </w:r>
    </w:p>
    <w:p w14:paraId="5C81FE75">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服务地点：</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val="en-US" w:eastAsia="zh-CN"/>
          <w14:textFill>
            <w14:solidFill>
              <w14:schemeClr w14:val="tx1"/>
            </w14:solidFill>
          </w14:textFill>
        </w:rPr>
        <w:t xml:space="preserve">       </w:t>
      </w:r>
    </w:p>
    <w:p w14:paraId="793CD05C">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default" w:ascii="宋体" w:hAnsi="宋体" w:eastAsia="宋体" w:cs="宋体"/>
          <w:bCs/>
          <w:color w:val="000000" w:themeColor="text1"/>
          <w:sz w:val="24"/>
          <w:szCs w:val="24"/>
          <w:u w:val="single"/>
          <w:lang w:val="en-US"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服务质量要求：</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p>
    <w:p w14:paraId="087D949B">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第二条 甲方的权利和义务</w:t>
      </w:r>
    </w:p>
    <w:p w14:paraId="16CD7A87">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（一）甲方的权利</w:t>
      </w:r>
    </w:p>
    <w:p w14:paraId="581293DA">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1.甲方有权随时向乙方了解项目进度，并</w:t>
      </w:r>
      <w:r>
        <w:rPr>
          <w:rFonts w:hint="eastAsia" w:ascii="宋体" w:hAnsi="宋体" w:eastAsia="宋体" w:cs="宋体"/>
          <w:bCs/>
          <w:color w:val="000000" w:themeColor="text1"/>
          <w:sz w:val="24"/>
          <w:szCs w:val="24"/>
          <w:lang w:val="en-US" w:eastAsia="zh-CN"/>
          <w14:textFill>
            <w14:solidFill>
              <w14:schemeClr w14:val="tx1"/>
            </w14:solidFill>
          </w14:textFill>
        </w:rPr>
        <w:t>有权</w:t>
      </w:r>
      <w:r>
        <w:rPr>
          <w:rFonts w:hint="eastAsia" w:ascii="宋体" w:hAnsi="宋体" w:eastAsia="宋体" w:cs="宋体"/>
          <w:bCs/>
          <w:color w:val="000000" w:themeColor="text1"/>
          <w:sz w:val="24"/>
          <w:szCs w:val="24"/>
          <w:lang w:eastAsia="zh-CN"/>
          <w14:textFill>
            <w14:solidFill>
              <w14:schemeClr w14:val="tx1"/>
            </w14:solidFill>
          </w14:textFill>
        </w:rPr>
        <w:t>要求乙方提供项目相关资料，</w:t>
      </w:r>
      <w:r>
        <w:rPr>
          <w:rFonts w:hint="eastAsia" w:ascii="宋体" w:hAnsi="宋体" w:eastAsia="宋体" w:cs="宋体"/>
          <w:bCs/>
          <w:color w:val="000000" w:themeColor="text1"/>
          <w:sz w:val="24"/>
          <w:szCs w:val="24"/>
          <w:lang w:val="en-US" w:eastAsia="zh-CN"/>
          <w14:textFill>
            <w14:solidFill>
              <w14:schemeClr w14:val="tx1"/>
            </w14:solidFill>
          </w14:textFill>
        </w:rPr>
        <w:t>以及</w:t>
      </w:r>
      <w:r>
        <w:rPr>
          <w:rFonts w:hint="eastAsia" w:ascii="宋体" w:hAnsi="宋体" w:eastAsia="宋体" w:cs="宋体"/>
          <w:bCs/>
          <w:color w:val="000000" w:themeColor="text1"/>
          <w:sz w:val="24"/>
          <w:szCs w:val="24"/>
          <w:lang w:eastAsia="zh-CN"/>
          <w14:textFill>
            <w14:solidFill>
              <w14:schemeClr w14:val="tx1"/>
            </w14:solidFill>
          </w14:textFill>
        </w:rPr>
        <w:t>按照本合同约定提交技术服务成果。</w:t>
      </w:r>
    </w:p>
    <w:p w14:paraId="69C0CA05">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2.甲方有权对乙方的服务、项目资金使用情况进行监督、检查，并要求乙方提供相关资料。</w:t>
      </w:r>
    </w:p>
    <w:p w14:paraId="527FA714">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3.甲方有权按照本合同约定或有关法律法规、政府管理的相关职能规定，对本项目进行监督和检查，有权要求乙方按照监督检查情况制定相应措施并加以整改。甲方不因行使该监督和检查权而承担任何责任，也不因此减轻或免除乙方根据本合同约定或相关法律法规规定应承担的任何义务或责任。</w:t>
      </w:r>
    </w:p>
    <w:p w14:paraId="767B6C80">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4.甲方有权在乙方履行合同过程中出现损害或可能损害公共利益、公共安全情形时终止本合同。</w:t>
      </w:r>
    </w:p>
    <w:p w14:paraId="093A4361">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5.甲方有权根据国家政策或法律法规的变动对服务项目的需求标准和质量要求做出相应变动或者取消项目。</w:t>
      </w:r>
    </w:p>
    <w:p w14:paraId="4EECFE4D">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6.甲方有权将乙方履行合同情况及不符合政府购买服务管理规定情况，向相关部门报告并纳入不良信用记录、年检（报告）、评估、执法等监管体系中。</w:t>
      </w:r>
    </w:p>
    <w:p w14:paraId="0810D916">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7.</w:t>
      </w:r>
      <w:r>
        <w:rPr>
          <w:rFonts w:hint="eastAsia" w:ascii="宋体" w:hAnsi="宋体" w:eastAsia="宋体" w:cs="宋体"/>
          <w:bCs/>
          <w:color w:val="000000" w:themeColor="text1"/>
          <w:sz w:val="24"/>
          <w:szCs w:val="24"/>
          <w:lang w:eastAsia="zh-CN"/>
          <w14:textFill>
            <w14:solidFill>
              <w14:schemeClr w14:val="tx1"/>
            </w14:solidFill>
          </w14:textFill>
        </w:rPr>
        <w:t>甲方有权要求乙方提供相关的技术资料和必要的技术指导。</w:t>
      </w:r>
    </w:p>
    <w:p w14:paraId="45F4283E">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p>
    <w:p w14:paraId="42DC4251">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（二）甲方的义务</w:t>
      </w:r>
    </w:p>
    <w:p w14:paraId="4B317FCB">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1.甲方负责确认《202</w:t>
      </w:r>
      <w:r>
        <w:rPr>
          <w:rFonts w:hint="eastAsia" w:ascii="宋体" w:hAnsi="宋体" w:eastAsia="宋体" w:cs="宋体"/>
          <w:bCs/>
          <w:color w:val="000000" w:themeColor="text1"/>
          <w:sz w:val="24"/>
          <w:szCs w:val="24"/>
          <w:lang w:val="en-US" w:eastAsia="zh-CN"/>
          <w14:textFill>
            <w14:solidFill>
              <w14:schemeClr w14:val="tx1"/>
            </w14:solidFill>
          </w14:textFill>
        </w:rPr>
        <w:t>5</w:t>
      </w:r>
      <w:r>
        <w:rPr>
          <w:rFonts w:hint="eastAsia" w:ascii="宋体" w:hAnsi="宋体" w:eastAsia="宋体" w:cs="宋体"/>
          <w:bCs/>
          <w:color w:val="000000" w:themeColor="text1"/>
          <w:sz w:val="24"/>
          <w:szCs w:val="24"/>
          <w:lang w:eastAsia="zh-CN"/>
          <w14:textFill>
            <w14:solidFill>
              <w14:schemeClr w14:val="tx1"/>
            </w14:solidFill>
          </w14:textFill>
        </w:rPr>
        <w:t>年</w:t>
      </w:r>
      <w:r>
        <w:rPr>
          <w:rFonts w:hint="eastAsia" w:ascii="宋体" w:hAnsi="宋体" w:eastAsia="宋体" w:cs="宋体"/>
          <w:bCs/>
          <w:color w:val="000000" w:themeColor="text1"/>
          <w:sz w:val="24"/>
          <w:szCs w:val="24"/>
          <w:lang w:val="en-US" w:eastAsia="zh-CN"/>
          <w14:textFill>
            <w14:solidFill>
              <w14:schemeClr w14:val="tx1"/>
            </w14:solidFill>
          </w14:textFill>
        </w:rPr>
        <w:t>XXXXXXXXXXXX</w:t>
      </w:r>
      <w:r>
        <w:rPr>
          <w:rFonts w:hint="eastAsia" w:ascii="宋体" w:hAnsi="宋体" w:eastAsia="宋体" w:cs="宋体"/>
          <w:bCs/>
          <w:color w:val="000000" w:themeColor="text1"/>
          <w:sz w:val="24"/>
          <w:szCs w:val="24"/>
          <w:lang w:eastAsia="zh-CN"/>
          <w14:textFill>
            <w14:solidFill>
              <w14:schemeClr w14:val="tx1"/>
            </w14:solidFill>
          </w14:textFill>
        </w:rPr>
        <w:t>项目实施方案》。</w:t>
      </w:r>
    </w:p>
    <w:p w14:paraId="4CC7211E">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2.甲方应根据实际需要和本合同规定，积极帮助乙方做好国民体质监测工作中涉及场地和人员的协调工作。</w:t>
      </w:r>
    </w:p>
    <w:p w14:paraId="04E64635">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3.甲方应监督乙方严格履行本合同约定的义务，乙方将监测工作完成并提交报告审议稿，甲方验收无异议后，</w:t>
      </w:r>
      <w:r>
        <w:rPr>
          <w:rFonts w:hint="eastAsia" w:ascii="宋体" w:hAnsi="宋体" w:eastAsia="宋体" w:cs="宋体"/>
          <w:bCs/>
          <w:color w:val="000000" w:themeColor="text1"/>
          <w:sz w:val="24"/>
          <w:szCs w:val="24"/>
          <w:lang w:val="en-US" w:eastAsia="zh-CN"/>
          <w14:textFill>
            <w14:solidFill>
              <w14:schemeClr w14:val="tx1"/>
            </w14:solidFill>
          </w14:textFill>
        </w:rPr>
        <w:t>乙方提供加盖公章的正式版监测报告3份，甲方</w:t>
      </w:r>
      <w:r>
        <w:rPr>
          <w:rFonts w:hint="eastAsia" w:ascii="宋体" w:hAnsi="宋体" w:eastAsia="宋体" w:cs="宋体"/>
          <w:bCs/>
          <w:color w:val="000000" w:themeColor="text1"/>
          <w:sz w:val="24"/>
          <w:szCs w:val="24"/>
          <w:lang w:eastAsia="zh-CN"/>
          <w14:textFill>
            <w14:solidFill>
              <w14:schemeClr w14:val="tx1"/>
            </w14:solidFill>
          </w14:textFill>
        </w:rPr>
        <w:t>在</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年</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月</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日前分</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次支付乙方服务费，</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次支付比例为服务费总额的</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w:t>
      </w:r>
    </w:p>
    <w:p w14:paraId="49B84E9E">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4.甲方应及时向乙方提供监测所需场地及配套设备。</w:t>
      </w:r>
    </w:p>
    <w:p w14:paraId="6195183C">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5.甲方提供室内不低于</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平方米的监测场地，组织受监测人员参加监测。</w:t>
      </w:r>
    </w:p>
    <w:p w14:paraId="0967641B">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6.甲方在监测期间</w:t>
      </w:r>
      <w:r>
        <w:rPr>
          <w:rFonts w:hint="eastAsia" w:ascii="宋体" w:hAnsi="宋体" w:eastAsia="宋体" w:cs="宋体"/>
          <w:bCs/>
          <w:color w:val="000000" w:themeColor="text1"/>
          <w:sz w:val="24"/>
          <w:szCs w:val="24"/>
          <w:lang w:val="en-US" w:eastAsia="zh-CN"/>
          <w14:textFill>
            <w14:solidFill>
              <w14:schemeClr w14:val="tx1"/>
            </w14:solidFill>
          </w14:textFill>
        </w:rPr>
        <w:t>指派</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名医务人员，及时处理受试者在监测过程中突发的生理性反应，医务人员费用由乙方承担。</w:t>
      </w:r>
    </w:p>
    <w:p w14:paraId="770D4FC2">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第三条 乙方的权利和义务</w:t>
      </w:r>
    </w:p>
    <w:p w14:paraId="2DF1DC0A">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（一）乙方的权利</w:t>
      </w:r>
    </w:p>
    <w:p w14:paraId="702040BB">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1.乙方有权按照本合同约定向甲方收取服务费用。</w:t>
      </w:r>
    </w:p>
    <w:p w14:paraId="5FEC0BBB">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2.乙方有权向甲方处获得监测所需场地及配套设备。</w:t>
      </w:r>
    </w:p>
    <w:p w14:paraId="6DADDD99">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（二）乙方的义务</w:t>
      </w:r>
    </w:p>
    <w:p w14:paraId="28EED9D6">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1.乙方制定安全预案，并予以落实。</w:t>
      </w:r>
    </w:p>
    <w:p w14:paraId="4AFF7258">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乙方在服务项目期间须满足以下服务要求：</w:t>
      </w:r>
    </w:p>
    <w:p w14:paraId="7E812307">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cs="宋体"/>
          <w:bCs/>
          <w:color w:val="000000" w:themeColor="text1"/>
          <w:sz w:val="24"/>
          <w:szCs w:val="24"/>
          <w:lang w:eastAsia="zh-CN"/>
          <w14:textFill>
            <w14:solidFill>
              <w14:schemeClr w14:val="tx1"/>
            </w14:solidFill>
          </w14:textFill>
        </w:rPr>
        <w:t>（</w:t>
      </w:r>
      <w:r>
        <w:rPr>
          <w:rFonts w:hint="eastAsia" w:ascii="宋体" w:hAnsi="宋体" w:cs="宋体"/>
          <w:bCs/>
          <w:color w:val="000000" w:themeColor="text1"/>
          <w:sz w:val="24"/>
          <w:szCs w:val="24"/>
          <w:lang w:val="en-US" w:eastAsia="zh-CN"/>
          <w14:textFill>
            <w14:solidFill>
              <w14:schemeClr w14:val="tx1"/>
            </w14:solidFill>
          </w14:textFill>
        </w:rPr>
        <w:t>1</w:t>
      </w:r>
      <w:r>
        <w:rPr>
          <w:rFonts w:hint="eastAsia" w:ascii="宋体" w:hAnsi="宋体" w:cs="宋体"/>
          <w:bCs/>
          <w:color w:val="000000" w:themeColor="text1"/>
          <w:sz w:val="24"/>
          <w:szCs w:val="24"/>
          <w:lang w:eastAsia="zh-CN"/>
          <w14:textFill>
            <w14:solidFill>
              <w14:schemeClr w14:val="tx1"/>
            </w14:solidFill>
          </w14:textFill>
        </w:rPr>
        <w:t>）</w:t>
      </w:r>
      <w:r>
        <w:rPr>
          <w:rFonts w:hint="eastAsia" w:ascii="宋体" w:hAnsi="宋体" w:eastAsia="宋体" w:cs="宋体"/>
          <w:bCs/>
          <w:color w:val="000000" w:themeColor="text1"/>
          <w:sz w:val="24"/>
          <w:szCs w:val="24"/>
          <w:lang w:eastAsia="zh-CN"/>
          <w14:textFill>
            <w14:solidFill>
              <w14:schemeClr w14:val="tx1"/>
            </w14:solidFill>
          </w14:textFill>
        </w:rPr>
        <w:t>按照</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有关内容，</w:t>
      </w:r>
      <w:r>
        <w:rPr>
          <w:rFonts w:hint="eastAsia" w:ascii="宋体" w:hAnsi="宋体" w:eastAsia="宋体" w:cs="宋体"/>
          <w:bCs/>
          <w:color w:val="000000" w:themeColor="text1"/>
          <w:sz w:val="24"/>
          <w:szCs w:val="24"/>
          <w:lang w:val="en-US" w:eastAsia="zh-CN"/>
          <w14:textFill>
            <w14:solidFill>
              <w14:schemeClr w14:val="tx1"/>
            </w14:solidFill>
          </w14:textFill>
        </w:rPr>
        <w:t>组建</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val="en-US" w:eastAsia="zh-CN"/>
          <w14:textFill>
            <w14:solidFill>
              <w14:schemeClr w14:val="tx1"/>
            </w14:solidFill>
          </w14:textFill>
        </w:rPr>
        <w:t>支监测队伍，</w:t>
      </w:r>
      <w:r>
        <w:rPr>
          <w:rFonts w:hint="eastAsia" w:ascii="宋体" w:hAnsi="宋体" w:eastAsia="宋体" w:cs="宋体"/>
          <w:bCs/>
          <w:color w:val="000000" w:themeColor="text1"/>
          <w:sz w:val="24"/>
          <w:szCs w:val="24"/>
          <w:lang w:eastAsia="zh-CN"/>
          <w14:textFill>
            <w14:solidFill>
              <w14:schemeClr w14:val="tx1"/>
            </w14:solidFill>
          </w14:textFill>
        </w:rPr>
        <w:t>做到监测队人员稳定、专业结构合理，</w:t>
      </w:r>
      <w:r>
        <w:rPr>
          <w:rFonts w:hint="eastAsia" w:ascii="宋体" w:hAnsi="宋体" w:eastAsia="宋体" w:cs="宋体"/>
          <w:bCs/>
          <w:color w:val="000000" w:themeColor="text1"/>
          <w:sz w:val="24"/>
          <w:szCs w:val="24"/>
          <w:lang w:val="en-US" w:eastAsia="zh-CN"/>
          <w14:textFill>
            <w14:solidFill>
              <w14:schemeClr w14:val="tx1"/>
            </w14:solidFill>
          </w14:textFill>
        </w:rPr>
        <w:t>每支</w:t>
      </w:r>
      <w:r>
        <w:rPr>
          <w:rFonts w:hint="eastAsia" w:ascii="宋体" w:hAnsi="宋体" w:eastAsia="宋体" w:cs="宋体"/>
          <w:bCs/>
          <w:color w:val="000000" w:themeColor="text1"/>
          <w:sz w:val="24"/>
          <w:szCs w:val="24"/>
          <w:lang w:eastAsia="zh-CN"/>
          <w14:textFill>
            <w14:solidFill>
              <w14:schemeClr w14:val="tx1"/>
            </w14:solidFill>
          </w14:textFill>
        </w:rPr>
        <w:t>监测队至少由</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人组成（其中女性至少3人）等相关要求。</w:t>
      </w:r>
    </w:p>
    <w:p w14:paraId="05E55E10">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cs="宋体"/>
          <w:bCs/>
          <w:color w:val="000000" w:themeColor="text1"/>
          <w:sz w:val="24"/>
          <w:szCs w:val="24"/>
          <w:lang w:eastAsia="zh-CN"/>
          <w14:textFill>
            <w14:solidFill>
              <w14:schemeClr w14:val="tx1"/>
            </w14:solidFill>
          </w14:textFill>
        </w:rPr>
        <w:t>（</w:t>
      </w:r>
      <w:r>
        <w:rPr>
          <w:rFonts w:hint="eastAsia" w:ascii="宋体" w:hAnsi="宋体" w:cs="宋体"/>
          <w:bCs/>
          <w:color w:val="000000" w:themeColor="text1"/>
          <w:sz w:val="24"/>
          <w:szCs w:val="24"/>
          <w:lang w:val="en-US" w:eastAsia="zh-CN"/>
          <w14:textFill>
            <w14:solidFill>
              <w14:schemeClr w14:val="tx1"/>
            </w14:solidFill>
          </w14:textFill>
        </w:rPr>
        <w:t>2</w:t>
      </w:r>
      <w:r>
        <w:rPr>
          <w:rFonts w:hint="eastAsia" w:ascii="宋体" w:hAnsi="宋体" w:cs="宋体"/>
          <w:bCs/>
          <w:color w:val="000000" w:themeColor="text1"/>
          <w:sz w:val="24"/>
          <w:szCs w:val="24"/>
          <w:lang w:eastAsia="zh-CN"/>
          <w14:textFill>
            <w14:solidFill>
              <w14:schemeClr w14:val="tx1"/>
            </w14:solidFill>
          </w14:textFill>
        </w:rPr>
        <w:t>）</w:t>
      </w:r>
      <w:r>
        <w:rPr>
          <w:rFonts w:hint="eastAsia" w:ascii="宋体" w:hAnsi="宋体" w:eastAsia="宋体" w:cs="宋体"/>
          <w:bCs/>
          <w:color w:val="000000" w:themeColor="text1"/>
          <w:sz w:val="24"/>
          <w:szCs w:val="24"/>
          <w:lang w:eastAsia="zh-CN"/>
          <w14:textFill>
            <w14:solidFill>
              <w14:schemeClr w14:val="tx1"/>
            </w14:solidFill>
          </w14:textFill>
        </w:rPr>
        <w:t>监测对象为</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w:t>
      </w:r>
    </w:p>
    <w:p w14:paraId="1193ACB9">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（3）</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监测项目为身高、坐高、体重、胸围、体脂率、安静脉搏、握力、立定跳远、坐位体前屈、双脚连续跳、15米绕障碍跑、走平衡木。</w:t>
      </w:r>
    </w:p>
    <w:p w14:paraId="559936EE">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（4）</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监测项目为身高、体重、腰围、臀围、体脂率；身体机能项目：安静脉搏、血压、肺活量、功率车二级负荷试验；身体素质项目：握力、背力、纵跳、俯卧撑（男）/跪卧撑（女）、1分钟仰卧起坐、坐位体前屈、闭眼单脚站立、选择反应时。</w:t>
      </w:r>
    </w:p>
    <w:p w14:paraId="6D77F4E1">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（5）</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监测项目为身高、体重、腰围、臀围、体脂率、安静脉搏、血压、肺活量、2分钟原地高抬腿、握力、坐位体前屈、30秒坐站、闭眼单脚站立、选择反应时。</w:t>
      </w:r>
    </w:p>
    <w:p w14:paraId="58F44106">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（6）高质量完成至少</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人的监测工作（以双方协商实际为准）。监测对象分配方案、监测地点、时间等见附件1（如有变化，需双方友好协商确认）。</w:t>
      </w:r>
    </w:p>
    <w:p w14:paraId="7CA87D0D">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（7）高质量完成《202</w:t>
      </w:r>
      <w:r>
        <w:rPr>
          <w:rFonts w:hint="eastAsia" w:ascii="宋体" w:hAnsi="宋体" w:cs="宋体"/>
          <w:bCs/>
          <w:color w:val="000000" w:themeColor="text1"/>
          <w:sz w:val="24"/>
          <w:szCs w:val="24"/>
          <w:lang w:val="en-US" w:eastAsia="zh-CN"/>
          <w14:textFill>
            <w14:solidFill>
              <w14:schemeClr w14:val="tx1"/>
            </w14:solidFill>
          </w14:textFill>
        </w:rPr>
        <w:t>5</w:t>
      </w:r>
      <w:r>
        <w:rPr>
          <w:rFonts w:hint="eastAsia" w:ascii="宋体" w:hAnsi="宋体" w:eastAsia="宋体" w:cs="宋体"/>
          <w:bCs/>
          <w:color w:val="000000" w:themeColor="text1"/>
          <w:sz w:val="24"/>
          <w:szCs w:val="24"/>
          <w:lang w:eastAsia="zh-CN"/>
          <w14:textFill>
            <w14:solidFill>
              <w14:schemeClr w14:val="tx1"/>
            </w14:solidFill>
          </w14:textFill>
        </w:rPr>
        <w:t>年</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报告》。</w:t>
      </w:r>
    </w:p>
    <w:p w14:paraId="0F8B8C77">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2.乙方应配备具有监测经验的工作人员负责项目实施，并为工作人员购买保险，按照本合同约定的标准、要求和时间完成项目。</w:t>
      </w:r>
    </w:p>
    <w:p w14:paraId="087859D4">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3.乙方负责在监测期间监测场地安全、监测人员安全，制定每场监测安全预案，并购买场地保险，针对监测人群提示安全注意事项，监测现场配备医护人员不少于</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人。</w:t>
      </w:r>
    </w:p>
    <w:p w14:paraId="490DE427">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4.乙方不得以任何理由将本合同项下的服务项目转包给第三方承担。</w:t>
      </w:r>
    </w:p>
    <w:p w14:paraId="6670467A">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5.乙方承诺根据本合同提供的服务及相关的软件和技术资料，均已取得有关知识产权的权利人的合法授权。如发生涉及专利权、著作权、商标权等争议，乙方负责处理并承担由此引起的全部法律及经济责任。</w:t>
      </w:r>
    </w:p>
    <w:p w14:paraId="4E79606B">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6.乙方应接受并配合甲方或甲方组织的对本合同履行情况的监督与检查，对于甲方指出的问题，应及时作出合理解释或予以纠正。</w:t>
      </w:r>
    </w:p>
    <w:p w14:paraId="42B3B6F7">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7.乙方应对项目资金进行规范的财务管理和会计核算，加强自身监督，确保资金规范管理和使用。</w:t>
      </w:r>
    </w:p>
    <w:p w14:paraId="2A3EAFB3">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8.乙方应建立健全财务管理与报告制度，并配合甲方及甲方组织的监督检查或绩效评价。</w:t>
      </w:r>
    </w:p>
    <w:p w14:paraId="4BDCF2F3">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第四条 合同金额</w:t>
      </w:r>
    </w:p>
    <w:p w14:paraId="025A41F0">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乙方完成所有监测，向甲方提供所有报告，甲方验收合格后，开具符合甲方要求的</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发票，甲方向乙方支付本项目服务费用总金额为（小写）：¥</w:t>
      </w:r>
      <w:r>
        <w:rPr>
          <w:rFonts w:hint="eastAsia" w:ascii="宋体" w:hAnsi="宋体" w:eastAsia="宋体" w:cs="宋体"/>
          <w:bCs/>
          <w:color w:val="000000" w:themeColor="text1"/>
          <w:sz w:val="24"/>
          <w:szCs w:val="24"/>
          <w:lang w:val="en-US" w:eastAsia="zh-CN"/>
          <w14:textFill>
            <w14:solidFill>
              <w14:schemeClr w14:val="tx1"/>
            </w14:solidFill>
          </w14:textFill>
        </w:rPr>
        <w:t>XXXXX</w:t>
      </w:r>
      <w:r>
        <w:rPr>
          <w:rFonts w:hint="eastAsia" w:ascii="宋体" w:hAnsi="宋体" w:eastAsia="宋体" w:cs="宋体"/>
          <w:bCs/>
          <w:color w:val="000000" w:themeColor="text1"/>
          <w:sz w:val="24"/>
          <w:szCs w:val="24"/>
          <w:lang w:eastAsia="zh-CN"/>
          <w14:textFill>
            <w14:solidFill>
              <w14:schemeClr w14:val="tx1"/>
            </w14:solidFill>
          </w14:textFill>
        </w:rPr>
        <w:t>万元（大写：</w:t>
      </w:r>
      <w:r>
        <w:rPr>
          <w:rFonts w:hint="eastAsia" w:ascii="宋体" w:hAnsi="宋体" w:eastAsia="宋体" w:cs="宋体"/>
          <w:bCs/>
          <w:color w:val="000000" w:themeColor="text1"/>
          <w:sz w:val="24"/>
          <w:szCs w:val="24"/>
          <w:lang w:val="en-US" w:eastAsia="zh-CN"/>
          <w14:textFill>
            <w14:solidFill>
              <w14:schemeClr w14:val="tx1"/>
            </w14:solidFill>
          </w14:textFill>
        </w:rPr>
        <w:t>XXXXXX</w:t>
      </w:r>
      <w:r>
        <w:rPr>
          <w:rFonts w:hint="eastAsia" w:ascii="宋体" w:hAnsi="宋体" w:eastAsia="宋体" w:cs="宋体"/>
          <w:bCs/>
          <w:color w:val="000000" w:themeColor="text1"/>
          <w:sz w:val="24"/>
          <w:szCs w:val="24"/>
          <w:lang w:eastAsia="zh-CN"/>
          <w14:textFill>
            <w14:solidFill>
              <w14:schemeClr w14:val="tx1"/>
            </w14:solidFill>
          </w14:textFill>
        </w:rPr>
        <w:t>元整），</w:t>
      </w:r>
      <w:r>
        <w:rPr>
          <w:rFonts w:hint="eastAsia" w:ascii="宋体" w:hAnsi="宋体" w:eastAsia="宋体" w:cs="宋体"/>
          <w:bCs/>
          <w:color w:val="000000" w:themeColor="text1"/>
          <w:sz w:val="24"/>
          <w:szCs w:val="24"/>
          <w:lang w:val="en-US" w:eastAsia="zh-CN"/>
          <w14:textFill>
            <w14:solidFill>
              <w14:schemeClr w14:val="tx1"/>
            </w14:solidFill>
          </w14:textFill>
        </w:rPr>
        <w:t>该金额</w:t>
      </w:r>
      <w:r>
        <w:rPr>
          <w:rFonts w:hint="eastAsia" w:ascii="宋体" w:hAnsi="宋体" w:eastAsia="宋体" w:cs="宋体"/>
          <w:bCs/>
          <w:color w:val="000000" w:themeColor="text1"/>
          <w:sz w:val="24"/>
          <w:szCs w:val="24"/>
          <w:lang w:eastAsia="zh-CN"/>
          <w14:textFill>
            <w14:solidFill>
              <w14:schemeClr w14:val="tx1"/>
            </w14:solidFill>
          </w14:textFill>
        </w:rPr>
        <w:t>包括但不限于：服务费、人工费、人员差旅费、车辆使用费、税费等。除非合同另有约定，在合同履行过程中价格保持不变。</w:t>
      </w:r>
    </w:p>
    <w:p w14:paraId="2F23DF47">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除本合同或补充协议另有约定外，甲方不再就本合同支付其他任何费用。对于本合同履行过程中应当由乙方承担的任何费用或款项，甲方均有权自应付款中扣除。</w:t>
      </w:r>
    </w:p>
    <w:p w14:paraId="0F115681">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同时本</w:t>
      </w:r>
      <w:r>
        <w:rPr>
          <w:rFonts w:hint="eastAsia" w:ascii="宋体" w:hAnsi="宋体" w:eastAsia="宋体" w:cs="宋体"/>
          <w:bCs/>
          <w:color w:val="000000" w:themeColor="text1"/>
          <w:sz w:val="24"/>
          <w:szCs w:val="24"/>
          <w:lang w:eastAsia="zh-CN"/>
          <w14:textFill>
            <w14:solidFill>
              <w14:schemeClr w14:val="tx1"/>
            </w14:solidFill>
          </w14:textFill>
        </w:rPr>
        <w:t>合同价款已包含甲方逾期付款可能给乙方造成的资金占用利息等相关损失，乙方对此已知悉且充分理解，并同意放弃甲方逾期付款造成的违约责任（包括但不限于违约金、逾期付款利息等）。</w:t>
      </w:r>
    </w:p>
    <w:p w14:paraId="0F7D8227">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支付方式：</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w:t>
      </w:r>
    </w:p>
    <w:p w14:paraId="04962D73">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甲方指定账户信息如下：</w:t>
      </w:r>
    </w:p>
    <w:p w14:paraId="6447E354">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val="en-US" w:eastAsia="zh-CN"/>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发票抬头：</w:t>
      </w:r>
    </w:p>
    <w:p w14:paraId="4EC820CC">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val="en-US" w:eastAsia="zh-CN"/>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账号：</w:t>
      </w:r>
    </w:p>
    <w:p w14:paraId="6178175A">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val="en-US" w:eastAsia="zh-CN"/>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行号：</w:t>
      </w:r>
    </w:p>
    <w:p w14:paraId="4D5552CD">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val="en-US" w:eastAsia="zh-CN"/>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开户行：</w:t>
      </w:r>
    </w:p>
    <w:p w14:paraId="3F3196DD">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val="en-US" w:eastAsia="zh-CN"/>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信用代码：</w:t>
      </w:r>
    </w:p>
    <w:p w14:paraId="0BEE8371">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乙方指定收款账户信息如下：</w:t>
      </w:r>
    </w:p>
    <w:p w14:paraId="3580D79C">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账户名称：</w:t>
      </w:r>
    </w:p>
    <w:p w14:paraId="399A10AB">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纳税人识别号：</w:t>
      </w:r>
    </w:p>
    <w:p w14:paraId="2CE8A7BF">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开户银行：</w:t>
      </w:r>
    </w:p>
    <w:p w14:paraId="2A34594F">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账号：</w:t>
      </w:r>
    </w:p>
    <w:p w14:paraId="3A2226D7">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第五条 保密条款</w:t>
      </w:r>
    </w:p>
    <w:p w14:paraId="177922F1">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1.乙方应遵守国家有关保密的法律法规和行业规定，并对甲方提供的资料负有保密义务。未经甲方同意，不得将承接政府公共服务项目获得的政府、公民个人等各种信息和资料提供给其他单位和个人。如发生以上情况，甲方有权索赔。</w:t>
      </w:r>
    </w:p>
    <w:p w14:paraId="0F422107">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2.知识产权归甲方所有，同时乙方应当自留一份完整的项目档案并予以妥善保存。未经甲方同意，乙方不得使用数据进行其他用途，以及向社会公布、公告、报告等。</w:t>
      </w:r>
    </w:p>
    <w:p w14:paraId="6C7EFDB7">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第六条 不可抗力</w:t>
      </w:r>
    </w:p>
    <w:p w14:paraId="2205DD69">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任何一方由于不可抗力原因不能履行合同时，应在不可抗力事件发生后7日内向对方通报，以减轻可能给对方造成的损失，在取得有关机构的不可抗力证明或双方谅解确认后，允许延期履行或修订合同，双方达成共识同意后，可根据具体情况部分或全部免于承担违约责任。</w:t>
      </w:r>
    </w:p>
    <w:p w14:paraId="2338B6E8">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第七条 违约责任</w:t>
      </w:r>
    </w:p>
    <w:p w14:paraId="5E65E9D0">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甲方责任：</w:t>
      </w:r>
    </w:p>
    <w:p w14:paraId="32989D43">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除本合同明确约定的免责条款外，若甲方未能依照合同约定履行其义务，应负责赔偿由此给乙方造成的直接损失</w:t>
      </w:r>
      <w:r>
        <w:rPr>
          <w:rFonts w:hint="eastAsia" w:ascii="宋体" w:hAnsi="宋体" w:eastAsia="宋体" w:cs="宋体"/>
          <w:bCs/>
          <w:color w:val="000000" w:themeColor="text1"/>
          <w:sz w:val="24"/>
          <w:szCs w:val="24"/>
          <w:lang w:eastAsia="zh-CN"/>
          <w14:textFill>
            <w14:solidFill>
              <w14:schemeClr w14:val="tx1"/>
            </w14:solidFill>
          </w14:textFill>
        </w:rPr>
        <w:t>。</w:t>
      </w:r>
    </w:p>
    <w:p w14:paraId="291E3AB8">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乙方责任：</w:t>
      </w:r>
    </w:p>
    <w:p w14:paraId="100031E1">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1.由于乙方自身原因，未按本合同的</w:t>
      </w:r>
      <w:r>
        <w:rPr>
          <w:rFonts w:hint="eastAsia" w:ascii="宋体" w:hAnsi="宋体" w:eastAsia="宋体" w:cs="宋体"/>
          <w:bCs/>
          <w:color w:val="000000" w:themeColor="text1"/>
          <w:sz w:val="24"/>
          <w:szCs w:val="24"/>
          <w:lang w:val="en-US" w:eastAsia="zh-CN"/>
          <w14:textFill>
            <w14:solidFill>
              <w14:schemeClr w14:val="tx1"/>
            </w14:solidFill>
          </w14:textFill>
        </w:rPr>
        <w:t>约定按时</w:t>
      </w:r>
      <w:r>
        <w:rPr>
          <w:rFonts w:hint="eastAsia" w:ascii="宋体" w:hAnsi="宋体" w:eastAsia="宋体" w:cs="宋体"/>
          <w:bCs/>
          <w:color w:val="000000" w:themeColor="text1"/>
          <w:sz w:val="24"/>
          <w:szCs w:val="24"/>
          <w:lang w:eastAsia="zh-CN"/>
          <w14:textFill>
            <w14:solidFill>
              <w14:schemeClr w14:val="tx1"/>
            </w14:solidFill>
          </w14:textFill>
        </w:rPr>
        <w:t>交付成果文件</w:t>
      </w:r>
      <w:r>
        <w:rPr>
          <w:rFonts w:hint="eastAsia" w:ascii="宋体" w:hAnsi="宋体" w:eastAsia="宋体" w:cs="宋体"/>
          <w:bCs/>
          <w:color w:val="000000" w:themeColor="text1"/>
          <w:sz w:val="24"/>
          <w:szCs w:val="24"/>
          <w:lang w:val="en-US" w:eastAsia="zh-CN"/>
          <w14:textFill>
            <w14:solidFill>
              <w14:schemeClr w14:val="tx1"/>
            </w14:solidFill>
          </w14:textFill>
        </w:rPr>
        <w:t>的</w:t>
      </w:r>
      <w:r>
        <w:rPr>
          <w:rFonts w:hint="eastAsia" w:ascii="宋体" w:hAnsi="宋体" w:eastAsia="宋体" w:cs="宋体"/>
          <w:bCs/>
          <w:color w:val="000000" w:themeColor="text1"/>
          <w:sz w:val="24"/>
          <w:szCs w:val="24"/>
          <w:lang w:eastAsia="zh-CN"/>
          <w14:textFill>
            <w14:solidFill>
              <w14:schemeClr w14:val="tx1"/>
            </w14:solidFill>
          </w14:textFill>
        </w:rPr>
        <w:t>，</w:t>
      </w:r>
      <w:r>
        <w:rPr>
          <w:rFonts w:hint="eastAsia" w:ascii="宋体" w:hAnsi="宋体" w:eastAsia="宋体" w:cs="宋体"/>
          <w:bCs/>
          <w:color w:val="000000" w:themeColor="text1"/>
          <w:sz w:val="24"/>
          <w:szCs w:val="24"/>
          <w:lang w:val="en-US" w:eastAsia="zh-CN"/>
          <w14:textFill>
            <w14:solidFill>
              <w14:schemeClr w14:val="tx1"/>
            </w14:solidFill>
          </w14:textFill>
        </w:rPr>
        <w:t>服务期限不予顺延，每逾期一日，乙方应当承担合同总金额千分之三的违约金，超过</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val="en-US" w:eastAsia="zh-CN"/>
          <w14:textFill>
            <w14:solidFill>
              <w14:schemeClr w14:val="tx1"/>
            </w14:solidFill>
          </w14:textFill>
        </w:rPr>
        <w:t>日仍没有交付的，甲方有权解除合同，乙方应当按照合同总金额</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val="en-US" w:eastAsia="zh-CN"/>
          <w14:textFill>
            <w14:solidFill>
              <w14:schemeClr w14:val="tx1"/>
            </w14:solidFill>
          </w14:textFill>
        </w:rPr>
        <w:t>承担违约责任，并承担由此给甲方造成的全部损失，甲方不行使合同解除权的不影响乙方按照上述约定按日承担违约金。</w:t>
      </w:r>
    </w:p>
    <w:p w14:paraId="7349F8D9">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2.按照国家现行规定、标准开具正规有效的本合同费票据。但因国库支付中心工作程序等</w:t>
      </w:r>
      <w:r>
        <w:rPr>
          <w:rFonts w:hint="eastAsia" w:ascii="宋体" w:hAnsi="宋体" w:eastAsia="宋体" w:cs="宋体"/>
          <w:bCs/>
          <w:color w:val="000000" w:themeColor="text1"/>
          <w:sz w:val="24"/>
          <w:szCs w:val="24"/>
          <w:lang w:val="en-US" w:eastAsia="zh-CN"/>
          <w14:textFill>
            <w14:solidFill>
              <w14:schemeClr w14:val="tx1"/>
            </w14:solidFill>
          </w14:textFill>
        </w:rPr>
        <w:t>造成</w:t>
      </w:r>
      <w:r>
        <w:rPr>
          <w:rFonts w:hint="eastAsia" w:ascii="宋体" w:hAnsi="宋体" w:eastAsia="宋体" w:cs="宋体"/>
          <w:bCs/>
          <w:color w:val="000000" w:themeColor="text1"/>
          <w:sz w:val="24"/>
          <w:szCs w:val="24"/>
          <w:lang w:eastAsia="zh-CN"/>
          <w14:textFill>
            <w14:solidFill>
              <w14:schemeClr w14:val="tx1"/>
            </w14:solidFill>
          </w14:textFill>
        </w:rPr>
        <w:t>甲方自身无法控制的客观原因到期未支付相应费用</w:t>
      </w:r>
      <w:r>
        <w:rPr>
          <w:rFonts w:hint="eastAsia" w:ascii="宋体" w:hAnsi="宋体" w:eastAsia="宋体" w:cs="宋体"/>
          <w:bCs/>
          <w:color w:val="000000" w:themeColor="text1"/>
          <w:sz w:val="24"/>
          <w:szCs w:val="24"/>
          <w:lang w:val="en-US" w:eastAsia="zh-CN"/>
          <w14:textFill>
            <w14:solidFill>
              <w14:schemeClr w14:val="tx1"/>
            </w14:solidFill>
          </w14:textFill>
        </w:rPr>
        <w:t>的</w:t>
      </w:r>
      <w:r>
        <w:rPr>
          <w:rFonts w:hint="eastAsia" w:ascii="宋体" w:hAnsi="宋体" w:eastAsia="宋体" w:cs="宋体"/>
          <w:bCs/>
          <w:color w:val="000000" w:themeColor="text1"/>
          <w:sz w:val="24"/>
          <w:szCs w:val="24"/>
          <w:lang w:eastAsia="zh-CN"/>
          <w14:textFill>
            <w14:solidFill>
              <w14:schemeClr w14:val="tx1"/>
            </w14:solidFill>
          </w14:textFill>
        </w:rPr>
        <w:t>，</w:t>
      </w:r>
      <w:r>
        <w:rPr>
          <w:rFonts w:hint="eastAsia" w:ascii="宋体" w:hAnsi="宋体" w:eastAsia="宋体" w:cs="宋体"/>
          <w:bCs/>
          <w:color w:val="000000" w:themeColor="text1"/>
          <w:sz w:val="24"/>
          <w:szCs w:val="24"/>
          <w:lang w:val="en-US" w:eastAsia="zh-CN"/>
          <w14:textFill>
            <w14:solidFill>
              <w14:schemeClr w14:val="tx1"/>
            </w14:solidFill>
          </w14:textFill>
        </w:rPr>
        <w:t>乙方承诺不追究甲方任何责任</w:t>
      </w:r>
      <w:r>
        <w:rPr>
          <w:rFonts w:hint="eastAsia" w:ascii="宋体" w:hAnsi="宋体" w:eastAsia="宋体" w:cs="宋体"/>
          <w:bCs/>
          <w:color w:val="000000" w:themeColor="text1"/>
          <w:sz w:val="24"/>
          <w:szCs w:val="24"/>
          <w:lang w:eastAsia="zh-CN"/>
          <w14:textFill>
            <w14:solidFill>
              <w14:schemeClr w14:val="tx1"/>
            </w14:solidFill>
          </w14:textFill>
        </w:rPr>
        <w:t>。</w:t>
      </w:r>
    </w:p>
    <w:p w14:paraId="2DA23DBF">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3.合同生效后，乙方要求终止或解除合同，乙方应双倍返还甲方已支付的费用。</w:t>
      </w:r>
    </w:p>
    <w:p w14:paraId="73109C0D">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4</w:t>
      </w:r>
      <w:r>
        <w:rPr>
          <w:rFonts w:hint="eastAsia" w:ascii="宋体" w:hAnsi="宋体" w:eastAsia="宋体" w:cs="宋体"/>
          <w:bCs/>
          <w:color w:val="000000" w:themeColor="text1"/>
          <w:sz w:val="24"/>
          <w:szCs w:val="24"/>
          <w:lang w:eastAsia="zh-CN"/>
          <w14:textFill>
            <w14:solidFill>
              <w14:schemeClr w14:val="tx1"/>
            </w14:solidFill>
          </w14:textFill>
        </w:rPr>
        <w:t>.乙方必须自行完成合同约定的全部事务，未经甲方事前书面同意，乙方不得以任何形式将合同约定的部分或全部事项交由他人处理，否则视为乙方违约，乙方就此每次应向甲方支付相当于合同总价款</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的违约金，同时甲方有权单方解除合同。甲方选择解除合同的，乙方除了按上述标准支付违约金外，应返还甲方已支付所有合同款项，还应当支付相当于合同总价款</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的款项作为合同解除的赔偿金。</w:t>
      </w:r>
    </w:p>
    <w:p w14:paraId="29A3FEFF">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5.乙方违反本合同约定，未按照本合同</w:t>
      </w:r>
      <w:r>
        <w:rPr>
          <w:rFonts w:hint="eastAsia" w:ascii="宋体" w:hAnsi="宋体" w:eastAsia="宋体" w:cs="宋体"/>
          <w:bCs/>
          <w:color w:val="000000" w:themeColor="text1"/>
          <w:sz w:val="24"/>
          <w:szCs w:val="24"/>
          <w:lang w:val="en-US" w:eastAsia="zh-CN"/>
          <w14:textFill>
            <w14:solidFill>
              <w14:schemeClr w14:val="tx1"/>
            </w14:solidFill>
          </w14:textFill>
        </w:rPr>
        <w:t>约定开展服务</w:t>
      </w:r>
      <w:r>
        <w:rPr>
          <w:rFonts w:hint="eastAsia" w:ascii="宋体" w:hAnsi="宋体" w:eastAsia="宋体" w:cs="宋体"/>
          <w:bCs/>
          <w:color w:val="000000" w:themeColor="text1"/>
          <w:sz w:val="24"/>
          <w:szCs w:val="24"/>
          <w:lang w:eastAsia="zh-CN"/>
          <w14:textFill>
            <w14:solidFill>
              <w14:schemeClr w14:val="tx1"/>
            </w14:solidFill>
          </w14:textFill>
        </w:rPr>
        <w:t>工作的，乙方应当按照合同总价的</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向甲方支付违约赔偿金，同时甲方有权解除合同。</w:t>
      </w:r>
    </w:p>
    <w:p w14:paraId="7F6F3F8D">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6.鉴于本合同的性质，甲方有权依据国家、行业规定（多个标准存在的以最严格的为准）对乙方提交的工作成果是否符合要求做出评判。经甲方评判不符合国家、行业规定的，甲方有权要求乙方在十五个自然日内整改完毕。乙方整改后仍不符合前述标准或逾期提交整改后工作成果的，乙方就此每次应向甲方支付相当于合同总价款</w:t>
      </w:r>
      <w:r>
        <w:rPr>
          <w:rFonts w:hint="eastAsia" w:ascii="宋体" w:hAnsi="宋体" w:cs="宋体"/>
          <w:b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的违约金，同时甲方有权解除合同，并不视为甲方违约。</w:t>
      </w:r>
    </w:p>
    <w:p w14:paraId="1D4BB312">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7</w:t>
      </w:r>
      <w:r>
        <w:rPr>
          <w:rFonts w:hint="eastAsia" w:ascii="宋体" w:hAnsi="宋体" w:eastAsia="宋体" w:cs="宋体"/>
          <w:bCs/>
          <w:color w:val="000000" w:themeColor="text1"/>
          <w:sz w:val="24"/>
          <w:szCs w:val="24"/>
          <w:lang w:eastAsia="zh-CN"/>
          <w14:textFill>
            <w14:solidFill>
              <w14:schemeClr w14:val="tx1"/>
            </w14:solidFill>
          </w14:textFill>
        </w:rPr>
        <w:t>.上述乙方需要承担的违约责任之间互相并不冲突，如乙方因同一行为违反多项违约责任，乙方应当同时承担。</w:t>
      </w:r>
    </w:p>
    <w:p w14:paraId="1BDA5560">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8</w:t>
      </w:r>
      <w:r>
        <w:rPr>
          <w:rFonts w:hint="eastAsia" w:ascii="宋体" w:hAnsi="宋体" w:eastAsia="宋体" w:cs="宋体"/>
          <w:bCs/>
          <w:color w:val="000000" w:themeColor="text1"/>
          <w:sz w:val="24"/>
          <w:szCs w:val="24"/>
          <w:lang w:eastAsia="zh-CN"/>
          <w14:textFill>
            <w14:solidFill>
              <w14:schemeClr w14:val="tx1"/>
            </w14:solidFill>
          </w14:textFill>
        </w:rPr>
        <w:t>.乙方应当承担的违约金与甲方应当支付的各类款项之间可以相互抵销，乙方对此没有异议，抵销自甲方通知到达乙方之日起生效，双方按照抵销后的金额进行结算。</w:t>
      </w:r>
    </w:p>
    <w:p w14:paraId="5B41A783">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第八条 其他</w:t>
      </w:r>
    </w:p>
    <w:p w14:paraId="2718466C">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1.本合同所有附件及相关购买文件均为本合同的有效组成部分，与本合同具有同等法律效力。若合同附件与本合同存在不一致的，则以本合同为准。</w:t>
      </w:r>
    </w:p>
    <w:p w14:paraId="5D5FE2CB">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2.在履行本合同过程中，所有经双方签署确认的文件（包括会议纪要、补充合同、往来信函）即成为本合同的有效组成部分。</w:t>
      </w:r>
    </w:p>
    <w:p w14:paraId="29AEBDA6">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3.如一方地址、电话、传真号码及乙方银行账户信息有变更，应在变更当日书面通知对方，否则，应承担相应责任。</w:t>
      </w:r>
    </w:p>
    <w:p w14:paraId="60D03514">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4</w:t>
      </w:r>
      <w:r>
        <w:rPr>
          <w:rFonts w:hint="eastAsia" w:ascii="宋体" w:hAnsi="宋体" w:eastAsia="宋体" w:cs="宋体"/>
          <w:bCs/>
          <w:color w:val="000000" w:themeColor="text1"/>
          <w:sz w:val="24"/>
          <w:szCs w:val="24"/>
          <w:lang w:eastAsia="zh-CN"/>
          <w14:textFill>
            <w14:solidFill>
              <w14:schemeClr w14:val="tx1"/>
            </w14:solidFill>
          </w14:textFill>
        </w:rPr>
        <w:t>.因履行本合同而产生的任何争议，双方应先协商解决，不能达成一致的，任何一方均有权向</w:t>
      </w:r>
      <w:r>
        <w:rPr>
          <w:rFonts w:hint="eastAsia" w:ascii="宋体" w:hAnsi="宋体" w:eastAsia="宋体" w:cs="宋体"/>
          <w:bCs/>
          <w:color w:val="000000" w:themeColor="text1"/>
          <w:sz w:val="24"/>
          <w:szCs w:val="24"/>
          <w:lang w:val="en-US" w:eastAsia="zh-CN"/>
          <w14:textFill>
            <w14:solidFill>
              <w14:schemeClr w14:val="tx1"/>
            </w14:solidFill>
          </w14:textFill>
        </w:rPr>
        <w:t>甲</w:t>
      </w:r>
      <w:r>
        <w:rPr>
          <w:rFonts w:hint="eastAsia" w:ascii="宋体" w:hAnsi="宋体" w:eastAsia="宋体" w:cs="宋体"/>
          <w:bCs/>
          <w:color w:val="000000" w:themeColor="text1"/>
          <w:sz w:val="24"/>
          <w:szCs w:val="24"/>
          <w:lang w:eastAsia="zh-CN"/>
          <w14:textFill>
            <w14:solidFill>
              <w14:schemeClr w14:val="tx1"/>
            </w14:solidFill>
          </w14:textFill>
        </w:rPr>
        <w:t>方所在地人民法院提起诉讼。</w:t>
      </w:r>
    </w:p>
    <w:p w14:paraId="0FB4805B">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5</w:t>
      </w:r>
      <w:r>
        <w:rPr>
          <w:rFonts w:hint="eastAsia" w:ascii="宋体" w:hAnsi="宋体" w:eastAsia="宋体" w:cs="宋体"/>
          <w:bCs/>
          <w:color w:val="000000" w:themeColor="text1"/>
          <w:sz w:val="24"/>
          <w:szCs w:val="24"/>
          <w:lang w:eastAsia="zh-CN"/>
          <w14:textFill>
            <w14:solidFill>
              <w14:schemeClr w14:val="tx1"/>
            </w14:solidFill>
          </w14:textFill>
        </w:rPr>
        <w:t>.本合同经双方甲方法定代表人（负责人）或授权代表签字或</w:t>
      </w:r>
      <w:r>
        <w:rPr>
          <w:rFonts w:hint="eastAsia" w:ascii="宋体" w:hAnsi="宋体" w:eastAsia="宋体" w:cs="宋体"/>
          <w:bCs/>
          <w:color w:val="000000" w:themeColor="text1"/>
          <w:sz w:val="24"/>
          <w:szCs w:val="24"/>
          <w:lang w:val="en-US" w:eastAsia="zh-CN"/>
          <w14:textFill>
            <w14:solidFill>
              <w14:schemeClr w14:val="tx1"/>
            </w14:solidFill>
          </w14:textFill>
        </w:rPr>
        <w:t>加盖公章</w:t>
      </w:r>
      <w:r>
        <w:rPr>
          <w:rFonts w:hint="eastAsia" w:ascii="宋体" w:hAnsi="宋体" w:eastAsia="宋体" w:cs="宋体"/>
          <w:bCs/>
          <w:color w:val="000000" w:themeColor="text1"/>
          <w:sz w:val="24"/>
          <w:szCs w:val="24"/>
          <w:lang w:eastAsia="zh-CN"/>
          <w14:textFill>
            <w14:solidFill>
              <w14:schemeClr w14:val="tx1"/>
            </w14:solidFill>
          </w14:textFill>
        </w:rPr>
        <w:t>之日起生效，本合同一式四份，双方各执二份，据以履行。</w:t>
      </w:r>
    </w:p>
    <w:p w14:paraId="13A330D1">
      <w:pPr>
        <w:pStyle w:val="169"/>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6.本合同附件包括：附件1：202</w:t>
      </w:r>
      <w:r>
        <w:rPr>
          <w:rFonts w:hint="eastAsia" w:ascii="宋体" w:hAnsi="宋体" w:cs="宋体"/>
          <w:bCs/>
          <w:color w:val="000000" w:themeColor="text1"/>
          <w:sz w:val="24"/>
          <w:szCs w:val="24"/>
          <w:lang w:val="en-US" w:eastAsia="zh-CN"/>
          <w14:textFill>
            <w14:solidFill>
              <w14:schemeClr w14:val="tx1"/>
            </w14:solidFill>
          </w14:textFill>
        </w:rPr>
        <w:t>5</w:t>
      </w:r>
      <w:r>
        <w:rPr>
          <w:rFonts w:hint="eastAsia" w:ascii="宋体" w:hAnsi="宋体" w:eastAsia="宋体" w:cs="宋体"/>
          <w:bCs/>
          <w:color w:val="000000" w:themeColor="text1"/>
          <w:sz w:val="24"/>
          <w:szCs w:val="24"/>
          <w:lang w:val="en-US" w:eastAsia="zh-CN"/>
          <w14:textFill>
            <w14:solidFill>
              <w14:schemeClr w14:val="tx1"/>
            </w14:solidFill>
          </w14:textFill>
        </w:rPr>
        <w:t>年</w:t>
      </w:r>
      <w:r>
        <w:rPr>
          <w:rFonts w:hint="eastAsia" w:ascii="宋体" w:hAnsi="宋体" w:cs="宋体"/>
          <w:bCs/>
          <w:color w:val="000000" w:themeColor="text1"/>
          <w:sz w:val="24"/>
          <w:szCs w:val="24"/>
          <w:lang w:val="en-US" w:eastAsia="zh-CN"/>
          <w14:textFill>
            <w14:solidFill>
              <w14:schemeClr w14:val="tx1"/>
            </w14:solidFill>
          </w14:textFill>
        </w:rPr>
        <w:t>哈密</w:t>
      </w:r>
      <w:r>
        <w:rPr>
          <w:rFonts w:hint="eastAsia" w:ascii="宋体" w:hAnsi="宋体" w:eastAsia="宋体" w:cs="宋体"/>
          <w:bCs/>
          <w:color w:val="000000" w:themeColor="text1"/>
          <w:sz w:val="24"/>
          <w:szCs w:val="24"/>
          <w:lang w:val="en-US" w:eastAsia="zh-CN"/>
          <w14:textFill>
            <w14:solidFill>
              <w14:schemeClr w14:val="tx1"/>
            </w14:solidFill>
          </w14:textFill>
        </w:rPr>
        <w:t>市常态化国民体质监测抽样点信息及任务分配表</w:t>
      </w:r>
      <w:r>
        <w:rPr>
          <w:rFonts w:hint="eastAsia" w:ascii="宋体" w:hAnsi="宋体" w:eastAsia="宋体" w:cs="宋体"/>
          <w:bCs/>
          <w:color w:val="000000" w:themeColor="text1"/>
          <w:sz w:val="24"/>
          <w:szCs w:val="24"/>
          <w:lang w:eastAsia="zh-CN"/>
          <w14:textFill>
            <w14:solidFill>
              <w14:schemeClr w14:val="tx1"/>
            </w14:solidFill>
          </w14:textFill>
        </w:rPr>
        <w:t>。</w:t>
      </w:r>
    </w:p>
    <w:p w14:paraId="4B394999">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p>
    <w:p w14:paraId="5878AD88">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w:t>
      </w:r>
      <w:r>
        <w:rPr>
          <w:rFonts w:hint="eastAsia" w:ascii="宋体" w:hAnsi="宋体" w:eastAsia="宋体" w:cs="宋体"/>
          <w:bCs/>
          <w:color w:val="000000" w:themeColor="text1"/>
          <w:sz w:val="24"/>
          <w:szCs w:val="24"/>
          <w:lang w:val="en-US" w:eastAsia="zh-CN"/>
          <w14:textFill>
            <w14:solidFill>
              <w14:schemeClr w14:val="tx1"/>
            </w14:solidFill>
          </w14:textFill>
        </w:rPr>
        <w:t>以下为签署处，无正文</w:t>
      </w:r>
      <w:r>
        <w:rPr>
          <w:rFonts w:hint="eastAsia" w:ascii="宋体" w:hAnsi="宋体" w:eastAsia="宋体" w:cs="宋体"/>
          <w:bCs/>
          <w:color w:val="000000" w:themeColor="text1"/>
          <w:sz w:val="24"/>
          <w:szCs w:val="24"/>
          <w:lang w:eastAsia="zh-CN"/>
          <w14:textFill>
            <w14:solidFill>
              <w14:schemeClr w14:val="tx1"/>
            </w14:solidFill>
          </w14:textFill>
        </w:rPr>
        <w:t>）</w:t>
      </w:r>
    </w:p>
    <w:p w14:paraId="20291256">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甲方名称：</w:t>
      </w:r>
    </w:p>
    <w:p w14:paraId="6D27AE55">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p>
    <w:p w14:paraId="22EDD5D3">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（公章）</w:t>
      </w:r>
    </w:p>
    <w:p w14:paraId="5E4DCF29">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甲方法定代表人（负责人）或授权代表：</w:t>
      </w:r>
    </w:p>
    <w:p w14:paraId="47F1F4D0">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签订时间：年  月  日</w:t>
      </w:r>
    </w:p>
    <w:p w14:paraId="27BA4BB5">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p>
    <w:p w14:paraId="7A3009C2">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乙方名称：（公章）</w:t>
      </w:r>
    </w:p>
    <w:p w14:paraId="34646F02">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乙方法定代表人（负责人）或授权代表：</w:t>
      </w:r>
    </w:p>
    <w:p w14:paraId="21B598EC">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签订时间：年  月  日</w:t>
      </w:r>
    </w:p>
    <w:p w14:paraId="6F996D61">
      <w:pPr>
        <w:pStyle w:val="169"/>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cs="宋体"/>
          <w:bCs/>
          <w:color w:val="000000" w:themeColor="text1"/>
          <w:kern w:val="0"/>
          <w:sz w:val="32"/>
          <w:szCs w:val="24"/>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注：此合同仅供参考，以最终具体签订合同为准</w:t>
      </w:r>
      <w:bookmarkEnd w:id="119"/>
      <w:bookmarkStart w:id="120" w:name="_Toc256000017"/>
      <w:bookmarkStart w:id="121" w:name="_Toc532543568"/>
      <w:bookmarkStart w:id="122" w:name="_Toc257633148"/>
      <w:bookmarkStart w:id="123" w:name="_Toc18901"/>
      <w:bookmarkStart w:id="124" w:name="_Toc531075012"/>
      <w:r>
        <w:rPr>
          <w:rFonts w:hint="eastAsia" w:ascii="宋体" w:hAnsi="宋体" w:cs="宋体"/>
          <w:bCs/>
          <w:color w:val="000000" w:themeColor="text1"/>
          <w:sz w:val="24"/>
          <w:szCs w:val="24"/>
          <w:lang w:eastAsia="zh-CN"/>
          <w14:textFill>
            <w14:solidFill>
              <w14:schemeClr w14:val="tx1"/>
            </w14:solidFill>
          </w14:textFill>
        </w:rPr>
        <w:t>。</w:t>
      </w:r>
    </w:p>
    <w:p w14:paraId="7D314901">
      <w:pPr>
        <w:widowControl/>
        <w:wordWrap w:val="0"/>
        <w:jc w:val="both"/>
        <w:rPr>
          <w:rFonts w:hint="eastAsia" w:ascii="宋体" w:hAnsi="宋体" w:cs="宋体"/>
          <w:bCs/>
          <w:color w:val="000000" w:themeColor="text1"/>
          <w:kern w:val="0"/>
          <w:sz w:val="32"/>
          <w:szCs w:val="24"/>
          <w14:textFill>
            <w14:solidFill>
              <w14:schemeClr w14:val="tx1"/>
            </w14:solidFill>
          </w14:textFill>
        </w:rPr>
      </w:pPr>
    </w:p>
    <w:p w14:paraId="0E63F180">
      <w:pPr>
        <w:widowControl/>
        <w:wordWrap w:val="0"/>
        <w:jc w:val="center"/>
        <w:rPr>
          <w:rFonts w:ascii="宋体" w:hAnsi="宋体" w:cs="宋体"/>
          <w:bCs/>
          <w:color w:val="000000" w:themeColor="text1"/>
          <w:kern w:val="0"/>
          <w:sz w:val="32"/>
          <w:szCs w:val="24"/>
          <w14:textFill>
            <w14:solidFill>
              <w14:schemeClr w14:val="tx1"/>
            </w14:solidFill>
          </w14:textFill>
        </w:rPr>
      </w:pPr>
      <w:r>
        <w:rPr>
          <w:rFonts w:hint="eastAsia" w:ascii="宋体" w:hAnsi="宋体" w:cs="宋体"/>
          <w:bCs/>
          <w:color w:val="000000" w:themeColor="text1"/>
          <w:kern w:val="0"/>
          <w:sz w:val="32"/>
          <w:szCs w:val="24"/>
          <w14:textFill>
            <w14:solidFill>
              <w14:schemeClr w14:val="tx1"/>
            </w14:solidFill>
          </w14:textFill>
        </w:rPr>
        <w:t>第六章 竞争性磋商响应文件格式</w:t>
      </w:r>
      <w:bookmarkEnd w:id="120"/>
      <w:bookmarkEnd w:id="121"/>
      <w:bookmarkEnd w:id="122"/>
      <w:bookmarkEnd w:id="123"/>
      <w:bookmarkEnd w:id="124"/>
    </w:p>
    <w:p w14:paraId="3BFEA85B">
      <w:pPr>
        <w:wordWrap w:val="0"/>
        <w:rPr>
          <w:rFonts w:ascii="宋体" w:hAnsi="宋体" w:cs="宋体"/>
          <w:color w:val="000000" w:themeColor="text1"/>
          <w:highlight w:val="red"/>
          <w14:textFill>
            <w14:solidFill>
              <w14:schemeClr w14:val="tx1"/>
            </w14:solidFill>
          </w14:textFill>
        </w:rPr>
      </w:pPr>
      <w:bookmarkStart w:id="125" w:name="EBb5dd68fd2a304dbeb6aeee6f34002852"/>
    </w:p>
    <w:p w14:paraId="657AF33D">
      <w:pPr>
        <w:pStyle w:val="161"/>
        <w:wordWrap w:val="0"/>
        <w:spacing w:line="500" w:lineRule="atLeast"/>
        <w:jc w:val="center"/>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目  录</w:t>
      </w:r>
    </w:p>
    <w:p w14:paraId="7BA779C7">
      <w:pPr>
        <w:pStyle w:val="161"/>
        <w:wordWrap w:val="0"/>
        <w:spacing w:line="500" w:lineRule="atLeast"/>
        <w:rPr>
          <w:rFonts w:ascii="宋体" w:hAnsi="宋体" w:eastAsia="宋体" w:cs="宋体"/>
          <w:b w:val="0"/>
          <w:bCs/>
          <w:color w:val="000000" w:themeColor="text1"/>
          <w14:textFill>
            <w14:solidFill>
              <w14:schemeClr w14:val="tx1"/>
            </w14:solidFill>
          </w14:textFill>
        </w:rPr>
      </w:pPr>
      <w:r>
        <w:rPr>
          <w:rFonts w:hint="eastAsia" w:ascii="宋体" w:hAnsi="宋体" w:eastAsia="宋体" w:cs="宋体"/>
          <w:b w:val="0"/>
          <w:bCs/>
          <w:color w:val="000000" w:themeColor="text1"/>
          <w14:textFill>
            <w14:solidFill>
              <w14:schemeClr w14:val="tx1"/>
            </w14:solidFill>
          </w14:textFill>
        </w:rPr>
        <w:t>一、磋商响应文件封面</w:t>
      </w:r>
    </w:p>
    <w:p w14:paraId="7B980803">
      <w:pPr>
        <w:pStyle w:val="161"/>
        <w:wordWrap w:val="0"/>
        <w:spacing w:line="500" w:lineRule="atLeast"/>
        <w:rPr>
          <w:rFonts w:ascii="宋体" w:hAnsi="宋体" w:eastAsia="宋体" w:cs="宋体"/>
          <w:b w:val="0"/>
          <w:bCs/>
          <w:color w:val="000000" w:themeColor="text1"/>
          <w14:textFill>
            <w14:solidFill>
              <w14:schemeClr w14:val="tx1"/>
            </w14:solidFill>
          </w14:textFill>
        </w:rPr>
      </w:pPr>
      <w:r>
        <w:rPr>
          <w:rFonts w:hint="eastAsia" w:ascii="宋体" w:hAnsi="宋体" w:eastAsia="宋体" w:cs="宋体"/>
          <w:b w:val="0"/>
          <w:bCs/>
          <w:color w:val="000000" w:themeColor="text1"/>
          <w14:textFill>
            <w14:solidFill>
              <w14:schemeClr w14:val="tx1"/>
            </w14:solidFill>
          </w14:textFill>
        </w:rPr>
        <w:t>二、营业执照</w:t>
      </w:r>
    </w:p>
    <w:p w14:paraId="055B33B3">
      <w:pPr>
        <w:pStyle w:val="161"/>
        <w:wordWrap w:val="0"/>
        <w:spacing w:line="500" w:lineRule="atLeast"/>
        <w:rPr>
          <w:rFonts w:ascii="宋体" w:hAnsi="宋体" w:eastAsia="宋体" w:cs="宋体"/>
          <w:b w:val="0"/>
          <w:bCs/>
          <w:color w:val="000000" w:themeColor="text1"/>
          <w14:textFill>
            <w14:solidFill>
              <w14:schemeClr w14:val="tx1"/>
            </w14:solidFill>
          </w14:textFill>
        </w:rPr>
      </w:pPr>
      <w:r>
        <w:rPr>
          <w:rFonts w:hint="eastAsia" w:ascii="宋体" w:hAnsi="宋体" w:eastAsia="宋体" w:cs="宋体"/>
          <w:b w:val="0"/>
          <w:bCs/>
          <w:color w:val="000000" w:themeColor="text1"/>
          <w14:textFill>
            <w14:solidFill>
              <w14:schemeClr w14:val="tx1"/>
            </w14:solidFill>
          </w14:textFill>
        </w:rPr>
        <w:t>三、投标保证金</w:t>
      </w:r>
    </w:p>
    <w:p w14:paraId="44D35DB4">
      <w:pPr>
        <w:pStyle w:val="161"/>
        <w:wordWrap w:val="0"/>
        <w:spacing w:line="500" w:lineRule="atLeast"/>
        <w:rPr>
          <w:rFonts w:ascii="宋体" w:hAnsi="宋体" w:eastAsia="宋体" w:cs="宋体"/>
          <w:b w:val="0"/>
          <w:bCs/>
          <w:color w:val="000000" w:themeColor="text1"/>
          <w14:textFill>
            <w14:solidFill>
              <w14:schemeClr w14:val="tx1"/>
            </w14:solidFill>
          </w14:textFill>
        </w:rPr>
      </w:pPr>
      <w:r>
        <w:rPr>
          <w:rFonts w:hint="eastAsia" w:ascii="宋体" w:hAnsi="宋体" w:eastAsia="宋体" w:cs="宋体"/>
          <w:b w:val="0"/>
          <w:bCs/>
          <w:color w:val="000000" w:themeColor="text1"/>
          <w14:textFill>
            <w14:solidFill>
              <w14:schemeClr w14:val="tx1"/>
            </w14:solidFill>
          </w14:textFill>
        </w:rPr>
        <w:t>四、供应商的资格声明</w:t>
      </w:r>
    </w:p>
    <w:p w14:paraId="340EE2A5">
      <w:pPr>
        <w:pStyle w:val="161"/>
        <w:wordWrap w:val="0"/>
        <w:spacing w:line="500" w:lineRule="atLeast"/>
        <w:rPr>
          <w:rFonts w:ascii="宋体" w:hAnsi="宋体" w:eastAsia="宋体" w:cs="宋体"/>
          <w:b w:val="0"/>
          <w:bCs/>
          <w:color w:val="000000" w:themeColor="text1"/>
          <w14:textFill>
            <w14:solidFill>
              <w14:schemeClr w14:val="tx1"/>
            </w14:solidFill>
          </w14:textFill>
        </w:rPr>
      </w:pPr>
      <w:r>
        <w:rPr>
          <w:rFonts w:hint="eastAsia" w:ascii="宋体" w:hAnsi="宋体" w:eastAsia="宋体" w:cs="宋体"/>
          <w:b w:val="0"/>
          <w:bCs/>
          <w:color w:val="000000" w:themeColor="text1"/>
          <w14:textFill>
            <w14:solidFill>
              <w14:schemeClr w14:val="tx1"/>
            </w14:solidFill>
          </w14:textFill>
        </w:rPr>
        <w:t>五、不参与围标串标承诺书</w:t>
      </w:r>
    </w:p>
    <w:p w14:paraId="1E054649">
      <w:pPr>
        <w:pStyle w:val="161"/>
        <w:wordWrap w:val="0"/>
        <w:spacing w:line="500" w:lineRule="atLeast"/>
        <w:rPr>
          <w:rFonts w:ascii="宋体" w:hAnsi="宋体" w:eastAsia="宋体" w:cs="宋体"/>
          <w:b w:val="0"/>
          <w:bCs/>
          <w:color w:val="000000" w:themeColor="text1"/>
          <w14:textFill>
            <w14:solidFill>
              <w14:schemeClr w14:val="tx1"/>
            </w14:solidFill>
          </w14:textFill>
        </w:rPr>
      </w:pPr>
      <w:r>
        <w:rPr>
          <w:rFonts w:hint="eastAsia" w:ascii="宋体" w:hAnsi="宋体" w:eastAsia="宋体" w:cs="宋体"/>
          <w:b w:val="0"/>
          <w:bCs/>
          <w:color w:val="000000" w:themeColor="text1"/>
          <w14:textFill>
            <w14:solidFill>
              <w14:schemeClr w14:val="tx1"/>
            </w14:solidFill>
          </w14:textFill>
        </w:rPr>
        <w:t>六、竞争性磋商函</w:t>
      </w:r>
    </w:p>
    <w:p w14:paraId="6BEC0222">
      <w:pPr>
        <w:pStyle w:val="161"/>
        <w:wordWrap w:val="0"/>
        <w:spacing w:line="500" w:lineRule="atLeast"/>
        <w:rPr>
          <w:rFonts w:ascii="宋体" w:hAnsi="宋体" w:eastAsia="宋体" w:cs="宋体"/>
          <w:b w:val="0"/>
          <w:bCs/>
          <w:color w:val="000000" w:themeColor="text1"/>
          <w14:textFill>
            <w14:solidFill>
              <w14:schemeClr w14:val="tx1"/>
            </w14:solidFill>
          </w14:textFill>
        </w:rPr>
      </w:pPr>
      <w:r>
        <w:rPr>
          <w:rFonts w:hint="eastAsia" w:ascii="宋体" w:hAnsi="宋体" w:eastAsia="宋体" w:cs="宋体"/>
          <w:b w:val="0"/>
          <w:bCs/>
          <w:color w:val="000000" w:themeColor="text1"/>
          <w14:textFill>
            <w14:solidFill>
              <w14:schemeClr w14:val="tx1"/>
            </w14:solidFill>
          </w14:textFill>
        </w:rPr>
        <w:t>七、开标一览表</w:t>
      </w:r>
    </w:p>
    <w:p w14:paraId="265B0B18">
      <w:pPr>
        <w:pStyle w:val="161"/>
        <w:wordWrap w:val="0"/>
        <w:spacing w:line="500" w:lineRule="atLeast"/>
        <w:rPr>
          <w:rFonts w:ascii="宋体" w:hAnsi="宋体" w:eastAsia="宋体" w:cs="宋体"/>
          <w:b w:val="0"/>
          <w:bCs/>
          <w:color w:val="000000" w:themeColor="text1"/>
          <w14:textFill>
            <w14:solidFill>
              <w14:schemeClr w14:val="tx1"/>
            </w14:solidFill>
          </w14:textFill>
        </w:rPr>
      </w:pPr>
      <w:r>
        <w:rPr>
          <w:rFonts w:hint="eastAsia" w:ascii="宋体" w:hAnsi="宋体" w:eastAsia="宋体" w:cs="宋体"/>
          <w:b w:val="0"/>
          <w:bCs/>
          <w:color w:val="000000" w:themeColor="text1"/>
          <w14:textFill>
            <w14:solidFill>
              <w14:schemeClr w14:val="tx1"/>
            </w14:solidFill>
          </w14:textFill>
        </w:rPr>
        <w:t>八、竞争性磋商报价明细表</w:t>
      </w:r>
    </w:p>
    <w:p w14:paraId="3CBE2EBD">
      <w:pPr>
        <w:pStyle w:val="161"/>
        <w:wordWrap w:val="0"/>
        <w:spacing w:line="500" w:lineRule="atLeast"/>
        <w:rPr>
          <w:rFonts w:ascii="宋体" w:hAnsi="宋体" w:eastAsia="宋体" w:cs="宋体"/>
          <w:b w:val="0"/>
          <w:bCs/>
          <w:color w:val="000000" w:themeColor="text1"/>
          <w14:textFill>
            <w14:solidFill>
              <w14:schemeClr w14:val="tx1"/>
            </w14:solidFill>
          </w14:textFill>
        </w:rPr>
      </w:pPr>
      <w:r>
        <w:rPr>
          <w:rFonts w:hint="eastAsia" w:ascii="宋体" w:hAnsi="宋体" w:eastAsia="宋体" w:cs="宋体"/>
          <w:b w:val="0"/>
          <w:bCs/>
          <w:color w:val="000000" w:themeColor="text1"/>
          <w14:textFill>
            <w14:solidFill>
              <w14:schemeClr w14:val="tx1"/>
            </w14:solidFill>
          </w14:textFill>
        </w:rPr>
        <w:t>九、商务响应、偏离说明表</w:t>
      </w:r>
    </w:p>
    <w:p w14:paraId="391799C1">
      <w:pPr>
        <w:pStyle w:val="161"/>
        <w:wordWrap w:val="0"/>
        <w:spacing w:line="500" w:lineRule="atLeast"/>
        <w:rPr>
          <w:rFonts w:ascii="宋体" w:hAnsi="宋体" w:eastAsia="宋体" w:cs="宋体"/>
          <w:b w:val="0"/>
          <w:bCs/>
          <w:color w:val="000000" w:themeColor="text1"/>
          <w14:textFill>
            <w14:solidFill>
              <w14:schemeClr w14:val="tx1"/>
            </w14:solidFill>
          </w14:textFill>
        </w:rPr>
      </w:pPr>
      <w:r>
        <w:rPr>
          <w:rFonts w:hint="eastAsia" w:ascii="宋体" w:hAnsi="宋体" w:eastAsia="宋体" w:cs="宋体"/>
          <w:b w:val="0"/>
          <w:bCs/>
          <w:color w:val="000000" w:themeColor="text1"/>
          <w14:textFill>
            <w14:solidFill>
              <w14:schemeClr w14:val="tx1"/>
            </w14:solidFill>
          </w14:textFill>
        </w:rPr>
        <w:t>十、供应商类似项目业绩表</w:t>
      </w:r>
    </w:p>
    <w:p w14:paraId="5C2CFEC1">
      <w:pPr>
        <w:pStyle w:val="161"/>
        <w:wordWrap w:val="0"/>
        <w:spacing w:line="500" w:lineRule="atLeast"/>
        <w:rPr>
          <w:rFonts w:ascii="宋体" w:hAnsi="宋体" w:eastAsia="宋体" w:cs="宋体"/>
          <w:b w:val="0"/>
          <w:bCs/>
          <w:color w:val="000000" w:themeColor="text1"/>
          <w14:textFill>
            <w14:solidFill>
              <w14:schemeClr w14:val="tx1"/>
            </w14:solidFill>
          </w14:textFill>
        </w:rPr>
      </w:pPr>
      <w:r>
        <w:rPr>
          <w:rFonts w:hint="eastAsia" w:ascii="宋体" w:hAnsi="宋体" w:eastAsia="宋体" w:cs="宋体"/>
          <w:b w:val="0"/>
          <w:bCs/>
          <w:color w:val="000000" w:themeColor="text1"/>
          <w14:textFill>
            <w14:solidFill>
              <w14:schemeClr w14:val="tx1"/>
            </w14:solidFill>
          </w14:textFill>
        </w:rPr>
        <w:t>十一、法定授权人委托书</w:t>
      </w:r>
    </w:p>
    <w:p w14:paraId="4B61563D">
      <w:pPr>
        <w:pStyle w:val="161"/>
        <w:wordWrap w:val="0"/>
        <w:spacing w:line="500" w:lineRule="atLeast"/>
        <w:rPr>
          <w:rFonts w:ascii="宋体" w:hAnsi="宋体" w:eastAsia="宋体" w:cs="宋体"/>
          <w:b w:val="0"/>
          <w:bCs/>
          <w:color w:val="000000" w:themeColor="text1"/>
          <w14:textFill>
            <w14:solidFill>
              <w14:schemeClr w14:val="tx1"/>
            </w14:solidFill>
          </w14:textFill>
        </w:rPr>
      </w:pPr>
      <w:r>
        <w:rPr>
          <w:rFonts w:hint="eastAsia" w:ascii="宋体" w:hAnsi="宋体" w:eastAsia="宋体" w:cs="宋体"/>
          <w:b w:val="0"/>
          <w:bCs/>
          <w:color w:val="000000" w:themeColor="text1"/>
          <w14:textFill>
            <w14:solidFill>
              <w14:schemeClr w14:val="tx1"/>
            </w14:solidFill>
          </w14:textFill>
        </w:rPr>
        <w:t>十二、技术响应、偏离说明表</w:t>
      </w:r>
    </w:p>
    <w:p w14:paraId="60B2C32F">
      <w:pPr>
        <w:pStyle w:val="161"/>
        <w:wordWrap w:val="0"/>
        <w:spacing w:line="500" w:lineRule="atLeast"/>
        <w:rPr>
          <w:rFonts w:ascii="宋体" w:hAnsi="宋体" w:eastAsia="宋体" w:cs="宋体"/>
          <w:b w:val="0"/>
          <w:bCs/>
          <w:color w:val="000000" w:themeColor="text1"/>
          <w14:textFill>
            <w14:solidFill>
              <w14:schemeClr w14:val="tx1"/>
            </w14:solidFill>
          </w14:textFill>
        </w:rPr>
      </w:pPr>
      <w:r>
        <w:rPr>
          <w:rFonts w:hint="eastAsia" w:ascii="宋体" w:hAnsi="宋体" w:eastAsia="宋体" w:cs="宋体"/>
          <w:b w:val="0"/>
          <w:bCs/>
          <w:color w:val="000000" w:themeColor="text1"/>
          <w14:textFill>
            <w14:solidFill>
              <w14:schemeClr w14:val="tx1"/>
            </w14:solidFill>
          </w14:textFill>
        </w:rPr>
        <w:t>十三、投标人自行编写的商务文件</w:t>
      </w:r>
    </w:p>
    <w:p w14:paraId="45F252CE">
      <w:pPr>
        <w:pStyle w:val="161"/>
        <w:wordWrap w:val="0"/>
        <w:spacing w:line="500" w:lineRule="atLeast"/>
        <w:rPr>
          <w:rFonts w:ascii="宋体" w:hAnsi="宋体" w:eastAsia="宋体" w:cs="宋体"/>
          <w:b w:val="0"/>
          <w:bCs/>
          <w:color w:val="000000" w:themeColor="text1"/>
          <w14:textFill>
            <w14:solidFill>
              <w14:schemeClr w14:val="tx1"/>
            </w14:solidFill>
          </w14:textFill>
        </w:rPr>
      </w:pPr>
      <w:r>
        <w:rPr>
          <w:rFonts w:hint="eastAsia" w:ascii="宋体" w:hAnsi="宋体" w:eastAsia="宋体" w:cs="宋体"/>
          <w:b w:val="0"/>
          <w:bCs/>
          <w:color w:val="000000" w:themeColor="text1"/>
          <w14:textFill>
            <w14:solidFill>
              <w14:schemeClr w14:val="tx1"/>
            </w14:solidFill>
          </w14:textFill>
        </w:rPr>
        <w:t>十四、投标人自行编写的技术文件</w:t>
      </w:r>
    </w:p>
    <w:p w14:paraId="71471A91">
      <w:pPr>
        <w:pStyle w:val="161"/>
        <w:wordWrap w:val="0"/>
        <w:spacing w:line="500" w:lineRule="atLeast"/>
        <w:rPr>
          <w:rFonts w:ascii="宋体" w:hAnsi="宋体" w:eastAsia="宋体" w:cs="宋体"/>
          <w:b w:val="0"/>
          <w:bCs/>
          <w:color w:val="000000" w:themeColor="text1"/>
          <w14:textFill>
            <w14:solidFill>
              <w14:schemeClr w14:val="tx1"/>
            </w14:solidFill>
          </w14:textFill>
        </w:rPr>
      </w:pPr>
      <w:r>
        <w:rPr>
          <w:rFonts w:hint="eastAsia" w:ascii="宋体" w:hAnsi="宋体" w:eastAsia="宋体" w:cs="宋体"/>
          <w:b w:val="0"/>
          <w:bCs/>
          <w:color w:val="000000" w:themeColor="text1"/>
          <w14:textFill>
            <w14:solidFill>
              <w14:schemeClr w14:val="tx1"/>
            </w14:solidFill>
          </w14:textFill>
        </w:rPr>
        <w:t>十五、其他材料</w:t>
      </w:r>
    </w:p>
    <w:p w14:paraId="71CC80C4">
      <w:pPr>
        <w:wordWrap w:val="0"/>
        <w:spacing w:line="500" w:lineRule="atLeast"/>
        <w:rPr>
          <w:rFonts w:ascii="宋体" w:hAnsi="宋体" w:cs="宋体"/>
          <w:color w:val="000000" w:themeColor="text1"/>
          <w:highlight w:val="red"/>
          <w14:textFill>
            <w14:solidFill>
              <w14:schemeClr w14:val="tx1"/>
            </w14:solidFill>
          </w14:textFill>
        </w:rPr>
      </w:pPr>
    </w:p>
    <w:p w14:paraId="5D2686FE">
      <w:pPr>
        <w:pStyle w:val="152"/>
        <w:wordWrap w:val="0"/>
        <w:spacing w:line="500" w:lineRule="atLeast"/>
        <w:outlineLvl w:val="2"/>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p>
    <w:p w14:paraId="2F929184">
      <w:pPr>
        <w:pStyle w:val="155"/>
        <w:wordWrap w:val="0"/>
        <w:spacing w:line="500" w:lineRule="atLeast"/>
        <w:jc w:val="center"/>
        <w:rPr>
          <w:rFonts w:ascii="宋体" w:hAnsi="宋体" w:cs="宋体"/>
          <w:b/>
          <w:color w:val="000000" w:themeColor="text1"/>
          <w:sz w:val="28"/>
          <w14:textFill>
            <w14:solidFill>
              <w14:schemeClr w14:val="tx1"/>
            </w14:solidFill>
          </w14:textFill>
        </w:rPr>
      </w:pPr>
      <w:r>
        <w:rPr>
          <w:rFonts w:hint="eastAsia" w:ascii="宋体" w:hAnsi="宋体" w:cs="宋体"/>
          <w:b/>
          <w:color w:val="000000" w:themeColor="text1"/>
          <w:sz w:val="28"/>
          <w14:textFill>
            <w14:solidFill>
              <w14:schemeClr w14:val="tx1"/>
            </w14:solidFill>
          </w14:textFill>
        </w:rPr>
        <w:t>一、磋商响应文件封面</w:t>
      </w:r>
    </w:p>
    <w:p w14:paraId="57A192AC">
      <w:pPr>
        <w:pStyle w:val="155"/>
        <w:wordWrap w:val="0"/>
        <w:spacing w:line="500" w:lineRule="atLeast"/>
        <w:jc w:val="center"/>
        <w:rPr>
          <w:rFonts w:ascii="宋体" w:hAnsi="宋体" w:cs="宋体"/>
          <w:color w:val="000000" w:themeColor="text1"/>
          <w:sz w:val="28"/>
          <w14:textFill>
            <w14:solidFill>
              <w14:schemeClr w14:val="tx1"/>
            </w14:solidFill>
          </w14:textFill>
        </w:rPr>
      </w:pPr>
    </w:p>
    <w:p w14:paraId="3ABD1157">
      <w:pPr>
        <w:pStyle w:val="155"/>
        <w:wordWrap w:val="0"/>
        <w:spacing w:line="500" w:lineRule="atLeast"/>
        <w:jc w:val="center"/>
        <w:rPr>
          <w:rFonts w:ascii="宋体" w:hAnsi="宋体" w:cs="宋体"/>
          <w:color w:val="000000" w:themeColor="text1"/>
          <w:sz w:val="28"/>
          <w14:textFill>
            <w14:solidFill>
              <w14:schemeClr w14:val="tx1"/>
            </w14:solidFill>
          </w14:textFill>
        </w:rPr>
      </w:pPr>
    </w:p>
    <w:p w14:paraId="43316C79">
      <w:pPr>
        <w:pStyle w:val="155"/>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 xml:space="preserve">                </w:t>
      </w:r>
      <w:r>
        <w:rPr>
          <w:rFonts w:hint="eastAsia" w:ascii="宋体" w:hAnsi="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14:textFill>
            <w14:solidFill>
              <w14:schemeClr w14:val="tx1"/>
            </w14:solidFill>
          </w14:textFill>
        </w:rPr>
        <w:t>（项目名称）</w:t>
      </w:r>
    </w:p>
    <w:p w14:paraId="50F090C8">
      <w:pPr>
        <w:pStyle w:val="155"/>
        <w:wordWrap w:val="0"/>
        <w:spacing w:line="500" w:lineRule="atLeast"/>
        <w:jc w:val="center"/>
        <w:rPr>
          <w:rFonts w:ascii="宋体" w:hAnsi="宋体" w:cs="宋体"/>
          <w:color w:val="000000" w:themeColor="text1"/>
          <w:sz w:val="28"/>
          <w:szCs w:val="28"/>
          <w14:textFill>
            <w14:solidFill>
              <w14:schemeClr w14:val="tx1"/>
            </w14:solidFill>
          </w14:textFill>
        </w:rPr>
      </w:pPr>
    </w:p>
    <w:p w14:paraId="2E21ADCB">
      <w:pPr>
        <w:pStyle w:val="155"/>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 xml:space="preserve">                </w:t>
      </w:r>
      <w:r>
        <w:rPr>
          <w:rFonts w:hint="eastAsia" w:ascii="宋体" w:hAnsi="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14:textFill>
            <w14:solidFill>
              <w14:schemeClr w14:val="tx1"/>
            </w14:solidFill>
          </w14:textFill>
        </w:rPr>
        <w:t>（项目编号）</w:t>
      </w:r>
    </w:p>
    <w:p w14:paraId="7A4F8316">
      <w:pPr>
        <w:pStyle w:val="155"/>
        <w:wordWrap w:val="0"/>
        <w:spacing w:line="500" w:lineRule="atLeast"/>
        <w:jc w:val="center"/>
        <w:rPr>
          <w:rFonts w:ascii="宋体" w:hAnsi="宋体" w:cs="宋体"/>
          <w:color w:val="000000" w:themeColor="text1"/>
          <w:sz w:val="28"/>
          <w:szCs w:val="28"/>
          <w14:textFill>
            <w14:solidFill>
              <w14:schemeClr w14:val="tx1"/>
            </w14:solidFill>
          </w14:textFill>
        </w:rPr>
      </w:pPr>
    </w:p>
    <w:p w14:paraId="3B32F693">
      <w:pPr>
        <w:pStyle w:val="155"/>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 xml:space="preserve">               </w:t>
      </w:r>
    </w:p>
    <w:p w14:paraId="79DC46ED">
      <w:pPr>
        <w:pStyle w:val="155"/>
        <w:wordWrap w:val="0"/>
        <w:spacing w:line="500" w:lineRule="atLeast"/>
        <w:jc w:val="center"/>
        <w:rPr>
          <w:rFonts w:ascii="宋体" w:hAnsi="宋体" w:cs="宋体"/>
          <w:color w:val="000000" w:themeColor="text1"/>
          <w:sz w:val="28"/>
          <w14:textFill>
            <w14:solidFill>
              <w14:schemeClr w14:val="tx1"/>
            </w14:solidFill>
          </w14:textFill>
        </w:rPr>
      </w:pPr>
    </w:p>
    <w:p w14:paraId="77BDDF9A">
      <w:pPr>
        <w:pStyle w:val="155"/>
        <w:wordWrap w:val="0"/>
        <w:spacing w:line="500" w:lineRule="atLeast"/>
        <w:jc w:val="center"/>
        <w:rPr>
          <w:rFonts w:ascii="宋体" w:hAnsi="宋体" w:cs="宋体"/>
          <w:color w:val="000000" w:themeColor="text1"/>
          <w:sz w:val="28"/>
          <w14:textFill>
            <w14:solidFill>
              <w14:schemeClr w14:val="tx1"/>
            </w14:solidFill>
          </w14:textFill>
        </w:rPr>
      </w:pPr>
    </w:p>
    <w:p w14:paraId="0469164D">
      <w:pPr>
        <w:pStyle w:val="155"/>
        <w:wordWrap w:val="0"/>
        <w:spacing w:line="500" w:lineRule="atLeast"/>
        <w:jc w:val="center"/>
        <w:rPr>
          <w:rFonts w:ascii="宋体" w:hAnsi="宋体" w:cs="宋体"/>
          <w:b/>
          <w:color w:val="000000" w:themeColor="text1"/>
          <w:sz w:val="72"/>
          <w:szCs w:val="72"/>
          <w14:textFill>
            <w14:solidFill>
              <w14:schemeClr w14:val="tx1"/>
            </w14:solidFill>
          </w14:textFill>
        </w:rPr>
      </w:pPr>
      <w:r>
        <w:rPr>
          <w:rFonts w:hint="eastAsia" w:ascii="宋体" w:hAnsi="宋体" w:cs="宋体"/>
          <w:b/>
          <w:color w:val="000000" w:themeColor="text1"/>
          <w:sz w:val="72"/>
          <w:szCs w:val="72"/>
          <w14:textFill>
            <w14:solidFill>
              <w14:schemeClr w14:val="tx1"/>
            </w14:solidFill>
          </w14:textFill>
        </w:rPr>
        <w:t>响应文件</w:t>
      </w:r>
    </w:p>
    <w:p w14:paraId="64178585">
      <w:pPr>
        <w:pStyle w:val="155"/>
        <w:wordWrap w:val="0"/>
        <w:spacing w:line="500" w:lineRule="atLeast"/>
        <w:jc w:val="center"/>
        <w:rPr>
          <w:rFonts w:ascii="宋体" w:hAnsi="宋体" w:cs="宋体"/>
          <w:color w:val="000000" w:themeColor="text1"/>
          <w:sz w:val="28"/>
          <w14:textFill>
            <w14:solidFill>
              <w14:schemeClr w14:val="tx1"/>
            </w14:solidFill>
          </w14:textFill>
        </w:rPr>
      </w:pPr>
    </w:p>
    <w:p w14:paraId="60FA931A">
      <w:pPr>
        <w:pStyle w:val="155"/>
        <w:wordWrap w:val="0"/>
        <w:spacing w:line="500" w:lineRule="atLeast"/>
        <w:rPr>
          <w:rFonts w:ascii="宋体" w:hAnsi="宋体" w:cs="宋体"/>
          <w:b/>
          <w:color w:val="000000" w:themeColor="text1"/>
          <w:sz w:val="28"/>
          <w14:textFill>
            <w14:solidFill>
              <w14:schemeClr w14:val="tx1"/>
            </w14:solidFill>
          </w14:textFill>
        </w:rPr>
      </w:pPr>
    </w:p>
    <w:p w14:paraId="1EE92804">
      <w:pPr>
        <w:pStyle w:val="155"/>
        <w:wordWrap w:val="0"/>
        <w:spacing w:line="500" w:lineRule="atLeast"/>
        <w:jc w:val="center"/>
        <w:rPr>
          <w:rFonts w:ascii="宋体" w:hAnsi="宋体" w:cs="宋体"/>
          <w:b/>
          <w:color w:val="000000" w:themeColor="text1"/>
          <w:sz w:val="28"/>
          <w14:textFill>
            <w14:solidFill>
              <w14:schemeClr w14:val="tx1"/>
            </w14:solidFill>
          </w14:textFill>
        </w:rPr>
      </w:pPr>
    </w:p>
    <w:p w14:paraId="74EE9D30">
      <w:pPr>
        <w:pStyle w:val="155"/>
        <w:wordWrap w:val="0"/>
        <w:spacing w:line="500" w:lineRule="atLeast"/>
        <w:jc w:val="center"/>
        <w:rPr>
          <w:rFonts w:ascii="宋体" w:hAnsi="宋体" w:cs="宋体"/>
          <w:b/>
          <w:color w:val="000000" w:themeColor="text1"/>
          <w:sz w:val="28"/>
          <w14:textFill>
            <w14:solidFill>
              <w14:schemeClr w14:val="tx1"/>
            </w14:solidFill>
          </w14:textFill>
        </w:rPr>
      </w:pPr>
    </w:p>
    <w:p w14:paraId="4EB57D2E">
      <w:pPr>
        <w:pStyle w:val="155"/>
        <w:wordWrap w:val="0"/>
        <w:spacing w:line="500" w:lineRule="atLeast"/>
        <w:jc w:val="center"/>
        <w:rPr>
          <w:rFonts w:ascii="宋体" w:hAnsi="宋体" w:cs="宋体"/>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投标人</w:t>
      </w:r>
      <w:r>
        <w:rPr>
          <w:rFonts w:hint="eastAsia" w:ascii="宋体" w:hAnsi="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14:textFill>
            <w14:solidFill>
              <w14:schemeClr w14:val="tx1"/>
            </w14:solidFill>
          </w14:textFill>
        </w:rPr>
        <w:t>（盖章）</w:t>
      </w:r>
    </w:p>
    <w:p w14:paraId="3C85D716">
      <w:pPr>
        <w:pStyle w:val="155"/>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法定代表人</w:t>
      </w:r>
      <w:r>
        <w:rPr>
          <w:rFonts w:hint="eastAsia" w:ascii="宋体" w:hAnsi="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14:textFill>
            <w14:solidFill>
              <w14:schemeClr w14:val="tx1"/>
            </w14:solidFill>
          </w14:textFill>
        </w:rPr>
        <w:t>（签字或盖章）</w:t>
      </w:r>
    </w:p>
    <w:p w14:paraId="21654A14">
      <w:pPr>
        <w:pStyle w:val="155"/>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日期</w:t>
      </w:r>
      <w:r>
        <w:rPr>
          <w:rFonts w:hint="eastAsia" w:ascii="宋体" w:hAnsi="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14:textFill>
            <w14:solidFill>
              <w14:schemeClr w14:val="tx1"/>
            </w14:solidFill>
          </w14:textFill>
        </w:rPr>
        <w:t>（年/月/日）</w:t>
      </w:r>
    </w:p>
    <w:p w14:paraId="39D94E08">
      <w:pPr>
        <w:pStyle w:val="160"/>
        <w:wordWrap w:val="0"/>
        <w:spacing w:line="500" w:lineRule="atLeast"/>
        <w:outlineLvl w:val="2"/>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p>
    <w:p w14:paraId="1055722E">
      <w:pPr>
        <w:pStyle w:val="160"/>
        <w:wordWrap w:val="0"/>
        <w:spacing w:line="500" w:lineRule="atLeast"/>
        <w:jc w:val="center"/>
        <w:outlineLvl w:val="2"/>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二</w:t>
      </w:r>
      <w:r>
        <w:rPr>
          <w:rFonts w:hint="eastAsia" w:ascii="宋体" w:hAnsi="宋体" w:eastAsia="宋体" w:cs="宋体"/>
          <w:color w:val="000000" w:themeColor="text1"/>
          <w14:textFill>
            <w14:solidFill>
              <w14:schemeClr w14:val="tx1"/>
            </w14:solidFill>
          </w14:textFill>
        </w:rPr>
        <w:t>、营业执照</w:t>
      </w:r>
    </w:p>
    <w:p w14:paraId="159C21CC">
      <w:pPr>
        <w:pStyle w:val="118"/>
        <w:wordWrap w:val="0"/>
        <w:spacing w:line="500" w:lineRule="atLeast"/>
        <w:ind w:firstLine="560" w:firstLineChars="200"/>
        <w:rPr>
          <w:rFonts w:ascii="宋体" w:hAnsi="宋体" w:cs="宋体"/>
          <w:color w:val="000000" w:themeColor="text1"/>
          <w14:textFill>
            <w14:solidFill>
              <w14:schemeClr w14:val="tx1"/>
            </w14:solidFill>
          </w14:textFill>
        </w:rPr>
      </w:pPr>
    </w:p>
    <w:p w14:paraId="55390D4D">
      <w:pPr>
        <w:pStyle w:val="118"/>
        <w:wordWrap w:val="0"/>
        <w:spacing w:line="500" w:lineRule="atLeast"/>
        <w:ind w:firstLine="56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说明：此处上传</w:t>
      </w:r>
      <w:r>
        <w:rPr>
          <w:rFonts w:hint="eastAsia" w:ascii="宋体" w:hAnsi="宋体" w:cs="宋体"/>
          <w:color w:val="000000" w:themeColor="text1"/>
          <w:lang w:val="en-US" w:eastAsia="zh-CN"/>
          <w14:textFill>
            <w14:solidFill>
              <w14:schemeClr w14:val="tx1"/>
            </w14:solidFill>
          </w14:textFill>
        </w:rPr>
        <w:t>有效</w:t>
      </w:r>
      <w:r>
        <w:rPr>
          <w:rFonts w:hint="eastAsia" w:ascii="宋体" w:hAnsi="宋体" w:cs="宋体"/>
          <w:color w:val="000000" w:themeColor="text1"/>
          <w14:textFill>
            <w14:solidFill>
              <w14:schemeClr w14:val="tx1"/>
            </w14:solidFill>
          </w14:textFill>
        </w:rPr>
        <w:t>营业执照。</w:t>
      </w:r>
    </w:p>
    <w:p w14:paraId="02317F0E">
      <w:pPr>
        <w:pStyle w:val="133"/>
        <w:wordWrap w:val="0"/>
        <w:spacing w:line="500" w:lineRule="atLeast"/>
        <w:jc w:val="center"/>
        <w:outlineLvl w:val="2"/>
        <w:rPr>
          <w:rFonts w:hint="eastAsia"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r>
        <w:rPr>
          <w:rFonts w:hint="eastAsia" w:ascii="宋体" w:hAnsi="宋体" w:eastAsia="宋体" w:cs="宋体"/>
          <w:color w:val="000000" w:themeColor="text1"/>
          <w14:textFill>
            <w14:solidFill>
              <w14:schemeClr w14:val="tx1"/>
            </w14:solidFill>
          </w14:textFill>
        </w:rPr>
        <w:t>三、投标保证金</w:t>
      </w:r>
    </w:p>
    <w:p w14:paraId="3880169A">
      <w:pPr>
        <w:pStyle w:val="136"/>
        <w:wordWrap w:val="0"/>
        <w:spacing w:line="500" w:lineRule="atLeast"/>
        <w:rPr>
          <w:rFonts w:ascii="宋体" w:hAnsi="宋体" w:cs="宋体"/>
          <w:color w:val="000000" w:themeColor="text1"/>
          <w14:textFill>
            <w14:solidFill>
              <w14:schemeClr w14:val="tx1"/>
            </w14:solidFill>
          </w14:textFill>
        </w:rPr>
      </w:pPr>
    </w:p>
    <w:p w14:paraId="4D1C913A">
      <w:pPr>
        <w:pStyle w:val="78"/>
        <w:tabs>
          <w:tab w:val="left" w:pos="8786"/>
        </w:tabs>
        <w:wordWrap w:val="0"/>
        <w:spacing w:after="0" w:line="500" w:lineRule="atLeast"/>
        <w:rPr>
          <w:rFonts w:ascii="宋体" w:hAnsi="宋体" w:cs="宋体"/>
          <w:color w:val="000000" w:themeColor="text1"/>
          <w:sz w:val="28"/>
          <w14:textFill>
            <w14:solidFill>
              <w14:schemeClr w14:val="tx1"/>
            </w14:solidFill>
          </w14:textFill>
        </w:rPr>
      </w:pPr>
      <w:r>
        <w:rPr>
          <w:rFonts w:hint="eastAsia" w:ascii="宋体" w:hAnsi="宋体" w:cs="宋体"/>
          <w:b/>
          <w:color w:val="000000" w:themeColor="text1"/>
          <w:sz w:val="28"/>
          <w14:textFill>
            <w14:solidFill>
              <w14:schemeClr w14:val="tx1"/>
            </w14:solidFill>
          </w14:textFill>
        </w:rPr>
        <w:t xml:space="preserve">   </w:t>
      </w:r>
      <w:r>
        <w:rPr>
          <w:rFonts w:hint="eastAsia" w:ascii="宋体" w:hAnsi="宋体" w:cs="宋体"/>
          <w:color w:val="000000" w:themeColor="text1"/>
          <w:sz w:val="28"/>
          <w14:textFill>
            <w14:solidFill>
              <w14:schemeClr w14:val="tx1"/>
            </w14:solidFill>
          </w14:textFill>
        </w:rPr>
        <w:t>说明</w:t>
      </w:r>
      <w:r>
        <w:rPr>
          <w:rFonts w:hint="eastAsia" w:ascii="宋体" w:hAnsi="宋体" w:eastAsia="宋体" w:cs="宋体"/>
          <w:b/>
          <w:color w:val="000000" w:themeColor="text1"/>
          <w:sz w:val="28"/>
          <w14:textFill>
            <w14:solidFill>
              <w14:schemeClr w14:val="tx1"/>
            </w14:solidFill>
          </w14:textFill>
        </w:rPr>
        <w:t>：</w:t>
      </w:r>
      <w:r>
        <w:rPr>
          <w:rFonts w:hint="eastAsia" w:ascii="宋体" w:hAnsi="宋体" w:eastAsia="宋体" w:cs="宋体"/>
          <w:color w:val="000000" w:themeColor="text1"/>
          <w:sz w:val="28"/>
          <w14:textFill>
            <w14:solidFill>
              <w14:schemeClr w14:val="tx1"/>
            </w14:solidFill>
          </w14:textFill>
        </w:rPr>
        <w:t>保证金交纳凭证或银行转账成功的截图</w:t>
      </w:r>
      <w:r>
        <w:rPr>
          <w:rFonts w:hint="eastAsia" w:ascii="宋体" w:hAnsi="宋体" w:cs="宋体"/>
          <w:color w:val="000000" w:themeColor="text1"/>
          <w:sz w:val="28"/>
          <w:lang w:val="en-US" w:eastAsia="zh-CN"/>
          <w14:textFill>
            <w14:solidFill>
              <w14:schemeClr w14:val="tx1"/>
            </w14:solidFill>
          </w14:textFill>
        </w:rPr>
        <w:t>及基本账户信息</w:t>
      </w:r>
      <w:r>
        <w:rPr>
          <w:rFonts w:hint="eastAsia" w:ascii="宋体" w:hAnsi="宋体" w:eastAsia="宋体" w:cs="宋体"/>
          <w:color w:val="000000" w:themeColor="text1"/>
          <w:sz w:val="28"/>
          <w14:textFill>
            <w14:solidFill>
              <w14:schemeClr w14:val="tx1"/>
            </w14:solidFill>
          </w14:textFill>
        </w:rPr>
        <w:t>；</w:t>
      </w:r>
    </w:p>
    <w:p w14:paraId="20DF05E0">
      <w:pPr>
        <w:pStyle w:val="132"/>
        <w:keepNext w:val="0"/>
        <w:keepLines w:val="0"/>
        <w:pageBreakBefore w:val="0"/>
        <w:kinsoku/>
        <w:wordWrap w:val="0"/>
        <w:overflowPunct/>
        <w:topLinePunct w:val="0"/>
        <w:autoSpaceDE/>
        <w:autoSpaceDN/>
        <w:bidi w:val="0"/>
        <w:adjustRightInd/>
        <w:snapToGrid/>
        <w:spacing w:line="360" w:lineRule="auto"/>
        <w:jc w:val="center"/>
        <w:textAlignment w:val="auto"/>
        <w:outlineLvl w:val="2"/>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r>
        <w:rPr>
          <w:rFonts w:hint="eastAsia" w:ascii="宋体" w:hAnsi="宋体" w:eastAsia="宋体" w:cs="宋体"/>
          <w:color w:val="000000" w:themeColor="text1"/>
          <w14:textFill>
            <w14:solidFill>
              <w14:schemeClr w14:val="tx1"/>
            </w14:solidFill>
          </w14:textFill>
        </w:rPr>
        <w:t>四、供应商的资格声明</w:t>
      </w:r>
    </w:p>
    <w:p w14:paraId="71002AE5">
      <w:pPr>
        <w:pStyle w:val="159"/>
        <w:keepNext w:val="0"/>
        <w:keepLines w:val="0"/>
        <w:pageBreakBefore w:val="0"/>
        <w:widowControl w:val="0"/>
        <w:kinsoku/>
        <w:wordWrap w:val="0"/>
        <w:overflowPunct/>
        <w:topLinePunct w:val="0"/>
        <w:autoSpaceDE/>
        <w:autoSpaceDN/>
        <w:bidi w:val="0"/>
        <w:adjustRightInd/>
        <w:snapToGrid/>
        <w:spacing w:line="360" w:lineRule="auto"/>
        <w:textAlignment w:val="auto"/>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供应商认为需要声明的其它情况</w:t>
      </w:r>
      <w:r>
        <w:rPr>
          <w:rFonts w:hint="eastAsia" w:ascii="宋体" w:hAnsi="宋体" w:cs="宋体"/>
          <w:b/>
          <w:bCs/>
          <w:color w:val="000000" w:themeColor="text1"/>
          <w:sz w:val="28"/>
          <w:szCs w:val="28"/>
          <w14:textFill>
            <w14:solidFill>
              <w14:schemeClr w14:val="tx1"/>
            </w14:solidFill>
          </w14:textFill>
        </w:rPr>
        <w:t>（以下需提供证明材料）</w:t>
      </w:r>
      <w:r>
        <w:rPr>
          <w:rFonts w:hint="eastAsia" w:ascii="宋体" w:hAnsi="宋体" w:cs="宋体"/>
          <w:color w:val="000000" w:themeColor="text1"/>
          <w:sz w:val="28"/>
          <w:szCs w:val="28"/>
          <w14:textFill>
            <w14:solidFill>
              <w14:schemeClr w14:val="tx1"/>
            </w14:solidFill>
          </w14:textFill>
        </w:rPr>
        <w:t>：</w:t>
      </w:r>
    </w:p>
    <w:p w14:paraId="13C5E5DF">
      <w:pPr>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color w:val="000000" w:themeColor="text1"/>
          <w:kern w:val="2"/>
          <w:sz w:val="28"/>
          <w:szCs w:val="28"/>
          <w:lang w:val="en-US" w:eastAsia="zh-CN" w:bidi="ar-SA"/>
          <w14:textFill>
            <w14:solidFill>
              <w14:schemeClr w14:val="tx1"/>
            </w14:solidFill>
          </w14:textFill>
        </w:rPr>
      </w:pPr>
      <w:r>
        <w:rPr>
          <w:rFonts w:hint="eastAsia" w:ascii="宋体" w:hAnsi="宋体" w:eastAsia="宋体" w:cs="宋体"/>
          <w:color w:val="000000" w:themeColor="text1"/>
          <w:kern w:val="2"/>
          <w:sz w:val="28"/>
          <w:szCs w:val="28"/>
          <w:lang w:val="en-US" w:eastAsia="zh-CN" w:bidi="ar-SA"/>
          <w14:textFill>
            <w14:solidFill>
              <w14:schemeClr w14:val="tx1"/>
            </w14:solidFill>
          </w14:textFill>
        </w:rPr>
        <w:t>一、供应商应具备《中华人民共和国政府采购法》第二十二条和《中华人民共和国政府采购法实施条列》第十七条中规定的条件；</w:t>
      </w:r>
    </w:p>
    <w:p w14:paraId="3AA5AA6C">
      <w:pPr>
        <w:keepNext w:val="0"/>
        <w:keepLines w:val="0"/>
        <w:pageBreakBefore w:val="0"/>
        <w:widowControl w:val="0"/>
        <w:numPr>
          <w:ilvl w:val="0"/>
          <w:numId w:val="0"/>
        </w:numPr>
        <w:kinsoku/>
        <w:overflowPunct/>
        <w:topLinePunct w:val="0"/>
        <w:autoSpaceDE/>
        <w:autoSpaceDN/>
        <w:bidi w:val="0"/>
        <w:adjustRightInd/>
        <w:snapToGrid/>
        <w:spacing w:line="360" w:lineRule="auto"/>
        <w:jc w:val="left"/>
        <w:textAlignment w:val="auto"/>
        <w:rPr>
          <w:rFonts w:hint="eastAsia" w:ascii="宋体" w:hAnsi="宋体" w:eastAsia="宋体" w:cs="宋体"/>
          <w:color w:val="000000" w:themeColor="text1"/>
          <w:kern w:val="2"/>
          <w:sz w:val="28"/>
          <w:szCs w:val="28"/>
          <w:lang w:val="en-US" w:eastAsia="zh-CN" w:bidi="ar-SA"/>
          <w14:textFill>
            <w14:solidFill>
              <w14:schemeClr w14:val="tx1"/>
            </w14:solidFill>
          </w14:textFill>
        </w:rPr>
      </w:pPr>
      <w:r>
        <w:rPr>
          <w:rFonts w:hint="eastAsia" w:ascii="宋体" w:hAnsi="宋体" w:eastAsia="宋体" w:cs="宋体"/>
          <w:color w:val="000000" w:themeColor="text1"/>
          <w:kern w:val="2"/>
          <w:sz w:val="28"/>
          <w:szCs w:val="28"/>
          <w:lang w:val="en-US" w:eastAsia="zh-CN" w:bidi="ar-SA"/>
          <w14:textFill>
            <w14:solidFill>
              <w14:schemeClr w14:val="tx1"/>
            </w14:solidFill>
          </w14:textFill>
        </w:rPr>
        <w:t>（1）具有独立承担民事责任的能力，提供有效的营业执照；</w:t>
      </w:r>
    </w:p>
    <w:p w14:paraId="679ABD45">
      <w:pPr>
        <w:keepNext w:val="0"/>
        <w:keepLines w:val="0"/>
        <w:pageBreakBefore w:val="0"/>
        <w:widowControl w:val="0"/>
        <w:numPr>
          <w:ilvl w:val="0"/>
          <w:numId w:val="0"/>
        </w:numPr>
        <w:kinsoku/>
        <w:overflowPunct/>
        <w:topLinePunct w:val="0"/>
        <w:autoSpaceDE/>
        <w:autoSpaceDN/>
        <w:bidi w:val="0"/>
        <w:adjustRightInd/>
        <w:snapToGrid/>
        <w:spacing w:line="360" w:lineRule="auto"/>
        <w:jc w:val="left"/>
        <w:textAlignment w:val="auto"/>
        <w:rPr>
          <w:rFonts w:hint="eastAsia" w:ascii="宋体" w:hAnsi="宋体" w:eastAsia="宋体" w:cs="宋体"/>
          <w:color w:val="000000" w:themeColor="text1"/>
          <w:kern w:val="2"/>
          <w:sz w:val="28"/>
          <w:szCs w:val="28"/>
          <w:lang w:val="en-US" w:eastAsia="zh-CN" w:bidi="ar-SA"/>
          <w14:textFill>
            <w14:solidFill>
              <w14:schemeClr w14:val="tx1"/>
            </w14:solidFill>
          </w14:textFill>
        </w:rPr>
      </w:pPr>
      <w:r>
        <w:rPr>
          <w:rFonts w:hint="eastAsia" w:ascii="宋体" w:hAnsi="宋体" w:eastAsia="宋体" w:cs="宋体"/>
          <w:color w:val="000000" w:themeColor="text1"/>
          <w:kern w:val="2"/>
          <w:sz w:val="28"/>
          <w:szCs w:val="28"/>
          <w:lang w:val="en-US" w:eastAsia="zh-CN" w:bidi="ar-SA"/>
          <w14:textFill>
            <w14:solidFill>
              <w14:schemeClr w14:val="tx1"/>
            </w14:solidFill>
          </w14:textFill>
        </w:rPr>
        <w:t>（2）具有良好的商业信誉和健全的财务会计制度，提供2024年的财务审计报告或财务报表（如供应商新成立的，则提供成立至今的财务报表）。</w:t>
      </w:r>
    </w:p>
    <w:p w14:paraId="507F1C84">
      <w:pPr>
        <w:keepNext w:val="0"/>
        <w:keepLines w:val="0"/>
        <w:pageBreakBefore w:val="0"/>
        <w:widowControl w:val="0"/>
        <w:kinsoku/>
        <w:overflowPunct/>
        <w:topLinePunct w:val="0"/>
        <w:autoSpaceDE/>
        <w:autoSpaceDN/>
        <w:bidi w:val="0"/>
        <w:adjustRightInd/>
        <w:snapToGrid/>
        <w:spacing w:line="360" w:lineRule="auto"/>
        <w:jc w:val="left"/>
        <w:textAlignment w:val="auto"/>
        <w:rPr>
          <w:rFonts w:hint="eastAsia" w:ascii="宋体" w:hAnsi="宋体" w:eastAsia="宋体" w:cs="宋体"/>
          <w:color w:val="000000" w:themeColor="text1"/>
          <w:kern w:val="2"/>
          <w:sz w:val="28"/>
          <w:szCs w:val="28"/>
          <w:lang w:val="en-US" w:eastAsia="zh-CN" w:bidi="ar-SA"/>
          <w14:textFill>
            <w14:solidFill>
              <w14:schemeClr w14:val="tx1"/>
            </w14:solidFill>
          </w14:textFill>
        </w:rPr>
      </w:pPr>
      <w:r>
        <w:rPr>
          <w:rFonts w:hint="eastAsia" w:ascii="宋体" w:hAnsi="宋体" w:eastAsia="宋体" w:cs="宋体"/>
          <w:color w:val="000000" w:themeColor="text1"/>
          <w:kern w:val="2"/>
          <w:sz w:val="28"/>
          <w:szCs w:val="28"/>
          <w:lang w:val="en-US" w:eastAsia="zh-CN" w:bidi="ar-SA"/>
          <w14:textFill>
            <w14:solidFill>
              <w14:schemeClr w14:val="tx1"/>
            </w14:solidFill>
          </w14:textFill>
        </w:rPr>
        <w:t>（3）投标人具有履行合同所必需的设备和专业技术能力（详见格式）</w:t>
      </w:r>
    </w:p>
    <w:p w14:paraId="4DF4CAA2">
      <w:pPr>
        <w:keepNext w:val="0"/>
        <w:keepLines w:val="0"/>
        <w:pageBreakBefore w:val="0"/>
        <w:widowControl w:val="0"/>
        <w:kinsoku/>
        <w:overflowPunct/>
        <w:topLinePunct w:val="0"/>
        <w:autoSpaceDE/>
        <w:autoSpaceDN/>
        <w:bidi w:val="0"/>
        <w:adjustRightInd/>
        <w:snapToGrid/>
        <w:spacing w:line="360" w:lineRule="auto"/>
        <w:jc w:val="left"/>
        <w:textAlignment w:val="auto"/>
        <w:rPr>
          <w:rFonts w:hint="eastAsia" w:ascii="宋体" w:hAnsi="宋体" w:eastAsia="宋体" w:cs="宋体"/>
          <w:color w:val="000000" w:themeColor="text1"/>
          <w:kern w:val="2"/>
          <w:sz w:val="28"/>
          <w:szCs w:val="28"/>
          <w:lang w:val="en-US" w:eastAsia="zh-CN" w:bidi="ar-SA"/>
          <w14:textFill>
            <w14:solidFill>
              <w14:schemeClr w14:val="tx1"/>
            </w14:solidFill>
          </w14:textFill>
        </w:rPr>
      </w:pPr>
      <w:r>
        <w:rPr>
          <w:rFonts w:hint="eastAsia" w:ascii="宋体" w:hAnsi="宋体" w:eastAsia="宋体" w:cs="宋体"/>
          <w:color w:val="000000" w:themeColor="text1"/>
          <w:kern w:val="2"/>
          <w:sz w:val="28"/>
          <w:szCs w:val="28"/>
          <w:lang w:val="en-US" w:eastAsia="zh-CN" w:bidi="ar-SA"/>
          <w14:textFill>
            <w14:solidFill>
              <w14:schemeClr w14:val="tx1"/>
            </w14:solidFill>
          </w14:textFill>
        </w:rPr>
        <w:t>（4）具有依法缴纳税收和社会保障资金的良好记录，提供近半年任意1个月依法缴纳税收和缴纳社会保障资金的证明；</w:t>
      </w:r>
    </w:p>
    <w:p w14:paraId="3B2BBEA3">
      <w:pPr>
        <w:keepNext w:val="0"/>
        <w:keepLines w:val="0"/>
        <w:pageBreakBefore w:val="0"/>
        <w:widowControl w:val="0"/>
        <w:kinsoku/>
        <w:overflowPunct/>
        <w:topLinePunct w:val="0"/>
        <w:autoSpaceDE/>
        <w:autoSpaceDN/>
        <w:bidi w:val="0"/>
        <w:adjustRightInd/>
        <w:snapToGrid/>
        <w:spacing w:line="360" w:lineRule="auto"/>
        <w:jc w:val="left"/>
        <w:textAlignment w:val="auto"/>
        <w:rPr>
          <w:rFonts w:hint="eastAsia" w:ascii="宋体" w:hAnsi="宋体" w:eastAsia="宋体" w:cs="宋体"/>
          <w:color w:val="000000" w:themeColor="text1"/>
          <w:kern w:val="2"/>
          <w:sz w:val="28"/>
          <w:szCs w:val="28"/>
          <w:lang w:val="en-US" w:eastAsia="zh-CN" w:bidi="ar-SA"/>
          <w14:textFill>
            <w14:solidFill>
              <w14:schemeClr w14:val="tx1"/>
            </w14:solidFill>
          </w14:textFill>
        </w:rPr>
      </w:pPr>
      <w:r>
        <w:rPr>
          <w:rFonts w:hint="eastAsia" w:ascii="宋体" w:hAnsi="宋体" w:eastAsia="宋体" w:cs="宋体"/>
          <w:color w:val="000000" w:themeColor="text1"/>
          <w:kern w:val="2"/>
          <w:sz w:val="28"/>
          <w:szCs w:val="28"/>
          <w:lang w:val="en-US" w:eastAsia="zh-CN" w:bidi="ar-SA"/>
          <w14:textFill>
            <w14:solidFill>
              <w14:schemeClr w14:val="tx1"/>
            </w14:solidFill>
          </w14:textFill>
        </w:rPr>
        <w:t>（5）参加政府采购活动前三年内，在经营活动中没有重大违法记录（详见格式）；</w:t>
      </w:r>
    </w:p>
    <w:p w14:paraId="3A3F60A3">
      <w:pPr>
        <w:keepNext w:val="0"/>
        <w:keepLines w:val="0"/>
        <w:pageBreakBefore w:val="0"/>
        <w:widowControl w:val="0"/>
        <w:kinsoku/>
        <w:overflowPunct/>
        <w:topLinePunct w:val="0"/>
        <w:autoSpaceDE/>
        <w:autoSpaceDN/>
        <w:bidi w:val="0"/>
        <w:adjustRightInd/>
        <w:snapToGrid/>
        <w:spacing w:line="360" w:lineRule="auto"/>
        <w:jc w:val="left"/>
        <w:textAlignment w:val="auto"/>
        <w:rPr>
          <w:rFonts w:hint="eastAsia" w:ascii="宋体" w:hAnsi="宋体" w:eastAsia="宋体" w:cs="宋体"/>
          <w:color w:val="000000" w:themeColor="text1"/>
          <w:kern w:val="2"/>
          <w:sz w:val="28"/>
          <w:szCs w:val="28"/>
          <w:lang w:val="en-US" w:eastAsia="zh-CN" w:bidi="ar-SA"/>
          <w14:textFill>
            <w14:solidFill>
              <w14:schemeClr w14:val="tx1"/>
            </w14:solidFill>
          </w14:textFill>
        </w:rPr>
      </w:pPr>
      <w:r>
        <w:rPr>
          <w:rFonts w:hint="eastAsia" w:ascii="宋体" w:hAnsi="宋体" w:eastAsia="宋体" w:cs="宋体"/>
          <w:color w:val="000000" w:themeColor="text1"/>
          <w:kern w:val="2"/>
          <w:sz w:val="28"/>
          <w:szCs w:val="28"/>
          <w:lang w:val="en-US" w:eastAsia="zh-CN" w:bidi="ar-SA"/>
          <w14:textFill>
            <w14:solidFill>
              <w14:schemeClr w14:val="tx1"/>
            </w14:solidFill>
          </w14:textFill>
        </w:rPr>
        <w:t>（6）法律、行政法规规定的其他条件；（详见格式）</w:t>
      </w:r>
    </w:p>
    <w:p w14:paraId="61916A6F">
      <w:pPr>
        <w:pStyle w:val="181"/>
        <w:spacing w:before="156" w:line="227" w:lineRule="auto"/>
        <w:ind w:left="119"/>
        <w:rPr>
          <w:rFonts w:hint="eastAsia" w:ascii="宋体" w:hAnsi="宋体" w:eastAsia="宋体" w:cs="宋体"/>
          <w:color w:val="000000" w:themeColor="text1"/>
          <w:kern w:val="2"/>
          <w:sz w:val="28"/>
          <w:szCs w:val="28"/>
          <w:lang w:val="en-US" w:eastAsia="zh-CN" w:bidi="ar-SA"/>
          <w14:textFill>
            <w14:solidFill>
              <w14:schemeClr w14:val="tx1"/>
            </w14:solidFill>
          </w14:textFill>
        </w:rPr>
      </w:pPr>
      <w:r>
        <w:rPr>
          <w:rFonts w:hint="eastAsia" w:ascii="宋体" w:hAnsi="宋体" w:eastAsia="宋体" w:cs="宋体"/>
          <w:color w:val="000000" w:themeColor="text1"/>
          <w:kern w:val="2"/>
          <w:sz w:val="28"/>
          <w:szCs w:val="28"/>
          <w:lang w:val="en-US" w:eastAsia="zh-CN" w:bidi="ar-SA"/>
          <w14:textFill>
            <w14:solidFill>
              <w14:schemeClr w14:val="tx1"/>
            </w14:solidFill>
          </w14:textFill>
        </w:rPr>
        <w:t>二、本项目的特定资格要求：</w:t>
      </w:r>
    </w:p>
    <w:p w14:paraId="12FE904E">
      <w:pPr>
        <w:pStyle w:val="181"/>
        <w:spacing w:before="157" w:line="353" w:lineRule="auto"/>
        <w:ind w:right="106" w:rightChars="0"/>
        <w:jc w:val="both"/>
        <w:rPr>
          <w:rFonts w:hint="eastAsia" w:ascii="宋体" w:hAnsi="宋体" w:eastAsia="宋体" w:cs="宋体"/>
          <w:color w:val="000000" w:themeColor="text1"/>
          <w:kern w:val="2"/>
          <w:sz w:val="28"/>
          <w:szCs w:val="28"/>
          <w:lang w:val="en-US" w:eastAsia="zh-CN" w:bidi="ar-SA"/>
          <w14:textFill>
            <w14:solidFill>
              <w14:schemeClr w14:val="tx1"/>
            </w14:solidFill>
          </w14:textFill>
        </w:rPr>
      </w:pPr>
      <w:r>
        <w:rPr>
          <w:rFonts w:hint="eastAsia" w:ascii="宋体" w:hAnsi="宋体" w:eastAsia="宋体" w:cs="宋体"/>
          <w:color w:val="000000" w:themeColor="text1"/>
          <w:kern w:val="2"/>
          <w:sz w:val="28"/>
          <w:szCs w:val="28"/>
          <w:lang w:val="en-US" w:eastAsia="zh-CN" w:bidi="ar-SA"/>
          <w14:textFill>
            <w14:solidFill>
              <w14:schemeClr w14:val="tx1"/>
            </w14:solidFill>
          </w14:textFill>
        </w:rPr>
        <w:t>（</w:t>
      </w:r>
      <w:r>
        <w:rPr>
          <w:rFonts w:hint="eastAsia" w:cs="宋体"/>
          <w:color w:val="000000" w:themeColor="text1"/>
          <w:kern w:val="2"/>
          <w:sz w:val="28"/>
          <w:szCs w:val="28"/>
          <w:lang w:val="en-US" w:eastAsia="zh-CN" w:bidi="ar-SA"/>
          <w14:textFill>
            <w14:solidFill>
              <w14:schemeClr w14:val="tx1"/>
            </w14:solidFill>
          </w14:textFill>
        </w:rPr>
        <w:t>1</w:t>
      </w:r>
      <w:r>
        <w:rPr>
          <w:rFonts w:hint="eastAsia" w:ascii="宋体" w:hAnsi="宋体" w:eastAsia="宋体" w:cs="宋体"/>
          <w:color w:val="000000" w:themeColor="text1"/>
          <w:kern w:val="2"/>
          <w:sz w:val="28"/>
          <w:szCs w:val="28"/>
          <w:lang w:val="en-US" w:eastAsia="zh-CN" w:bidi="ar-SA"/>
          <w14:textFill>
            <w14:solidFill>
              <w14:schemeClr w14:val="tx1"/>
            </w14:solidFill>
          </w14:textFill>
        </w:rPr>
        <w:t>）单位负责人为同一人或者存在直接控股、管理关系的不同供应商，不得参加同一合同项下的政府采购活动；（详见格式）</w:t>
      </w:r>
    </w:p>
    <w:p w14:paraId="09415297">
      <w:pPr>
        <w:wordWrap w:val="0"/>
        <w:spacing w:line="500" w:lineRule="atLeast"/>
        <w:rPr>
          <w:rFonts w:hint="eastAsia" w:ascii="宋体" w:hAnsi="宋体" w:eastAsia="宋体" w:cs="宋体"/>
          <w:color w:val="000000" w:themeColor="text1"/>
          <w:kern w:val="2"/>
          <w:sz w:val="28"/>
          <w:szCs w:val="28"/>
          <w:lang w:val="en-US" w:eastAsia="zh-CN" w:bidi="ar-SA"/>
          <w14:textFill>
            <w14:solidFill>
              <w14:schemeClr w14:val="tx1"/>
            </w14:solidFill>
          </w14:textFill>
        </w:rPr>
      </w:pPr>
      <w:r>
        <w:rPr>
          <w:rFonts w:hint="eastAsia" w:ascii="宋体" w:hAnsi="宋体" w:eastAsia="宋体" w:cs="宋体"/>
          <w:color w:val="000000" w:themeColor="text1"/>
          <w:kern w:val="2"/>
          <w:sz w:val="28"/>
          <w:szCs w:val="28"/>
          <w:lang w:val="en-US" w:eastAsia="zh-CN" w:bidi="ar-SA"/>
          <w14:textFill>
            <w14:solidFill>
              <w14:schemeClr w14:val="tx1"/>
            </w14:solidFill>
          </w14:textFill>
        </w:rPr>
        <w:t>（</w:t>
      </w:r>
      <w:r>
        <w:rPr>
          <w:rFonts w:hint="eastAsia" w:ascii="宋体" w:hAnsi="宋体" w:cs="宋体"/>
          <w:color w:val="000000" w:themeColor="text1"/>
          <w:kern w:val="2"/>
          <w:sz w:val="28"/>
          <w:szCs w:val="28"/>
          <w:lang w:val="en-US" w:eastAsia="zh-CN" w:bidi="ar-SA"/>
          <w14:textFill>
            <w14:solidFill>
              <w14:schemeClr w14:val="tx1"/>
            </w14:solidFill>
          </w14:textFill>
        </w:rPr>
        <w:t>2</w:t>
      </w:r>
      <w:r>
        <w:rPr>
          <w:rFonts w:hint="eastAsia" w:ascii="宋体" w:hAnsi="宋体" w:eastAsia="宋体" w:cs="宋体"/>
          <w:color w:val="000000" w:themeColor="text1"/>
          <w:kern w:val="2"/>
          <w:sz w:val="28"/>
          <w:szCs w:val="28"/>
          <w:lang w:val="en-US" w:eastAsia="zh-CN" w:bidi="ar-SA"/>
          <w14:textFill>
            <w14:solidFill>
              <w14:schemeClr w14:val="tx1"/>
            </w14:solidFill>
          </w14:textFill>
        </w:rPr>
        <w:t>）根据《财政部关于在政府采购活动中查询及使用信用记录有关问题的通知》（财库﹝2016﹞125号）的要求，凡拟参加本次招标项目的投标人，如在“信用中国”网站（ www.creditchina.gov.cn） 被列入失信被执行人（或中国执行公开网）、重大税收违法失信主体、中国政府采购网（http://www.ccgp.gov.cn/search/cr/）严重违法失信行为记录名单的（尚在处罚期内的），将拒绝其参加本次招标活动(如投标单位提供信用截图在评标过程中有争议，以招标代理机构或评标委员会成员现场查询截图为准)；</w:t>
      </w:r>
    </w:p>
    <w:p w14:paraId="33626349">
      <w:pPr>
        <w:wordWrap w:val="0"/>
        <w:spacing w:line="500" w:lineRule="atLeast"/>
        <w:ind w:firstLine="560" w:firstLineChars="200"/>
        <w:rPr>
          <w:rFonts w:hint="eastAsia" w:ascii="宋体" w:hAnsi="宋体" w:eastAsia="宋体" w:cs="宋体"/>
          <w:color w:val="000000" w:themeColor="text1"/>
          <w:kern w:val="2"/>
          <w:sz w:val="28"/>
          <w:szCs w:val="28"/>
          <w:lang w:val="en-US" w:eastAsia="zh-CN" w:bidi="ar-SA"/>
          <w14:textFill>
            <w14:solidFill>
              <w14:schemeClr w14:val="tx1"/>
            </w14:solidFill>
          </w14:textFill>
        </w:rPr>
      </w:pPr>
      <w:r>
        <w:rPr>
          <w:rFonts w:hint="eastAsia" w:ascii="宋体" w:hAnsi="宋体" w:eastAsia="宋体" w:cs="宋体"/>
          <w:color w:val="000000" w:themeColor="text1"/>
          <w:kern w:val="2"/>
          <w:sz w:val="28"/>
          <w:szCs w:val="28"/>
          <w:lang w:val="en-US" w:eastAsia="zh-CN" w:bidi="ar-SA"/>
          <w14:textFill>
            <w14:solidFill>
              <w14:schemeClr w14:val="tx1"/>
            </w14:solidFill>
          </w14:textFill>
        </w:rPr>
        <w:t>（</w:t>
      </w:r>
      <w:r>
        <w:rPr>
          <w:rFonts w:hint="eastAsia" w:ascii="宋体" w:hAnsi="宋体" w:cs="宋体"/>
          <w:color w:val="000000" w:themeColor="text1"/>
          <w:kern w:val="2"/>
          <w:sz w:val="28"/>
          <w:szCs w:val="28"/>
          <w:lang w:val="en-US" w:eastAsia="zh-CN" w:bidi="ar-SA"/>
          <w14:textFill>
            <w14:solidFill>
              <w14:schemeClr w14:val="tx1"/>
            </w14:solidFill>
          </w14:textFill>
        </w:rPr>
        <w:t>3</w:t>
      </w:r>
      <w:r>
        <w:rPr>
          <w:rFonts w:hint="eastAsia" w:ascii="宋体" w:hAnsi="宋体" w:eastAsia="宋体" w:cs="宋体"/>
          <w:color w:val="000000" w:themeColor="text1"/>
          <w:kern w:val="2"/>
          <w:sz w:val="28"/>
          <w:szCs w:val="28"/>
          <w:lang w:val="en-US" w:eastAsia="zh-CN" w:bidi="ar-SA"/>
          <w14:textFill>
            <w14:solidFill>
              <w14:schemeClr w14:val="tx1"/>
            </w14:solidFill>
          </w14:textFill>
        </w:rPr>
        <w:t>）我公司不是联合体投标。</w:t>
      </w:r>
    </w:p>
    <w:p w14:paraId="2562EEB5">
      <w:pPr>
        <w:pStyle w:val="159"/>
        <w:wordWrap w:val="0"/>
        <w:spacing w:line="500" w:lineRule="atLeast"/>
        <w:ind w:firstLine="560" w:firstLineChars="200"/>
        <w:rPr>
          <w:rFonts w:hint="eastAsia" w:ascii="宋体" w:hAnsi="宋体" w:cs="宋体"/>
          <w:color w:val="000000" w:themeColor="text1"/>
          <w:sz w:val="28"/>
          <w:szCs w:val="28"/>
          <w14:textFill>
            <w14:solidFill>
              <w14:schemeClr w14:val="tx1"/>
            </w14:solidFill>
          </w14:textFill>
        </w:rPr>
      </w:pPr>
    </w:p>
    <w:p w14:paraId="37C9ADA1">
      <w:pPr>
        <w:pStyle w:val="159"/>
        <w:wordWrap w:val="0"/>
        <w:spacing w:line="500" w:lineRule="atLeas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兹证明上述声明是真实的、正确的，并提供了全部能提供的资料和数据，我们同意遵照招标采购单位要求出示有关证明文件。</w:t>
      </w:r>
    </w:p>
    <w:p w14:paraId="0862FEA3">
      <w:pPr>
        <w:pStyle w:val="159"/>
        <w:wordWrap w:val="0"/>
        <w:spacing w:line="500" w:lineRule="atLeast"/>
        <w:rPr>
          <w:rFonts w:ascii="宋体" w:hAnsi="宋体" w:cs="宋体"/>
          <w:color w:val="000000" w:themeColor="text1"/>
          <w:sz w:val="28"/>
          <w:szCs w:val="28"/>
          <w14:textFill>
            <w14:solidFill>
              <w14:schemeClr w14:val="tx1"/>
            </w14:solidFill>
          </w14:textFill>
        </w:rPr>
      </w:pPr>
    </w:p>
    <w:p w14:paraId="7D122372">
      <w:pPr>
        <w:pStyle w:val="159"/>
        <w:wordWrap w:val="0"/>
        <w:spacing w:line="500" w:lineRule="atLeast"/>
        <w:ind w:firstLine="48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供应商名称：</w:t>
      </w:r>
      <w:r>
        <w:rPr>
          <w:rFonts w:hint="eastAsia" w:ascii="宋体" w:hAnsi="宋体" w:cs="宋体"/>
          <w:color w:val="000000" w:themeColor="text1"/>
          <w:sz w:val="28"/>
          <w:szCs w:val="28"/>
          <w:u w:val="single"/>
          <w14:textFill>
            <w14:solidFill>
              <w14:schemeClr w14:val="tx1"/>
            </w14:solidFill>
          </w14:textFill>
        </w:rPr>
        <w:t xml:space="preserve">       （盖章）       </w:t>
      </w:r>
    </w:p>
    <w:p w14:paraId="5143B6CA">
      <w:pPr>
        <w:pStyle w:val="159"/>
        <w:wordWrap w:val="0"/>
        <w:spacing w:line="500" w:lineRule="atLeast"/>
        <w:ind w:firstLine="48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法定代表人：</w:t>
      </w:r>
      <w:r>
        <w:rPr>
          <w:rFonts w:hint="eastAsia" w:ascii="宋体" w:hAnsi="宋体" w:cs="宋体"/>
          <w:color w:val="000000" w:themeColor="text1"/>
          <w:sz w:val="28"/>
          <w:szCs w:val="28"/>
          <w:u w:val="single"/>
          <w14:textFill>
            <w14:solidFill>
              <w14:schemeClr w14:val="tx1"/>
            </w14:solidFill>
          </w14:textFill>
        </w:rPr>
        <w:t xml:space="preserve">       （签字或盖章）   </w:t>
      </w:r>
    </w:p>
    <w:p w14:paraId="0E5CA780">
      <w:pPr>
        <w:pStyle w:val="159"/>
        <w:wordWrap w:val="0"/>
        <w:spacing w:line="500" w:lineRule="atLeast"/>
        <w:ind w:firstLine="48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电      话：</w:t>
      </w:r>
    </w:p>
    <w:p w14:paraId="6AE48628">
      <w:pPr>
        <w:pStyle w:val="159"/>
        <w:wordWrap w:val="0"/>
        <w:spacing w:line="500" w:lineRule="atLeast"/>
        <w:ind w:firstLine="48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传      真：</w:t>
      </w:r>
    </w:p>
    <w:p w14:paraId="4B55A2F8">
      <w:pPr>
        <w:pStyle w:val="159"/>
        <w:wordWrap w:val="0"/>
        <w:autoSpaceDE w:val="0"/>
        <w:autoSpaceDN w:val="0"/>
        <w:spacing w:line="500" w:lineRule="atLeast"/>
        <w:ind w:firstLine="48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日      期：   年   月    日</w:t>
      </w:r>
    </w:p>
    <w:p w14:paraId="20695A62">
      <w:pPr>
        <w:pStyle w:val="146"/>
        <w:wordWrap w:val="0"/>
        <w:spacing w:line="500" w:lineRule="atLeast"/>
        <w:jc w:val="center"/>
        <w:outlineLvl w:val="2"/>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r>
        <w:rPr>
          <w:rFonts w:hint="eastAsia" w:ascii="宋体" w:hAnsi="宋体" w:eastAsia="宋体" w:cs="宋体"/>
          <w:color w:val="000000" w:themeColor="text1"/>
          <w14:textFill>
            <w14:solidFill>
              <w14:schemeClr w14:val="tx1"/>
            </w14:solidFill>
          </w14:textFill>
        </w:rPr>
        <w:t>五、不参与围标串标承诺书</w:t>
      </w:r>
    </w:p>
    <w:p w14:paraId="53867002">
      <w:pPr>
        <w:pStyle w:val="150"/>
        <w:wordWrap w:val="0"/>
        <w:spacing w:line="500" w:lineRule="atLeast"/>
        <w:ind w:firstLine="560" w:firstLineChars="200"/>
        <w:rPr>
          <w:rFonts w:hint="eastAsia" w:ascii="宋体" w:hAnsi="宋体" w:eastAsia="宋体" w:cs="宋体"/>
          <w:b w:val="0"/>
          <w:bCs/>
          <w:color w:val="000000" w:themeColor="text1"/>
          <w:sz w:val="28"/>
          <w:szCs w:val="28"/>
          <w14:textFill>
            <w14:solidFill>
              <w14:schemeClr w14:val="tx1"/>
            </w14:solidFill>
          </w14:textFill>
        </w:rPr>
      </w:pPr>
    </w:p>
    <w:p w14:paraId="1B5B025D">
      <w:pPr>
        <w:pStyle w:val="150"/>
        <w:wordWrap w:val="0"/>
        <w:spacing w:line="500" w:lineRule="atLeast"/>
        <w:ind w:firstLine="560" w:firstLineChars="200"/>
        <w:rPr>
          <w:rFonts w:ascii="宋体" w:hAnsi="宋体" w:eastAsia="宋体" w:cs="宋体"/>
          <w:b w:val="0"/>
          <w:bCs/>
          <w:color w:val="000000" w:themeColor="text1"/>
          <w:sz w:val="28"/>
          <w:szCs w:val="28"/>
          <w14:textFill>
            <w14:solidFill>
              <w14:schemeClr w14:val="tx1"/>
            </w14:solidFill>
          </w14:textFill>
        </w:rPr>
      </w:pPr>
      <w:r>
        <w:rPr>
          <w:rFonts w:hint="eastAsia" w:ascii="宋体" w:hAnsi="宋体" w:eastAsia="宋体" w:cs="宋体"/>
          <w:b w:val="0"/>
          <w:bCs/>
          <w:color w:val="000000" w:themeColor="text1"/>
          <w:sz w:val="28"/>
          <w:szCs w:val="28"/>
          <w14:textFill>
            <w14:solidFill>
              <w14:schemeClr w14:val="tx1"/>
            </w14:solidFill>
          </w14:textFill>
        </w:rPr>
        <w:t>本人作为</w:t>
      </w:r>
      <w:r>
        <w:rPr>
          <w:rFonts w:hint="eastAsia" w:ascii="宋体" w:hAnsi="宋体" w:eastAsia="宋体" w:cs="宋体"/>
          <w:b w:val="0"/>
          <w:bCs/>
          <w:color w:val="000000" w:themeColor="text1"/>
          <w:sz w:val="28"/>
          <w:szCs w:val="28"/>
          <w:u w:val="single"/>
          <w14:textFill>
            <w14:solidFill>
              <w14:schemeClr w14:val="tx1"/>
            </w14:solidFill>
          </w14:textFill>
        </w:rPr>
        <w:t xml:space="preserve">（单位名称）                    </w:t>
      </w:r>
      <w:r>
        <w:rPr>
          <w:rFonts w:hint="eastAsia" w:ascii="宋体" w:hAnsi="宋体" w:eastAsia="宋体" w:cs="宋体"/>
          <w:b w:val="0"/>
          <w:bCs/>
          <w:color w:val="000000" w:themeColor="text1"/>
          <w:sz w:val="28"/>
          <w:szCs w:val="28"/>
          <w14:textFill>
            <w14:solidFill>
              <w14:schemeClr w14:val="tx1"/>
            </w14:solidFill>
          </w14:textFill>
        </w:rPr>
        <w:t>的法定代表人，清楚知晓我公司本项目投标活动，对以下事项作出承诺：</w:t>
      </w:r>
    </w:p>
    <w:p w14:paraId="7E168139">
      <w:pPr>
        <w:pStyle w:val="150"/>
        <w:wordWrap w:val="0"/>
        <w:spacing w:line="500" w:lineRule="atLeast"/>
        <w:ind w:firstLine="560" w:firstLineChars="200"/>
        <w:rPr>
          <w:rFonts w:ascii="宋体" w:hAnsi="宋体" w:eastAsia="宋体" w:cs="宋体"/>
          <w:b w:val="0"/>
          <w:bCs/>
          <w:color w:val="000000" w:themeColor="text1"/>
          <w:sz w:val="28"/>
          <w:szCs w:val="28"/>
          <w14:textFill>
            <w14:solidFill>
              <w14:schemeClr w14:val="tx1"/>
            </w14:solidFill>
          </w14:textFill>
        </w:rPr>
      </w:pPr>
      <w:r>
        <w:rPr>
          <w:rFonts w:hint="eastAsia" w:ascii="宋体" w:hAnsi="宋体" w:eastAsia="宋体" w:cs="宋体"/>
          <w:b w:val="0"/>
          <w:bCs/>
          <w:color w:val="000000" w:themeColor="text1"/>
          <w:sz w:val="28"/>
          <w:szCs w:val="28"/>
          <w14:textFill>
            <w14:solidFill>
              <w14:schemeClr w14:val="tx1"/>
            </w14:solidFill>
          </w14:textFill>
        </w:rPr>
        <w:t>一、我单位遵循公开、公平、公正、诚实守信的原则，依法依规参与本项目竞标。</w:t>
      </w:r>
    </w:p>
    <w:p w14:paraId="7615962D">
      <w:pPr>
        <w:pStyle w:val="150"/>
        <w:wordWrap w:val="0"/>
        <w:spacing w:line="500" w:lineRule="atLeast"/>
        <w:ind w:firstLine="560" w:firstLineChars="200"/>
        <w:rPr>
          <w:rFonts w:ascii="宋体" w:hAnsi="宋体" w:eastAsia="宋体" w:cs="宋体"/>
          <w:b w:val="0"/>
          <w:bCs/>
          <w:color w:val="000000" w:themeColor="text1"/>
          <w:sz w:val="28"/>
          <w:szCs w:val="28"/>
          <w14:textFill>
            <w14:solidFill>
              <w14:schemeClr w14:val="tx1"/>
            </w14:solidFill>
          </w14:textFill>
        </w:rPr>
      </w:pPr>
      <w:r>
        <w:rPr>
          <w:rFonts w:hint="eastAsia" w:ascii="宋体" w:hAnsi="宋体" w:eastAsia="宋体" w:cs="宋体"/>
          <w:b w:val="0"/>
          <w:bCs/>
          <w:color w:val="000000" w:themeColor="text1"/>
          <w:sz w:val="28"/>
          <w:szCs w:val="28"/>
          <w14:textFill>
            <w14:solidFill>
              <w14:schemeClr w14:val="tx1"/>
            </w14:solidFill>
          </w14:textFill>
        </w:rPr>
        <w:t>二、我单位在本项目招标投标活动中，未参与围标串标。</w:t>
      </w:r>
    </w:p>
    <w:p w14:paraId="173D1E28">
      <w:pPr>
        <w:pStyle w:val="150"/>
        <w:wordWrap w:val="0"/>
        <w:spacing w:line="500" w:lineRule="atLeast"/>
        <w:ind w:firstLine="560" w:firstLineChars="200"/>
        <w:rPr>
          <w:rFonts w:ascii="宋体" w:hAnsi="宋体" w:eastAsia="宋体" w:cs="宋体"/>
          <w:b w:val="0"/>
          <w:bCs/>
          <w:color w:val="000000" w:themeColor="text1"/>
          <w:sz w:val="28"/>
          <w:szCs w:val="28"/>
          <w14:textFill>
            <w14:solidFill>
              <w14:schemeClr w14:val="tx1"/>
            </w14:solidFill>
          </w14:textFill>
        </w:rPr>
      </w:pPr>
      <w:r>
        <w:rPr>
          <w:rFonts w:hint="eastAsia" w:ascii="宋体" w:hAnsi="宋体" w:eastAsia="宋体" w:cs="宋体"/>
          <w:b w:val="0"/>
          <w:bCs/>
          <w:color w:val="000000" w:themeColor="text1"/>
          <w:sz w:val="28"/>
          <w:szCs w:val="28"/>
          <w14:textFill>
            <w14:solidFill>
              <w14:schemeClr w14:val="tx1"/>
            </w14:solidFill>
          </w14:textFill>
        </w:rPr>
        <w:t>三、我单位如被查实在本项目招标投标活动中存在围标串标的，递交投标文件行为作为实施串通投标违法行为的关键环节，本人承担直接责任人员法律责任，接受相应行政处罚和失信惩戒。</w:t>
      </w:r>
    </w:p>
    <w:p w14:paraId="474152E6">
      <w:pPr>
        <w:pStyle w:val="150"/>
        <w:wordWrap w:val="0"/>
        <w:spacing w:line="500" w:lineRule="atLeast"/>
        <w:ind w:firstLine="560" w:firstLineChars="200"/>
        <w:rPr>
          <w:rFonts w:hint="eastAsia" w:ascii="宋体" w:hAnsi="宋体" w:eastAsia="宋体" w:cs="宋体"/>
          <w:b w:val="0"/>
          <w:bCs/>
          <w:color w:val="000000" w:themeColor="text1"/>
          <w:sz w:val="28"/>
          <w:szCs w:val="28"/>
          <w14:textFill>
            <w14:solidFill>
              <w14:schemeClr w14:val="tx1"/>
            </w14:solidFill>
          </w14:textFill>
        </w:rPr>
      </w:pPr>
    </w:p>
    <w:p w14:paraId="45584316">
      <w:pPr>
        <w:pStyle w:val="150"/>
        <w:wordWrap w:val="0"/>
        <w:spacing w:line="500" w:lineRule="atLeast"/>
        <w:ind w:firstLine="560" w:firstLineChars="200"/>
        <w:rPr>
          <w:rFonts w:hint="eastAsia" w:ascii="宋体" w:hAnsi="宋体" w:eastAsia="宋体" w:cs="宋体"/>
          <w:b w:val="0"/>
          <w:bCs/>
          <w:color w:val="000000" w:themeColor="text1"/>
          <w:sz w:val="28"/>
          <w:szCs w:val="28"/>
          <w14:textFill>
            <w14:solidFill>
              <w14:schemeClr w14:val="tx1"/>
            </w14:solidFill>
          </w14:textFill>
        </w:rPr>
      </w:pPr>
    </w:p>
    <w:p w14:paraId="22EEE27A">
      <w:pPr>
        <w:pStyle w:val="150"/>
        <w:wordWrap w:val="0"/>
        <w:spacing w:line="500" w:lineRule="atLeast"/>
        <w:ind w:firstLine="560" w:firstLineChars="200"/>
        <w:rPr>
          <w:rFonts w:hint="eastAsia" w:ascii="宋体" w:hAnsi="宋体" w:eastAsia="宋体" w:cs="宋体"/>
          <w:b w:val="0"/>
          <w:bCs/>
          <w:color w:val="000000" w:themeColor="text1"/>
          <w:sz w:val="28"/>
          <w:szCs w:val="28"/>
          <w14:textFill>
            <w14:solidFill>
              <w14:schemeClr w14:val="tx1"/>
            </w14:solidFill>
          </w14:textFill>
        </w:rPr>
      </w:pPr>
    </w:p>
    <w:p w14:paraId="2FF1E268">
      <w:pPr>
        <w:pStyle w:val="150"/>
        <w:wordWrap w:val="0"/>
        <w:spacing w:line="500" w:lineRule="atLeast"/>
        <w:ind w:firstLine="560" w:firstLineChars="200"/>
        <w:rPr>
          <w:rFonts w:ascii="宋体" w:hAnsi="宋体" w:eastAsia="宋体" w:cs="宋体"/>
          <w:b w:val="0"/>
          <w:bCs/>
          <w:color w:val="000000" w:themeColor="text1"/>
          <w:sz w:val="28"/>
          <w:szCs w:val="28"/>
          <w14:textFill>
            <w14:solidFill>
              <w14:schemeClr w14:val="tx1"/>
            </w14:solidFill>
          </w14:textFill>
        </w:rPr>
      </w:pPr>
      <w:r>
        <w:rPr>
          <w:rFonts w:hint="eastAsia" w:ascii="宋体" w:hAnsi="宋体" w:eastAsia="宋体" w:cs="宋体"/>
          <w:b w:val="0"/>
          <w:bCs/>
          <w:color w:val="000000" w:themeColor="text1"/>
          <w:sz w:val="28"/>
          <w:szCs w:val="28"/>
          <w14:textFill>
            <w14:solidFill>
              <w14:schemeClr w14:val="tx1"/>
            </w14:solidFill>
          </w14:textFill>
        </w:rPr>
        <w:t xml:space="preserve">项目编号：    </w:t>
      </w:r>
    </w:p>
    <w:p w14:paraId="73DC2AC7">
      <w:pPr>
        <w:pStyle w:val="150"/>
        <w:wordWrap w:val="0"/>
        <w:spacing w:line="500" w:lineRule="atLeast"/>
        <w:ind w:firstLine="560" w:firstLineChars="200"/>
        <w:rPr>
          <w:rFonts w:ascii="宋体" w:hAnsi="宋体" w:eastAsia="宋体" w:cs="宋体"/>
          <w:b w:val="0"/>
          <w:bCs/>
          <w:color w:val="000000" w:themeColor="text1"/>
          <w:sz w:val="28"/>
          <w:szCs w:val="28"/>
          <w14:textFill>
            <w14:solidFill>
              <w14:schemeClr w14:val="tx1"/>
            </w14:solidFill>
          </w14:textFill>
        </w:rPr>
      </w:pPr>
      <w:r>
        <w:rPr>
          <w:rFonts w:hint="eastAsia" w:ascii="宋体" w:hAnsi="宋体" w:eastAsia="宋体" w:cs="宋体"/>
          <w:b w:val="0"/>
          <w:bCs/>
          <w:color w:val="000000" w:themeColor="text1"/>
          <w:sz w:val="28"/>
          <w:szCs w:val="28"/>
          <w14:textFill>
            <w14:solidFill>
              <w14:schemeClr w14:val="tx1"/>
            </w14:solidFill>
          </w14:textFill>
        </w:rPr>
        <w:t>供应商单位名称：</w:t>
      </w:r>
    </w:p>
    <w:p w14:paraId="21270854">
      <w:pPr>
        <w:pStyle w:val="150"/>
        <w:wordWrap w:val="0"/>
        <w:spacing w:line="500" w:lineRule="atLeast"/>
        <w:ind w:firstLine="560" w:firstLineChars="200"/>
        <w:rPr>
          <w:rFonts w:ascii="宋体" w:hAnsi="宋体" w:eastAsia="宋体" w:cs="宋体"/>
          <w:b w:val="0"/>
          <w:bCs/>
          <w:color w:val="000000" w:themeColor="text1"/>
          <w:sz w:val="28"/>
          <w:szCs w:val="28"/>
          <w14:textFill>
            <w14:solidFill>
              <w14:schemeClr w14:val="tx1"/>
            </w14:solidFill>
          </w14:textFill>
        </w:rPr>
      </w:pPr>
      <w:r>
        <w:rPr>
          <w:rFonts w:hint="eastAsia" w:ascii="宋体" w:hAnsi="宋体" w:eastAsia="宋体" w:cs="宋体"/>
          <w:b w:val="0"/>
          <w:bCs/>
          <w:color w:val="000000" w:themeColor="text1"/>
          <w:sz w:val="28"/>
          <w:szCs w:val="28"/>
          <w14:textFill>
            <w14:solidFill>
              <w14:schemeClr w14:val="tx1"/>
            </w14:solidFill>
          </w14:textFill>
        </w:rPr>
        <w:t>供应商法定代表人签字（或盖章）：</w:t>
      </w:r>
    </w:p>
    <w:p w14:paraId="27A075CF">
      <w:pPr>
        <w:pStyle w:val="150"/>
        <w:wordWrap w:val="0"/>
        <w:spacing w:line="500" w:lineRule="atLeast"/>
        <w:rPr>
          <w:rFonts w:ascii="宋体" w:hAnsi="宋体" w:eastAsia="宋体" w:cs="宋体"/>
          <w:b w:val="0"/>
          <w:bCs/>
          <w:color w:val="000000" w:themeColor="text1"/>
          <w:sz w:val="28"/>
          <w:szCs w:val="28"/>
          <w14:textFill>
            <w14:solidFill>
              <w14:schemeClr w14:val="tx1"/>
            </w14:solidFill>
          </w14:textFill>
        </w:rPr>
      </w:pPr>
      <w:r>
        <w:rPr>
          <w:rFonts w:hint="eastAsia" w:ascii="宋体" w:hAnsi="宋体" w:eastAsia="宋体" w:cs="宋体"/>
          <w:b w:val="0"/>
          <w:bCs/>
          <w:color w:val="000000" w:themeColor="text1"/>
          <w:sz w:val="28"/>
          <w:szCs w:val="28"/>
          <w14:textFill>
            <w14:solidFill>
              <w14:schemeClr w14:val="tx1"/>
            </w14:solidFill>
          </w14:textFill>
        </w:rPr>
        <w:t xml:space="preserve">                                  </w:t>
      </w:r>
    </w:p>
    <w:p w14:paraId="30111906">
      <w:pPr>
        <w:pStyle w:val="150"/>
        <w:wordWrap w:val="0"/>
        <w:spacing w:line="500" w:lineRule="atLeast"/>
        <w:rPr>
          <w:rFonts w:ascii="宋体" w:hAnsi="宋体" w:eastAsia="宋体" w:cs="宋体"/>
          <w:b w:val="0"/>
          <w:bCs/>
          <w:color w:val="000000" w:themeColor="text1"/>
          <w:sz w:val="28"/>
          <w:szCs w:val="28"/>
          <w14:textFill>
            <w14:solidFill>
              <w14:schemeClr w14:val="tx1"/>
            </w14:solidFill>
          </w14:textFill>
        </w:rPr>
      </w:pPr>
    </w:p>
    <w:p w14:paraId="283A959B">
      <w:pPr>
        <w:pStyle w:val="150"/>
        <w:wordWrap w:val="0"/>
        <w:spacing w:line="500" w:lineRule="atLeast"/>
        <w:ind w:firstLine="4760" w:firstLineChars="1700"/>
        <w:rPr>
          <w:rFonts w:ascii="宋体" w:hAnsi="宋体" w:eastAsia="宋体" w:cs="宋体"/>
          <w:b w:val="0"/>
          <w:bCs/>
          <w:color w:val="000000" w:themeColor="text1"/>
          <w:sz w:val="28"/>
          <w:szCs w:val="28"/>
          <w14:textFill>
            <w14:solidFill>
              <w14:schemeClr w14:val="tx1"/>
            </w14:solidFill>
          </w14:textFill>
        </w:rPr>
      </w:pPr>
      <w:r>
        <w:rPr>
          <w:rFonts w:hint="eastAsia" w:ascii="宋体" w:hAnsi="宋体" w:eastAsia="宋体" w:cs="宋体"/>
          <w:b w:val="0"/>
          <w:bCs/>
          <w:color w:val="000000" w:themeColor="text1"/>
          <w:sz w:val="28"/>
          <w:szCs w:val="28"/>
          <w14:textFill>
            <w14:solidFill>
              <w14:schemeClr w14:val="tx1"/>
            </w14:solidFill>
          </w14:textFill>
        </w:rPr>
        <w:t xml:space="preserve">      盖  章</w:t>
      </w:r>
    </w:p>
    <w:p w14:paraId="2023174D">
      <w:pPr>
        <w:pStyle w:val="150"/>
        <w:wordWrap w:val="0"/>
        <w:spacing w:line="500" w:lineRule="atLeast"/>
        <w:ind w:firstLine="5040" w:firstLineChars="1800"/>
        <w:rPr>
          <w:rFonts w:ascii="宋体" w:hAnsi="宋体" w:eastAsia="宋体" w:cs="宋体"/>
          <w:b w:val="0"/>
          <w:bCs/>
          <w:color w:val="000000" w:themeColor="text1"/>
          <w:sz w:val="28"/>
          <w:szCs w:val="28"/>
          <w14:textFill>
            <w14:solidFill>
              <w14:schemeClr w14:val="tx1"/>
            </w14:solidFill>
          </w14:textFill>
        </w:rPr>
      </w:pPr>
      <w:r>
        <w:rPr>
          <w:rFonts w:hint="eastAsia" w:ascii="宋体" w:hAnsi="宋体" w:eastAsia="宋体" w:cs="宋体"/>
          <w:b w:val="0"/>
          <w:bCs/>
          <w:color w:val="000000" w:themeColor="text1"/>
          <w:sz w:val="28"/>
          <w:szCs w:val="28"/>
          <w14:textFill>
            <w14:solidFill>
              <w14:schemeClr w14:val="tx1"/>
            </w14:solidFill>
          </w14:textFill>
        </w:rPr>
        <w:t xml:space="preserve"> 年   月   日</w:t>
      </w:r>
    </w:p>
    <w:p w14:paraId="3597FD29">
      <w:pPr>
        <w:pStyle w:val="137"/>
        <w:wordWrap w:val="0"/>
        <w:spacing w:line="500" w:lineRule="atLeast"/>
        <w:jc w:val="center"/>
        <w:outlineLvl w:val="2"/>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br w:type="page"/>
      </w:r>
      <w:r>
        <w:rPr>
          <w:rFonts w:hint="eastAsia" w:ascii="宋体" w:hAnsi="宋体" w:eastAsia="宋体" w:cs="宋体"/>
          <w:color w:val="000000" w:themeColor="text1"/>
          <w14:textFill>
            <w14:solidFill>
              <w14:schemeClr w14:val="tx1"/>
            </w14:solidFill>
          </w14:textFill>
        </w:rPr>
        <w:t>六、竞争性磋商函</w:t>
      </w:r>
    </w:p>
    <w:p w14:paraId="0DE26305">
      <w:pPr>
        <w:pStyle w:val="124"/>
        <w:wordWrap w:val="0"/>
        <w:adjustRightInd w:val="0"/>
        <w:snapToGrid w:val="0"/>
        <w:spacing w:line="500" w:lineRule="atLeast"/>
        <w:jc w:val="left"/>
        <w:rPr>
          <w:rFonts w:ascii="宋体" w:hAnsi="宋体" w:cs="宋体"/>
          <w:color w:val="000000" w:themeColor="text1"/>
          <w:sz w:val="28"/>
          <w:szCs w:val="28"/>
          <w:u w:val="single"/>
          <w14:textFill>
            <w14:solidFill>
              <w14:schemeClr w14:val="tx1"/>
            </w14:solidFill>
          </w14:textFill>
        </w:rPr>
      </w:pPr>
    </w:p>
    <w:p w14:paraId="039F89C6">
      <w:pPr>
        <w:pStyle w:val="124"/>
        <w:wordWrap w:val="0"/>
        <w:adjustRightInd w:val="0"/>
        <w:snapToGrid w:val="0"/>
        <w:spacing w:line="500" w:lineRule="atLeast"/>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u w:val="single"/>
          <w14:textFill>
            <w14:solidFill>
              <w14:schemeClr w14:val="tx1"/>
            </w14:solidFill>
          </w14:textFill>
        </w:rPr>
        <w:t>（代理机构名称）</w:t>
      </w:r>
      <w:r>
        <w:rPr>
          <w:rFonts w:hint="eastAsia" w:ascii="宋体" w:hAnsi="宋体" w:cs="宋体"/>
          <w:color w:val="000000" w:themeColor="text1"/>
          <w:sz w:val="28"/>
          <w:szCs w:val="28"/>
          <w14:textFill>
            <w14:solidFill>
              <w14:schemeClr w14:val="tx1"/>
            </w14:solidFill>
          </w14:textFill>
        </w:rPr>
        <w:t>：</w:t>
      </w:r>
    </w:p>
    <w:p w14:paraId="0C480DDE">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依据贵方</w:t>
      </w:r>
      <w:r>
        <w:rPr>
          <w:rFonts w:hint="eastAsia" w:ascii="宋体" w:hAnsi="宋体" w:cs="宋体"/>
          <w:color w:val="000000" w:themeColor="text1"/>
          <w:sz w:val="28"/>
          <w:szCs w:val="28"/>
          <w:u w:val="single"/>
          <w14:textFill>
            <w14:solidFill>
              <w14:schemeClr w14:val="tx1"/>
            </w14:solidFill>
          </w14:textFill>
        </w:rPr>
        <w:t xml:space="preserve"> (采购项目名称/采购项目编号) </w:t>
      </w:r>
      <w:r>
        <w:rPr>
          <w:rFonts w:hint="eastAsia" w:ascii="宋体" w:hAnsi="宋体" w:cs="宋体"/>
          <w:color w:val="000000" w:themeColor="text1"/>
          <w:kern w:val="0"/>
          <w:sz w:val="28"/>
          <w:szCs w:val="28"/>
          <w14:textFill>
            <w14:solidFill>
              <w14:schemeClr w14:val="tx1"/>
            </w14:solidFill>
          </w14:textFill>
        </w:rPr>
        <w:t>项目招标采购货物、服务的磋商公告，我方代表</w:t>
      </w:r>
      <w:r>
        <w:rPr>
          <w:rFonts w:hint="eastAsia" w:ascii="宋体" w:hAnsi="宋体" w:cs="宋体"/>
          <w:color w:val="000000" w:themeColor="text1"/>
          <w:sz w:val="28"/>
          <w:szCs w:val="28"/>
          <w:u w:val="single"/>
          <w14:textFill>
            <w14:solidFill>
              <w14:schemeClr w14:val="tx1"/>
            </w14:solidFill>
          </w14:textFill>
        </w:rPr>
        <w:t>（姓名、职务）</w:t>
      </w:r>
      <w:r>
        <w:rPr>
          <w:rFonts w:hint="eastAsia" w:ascii="宋体" w:hAnsi="宋体" w:cs="宋体"/>
          <w:color w:val="000000" w:themeColor="text1"/>
          <w:kern w:val="0"/>
          <w:sz w:val="28"/>
          <w:szCs w:val="28"/>
          <w14:textFill>
            <w14:solidFill>
              <w14:schemeClr w14:val="tx1"/>
            </w14:solidFill>
          </w14:textFill>
        </w:rPr>
        <w:t>经正式授权并代表供应商</w:t>
      </w:r>
      <w:r>
        <w:rPr>
          <w:rFonts w:hint="eastAsia" w:ascii="宋体" w:hAnsi="宋体" w:cs="宋体"/>
          <w:color w:val="000000" w:themeColor="text1"/>
          <w:sz w:val="28"/>
          <w:szCs w:val="28"/>
          <w:u w:val="single"/>
          <w14:textFill>
            <w14:solidFill>
              <w14:schemeClr w14:val="tx1"/>
            </w14:solidFill>
          </w14:textFill>
        </w:rPr>
        <w:t>（供应商名称、地址）</w:t>
      </w:r>
      <w:r>
        <w:rPr>
          <w:rFonts w:hint="eastAsia" w:ascii="宋体" w:hAnsi="宋体" w:cs="宋体"/>
          <w:color w:val="000000" w:themeColor="text1"/>
          <w:kern w:val="0"/>
          <w:sz w:val="28"/>
          <w:szCs w:val="28"/>
          <w14:textFill>
            <w14:solidFill>
              <w14:schemeClr w14:val="tx1"/>
            </w14:solidFill>
          </w14:textFill>
        </w:rPr>
        <w:t>提交响应文件。</w:t>
      </w:r>
    </w:p>
    <w:p w14:paraId="4C341192">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1．磋商报价表；</w:t>
      </w:r>
    </w:p>
    <w:p w14:paraId="170FBAC1">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2．磋商报价明细表；</w:t>
      </w:r>
    </w:p>
    <w:p w14:paraId="5B79A89F">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3．所投货物、服务清单；</w:t>
      </w:r>
    </w:p>
    <w:p w14:paraId="52CF11DD">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4．按磋商文件供应商须知和技术规格要求提供的有关文件；</w:t>
      </w:r>
    </w:p>
    <w:p w14:paraId="6D45D600">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5．资格证明文件；</w:t>
      </w:r>
    </w:p>
    <w:p w14:paraId="5C2D1EE0">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6．按磋商文件的规定递交的磋商保证金。</w:t>
      </w:r>
    </w:p>
    <w:p w14:paraId="0DBE1CA4">
      <w:pPr>
        <w:pStyle w:val="124"/>
        <w:wordWrap w:val="0"/>
        <w:autoSpaceDE w:val="0"/>
        <w:autoSpaceDN w:val="0"/>
        <w:adjustRightInd w:val="0"/>
        <w:spacing w:line="500" w:lineRule="atLeast"/>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在此，我方宣布同意如下：</w:t>
      </w:r>
    </w:p>
    <w:p w14:paraId="05CDF1F5">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1．所附《磋商报价表》中规定的应提交和交付的</w:t>
      </w:r>
      <w:r>
        <w:rPr>
          <w:rFonts w:hint="eastAsia" w:ascii="宋体" w:hAnsi="宋体" w:cs="宋体"/>
          <w:color w:val="000000" w:themeColor="text1"/>
          <w:kern w:val="0"/>
          <w:sz w:val="28"/>
          <w:szCs w:val="28"/>
          <w:u w:val="single"/>
          <w14:textFill>
            <w14:solidFill>
              <w14:schemeClr w14:val="tx1"/>
            </w14:solidFill>
          </w14:textFill>
        </w:rPr>
        <w:t xml:space="preserve">  （项目编号） </w:t>
      </w:r>
      <w:r>
        <w:rPr>
          <w:rFonts w:hint="eastAsia" w:ascii="宋体" w:hAnsi="宋体" w:cs="宋体"/>
          <w:color w:val="000000" w:themeColor="text1"/>
          <w:kern w:val="0"/>
          <w:sz w:val="28"/>
          <w:szCs w:val="28"/>
          <w14:textFill>
            <w14:solidFill>
              <w14:schemeClr w14:val="tx1"/>
            </w14:solidFill>
          </w14:textFill>
        </w:rPr>
        <w:t>货物投标总价为</w:t>
      </w:r>
      <w:r>
        <w:rPr>
          <w:rFonts w:hint="eastAsia" w:ascii="宋体" w:hAnsi="宋体" w:cs="宋体"/>
          <w:color w:val="000000" w:themeColor="text1"/>
          <w:kern w:val="0"/>
          <w:sz w:val="28"/>
          <w:szCs w:val="28"/>
          <w:u w:val="single"/>
          <w14:textFill>
            <w14:solidFill>
              <w14:schemeClr w14:val="tx1"/>
            </w14:solidFill>
          </w14:textFill>
        </w:rPr>
        <w:t>（注明币种，并用文字和数字表示的投标总价）</w:t>
      </w:r>
      <w:r>
        <w:rPr>
          <w:rFonts w:hint="eastAsia" w:ascii="宋体" w:hAnsi="宋体" w:cs="宋体"/>
          <w:color w:val="000000" w:themeColor="text1"/>
          <w:kern w:val="0"/>
          <w:sz w:val="28"/>
          <w:szCs w:val="28"/>
          <w14:textFill>
            <w14:solidFill>
              <w14:schemeClr w14:val="tx1"/>
            </w14:solidFill>
          </w14:textFill>
        </w:rPr>
        <w:t>。</w:t>
      </w:r>
    </w:p>
    <w:p w14:paraId="57FA1004">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2．将按磋商文件的约定履行合同责任和义务。</w:t>
      </w:r>
    </w:p>
    <w:p w14:paraId="4AA3C74D">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3．已详细审查全部磋商文件，包括</w:t>
      </w:r>
      <w:r>
        <w:rPr>
          <w:rFonts w:hint="eastAsia" w:ascii="宋体" w:hAnsi="宋体" w:cs="宋体"/>
          <w:color w:val="000000" w:themeColor="text1"/>
          <w:kern w:val="0"/>
          <w:sz w:val="28"/>
          <w:szCs w:val="28"/>
          <w:u w:val="single"/>
          <w14:textFill>
            <w14:solidFill>
              <w14:schemeClr w14:val="tx1"/>
            </w14:solidFill>
          </w14:textFill>
        </w:rPr>
        <w:t>（修正或补充文件）</w:t>
      </w:r>
      <w:r>
        <w:rPr>
          <w:rFonts w:hint="eastAsia" w:ascii="宋体" w:hAnsi="宋体" w:cs="宋体"/>
          <w:color w:val="000000" w:themeColor="text1"/>
          <w:kern w:val="0"/>
          <w:sz w:val="28"/>
          <w:szCs w:val="28"/>
          <w14:textFill>
            <w14:solidFill>
              <w14:schemeClr w14:val="tx1"/>
            </w14:solidFill>
          </w14:textFill>
        </w:rPr>
        <w:t>（如有），对此无异议。</w:t>
      </w:r>
    </w:p>
    <w:p w14:paraId="388F9F9E">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4．本投标有效期为自开标日起，共</w:t>
      </w:r>
      <w:r>
        <w:rPr>
          <w:rFonts w:hint="eastAsia" w:ascii="宋体" w:hAnsi="宋体" w:cs="宋体"/>
          <w:b/>
          <w:bCs/>
          <w:color w:val="000000" w:themeColor="text1"/>
          <w:kern w:val="0"/>
          <w:sz w:val="28"/>
          <w:szCs w:val="28"/>
          <w:u w:val="single"/>
          <w14:textFill>
            <w14:solidFill>
              <w14:schemeClr w14:val="tx1"/>
            </w14:solidFill>
          </w14:textFill>
        </w:rPr>
        <w:t>90</w:t>
      </w:r>
      <w:r>
        <w:rPr>
          <w:rFonts w:hint="eastAsia" w:ascii="宋体" w:hAnsi="宋体" w:cs="宋体"/>
          <w:color w:val="000000" w:themeColor="text1"/>
          <w:kern w:val="0"/>
          <w:sz w:val="28"/>
          <w:szCs w:val="28"/>
          <w14:textFill>
            <w14:solidFill>
              <w14:schemeClr w14:val="tx1"/>
            </w14:solidFill>
          </w14:textFill>
        </w:rPr>
        <w:t>个日历日。</w:t>
      </w:r>
    </w:p>
    <w:p w14:paraId="1F0C3AA0">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5．接受磋商文件所列关于没收投标保证金的约定。</w:t>
      </w:r>
    </w:p>
    <w:p w14:paraId="79C937A1">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6．同意提供按照贵方可能要求的与其投标有关的一切数据或资料。</w:t>
      </w:r>
    </w:p>
    <w:p w14:paraId="5116FFD7">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7.与本投标有关的一切正式往来信函请寄：。</w:t>
      </w:r>
    </w:p>
    <w:p w14:paraId="2C1ADABA">
      <w:pPr>
        <w:pStyle w:val="124"/>
        <w:wordWrap w:val="0"/>
        <w:adjustRightInd w:val="0"/>
        <w:snapToGrid w:val="0"/>
        <w:spacing w:line="500" w:lineRule="atLeast"/>
        <w:ind w:firstLine="560" w:firstLineChars="20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8.其他：</w:t>
      </w:r>
    </w:p>
    <w:p w14:paraId="106A8712">
      <w:pPr>
        <w:pStyle w:val="124"/>
        <w:wordWrap w:val="0"/>
        <w:adjustRightInd w:val="0"/>
        <w:snapToGrid w:val="0"/>
        <w:spacing w:line="500" w:lineRule="atLeast"/>
        <w:ind w:firstLine="560" w:firstLineChars="200"/>
        <w:jc w:val="left"/>
        <w:rPr>
          <w:rFonts w:hint="eastAsia" w:ascii="宋体" w:hAnsi="宋体" w:cs="宋体"/>
          <w:color w:val="000000" w:themeColor="text1"/>
          <w:sz w:val="28"/>
          <w:szCs w:val="28"/>
          <w14:textFill>
            <w14:solidFill>
              <w14:schemeClr w14:val="tx1"/>
            </w14:solidFill>
          </w14:textFill>
        </w:rPr>
      </w:pPr>
    </w:p>
    <w:p w14:paraId="3E56F925">
      <w:pPr>
        <w:pStyle w:val="124"/>
        <w:wordWrap w:val="0"/>
        <w:adjustRightInd w:val="0"/>
        <w:snapToGrid w:val="0"/>
        <w:spacing w:line="500" w:lineRule="atLeast"/>
        <w:ind w:firstLine="560" w:firstLineChars="20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供应商名称：</w:t>
      </w:r>
      <w:r>
        <w:rPr>
          <w:rFonts w:hint="eastAsia" w:ascii="宋体" w:hAnsi="宋体" w:cs="宋体"/>
          <w:color w:val="000000" w:themeColor="text1"/>
          <w:sz w:val="28"/>
          <w:szCs w:val="28"/>
          <w:u w:val="single"/>
          <w14:textFill>
            <w14:solidFill>
              <w14:schemeClr w14:val="tx1"/>
            </w14:solidFill>
          </w14:textFill>
        </w:rPr>
        <w:t xml:space="preserve">       （盖章）       </w:t>
      </w:r>
    </w:p>
    <w:p w14:paraId="0FC41CCF">
      <w:pPr>
        <w:pStyle w:val="124"/>
        <w:wordWrap w:val="0"/>
        <w:adjustRightInd w:val="0"/>
        <w:snapToGrid w:val="0"/>
        <w:spacing w:line="500" w:lineRule="atLeast"/>
        <w:ind w:firstLine="560" w:firstLineChars="200"/>
        <w:jc w:val="left"/>
        <w:rPr>
          <w:rFonts w:ascii="宋体" w:hAnsi="宋体" w:cs="宋体"/>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法定代表人：</w:t>
      </w:r>
      <w:r>
        <w:rPr>
          <w:rFonts w:hint="eastAsia" w:ascii="宋体" w:hAnsi="宋体" w:cs="宋体"/>
          <w:color w:val="000000" w:themeColor="text1"/>
          <w:sz w:val="28"/>
          <w:szCs w:val="28"/>
          <w:u w:val="single"/>
          <w14:textFill>
            <w14:solidFill>
              <w14:schemeClr w14:val="tx1"/>
            </w14:solidFill>
          </w14:textFill>
        </w:rPr>
        <w:t xml:space="preserve">       （签字或盖章）   </w:t>
      </w:r>
    </w:p>
    <w:p w14:paraId="5CF56E14">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地    址：</w:t>
      </w:r>
    </w:p>
    <w:p w14:paraId="5D0E73AB">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电    话：</w:t>
      </w:r>
    </w:p>
    <w:p w14:paraId="23F6BC3D">
      <w:pPr>
        <w:pStyle w:val="124"/>
        <w:wordWrap w:val="0"/>
        <w:autoSpaceDE w:val="0"/>
        <w:autoSpaceDN w:val="0"/>
        <w:adjustRightInd w:val="0"/>
        <w:spacing w:line="500" w:lineRule="atLeast"/>
        <w:ind w:firstLine="560" w:firstLineChars="200"/>
        <w:jc w:val="left"/>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电子函件：</w:t>
      </w:r>
    </w:p>
    <w:p w14:paraId="62CCAC06">
      <w:pPr>
        <w:pStyle w:val="124"/>
        <w:wordWrap w:val="0"/>
        <w:adjustRightInd w:val="0"/>
        <w:snapToGrid w:val="0"/>
        <w:spacing w:line="500" w:lineRule="atLeast"/>
        <w:ind w:firstLine="560" w:firstLineChars="200"/>
        <w:jc w:val="left"/>
        <w:rPr>
          <w:rFonts w:ascii="宋体" w:hAnsi="宋体" w:cs="宋体"/>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日    期：</w:t>
      </w:r>
    </w:p>
    <w:p w14:paraId="25ED27FD">
      <w:pPr>
        <w:pStyle w:val="108"/>
        <w:wordWrap w:val="0"/>
        <w:spacing w:line="500" w:lineRule="atLeast"/>
        <w:jc w:val="center"/>
        <w:outlineLvl w:val="2"/>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r>
        <w:rPr>
          <w:rFonts w:hint="eastAsia" w:ascii="宋体" w:hAnsi="宋体" w:eastAsia="宋体" w:cs="宋体"/>
          <w:color w:val="000000" w:themeColor="text1"/>
          <w14:textFill>
            <w14:solidFill>
              <w14:schemeClr w14:val="tx1"/>
            </w14:solidFill>
          </w14:textFill>
        </w:rPr>
        <w:t>七、开标一览表</w:t>
      </w:r>
    </w:p>
    <w:p w14:paraId="76A27589">
      <w:pPr>
        <w:pStyle w:val="138"/>
        <w:wordWrap w:val="0"/>
        <w:spacing w:line="500" w:lineRule="atLeast"/>
        <w:rPr>
          <w:rFonts w:ascii="宋体" w:hAnsi="宋体" w:cs="宋体"/>
          <w:b/>
          <w:color w:val="000000" w:themeColor="text1"/>
          <w:sz w:val="32"/>
          <w:szCs w:val="32"/>
          <w14:textFill>
            <w14:solidFill>
              <w14:schemeClr w14:val="tx1"/>
            </w14:solidFill>
          </w14:textFill>
        </w:rPr>
      </w:pPr>
    </w:p>
    <w:p w14:paraId="5CE5243B">
      <w:pPr>
        <w:pStyle w:val="138"/>
        <w:wordWrap w:val="0"/>
        <w:spacing w:line="500" w:lineRule="atLeast"/>
        <w:rPr>
          <w:rFonts w:ascii="宋体" w:hAnsi="宋体" w:cs="宋体"/>
          <w:color w:val="000000" w:themeColor="text1"/>
          <w:sz w:val="32"/>
          <w:szCs w:val="20"/>
          <w14:textFill>
            <w14:solidFill>
              <w14:schemeClr w14:val="tx1"/>
            </w14:solidFill>
          </w14:textFill>
        </w:rPr>
      </w:pPr>
      <w:r>
        <w:rPr>
          <w:rFonts w:hint="eastAsia" w:ascii="宋体" w:hAnsi="宋体" w:cs="宋体"/>
          <w:color w:val="000000" w:themeColor="text1"/>
          <w:sz w:val="32"/>
          <w:szCs w:val="20"/>
          <w14:textFill>
            <w14:solidFill>
              <w14:schemeClr w14:val="tx1"/>
            </w14:solidFill>
          </w14:textFill>
        </w:rPr>
        <w:t>项目编号：</w:t>
      </w:r>
      <w:r>
        <w:rPr>
          <w:rFonts w:hint="eastAsia" w:ascii="宋体" w:hAnsi="宋体" w:cs="宋体"/>
          <w:color w:val="000000" w:themeColor="text1"/>
          <w:sz w:val="32"/>
          <w:szCs w:val="20"/>
          <w:u w:val="single"/>
          <w14:textFill>
            <w14:solidFill>
              <w14:schemeClr w14:val="tx1"/>
            </w14:solidFill>
          </w14:textFill>
        </w:rPr>
        <w:t xml:space="preserve">                     </w:t>
      </w:r>
    </w:p>
    <w:tbl>
      <w:tblPr>
        <w:tblStyle w:val="33"/>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14:paraId="166C3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410" w:type="dxa"/>
            <w:tcBorders>
              <w:bottom w:val="single" w:color="auto" w:sz="4" w:space="0"/>
            </w:tcBorders>
            <w:vAlign w:val="center"/>
          </w:tcPr>
          <w:p w14:paraId="0AAC085A">
            <w:pPr>
              <w:pStyle w:val="138"/>
              <w:tabs>
                <w:tab w:val="left" w:pos="1337"/>
              </w:tabs>
              <w:wordWrap w:val="0"/>
              <w:spacing w:line="500" w:lineRule="atLeast"/>
              <w:jc w:val="center"/>
              <w:rPr>
                <w:rFonts w:ascii="宋体" w:hAnsi="宋体" w:cs="宋体"/>
                <w:color w:val="000000" w:themeColor="text1"/>
                <w:sz w:val="24"/>
                <w14:textFill>
                  <w14:solidFill>
                    <w14:schemeClr w14:val="tx1"/>
                  </w14:solidFill>
                </w14:textFill>
              </w:rPr>
            </w:pPr>
            <w:r>
              <w:rPr>
                <w:rFonts w:hint="eastAsia" w:ascii="宋体" w:hAnsi="宋体" w:cs="宋体"/>
                <w:bCs/>
                <w:color w:val="000000" w:themeColor="text1"/>
                <w:sz w:val="28"/>
                <w14:textFill>
                  <w14:solidFill>
                    <w14:schemeClr w14:val="tx1"/>
                  </w14:solidFill>
                </w14:textFill>
              </w:rPr>
              <w:t>项目名称</w:t>
            </w:r>
          </w:p>
        </w:tc>
        <w:tc>
          <w:tcPr>
            <w:tcW w:w="6770" w:type="dxa"/>
            <w:tcBorders>
              <w:bottom w:val="single" w:color="auto" w:sz="4" w:space="0"/>
            </w:tcBorders>
            <w:vAlign w:val="center"/>
          </w:tcPr>
          <w:p w14:paraId="3AC7D4FE">
            <w:pPr>
              <w:pStyle w:val="138"/>
              <w:tabs>
                <w:tab w:val="left" w:pos="1337"/>
              </w:tabs>
              <w:wordWrap w:val="0"/>
              <w:spacing w:line="500" w:lineRule="atLeast"/>
              <w:jc w:val="center"/>
              <w:rPr>
                <w:rFonts w:ascii="宋体" w:hAnsi="宋体" w:cs="宋体"/>
                <w:bCs/>
                <w:color w:val="000000" w:themeColor="text1"/>
                <w:sz w:val="24"/>
                <w14:textFill>
                  <w14:solidFill>
                    <w14:schemeClr w14:val="tx1"/>
                  </w14:solidFill>
                </w14:textFill>
              </w:rPr>
            </w:pPr>
          </w:p>
        </w:tc>
      </w:tr>
      <w:tr w14:paraId="2D9B4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410" w:type="dxa"/>
            <w:vAlign w:val="center"/>
          </w:tcPr>
          <w:p w14:paraId="4EEF793E">
            <w:pPr>
              <w:pStyle w:val="138"/>
              <w:tabs>
                <w:tab w:val="left" w:pos="1337"/>
              </w:tabs>
              <w:wordWrap w:val="0"/>
              <w:spacing w:line="500" w:lineRule="atLeast"/>
              <w:jc w:val="center"/>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bCs/>
                <w:color w:val="000000" w:themeColor="text1"/>
                <w:sz w:val="28"/>
                <w14:textFill>
                  <w14:solidFill>
                    <w14:schemeClr w14:val="tx1"/>
                  </w14:solidFill>
                </w14:textFill>
              </w:rPr>
              <w:t>投标报价</w:t>
            </w:r>
            <w:r>
              <w:rPr>
                <w:rFonts w:hint="eastAsia" w:ascii="宋体" w:hAnsi="宋体" w:cs="宋体"/>
                <w:bCs/>
                <w:color w:val="000000" w:themeColor="text1"/>
                <w:sz w:val="28"/>
                <w:lang w:eastAsia="zh-CN"/>
                <w14:textFill>
                  <w14:solidFill>
                    <w14:schemeClr w14:val="tx1"/>
                  </w14:solidFill>
                </w14:textFill>
              </w:rPr>
              <w:t>（</w:t>
            </w:r>
            <w:r>
              <w:rPr>
                <w:rFonts w:hint="eastAsia" w:ascii="宋体" w:hAnsi="宋体" w:cs="宋体"/>
                <w:bCs/>
                <w:color w:val="000000" w:themeColor="text1"/>
                <w:sz w:val="28"/>
                <w:lang w:val="en-US" w:eastAsia="zh-CN"/>
                <w14:textFill>
                  <w14:solidFill>
                    <w14:schemeClr w14:val="tx1"/>
                  </w14:solidFill>
                </w14:textFill>
              </w:rPr>
              <w:t>元</w:t>
            </w:r>
            <w:r>
              <w:rPr>
                <w:rFonts w:hint="eastAsia" w:ascii="宋体" w:hAnsi="宋体" w:cs="宋体"/>
                <w:bCs/>
                <w:color w:val="000000" w:themeColor="text1"/>
                <w:sz w:val="28"/>
                <w:lang w:eastAsia="zh-CN"/>
                <w14:textFill>
                  <w14:solidFill>
                    <w14:schemeClr w14:val="tx1"/>
                  </w14:solidFill>
                </w14:textFill>
              </w:rPr>
              <w:t>）</w:t>
            </w:r>
          </w:p>
        </w:tc>
        <w:tc>
          <w:tcPr>
            <w:tcW w:w="6770" w:type="dxa"/>
            <w:vAlign w:val="center"/>
          </w:tcPr>
          <w:p w14:paraId="1C5A341E">
            <w:pPr>
              <w:pStyle w:val="138"/>
              <w:tabs>
                <w:tab w:val="left" w:pos="1337"/>
              </w:tabs>
              <w:wordWrap w:val="0"/>
              <w:spacing w:line="500" w:lineRule="atLeast"/>
              <w:rPr>
                <w:rFonts w:ascii="宋体" w:hAnsi="宋体" w:cs="宋体"/>
                <w:bCs/>
                <w:color w:val="000000" w:themeColor="text1"/>
                <w:sz w:val="28"/>
                <w14:textFill>
                  <w14:solidFill>
                    <w14:schemeClr w14:val="tx1"/>
                  </w14:solidFill>
                </w14:textFill>
              </w:rPr>
            </w:pPr>
            <w:r>
              <w:rPr>
                <w:rFonts w:hint="eastAsia" w:ascii="宋体" w:hAnsi="宋体" w:cs="宋体"/>
                <w:bCs/>
                <w:color w:val="000000" w:themeColor="text1"/>
                <w:sz w:val="28"/>
                <w14:textFill>
                  <w14:solidFill>
                    <w14:schemeClr w14:val="tx1"/>
                  </w14:solidFill>
                </w14:textFill>
              </w:rPr>
              <w:t>小写：</w:t>
            </w:r>
            <w:r>
              <w:rPr>
                <w:rFonts w:hint="eastAsia" w:ascii="宋体" w:hAnsi="宋体" w:cs="宋体"/>
                <w:bCs/>
                <w:color w:val="000000" w:themeColor="text1"/>
                <w:sz w:val="28"/>
                <w:u w:val="single"/>
                <w14:textFill>
                  <w14:solidFill>
                    <w14:schemeClr w14:val="tx1"/>
                  </w14:solidFill>
                </w14:textFill>
              </w:rPr>
              <w:t xml:space="preserve">                               </w:t>
            </w:r>
          </w:p>
          <w:p w14:paraId="48D91CD5">
            <w:pPr>
              <w:pStyle w:val="138"/>
              <w:tabs>
                <w:tab w:val="left" w:pos="1337"/>
              </w:tabs>
              <w:wordWrap w:val="0"/>
              <w:spacing w:line="500" w:lineRule="atLeast"/>
              <w:rPr>
                <w:rFonts w:ascii="宋体" w:hAnsi="宋体" w:cs="宋体"/>
                <w:color w:val="000000" w:themeColor="text1"/>
                <w:sz w:val="24"/>
                <w14:textFill>
                  <w14:solidFill>
                    <w14:schemeClr w14:val="tx1"/>
                  </w14:solidFill>
                </w14:textFill>
              </w:rPr>
            </w:pPr>
            <w:r>
              <w:rPr>
                <w:rFonts w:hint="eastAsia" w:ascii="宋体" w:hAnsi="宋体" w:cs="宋体"/>
                <w:bCs/>
                <w:color w:val="000000" w:themeColor="text1"/>
                <w:sz w:val="28"/>
                <w14:textFill>
                  <w14:solidFill>
                    <w14:schemeClr w14:val="tx1"/>
                  </w14:solidFill>
                </w14:textFill>
              </w:rPr>
              <w:t>大写：</w:t>
            </w:r>
            <w:r>
              <w:rPr>
                <w:rFonts w:hint="eastAsia" w:ascii="宋体" w:hAnsi="宋体" w:cs="宋体"/>
                <w:bCs/>
                <w:color w:val="000000" w:themeColor="text1"/>
                <w:sz w:val="28"/>
                <w:u w:val="single"/>
                <w14:textFill>
                  <w14:solidFill>
                    <w14:schemeClr w14:val="tx1"/>
                  </w14:solidFill>
                </w14:textFill>
              </w:rPr>
              <w:t xml:space="preserve">                               </w:t>
            </w:r>
          </w:p>
        </w:tc>
      </w:tr>
      <w:tr w14:paraId="122C3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jc w:val="center"/>
        </w:trPr>
        <w:tc>
          <w:tcPr>
            <w:tcW w:w="2410" w:type="dxa"/>
            <w:vAlign w:val="center"/>
          </w:tcPr>
          <w:p w14:paraId="494AE1F9">
            <w:pPr>
              <w:pStyle w:val="138"/>
              <w:tabs>
                <w:tab w:val="left" w:pos="1337"/>
              </w:tabs>
              <w:wordWrap w:val="0"/>
              <w:spacing w:line="500" w:lineRule="atLeast"/>
              <w:jc w:val="center"/>
              <w:rPr>
                <w:rFonts w:ascii="宋体" w:hAnsi="宋体" w:cs="宋体"/>
                <w:color w:val="000000" w:themeColor="text1"/>
                <w:sz w:val="24"/>
                <w14:textFill>
                  <w14:solidFill>
                    <w14:schemeClr w14:val="tx1"/>
                  </w14:solidFill>
                </w14:textFill>
              </w:rPr>
            </w:pPr>
            <w:r>
              <w:rPr>
                <w:rFonts w:hint="eastAsia" w:ascii="宋体" w:hAnsi="宋体" w:cs="宋体"/>
                <w:bCs/>
                <w:color w:val="000000" w:themeColor="text1"/>
                <w:sz w:val="28"/>
                <w14:textFill>
                  <w14:solidFill>
                    <w14:schemeClr w14:val="tx1"/>
                  </w14:solidFill>
                </w14:textFill>
              </w:rPr>
              <w:t>服务期限</w:t>
            </w:r>
          </w:p>
        </w:tc>
        <w:tc>
          <w:tcPr>
            <w:tcW w:w="6770" w:type="dxa"/>
            <w:vAlign w:val="bottom"/>
          </w:tcPr>
          <w:p w14:paraId="097F7F65">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both"/>
              <w:textAlignment w:val="auto"/>
              <w:rPr>
                <w:rFonts w:ascii="宋体" w:hAnsi="宋体" w:cs="宋体"/>
                <w:color w:val="000000" w:themeColor="text1"/>
                <w:sz w:val="24"/>
                <w14:textFill>
                  <w14:solidFill>
                    <w14:schemeClr w14:val="tx1"/>
                  </w14:solidFill>
                </w14:textFill>
              </w:rPr>
            </w:pPr>
            <w:r>
              <w:rPr>
                <w:rFonts w:hint="eastAsia" w:ascii="宋体" w:hAnsi="宋体" w:eastAsia="宋体" w:cs="宋体"/>
                <w:bCs/>
                <w:color w:val="000000" w:themeColor="text1"/>
                <w:kern w:val="2"/>
                <w:sz w:val="28"/>
                <w:szCs w:val="22"/>
                <w:lang w:val="en-US" w:eastAsia="zh-CN" w:bidi="ar-SA"/>
                <w14:textFill>
                  <w14:solidFill>
                    <w14:schemeClr w14:val="tx1"/>
                  </w14:solidFill>
                </w14:textFill>
              </w:rPr>
              <w:t>自合同签订之日起至2025年12月31日</w:t>
            </w:r>
          </w:p>
        </w:tc>
      </w:tr>
      <w:tr w14:paraId="7F1A8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jc w:val="center"/>
        </w:trPr>
        <w:tc>
          <w:tcPr>
            <w:tcW w:w="2410" w:type="dxa"/>
            <w:vAlign w:val="center"/>
          </w:tcPr>
          <w:p w14:paraId="04D88933">
            <w:pPr>
              <w:pStyle w:val="138"/>
              <w:tabs>
                <w:tab w:val="left" w:pos="1337"/>
              </w:tabs>
              <w:wordWrap w:val="0"/>
              <w:spacing w:line="500" w:lineRule="atLeast"/>
              <w:jc w:val="center"/>
              <w:rPr>
                <w:rFonts w:hint="default" w:ascii="宋体" w:hAnsi="宋体" w:eastAsia="宋体" w:cs="宋体"/>
                <w:bCs/>
                <w:color w:val="000000" w:themeColor="text1"/>
                <w:sz w:val="28"/>
                <w:lang w:val="en-US" w:eastAsia="zh-CN"/>
                <w14:textFill>
                  <w14:solidFill>
                    <w14:schemeClr w14:val="tx1"/>
                  </w14:solidFill>
                </w14:textFill>
              </w:rPr>
            </w:pPr>
            <w:r>
              <w:rPr>
                <w:rFonts w:hint="eastAsia" w:ascii="宋体" w:hAnsi="宋体" w:cs="宋体"/>
                <w:bCs/>
                <w:color w:val="000000" w:themeColor="text1"/>
                <w:sz w:val="28"/>
                <w:lang w:val="en-US" w:eastAsia="zh-CN"/>
                <w14:textFill>
                  <w14:solidFill>
                    <w14:schemeClr w14:val="tx1"/>
                  </w14:solidFill>
                </w14:textFill>
              </w:rPr>
              <w:t>质量要求</w:t>
            </w:r>
          </w:p>
        </w:tc>
        <w:tc>
          <w:tcPr>
            <w:tcW w:w="6770" w:type="dxa"/>
            <w:vAlign w:val="bottom"/>
          </w:tcPr>
          <w:p w14:paraId="6557B0D3">
            <w:pPr>
              <w:pStyle w:val="2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both"/>
              <w:textAlignment w:val="auto"/>
              <w:rPr>
                <w:rFonts w:hint="eastAsia" w:ascii="宋体" w:hAnsi="宋体" w:eastAsia="宋体" w:cs="宋体"/>
                <w:bCs/>
                <w:color w:val="000000" w:themeColor="text1"/>
                <w:kern w:val="2"/>
                <w:sz w:val="28"/>
                <w:szCs w:val="22"/>
                <w:lang w:val="en-US" w:eastAsia="zh-CN" w:bidi="ar-SA"/>
                <w14:textFill>
                  <w14:solidFill>
                    <w14:schemeClr w14:val="tx1"/>
                  </w14:solidFill>
                </w14:textFill>
              </w:rPr>
            </w:pPr>
            <w:r>
              <w:rPr>
                <w:rFonts w:hint="eastAsia" w:ascii="宋体" w:hAnsi="宋体" w:eastAsia="宋体" w:cs="宋体"/>
                <w:bCs/>
                <w:color w:val="auto"/>
                <w:kern w:val="2"/>
                <w:sz w:val="28"/>
                <w:szCs w:val="22"/>
                <w:lang w:val="en-US" w:eastAsia="zh-CN" w:bidi="ar-SA"/>
              </w:rPr>
              <w:t>符合国家相关规定，能够满足项目需求。</w:t>
            </w:r>
          </w:p>
        </w:tc>
      </w:tr>
      <w:tr w14:paraId="20048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9180" w:type="dxa"/>
            <w:gridSpan w:val="2"/>
          </w:tcPr>
          <w:p w14:paraId="7E2ED405">
            <w:pPr>
              <w:pStyle w:val="138"/>
              <w:tabs>
                <w:tab w:val="left" w:pos="1337"/>
              </w:tabs>
              <w:wordWrap w:val="0"/>
              <w:spacing w:line="500" w:lineRule="atLeast"/>
              <w:rPr>
                <w:rFonts w:ascii="宋体" w:hAnsi="宋体" w:cs="宋体"/>
                <w:color w:val="000000" w:themeColor="text1"/>
                <w:sz w:val="24"/>
                <w14:textFill>
                  <w14:solidFill>
                    <w14:schemeClr w14:val="tx1"/>
                  </w14:solidFill>
                </w14:textFill>
              </w:rPr>
            </w:pPr>
            <w:r>
              <w:rPr>
                <w:rFonts w:hint="eastAsia" w:ascii="宋体" w:hAnsi="宋体" w:cs="宋体"/>
                <w:bCs/>
                <w:color w:val="000000" w:themeColor="text1"/>
                <w:sz w:val="28"/>
                <w14:textFill>
                  <w14:solidFill>
                    <w14:schemeClr w14:val="tx1"/>
                  </w14:solidFill>
                </w14:textFill>
              </w:rPr>
              <w:t>备注：</w:t>
            </w:r>
          </w:p>
        </w:tc>
      </w:tr>
    </w:tbl>
    <w:p w14:paraId="0D0BFC8C">
      <w:pPr>
        <w:pStyle w:val="138"/>
        <w:wordWrap w:val="0"/>
        <w:spacing w:line="500" w:lineRule="atLeast"/>
        <w:rPr>
          <w:rFonts w:ascii="宋体" w:hAnsi="宋体" w:cs="宋体"/>
          <w:color w:val="000000" w:themeColor="text1"/>
          <w:sz w:val="28"/>
          <w14:textFill>
            <w14:solidFill>
              <w14:schemeClr w14:val="tx1"/>
            </w14:solidFill>
          </w14:textFill>
        </w:rPr>
      </w:pPr>
      <w:r>
        <w:rPr>
          <w:rFonts w:hint="eastAsia" w:ascii="宋体" w:hAnsi="宋体" w:cs="宋体"/>
          <w:color w:val="000000" w:themeColor="text1"/>
          <w:sz w:val="28"/>
          <w14:textFill>
            <w14:solidFill>
              <w14:schemeClr w14:val="tx1"/>
            </w14:solidFill>
          </w14:textFill>
        </w:rPr>
        <w:t>说明：1、投标人严格按照规定的格式填写。投标报价为优惠后报价，并作为评审及定标的依据。</w:t>
      </w:r>
    </w:p>
    <w:p w14:paraId="5ECD554C">
      <w:pPr>
        <w:pStyle w:val="138"/>
        <w:wordWrap w:val="0"/>
        <w:spacing w:line="500" w:lineRule="atLeast"/>
        <w:rPr>
          <w:rFonts w:ascii="宋体" w:hAnsi="宋体" w:cs="宋体"/>
          <w:color w:val="000000" w:themeColor="text1"/>
          <w:sz w:val="28"/>
          <w14:textFill>
            <w14:solidFill>
              <w14:schemeClr w14:val="tx1"/>
            </w14:solidFill>
          </w14:textFill>
        </w:rPr>
      </w:pPr>
      <w:r>
        <w:rPr>
          <w:rFonts w:hint="eastAsia" w:ascii="宋体" w:hAnsi="宋体" w:cs="宋体"/>
          <w:color w:val="000000" w:themeColor="text1"/>
          <w:sz w:val="28"/>
          <w14:textFill>
            <w14:solidFill>
              <w14:schemeClr w14:val="tx1"/>
            </w14:solidFill>
          </w14:textFill>
        </w:rPr>
        <w:t>2、任何有选择或有条件的投标报价或表中某一包填写多个报价，均将导致投标被拒绝。</w:t>
      </w:r>
    </w:p>
    <w:p w14:paraId="217ADC73">
      <w:pPr>
        <w:pStyle w:val="138"/>
        <w:wordWrap w:val="0"/>
        <w:spacing w:line="500" w:lineRule="atLeast"/>
        <w:ind w:firstLine="560" w:firstLineChars="200"/>
        <w:rPr>
          <w:rFonts w:ascii="宋体" w:hAnsi="宋体" w:cs="宋体"/>
          <w:color w:val="000000" w:themeColor="text1"/>
          <w:sz w:val="28"/>
          <w14:textFill>
            <w14:solidFill>
              <w14:schemeClr w14:val="tx1"/>
            </w14:solidFill>
          </w14:textFill>
        </w:rPr>
      </w:pPr>
    </w:p>
    <w:p w14:paraId="6B06C9EF">
      <w:pPr>
        <w:pStyle w:val="138"/>
        <w:wordWrap w:val="0"/>
        <w:spacing w:line="500" w:lineRule="atLeast"/>
        <w:ind w:firstLine="560" w:firstLineChars="200"/>
        <w:rPr>
          <w:rFonts w:ascii="宋体" w:hAnsi="宋体" w:cs="宋体"/>
          <w:color w:val="000000" w:themeColor="text1"/>
          <w:sz w:val="28"/>
          <w:u w:val="single"/>
          <w14:textFill>
            <w14:solidFill>
              <w14:schemeClr w14:val="tx1"/>
            </w14:solidFill>
          </w14:textFill>
        </w:rPr>
      </w:pPr>
    </w:p>
    <w:p w14:paraId="6BCB3E8B">
      <w:pPr>
        <w:pStyle w:val="138"/>
        <w:wordWrap w:val="0"/>
        <w:spacing w:line="500" w:lineRule="atLeast"/>
        <w:ind w:firstLine="560" w:firstLineChars="200"/>
        <w:rPr>
          <w:rFonts w:ascii="宋体" w:hAnsi="宋体" w:cs="宋体"/>
          <w:color w:val="000000" w:themeColor="text1"/>
          <w:sz w:val="28"/>
          <w:u w:val="single"/>
          <w14:textFill>
            <w14:solidFill>
              <w14:schemeClr w14:val="tx1"/>
            </w14:solidFill>
          </w14:textFill>
        </w:rPr>
      </w:pPr>
      <w:r>
        <w:rPr>
          <w:rFonts w:hint="eastAsia" w:ascii="宋体" w:hAnsi="宋体" w:cs="宋体"/>
          <w:color w:val="000000" w:themeColor="text1"/>
          <w:sz w:val="28"/>
          <w14:textFill>
            <w14:solidFill>
              <w14:schemeClr w14:val="tx1"/>
            </w14:solidFill>
          </w14:textFill>
        </w:rPr>
        <w:t>供应商(盖章)：</w:t>
      </w:r>
    </w:p>
    <w:p w14:paraId="1FCC008D">
      <w:pPr>
        <w:pStyle w:val="138"/>
        <w:wordWrap w:val="0"/>
        <w:spacing w:line="500" w:lineRule="atLeast"/>
        <w:ind w:firstLine="560" w:firstLineChars="200"/>
        <w:rPr>
          <w:rFonts w:ascii="宋体" w:hAnsi="宋体" w:cs="宋体"/>
          <w:color w:val="000000" w:themeColor="text1"/>
          <w:sz w:val="28"/>
          <w14:textFill>
            <w14:solidFill>
              <w14:schemeClr w14:val="tx1"/>
            </w14:solidFill>
          </w14:textFill>
        </w:rPr>
      </w:pPr>
    </w:p>
    <w:p w14:paraId="36E33AB1">
      <w:pPr>
        <w:pStyle w:val="138"/>
        <w:wordWrap w:val="0"/>
        <w:spacing w:line="500" w:lineRule="atLeast"/>
        <w:ind w:firstLine="560" w:firstLineChars="200"/>
        <w:rPr>
          <w:rFonts w:ascii="宋体" w:hAnsi="宋体" w:cs="宋体"/>
          <w:color w:val="000000" w:themeColor="text1"/>
          <w:sz w:val="28"/>
          <w14:textFill>
            <w14:solidFill>
              <w14:schemeClr w14:val="tx1"/>
            </w14:solidFill>
          </w14:textFill>
        </w:rPr>
      </w:pPr>
      <w:r>
        <w:rPr>
          <w:rFonts w:hint="eastAsia" w:ascii="宋体" w:hAnsi="宋体" w:cs="宋体"/>
          <w:color w:val="000000" w:themeColor="text1"/>
          <w:sz w:val="28"/>
          <w14:textFill>
            <w14:solidFill>
              <w14:schemeClr w14:val="tx1"/>
            </w14:solidFill>
          </w14:textFill>
        </w:rPr>
        <w:t>日   期：</w:t>
      </w:r>
      <w:r>
        <w:rPr>
          <w:rFonts w:hint="eastAsia" w:ascii="宋体" w:hAnsi="宋体" w:cs="宋体"/>
          <w:color w:val="000000" w:themeColor="text1"/>
          <w:sz w:val="28"/>
          <w:u w:val="single"/>
          <w14:textFill>
            <w14:solidFill>
              <w14:schemeClr w14:val="tx1"/>
            </w14:solidFill>
          </w14:textFill>
        </w:rPr>
        <w:t xml:space="preserve">         </w:t>
      </w:r>
      <w:r>
        <w:rPr>
          <w:rFonts w:hint="eastAsia" w:ascii="宋体" w:hAnsi="宋体" w:cs="宋体"/>
          <w:color w:val="000000" w:themeColor="text1"/>
          <w:sz w:val="28"/>
          <w14:textFill>
            <w14:solidFill>
              <w14:schemeClr w14:val="tx1"/>
            </w14:solidFill>
          </w14:textFill>
        </w:rPr>
        <w:t>年</w:t>
      </w:r>
      <w:r>
        <w:rPr>
          <w:rFonts w:hint="eastAsia" w:ascii="宋体" w:hAnsi="宋体" w:cs="宋体"/>
          <w:color w:val="000000" w:themeColor="text1"/>
          <w:sz w:val="28"/>
          <w:u w:val="single"/>
          <w14:textFill>
            <w14:solidFill>
              <w14:schemeClr w14:val="tx1"/>
            </w14:solidFill>
          </w14:textFill>
        </w:rPr>
        <w:t xml:space="preserve">       </w:t>
      </w:r>
      <w:r>
        <w:rPr>
          <w:rFonts w:hint="eastAsia" w:ascii="宋体" w:hAnsi="宋体" w:cs="宋体"/>
          <w:color w:val="000000" w:themeColor="text1"/>
          <w:sz w:val="28"/>
          <w14:textFill>
            <w14:solidFill>
              <w14:schemeClr w14:val="tx1"/>
            </w14:solidFill>
          </w14:textFill>
        </w:rPr>
        <w:t>月</w:t>
      </w:r>
      <w:r>
        <w:rPr>
          <w:rFonts w:hint="eastAsia" w:ascii="宋体" w:hAnsi="宋体" w:cs="宋体"/>
          <w:color w:val="000000" w:themeColor="text1"/>
          <w:sz w:val="28"/>
          <w:u w:val="single"/>
          <w14:textFill>
            <w14:solidFill>
              <w14:schemeClr w14:val="tx1"/>
            </w14:solidFill>
          </w14:textFill>
        </w:rPr>
        <w:t xml:space="preserve">       </w:t>
      </w:r>
      <w:r>
        <w:rPr>
          <w:rFonts w:hint="eastAsia" w:ascii="宋体" w:hAnsi="宋体" w:cs="宋体"/>
          <w:color w:val="000000" w:themeColor="text1"/>
          <w:sz w:val="28"/>
          <w14:textFill>
            <w14:solidFill>
              <w14:schemeClr w14:val="tx1"/>
            </w14:solidFill>
          </w14:textFill>
        </w:rPr>
        <w:t>日</w:t>
      </w:r>
    </w:p>
    <w:p w14:paraId="618915EE">
      <w:pPr>
        <w:pStyle w:val="138"/>
        <w:wordWrap w:val="0"/>
        <w:spacing w:line="500" w:lineRule="atLeast"/>
        <w:rPr>
          <w:rFonts w:ascii="宋体" w:hAnsi="宋体" w:cs="宋体"/>
          <w:color w:val="000000" w:themeColor="text1"/>
          <w14:textFill>
            <w14:solidFill>
              <w14:schemeClr w14:val="tx1"/>
            </w14:solidFill>
          </w14:textFill>
        </w:rPr>
      </w:pPr>
    </w:p>
    <w:p w14:paraId="14C98DF2">
      <w:pPr>
        <w:pStyle w:val="131"/>
        <w:wordWrap w:val="0"/>
        <w:spacing w:line="500" w:lineRule="atLeast"/>
        <w:jc w:val="center"/>
        <w:outlineLvl w:val="2"/>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r>
        <w:rPr>
          <w:rFonts w:hint="eastAsia" w:ascii="宋体" w:hAnsi="宋体" w:eastAsia="宋体" w:cs="宋体"/>
          <w:color w:val="000000" w:themeColor="text1"/>
          <w14:textFill>
            <w14:solidFill>
              <w14:schemeClr w14:val="tx1"/>
            </w14:solidFill>
          </w14:textFill>
        </w:rPr>
        <w:t>八、竞争性磋商报价明细表</w:t>
      </w:r>
    </w:p>
    <w:p w14:paraId="411CA335">
      <w:pPr>
        <w:pStyle w:val="128"/>
        <w:wordWrap w:val="0"/>
        <w:adjustRightInd w:val="0"/>
        <w:snapToGrid w:val="0"/>
        <w:spacing w:line="500" w:lineRule="atLeast"/>
        <w:rPr>
          <w:rFonts w:ascii="宋体" w:hAnsi="宋体" w:cs="宋体"/>
          <w:b/>
          <w:color w:val="000000" w:themeColor="text1"/>
          <w:sz w:val="32"/>
          <w:szCs w:val="32"/>
          <w14:textFill>
            <w14:solidFill>
              <w14:schemeClr w14:val="tx1"/>
            </w14:solidFill>
          </w14:textFill>
        </w:rPr>
      </w:pPr>
    </w:p>
    <w:p w14:paraId="32E01ACE">
      <w:pPr>
        <w:pStyle w:val="128"/>
        <w:wordWrap w:val="0"/>
        <w:adjustRightInd w:val="0"/>
        <w:snapToGrid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采购项目编号：</w:t>
      </w:r>
    </w:p>
    <w:p w14:paraId="5959C121">
      <w:pPr>
        <w:pStyle w:val="128"/>
        <w:wordWrap w:val="0"/>
        <w:adjustRightInd w:val="0"/>
        <w:snapToGrid w:val="0"/>
        <w:spacing w:line="500" w:lineRule="atLeast"/>
        <w:rPr>
          <w:rFonts w:ascii="宋体" w:hAnsi="宋体" w:cs="宋体"/>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采购项目名称：</w:t>
      </w:r>
    </w:p>
    <w:tbl>
      <w:tblPr>
        <w:tblStyle w:val="33"/>
        <w:tblW w:w="8651"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79"/>
        <w:gridCol w:w="5103"/>
        <w:gridCol w:w="2669"/>
      </w:tblGrid>
      <w:tr w14:paraId="3D6646B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1" w:hRule="atLeast"/>
          <w:jc w:val="center"/>
        </w:trPr>
        <w:tc>
          <w:tcPr>
            <w:tcW w:w="879" w:type="dxa"/>
            <w:tcBorders>
              <w:top w:val="single" w:color="auto" w:sz="4" w:space="0"/>
              <w:left w:val="single" w:color="auto" w:sz="4" w:space="0"/>
              <w:bottom w:val="single" w:color="auto" w:sz="6" w:space="0"/>
              <w:right w:val="single" w:color="auto" w:sz="6" w:space="0"/>
            </w:tcBorders>
            <w:vAlign w:val="center"/>
          </w:tcPr>
          <w:p w14:paraId="4ABF9A96">
            <w:pPr>
              <w:pStyle w:val="128"/>
              <w:wordWrap w:val="0"/>
              <w:adjustRightInd w:val="0"/>
              <w:snapToGrid w:val="0"/>
              <w:spacing w:line="500" w:lineRule="atLeast"/>
              <w:ind w:left="-88" w:leftChars="-42"/>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序号</w:t>
            </w:r>
          </w:p>
        </w:tc>
        <w:tc>
          <w:tcPr>
            <w:tcW w:w="5103" w:type="dxa"/>
            <w:tcBorders>
              <w:top w:val="single" w:color="auto" w:sz="4" w:space="0"/>
              <w:left w:val="single" w:color="auto" w:sz="6" w:space="0"/>
              <w:bottom w:val="single" w:color="auto" w:sz="6" w:space="0"/>
              <w:right w:val="single" w:color="auto" w:sz="6" w:space="0"/>
            </w:tcBorders>
            <w:vAlign w:val="center"/>
          </w:tcPr>
          <w:p w14:paraId="60B74574">
            <w:pPr>
              <w:pStyle w:val="128"/>
              <w:wordWrap w:val="0"/>
              <w:adjustRightInd w:val="0"/>
              <w:snapToGrid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服务内容</w:t>
            </w:r>
          </w:p>
        </w:tc>
        <w:tc>
          <w:tcPr>
            <w:tcW w:w="2669" w:type="dxa"/>
            <w:tcBorders>
              <w:top w:val="single" w:color="auto" w:sz="4" w:space="0"/>
              <w:left w:val="single" w:color="auto" w:sz="6" w:space="0"/>
              <w:bottom w:val="single" w:color="auto" w:sz="6" w:space="0"/>
              <w:right w:val="single" w:color="auto" w:sz="4" w:space="0"/>
            </w:tcBorders>
            <w:vAlign w:val="center"/>
          </w:tcPr>
          <w:p w14:paraId="085CF071">
            <w:pPr>
              <w:pStyle w:val="128"/>
              <w:wordWrap w:val="0"/>
              <w:adjustRightInd w:val="0"/>
              <w:snapToGrid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单项价格（元）</w:t>
            </w:r>
          </w:p>
        </w:tc>
      </w:tr>
      <w:tr w14:paraId="07437C1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1" w:hRule="atLeast"/>
          <w:jc w:val="center"/>
        </w:trPr>
        <w:tc>
          <w:tcPr>
            <w:tcW w:w="879" w:type="dxa"/>
            <w:tcBorders>
              <w:top w:val="single" w:color="auto" w:sz="6" w:space="0"/>
              <w:left w:val="single" w:color="auto" w:sz="4" w:space="0"/>
              <w:bottom w:val="single" w:color="auto" w:sz="6" w:space="0"/>
              <w:right w:val="single" w:color="auto" w:sz="6" w:space="0"/>
            </w:tcBorders>
            <w:vAlign w:val="center"/>
          </w:tcPr>
          <w:p w14:paraId="6CE2AF58">
            <w:pPr>
              <w:pStyle w:val="128"/>
              <w:wordWrap w:val="0"/>
              <w:adjustRightInd w:val="0"/>
              <w:snapToGrid w:val="0"/>
              <w:spacing w:line="500" w:lineRule="atLeast"/>
              <w:ind w:left="-88" w:leftChars="-42"/>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1</w:t>
            </w:r>
          </w:p>
        </w:tc>
        <w:tc>
          <w:tcPr>
            <w:tcW w:w="5103" w:type="dxa"/>
            <w:tcBorders>
              <w:top w:val="single" w:color="auto" w:sz="6" w:space="0"/>
              <w:left w:val="single" w:color="auto" w:sz="6" w:space="0"/>
              <w:bottom w:val="single" w:color="auto" w:sz="6" w:space="0"/>
              <w:right w:val="single" w:color="auto" w:sz="6" w:space="0"/>
            </w:tcBorders>
            <w:vAlign w:val="center"/>
          </w:tcPr>
          <w:p w14:paraId="7FF4E8D3">
            <w:pPr>
              <w:pStyle w:val="128"/>
              <w:wordWrap w:val="0"/>
              <w:adjustRightInd w:val="0"/>
              <w:snapToGrid w:val="0"/>
              <w:spacing w:line="500" w:lineRule="atLeast"/>
              <w:jc w:val="center"/>
              <w:rPr>
                <w:rFonts w:hint="default" w:ascii="宋体" w:hAnsi="宋体" w:eastAsia="宋体" w:cs="宋体"/>
                <w:color w:val="FF0000"/>
                <w:sz w:val="28"/>
                <w:szCs w:val="28"/>
                <w:lang w:val="en-US" w:eastAsia="zh-CN"/>
              </w:rPr>
            </w:pPr>
          </w:p>
        </w:tc>
        <w:tc>
          <w:tcPr>
            <w:tcW w:w="2669" w:type="dxa"/>
            <w:tcBorders>
              <w:top w:val="single" w:color="auto" w:sz="6" w:space="0"/>
              <w:left w:val="single" w:color="auto" w:sz="6" w:space="0"/>
              <w:bottom w:val="single" w:color="auto" w:sz="6" w:space="0"/>
              <w:right w:val="single" w:color="auto" w:sz="4" w:space="0"/>
            </w:tcBorders>
            <w:vAlign w:val="center"/>
          </w:tcPr>
          <w:p w14:paraId="7AE554F7">
            <w:pPr>
              <w:pStyle w:val="128"/>
              <w:wordWrap w:val="0"/>
              <w:adjustRightInd w:val="0"/>
              <w:snapToGrid w:val="0"/>
              <w:spacing w:line="500" w:lineRule="atLeast"/>
              <w:jc w:val="center"/>
              <w:rPr>
                <w:rFonts w:ascii="宋体" w:hAnsi="宋体" w:cs="宋体"/>
                <w:color w:val="000000" w:themeColor="text1"/>
                <w:sz w:val="28"/>
                <w:szCs w:val="28"/>
                <w14:textFill>
                  <w14:solidFill>
                    <w14:schemeClr w14:val="tx1"/>
                  </w14:solidFill>
                </w14:textFill>
              </w:rPr>
            </w:pPr>
          </w:p>
        </w:tc>
      </w:tr>
      <w:tr w14:paraId="78C9CFB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1" w:hRule="atLeast"/>
          <w:jc w:val="center"/>
        </w:trPr>
        <w:tc>
          <w:tcPr>
            <w:tcW w:w="879" w:type="dxa"/>
            <w:tcBorders>
              <w:top w:val="single" w:color="auto" w:sz="6" w:space="0"/>
              <w:left w:val="single" w:color="auto" w:sz="4" w:space="0"/>
              <w:bottom w:val="single" w:color="auto" w:sz="6" w:space="0"/>
              <w:right w:val="single" w:color="auto" w:sz="6" w:space="0"/>
            </w:tcBorders>
            <w:vAlign w:val="center"/>
          </w:tcPr>
          <w:p w14:paraId="38B938B9">
            <w:pPr>
              <w:pStyle w:val="128"/>
              <w:wordWrap w:val="0"/>
              <w:adjustRightInd w:val="0"/>
              <w:snapToGrid w:val="0"/>
              <w:spacing w:line="500" w:lineRule="atLeast"/>
              <w:ind w:left="-88" w:leftChars="-42"/>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2</w:t>
            </w:r>
          </w:p>
        </w:tc>
        <w:tc>
          <w:tcPr>
            <w:tcW w:w="5103" w:type="dxa"/>
            <w:tcBorders>
              <w:top w:val="single" w:color="auto" w:sz="6" w:space="0"/>
              <w:left w:val="single" w:color="auto" w:sz="6" w:space="0"/>
              <w:bottom w:val="single" w:color="auto" w:sz="6" w:space="0"/>
              <w:right w:val="single" w:color="auto" w:sz="6" w:space="0"/>
            </w:tcBorders>
            <w:vAlign w:val="center"/>
          </w:tcPr>
          <w:p w14:paraId="4327C143">
            <w:pPr>
              <w:pStyle w:val="128"/>
              <w:wordWrap w:val="0"/>
              <w:adjustRightInd w:val="0"/>
              <w:snapToGrid w:val="0"/>
              <w:spacing w:line="500" w:lineRule="atLeast"/>
              <w:jc w:val="center"/>
              <w:rPr>
                <w:rFonts w:hint="default" w:ascii="宋体" w:hAnsi="宋体" w:eastAsia="宋体" w:cs="宋体"/>
                <w:color w:val="FF0000"/>
                <w:sz w:val="28"/>
                <w:szCs w:val="28"/>
                <w:lang w:val="en-US" w:eastAsia="zh-CN"/>
              </w:rPr>
            </w:pPr>
          </w:p>
        </w:tc>
        <w:tc>
          <w:tcPr>
            <w:tcW w:w="2669" w:type="dxa"/>
            <w:tcBorders>
              <w:top w:val="single" w:color="auto" w:sz="6" w:space="0"/>
              <w:left w:val="single" w:color="auto" w:sz="6" w:space="0"/>
              <w:bottom w:val="single" w:color="auto" w:sz="6" w:space="0"/>
              <w:right w:val="single" w:color="auto" w:sz="4" w:space="0"/>
            </w:tcBorders>
            <w:vAlign w:val="center"/>
          </w:tcPr>
          <w:p w14:paraId="72638E36">
            <w:pPr>
              <w:pStyle w:val="128"/>
              <w:wordWrap w:val="0"/>
              <w:adjustRightInd w:val="0"/>
              <w:snapToGrid w:val="0"/>
              <w:spacing w:line="500" w:lineRule="atLeast"/>
              <w:jc w:val="center"/>
              <w:rPr>
                <w:rFonts w:ascii="宋体" w:hAnsi="宋体" w:cs="宋体"/>
                <w:color w:val="000000" w:themeColor="text1"/>
                <w:sz w:val="28"/>
                <w:szCs w:val="28"/>
                <w14:textFill>
                  <w14:solidFill>
                    <w14:schemeClr w14:val="tx1"/>
                  </w14:solidFill>
                </w14:textFill>
              </w:rPr>
            </w:pPr>
          </w:p>
        </w:tc>
      </w:tr>
      <w:tr w14:paraId="5ABD184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1" w:hRule="atLeast"/>
          <w:jc w:val="center"/>
        </w:trPr>
        <w:tc>
          <w:tcPr>
            <w:tcW w:w="879" w:type="dxa"/>
            <w:tcBorders>
              <w:top w:val="single" w:color="auto" w:sz="6" w:space="0"/>
              <w:left w:val="single" w:color="auto" w:sz="4" w:space="0"/>
              <w:bottom w:val="single" w:color="auto" w:sz="6" w:space="0"/>
              <w:right w:val="single" w:color="auto" w:sz="6" w:space="0"/>
            </w:tcBorders>
            <w:vAlign w:val="center"/>
          </w:tcPr>
          <w:p w14:paraId="6C7130FC">
            <w:pPr>
              <w:pStyle w:val="128"/>
              <w:wordWrap w:val="0"/>
              <w:adjustRightInd w:val="0"/>
              <w:snapToGrid w:val="0"/>
              <w:spacing w:line="500" w:lineRule="atLeast"/>
              <w:ind w:left="-88" w:leftChars="-42"/>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3</w:t>
            </w:r>
          </w:p>
        </w:tc>
        <w:tc>
          <w:tcPr>
            <w:tcW w:w="5103" w:type="dxa"/>
            <w:tcBorders>
              <w:top w:val="single" w:color="auto" w:sz="6" w:space="0"/>
              <w:left w:val="single" w:color="auto" w:sz="6" w:space="0"/>
              <w:bottom w:val="single" w:color="auto" w:sz="6" w:space="0"/>
              <w:right w:val="single" w:color="auto" w:sz="6" w:space="0"/>
            </w:tcBorders>
            <w:vAlign w:val="center"/>
          </w:tcPr>
          <w:p w14:paraId="26A2923B">
            <w:pPr>
              <w:pStyle w:val="128"/>
              <w:wordWrap w:val="0"/>
              <w:adjustRightInd w:val="0"/>
              <w:snapToGrid w:val="0"/>
              <w:spacing w:line="500" w:lineRule="atLeast"/>
              <w:jc w:val="center"/>
              <w:rPr>
                <w:rFonts w:ascii="宋体" w:hAnsi="宋体" w:cs="宋体"/>
                <w:color w:val="000000" w:themeColor="text1"/>
                <w:sz w:val="28"/>
                <w:szCs w:val="28"/>
                <w14:textFill>
                  <w14:solidFill>
                    <w14:schemeClr w14:val="tx1"/>
                  </w14:solidFill>
                </w14:textFill>
              </w:rPr>
            </w:pPr>
          </w:p>
        </w:tc>
        <w:tc>
          <w:tcPr>
            <w:tcW w:w="2669" w:type="dxa"/>
            <w:tcBorders>
              <w:top w:val="single" w:color="auto" w:sz="6" w:space="0"/>
              <w:left w:val="single" w:color="auto" w:sz="6" w:space="0"/>
              <w:bottom w:val="single" w:color="auto" w:sz="6" w:space="0"/>
              <w:right w:val="single" w:color="auto" w:sz="4" w:space="0"/>
            </w:tcBorders>
            <w:vAlign w:val="center"/>
          </w:tcPr>
          <w:p w14:paraId="181E3CF9">
            <w:pPr>
              <w:pStyle w:val="128"/>
              <w:wordWrap w:val="0"/>
              <w:adjustRightInd w:val="0"/>
              <w:snapToGrid w:val="0"/>
              <w:spacing w:line="500" w:lineRule="atLeast"/>
              <w:jc w:val="center"/>
              <w:rPr>
                <w:rFonts w:ascii="宋体" w:hAnsi="宋体" w:cs="宋体"/>
                <w:color w:val="000000" w:themeColor="text1"/>
                <w:sz w:val="28"/>
                <w:szCs w:val="28"/>
                <w14:textFill>
                  <w14:solidFill>
                    <w14:schemeClr w14:val="tx1"/>
                  </w14:solidFill>
                </w14:textFill>
              </w:rPr>
            </w:pPr>
          </w:p>
        </w:tc>
      </w:tr>
      <w:tr w14:paraId="3D35EFE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879" w:type="dxa"/>
            <w:tcBorders>
              <w:top w:val="single" w:color="auto" w:sz="6" w:space="0"/>
              <w:left w:val="single" w:color="auto" w:sz="4" w:space="0"/>
              <w:bottom w:val="single" w:color="auto" w:sz="6" w:space="0"/>
              <w:right w:val="single" w:color="auto" w:sz="6" w:space="0"/>
            </w:tcBorders>
            <w:vAlign w:val="center"/>
          </w:tcPr>
          <w:p w14:paraId="644FC64F">
            <w:pPr>
              <w:pStyle w:val="128"/>
              <w:wordWrap w:val="0"/>
              <w:adjustRightInd w:val="0"/>
              <w:snapToGrid w:val="0"/>
              <w:spacing w:line="500" w:lineRule="atLeast"/>
              <w:ind w:left="-88" w:leftChars="-42"/>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w:t>
            </w:r>
          </w:p>
        </w:tc>
        <w:tc>
          <w:tcPr>
            <w:tcW w:w="5103" w:type="dxa"/>
            <w:tcBorders>
              <w:top w:val="single" w:color="auto" w:sz="6" w:space="0"/>
              <w:left w:val="single" w:color="auto" w:sz="6" w:space="0"/>
              <w:bottom w:val="single" w:color="auto" w:sz="6" w:space="0"/>
              <w:right w:val="single" w:color="auto" w:sz="6" w:space="0"/>
            </w:tcBorders>
            <w:vAlign w:val="center"/>
          </w:tcPr>
          <w:p w14:paraId="5678CD50">
            <w:pPr>
              <w:pStyle w:val="128"/>
              <w:wordWrap w:val="0"/>
              <w:adjustRightInd w:val="0"/>
              <w:snapToGrid w:val="0"/>
              <w:spacing w:line="500" w:lineRule="atLeast"/>
              <w:jc w:val="center"/>
              <w:rPr>
                <w:rFonts w:ascii="宋体" w:hAnsi="宋体" w:cs="宋体"/>
                <w:color w:val="000000" w:themeColor="text1"/>
                <w:sz w:val="28"/>
                <w:szCs w:val="28"/>
                <w14:textFill>
                  <w14:solidFill>
                    <w14:schemeClr w14:val="tx1"/>
                  </w14:solidFill>
                </w14:textFill>
              </w:rPr>
            </w:pPr>
          </w:p>
        </w:tc>
        <w:tc>
          <w:tcPr>
            <w:tcW w:w="2669" w:type="dxa"/>
            <w:tcBorders>
              <w:top w:val="single" w:color="auto" w:sz="6" w:space="0"/>
              <w:left w:val="single" w:color="auto" w:sz="6" w:space="0"/>
              <w:bottom w:val="single" w:color="auto" w:sz="6" w:space="0"/>
              <w:right w:val="single" w:color="auto" w:sz="4" w:space="0"/>
            </w:tcBorders>
            <w:vAlign w:val="center"/>
          </w:tcPr>
          <w:p w14:paraId="4FDD5667">
            <w:pPr>
              <w:pStyle w:val="128"/>
              <w:wordWrap w:val="0"/>
              <w:adjustRightInd w:val="0"/>
              <w:snapToGrid w:val="0"/>
              <w:spacing w:line="500" w:lineRule="atLeast"/>
              <w:jc w:val="center"/>
              <w:rPr>
                <w:rFonts w:ascii="宋体" w:hAnsi="宋体" w:cs="宋体"/>
                <w:color w:val="000000" w:themeColor="text1"/>
                <w:sz w:val="28"/>
                <w:szCs w:val="28"/>
                <w14:textFill>
                  <w14:solidFill>
                    <w14:schemeClr w14:val="tx1"/>
                  </w14:solidFill>
                </w14:textFill>
              </w:rPr>
            </w:pPr>
          </w:p>
        </w:tc>
      </w:tr>
      <w:tr w14:paraId="4D76C70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879" w:type="dxa"/>
            <w:tcBorders>
              <w:top w:val="single" w:color="auto" w:sz="6" w:space="0"/>
              <w:left w:val="single" w:color="auto" w:sz="4" w:space="0"/>
              <w:bottom w:val="single" w:color="auto" w:sz="6" w:space="0"/>
              <w:right w:val="single" w:color="auto" w:sz="6" w:space="0"/>
            </w:tcBorders>
            <w:vAlign w:val="center"/>
          </w:tcPr>
          <w:p w14:paraId="371B00D6">
            <w:pPr>
              <w:pStyle w:val="128"/>
              <w:wordWrap w:val="0"/>
              <w:adjustRightInd w:val="0"/>
              <w:snapToGrid w:val="0"/>
              <w:spacing w:line="500" w:lineRule="atLeast"/>
              <w:ind w:left="-88" w:leftChars="-42"/>
              <w:jc w:val="center"/>
              <w:rPr>
                <w:rFonts w:ascii="宋体" w:hAnsi="宋体" w:cs="宋体"/>
                <w:color w:val="000000" w:themeColor="text1"/>
                <w:sz w:val="28"/>
                <w:szCs w:val="28"/>
                <w14:textFill>
                  <w14:solidFill>
                    <w14:schemeClr w14:val="tx1"/>
                  </w14:solidFill>
                </w14:textFill>
              </w:rPr>
            </w:pPr>
          </w:p>
        </w:tc>
        <w:tc>
          <w:tcPr>
            <w:tcW w:w="5103" w:type="dxa"/>
            <w:tcBorders>
              <w:top w:val="single" w:color="auto" w:sz="6" w:space="0"/>
              <w:left w:val="single" w:color="auto" w:sz="6" w:space="0"/>
              <w:bottom w:val="single" w:color="auto" w:sz="6" w:space="0"/>
              <w:right w:val="single" w:color="auto" w:sz="6" w:space="0"/>
            </w:tcBorders>
            <w:vAlign w:val="center"/>
          </w:tcPr>
          <w:p w14:paraId="64909F0A">
            <w:pPr>
              <w:pStyle w:val="128"/>
              <w:wordWrap w:val="0"/>
              <w:adjustRightInd w:val="0"/>
              <w:snapToGrid w:val="0"/>
              <w:spacing w:line="500" w:lineRule="atLeast"/>
              <w:jc w:val="center"/>
              <w:rPr>
                <w:rFonts w:ascii="宋体" w:hAnsi="宋体" w:cs="宋体"/>
                <w:color w:val="000000" w:themeColor="text1"/>
                <w:sz w:val="28"/>
                <w:szCs w:val="28"/>
                <w14:textFill>
                  <w14:solidFill>
                    <w14:schemeClr w14:val="tx1"/>
                  </w14:solidFill>
                </w14:textFill>
              </w:rPr>
            </w:pPr>
          </w:p>
        </w:tc>
        <w:tc>
          <w:tcPr>
            <w:tcW w:w="2669" w:type="dxa"/>
            <w:tcBorders>
              <w:top w:val="single" w:color="auto" w:sz="6" w:space="0"/>
              <w:left w:val="single" w:color="auto" w:sz="6" w:space="0"/>
              <w:bottom w:val="single" w:color="auto" w:sz="6" w:space="0"/>
              <w:right w:val="single" w:color="auto" w:sz="4" w:space="0"/>
            </w:tcBorders>
            <w:vAlign w:val="center"/>
          </w:tcPr>
          <w:p w14:paraId="7B8E1317">
            <w:pPr>
              <w:pStyle w:val="128"/>
              <w:wordWrap w:val="0"/>
              <w:adjustRightInd w:val="0"/>
              <w:snapToGrid w:val="0"/>
              <w:spacing w:line="500" w:lineRule="atLeast"/>
              <w:jc w:val="center"/>
              <w:rPr>
                <w:rFonts w:ascii="宋体" w:hAnsi="宋体" w:cs="宋体"/>
                <w:color w:val="000000" w:themeColor="text1"/>
                <w:sz w:val="28"/>
                <w:szCs w:val="28"/>
                <w14:textFill>
                  <w14:solidFill>
                    <w14:schemeClr w14:val="tx1"/>
                  </w14:solidFill>
                </w14:textFill>
              </w:rPr>
            </w:pPr>
          </w:p>
        </w:tc>
      </w:tr>
      <w:tr w14:paraId="556620C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1" w:hRule="atLeast"/>
          <w:jc w:val="center"/>
        </w:trPr>
        <w:tc>
          <w:tcPr>
            <w:tcW w:w="5982" w:type="dxa"/>
            <w:gridSpan w:val="2"/>
            <w:tcBorders>
              <w:top w:val="single" w:color="auto" w:sz="6" w:space="0"/>
              <w:left w:val="single" w:color="auto" w:sz="4" w:space="0"/>
              <w:bottom w:val="single" w:color="auto" w:sz="4" w:space="0"/>
              <w:right w:val="single" w:color="auto" w:sz="6" w:space="0"/>
            </w:tcBorders>
            <w:vAlign w:val="center"/>
          </w:tcPr>
          <w:p w14:paraId="7E04B31C">
            <w:pPr>
              <w:pStyle w:val="128"/>
              <w:wordWrap w:val="0"/>
              <w:adjustRightInd w:val="0"/>
              <w:snapToGrid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 xml:space="preserve">总 计：                                   </w:t>
            </w:r>
          </w:p>
        </w:tc>
        <w:tc>
          <w:tcPr>
            <w:tcW w:w="2669" w:type="dxa"/>
            <w:tcBorders>
              <w:top w:val="single" w:color="auto" w:sz="6" w:space="0"/>
              <w:left w:val="single" w:color="auto" w:sz="6" w:space="0"/>
              <w:bottom w:val="single" w:color="auto" w:sz="4" w:space="0"/>
              <w:right w:val="single" w:color="auto" w:sz="4" w:space="0"/>
            </w:tcBorders>
            <w:vAlign w:val="center"/>
          </w:tcPr>
          <w:p w14:paraId="65979401">
            <w:pPr>
              <w:pStyle w:val="128"/>
              <w:wordWrap w:val="0"/>
              <w:adjustRightInd w:val="0"/>
              <w:snapToGrid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w:t>
            </w:r>
          </w:p>
        </w:tc>
      </w:tr>
    </w:tbl>
    <w:p w14:paraId="00030ED8">
      <w:pPr>
        <w:pStyle w:val="128"/>
        <w:wordWrap w:val="0"/>
        <w:adjustRightInd w:val="0"/>
        <w:snapToGrid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说明：</w:t>
      </w:r>
    </w:p>
    <w:p w14:paraId="4C973629">
      <w:pPr>
        <w:pStyle w:val="128"/>
        <w:wordWrap w:val="0"/>
        <w:adjustRightInd w:val="0"/>
        <w:snapToGrid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1．所有价格均用人民币表示，单位为元。</w:t>
      </w:r>
    </w:p>
    <w:p w14:paraId="483D12EB">
      <w:pPr>
        <w:pStyle w:val="128"/>
        <w:wordWrap w:val="0"/>
        <w:adjustRightInd w:val="0"/>
        <w:snapToGrid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2. 分项报价总计价格必须与《开标一览表》报价一致。</w:t>
      </w:r>
    </w:p>
    <w:p w14:paraId="0A2852E0">
      <w:pPr>
        <w:pStyle w:val="128"/>
        <w:wordWrap w:val="0"/>
        <w:adjustRightInd w:val="0"/>
        <w:snapToGrid w:val="0"/>
        <w:spacing w:line="500" w:lineRule="atLeast"/>
        <w:ind w:left="361" w:hanging="361" w:hangingChars="129"/>
        <w:rPr>
          <w:rFonts w:ascii="宋体" w:hAnsi="宋体" w:cs="宋体"/>
          <w:color w:val="000000" w:themeColor="text1"/>
          <w:sz w:val="28"/>
          <w:szCs w:val="28"/>
          <w14:textFill>
            <w14:solidFill>
              <w14:schemeClr w14:val="tx1"/>
            </w14:solidFill>
          </w14:textFill>
        </w:rPr>
      </w:pPr>
    </w:p>
    <w:p w14:paraId="71B82569">
      <w:pPr>
        <w:pStyle w:val="128"/>
        <w:wordWrap w:val="0"/>
        <w:adjustRightInd w:val="0"/>
        <w:snapToGrid w:val="0"/>
        <w:spacing w:line="500" w:lineRule="atLeast"/>
        <w:rPr>
          <w:rFonts w:ascii="宋体" w:hAnsi="宋体" w:cs="宋体"/>
          <w:color w:val="000000" w:themeColor="text1"/>
          <w:sz w:val="28"/>
          <w:szCs w:val="28"/>
          <w14:textFill>
            <w14:solidFill>
              <w14:schemeClr w14:val="tx1"/>
            </w14:solidFill>
          </w14:textFill>
        </w:rPr>
      </w:pPr>
    </w:p>
    <w:p w14:paraId="26350C48">
      <w:pPr>
        <w:pStyle w:val="128"/>
        <w:wordWrap w:val="0"/>
        <w:adjustRightInd w:val="0"/>
        <w:snapToGrid w:val="0"/>
        <w:spacing w:line="500" w:lineRule="atLeast"/>
        <w:rPr>
          <w:rFonts w:ascii="宋体" w:hAnsi="宋体" w:cs="宋体"/>
          <w:color w:val="000000" w:themeColor="text1"/>
          <w:sz w:val="28"/>
          <w:szCs w:val="28"/>
          <w14:textFill>
            <w14:solidFill>
              <w14:schemeClr w14:val="tx1"/>
            </w14:solidFill>
          </w14:textFill>
        </w:rPr>
      </w:pPr>
    </w:p>
    <w:p w14:paraId="54FB8477">
      <w:pPr>
        <w:pStyle w:val="159"/>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供应商名称：</w:t>
      </w:r>
      <w:r>
        <w:rPr>
          <w:rFonts w:hint="eastAsia" w:ascii="宋体" w:hAnsi="宋体" w:cs="宋体"/>
          <w:color w:val="000000" w:themeColor="text1"/>
          <w:sz w:val="28"/>
          <w:szCs w:val="28"/>
          <w:u w:val="single"/>
          <w14:textFill>
            <w14:solidFill>
              <w14:schemeClr w14:val="tx1"/>
            </w14:solidFill>
          </w14:textFill>
        </w:rPr>
        <w:t xml:space="preserve">       （盖章）       </w:t>
      </w:r>
    </w:p>
    <w:p w14:paraId="52018614">
      <w:pPr>
        <w:pStyle w:val="128"/>
        <w:wordWrap w:val="0"/>
        <w:adjustRightInd w:val="0"/>
        <w:snapToGrid w:val="0"/>
        <w:spacing w:line="500" w:lineRule="atLeast"/>
        <w:rPr>
          <w:rFonts w:ascii="宋体" w:hAnsi="宋体" w:cs="宋体"/>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法定代表人：</w:t>
      </w:r>
      <w:r>
        <w:rPr>
          <w:rFonts w:hint="eastAsia" w:ascii="宋体" w:hAnsi="宋体" w:cs="宋体"/>
          <w:color w:val="000000" w:themeColor="text1"/>
          <w:sz w:val="28"/>
          <w:szCs w:val="28"/>
          <w:u w:val="single"/>
          <w14:textFill>
            <w14:solidFill>
              <w14:schemeClr w14:val="tx1"/>
            </w14:solidFill>
          </w14:textFill>
        </w:rPr>
        <w:t xml:space="preserve">       （签字或盖章）   </w:t>
      </w:r>
    </w:p>
    <w:p w14:paraId="4E986188">
      <w:pPr>
        <w:pStyle w:val="128"/>
        <w:wordWrap w:val="0"/>
        <w:adjustRightInd w:val="0"/>
        <w:snapToGrid w:val="0"/>
        <w:spacing w:line="500" w:lineRule="atLeast"/>
        <w:rPr>
          <w:rFonts w:ascii="宋体" w:hAnsi="宋体" w:cs="宋体"/>
          <w:color w:val="000000" w:themeColor="text1"/>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日期：年 月 日</w:t>
      </w:r>
    </w:p>
    <w:p w14:paraId="25470DA9">
      <w:pPr>
        <w:pStyle w:val="134"/>
        <w:wordWrap w:val="0"/>
        <w:spacing w:line="500" w:lineRule="atLeast"/>
        <w:jc w:val="center"/>
        <w:outlineLvl w:val="2"/>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r>
        <w:rPr>
          <w:rFonts w:hint="eastAsia" w:ascii="宋体" w:hAnsi="宋体" w:eastAsia="宋体" w:cs="宋体"/>
          <w:color w:val="000000" w:themeColor="text1"/>
          <w14:textFill>
            <w14:solidFill>
              <w14:schemeClr w14:val="tx1"/>
            </w14:solidFill>
          </w14:textFill>
        </w:rPr>
        <w:t>九、商务响应、偏离说明表</w:t>
      </w:r>
    </w:p>
    <w:p w14:paraId="407BDBE7">
      <w:pPr>
        <w:pStyle w:val="135"/>
        <w:wordWrap w:val="0"/>
        <w:adjustRightInd w:val="0"/>
        <w:snapToGrid w:val="0"/>
        <w:spacing w:line="500" w:lineRule="atLeast"/>
        <w:rPr>
          <w:rFonts w:ascii="宋体" w:hAnsi="宋体" w:cs="宋体"/>
          <w:b/>
          <w:color w:val="000000" w:themeColor="text1"/>
          <w:sz w:val="32"/>
          <w:szCs w:val="32"/>
          <w14:textFill>
            <w14:solidFill>
              <w14:schemeClr w14:val="tx1"/>
            </w14:solidFill>
          </w14:textFill>
        </w:rPr>
      </w:pPr>
    </w:p>
    <w:p w14:paraId="0B717893">
      <w:pPr>
        <w:pStyle w:val="135"/>
        <w:wordWrap w:val="0"/>
        <w:adjustRightInd w:val="0"/>
        <w:snapToGrid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采购项目编号：</w:t>
      </w:r>
    </w:p>
    <w:p w14:paraId="1FC48FD7">
      <w:pPr>
        <w:pStyle w:val="135"/>
        <w:wordWrap w:val="0"/>
        <w:adjustRightInd w:val="0"/>
        <w:snapToGrid w:val="0"/>
        <w:spacing w:line="500" w:lineRule="atLeast"/>
        <w:rPr>
          <w:rFonts w:ascii="宋体" w:hAnsi="宋体" w:cs="宋体"/>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采购项目名称：</w:t>
      </w:r>
    </w:p>
    <w:tbl>
      <w:tblPr>
        <w:tblStyle w:val="33"/>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2712"/>
        <w:gridCol w:w="2589"/>
        <w:gridCol w:w="2702"/>
      </w:tblGrid>
      <w:tr w14:paraId="44E22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525" w:type="dxa"/>
            <w:tcBorders>
              <w:top w:val="single" w:color="auto" w:sz="4" w:space="0"/>
              <w:left w:val="single" w:color="auto" w:sz="4" w:space="0"/>
              <w:bottom w:val="single" w:color="auto" w:sz="4" w:space="0"/>
              <w:right w:val="single" w:color="auto" w:sz="4" w:space="0"/>
            </w:tcBorders>
            <w:vAlign w:val="center"/>
          </w:tcPr>
          <w:p w14:paraId="42B0AA31">
            <w:pPr>
              <w:pStyle w:val="135"/>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序号</w:t>
            </w:r>
          </w:p>
        </w:tc>
        <w:tc>
          <w:tcPr>
            <w:tcW w:w="2712" w:type="dxa"/>
            <w:tcBorders>
              <w:top w:val="single" w:color="auto" w:sz="4" w:space="0"/>
              <w:left w:val="single" w:color="auto" w:sz="4" w:space="0"/>
              <w:bottom w:val="single" w:color="auto" w:sz="4" w:space="0"/>
              <w:right w:val="single" w:color="auto" w:sz="4" w:space="0"/>
            </w:tcBorders>
            <w:vAlign w:val="center"/>
          </w:tcPr>
          <w:p w14:paraId="78BA18CF">
            <w:pPr>
              <w:pStyle w:val="135"/>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磋商文件要求部分</w:t>
            </w:r>
          </w:p>
        </w:tc>
        <w:tc>
          <w:tcPr>
            <w:tcW w:w="2589" w:type="dxa"/>
            <w:tcBorders>
              <w:top w:val="single" w:color="auto" w:sz="4" w:space="0"/>
              <w:left w:val="single" w:color="auto" w:sz="4" w:space="0"/>
              <w:bottom w:val="single" w:color="auto" w:sz="4" w:space="0"/>
              <w:right w:val="single" w:color="auto" w:sz="4" w:space="0"/>
            </w:tcBorders>
            <w:vAlign w:val="center"/>
          </w:tcPr>
          <w:p w14:paraId="4F679A90">
            <w:pPr>
              <w:pStyle w:val="135"/>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服务响应部分</w:t>
            </w:r>
          </w:p>
        </w:tc>
        <w:tc>
          <w:tcPr>
            <w:tcW w:w="2702" w:type="dxa"/>
            <w:tcBorders>
              <w:top w:val="single" w:color="auto" w:sz="4" w:space="0"/>
              <w:left w:val="single" w:color="auto" w:sz="4" w:space="0"/>
              <w:bottom w:val="single" w:color="auto" w:sz="4" w:space="0"/>
              <w:right w:val="single" w:color="auto" w:sz="4" w:space="0"/>
            </w:tcBorders>
            <w:vAlign w:val="center"/>
          </w:tcPr>
          <w:p w14:paraId="68F248A0">
            <w:pPr>
              <w:pStyle w:val="135"/>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偏离说明</w:t>
            </w:r>
          </w:p>
        </w:tc>
      </w:tr>
      <w:tr w14:paraId="4419B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40ACA0F4">
            <w:pPr>
              <w:pStyle w:val="135"/>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1</w:t>
            </w:r>
          </w:p>
        </w:tc>
        <w:tc>
          <w:tcPr>
            <w:tcW w:w="2712" w:type="dxa"/>
            <w:tcBorders>
              <w:top w:val="single" w:color="auto" w:sz="4" w:space="0"/>
              <w:left w:val="single" w:color="auto" w:sz="4" w:space="0"/>
              <w:bottom w:val="single" w:color="auto" w:sz="4" w:space="0"/>
              <w:right w:val="single" w:color="auto" w:sz="4" w:space="0"/>
            </w:tcBorders>
            <w:vAlign w:val="center"/>
          </w:tcPr>
          <w:p w14:paraId="4DEF79A6">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69DABD3A">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149712E5">
            <w:pPr>
              <w:pStyle w:val="135"/>
              <w:wordWrap w:val="0"/>
              <w:spacing w:line="500" w:lineRule="atLeast"/>
              <w:rPr>
                <w:rFonts w:ascii="宋体" w:hAnsi="宋体" w:cs="宋体"/>
                <w:color w:val="000000" w:themeColor="text1"/>
                <w:sz w:val="28"/>
                <w:szCs w:val="28"/>
                <w14:textFill>
                  <w14:solidFill>
                    <w14:schemeClr w14:val="tx1"/>
                  </w14:solidFill>
                </w14:textFill>
              </w:rPr>
            </w:pPr>
          </w:p>
        </w:tc>
      </w:tr>
      <w:tr w14:paraId="2143B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2557DA4F">
            <w:pPr>
              <w:pStyle w:val="135"/>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2</w:t>
            </w:r>
          </w:p>
        </w:tc>
        <w:tc>
          <w:tcPr>
            <w:tcW w:w="2712" w:type="dxa"/>
            <w:tcBorders>
              <w:top w:val="single" w:color="auto" w:sz="4" w:space="0"/>
              <w:left w:val="single" w:color="auto" w:sz="4" w:space="0"/>
              <w:bottom w:val="single" w:color="auto" w:sz="4" w:space="0"/>
              <w:right w:val="single" w:color="auto" w:sz="4" w:space="0"/>
            </w:tcBorders>
            <w:vAlign w:val="center"/>
          </w:tcPr>
          <w:p w14:paraId="794F0EAC">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1FD7774D">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0B1D298A">
            <w:pPr>
              <w:pStyle w:val="135"/>
              <w:wordWrap w:val="0"/>
              <w:spacing w:line="500" w:lineRule="atLeast"/>
              <w:rPr>
                <w:rFonts w:ascii="宋体" w:hAnsi="宋体" w:cs="宋体"/>
                <w:color w:val="000000" w:themeColor="text1"/>
                <w:sz w:val="28"/>
                <w:szCs w:val="28"/>
                <w14:textFill>
                  <w14:solidFill>
                    <w14:schemeClr w14:val="tx1"/>
                  </w14:solidFill>
                </w14:textFill>
              </w:rPr>
            </w:pPr>
          </w:p>
        </w:tc>
      </w:tr>
      <w:tr w14:paraId="62D22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43603586">
            <w:pPr>
              <w:pStyle w:val="135"/>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3</w:t>
            </w:r>
          </w:p>
        </w:tc>
        <w:tc>
          <w:tcPr>
            <w:tcW w:w="2712" w:type="dxa"/>
            <w:tcBorders>
              <w:top w:val="single" w:color="auto" w:sz="4" w:space="0"/>
              <w:left w:val="single" w:color="auto" w:sz="4" w:space="0"/>
              <w:bottom w:val="single" w:color="auto" w:sz="4" w:space="0"/>
              <w:right w:val="single" w:color="auto" w:sz="4" w:space="0"/>
            </w:tcBorders>
            <w:vAlign w:val="center"/>
          </w:tcPr>
          <w:p w14:paraId="448BC0D0">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5CEA8105">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7FBE1004">
            <w:pPr>
              <w:pStyle w:val="135"/>
              <w:wordWrap w:val="0"/>
              <w:spacing w:line="500" w:lineRule="atLeast"/>
              <w:rPr>
                <w:rFonts w:ascii="宋体" w:hAnsi="宋体" w:cs="宋体"/>
                <w:color w:val="000000" w:themeColor="text1"/>
                <w:sz w:val="28"/>
                <w:szCs w:val="28"/>
                <w14:textFill>
                  <w14:solidFill>
                    <w14:schemeClr w14:val="tx1"/>
                  </w14:solidFill>
                </w14:textFill>
              </w:rPr>
            </w:pPr>
          </w:p>
        </w:tc>
      </w:tr>
      <w:tr w14:paraId="51DE4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12B50315">
            <w:pPr>
              <w:pStyle w:val="135"/>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4</w:t>
            </w:r>
          </w:p>
        </w:tc>
        <w:tc>
          <w:tcPr>
            <w:tcW w:w="2712" w:type="dxa"/>
            <w:tcBorders>
              <w:top w:val="single" w:color="auto" w:sz="4" w:space="0"/>
              <w:left w:val="single" w:color="auto" w:sz="4" w:space="0"/>
              <w:bottom w:val="single" w:color="auto" w:sz="4" w:space="0"/>
              <w:right w:val="single" w:color="auto" w:sz="4" w:space="0"/>
            </w:tcBorders>
            <w:vAlign w:val="center"/>
          </w:tcPr>
          <w:p w14:paraId="79577F95">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46307C0A">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3E170EDC">
            <w:pPr>
              <w:pStyle w:val="135"/>
              <w:wordWrap w:val="0"/>
              <w:spacing w:line="500" w:lineRule="atLeast"/>
              <w:rPr>
                <w:rFonts w:ascii="宋体" w:hAnsi="宋体" w:cs="宋体"/>
                <w:color w:val="000000" w:themeColor="text1"/>
                <w:sz w:val="28"/>
                <w:szCs w:val="28"/>
                <w14:textFill>
                  <w14:solidFill>
                    <w14:schemeClr w14:val="tx1"/>
                  </w14:solidFill>
                </w14:textFill>
              </w:rPr>
            </w:pPr>
          </w:p>
        </w:tc>
      </w:tr>
      <w:tr w14:paraId="01E86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342044E4">
            <w:pPr>
              <w:pStyle w:val="135"/>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5</w:t>
            </w:r>
          </w:p>
        </w:tc>
        <w:tc>
          <w:tcPr>
            <w:tcW w:w="2712" w:type="dxa"/>
            <w:tcBorders>
              <w:top w:val="single" w:color="auto" w:sz="4" w:space="0"/>
              <w:left w:val="single" w:color="auto" w:sz="4" w:space="0"/>
              <w:bottom w:val="single" w:color="auto" w:sz="4" w:space="0"/>
              <w:right w:val="single" w:color="auto" w:sz="4" w:space="0"/>
            </w:tcBorders>
            <w:vAlign w:val="center"/>
          </w:tcPr>
          <w:p w14:paraId="4D963673">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1FE82326">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19271FB1">
            <w:pPr>
              <w:pStyle w:val="135"/>
              <w:wordWrap w:val="0"/>
              <w:spacing w:line="500" w:lineRule="atLeast"/>
              <w:rPr>
                <w:rFonts w:ascii="宋体" w:hAnsi="宋体" w:cs="宋体"/>
                <w:color w:val="000000" w:themeColor="text1"/>
                <w:sz w:val="28"/>
                <w:szCs w:val="28"/>
                <w14:textFill>
                  <w14:solidFill>
                    <w14:schemeClr w14:val="tx1"/>
                  </w14:solidFill>
                </w14:textFill>
              </w:rPr>
            </w:pPr>
          </w:p>
        </w:tc>
      </w:tr>
      <w:tr w14:paraId="40712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340B3E6E">
            <w:pPr>
              <w:pStyle w:val="135"/>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6</w:t>
            </w:r>
          </w:p>
        </w:tc>
        <w:tc>
          <w:tcPr>
            <w:tcW w:w="2712" w:type="dxa"/>
            <w:tcBorders>
              <w:top w:val="single" w:color="auto" w:sz="4" w:space="0"/>
              <w:left w:val="single" w:color="auto" w:sz="4" w:space="0"/>
              <w:bottom w:val="single" w:color="auto" w:sz="4" w:space="0"/>
              <w:right w:val="single" w:color="auto" w:sz="4" w:space="0"/>
            </w:tcBorders>
            <w:vAlign w:val="center"/>
          </w:tcPr>
          <w:p w14:paraId="701462FD">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5578EF41">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53026D3B">
            <w:pPr>
              <w:pStyle w:val="135"/>
              <w:wordWrap w:val="0"/>
              <w:spacing w:line="500" w:lineRule="atLeast"/>
              <w:rPr>
                <w:rFonts w:ascii="宋体" w:hAnsi="宋体" w:cs="宋体"/>
                <w:color w:val="000000" w:themeColor="text1"/>
                <w:sz w:val="28"/>
                <w:szCs w:val="28"/>
                <w14:textFill>
                  <w14:solidFill>
                    <w14:schemeClr w14:val="tx1"/>
                  </w14:solidFill>
                </w14:textFill>
              </w:rPr>
            </w:pPr>
          </w:p>
        </w:tc>
      </w:tr>
      <w:tr w14:paraId="1943D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5B91B5DA">
            <w:pPr>
              <w:pStyle w:val="135"/>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7</w:t>
            </w:r>
          </w:p>
        </w:tc>
        <w:tc>
          <w:tcPr>
            <w:tcW w:w="2712" w:type="dxa"/>
            <w:tcBorders>
              <w:top w:val="single" w:color="auto" w:sz="4" w:space="0"/>
              <w:left w:val="single" w:color="auto" w:sz="4" w:space="0"/>
              <w:bottom w:val="single" w:color="auto" w:sz="4" w:space="0"/>
              <w:right w:val="single" w:color="auto" w:sz="4" w:space="0"/>
            </w:tcBorders>
            <w:vAlign w:val="center"/>
          </w:tcPr>
          <w:p w14:paraId="41579FF1">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1A5FFC6E">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52D4D326">
            <w:pPr>
              <w:pStyle w:val="135"/>
              <w:wordWrap w:val="0"/>
              <w:spacing w:line="500" w:lineRule="atLeast"/>
              <w:rPr>
                <w:rFonts w:ascii="宋体" w:hAnsi="宋体" w:cs="宋体"/>
                <w:color w:val="000000" w:themeColor="text1"/>
                <w:sz w:val="28"/>
                <w:szCs w:val="28"/>
                <w14:textFill>
                  <w14:solidFill>
                    <w14:schemeClr w14:val="tx1"/>
                  </w14:solidFill>
                </w14:textFill>
              </w:rPr>
            </w:pPr>
          </w:p>
        </w:tc>
      </w:tr>
      <w:tr w14:paraId="774EA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46DA8F1C">
            <w:pPr>
              <w:pStyle w:val="135"/>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8</w:t>
            </w:r>
          </w:p>
        </w:tc>
        <w:tc>
          <w:tcPr>
            <w:tcW w:w="2712" w:type="dxa"/>
            <w:tcBorders>
              <w:top w:val="single" w:color="auto" w:sz="4" w:space="0"/>
              <w:left w:val="single" w:color="auto" w:sz="4" w:space="0"/>
              <w:bottom w:val="single" w:color="auto" w:sz="4" w:space="0"/>
              <w:right w:val="single" w:color="auto" w:sz="4" w:space="0"/>
            </w:tcBorders>
            <w:vAlign w:val="center"/>
          </w:tcPr>
          <w:p w14:paraId="245673BF">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14E8B982">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626DCDB9">
            <w:pPr>
              <w:pStyle w:val="135"/>
              <w:wordWrap w:val="0"/>
              <w:spacing w:line="500" w:lineRule="atLeast"/>
              <w:rPr>
                <w:rFonts w:ascii="宋体" w:hAnsi="宋体" w:cs="宋体"/>
                <w:color w:val="000000" w:themeColor="text1"/>
                <w:sz w:val="28"/>
                <w:szCs w:val="28"/>
                <w14:textFill>
                  <w14:solidFill>
                    <w14:schemeClr w14:val="tx1"/>
                  </w14:solidFill>
                </w14:textFill>
              </w:rPr>
            </w:pPr>
          </w:p>
        </w:tc>
      </w:tr>
      <w:tr w14:paraId="6885E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409DF775">
            <w:pPr>
              <w:pStyle w:val="135"/>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9</w:t>
            </w:r>
          </w:p>
        </w:tc>
        <w:tc>
          <w:tcPr>
            <w:tcW w:w="2712" w:type="dxa"/>
            <w:tcBorders>
              <w:top w:val="single" w:color="auto" w:sz="4" w:space="0"/>
              <w:left w:val="single" w:color="auto" w:sz="4" w:space="0"/>
              <w:bottom w:val="single" w:color="auto" w:sz="4" w:space="0"/>
              <w:right w:val="single" w:color="auto" w:sz="4" w:space="0"/>
            </w:tcBorders>
            <w:vAlign w:val="center"/>
          </w:tcPr>
          <w:p w14:paraId="2B9D0DE8">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7ED8C435">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7CB46A45">
            <w:pPr>
              <w:pStyle w:val="135"/>
              <w:wordWrap w:val="0"/>
              <w:spacing w:line="500" w:lineRule="atLeast"/>
              <w:rPr>
                <w:rFonts w:ascii="宋体" w:hAnsi="宋体" w:cs="宋体"/>
                <w:color w:val="000000" w:themeColor="text1"/>
                <w:sz w:val="28"/>
                <w:szCs w:val="28"/>
                <w14:textFill>
                  <w14:solidFill>
                    <w14:schemeClr w14:val="tx1"/>
                  </w14:solidFill>
                </w14:textFill>
              </w:rPr>
            </w:pPr>
          </w:p>
        </w:tc>
      </w:tr>
      <w:tr w14:paraId="55BDE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5597A886">
            <w:pPr>
              <w:pStyle w:val="135"/>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w:t>
            </w:r>
          </w:p>
        </w:tc>
        <w:tc>
          <w:tcPr>
            <w:tcW w:w="2712" w:type="dxa"/>
            <w:tcBorders>
              <w:top w:val="single" w:color="auto" w:sz="4" w:space="0"/>
              <w:left w:val="single" w:color="auto" w:sz="4" w:space="0"/>
              <w:bottom w:val="single" w:color="auto" w:sz="4" w:space="0"/>
              <w:right w:val="single" w:color="auto" w:sz="4" w:space="0"/>
            </w:tcBorders>
            <w:vAlign w:val="center"/>
          </w:tcPr>
          <w:p w14:paraId="7B688DF8">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679D0CBC">
            <w:pPr>
              <w:pStyle w:val="135"/>
              <w:wordWrap w:val="0"/>
              <w:spacing w:line="500" w:lineRule="atLeast"/>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487D3833">
            <w:pPr>
              <w:pStyle w:val="135"/>
              <w:wordWrap w:val="0"/>
              <w:spacing w:line="500" w:lineRule="atLeast"/>
              <w:rPr>
                <w:rFonts w:ascii="宋体" w:hAnsi="宋体" w:cs="宋体"/>
                <w:color w:val="000000" w:themeColor="text1"/>
                <w:sz w:val="28"/>
                <w:szCs w:val="28"/>
                <w14:textFill>
                  <w14:solidFill>
                    <w14:schemeClr w14:val="tx1"/>
                  </w14:solidFill>
                </w14:textFill>
              </w:rPr>
            </w:pPr>
          </w:p>
        </w:tc>
      </w:tr>
    </w:tbl>
    <w:p w14:paraId="541965A4">
      <w:pPr>
        <w:pStyle w:val="99"/>
        <w:wordWrap w:val="0"/>
        <w:spacing w:line="500" w:lineRule="atLeast"/>
        <w:jc w:val="center"/>
        <w:outlineLvl w:val="2"/>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注：若“无偏离”，只需在“偏离说明”中填写“无偏离”即可，则表示供应商完全响应磋商文件中所有商务条款。</w:t>
      </w:r>
      <w:r>
        <w:rPr>
          <w:rFonts w:hint="eastAsia" w:ascii="宋体" w:hAnsi="宋体" w:eastAsia="宋体" w:cs="宋体"/>
          <w:color w:val="000000" w:themeColor="text1"/>
          <w14:textFill>
            <w14:solidFill>
              <w14:schemeClr w14:val="tx1"/>
            </w14:solidFill>
          </w14:textFill>
        </w:rPr>
        <w:br w:type="page"/>
      </w:r>
      <w:r>
        <w:rPr>
          <w:rFonts w:hint="eastAsia" w:ascii="宋体" w:hAnsi="宋体" w:eastAsia="宋体" w:cs="宋体"/>
          <w:color w:val="000000" w:themeColor="text1"/>
          <w14:textFill>
            <w14:solidFill>
              <w14:schemeClr w14:val="tx1"/>
            </w14:solidFill>
          </w14:textFill>
        </w:rPr>
        <w:t>十、供应商类似项目业绩表</w:t>
      </w:r>
    </w:p>
    <w:p w14:paraId="0B81FF48">
      <w:pPr>
        <w:pStyle w:val="76"/>
        <w:wordWrap w:val="0"/>
        <w:adjustRightInd w:val="0"/>
        <w:snapToGrid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采购项目编号：</w:t>
      </w:r>
    </w:p>
    <w:p w14:paraId="6BD13C76">
      <w:pPr>
        <w:pStyle w:val="76"/>
        <w:wordWrap w:val="0"/>
        <w:adjustRightInd w:val="0"/>
        <w:snapToGrid w:val="0"/>
        <w:spacing w:line="500" w:lineRule="atLeast"/>
        <w:rPr>
          <w:rFonts w:ascii="宋体" w:hAnsi="宋体" w:cs="宋体"/>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采购项目名称：</w:t>
      </w:r>
    </w:p>
    <w:p w14:paraId="7A014285">
      <w:pPr>
        <w:pStyle w:val="76"/>
        <w:wordWrap w:val="0"/>
        <w:spacing w:line="500" w:lineRule="atLeast"/>
        <w:ind w:firstLine="560" w:firstLineChars="200"/>
        <w:rPr>
          <w:rFonts w:ascii="宋体" w:hAnsi="宋体" w:cs="宋体"/>
          <w:color w:val="000000" w:themeColor="text1"/>
          <w:sz w:val="28"/>
          <w:szCs w:val="28"/>
          <w14:textFill>
            <w14:solidFill>
              <w14:schemeClr w14:val="tx1"/>
            </w14:solidFill>
          </w14:textFill>
        </w:rPr>
      </w:pPr>
    </w:p>
    <w:tbl>
      <w:tblPr>
        <w:tblStyle w:val="33"/>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14:paraId="351E0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vAlign w:val="center"/>
          </w:tcPr>
          <w:p w14:paraId="74ADD104">
            <w:pPr>
              <w:pStyle w:val="76"/>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项目名称</w:t>
            </w:r>
          </w:p>
        </w:tc>
        <w:tc>
          <w:tcPr>
            <w:tcW w:w="7200" w:type="dxa"/>
          </w:tcPr>
          <w:p w14:paraId="6071B6A3">
            <w:pPr>
              <w:pStyle w:val="76"/>
              <w:wordWrap w:val="0"/>
              <w:spacing w:line="500" w:lineRule="atLeast"/>
              <w:jc w:val="center"/>
              <w:rPr>
                <w:rFonts w:ascii="宋体" w:hAnsi="宋体" w:cs="宋体"/>
                <w:color w:val="000000" w:themeColor="text1"/>
                <w:sz w:val="28"/>
                <w:szCs w:val="28"/>
                <w14:textFill>
                  <w14:solidFill>
                    <w14:schemeClr w14:val="tx1"/>
                  </w14:solidFill>
                </w14:textFill>
              </w:rPr>
            </w:pPr>
          </w:p>
        </w:tc>
      </w:tr>
      <w:tr w14:paraId="42EB4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vAlign w:val="center"/>
          </w:tcPr>
          <w:p w14:paraId="3ADA3004">
            <w:pPr>
              <w:pStyle w:val="76"/>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项目单位名称</w:t>
            </w:r>
          </w:p>
        </w:tc>
        <w:tc>
          <w:tcPr>
            <w:tcW w:w="7200" w:type="dxa"/>
          </w:tcPr>
          <w:p w14:paraId="2BE2D230">
            <w:pPr>
              <w:pStyle w:val="76"/>
              <w:wordWrap w:val="0"/>
              <w:spacing w:line="500" w:lineRule="atLeast"/>
              <w:jc w:val="center"/>
              <w:rPr>
                <w:rFonts w:ascii="宋体" w:hAnsi="宋体" w:cs="宋体"/>
                <w:color w:val="000000" w:themeColor="text1"/>
                <w:sz w:val="28"/>
                <w:szCs w:val="28"/>
                <w14:textFill>
                  <w14:solidFill>
                    <w14:schemeClr w14:val="tx1"/>
                  </w14:solidFill>
                </w14:textFill>
              </w:rPr>
            </w:pPr>
          </w:p>
        </w:tc>
      </w:tr>
      <w:tr w14:paraId="483D2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vAlign w:val="center"/>
          </w:tcPr>
          <w:p w14:paraId="0D4CBE93">
            <w:pPr>
              <w:pStyle w:val="76"/>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项目单位联系人姓名及联系方式</w:t>
            </w:r>
          </w:p>
        </w:tc>
        <w:tc>
          <w:tcPr>
            <w:tcW w:w="7200" w:type="dxa"/>
          </w:tcPr>
          <w:p w14:paraId="76062F04">
            <w:pPr>
              <w:pStyle w:val="76"/>
              <w:wordWrap w:val="0"/>
              <w:spacing w:line="500" w:lineRule="atLeast"/>
              <w:jc w:val="center"/>
              <w:rPr>
                <w:rFonts w:ascii="宋体" w:hAnsi="宋体" w:cs="宋体"/>
                <w:color w:val="000000" w:themeColor="text1"/>
                <w:sz w:val="28"/>
                <w:szCs w:val="28"/>
                <w14:textFill>
                  <w14:solidFill>
                    <w14:schemeClr w14:val="tx1"/>
                  </w14:solidFill>
                </w14:textFill>
              </w:rPr>
            </w:pPr>
          </w:p>
        </w:tc>
      </w:tr>
      <w:tr w14:paraId="27066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vAlign w:val="center"/>
          </w:tcPr>
          <w:p w14:paraId="1BAB17D9">
            <w:pPr>
              <w:pStyle w:val="76"/>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合同金额</w:t>
            </w:r>
          </w:p>
        </w:tc>
        <w:tc>
          <w:tcPr>
            <w:tcW w:w="7200" w:type="dxa"/>
          </w:tcPr>
          <w:p w14:paraId="022AD12B">
            <w:pPr>
              <w:pStyle w:val="76"/>
              <w:wordWrap w:val="0"/>
              <w:spacing w:line="500" w:lineRule="atLeast"/>
              <w:jc w:val="center"/>
              <w:rPr>
                <w:rFonts w:ascii="宋体" w:hAnsi="宋体" w:cs="宋体"/>
                <w:color w:val="000000" w:themeColor="text1"/>
                <w:sz w:val="28"/>
                <w:szCs w:val="28"/>
                <w14:textFill>
                  <w14:solidFill>
                    <w14:schemeClr w14:val="tx1"/>
                  </w14:solidFill>
                </w14:textFill>
              </w:rPr>
            </w:pPr>
          </w:p>
        </w:tc>
      </w:tr>
      <w:tr w14:paraId="132B2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vAlign w:val="center"/>
          </w:tcPr>
          <w:p w14:paraId="598DFCF2">
            <w:pPr>
              <w:pStyle w:val="76"/>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项目负责人</w:t>
            </w:r>
          </w:p>
          <w:p w14:paraId="7EEBEA9D">
            <w:pPr>
              <w:pStyle w:val="76"/>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姓名</w:t>
            </w:r>
          </w:p>
        </w:tc>
        <w:tc>
          <w:tcPr>
            <w:tcW w:w="7200" w:type="dxa"/>
          </w:tcPr>
          <w:p w14:paraId="472E3811">
            <w:pPr>
              <w:pStyle w:val="76"/>
              <w:wordWrap w:val="0"/>
              <w:spacing w:line="500" w:lineRule="atLeast"/>
              <w:jc w:val="center"/>
              <w:rPr>
                <w:rFonts w:ascii="宋体" w:hAnsi="宋体" w:cs="宋体"/>
                <w:color w:val="000000" w:themeColor="text1"/>
                <w:sz w:val="28"/>
                <w:szCs w:val="28"/>
                <w14:textFill>
                  <w14:solidFill>
                    <w14:schemeClr w14:val="tx1"/>
                  </w14:solidFill>
                </w14:textFill>
              </w:rPr>
            </w:pPr>
          </w:p>
        </w:tc>
      </w:tr>
      <w:tr w14:paraId="07003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vAlign w:val="center"/>
          </w:tcPr>
          <w:p w14:paraId="0188509B">
            <w:pPr>
              <w:pStyle w:val="76"/>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项目实施时间</w:t>
            </w:r>
          </w:p>
        </w:tc>
        <w:tc>
          <w:tcPr>
            <w:tcW w:w="7200" w:type="dxa"/>
          </w:tcPr>
          <w:p w14:paraId="2E61C261">
            <w:pPr>
              <w:pStyle w:val="76"/>
              <w:wordWrap w:val="0"/>
              <w:spacing w:line="500" w:lineRule="atLeast"/>
              <w:jc w:val="center"/>
              <w:rPr>
                <w:rFonts w:ascii="宋体" w:hAnsi="宋体" w:cs="宋体"/>
                <w:color w:val="000000" w:themeColor="text1"/>
                <w:sz w:val="28"/>
                <w:szCs w:val="28"/>
                <w14:textFill>
                  <w14:solidFill>
                    <w14:schemeClr w14:val="tx1"/>
                  </w14:solidFill>
                </w14:textFill>
              </w:rPr>
            </w:pPr>
          </w:p>
        </w:tc>
      </w:tr>
      <w:tr w14:paraId="669AE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vAlign w:val="center"/>
          </w:tcPr>
          <w:p w14:paraId="46B2050B">
            <w:pPr>
              <w:pStyle w:val="76"/>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项目内容说明</w:t>
            </w:r>
          </w:p>
        </w:tc>
        <w:tc>
          <w:tcPr>
            <w:tcW w:w="7200" w:type="dxa"/>
          </w:tcPr>
          <w:p w14:paraId="1C0F0913">
            <w:pPr>
              <w:pStyle w:val="76"/>
              <w:wordWrap w:val="0"/>
              <w:spacing w:line="500" w:lineRule="atLeast"/>
              <w:jc w:val="center"/>
              <w:rPr>
                <w:rFonts w:ascii="宋体" w:hAnsi="宋体" w:cs="宋体"/>
                <w:color w:val="000000" w:themeColor="text1"/>
                <w:sz w:val="28"/>
                <w:szCs w:val="28"/>
                <w14:textFill>
                  <w14:solidFill>
                    <w14:schemeClr w14:val="tx1"/>
                  </w14:solidFill>
                </w14:textFill>
              </w:rPr>
            </w:pPr>
          </w:p>
        </w:tc>
      </w:tr>
    </w:tbl>
    <w:p w14:paraId="3130E578">
      <w:pPr>
        <w:pStyle w:val="76"/>
        <w:wordWrap w:val="0"/>
        <w:autoSpaceDE w:val="0"/>
        <w:autoSpaceDN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说明：1．每</w:t>
      </w:r>
      <w:r>
        <w:rPr>
          <w:rFonts w:hint="eastAsia" w:ascii="宋体" w:hAnsi="宋体" w:cs="宋体"/>
          <w:color w:val="000000" w:themeColor="text1"/>
          <w:sz w:val="28"/>
          <w:szCs w:val="28"/>
          <w:lang w:val="en-US" w:eastAsia="zh-CN"/>
          <w14:textFill>
            <w14:solidFill>
              <w14:schemeClr w14:val="tx1"/>
            </w14:solidFill>
          </w14:textFill>
        </w:rPr>
        <w:t>份业绩</w:t>
      </w:r>
      <w:r>
        <w:rPr>
          <w:rFonts w:hint="eastAsia" w:ascii="宋体" w:hAnsi="宋体" w:cs="宋体"/>
          <w:color w:val="000000" w:themeColor="text1"/>
          <w:sz w:val="28"/>
          <w:szCs w:val="28"/>
          <w14:textFill>
            <w14:solidFill>
              <w14:schemeClr w14:val="tx1"/>
            </w14:solidFill>
          </w14:textFill>
        </w:rPr>
        <w:t>须单独附表，并附上相关证明材料，否则专家在评审时将不予采信；</w:t>
      </w:r>
    </w:p>
    <w:p w14:paraId="7ABE4712">
      <w:pPr>
        <w:pStyle w:val="76"/>
        <w:wordWrap w:val="0"/>
        <w:spacing w:line="500" w:lineRule="atLeast"/>
        <w:rPr>
          <w:rFonts w:ascii="宋体" w:hAnsi="宋体" w:cs="宋体"/>
          <w:color w:val="000000" w:themeColor="text1"/>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2．项目内容请详细说明所承担的具体工作内容。</w:t>
      </w:r>
    </w:p>
    <w:p w14:paraId="7AA12FD3">
      <w:pPr>
        <w:pStyle w:val="164"/>
        <w:wordWrap w:val="0"/>
        <w:spacing w:line="500" w:lineRule="atLeast"/>
        <w:jc w:val="center"/>
        <w:outlineLvl w:val="2"/>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r>
        <w:rPr>
          <w:rFonts w:hint="eastAsia" w:ascii="宋体" w:hAnsi="宋体" w:eastAsia="宋体" w:cs="宋体"/>
          <w:color w:val="000000" w:themeColor="text1"/>
          <w14:textFill>
            <w14:solidFill>
              <w14:schemeClr w14:val="tx1"/>
            </w14:solidFill>
          </w14:textFill>
        </w:rPr>
        <w:t>十一、法定授权人委托书</w:t>
      </w:r>
    </w:p>
    <w:p w14:paraId="5FBBB3B0">
      <w:pPr>
        <w:pStyle w:val="83"/>
        <w:wordWrap w:val="0"/>
        <w:adjustRightInd w:val="0"/>
        <w:snapToGrid w:val="0"/>
        <w:spacing w:line="500" w:lineRule="atLeast"/>
        <w:ind w:left="560" w:hanging="560" w:hangingChars="200"/>
        <w:rPr>
          <w:rFonts w:ascii="宋体" w:hAnsi="宋体" w:cs="宋体"/>
          <w:color w:val="000000" w:themeColor="text1"/>
          <w:sz w:val="28"/>
          <w:szCs w:val="28"/>
          <w14:textFill>
            <w14:solidFill>
              <w14:schemeClr w14:val="tx1"/>
            </w14:solidFill>
          </w14:textFill>
        </w:rPr>
      </w:pPr>
    </w:p>
    <w:p w14:paraId="74F63CC0">
      <w:pPr>
        <w:pStyle w:val="83"/>
        <w:tabs>
          <w:tab w:val="left" w:pos="5580"/>
        </w:tabs>
        <w:wordWrap w:val="0"/>
        <w:spacing w:line="500" w:lineRule="atLeast"/>
        <w:ind w:firstLine="48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4"/>
          <w14:textFill>
            <w14:solidFill>
              <w14:schemeClr w14:val="tx1"/>
            </w14:solidFill>
          </w14:textFill>
        </w:rPr>
        <w:t xml:space="preserve">本授权书声明：注册于 </w:t>
      </w:r>
      <w:r>
        <w:rPr>
          <w:rFonts w:hint="eastAsia" w:ascii="宋体" w:hAnsi="宋体" w:cs="宋体"/>
          <w:color w:val="000000" w:themeColor="text1"/>
          <w:sz w:val="28"/>
          <w:szCs w:val="24"/>
          <w:u w:val="single"/>
          <w14:textFill>
            <w14:solidFill>
              <w14:schemeClr w14:val="tx1"/>
            </w14:solidFill>
          </w14:textFill>
        </w:rPr>
        <w:t xml:space="preserve">              </w:t>
      </w:r>
      <w:r>
        <w:rPr>
          <w:rFonts w:hint="eastAsia" w:ascii="宋体" w:hAnsi="宋体" w:cs="宋体"/>
          <w:color w:val="000000" w:themeColor="text1"/>
          <w:sz w:val="28"/>
          <w:szCs w:val="24"/>
          <w14:textFill>
            <w14:solidFill>
              <w14:schemeClr w14:val="tx1"/>
            </w14:solidFill>
          </w14:textFill>
        </w:rPr>
        <w:t>（投标人住址）的</w:t>
      </w:r>
      <w:r>
        <w:rPr>
          <w:rFonts w:hint="eastAsia" w:ascii="宋体" w:hAnsi="宋体" w:cs="宋体"/>
          <w:color w:val="000000" w:themeColor="text1"/>
          <w:sz w:val="28"/>
          <w:szCs w:val="24"/>
          <w:u w:val="single"/>
          <w14:textFill>
            <w14:solidFill>
              <w14:schemeClr w14:val="tx1"/>
            </w14:solidFill>
          </w14:textFill>
        </w:rPr>
        <w:t xml:space="preserve">           </w:t>
      </w:r>
      <w:r>
        <w:rPr>
          <w:rFonts w:hint="eastAsia" w:ascii="宋体" w:hAnsi="宋体" w:cs="宋体"/>
          <w:color w:val="000000" w:themeColor="text1"/>
          <w:sz w:val="28"/>
          <w:szCs w:val="24"/>
          <w14:textFill>
            <w14:solidFill>
              <w14:schemeClr w14:val="tx1"/>
            </w14:solidFill>
          </w14:textFill>
        </w:rPr>
        <w:t>（投标人名称）的在下面电子签章的</w:t>
      </w:r>
      <w:r>
        <w:rPr>
          <w:rFonts w:hint="eastAsia" w:ascii="宋体" w:hAnsi="宋体" w:cs="宋体"/>
          <w:color w:val="000000" w:themeColor="text1"/>
          <w:sz w:val="28"/>
          <w:szCs w:val="24"/>
          <w:u w:val="single"/>
          <w14:textFill>
            <w14:solidFill>
              <w14:schemeClr w14:val="tx1"/>
            </w14:solidFill>
          </w14:textFill>
        </w:rPr>
        <w:t xml:space="preserve">             </w:t>
      </w:r>
      <w:r>
        <w:rPr>
          <w:rFonts w:hint="eastAsia" w:ascii="宋体" w:hAnsi="宋体" w:cs="宋体"/>
          <w:color w:val="000000" w:themeColor="text1"/>
          <w:sz w:val="28"/>
          <w:szCs w:val="24"/>
          <w14:textFill>
            <w14:solidFill>
              <w14:schemeClr w14:val="tx1"/>
            </w14:solidFill>
          </w14:textFill>
        </w:rPr>
        <w:t>（法定代表人姓名、职务）代表本公司授权</w:t>
      </w:r>
      <w:r>
        <w:rPr>
          <w:rFonts w:hint="eastAsia" w:ascii="宋体" w:hAnsi="宋体" w:cs="宋体"/>
          <w:color w:val="000000" w:themeColor="text1"/>
          <w:sz w:val="28"/>
          <w:szCs w:val="24"/>
          <w:u w:val="single"/>
          <w14:textFill>
            <w14:solidFill>
              <w14:schemeClr w14:val="tx1"/>
            </w14:solidFill>
          </w14:textFill>
        </w:rPr>
        <w:t xml:space="preserve">             </w:t>
      </w:r>
      <w:r>
        <w:rPr>
          <w:rFonts w:hint="eastAsia" w:ascii="宋体" w:hAnsi="宋体" w:cs="宋体"/>
          <w:color w:val="000000" w:themeColor="text1"/>
          <w:sz w:val="28"/>
          <w:szCs w:val="24"/>
          <w14:textFill>
            <w14:solidFill>
              <w14:schemeClr w14:val="tx1"/>
            </w14:solidFill>
          </w14:textFill>
        </w:rPr>
        <w:t>（授权代理人的姓名、职务）为本公司的合法代理人，就贵方组织</w:t>
      </w:r>
      <w:r>
        <w:rPr>
          <w:rFonts w:hint="eastAsia" w:ascii="宋体" w:hAnsi="宋体" w:cs="宋体"/>
          <w:color w:val="000000" w:themeColor="text1"/>
          <w:sz w:val="28"/>
          <w:szCs w:val="24"/>
          <w:u w:val="single"/>
          <w14:textFill>
            <w14:solidFill>
              <w14:schemeClr w14:val="tx1"/>
            </w14:solidFill>
          </w14:textFill>
        </w:rPr>
        <w:t xml:space="preserve">             </w:t>
      </w:r>
      <w:r>
        <w:rPr>
          <w:rFonts w:hint="eastAsia" w:ascii="宋体" w:hAnsi="宋体" w:cs="宋体"/>
          <w:color w:val="000000" w:themeColor="text1"/>
          <w:sz w:val="28"/>
          <w:szCs w:val="24"/>
          <w14:textFill>
            <w14:solidFill>
              <w14:schemeClr w14:val="tx1"/>
            </w14:solidFill>
          </w14:textFill>
        </w:rPr>
        <w:t>（项目名称）项目（项目编号：</w:t>
      </w:r>
      <w:r>
        <w:rPr>
          <w:rFonts w:hint="eastAsia" w:ascii="宋体" w:hAnsi="宋体" w:cs="宋体"/>
          <w:color w:val="000000" w:themeColor="text1"/>
          <w:sz w:val="28"/>
          <w:szCs w:val="24"/>
          <w:u w:val="single"/>
          <w14:textFill>
            <w14:solidFill>
              <w14:schemeClr w14:val="tx1"/>
            </w14:solidFill>
          </w14:textFill>
        </w:rPr>
        <w:t xml:space="preserve">           </w:t>
      </w:r>
      <w:r>
        <w:rPr>
          <w:rFonts w:hint="eastAsia" w:ascii="宋体" w:hAnsi="宋体" w:cs="宋体"/>
          <w:color w:val="000000" w:themeColor="text1"/>
          <w:sz w:val="28"/>
          <w:szCs w:val="24"/>
          <w14:textFill>
            <w14:solidFill>
              <w14:schemeClr w14:val="tx1"/>
            </w14:solidFill>
          </w14:textFill>
        </w:rPr>
        <w:t>），以本公司名义处理一切与之有关的事宜。</w:t>
      </w:r>
      <w:r>
        <w:rPr>
          <w:rFonts w:hint="eastAsia" w:ascii="宋体" w:hAnsi="宋体" w:cs="宋体"/>
          <w:color w:val="000000" w:themeColor="text1"/>
          <w:sz w:val="28"/>
          <w:szCs w:val="28"/>
          <w14:textFill>
            <w14:solidFill>
              <w14:schemeClr w14:val="tx1"/>
            </w14:solidFill>
          </w14:textFill>
        </w:rPr>
        <w:t>投标人授权代理人在投标过程中所签署的一切文件和处理与之有关的一切事务，本公司均予以认可并对此承担责任。</w:t>
      </w:r>
    </w:p>
    <w:p w14:paraId="71ACF6AA">
      <w:pPr>
        <w:pStyle w:val="83"/>
        <w:tabs>
          <w:tab w:val="left" w:pos="5580"/>
        </w:tabs>
        <w:wordWrap w:val="0"/>
        <w:spacing w:line="500" w:lineRule="atLeast"/>
        <w:ind w:firstLine="480"/>
        <w:rPr>
          <w:rFonts w:ascii="宋体" w:hAnsi="宋体" w:cs="宋体"/>
          <w:color w:val="000000" w:themeColor="text1"/>
          <w:sz w:val="28"/>
          <w:szCs w:val="24"/>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投标人授权代理人无转委托权。特此授权。</w:t>
      </w:r>
      <w:r>
        <w:rPr>
          <w:rFonts w:hint="eastAsia" w:ascii="宋体" w:hAnsi="宋体" w:cs="宋体"/>
          <w:color w:val="000000" w:themeColor="text1"/>
          <w:sz w:val="28"/>
          <w:szCs w:val="24"/>
          <w14:textFill>
            <w14:solidFill>
              <w14:schemeClr w14:val="tx1"/>
            </w14:solidFill>
          </w14:textFill>
        </w:rPr>
        <w:cr/>
      </w:r>
      <w:r>
        <w:rPr>
          <w:rFonts w:hint="eastAsia" w:ascii="宋体" w:hAnsi="宋体" w:cs="宋体"/>
          <w:color w:val="000000" w:themeColor="text1"/>
          <w:sz w:val="28"/>
          <w:szCs w:val="24"/>
          <w14:textFill>
            <w14:solidFill>
              <w14:schemeClr w14:val="tx1"/>
            </w14:solidFill>
          </w14:textFill>
        </w:rPr>
        <w:t>　　</w:t>
      </w:r>
    </w:p>
    <w:p w14:paraId="132E2A64">
      <w:pPr>
        <w:pStyle w:val="83"/>
        <w:tabs>
          <w:tab w:val="left" w:pos="5580"/>
        </w:tabs>
        <w:wordWrap w:val="0"/>
        <w:spacing w:line="500" w:lineRule="atLeast"/>
        <w:rPr>
          <w:rFonts w:ascii="宋体" w:hAnsi="宋体" w:cs="宋体"/>
          <w:color w:val="000000" w:themeColor="text1"/>
          <w:sz w:val="28"/>
          <w:szCs w:val="24"/>
          <w14:textFill>
            <w14:solidFill>
              <w14:schemeClr w14:val="tx1"/>
            </w14:solidFill>
          </w14:textFill>
        </w:rPr>
      </w:pPr>
      <w:r>
        <w:rPr>
          <w:rFonts w:hint="eastAsia" w:ascii="宋体" w:hAnsi="宋体" w:cs="宋体"/>
          <w:color w:val="000000" w:themeColor="text1"/>
          <w:sz w:val="28"/>
          <w:szCs w:val="24"/>
          <w14:textFill>
            <w14:solidFill>
              <w14:schemeClr w14:val="tx1"/>
            </w14:solidFill>
          </w14:textFill>
        </w:rPr>
        <w:t>本授权书于__________年_____月______日生效，特此声明。</w:t>
      </w:r>
      <w:r>
        <w:rPr>
          <w:rFonts w:hint="eastAsia" w:ascii="宋体" w:hAnsi="宋体" w:cs="宋体"/>
          <w:color w:val="000000" w:themeColor="text1"/>
          <w:sz w:val="28"/>
          <w:szCs w:val="24"/>
          <w14:textFill>
            <w14:solidFill>
              <w14:schemeClr w14:val="tx1"/>
            </w14:solidFill>
          </w14:textFill>
        </w:rPr>
        <w:cr/>
      </w:r>
    </w:p>
    <w:p w14:paraId="36D0EB16">
      <w:pPr>
        <w:pStyle w:val="83"/>
        <w:tabs>
          <w:tab w:val="left" w:pos="5580"/>
        </w:tabs>
        <w:wordWrap w:val="0"/>
        <w:spacing w:line="500" w:lineRule="atLeast"/>
        <w:rPr>
          <w:rFonts w:ascii="宋体" w:hAnsi="宋体" w:cs="宋体"/>
          <w:b/>
          <w:color w:val="000000" w:themeColor="text1"/>
          <w:sz w:val="28"/>
          <w:szCs w:val="24"/>
          <w14:textFill>
            <w14:solidFill>
              <w14:schemeClr w14:val="tx1"/>
            </w14:solidFill>
          </w14:textFill>
        </w:rPr>
      </w:pPr>
      <w:r>
        <w:rPr>
          <w:rFonts w:hint="eastAsia" w:ascii="宋体" w:hAnsi="宋体" w:cs="宋体"/>
          <w:b/>
          <w:color w:val="000000" w:themeColor="text1"/>
          <w:sz w:val="28"/>
          <w:szCs w:val="24"/>
          <w14:textFill>
            <w14:solidFill>
              <w14:schemeClr w14:val="tx1"/>
            </w14:solidFill>
          </w14:textFill>
        </w:rPr>
        <w:t>（附授权代理人身份证正反两面扫描件）</w:t>
      </w:r>
    </w:p>
    <w:p w14:paraId="5027DDFE">
      <w:pPr>
        <w:pStyle w:val="83"/>
        <w:tabs>
          <w:tab w:val="left" w:pos="5580"/>
        </w:tabs>
        <w:wordWrap w:val="0"/>
        <w:spacing w:line="500" w:lineRule="atLeast"/>
        <w:rPr>
          <w:rFonts w:ascii="宋体" w:hAnsi="宋体" w:cs="宋体"/>
          <w:color w:val="000000" w:themeColor="text1"/>
          <w:sz w:val="28"/>
          <w:szCs w:val="24"/>
          <w14:textFill>
            <w14:solidFill>
              <w14:schemeClr w14:val="tx1"/>
            </w14:solidFill>
          </w14:textFill>
        </w:rPr>
      </w:pPr>
    </w:p>
    <w:p w14:paraId="28525FD8">
      <w:pPr>
        <w:pStyle w:val="83"/>
        <w:tabs>
          <w:tab w:val="left" w:pos="5580"/>
        </w:tabs>
        <w:wordWrap w:val="0"/>
        <w:spacing w:line="500" w:lineRule="atLeast"/>
        <w:rPr>
          <w:rFonts w:ascii="宋体" w:hAnsi="宋体" w:cs="宋体"/>
          <w:color w:val="000000" w:themeColor="text1"/>
          <w:sz w:val="28"/>
          <w:szCs w:val="24"/>
          <w14:textFill>
            <w14:solidFill>
              <w14:schemeClr w14:val="tx1"/>
            </w14:solidFill>
          </w14:textFill>
        </w:rPr>
      </w:pPr>
    </w:p>
    <w:p w14:paraId="5D5F5E9A">
      <w:pPr>
        <w:pStyle w:val="83"/>
        <w:wordWrap w:val="0"/>
        <w:spacing w:line="500" w:lineRule="atLeast"/>
        <w:ind w:firstLine="560" w:firstLineChars="200"/>
        <w:rPr>
          <w:rFonts w:ascii="宋体" w:hAnsi="宋体" w:cs="宋体"/>
          <w:color w:val="000000" w:themeColor="text1"/>
          <w:sz w:val="28"/>
          <w14:textFill>
            <w14:solidFill>
              <w14:schemeClr w14:val="tx1"/>
            </w14:solidFill>
          </w14:textFill>
        </w:rPr>
      </w:pPr>
    </w:p>
    <w:p w14:paraId="46F582CA">
      <w:pPr>
        <w:pStyle w:val="83"/>
        <w:wordWrap w:val="0"/>
        <w:spacing w:line="500" w:lineRule="atLeast"/>
        <w:ind w:firstLine="560" w:firstLineChars="200"/>
        <w:rPr>
          <w:rFonts w:ascii="宋体" w:hAnsi="宋体" w:cs="宋体"/>
          <w:color w:val="000000" w:themeColor="text1"/>
          <w:sz w:val="28"/>
          <w14:textFill>
            <w14:solidFill>
              <w14:schemeClr w14:val="tx1"/>
            </w14:solidFill>
          </w14:textFill>
        </w:rPr>
      </w:pPr>
    </w:p>
    <w:p w14:paraId="0F0E198D">
      <w:pPr>
        <w:pStyle w:val="159"/>
        <w:wordWrap w:val="0"/>
        <w:spacing w:line="500" w:lineRule="atLeas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供应商名称：</w:t>
      </w:r>
      <w:r>
        <w:rPr>
          <w:rFonts w:hint="eastAsia" w:ascii="宋体" w:hAnsi="宋体" w:cs="宋体"/>
          <w:color w:val="000000" w:themeColor="text1"/>
          <w:sz w:val="28"/>
          <w:szCs w:val="28"/>
          <w:u w:val="single"/>
          <w14:textFill>
            <w14:solidFill>
              <w14:schemeClr w14:val="tx1"/>
            </w14:solidFill>
          </w14:textFill>
        </w:rPr>
        <w:t xml:space="preserve">       （盖章）       </w:t>
      </w:r>
    </w:p>
    <w:p w14:paraId="187DBA68">
      <w:pPr>
        <w:pStyle w:val="83"/>
        <w:wordWrap w:val="0"/>
        <w:spacing w:line="500" w:lineRule="atLeast"/>
        <w:ind w:firstLine="560" w:firstLineChars="200"/>
        <w:rPr>
          <w:rFonts w:ascii="宋体" w:hAnsi="宋体" w:cs="宋体"/>
          <w:color w:val="000000" w:themeColor="text1"/>
          <w:sz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法定代表人：</w:t>
      </w:r>
      <w:r>
        <w:rPr>
          <w:rFonts w:hint="eastAsia" w:ascii="宋体" w:hAnsi="宋体" w:cs="宋体"/>
          <w:color w:val="000000" w:themeColor="text1"/>
          <w:sz w:val="28"/>
          <w:szCs w:val="28"/>
          <w:u w:val="single"/>
          <w14:textFill>
            <w14:solidFill>
              <w14:schemeClr w14:val="tx1"/>
            </w14:solidFill>
          </w14:textFill>
        </w:rPr>
        <w:t xml:space="preserve">       （签字或盖章）   </w:t>
      </w:r>
    </w:p>
    <w:p w14:paraId="1A3631DD">
      <w:pPr>
        <w:pStyle w:val="83"/>
        <w:wordWrap w:val="0"/>
        <w:spacing w:line="500" w:lineRule="atLeast"/>
        <w:ind w:firstLine="560" w:firstLineChars="200"/>
        <w:rPr>
          <w:rFonts w:ascii="宋体" w:hAnsi="宋体" w:cs="宋体"/>
          <w:color w:val="000000" w:themeColor="text1"/>
          <w:sz w:val="28"/>
          <w14:textFill>
            <w14:solidFill>
              <w14:schemeClr w14:val="tx1"/>
            </w14:solidFill>
          </w14:textFill>
        </w:rPr>
      </w:pPr>
    </w:p>
    <w:p w14:paraId="0244492E">
      <w:pPr>
        <w:pStyle w:val="83"/>
        <w:wordWrap w:val="0"/>
        <w:spacing w:line="500" w:lineRule="atLeast"/>
        <w:ind w:firstLine="560" w:firstLineChars="200"/>
        <w:rPr>
          <w:rFonts w:ascii="宋体" w:hAnsi="宋体" w:cs="宋体"/>
          <w:color w:val="000000" w:themeColor="text1"/>
          <w:sz w:val="28"/>
          <w14:textFill>
            <w14:solidFill>
              <w14:schemeClr w14:val="tx1"/>
            </w14:solidFill>
          </w14:textFill>
        </w:rPr>
      </w:pPr>
      <w:r>
        <w:rPr>
          <w:rFonts w:hint="eastAsia" w:ascii="宋体" w:hAnsi="宋体" w:cs="宋体"/>
          <w:color w:val="000000" w:themeColor="text1"/>
          <w:sz w:val="28"/>
          <w14:textFill>
            <w14:solidFill>
              <w14:schemeClr w14:val="tx1"/>
            </w14:solidFill>
          </w14:textFill>
        </w:rPr>
        <w:t>日   期：</w:t>
      </w:r>
      <w:r>
        <w:rPr>
          <w:rFonts w:hint="eastAsia" w:ascii="宋体" w:hAnsi="宋体" w:cs="宋体"/>
          <w:color w:val="000000" w:themeColor="text1"/>
          <w:sz w:val="28"/>
          <w:u w:val="single"/>
          <w14:textFill>
            <w14:solidFill>
              <w14:schemeClr w14:val="tx1"/>
            </w14:solidFill>
          </w14:textFill>
        </w:rPr>
        <w:t xml:space="preserve">         </w:t>
      </w:r>
      <w:r>
        <w:rPr>
          <w:rFonts w:hint="eastAsia" w:ascii="宋体" w:hAnsi="宋体" w:cs="宋体"/>
          <w:color w:val="000000" w:themeColor="text1"/>
          <w:sz w:val="28"/>
          <w14:textFill>
            <w14:solidFill>
              <w14:schemeClr w14:val="tx1"/>
            </w14:solidFill>
          </w14:textFill>
        </w:rPr>
        <w:t>年</w:t>
      </w:r>
      <w:r>
        <w:rPr>
          <w:rFonts w:hint="eastAsia" w:ascii="宋体" w:hAnsi="宋体" w:cs="宋体"/>
          <w:color w:val="000000" w:themeColor="text1"/>
          <w:sz w:val="28"/>
          <w:u w:val="single"/>
          <w14:textFill>
            <w14:solidFill>
              <w14:schemeClr w14:val="tx1"/>
            </w14:solidFill>
          </w14:textFill>
        </w:rPr>
        <w:t xml:space="preserve">     </w:t>
      </w:r>
      <w:r>
        <w:rPr>
          <w:rFonts w:hint="eastAsia" w:ascii="宋体" w:hAnsi="宋体" w:cs="宋体"/>
          <w:color w:val="000000" w:themeColor="text1"/>
          <w:sz w:val="28"/>
          <w14:textFill>
            <w14:solidFill>
              <w14:schemeClr w14:val="tx1"/>
            </w14:solidFill>
          </w14:textFill>
        </w:rPr>
        <w:t>月</w:t>
      </w:r>
      <w:r>
        <w:rPr>
          <w:rFonts w:hint="eastAsia" w:ascii="宋体" w:hAnsi="宋体" w:cs="宋体"/>
          <w:color w:val="000000" w:themeColor="text1"/>
          <w:sz w:val="28"/>
          <w:u w:val="single"/>
          <w14:textFill>
            <w14:solidFill>
              <w14:schemeClr w14:val="tx1"/>
            </w14:solidFill>
          </w14:textFill>
        </w:rPr>
        <w:t xml:space="preserve">     </w:t>
      </w:r>
      <w:r>
        <w:rPr>
          <w:rFonts w:hint="eastAsia" w:ascii="宋体" w:hAnsi="宋体" w:cs="宋体"/>
          <w:color w:val="000000" w:themeColor="text1"/>
          <w:sz w:val="28"/>
          <w14:textFill>
            <w14:solidFill>
              <w14:schemeClr w14:val="tx1"/>
            </w14:solidFill>
          </w14:textFill>
        </w:rPr>
        <w:t>日</w:t>
      </w:r>
    </w:p>
    <w:p w14:paraId="4D2C6937">
      <w:pPr>
        <w:pStyle w:val="83"/>
        <w:wordWrap w:val="0"/>
        <w:snapToGrid w:val="0"/>
        <w:spacing w:line="500" w:lineRule="atLeast"/>
        <w:jc w:val="left"/>
        <w:rPr>
          <w:rFonts w:ascii="宋体" w:hAnsi="宋体" w:cs="宋体"/>
          <w:b/>
          <w:color w:val="000000" w:themeColor="text1"/>
          <w:sz w:val="28"/>
          <w:szCs w:val="24"/>
          <w14:textFill>
            <w14:solidFill>
              <w14:schemeClr w14:val="tx1"/>
            </w14:solidFill>
          </w14:textFill>
        </w:rPr>
      </w:pPr>
    </w:p>
    <w:p w14:paraId="21258FC2">
      <w:pPr>
        <w:pStyle w:val="83"/>
        <w:widowControl/>
        <w:wordWrap w:val="0"/>
        <w:spacing w:line="500" w:lineRule="atLeast"/>
        <w:jc w:val="center"/>
        <w:rPr>
          <w:rFonts w:ascii="宋体" w:hAnsi="宋体" w:cs="宋体"/>
          <w:b/>
          <w:color w:val="000000" w:themeColor="text1"/>
          <w:sz w:val="28"/>
          <w:szCs w:val="21"/>
          <w14:textFill>
            <w14:solidFill>
              <w14:schemeClr w14:val="tx1"/>
            </w14:solidFill>
          </w14:textFill>
        </w:rPr>
      </w:pPr>
      <w:r>
        <w:rPr>
          <w:rFonts w:hint="eastAsia" w:ascii="宋体" w:hAnsi="宋体" w:cs="宋体"/>
          <w:b/>
          <w:color w:val="000000" w:themeColor="text1"/>
          <w:sz w:val="28"/>
          <w:szCs w:val="21"/>
          <w14:textFill>
            <w14:solidFill>
              <w14:schemeClr w14:val="tx1"/>
            </w14:solidFill>
          </w14:textFill>
        </w:rPr>
        <w:br w:type="page"/>
      </w:r>
      <w:r>
        <w:rPr>
          <w:rFonts w:hint="eastAsia" w:ascii="宋体" w:hAnsi="宋体" w:cs="宋体"/>
          <w:b/>
          <w:color w:val="000000" w:themeColor="text1"/>
          <w:sz w:val="28"/>
          <w:szCs w:val="21"/>
          <w14:textFill>
            <w14:solidFill>
              <w14:schemeClr w14:val="tx1"/>
            </w14:solidFill>
          </w14:textFill>
        </w:rPr>
        <w:t>附：法定代表人身份证明书</w:t>
      </w:r>
    </w:p>
    <w:p w14:paraId="4BA16641">
      <w:pPr>
        <w:pStyle w:val="83"/>
        <w:wordWrap w:val="0"/>
        <w:spacing w:line="500" w:lineRule="atLeast"/>
        <w:rPr>
          <w:rFonts w:ascii="宋体" w:hAnsi="宋体" w:cs="宋体"/>
          <w:color w:val="000000" w:themeColor="text1"/>
          <w:sz w:val="24"/>
          <w14:textFill>
            <w14:solidFill>
              <w14:schemeClr w14:val="tx1"/>
            </w14:solidFill>
          </w14:textFill>
        </w:rPr>
      </w:pPr>
    </w:p>
    <w:p w14:paraId="4C6738D4">
      <w:pPr>
        <w:pStyle w:val="83"/>
        <w:wordWrap w:val="0"/>
        <w:spacing w:line="500" w:lineRule="atLeast"/>
        <w:rPr>
          <w:rFonts w:ascii="宋体" w:hAnsi="宋体" w:cs="宋体"/>
          <w:color w:val="000000" w:themeColor="text1"/>
          <w:sz w:val="28"/>
          <w14:textFill>
            <w14:solidFill>
              <w14:schemeClr w14:val="tx1"/>
            </w14:solidFill>
          </w14:textFill>
        </w:rPr>
      </w:pPr>
      <w:r>
        <w:rPr>
          <w:rFonts w:hint="eastAsia" w:ascii="宋体" w:hAnsi="宋体" w:cs="宋体"/>
          <w:color w:val="000000" w:themeColor="text1"/>
          <w:sz w:val="28"/>
          <w14:textFill>
            <w14:solidFill>
              <w14:schemeClr w14:val="tx1"/>
            </w14:solidFill>
          </w14:textFill>
        </w:rPr>
        <w:t xml:space="preserve">    单位名称：</w:t>
      </w:r>
      <w:r>
        <w:rPr>
          <w:rFonts w:hint="eastAsia" w:ascii="宋体" w:hAnsi="宋体" w:cs="宋体"/>
          <w:color w:val="000000" w:themeColor="text1"/>
          <w:sz w:val="28"/>
          <w:u w:val="single"/>
          <w14:textFill>
            <w14:solidFill>
              <w14:schemeClr w14:val="tx1"/>
            </w14:solidFill>
          </w14:textFill>
        </w:rPr>
        <w:t xml:space="preserve">                                  </w:t>
      </w:r>
    </w:p>
    <w:p w14:paraId="0192915E">
      <w:pPr>
        <w:pStyle w:val="83"/>
        <w:wordWrap w:val="0"/>
        <w:spacing w:line="500" w:lineRule="atLeast"/>
        <w:rPr>
          <w:rFonts w:ascii="宋体" w:hAnsi="宋体" w:cs="宋体"/>
          <w:color w:val="000000" w:themeColor="text1"/>
          <w:sz w:val="28"/>
          <w14:textFill>
            <w14:solidFill>
              <w14:schemeClr w14:val="tx1"/>
            </w14:solidFill>
          </w14:textFill>
        </w:rPr>
      </w:pPr>
      <w:r>
        <w:rPr>
          <w:rFonts w:hint="eastAsia" w:ascii="宋体" w:hAnsi="宋体" w:cs="宋体"/>
          <w:color w:val="000000" w:themeColor="text1"/>
          <w:sz w:val="28"/>
          <w14:textFill>
            <w14:solidFill>
              <w14:schemeClr w14:val="tx1"/>
            </w14:solidFill>
          </w14:textFill>
        </w:rPr>
        <w:t xml:space="preserve">    单位类型：</w:t>
      </w:r>
      <w:r>
        <w:rPr>
          <w:rFonts w:hint="eastAsia" w:ascii="宋体" w:hAnsi="宋体" w:cs="宋体"/>
          <w:color w:val="000000" w:themeColor="text1"/>
          <w:sz w:val="28"/>
          <w:u w:val="single"/>
          <w14:textFill>
            <w14:solidFill>
              <w14:schemeClr w14:val="tx1"/>
            </w14:solidFill>
          </w14:textFill>
        </w:rPr>
        <w:t xml:space="preserve">                                  </w:t>
      </w:r>
    </w:p>
    <w:p w14:paraId="7B965684">
      <w:pPr>
        <w:pStyle w:val="83"/>
        <w:wordWrap w:val="0"/>
        <w:spacing w:line="500" w:lineRule="atLeast"/>
        <w:rPr>
          <w:rFonts w:ascii="宋体" w:hAnsi="宋体" w:cs="宋体"/>
          <w:color w:val="000000" w:themeColor="text1"/>
          <w:sz w:val="28"/>
          <w14:textFill>
            <w14:solidFill>
              <w14:schemeClr w14:val="tx1"/>
            </w14:solidFill>
          </w14:textFill>
        </w:rPr>
      </w:pPr>
      <w:r>
        <w:rPr>
          <w:rFonts w:hint="eastAsia" w:ascii="宋体" w:hAnsi="宋体" w:cs="宋体"/>
          <w:color w:val="000000" w:themeColor="text1"/>
          <w:sz w:val="28"/>
          <w14:textFill>
            <w14:solidFill>
              <w14:schemeClr w14:val="tx1"/>
            </w14:solidFill>
          </w14:textFill>
        </w:rPr>
        <w:t xml:space="preserve">    住    所：</w:t>
      </w:r>
      <w:r>
        <w:rPr>
          <w:rFonts w:hint="eastAsia" w:ascii="宋体" w:hAnsi="宋体" w:cs="宋体"/>
          <w:color w:val="000000" w:themeColor="text1"/>
          <w:sz w:val="28"/>
          <w:u w:val="single"/>
          <w14:textFill>
            <w14:solidFill>
              <w14:schemeClr w14:val="tx1"/>
            </w14:solidFill>
          </w14:textFill>
        </w:rPr>
        <w:t xml:space="preserve">                                  </w:t>
      </w:r>
    </w:p>
    <w:p w14:paraId="4C775179">
      <w:pPr>
        <w:pStyle w:val="83"/>
        <w:wordWrap w:val="0"/>
        <w:spacing w:line="500" w:lineRule="atLeast"/>
        <w:rPr>
          <w:rFonts w:ascii="宋体" w:hAnsi="宋体" w:cs="宋体"/>
          <w:color w:val="000000" w:themeColor="text1"/>
          <w:sz w:val="28"/>
          <w14:textFill>
            <w14:solidFill>
              <w14:schemeClr w14:val="tx1"/>
            </w14:solidFill>
          </w14:textFill>
        </w:rPr>
      </w:pPr>
      <w:r>
        <w:rPr>
          <w:rFonts w:hint="eastAsia" w:ascii="宋体" w:hAnsi="宋体" w:cs="宋体"/>
          <w:color w:val="000000" w:themeColor="text1"/>
          <w:sz w:val="28"/>
          <w14:textFill>
            <w14:solidFill>
              <w14:schemeClr w14:val="tx1"/>
            </w14:solidFill>
          </w14:textFill>
        </w:rPr>
        <w:t xml:space="preserve">    成立日期：</w:t>
      </w:r>
      <w:r>
        <w:rPr>
          <w:rFonts w:hint="eastAsia" w:ascii="宋体" w:hAnsi="宋体" w:cs="宋体"/>
          <w:color w:val="000000" w:themeColor="text1"/>
          <w:sz w:val="28"/>
          <w:u w:val="single"/>
          <w14:textFill>
            <w14:solidFill>
              <w14:schemeClr w14:val="tx1"/>
            </w14:solidFill>
          </w14:textFill>
        </w:rPr>
        <w:t xml:space="preserve">          </w:t>
      </w:r>
      <w:r>
        <w:rPr>
          <w:rFonts w:hint="eastAsia" w:ascii="宋体" w:hAnsi="宋体" w:cs="宋体"/>
          <w:color w:val="000000" w:themeColor="text1"/>
          <w:sz w:val="28"/>
          <w14:textFill>
            <w14:solidFill>
              <w14:schemeClr w14:val="tx1"/>
            </w14:solidFill>
          </w14:textFill>
        </w:rPr>
        <w:t>年</w:t>
      </w:r>
      <w:r>
        <w:rPr>
          <w:rFonts w:hint="eastAsia" w:ascii="宋体" w:hAnsi="宋体" w:cs="宋体"/>
          <w:color w:val="000000" w:themeColor="text1"/>
          <w:sz w:val="28"/>
          <w:u w:val="single"/>
          <w14:textFill>
            <w14:solidFill>
              <w14:schemeClr w14:val="tx1"/>
            </w14:solidFill>
          </w14:textFill>
        </w:rPr>
        <w:t xml:space="preserve">     </w:t>
      </w:r>
      <w:r>
        <w:rPr>
          <w:rFonts w:hint="eastAsia" w:ascii="宋体" w:hAnsi="宋体" w:cs="宋体"/>
          <w:color w:val="000000" w:themeColor="text1"/>
          <w:sz w:val="28"/>
          <w14:textFill>
            <w14:solidFill>
              <w14:schemeClr w14:val="tx1"/>
            </w14:solidFill>
          </w14:textFill>
        </w:rPr>
        <w:t>月</w:t>
      </w:r>
      <w:r>
        <w:rPr>
          <w:rFonts w:hint="eastAsia" w:ascii="宋体" w:hAnsi="宋体" w:cs="宋体"/>
          <w:color w:val="000000" w:themeColor="text1"/>
          <w:sz w:val="28"/>
          <w:u w:val="single"/>
          <w14:textFill>
            <w14:solidFill>
              <w14:schemeClr w14:val="tx1"/>
            </w14:solidFill>
          </w14:textFill>
        </w:rPr>
        <w:t xml:space="preserve">     </w:t>
      </w:r>
      <w:r>
        <w:rPr>
          <w:rFonts w:hint="eastAsia" w:ascii="宋体" w:hAnsi="宋体" w:cs="宋体"/>
          <w:color w:val="000000" w:themeColor="text1"/>
          <w:sz w:val="28"/>
          <w14:textFill>
            <w14:solidFill>
              <w14:schemeClr w14:val="tx1"/>
            </w14:solidFill>
          </w14:textFill>
        </w:rPr>
        <w:t>日</w:t>
      </w:r>
    </w:p>
    <w:p w14:paraId="5BA8B8D0">
      <w:pPr>
        <w:pStyle w:val="83"/>
        <w:wordWrap w:val="0"/>
        <w:spacing w:line="500" w:lineRule="atLeast"/>
        <w:ind w:firstLine="560" w:firstLineChars="200"/>
        <w:rPr>
          <w:rFonts w:ascii="宋体" w:hAnsi="宋体" w:cs="宋体"/>
          <w:color w:val="000000" w:themeColor="text1"/>
          <w:sz w:val="28"/>
          <w:u w:val="single"/>
          <w14:textFill>
            <w14:solidFill>
              <w14:schemeClr w14:val="tx1"/>
            </w14:solidFill>
          </w14:textFill>
        </w:rPr>
      </w:pPr>
      <w:r>
        <w:rPr>
          <w:rFonts w:hint="eastAsia" w:ascii="宋体" w:hAnsi="宋体" w:cs="宋体"/>
          <w:color w:val="000000" w:themeColor="text1"/>
          <w:sz w:val="28"/>
          <w14:textFill>
            <w14:solidFill>
              <w14:schemeClr w14:val="tx1"/>
            </w14:solidFill>
          </w14:textFill>
        </w:rPr>
        <w:t>营业期限：</w:t>
      </w:r>
      <w:r>
        <w:rPr>
          <w:rFonts w:hint="eastAsia" w:ascii="宋体" w:hAnsi="宋体" w:cs="宋体"/>
          <w:color w:val="000000" w:themeColor="text1"/>
          <w:sz w:val="28"/>
          <w:u w:val="single"/>
          <w14:textFill>
            <w14:solidFill>
              <w14:schemeClr w14:val="tx1"/>
            </w14:solidFill>
          </w14:textFill>
        </w:rPr>
        <w:t xml:space="preserve">                                  </w:t>
      </w:r>
    </w:p>
    <w:p w14:paraId="2308005F">
      <w:pPr>
        <w:pStyle w:val="83"/>
        <w:wordWrap w:val="0"/>
        <w:spacing w:line="500" w:lineRule="atLeast"/>
        <w:ind w:firstLine="465"/>
        <w:rPr>
          <w:rFonts w:ascii="宋体" w:hAnsi="宋体" w:cs="宋体"/>
          <w:color w:val="000000" w:themeColor="text1"/>
          <w:sz w:val="28"/>
          <w14:textFill>
            <w14:solidFill>
              <w14:schemeClr w14:val="tx1"/>
            </w14:solidFill>
          </w14:textFill>
        </w:rPr>
      </w:pPr>
    </w:p>
    <w:p w14:paraId="7CF4ECBE">
      <w:pPr>
        <w:pStyle w:val="83"/>
        <w:wordWrap w:val="0"/>
        <w:spacing w:line="500" w:lineRule="atLeast"/>
        <w:ind w:firstLine="560" w:firstLineChars="200"/>
        <w:rPr>
          <w:rFonts w:ascii="宋体" w:hAnsi="宋体" w:cs="宋体"/>
          <w:color w:val="000000" w:themeColor="text1"/>
          <w:sz w:val="28"/>
          <w:u w:val="single"/>
          <w14:textFill>
            <w14:solidFill>
              <w14:schemeClr w14:val="tx1"/>
            </w14:solidFill>
          </w14:textFill>
        </w:rPr>
      </w:pPr>
      <w:r>
        <w:rPr>
          <w:rFonts w:hint="eastAsia" w:ascii="宋体" w:hAnsi="宋体" w:cs="宋体"/>
          <w:color w:val="000000" w:themeColor="text1"/>
          <w:sz w:val="28"/>
          <w14:textFill>
            <w14:solidFill>
              <w14:schemeClr w14:val="tx1"/>
            </w14:solidFill>
          </w14:textFill>
        </w:rPr>
        <w:t>姓    名：</w:t>
      </w:r>
      <w:r>
        <w:rPr>
          <w:rFonts w:hint="eastAsia" w:ascii="宋体" w:hAnsi="宋体" w:cs="宋体"/>
          <w:color w:val="000000" w:themeColor="text1"/>
          <w:sz w:val="28"/>
          <w:u w:val="single"/>
          <w14:textFill>
            <w14:solidFill>
              <w14:schemeClr w14:val="tx1"/>
            </w14:solidFill>
          </w14:textFill>
        </w:rPr>
        <w:t xml:space="preserve">          </w:t>
      </w:r>
      <w:r>
        <w:rPr>
          <w:rFonts w:hint="eastAsia" w:ascii="宋体" w:hAnsi="宋体" w:cs="宋体"/>
          <w:color w:val="000000" w:themeColor="text1"/>
          <w:sz w:val="28"/>
          <w14:textFill>
            <w14:solidFill>
              <w14:schemeClr w14:val="tx1"/>
            </w14:solidFill>
          </w14:textFill>
        </w:rPr>
        <w:t>性别：</w:t>
      </w:r>
      <w:r>
        <w:rPr>
          <w:rFonts w:hint="eastAsia" w:ascii="宋体" w:hAnsi="宋体" w:cs="宋体"/>
          <w:color w:val="000000" w:themeColor="text1"/>
          <w:sz w:val="28"/>
          <w:u w:val="single"/>
          <w14:textFill>
            <w14:solidFill>
              <w14:schemeClr w14:val="tx1"/>
            </w14:solidFill>
          </w14:textFill>
        </w:rPr>
        <w:t xml:space="preserve">           </w:t>
      </w:r>
    </w:p>
    <w:p w14:paraId="7B992876">
      <w:pPr>
        <w:pStyle w:val="83"/>
        <w:wordWrap w:val="0"/>
        <w:spacing w:line="500" w:lineRule="atLeast"/>
        <w:ind w:firstLine="480"/>
        <w:rPr>
          <w:rFonts w:ascii="宋体" w:hAnsi="宋体" w:cs="宋体"/>
          <w:color w:val="000000" w:themeColor="text1"/>
          <w:sz w:val="28"/>
          <w14:textFill>
            <w14:solidFill>
              <w14:schemeClr w14:val="tx1"/>
            </w14:solidFill>
          </w14:textFill>
        </w:rPr>
      </w:pPr>
      <w:r>
        <w:rPr>
          <w:rFonts w:hint="eastAsia" w:ascii="宋体" w:hAnsi="宋体" w:cs="宋体"/>
          <w:color w:val="000000" w:themeColor="text1"/>
          <w:sz w:val="28"/>
          <w14:textFill>
            <w14:solidFill>
              <w14:schemeClr w14:val="tx1"/>
            </w14:solidFill>
          </w14:textFill>
        </w:rPr>
        <w:t>系</w:t>
      </w:r>
      <w:r>
        <w:rPr>
          <w:rFonts w:hint="eastAsia" w:ascii="宋体" w:hAnsi="宋体" w:cs="宋体"/>
          <w:color w:val="000000" w:themeColor="text1"/>
          <w:sz w:val="28"/>
          <w:u w:val="single"/>
          <w14:textFill>
            <w14:solidFill>
              <w14:schemeClr w14:val="tx1"/>
            </w14:solidFill>
          </w14:textFill>
        </w:rPr>
        <w:t xml:space="preserve">    （投标人名称）   </w:t>
      </w:r>
      <w:r>
        <w:rPr>
          <w:rFonts w:hint="eastAsia" w:ascii="宋体" w:hAnsi="宋体" w:cs="宋体"/>
          <w:color w:val="000000" w:themeColor="text1"/>
          <w:sz w:val="28"/>
          <w14:textFill>
            <w14:solidFill>
              <w14:schemeClr w14:val="tx1"/>
            </w14:solidFill>
          </w14:textFill>
        </w:rPr>
        <w:t>的法定代表人。</w:t>
      </w:r>
    </w:p>
    <w:p w14:paraId="48FC2B1C">
      <w:pPr>
        <w:pStyle w:val="83"/>
        <w:wordWrap w:val="0"/>
        <w:spacing w:line="500" w:lineRule="atLeast"/>
        <w:ind w:firstLine="480"/>
        <w:rPr>
          <w:rFonts w:ascii="宋体" w:hAnsi="宋体" w:cs="宋体"/>
          <w:color w:val="000000" w:themeColor="text1"/>
          <w:sz w:val="28"/>
          <w14:textFill>
            <w14:solidFill>
              <w14:schemeClr w14:val="tx1"/>
            </w14:solidFill>
          </w14:textFill>
        </w:rPr>
      </w:pPr>
    </w:p>
    <w:p w14:paraId="6829C493">
      <w:pPr>
        <w:pStyle w:val="83"/>
        <w:wordWrap w:val="0"/>
        <w:spacing w:line="500" w:lineRule="atLeast"/>
        <w:ind w:firstLine="480"/>
        <w:rPr>
          <w:rFonts w:ascii="宋体" w:hAnsi="宋体" w:cs="宋体"/>
          <w:color w:val="000000" w:themeColor="text1"/>
          <w:sz w:val="28"/>
          <w14:textFill>
            <w14:solidFill>
              <w14:schemeClr w14:val="tx1"/>
            </w14:solidFill>
          </w14:textFill>
        </w:rPr>
      </w:pPr>
      <w:r>
        <w:rPr>
          <w:rFonts w:hint="eastAsia" w:ascii="宋体" w:hAnsi="宋体" w:cs="宋体"/>
          <w:color w:val="000000" w:themeColor="text1"/>
          <w:sz w:val="28"/>
          <w14:textFill>
            <w14:solidFill>
              <w14:schemeClr w14:val="tx1"/>
            </w14:solidFill>
          </w14:textFill>
        </w:rPr>
        <w:t>特此证明。</w:t>
      </w:r>
    </w:p>
    <w:p w14:paraId="272619FA">
      <w:pPr>
        <w:pStyle w:val="83"/>
        <w:wordWrap w:val="0"/>
        <w:spacing w:line="500" w:lineRule="atLeast"/>
        <w:ind w:firstLine="480"/>
        <w:rPr>
          <w:rFonts w:ascii="宋体" w:hAnsi="宋体" w:cs="宋体"/>
          <w:b/>
          <w:bCs/>
          <w:color w:val="000000" w:themeColor="text1"/>
          <w:sz w:val="28"/>
          <w14:textFill>
            <w14:solidFill>
              <w14:schemeClr w14:val="tx1"/>
            </w14:solidFill>
          </w14:textFill>
        </w:rPr>
      </w:pPr>
    </w:p>
    <w:p w14:paraId="5CB0459D">
      <w:pPr>
        <w:pStyle w:val="83"/>
        <w:tabs>
          <w:tab w:val="left" w:pos="5580"/>
        </w:tabs>
        <w:wordWrap w:val="0"/>
        <w:spacing w:line="500" w:lineRule="atLeast"/>
        <w:jc w:val="center"/>
        <w:rPr>
          <w:rFonts w:ascii="宋体" w:hAnsi="宋体" w:cs="宋体"/>
          <w:color w:val="000000" w:themeColor="text1"/>
          <w:sz w:val="28"/>
          <w:szCs w:val="24"/>
          <w14:textFill>
            <w14:solidFill>
              <w14:schemeClr w14:val="tx1"/>
            </w14:solidFill>
          </w14:textFill>
        </w:rPr>
      </w:pPr>
      <w:r>
        <w:rPr>
          <w:rFonts w:hint="eastAsia" w:ascii="宋体" w:hAnsi="宋体" w:cs="宋体"/>
          <w:b/>
          <w:bCs/>
          <w:color w:val="000000" w:themeColor="text1"/>
          <w:sz w:val="28"/>
          <w:szCs w:val="24"/>
          <w14:textFill>
            <w14:solidFill>
              <w14:schemeClr w14:val="tx1"/>
            </w14:solidFill>
          </w14:textFill>
        </w:rPr>
        <w:t>（附法定代表人身份证正反两面扫描件）</w:t>
      </w:r>
    </w:p>
    <w:p w14:paraId="41B42950">
      <w:pPr>
        <w:pStyle w:val="83"/>
        <w:wordWrap w:val="0"/>
        <w:spacing w:line="500" w:lineRule="atLeast"/>
        <w:ind w:firstLine="480"/>
        <w:rPr>
          <w:rFonts w:ascii="宋体" w:hAnsi="宋体" w:cs="宋体"/>
          <w:color w:val="000000" w:themeColor="text1"/>
          <w:sz w:val="28"/>
          <w14:textFill>
            <w14:solidFill>
              <w14:schemeClr w14:val="tx1"/>
            </w14:solidFill>
          </w14:textFill>
        </w:rPr>
      </w:pPr>
    </w:p>
    <w:p w14:paraId="74047ECA">
      <w:pPr>
        <w:pStyle w:val="159"/>
        <w:wordWrap w:val="0"/>
        <w:spacing w:line="500" w:lineRule="atLeast"/>
        <w:ind w:firstLine="560" w:firstLineChars="200"/>
        <w:rPr>
          <w:rFonts w:ascii="宋体" w:hAnsi="宋体" w:cs="宋体"/>
          <w:color w:val="000000" w:themeColor="text1"/>
          <w:sz w:val="28"/>
          <w:szCs w:val="28"/>
          <w14:textFill>
            <w14:solidFill>
              <w14:schemeClr w14:val="tx1"/>
            </w14:solidFill>
          </w14:textFill>
        </w:rPr>
      </w:pPr>
    </w:p>
    <w:p w14:paraId="714B87E5">
      <w:pPr>
        <w:pStyle w:val="159"/>
        <w:wordWrap w:val="0"/>
        <w:spacing w:line="500" w:lineRule="atLeas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供应商名称：</w:t>
      </w:r>
      <w:r>
        <w:rPr>
          <w:rFonts w:hint="eastAsia" w:ascii="宋体" w:hAnsi="宋体" w:cs="宋体"/>
          <w:color w:val="000000" w:themeColor="text1"/>
          <w:sz w:val="28"/>
          <w:szCs w:val="28"/>
          <w:u w:val="single"/>
          <w14:textFill>
            <w14:solidFill>
              <w14:schemeClr w14:val="tx1"/>
            </w14:solidFill>
          </w14:textFill>
        </w:rPr>
        <w:t xml:space="preserve">       （盖章）       </w:t>
      </w:r>
    </w:p>
    <w:p w14:paraId="2854359F">
      <w:pPr>
        <w:pStyle w:val="83"/>
        <w:wordWrap w:val="0"/>
        <w:spacing w:line="500" w:lineRule="atLeast"/>
        <w:ind w:firstLine="560" w:firstLineChars="200"/>
        <w:rPr>
          <w:rFonts w:ascii="宋体" w:hAnsi="宋体" w:cs="宋体"/>
          <w:color w:val="000000" w:themeColor="text1"/>
          <w:sz w:val="28"/>
          <w14:textFill>
            <w14:solidFill>
              <w14:schemeClr w14:val="tx1"/>
            </w14:solidFill>
          </w14:textFill>
        </w:rPr>
      </w:pPr>
      <w:r>
        <w:rPr>
          <w:rFonts w:hint="eastAsia" w:ascii="宋体" w:hAnsi="宋体" w:cs="宋体"/>
          <w:color w:val="000000" w:themeColor="text1"/>
          <w:sz w:val="28"/>
          <w14:textFill>
            <w14:solidFill>
              <w14:schemeClr w14:val="tx1"/>
            </w14:solidFill>
          </w14:textFill>
        </w:rPr>
        <w:t>日   期：</w:t>
      </w:r>
      <w:r>
        <w:rPr>
          <w:rFonts w:hint="eastAsia" w:ascii="宋体" w:hAnsi="宋体" w:cs="宋体"/>
          <w:color w:val="000000" w:themeColor="text1"/>
          <w:sz w:val="28"/>
          <w:u w:val="single"/>
          <w14:textFill>
            <w14:solidFill>
              <w14:schemeClr w14:val="tx1"/>
            </w14:solidFill>
          </w14:textFill>
        </w:rPr>
        <w:t xml:space="preserve">         </w:t>
      </w:r>
      <w:r>
        <w:rPr>
          <w:rFonts w:hint="eastAsia" w:ascii="宋体" w:hAnsi="宋体" w:cs="宋体"/>
          <w:color w:val="000000" w:themeColor="text1"/>
          <w:sz w:val="28"/>
          <w14:textFill>
            <w14:solidFill>
              <w14:schemeClr w14:val="tx1"/>
            </w14:solidFill>
          </w14:textFill>
        </w:rPr>
        <w:t>年</w:t>
      </w:r>
      <w:r>
        <w:rPr>
          <w:rFonts w:hint="eastAsia" w:ascii="宋体" w:hAnsi="宋体" w:cs="宋体"/>
          <w:color w:val="000000" w:themeColor="text1"/>
          <w:sz w:val="28"/>
          <w:u w:val="single"/>
          <w14:textFill>
            <w14:solidFill>
              <w14:schemeClr w14:val="tx1"/>
            </w14:solidFill>
          </w14:textFill>
        </w:rPr>
        <w:t xml:space="preserve">       </w:t>
      </w:r>
      <w:r>
        <w:rPr>
          <w:rFonts w:hint="eastAsia" w:ascii="宋体" w:hAnsi="宋体" w:cs="宋体"/>
          <w:color w:val="000000" w:themeColor="text1"/>
          <w:sz w:val="28"/>
          <w14:textFill>
            <w14:solidFill>
              <w14:schemeClr w14:val="tx1"/>
            </w14:solidFill>
          </w14:textFill>
        </w:rPr>
        <w:t>月</w:t>
      </w:r>
      <w:r>
        <w:rPr>
          <w:rFonts w:hint="eastAsia" w:ascii="宋体" w:hAnsi="宋体" w:cs="宋体"/>
          <w:color w:val="000000" w:themeColor="text1"/>
          <w:sz w:val="28"/>
          <w:u w:val="single"/>
          <w14:textFill>
            <w14:solidFill>
              <w14:schemeClr w14:val="tx1"/>
            </w14:solidFill>
          </w14:textFill>
        </w:rPr>
        <w:t xml:space="preserve">       </w:t>
      </w:r>
      <w:r>
        <w:rPr>
          <w:rFonts w:hint="eastAsia" w:ascii="宋体" w:hAnsi="宋体" w:cs="宋体"/>
          <w:color w:val="000000" w:themeColor="text1"/>
          <w:sz w:val="28"/>
          <w14:textFill>
            <w14:solidFill>
              <w14:schemeClr w14:val="tx1"/>
            </w14:solidFill>
          </w14:textFill>
        </w:rPr>
        <w:t>日</w:t>
      </w:r>
    </w:p>
    <w:p w14:paraId="40AB9D86">
      <w:pPr>
        <w:pStyle w:val="83"/>
        <w:wordWrap w:val="0"/>
        <w:spacing w:line="500" w:lineRule="atLeast"/>
        <w:rPr>
          <w:rFonts w:ascii="宋体" w:hAnsi="宋体" w:cs="宋体"/>
          <w:color w:val="000000" w:themeColor="text1"/>
          <w:sz w:val="24"/>
          <w14:textFill>
            <w14:solidFill>
              <w14:schemeClr w14:val="tx1"/>
            </w14:solidFill>
          </w14:textFill>
        </w:rPr>
      </w:pPr>
    </w:p>
    <w:p w14:paraId="71C73FE9">
      <w:pPr>
        <w:pStyle w:val="83"/>
        <w:wordWrap w:val="0"/>
        <w:spacing w:line="500" w:lineRule="atLeast"/>
        <w:rPr>
          <w:rFonts w:ascii="宋体" w:hAnsi="宋体" w:cs="宋体"/>
          <w:color w:val="000000" w:themeColor="text1"/>
          <w:sz w:val="24"/>
          <w14:textFill>
            <w14:solidFill>
              <w14:schemeClr w14:val="tx1"/>
            </w14:solidFill>
          </w14:textFill>
        </w:rPr>
      </w:pPr>
    </w:p>
    <w:p w14:paraId="0834E855">
      <w:pPr>
        <w:pStyle w:val="83"/>
        <w:wordWrap w:val="0"/>
        <w:spacing w:line="500" w:lineRule="atLeast"/>
        <w:rPr>
          <w:rFonts w:ascii="宋体" w:hAnsi="宋体" w:cs="宋体"/>
          <w:color w:val="000000" w:themeColor="text1"/>
          <w:sz w:val="28"/>
          <w14:textFill>
            <w14:solidFill>
              <w14:schemeClr w14:val="tx1"/>
            </w14:solidFill>
          </w14:textFill>
        </w:rPr>
      </w:pPr>
      <w:r>
        <w:rPr>
          <w:rFonts w:hint="eastAsia" w:ascii="宋体" w:hAnsi="宋体" w:cs="宋体"/>
          <w:color w:val="000000" w:themeColor="text1"/>
          <w:sz w:val="28"/>
          <w14:textFill>
            <w14:solidFill>
              <w14:schemeClr w14:val="tx1"/>
            </w14:solidFill>
          </w14:textFill>
        </w:rPr>
        <w:t>注：1、本项目只允许有唯一的投标人授权代理人，且必须为投标人在职员工。</w:t>
      </w:r>
    </w:p>
    <w:p w14:paraId="40772F8C">
      <w:pPr>
        <w:pStyle w:val="83"/>
        <w:wordWrap w:val="0"/>
        <w:spacing w:line="500" w:lineRule="atLeast"/>
        <w:rPr>
          <w:rFonts w:ascii="宋体" w:hAnsi="宋体" w:cs="宋体"/>
          <w:color w:val="000000" w:themeColor="text1"/>
          <w14:textFill>
            <w14:solidFill>
              <w14:schemeClr w14:val="tx1"/>
            </w14:solidFill>
          </w14:textFill>
        </w:rPr>
      </w:pPr>
      <w:r>
        <w:rPr>
          <w:rFonts w:hint="eastAsia" w:ascii="宋体" w:hAnsi="宋体" w:cs="宋体"/>
          <w:color w:val="000000" w:themeColor="text1"/>
          <w:sz w:val="28"/>
          <w14:textFill>
            <w14:solidFill>
              <w14:schemeClr w14:val="tx1"/>
            </w14:solidFill>
          </w14:textFill>
        </w:rPr>
        <w:t>2、投标人法定代表人参加投标的，可以不提供法定代表人授权委托书，但必须提供上述法定代表人身份证明书，否则将按无效投标处理。</w:t>
      </w:r>
    </w:p>
    <w:p w14:paraId="1D20848E">
      <w:pPr>
        <w:pStyle w:val="122"/>
        <w:wordWrap w:val="0"/>
        <w:spacing w:line="500" w:lineRule="atLeast"/>
        <w:jc w:val="center"/>
        <w:outlineLvl w:val="2"/>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r>
        <w:rPr>
          <w:rFonts w:hint="eastAsia" w:ascii="宋体" w:hAnsi="宋体" w:eastAsia="宋体" w:cs="宋体"/>
          <w:color w:val="000000" w:themeColor="text1"/>
          <w14:textFill>
            <w14:solidFill>
              <w14:schemeClr w14:val="tx1"/>
            </w14:solidFill>
          </w14:textFill>
        </w:rPr>
        <w:t>十二、技术响应、偏离说明表</w:t>
      </w:r>
    </w:p>
    <w:p w14:paraId="6756D724">
      <w:pPr>
        <w:pStyle w:val="73"/>
        <w:wordWrap w:val="0"/>
        <w:spacing w:line="500" w:lineRule="atLeast"/>
        <w:rPr>
          <w:rFonts w:ascii="宋体" w:hAnsi="宋体" w:cs="宋体"/>
          <w:color w:val="000000" w:themeColor="text1"/>
          <w14:textFill>
            <w14:solidFill>
              <w14:schemeClr w14:val="tx1"/>
            </w14:solidFill>
          </w14:textFill>
        </w:rPr>
      </w:pPr>
    </w:p>
    <w:p w14:paraId="528D908E">
      <w:pPr>
        <w:pStyle w:val="73"/>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采购项目编号：</w:t>
      </w:r>
    </w:p>
    <w:p w14:paraId="764A03F1">
      <w:pPr>
        <w:pStyle w:val="73"/>
        <w:wordWrap w:val="0"/>
        <w:spacing w:line="500" w:lineRule="atLeast"/>
        <w:rPr>
          <w:rFonts w:ascii="宋体" w:hAnsi="宋体" w:cs="宋体"/>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采购项目名称：</w:t>
      </w:r>
    </w:p>
    <w:tbl>
      <w:tblPr>
        <w:tblStyle w:val="33"/>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2712"/>
        <w:gridCol w:w="2589"/>
        <w:gridCol w:w="2702"/>
      </w:tblGrid>
      <w:tr w14:paraId="191D0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525" w:type="dxa"/>
            <w:tcBorders>
              <w:top w:val="single" w:color="auto" w:sz="4" w:space="0"/>
              <w:left w:val="single" w:color="auto" w:sz="4" w:space="0"/>
              <w:bottom w:val="single" w:color="auto" w:sz="4" w:space="0"/>
              <w:right w:val="single" w:color="auto" w:sz="4" w:space="0"/>
            </w:tcBorders>
            <w:vAlign w:val="center"/>
          </w:tcPr>
          <w:p w14:paraId="0FBC7DDB">
            <w:pPr>
              <w:pStyle w:val="73"/>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序号</w:t>
            </w:r>
          </w:p>
        </w:tc>
        <w:tc>
          <w:tcPr>
            <w:tcW w:w="2712" w:type="dxa"/>
            <w:tcBorders>
              <w:top w:val="single" w:color="auto" w:sz="4" w:space="0"/>
              <w:left w:val="single" w:color="auto" w:sz="4" w:space="0"/>
              <w:bottom w:val="single" w:color="auto" w:sz="4" w:space="0"/>
              <w:right w:val="single" w:color="auto" w:sz="4" w:space="0"/>
            </w:tcBorders>
            <w:vAlign w:val="center"/>
          </w:tcPr>
          <w:p w14:paraId="2243982A">
            <w:pPr>
              <w:pStyle w:val="73"/>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磋商文件要求部分</w:t>
            </w:r>
          </w:p>
        </w:tc>
        <w:tc>
          <w:tcPr>
            <w:tcW w:w="2589" w:type="dxa"/>
            <w:tcBorders>
              <w:top w:val="single" w:color="auto" w:sz="4" w:space="0"/>
              <w:left w:val="single" w:color="auto" w:sz="4" w:space="0"/>
              <w:bottom w:val="single" w:color="auto" w:sz="4" w:space="0"/>
              <w:right w:val="single" w:color="auto" w:sz="4" w:space="0"/>
            </w:tcBorders>
            <w:vAlign w:val="center"/>
          </w:tcPr>
          <w:p w14:paraId="7B11AAFD">
            <w:pPr>
              <w:pStyle w:val="73"/>
              <w:wordWrap w:val="0"/>
              <w:spacing w:line="500"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服务响应部分</w:t>
            </w:r>
          </w:p>
        </w:tc>
        <w:tc>
          <w:tcPr>
            <w:tcW w:w="2702" w:type="dxa"/>
            <w:tcBorders>
              <w:top w:val="single" w:color="auto" w:sz="4" w:space="0"/>
              <w:left w:val="single" w:color="auto" w:sz="4" w:space="0"/>
              <w:bottom w:val="single" w:color="auto" w:sz="4" w:space="0"/>
              <w:right w:val="single" w:color="auto" w:sz="4" w:space="0"/>
            </w:tcBorders>
            <w:vAlign w:val="center"/>
          </w:tcPr>
          <w:p w14:paraId="4D4A4909">
            <w:pPr>
              <w:pStyle w:val="73"/>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偏离说明</w:t>
            </w:r>
          </w:p>
        </w:tc>
      </w:tr>
      <w:tr w14:paraId="08E80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170FB1B1">
            <w:pPr>
              <w:pStyle w:val="73"/>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1</w:t>
            </w:r>
          </w:p>
        </w:tc>
        <w:tc>
          <w:tcPr>
            <w:tcW w:w="2712" w:type="dxa"/>
            <w:tcBorders>
              <w:top w:val="single" w:color="auto" w:sz="4" w:space="0"/>
              <w:left w:val="single" w:color="auto" w:sz="4" w:space="0"/>
              <w:bottom w:val="single" w:color="auto" w:sz="4" w:space="0"/>
              <w:right w:val="single" w:color="auto" w:sz="4" w:space="0"/>
            </w:tcBorders>
            <w:vAlign w:val="center"/>
          </w:tcPr>
          <w:p w14:paraId="493CE927">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5801BD0B">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3D66FC48">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r>
      <w:tr w14:paraId="50393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72DE8404">
            <w:pPr>
              <w:pStyle w:val="73"/>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2</w:t>
            </w:r>
          </w:p>
        </w:tc>
        <w:tc>
          <w:tcPr>
            <w:tcW w:w="2712" w:type="dxa"/>
            <w:tcBorders>
              <w:top w:val="single" w:color="auto" w:sz="4" w:space="0"/>
              <w:left w:val="single" w:color="auto" w:sz="4" w:space="0"/>
              <w:bottom w:val="single" w:color="auto" w:sz="4" w:space="0"/>
              <w:right w:val="single" w:color="auto" w:sz="4" w:space="0"/>
            </w:tcBorders>
            <w:vAlign w:val="center"/>
          </w:tcPr>
          <w:p w14:paraId="7C30C716">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115A0193">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6EECD41D">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r>
      <w:tr w14:paraId="0D11D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0133EACC">
            <w:pPr>
              <w:pStyle w:val="73"/>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3</w:t>
            </w:r>
          </w:p>
        </w:tc>
        <w:tc>
          <w:tcPr>
            <w:tcW w:w="2712" w:type="dxa"/>
            <w:tcBorders>
              <w:top w:val="single" w:color="auto" w:sz="4" w:space="0"/>
              <w:left w:val="single" w:color="auto" w:sz="4" w:space="0"/>
              <w:bottom w:val="single" w:color="auto" w:sz="4" w:space="0"/>
              <w:right w:val="single" w:color="auto" w:sz="4" w:space="0"/>
            </w:tcBorders>
            <w:vAlign w:val="center"/>
          </w:tcPr>
          <w:p w14:paraId="5AF6F6C0">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3CAB38C2">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5A116337">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r>
      <w:tr w14:paraId="20E0A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31175206">
            <w:pPr>
              <w:pStyle w:val="73"/>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4</w:t>
            </w:r>
          </w:p>
        </w:tc>
        <w:tc>
          <w:tcPr>
            <w:tcW w:w="2712" w:type="dxa"/>
            <w:tcBorders>
              <w:top w:val="single" w:color="auto" w:sz="4" w:space="0"/>
              <w:left w:val="single" w:color="auto" w:sz="4" w:space="0"/>
              <w:bottom w:val="single" w:color="auto" w:sz="4" w:space="0"/>
              <w:right w:val="single" w:color="auto" w:sz="4" w:space="0"/>
            </w:tcBorders>
            <w:vAlign w:val="center"/>
          </w:tcPr>
          <w:p w14:paraId="12BD2DA4">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3B4FDB30">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3E4815C3">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r>
      <w:tr w14:paraId="5A1CF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30D0738C">
            <w:pPr>
              <w:pStyle w:val="73"/>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5</w:t>
            </w:r>
          </w:p>
        </w:tc>
        <w:tc>
          <w:tcPr>
            <w:tcW w:w="2712" w:type="dxa"/>
            <w:tcBorders>
              <w:top w:val="single" w:color="auto" w:sz="4" w:space="0"/>
              <w:left w:val="single" w:color="auto" w:sz="4" w:space="0"/>
              <w:bottom w:val="single" w:color="auto" w:sz="4" w:space="0"/>
              <w:right w:val="single" w:color="auto" w:sz="4" w:space="0"/>
            </w:tcBorders>
            <w:vAlign w:val="center"/>
          </w:tcPr>
          <w:p w14:paraId="08B2CB17">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48108EDB">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65F381F1">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r>
      <w:tr w14:paraId="270C9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4F066B99">
            <w:pPr>
              <w:pStyle w:val="73"/>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6</w:t>
            </w:r>
          </w:p>
        </w:tc>
        <w:tc>
          <w:tcPr>
            <w:tcW w:w="2712" w:type="dxa"/>
            <w:tcBorders>
              <w:top w:val="single" w:color="auto" w:sz="4" w:space="0"/>
              <w:left w:val="single" w:color="auto" w:sz="4" w:space="0"/>
              <w:bottom w:val="single" w:color="auto" w:sz="4" w:space="0"/>
              <w:right w:val="single" w:color="auto" w:sz="4" w:space="0"/>
            </w:tcBorders>
            <w:vAlign w:val="center"/>
          </w:tcPr>
          <w:p w14:paraId="1747AF54">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266A091D">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61E09C88">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r>
      <w:tr w14:paraId="0F939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16FF8C28">
            <w:pPr>
              <w:pStyle w:val="73"/>
              <w:wordWrap w:val="0"/>
              <w:spacing w:line="500" w:lineRule="atLeas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w:t>
            </w:r>
          </w:p>
        </w:tc>
        <w:tc>
          <w:tcPr>
            <w:tcW w:w="2712" w:type="dxa"/>
            <w:tcBorders>
              <w:top w:val="single" w:color="auto" w:sz="4" w:space="0"/>
              <w:left w:val="single" w:color="auto" w:sz="4" w:space="0"/>
              <w:bottom w:val="single" w:color="auto" w:sz="4" w:space="0"/>
              <w:right w:val="single" w:color="auto" w:sz="4" w:space="0"/>
            </w:tcBorders>
            <w:vAlign w:val="center"/>
          </w:tcPr>
          <w:p w14:paraId="012DA029">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vAlign w:val="center"/>
          </w:tcPr>
          <w:p w14:paraId="4EF4F2C4">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vAlign w:val="center"/>
          </w:tcPr>
          <w:p w14:paraId="06E90BA6">
            <w:pPr>
              <w:pStyle w:val="73"/>
              <w:wordWrap w:val="0"/>
              <w:spacing w:line="500" w:lineRule="atLeast"/>
              <w:jc w:val="center"/>
              <w:rPr>
                <w:rFonts w:ascii="宋体" w:hAnsi="宋体" w:cs="宋体"/>
                <w:color w:val="000000" w:themeColor="text1"/>
                <w:sz w:val="28"/>
                <w:szCs w:val="28"/>
                <w14:textFill>
                  <w14:solidFill>
                    <w14:schemeClr w14:val="tx1"/>
                  </w14:solidFill>
                </w14:textFill>
              </w:rPr>
            </w:pPr>
          </w:p>
        </w:tc>
      </w:tr>
    </w:tbl>
    <w:p w14:paraId="58C38E7F">
      <w:pPr>
        <w:pStyle w:val="140"/>
        <w:wordWrap w:val="0"/>
        <w:spacing w:line="500" w:lineRule="atLeast"/>
        <w:outlineLvl w:val="2"/>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注：若“无偏离”，只需在“偏离说明”中填写“无偏离”即可，则表示供应商完全响应磋商文件中所有技术条款。</w:t>
      </w:r>
    </w:p>
    <w:p w14:paraId="755459C7">
      <w:pPr>
        <w:pStyle w:val="140"/>
        <w:wordWrap w:val="0"/>
        <w:spacing w:line="500" w:lineRule="atLeast"/>
        <w:outlineLvl w:val="2"/>
        <w:rPr>
          <w:rFonts w:ascii="宋体" w:hAnsi="宋体" w:eastAsia="宋体" w:cs="宋体"/>
          <w:b w:val="0"/>
          <w:color w:val="000000" w:themeColor="text1"/>
          <w:kern w:val="2"/>
          <w:sz w:val="28"/>
          <w:szCs w:val="28"/>
          <w14:textFill>
            <w14:solidFill>
              <w14:schemeClr w14:val="tx1"/>
            </w14:solidFill>
          </w14:textFill>
        </w:rPr>
      </w:pPr>
    </w:p>
    <w:p w14:paraId="195CE512">
      <w:pPr>
        <w:pStyle w:val="140"/>
        <w:wordWrap w:val="0"/>
        <w:spacing w:line="500" w:lineRule="atLeast"/>
        <w:outlineLvl w:val="2"/>
        <w:rPr>
          <w:rFonts w:ascii="宋体" w:hAnsi="宋体" w:eastAsia="宋体" w:cs="宋体"/>
          <w:b w:val="0"/>
          <w:color w:val="000000" w:themeColor="text1"/>
          <w:kern w:val="2"/>
          <w:sz w:val="28"/>
          <w:szCs w:val="28"/>
          <w14:textFill>
            <w14:solidFill>
              <w14:schemeClr w14:val="tx1"/>
            </w14:solidFill>
          </w14:textFill>
        </w:rPr>
      </w:pPr>
    </w:p>
    <w:p w14:paraId="24EBC512">
      <w:pPr>
        <w:pStyle w:val="140"/>
        <w:wordWrap w:val="0"/>
        <w:spacing w:line="500" w:lineRule="atLeast"/>
        <w:outlineLvl w:val="2"/>
        <w:rPr>
          <w:rFonts w:ascii="宋体" w:hAnsi="宋体" w:eastAsia="宋体" w:cs="宋体"/>
          <w:b w:val="0"/>
          <w:color w:val="000000" w:themeColor="text1"/>
          <w:kern w:val="2"/>
          <w:sz w:val="28"/>
          <w:szCs w:val="28"/>
          <w14:textFill>
            <w14:solidFill>
              <w14:schemeClr w14:val="tx1"/>
            </w14:solidFill>
          </w14:textFill>
        </w:rPr>
      </w:pPr>
    </w:p>
    <w:p w14:paraId="1530EEDB">
      <w:pPr>
        <w:pStyle w:val="140"/>
        <w:wordWrap w:val="0"/>
        <w:spacing w:line="500" w:lineRule="atLeast"/>
        <w:outlineLvl w:val="2"/>
        <w:rPr>
          <w:rFonts w:ascii="宋体" w:hAnsi="宋体" w:eastAsia="宋体" w:cs="宋体"/>
          <w:b w:val="0"/>
          <w:color w:val="000000" w:themeColor="text1"/>
          <w:kern w:val="2"/>
          <w:sz w:val="28"/>
          <w:szCs w:val="28"/>
          <w14:textFill>
            <w14:solidFill>
              <w14:schemeClr w14:val="tx1"/>
            </w14:solidFill>
          </w14:textFill>
        </w:rPr>
      </w:pPr>
    </w:p>
    <w:p w14:paraId="58D02272">
      <w:pPr>
        <w:pStyle w:val="140"/>
        <w:wordWrap w:val="0"/>
        <w:spacing w:line="500" w:lineRule="atLeast"/>
        <w:outlineLvl w:val="2"/>
        <w:rPr>
          <w:rFonts w:ascii="宋体" w:hAnsi="宋体" w:eastAsia="宋体" w:cs="宋体"/>
          <w:b w:val="0"/>
          <w:color w:val="000000" w:themeColor="text1"/>
          <w:kern w:val="2"/>
          <w:sz w:val="28"/>
          <w:szCs w:val="28"/>
          <w14:textFill>
            <w14:solidFill>
              <w14:schemeClr w14:val="tx1"/>
            </w14:solidFill>
          </w14:textFill>
        </w:rPr>
      </w:pPr>
    </w:p>
    <w:p w14:paraId="6B4D730C">
      <w:pPr>
        <w:pStyle w:val="140"/>
        <w:wordWrap w:val="0"/>
        <w:spacing w:line="500" w:lineRule="atLeast"/>
        <w:outlineLvl w:val="2"/>
        <w:rPr>
          <w:rFonts w:ascii="宋体" w:hAnsi="宋体" w:eastAsia="宋体" w:cs="宋体"/>
          <w:b w:val="0"/>
          <w:color w:val="000000" w:themeColor="text1"/>
          <w:kern w:val="2"/>
          <w:sz w:val="28"/>
          <w:szCs w:val="28"/>
          <w14:textFill>
            <w14:solidFill>
              <w14:schemeClr w14:val="tx1"/>
            </w14:solidFill>
          </w14:textFill>
        </w:rPr>
      </w:pPr>
    </w:p>
    <w:p w14:paraId="271D2EB0">
      <w:pPr>
        <w:pStyle w:val="140"/>
        <w:wordWrap w:val="0"/>
        <w:spacing w:line="500" w:lineRule="atLeast"/>
        <w:outlineLvl w:val="2"/>
        <w:rPr>
          <w:rFonts w:ascii="宋体" w:hAnsi="宋体" w:eastAsia="宋体" w:cs="宋体"/>
          <w:b w:val="0"/>
          <w:color w:val="000000" w:themeColor="text1"/>
          <w:kern w:val="2"/>
          <w:sz w:val="28"/>
          <w:szCs w:val="28"/>
          <w14:textFill>
            <w14:solidFill>
              <w14:schemeClr w14:val="tx1"/>
            </w14:solidFill>
          </w14:textFill>
        </w:rPr>
      </w:pPr>
    </w:p>
    <w:p w14:paraId="1519CBE3">
      <w:pPr>
        <w:pStyle w:val="140"/>
        <w:wordWrap w:val="0"/>
        <w:spacing w:line="500" w:lineRule="atLeast"/>
        <w:outlineLvl w:val="2"/>
        <w:rPr>
          <w:rFonts w:ascii="宋体" w:hAnsi="宋体" w:eastAsia="宋体" w:cs="宋体"/>
          <w:b w:val="0"/>
          <w:color w:val="000000" w:themeColor="text1"/>
          <w:kern w:val="2"/>
          <w:sz w:val="28"/>
          <w:szCs w:val="28"/>
          <w14:textFill>
            <w14:solidFill>
              <w14:schemeClr w14:val="tx1"/>
            </w14:solidFill>
          </w14:textFill>
        </w:rPr>
      </w:pPr>
    </w:p>
    <w:p w14:paraId="2D32AD6A">
      <w:pPr>
        <w:pStyle w:val="140"/>
        <w:wordWrap w:val="0"/>
        <w:spacing w:line="500" w:lineRule="atLeast"/>
        <w:outlineLvl w:val="2"/>
        <w:rPr>
          <w:rFonts w:ascii="宋体" w:hAnsi="宋体" w:eastAsia="宋体" w:cs="宋体"/>
          <w:b w:val="0"/>
          <w:color w:val="000000" w:themeColor="text1"/>
          <w:kern w:val="2"/>
          <w:sz w:val="28"/>
          <w:szCs w:val="28"/>
          <w14:textFill>
            <w14:solidFill>
              <w14:schemeClr w14:val="tx1"/>
            </w14:solidFill>
          </w14:textFill>
        </w:rPr>
      </w:pPr>
    </w:p>
    <w:p w14:paraId="69F01AD8">
      <w:pPr>
        <w:pStyle w:val="140"/>
        <w:wordWrap w:val="0"/>
        <w:spacing w:line="500" w:lineRule="atLeast"/>
        <w:jc w:val="center"/>
        <w:outlineLvl w:val="2"/>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十三、投标人自行编写的商务文件</w:t>
      </w:r>
    </w:p>
    <w:p w14:paraId="4CF49F53">
      <w:pPr>
        <w:pStyle w:val="143"/>
        <w:wordWrap w:val="0"/>
        <w:spacing w:line="500" w:lineRule="atLeast"/>
        <w:jc w:val="center"/>
        <w:outlineLvl w:val="2"/>
        <w:rPr>
          <w:rFonts w:hint="default" w:ascii="宋体" w:hAnsi="宋体" w:eastAsia="宋体" w:cs="宋体"/>
          <w:b w:val="0"/>
          <w:bCs/>
          <w:color w:val="000000" w:themeColor="text1"/>
          <w:sz w:val="28"/>
          <w:szCs w:val="28"/>
          <w:lang w:val="en-US" w:eastAsia="zh-CN"/>
          <w14:textFill>
            <w14:solidFill>
              <w14:schemeClr w14:val="tx1"/>
            </w14:solidFill>
          </w14:textFill>
        </w:rPr>
      </w:pPr>
      <w:bookmarkStart w:id="126" w:name="_Toc256000038"/>
      <w:r>
        <w:rPr>
          <w:rFonts w:hint="eastAsia" w:ascii="宋体" w:hAnsi="宋体" w:eastAsia="宋体" w:cs="宋体"/>
          <w:b w:val="0"/>
          <w:bCs/>
          <w:color w:val="000000" w:themeColor="text1"/>
          <w:sz w:val="28"/>
          <w:szCs w:val="28"/>
          <w:lang w:val="en-US" w:eastAsia="zh-CN"/>
          <w14:textFill>
            <w14:solidFill>
              <w14:schemeClr w14:val="tx1"/>
            </w14:solidFill>
          </w14:textFill>
        </w:rPr>
        <w:t>投标人须按评审办法中商务部分评审内容来编写。</w:t>
      </w:r>
    </w:p>
    <w:p w14:paraId="71E5A9D8">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53C1BB52">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5CD4FBD4">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27F599B5">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27B3D835">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46179C96">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0D91F6B1">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13FAC6C3">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6F25D4A1">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0FC870CD">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42BAC7BC">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45248B63">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72836DB3">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3303BA4E">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7BBED65B">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5CAFF1F5">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51941A9B">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2D71F250">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7F16519E">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2C7AB0CC">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104FDFF3">
      <w:pPr>
        <w:pStyle w:val="143"/>
        <w:wordWrap w:val="0"/>
        <w:spacing w:line="500" w:lineRule="atLeast"/>
        <w:outlineLvl w:val="2"/>
        <w:rPr>
          <w:rFonts w:ascii="宋体" w:hAnsi="宋体" w:eastAsia="宋体" w:cs="宋体"/>
          <w:color w:val="000000" w:themeColor="text1"/>
          <w14:textFill>
            <w14:solidFill>
              <w14:schemeClr w14:val="tx1"/>
            </w14:solidFill>
          </w14:textFill>
        </w:rPr>
      </w:pPr>
    </w:p>
    <w:bookmarkEnd w:id="126"/>
    <w:p w14:paraId="3D00C252">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09EABA1D">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34DF7E85">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68BE3A75">
      <w:pPr>
        <w:pStyle w:val="143"/>
        <w:wordWrap w:val="0"/>
        <w:spacing w:line="500" w:lineRule="atLeast"/>
        <w:outlineLvl w:val="2"/>
        <w:rPr>
          <w:rFonts w:ascii="宋体" w:hAnsi="宋体" w:eastAsia="宋体" w:cs="宋体"/>
          <w:color w:val="000000" w:themeColor="text1"/>
          <w14:textFill>
            <w14:solidFill>
              <w14:schemeClr w14:val="tx1"/>
            </w14:solidFill>
          </w14:textFill>
        </w:rPr>
      </w:pPr>
    </w:p>
    <w:p w14:paraId="0D9F7FF1">
      <w:pPr>
        <w:pStyle w:val="143"/>
        <w:wordWrap w:val="0"/>
        <w:spacing w:line="500" w:lineRule="atLeast"/>
        <w:jc w:val="center"/>
        <w:outlineLvl w:val="2"/>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十四、投标人自行编写的技术文件</w:t>
      </w:r>
    </w:p>
    <w:bookmarkEnd w:id="125"/>
    <w:p w14:paraId="3315D045">
      <w:pPr>
        <w:pStyle w:val="143"/>
        <w:wordWrap w:val="0"/>
        <w:spacing w:line="500" w:lineRule="atLeast"/>
        <w:jc w:val="center"/>
        <w:outlineLvl w:val="2"/>
        <w:rPr>
          <w:rFonts w:hint="default" w:ascii="宋体" w:hAnsi="宋体" w:eastAsia="宋体" w:cs="宋体"/>
          <w:b w:val="0"/>
          <w:bCs/>
          <w:color w:val="000000" w:themeColor="text1"/>
          <w:sz w:val="28"/>
          <w:szCs w:val="28"/>
          <w:lang w:val="en-US" w:eastAsia="zh-CN"/>
          <w14:textFill>
            <w14:solidFill>
              <w14:schemeClr w14:val="tx1"/>
            </w14:solidFill>
          </w14:textFill>
        </w:rPr>
      </w:pPr>
      <w:r>
        <w:rPr>
          <w:rFonts w:hint="eastAsia" w:ascii="宋体" w:hAnsi="宋体" w:eastAsia="宋体" w:cs="宋体"/>
          <w:b w:val="0"/>
          <w:bCs/>
          <w:color w:val="000000" w:themeColor="text1"/>
          <w:sz w:val="28"/>
          <w:szCs w:val="28"/>
          <w:lang w:val="en-US" w:eastAsia="zh-CN"/>
          <w14:textFill>
            <w14:solidFill>
              <w14:schemeClr w14:val="tx1"/>
            </w14:solidFill>
          </w14:textFill>
        </w:rPr>
        <w:t>投标人须按评审办法中技术部分评审内容来编写。</w:t>
      </w:r>
    </w:p>
    <w:p w14:paraId="587DF397">
      <w:pPr>
        <w:wordWrap w:val="0"/>
        <w:spacing w:line="500" w:lineRule="atLeast"/>
        <w:rPr>
          <w:rFonts w:ascii="宋体" w:hAnsi="宋体" w:cs="宋体"/>
          <w:color w:val="000000" w:themeColor="text1"/>
          <w:sz w:val="20"/>
          <w:highlight w:val="red"/>
          <w14:textFill>
            <w14:solidFill>
              <w14:schemeClr w14:val="tx1"/>
            </w14:solidFill>
          </w14:textFill>
        </w:rPr>
      </w:pPr>
    </w:p>
    <w:p w14:paraId="03977C9F">
      <w:pPr>
        <w:wordWrap w:val="0"/>
        <w:spacing w:line="500" w:lineRule="atLeast"/>
        <w:rPr>
          <w:rFonts w:ascii="宋体" w:hAnsi="宋体" w:cs="宋体"/>
          <w:color w:val="000000" w:themeColor="text1"/>
          <w:sz w:val="20"/>
          <w:highlight w:val="red"/>
          <w14:textFill>
            <w14:solidFill>
              <w14:schemeClr w14:val="tx1"/>
            </w14:solidFill>
          </w14:textFill>
        </w:rPr>
      </w:pPr>
    </w:p>
    <w:p w14:paraId="7BBEBD70">
      <w:pPr>
        <w:wordWrap w:val="0"/>
        <w:spacing w:line="500" w:lineRule="atLeast"/>
        <w:rPr>
          <w:rFonts w:ascii="宋体" w:hAnsi="宋体" w:cs="宋体"/>
          <w:color w:val="000000" w:themeColor="text1"/>
          <w:sz w:val="20"/>
          <w:highlight w:val="red"/>
          <w14:textFill>
            <w14:solidFill>
              <w14:schemeClr w14:val="tx1"/>
            </w14:solidFill>
          </w14:textFill>
        </w:rPr>
      </w:pPr>
    </w:p>
    <w:p w14:paraId="0D4A97C9">
      <w:pPr>
        <w:wordWrap w:val="0"/>
        <w:spacing w:line="500" w:lineRule="atLeast"/>
        <w:rPr>
          <w:rFonts w:ascii="宋体" w:hAnsi="宋体" w:cs="宋体"/>
          <w:color w:val="000000" w:themeColor="text1"/>
          <w:sz w:val="20"/>
          <w:highlight w:val="red"/>
          <w14:textFill>
            <w14:solidFill>
              <w14:schemeClr w14:val="tx1"/>
            </w14:solidFill>
          </w14:textFill>
        </w:rPr>
      </w:pPr>
    </w:p>
    <w:p w14:paraId="7108326F">
      <w:pPr>
        <w:wordWrap w:val="0"/>
        <w:spacing w:line="500" w:lineRule="atLeast"/>
        <w:rPr>
          <w:rFonts w:ascii="宋体" w:hAnsi="宋体" w:cs="宋体"/>
          <w:color w:val="000000" w:themeColor="text1"/>
          <w:sz w:val="20"/>
          <w:highlight w:val="red"/>
          <w14:textFill>
            <w14:solidFill>
              <w14:schemeClr w14:val="tx1"/>
            </w14:solidFill>
          </w14:textFill>
        </w:rPr>
      </w:pPr>
    </w:p>
    <w:p w14:paraId="73D84D9E">
      <w:pPr>
        <w:wordWrap w:val="0"/>
        <w:spacing w:line="500" w:lineRule="atLeast"/>
        <w:rPr>
          <w:rFonts w:ascii="宋体" w:hAnsi="宋体" w:cs="宋体"/>
          <w:color w:val="000000" w:themeColor="text1"/>
          <w:sz w:val="20"/>
          <w:highlight w:val="red"/>
          <w14:textFill>
            <w14:solidFill>
              <w14:schemeClr w14:val="tx1"/>
            </w14:solidFill>
          </w14:textFill>
        </w:rPr>
      </w:pPr>
    </w:p>
    <w:p w14:paraId="6288C565">
      <w:pPr>
        <w:wordWrap w:val="0"/>
        <w:spacing w:line="500" w:lineRule="atLeast"/>
        <w:rPr>
          <w:rFonts w:ascii="宋体" w:hAnsi="宋体" w:cs="宋体"/>
          <w:color w:val="000000" w:themeColor="text1"/>
          <w:sz w:val="20"/>
          <w:highlight w:val="red"/>
          <w14:textFill>
            <w14:solidFill>
              <w14:schemeClr w14:val="tx1"/>
            </w14:solidFill>
          </w14:textFill>
        </w:rPr>
      </w:pPr>
    </w:p>
    <w:p w14:paraId="7DC2259F">
      <w:pPr>
        <w:wordWrap w:val="0"/>
        <w:spacing w:line="500" w:lineRule="atLeast"/>
        <w:rPr>
          <w:rFonts w:ascii="宋体" w:hAnsi="宋体" w:cs="宋体"/>
          <w:color w:val="000000" w:themeColor="text1"/>
          <w:sz w:val="20"/>
          <w:highlight w:val="red"/>
          <w14:textFill>
            <w14:solidFill>
              <w14:schemeClr w14:val="tx1"/>
            </w14:solidFill>
          </w14:textFill>
        </w:rPr>
      </w:pPr>
    </w:p>
    <w:p w14:paraId="0D07B67C">
      <w:pPr>
        <w:wordWrap w:val="0"/>
        <w:spacing w:line="500" w:lineRule="atLeast"/>
        <w:rPr>
          <w:rFonts w:ascii="宋体" w:hAnsi="宋体" w:cs="宋体"/>
          <w:color w:val="000000" w:themeColor="text1"/>
          <w:sz w:val="20"/>
          <w:highlight w:val="red"/>
          <w14:textFill>
            <w14:solidFill>
              <w14:schemeClr w14:val="tx1"/>
            </w14:solidFill>
          </w14:textFill>
        </w:rPr>
      </w:pPr>
    </w:p>
    <w:p w14:paraId="3F366DF8">
      <w:pPr>
        <w:wordWrap w:val="0"/>
        <w:spacing w:line="500" w:lineRule="atLeast"/>
        <w:rPr>
          <w:rFonts w:ascii="宋体" w:hAnsi="宋体" w:cs="宋体"/>
          <w:color w:val="000000" w:themeColor="text1"/>
          <w:sz w:val="20"/>
          <w:highlight w:val="red"/>
          <w14:textFill>
            <w14:solidFill>
              <w14:schemeClr w14:val="tx1"/>
            </w14:solidFill>
          </w14:textFill>
        </w:rPr>
      </w:pPr>
    </w:p>
    <w:p w14:paraId="695C8AD4">
      <w:pPr>
        <w:wordWrap w:val="0"/>
        <w:spacing w:line="500" w:lineRule="atLeast"/>
        <w:rPr>
          <w:rFonts w:ascii="宋体" w:hAnsi="宋体" w:cs="宋体"/>
          <w:color w:val="000000" w:themeColor="text1"/>
          <w:sz w:val="20"/>
          <w:highlight w:val="red"/>
          <w14:textFill>
            <w14:solidFill>
              <w14:schemeClr w14:val="tx1"/>
            </w14:solidFill>
          </w14:textFill>
        </w:rPr>
      </w:pPr>
    </w:p>
    <w:p w14:paraId="5AD4ED27">
      <w:pPr>
        <w:wordWrap w:val="0"/>
        <w:spacing w:line="500" w:lineRule="atLeast"/>
        <w:rPr>
          <w:rFonts w:ascii="宋体" w:hAnsi="宋体" w:cs="宋体"/>
          <w:color w:val="000000" w:themeColor="text1"/>
          <w:sz w:val="20"/>
          <w:highlight w:val="red"/>
          <w14:textFill>
            <w14:solidFill>
              <w14:schemeClr w14:val="tx1"/>
            </w14:solidFill>
          </w14:textFill>
        </w:rPr>
      </w:pPr>
    </w:p>
    <w:p w14:paraId="7C73DEC8">
      <w:pPr>
        <w:wordWrap w:val="0"/>
        <w:spacing w:line="500" w:lineRule="atLeast"/>
        <w:rPr>
          <w:rFonts w:ascii="宋体" w:hAnsi="宋体" w:cs="宋体"/>
          <w:color w:val="000000" w:themeColor="text1"/>
          <w:sz w:val="20"/>
          <w:highlight w:val="red"/>
          <w14:textFill>
            <w14:solidFill>
              <w14:schemeClr w14:val="tx1"/>
            </w14:solidFill>
          </w14:textFill>
        </w:rPr>
      </w:pPr>
    </w:p>
    <w:p w14:paraId="7A15BD37">
      <w:pPr>
        <w:wordWrap w:val="0"/>
        <w:spacing w:line="500" w:lineRule="atLeast"/>
        <w:rPr>
          <w:rFonts w:ascii="宋体" w:hAnsi="宋体" w:cs="宋体"/>
          <w:color w:val="000000" w:themeColor="text1"/>
          <w:sz w:val="20"/>
          <w:highlight w:val="red"/>
          <w14:textFill>
            <w14:solidFill>
              <w14:schemeClr w14:val="tx1"/>
            </w14:solidFill>
          </w14:textFill>
        </w:rPr>
      </w:pPr>
    </w:p>
    <w:p w14:paraId="41E4F8B3">
      <w:pPr>
        <w:wordWrap w:val="0"/>
        <w:spacing w:line="500" w:lineRule="atLeast"/>
        <w:rPr>
          <w:rFonts w:ascii="宋体" w:hAnsi="宋体" w:cs="宋体"/>
          <w:color w:val="000000" w:themeColor="text1"/>
          <w:sz w:val="20"/>
          <w:highlight w:val="red"/>
          <w14:textFill>
            <w14:solidFill>
              <w14:schemeClr w14:val="tx1"/>
            </w14:solidFill>
          </w14:textFill>
        </w:rPr>
      </w:pPr>
    </w:p>
    <w:p w14:paraId="146FF6D3">
      <w:pPr>
        <w:wordWrap w:val="0"/>
        <w:spacing w:line="500" w:lineRule="atLeast"/>
        <w:rPr>
          <w:rFonts w:ascii="宋体" w:hAnsi="宋体" w:cs="宋体"/>
          <w:color w:val="000000" w:themeColor="text1"/>
          <w:sz w:val="20"/>
          <w:highlight w:val="red"/>
          <w14:textFill>
            <w14:solidFill>
              <w14:schemeClr w14:val="tx1"/>
            </w14:solidFill>
          </w14:textFill>
        </w:rPr>
      </w:pPr>
    </w:p>
    <w:p w14:paraId="2D17FCF4">
      <w:pPr>
        <w:wordWrap w:val="0"/>
        <w:spacing w:line="500" w:lineRule="atLeast"/>
        <w:rPr>
          <w:rFonts w:ascii="宋体" w:hAnsi="宋体" w:cs="宋体"/>
          <w:color w:val="000000" w:themeColor="text1"/>
          <w:sz w:val="20"/>
          <w:highlight w:val="red"/>
          <w14:textFill>
            <w14:solidFill>
              <w14:schemeClr w14:val="tx1"/>
            </w14:solidFill>
          </w14:textFill>
        </w:rPr>
      </w:pPr>
    </w:p>
    <w:p w14:paraId="21588C46">
      <w:pPr>
        <w:wordWrap w:val="0"/>
        <w:spacing w:line="500" w:lineRule="atLeast"/>
        <w:rPr>
          <w:rFonts w:ascii="宋体" w:hAnsi="宋体" w:cs="宋体"/>
          <w:color w:val="000000" w:themeColor="text1"/>
          <w:sz w:val="20"/>
          <w:highlight w:val="red"/>
          <w14:textFill>
            <w14:solidFill>
              <w14:schemeClr w14:val="tx1"/>
            </w14:solidFill>
          </w14:textFill>
        </w:rPr>
      </w:pPr>
    </w:p>
    <w:p w14:paraId="76517E2B">
      <w:pPr>
        <w:wordWrap w:val="0"/>
        <w:spacing w:line="500" w:lineRule="atLeast"/>
        <w:rPr>
          <w:rFonts w:ascii="宋体" w:hAnsi="宋体" w:cs="宋体"/>
          <w:color w:val="000000" w:themeColor="text1"/>
          <w:sz w:val="20"/>
          <w:highlight w:val="red"/>
          <w14:textFill>
            <w14:solidFill>
              <w14:schemeClr w14:val="tx1"/>
            </w14:solidFill>
          </w14:textFill>
        </w:rPr>
      </w:pPr>
    </w:p>
    <w:p w14:paraId="41ED00FB">
      <w:pPr>
        <w:wordWrap w:val="0"/>
        <w:spacing w:line="500" w:lineRule="atLeast"/>
        <w:rPr>
          <w:rFonts w:ascii="宋体" w:hAnsi="宋体" w:cs="宋体"/>
          <w:color w:val="000000" w:themeColor="text1"/>
          <w:sz w:val="20"/>
          <w:highlight w:val="red"/>
          <w14:textFill>
            <w14:solidFill>
              <w14:schemeClr w14:val="tx1"/>
            </w14:solidFill>
          </w14:textFill>
        </w:rPr>
      </w:pPr>
    </w:p>
    <w:p w14:paraId="7EAED44F">
      <w:pPr>
        <w:wordWrap w:val="0"/>
        <w:spacing w:line="500" w:lineRule="atLeast"/>
        <w:rPr>
          <w:rFonts w:ascii="宋体" w:hAnsi="宋体" w:cs="宋体"/>
          <w:color w:val="000000" w:themeColor="text1"/>
          <w:sz w:val="20"/>
          <w:highlight w:val="red"/>
          <w14:textFill>
            <w14:solidFill>
              <w14:schemeClr w14:val="tx1"/>
            </w14:solidFill>
          </w14:textFill>
        </w:rPr>
      </w:pPr>
    </w:p>
    <w:p w14:paraId="1A481FA1">
      <w:pPr>
        <w:wordWrap w:val="0"/>
        <w:spacing w:line="500" w:lineRule="atLeast"/>
        <w:rPr>
          <w:rFonts w:ascii="宋体" w:hAnsi="宋体" w:cs="宋体"/>
          <w:color w:val="000000" w:themeColor="text1"/>
          <w:sz w:val="20"/>
          <w:highlight w:val="red"/>
          <w14:textFill>
            <w14:solidFill>
              <w14:schemeClr w14:val="tx1"/>
            </w14:solidFill>
          </w14:textFill>
        </w:rPr>
      </w:pPr>
    </w:p>
    <w:p w14:paraId="43C0C87A">
      <w:pPr>
        <w:wordWrap w:val="0"/>
        <w:spacing w:line="500" w:lineRule="atLeast"/>
        <w:rPr>
          <w:rFonts w:ascii="宋体" w:hAnsi="宋体" w:cs="宋体"/>
          <w:color w:val="000000" w:themeColor="text1"/>
          <w:sz w:val="20"/>
          <w:highlight w:val="red"/>
          <w14:textFill>
            <w14:solidFill>
              <w14:schemeClr w14:val="tx1"/>
            </w14:solidFill>
          </w14:textFill>
        </w:rPr>
      </w:pPr>
    </w:p>
    <w:p w14:paraId="29F8F4B2">
      <w:pPr>
        <w:wordWrap w:val="0"/>
        <w:spacing w:line="500" w:lineRule="atLeast"/>
        <w:rPr>
          <w:rFonts w:ascii="宋体" w:hAnsi="宋体" w:cs="宋体"/>
          <w:color w:val="000000" w:themeColor="text1"/>
          <w:sz w:val="20"/>
          <w:highlight w:val="red"/>
          <w14:textFill>
            <w14:solidFill>
              <w14:schemeClr w14:val="tx1"/>
            </w14:solidFill>
          </w14:textFill>
        </w:rPr>
      </w:pPr>
    </w:p>
    <w:p w14:paraId="5947E861">
      <w:pPr>
        <w:wordWrap w:val="0"/>
        <w:spacing w:line="500" w:lineRule="atLeast"/>
        <w:rPr>
          <w:rFonts w:ascii="宋体" w:hAnsi="宋体" w:cs="宋体"/>
          <w:color w:val="000000" w:themeColor="text1"/>
          <w:sz w:val="20"/>
          <w:highlight w:val="red"/>
          <w14:textFill>
            <w14:solidFill>
              <w14:schemeClr w14:val="tx1"/>
            </w14:solidFill>
          </w14:textFill>
        </w:rPr>
      </w:pPr>
    </w:p>
    <w:p w14:paraId="3AB88DDE">
      <w:pPr>
        <w:wordWrap w:val="0"/>
        <w:spacing w:line="500" w:lineRule="atLeast"/>
        <w:jc w:val="center"/>
        <w:rPr>
          <w:rFonts w:ascii="宋体" w:hAnsi="宋体" w:cs="宋体"/>
          <w:b/>
          <w:color w:val="000000" w:themeColor="text1"/>
          <w:kern w:val="0"/>
          <w:sz w:val="32"/>
          <w:szCs w:val="24"/>
          <w14:textFill>
            <w14:solidFill>
              <w14:schemeClr w14:val="tx1"/>
            </w14:solidFill>
          </w14:textFill>
        </w:rPr>
      </w:pPr>
      <w:r>
        <w:rPr>
          <w:rFonts w:hint="eastAsia" w:ascii="宋体" w:hAnsi="宋体" w:cs="宋体"/>
          <w:b/>
          <w:color w:val="000000" w:themeColor="text1"/>
          <w:kern w:val="0"/>
          <w:sz w:val="32"/>
          <w:szCs w:val="24"/>
          <w14:textFill>
            <w14:solidFill>
              <w14:schemeClr w14:val="tx1"/>
            </w14:solidFill>
          </w14:textFill>
        </w:rPr>
        <w:t>十五、其他材料（供应商认为有必要提供的其他资料）</w:t>
      </w:r>
    </w:p>
    <w:p w14:paraId="04E27E0A">
      <w:pPr>
        <w:pStyle w:val="138"/>
        <w:spacing w:line="440" w:lineRule="exact"/>
        <w:ind w:right="-97"/>
        <w:rPr>
          <w:rFonts w:ascii="宋体" w:hAnsi="宋体" w:cs="宋体"/>
          <w:b/>
          <w:color w:val="000000" w:themeColor="text1"/>
          <w:sz w:val="28"/>
          <w:szCs w:val="28"/>
          <w14:textFill>
            <w14:solidFill>
              <w14:schemeClr w14:val="tx1"/>
            </w14:solidFill>
          </w14:textFill>
        </w:rPr>
      </w:pPr>
    </w:p>
    <w:p w14:paraId="0083D4BB">
      <w:pPr>
        <w:pStyle w:val="138"/>
        <w:spacing w:line="440" w:lineRule="exact"/>
        <w:ind w:right="-97"/>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（1）中、小微企业声明函（中、小、微型企业产品价格需扣除的须提供）</w:t>
      </w:r>
    </w:p>
    <w:p w14:paraId="65B9D707">
      <w:pPr>
        <w:pStyle w:val="138"/>
        <w:spacing w:line="440" w:lineRule="exact"/>
        <w:ind w:right="-97"/>
        <w:jc w:val="center"/>
        <w:rPr>
          <w:rFonts w:hint="eastAsia" w:ascii="宋体" w:hAnsi="宋体" w:cs="宋体"/>
          <w:b/>
          <w:color w:val="000000"/>
          <w:sz w:val="28"/>
          <w:szCs w:val="28"/>
        </w:rPr>
      </w:pPr>
    </w:p>
    <w:p w14:paraId="191B90DF">
      <w:pPr>
        <w:pStyle w:val="138"/>
        <w:spacing w:line="440" w:lineRule="exact"/>
        <w:ind w:right="-97"/>
        <w:jc w:val="center"/>
        <w:rPr>
          <w:rFonts w:ascii="宋体" w:hAnsi="宋体" w:cs="宋体"/>
          <w:b/>
          <w:color w:val="000000"/>
          <w:sz w:val="28"/>
          <w:szCs w:val="28"/>
        </w:rPr>
      </w:pPr>
      <w:r>
        <w:rPr>
          <w:rFonts w:hint="eastAsia" w:ascii="宋体" w:hAnsi="宋体" w:cs="宋体"/>
          <w:b/>
          <w:color w:val="000000"/>
          <w:sz w:val="28"/>
          <w:szCs w:val="28"/>
        </w:rPr>
        <w:t>中小企业声明函（服务）</w:t>
      </w:r>
    </w:p>
    <w:p w14:paraId="0C53A72A">
      <w:pPr>
        <w:spacing w:line="520" w:lineRule="exact"/>
        <w:ind w:firstLine="472" w:firstLineChars="200"/>
        <w:rPr>
          <w:rFonts w:ascii="宋体" w:hAnsi="宋体" w:cs="宋体"/>
          <w:color w:val="000000"/>
          <w:spacing w:val="-2"/>
          <w:sz w:val="24"/>
        </w:rPr>
      </w:pPr>
      <w:r>
        <w:rPr>
          <w:rFonts w:hint="eastAsia" w:ascii="宋体" w:hAnsi="宋体" w:cs="宋体"/>
          <w:color w:val="000000"/>
          <w:spacing w:val="-2"/>
          <w:sz w:val="24"/>
        </w:rPr>
        <w:t>本公司（联合体）郑重声明，根据《政府采购促进中小企业发展管理办法》（财库﹝2020﹞46 号）的规定，本公司（联合体）参加</w:t>
      </w:r>
      <w:r>
        <w:rPr>
          <w:rFonts w:hint="eastAsia" w:ascii="宋体" w:hAnsi="宋体" w:cs="宋体"/>
          <w:color w:val="000000"/>
          <w:spacing w:val="-2"/>
          <w:sz w:val="24"/>
          <w:u w:val="single"/>
        </w:rPr>
        <w:t>（单位名称）</w:t>
      </w:r>
      <w:r>
        <w:rPr>
          <w:rFonts w:hint="eastAsia" w:ascii="宋体" w:hAnsi="宋体" w:cs="宋体"/>
          <w:color w:val="000000"/>
          <w:spacing w:val="-2"/>
          <w:sz w:val="24"/>
        </w:rPr>
        <w:t>的</w:t>
      </w:r>
      <w:r>
        <w:rPr>
          <w:rFonts w:hint="eastAsia" w:ascii="宋体" w:hAnsi="宋体" w:cs="宋体"/>
          <w:color w:val="000000"/>
          <w:spacing w:val="-2"/>
          <w:sz w:val="24"/>
          <w:u w:val="single"/>
        </w:rPr>
        <w:t>（项目名称）</w:t>
      </w:r>
      <w:r>
        <w:rPr>
          <w:rFonts w:hint="eastAsia" w:ascii="宋体" w:hAnsi="宋体" w:cs="宋体"/>
          <w:color w:val="000000"/>
          <w:spacing w:val="-2"/>
          <w:sz w:val="24"/>
        </w:rPr>
        <w:t>采购活动，服务全部由符合政策要求的中小企业承接。相关企业（含联合体中的中小企业、签订分包意向协议的中小企业）的具体情况如下：</w:t>
      </w:r>
    </w:p>
    <w:p w14:paraId="4F731D16">
      <w:pPr>
        <w:spacing w:line="520" w:lineRule="exact"/>
        <w:ind w:firstLine="472" w:firstLineChars="200"/>
        <w:rPr>
          <w:rFonts w:ascii="宋体" w:hAnsi="宋体" w:cs="宋体"/>
          <w:color w:val="000000"/>
          <w:spacing w:val="-2"/>
          <w:sz w:val="24"/>
        </w:rPr>
      </w:pPr>
      <w:r>
        <w:rPr>
          <w:rFonts w:hint="eastAsia" w:ascii="宋体" w:hAnsi="宋体" w:cs="宋体"/>
          <w:color w:val="000000"/>
          <w:spacing w:val="-2"/>
          <w:sz w:val="24"/>
        </w:rPr>
        <w:t>1.</w:t>
      </w:r>
      <w:r>
        <w:rPr>
          <w:rFonts w:hint="eastAsia" w:ascii="宋体" w:hAnsi="宋体" w:cs="宋体"/>
          <w:color w:val="000000"/>
          <w:spacing w:val="-2"/>
          <w:sz w:val="24"/>
          <w:u w:val="single"/>
        </w:rPr>
        <w:t>（标的名称）</w:t>
      </w:r>
      <w:r>
        <w:rPr>
          <w:rFonts w:hint="eastAsia" w:ascii="宋体" w:hAnsi="宋体" w:cs="宋体"/>
          <w:color w:val="000000"/>
          <w:spacing w:val="-2"/>
          <w:sz w:val="24"/>
        </w:rPr>
        <w:t>，属于</w:t>
      </w:r>
      <w:r>
        <w:rPr>
          <w:rFonts w:hint="eastAsia" w:ascii="宋体" w:hAnsi="宋体" w:cs="宋体"/>
          <w:color w:val="000000"/>
          <w:spacing w:val="-2"/>
          <w:sz w:val="24"/>
          <w:u w:val="single"/>
        </w:rPr>
        <w:t>（采购文件中明确的所属行业）</w:t>
      </w:r>
      <w:r>
        <w:rPr>
          <w:rFonts w:hint="eastAsia" w:ascii="宋体" w:hAnsi="宋体" w:cs="宋体"/>
          <w:color w:val="000000"/>
          <w:spacing w:val="-2"/>
          <w:sz w:val="24"/>
        </w:rPr>
        <w:t>；承接企业为</w:t>
      </w:r>
      <w:r>
        <w:rPr>
          <w:rFonts w:hint="eastAsia" w:ascii="宋体" w:hAnsi="宋体" w:cs="宋体"/>
          <w:color w:val="000000"/>
          <w:spacing w:val="-2"/>
          <w:sz w:val="24"/>
          <w:u w:val="single"/>
        </w:rPr>
        <w:t>（企业名称）</w:t>
      </w:r>
      <w:r>
        <w:rPr>
          <w:rFonts w:hint="eastAsia" w:ascii="宋体" w:hAnsi="宋体" w:cs="宋体"/>
          <w:color w:val="000000"/>
          <w:spacing w:val="-2"/>
          <w:sz w:val="24"/>
        </w:rPr>
        <w:t>，从业人员</w:t>
      </w:r>
      <w:r>
        <w:rPr>
          <w:rFonts w:hint="eastAsia" w:ascii="宋体" w:hAnsi="宋体" w:cs="宋体"/>
          <w:color w:val="000000"/>
          <w:spacing w:val="-2"/>
          <w:sz w:val="24"/>
          <w:u w:val="single"/>
        </w:rPr>
        <w:t xml:space="preserve"> </w:t>
      </w:r>
      <w:r>
        <w:rPr>
          <w:rFonts w:hint="eastAsia" w:ascii="宋体" w:hAnsi="宋体" w:cs="宋体"/>
          <w:color w:val="000000"/>
          <w:spacing w:val="-2"/>
          <w:sz w:val="24"/>
          <w:u w:val="single"/>
        </w:rPr>
        <w:tab/>
      </w:r>
      <w:r>
        <w:rPr>
          <w:rFonts w:hint="eastAsia" w:ascii="宋体" w:hAnsi="宋体" w:cs="宋体"/>
          <w:color w:val="000000"/>
          <w:spacing w:val="-2"/>
          <w:sz w:val="24"/>
          <w:u w:val="single"/>
        </w:rPr>
        <w:t xml:space="preserve"> </w:t>
      </w:r>
      <w:r>
        <w:rPr>
          <w:rFonts w:hint="eastAsia" w:ascii="宋体" w:hAnsi="宋体" w:cs="宋体"/>
          <w:color w:val="000000"/>
          <w:spacing w:val="-2"/>
          <w:sz w:val="24"/>
        </w:rPr>
        <w:t xml:space="preserve">人，营业收入为 </w:t>
      </w:r>
      <w:r>
        <w:rPr>
          <w:rFonts w:hint="eastAsia" w:ascii="宋体" w:hAnsi="宋体" w:cs="宋体"/>
          <w:color w:val="000000"/>
          <w:spacing w:val="-2"/>
          <w:sz w:val="24"/>
          <w:u w:val="single"/>
        </w:rPr>
        <w:tab/>
      </w:r>
      <w:r>
        <w:rPr>
          <w:rFonts w:hint="eastAsia" w:ascii="宋体" w:hAnsi="宋体" w:cs="宋体"/>
          <w:color w:val="000000"/>
          <w:spacing w:val="-2"/>
          <w:sz w:val="24"/>
          <w:u w:val="single"/>
        </w:rPr>
        <w:t xml:space="preserve">  </w:t>
      </w:r>
      <w:r>
        <w:rPr>
          <w:rFonts w:hint="eastAsia" w:ascii="宋体" w:hAnsi="宋体" w:cs="宋体"/>
          <w:color w:val="000000"/>
          <w:spacing w:val="-2"/>
          <w:sz w:val="24"/>
        </w:rPr>
        <w:t>万元，资产总额为</w:t>
      </w:r>
      <w:r>
        <w:rPr>
          <w:rFonts w:hint="eastAsia" w:ascii="宋体" w:hAnsi="宋体" w:cs="宋体"/>
          <w:color w:val="000000"/>
          <w:spacing w:val="-2"/>
          <w:sz w:val="24"/>
          <w:u w:val="single"/>
        </w:rPr>
        <w:t xml:space="preserve">  </w:t>
      </w:r>
      <w:r>
        <w:rPr>
          <w:rFonts w:hint="eastAsia" w:ascii="宋体" w:hAnsi="宋体" w:cs="宋体"/>
          <w:color w:val="000000"/>
          <w:spacing w:val="-2"/>
          <w:sz w:val="24"/>
          <w:u w:val="single"/>
        </w:rPr>
        <w:tab/>
      </w:r>
      <w:r>
        <w:rPr>
          <w:rFonts w:hint="eastAsia" w:ascii="宋体" w:hAnsi="宋体" w:cs="宋体"/>
          <w:color w:val="000000"/>
          <w:spacing w:val="-2"/>
          <w:sz w:val="24"/>
          <w:u w:val="single"/>
        </w:rPr>
        <w:t xml:space="preserve">  </w:t>
      </w:r>
      <w:r>
        <w:rPr>
          <w:rFonts w:hint="eastAsia" w:ascii="宋体" w:hAnsi="宋体" w:cs="宋体"/>
          <w:color w:val="000000"/>
          <w:spacing w:val="-2"/>
          <w:sz w:val="24"/>
        </w:rPr>
        <w:t>万元，属于</w:t>
      </w:r>
      <w:r>
        <w:rPr>
          <w:rFonts w:hint="eastAsia" w:ascii="宋体" w:hAnsi="宋体" w:cs="宋体"/>
          <w:color w:val="000000"/>
          <w:spacing w:val="-2"/>
          <w:sz w:val="24"/>
          <w:u w:val="single"/>
        </w:rPr>
        <w:t>（中型企业、小型企业、微型企业）</w:t>
      </w:r>
      <w:r>
        <w:rPr>
          <w:rFonts w:hint="eastAsia" w:ascii="宋体" w:hAnsi="宋体" w:cs="宋体"/>
          <w:color w:val="000000"/>
          <w:spacing w:val="-2"/>
          <w:sz w:val="24"/>
        </w:rPr>
        <w:t>；</w:t>
      </w:r>
    </w:p>
    <w:p w14:paraId="09B2CEA1">
      <w:pPr>
        <w:spacing w:line="520" w:lineRule="exact"/>
        <w:ind w:firstLine="472" w:firstLineChars="200"/>
        <w:rPr>
          <w:rFonts w:ascii="宋体" w:hAnsi="宋体" w:cs="宋体"/>
          <w:color w:val="000000"/>
          <w:spacing w:val="-2"/>
          <w:sz w:val="24"/>
        </w:rPr>
      </w:pPr>
      <w:r>
        <w:rPr>
          <w:rFonts w:hint="eastAsia" w:ascii="宋体" w:hAnsi="宋体" w:cs="宋体"/>
          <w:color w:val="000000"/>
          <w:spacing w:val="-2"/>
          <w:sz w:val="24"/>
        </w:rPr>
        <w:t>2.</w:t>
      </w:r>
      <w:r>
        <w:rPr>
          <w:rFonts w:hint="eastAsia" w:ascii="宋体" w:hAnsi="宋体" w:cs="宋体"/>
          <w:color w:val="000000"/>
          <w:spacing w:val="-2"/>
          <w:sz w:val="24"/>
          <w:u w:val="single"/>
        </w:rPr>
        <w:t>（标的名称）</w:t>
      </w:r>
      <w:r>
        <w:rPr>
          <w:rFonts w:hint="eastAsia" w:ascii="宋体" w:hAnsi="宋体" w:cs="宋体"/>
          <w:color w:val="000000"/>
          <w:spacing w:val="-2"/>
          <w:sz w:val="24"/>
        </w:rPr>
        <w:t>，属于</w:t>
      </w:r>
      <w:r>
        <w:rPr>
          <w:rFonts w:hint="eastAsia" w:ascii="宋体" w:hAnsi="宋体" w:cs="宋体"/>
          <w:color w:val="000000"/>
          <w:spacing w:val="-2"/>
          <w:sz w:val="24"/>
          <w:u w:val="single"/>
        </w:rPr>
        <w:t>（采购文件中明确的所属行业）</w:t>
      </w:r>
      <w:r>
        <w:rPr>
          <w:rFonts w:hint="eastAsia" w:ascii="宋体" w:hAnsi="宋体" w:cs="宋体"/>
          <w:color w:val="000000"/>
          <w:spacing w:val="-2"/>
          <w:sz w:val="24"/>
        </w:rPr>
        <w:t>；承接企业为</w:t>
      </w:r>
      <w:r>
        <w:rPr>
          <w:rFonts w:hint="eastAsia" w:ascii="宋体" w:hAnsi="宋体" w:cs="宋体"/>
          <w:color w:val="000000"/>
          <w:spacing w:val="-2"/>
          <w:sz w:val="24"/>
          <w:u w:val="single"/>
        </w:rPr>
        <w:t>（企业名称）</w:t>
      </w:r>
      <w:r>
        <w:rPr>
          <w:rFonts w:hint="eastAsia" w:ascii="宋体" w:hAnsi="宋体" w:cs="宋体"/>
          <w:color w:val="000000"/>
          <w:spacing w:val="-2"/>
          <w:sz w:val="24"/>
        </w:rPr>
        <w:t>，从业人员</w:t>
      </w:r>
      <w:r>
        <w:rPr>
          <w:rFonts w:hint="eastAsia" w:ascii="宋体" w:hAnsi="宋体" w:cs="宋体"/>
          <w:color w:val="000000"/>
          <w:spacing w:val="-2"/>
          <w:sz w:val="24"/>
          <w:u w:val="single"/>
        </w:rPr>
        <w:t xml:space="preserve">   </w:t>
      </w:r>
      <w:r>
        <w:rPr>
          <w:rFonts w:hint="eastAsia" w:ascii="宋体" w:hAnsi="宋体" w:cs="宋体"/>
          <w:color w:val="000000"/>
          <w:spacing w:val="-2"/>
          <w:sz w:val="24"/>
          <w:u w:val="single"/>
        </w:rPr>
        <w:tab/>
      </w:r>
      <w:r>
        <w:rPr>
          <w:rFonts w:hint="eastAsia" w:ascii="宋体" w:hAnsi="宋体" w:cs="宋体"/>
          <w:color w:val="000000"/>
          <w:spacing w:val="-2"/>
          <w:sz w:val="24"/>
        </w:rPr>
        <w:t>人，营业收入为</w:t>
      </w:r>
      <w:r>
        <w:rPr>
          <w:rFonts w:hint="eastAsia" w:ascii="宋体" w:hAnsi="宋体" w:cs="宋体"/>
          <w:color w:val="000000"/>
          <w:spacing w:val="-2"/>
          <w:sz w:val="24"/>
          <w:u w:val="single"/>
        </w:rPr>
        <w:t xml:space="preserve"> </w:t>
      </w:r>
      <w:r>
        <w:rPr>
          <w:rFonts w:hint="eastAsia" w:ascii="宋体" w:hAnsi="宋体" w:cs="宋体"/>
          <w:color w:val="000000"/>
          <w:spacing w:val="-2"/>
          <w:sz w:val="24"/>
          <w:u w:val="single"/>
        </w:rPr>
        <w:tab/>
      </w:r>
      <w:r>
        <w:rPr>
          <w:rFonts w:hint="eastAsia" w:ascii="宋体" w:hAnsi="宋体" w:cs="宋体"/>
          <w:color w:val="000000"/>
          <w:spacing w:val="-2"/>
          <w:sz w:val="24"/>
          <w:u w:val="single"/>
        </w:rPr>
        <w:t xml:space="preserve">  </w:t>
      </w:r>
      <w:r>
        <w:rPr>
          <w:rFonts w:hint="eastAsia" w:ascii="宋体" w:hAnsi="宋体" w:cs="宋体"/>
          <w:color w:val="000000"/>
          <w:spacing w:val="-2"/>
          <w:sz w:val="24"/>
        </w:rPr>
        <w:t>万元，资产总额为</w:t>
      </w:r>
      <w:r>
        <w:rPr>
          <w:rFonts w:hint="eastAsia" w:ascii="宋体" w:hAnsi="宋体" w:cs="宋体"/>
          <w:color w:val="000000"/>
          <w:spacing w:val="-2"/>
          <w:sz w:val="24"/>
          <w:u w:val="single"/>
        </w:rPr>
        <w:t xml:space="preserve"> </w:t>
      </w:r>
      <w:r>
        <w:rPr>
          <w:rFonts w:hint="eastAsia" w:ascii="宋体" w:hAnsi="宋体" w:cs="宋体"/>
          <w:color w:val="000000"/>
          <w:spacing w:val="-2"/>
          <w:sz w:val="24"/>
          <w:u w:val="single"/>
        </w:rPr>
        <w:tab/>
      </w:r>
      <w:r>
        <w:rPr>
          <w:rFonts w:hint="eastAsia" w:ascii="宋体" w:hAnsi="宋体" w:cs="宋体"/>
          <w:color w:val="000000"/>
          <w:spacing w:val="-2"/>
          <w:sz w:val="24"/>
          <w:u w:val="single"/>
        </w:rPr>
        <w:t xml:space="preserve">  </w:t>
      </w:r>
      <w:r>
        <w:rPr>
          <w:rFonts w:hint="eastAsia" w:ascii="宋体" w:hAnsi="宋体" w:cs="宋体"/>
          <w:color w:val="000000"/>
          <w:spacing w:val="-2"/>
          <w:sz w:val="24"/>
        </w:rPr>
        <w:t>万元，属于</w:t>
      </w:r>
      <w:r>
        <w:rPr>
          <w:rFonts w:hint="eastAsia" w:ascii="宋体" w:hAnsi="宋体" w:cs="宋体"/>
          <w:color w:val="000000"/>
          <w:spacing w:val="-2"/>
          <w:sz w:val="24"/>
          <w:u w:val="single"/>
        </w:rPr>
        <w:t>（中型企业、小型企业、微型企业）</w:t>
      </w:r>
      <w:r>
        <w:rPr>
          <w:rFonts w:hint="eastAsia" w:ascii="宋体" w:hAnsi="宋体" w:cs="宋体"/>
          <w:color w:val="000000"/>
          <w:spacing w:val="-2"/>
          <w:sz w:val="24"/>
        </w:rPr>
        <w:t>；</w:t>
      </w:r>
    </w:p>
    <w:p w14:paraId="7A36B451">
      <w:pPr>
        <w:spacing w:line="520" w:lineRule="exact"/>
        <w:ind w:firstLine="472" w:firstLineChars="200"/>
        <w:rPr>
          <w:rFonts w:ascii="宋体" w:hAnsi="宋体" w:cs="宋体"/>
          <w:color w:val="000000"/>
          <w:spacing w:val="-2"/>
          <w:sz w:val="24"/>
        </w:rPr>
      </w:pPr>
      <w:r>
        <w:rPr>
          <w:rFonts w:hint="eastAsia" w:ascii="宋体" w:hAnsi="宋体" w:cs="宋体"/>
          <w:color w:val="000000"/>
          <w:spacing w:val="-2"/>
          <w:sz w:val="24"/>
        </w:rPr>
        <w:t>……</w:t>
      </w:r>
    </w:p>
    <w:p w14:paraId="6C84EC53">
      <w:pPr>
        <w:spacing w:line="520" w:lineRule="exact"/>
        <w:ind w:firstLine="472" w:firstLineChars="200"/>
        <w:rPr>
          <w:rFonts w:ascii="宋体" w:hAnsi="宋体" w:cs="宋体"/>
          <w:color w:val="000000"/>
          <w:spacing w:val="-2"/>
          <w:sz w:val="24"/>
        </w:rPr>
      </w:pPr>
      <w:r>
        <w:rPr>
          <w:rFonts w:hint="eastAsia" w:ascii="宋体" w:hAnsi="宋体" w:cs="宋体"/>
          <w:color w:val="000000"/>
          <w:spacing w:val="-2"/>
          <w:sz w:val="24"/>
        </w:rPr>
        <w:t>以上企业，不属于大企业的分支机构，不存在控股股东为大企业的情形，也不存在与大企业的负责人为同一人的情形。</w:t>
      </w:r>
    </w:p>
    <w:p w14:paraId="547FD807">
      <w:pPr>
        <w:spacing w:line="520" w:lineRule="exact"/>
        <w:ind w:firstLine="472" w:firstLineChars="200"/>
        <w:rPr>
          <w:rFonts w:ascii="宋体" w:hAnsi="宋体" w:cs="宋体"/>
          <w:color w:val="000000"/>
          <w:spacing w:val="-2"/>
          <w:sz w:val="24"/>
        </w:rPr>
      </w:pPr>
      <w:r>
        <w:rPr>
          <w:rFonts w:hint="eastAsia" w:ascii="宋体" w:hAnsi="宋体" w:cs="宋体"/>
          <w:color w:val="000000"/>
          <w:spacing w:val="-2"/>
          <w:sz w:val="24"/>
        </w:rPr>
        <w:t>本企业对上述声明内容的真实性负责。如有虚假，将依 法承担相应责任。</w:t>
      </w:r>
    </w:p>
    <w:p w14:paraId="0CC669AC">
      <w:pPr>
        <w:spacing w:line="520" w:lineRule="exact"/>
        <w:ind w:firstLine="472" w:firstLineChars="200"/>
        <w:rPr>
          <w:rFonts w:ascii="宋体" w:hAnsi="宋体" w:cs="宋体"/>
          <w:color w:val="000000"/>
          <w:spacing w:val="-2"/>
          <w:sz w:val="24"/>
        </w:rPr>
      </w:pPr>
    </w:p>
    <w:p w14:paraId="7B6FDC15">
      <w:pPr>
        <w:pStyle w:val="15"/>
        <w:spacing w:before="35" w:line="316" w:lineRule="auto"/>
        <w:ind w:right="112" w:firstLine="5664" w:firstLineChars="2400"/>
        <w:rPr>
          <w:rFonts w:ascii="宋体" w:hAnsi="宋体" w:cs="宋体"/>
          <w:color w:val="000000"/>
          <w:spacing w:val="-2"/>
          <w:sz w:val="24"/>
        </w:rPr>
      </w:pPr>
      <w:r>
        <w:rPr>
          <w:rFonts w:hint="eastAsia" w:ascii="宋体" w:hAnsi="宋体" w:cs="宋体"/>
          <w:color w:val="000000"/>
          <w:spacing w:val="-2"/>
          <w:sz w:val="24"/>
        </w:rPr>
        <w:t>企业名称（盖章）：</w:t>
      </w:r>
    </w:p>
    <w:p w14:paraId="425036DE">
      <w:pPr>
        <w:spacing w:line="520" w:lineRule="exact"/>
        <w:ind w:firstLine="472" w:firstLineChars="200"/>
        <w:rPr>
          <w:rFonts w:ascii="宋体" w:hAnsi="宋体" w:cs="宋体"/>
          <w:color w:val="000000"/>
          <w:spacing w:val="-2"/>
          <w:sz w:val="24"/>
        </w:rPr>
      </w:pPr>
      <w:r>
        <w:rPr>
          <w:rFonts w:hint="eastAsia" w:ascii="宋体" w:hAnsi="宋体" w:cs="宋体"/>
          <w:color w:val="000000"/>
          <w:spacing w:val="-2"/>
          <w:sz w:val="24"/>
        </w:rPr>
        <w:t xml:space="preserve">                                             日期：</w:t>
      </w:r>
    </w:p>
    <w:p w14:paraId="637DF3B9">
      <w:pPr>
        <w:pStyle w:val="41"/>
      </w:pPr>
    </w:p>
    <w:p w14:paraId="104F9339">
      <w:pPr>
        <w:pStyle w:val="41"/>
        <w:ind w:left="0" w:leftChars="0" w:firstLine="0"/>
        <w:rPr>
          <w:rFonts w:ascii="宋体" w:hAnsi="宋体" w:cs="宋体"/>
          <w:color w:val="000000" w:themeColor="text1"/>
          <w:spacing w:val="-2"/>
          <w:sz w:val="24"/>
          <w14:textFill>
            <w14:solidFill>
              <w14:schemeClr w14:val="tx1"/>
            </w14:solidFill>
          </w14:textFill>
        </w:rPr>
      </w:pPr>
    </w:p>
    <w:p w14:paraId="1A699D46">
      <w:pPr>
        <w:pStyle w:val="138"/>
        <w:spacing w:line="440" w:lineRule="exact"/>
        <w:ind w:right="-97"/>
        <w:rPr>
          <w:rFonts w:ascii="宋体" w:hAnsi="宋体" w:cs="宋体"/>
          <w:b/>
          <w:color w:val="000000" w:themeColor="text1"/>
          <w:sz w:val="28"/>
          <w:szCs w:val="28"/>
          <w14:textFill>
            <w14:solidFill>
              <w14:schemeClr w14:val="tx1"/>
            </w14:solidFill>
          </w14:textFill>
        </w:rPr>
      </w:pPr>
    </w:p>
    <w:p w14:paraId="5C697726">
      <w:pPr>
        <w:spacing w:line="276" w:lineRule="auto"/>
        <w:ind w:left="255"/>
        <w:jc w:val="center"/>
        <w:outlineLvl w:val="0"/>
        <w:rPr>
          <w:rFonts w:hint="eastAsia" w:ascii="仿宋" w:hAnsi="仿宋" w:eastAsia="仿宋" w:cs="仿宋"/>
          <w:b/>
          <w:bCs/>
          <w:color w:val="000000"/>
          <w:kern w:val="0"/>
          <w:sz w:val="24"/>
          <w:szCs w:val="18"/>
        </w:rPr>
      </w:pPr>
      <w:bookmarkStart w:id="127" w:name="_Toc104309479"/>
      <w:bookmarkStart w:id="128" w:name="_Toc103875563"/>
    </w:p>
    <w:p w14:paraId="5F0B9754">
      <w:pPr>
        <w:spacing w:line="276" w:lineRule="auto"/>
        <w:jc w:val="both"/>
        <w:outlineLvl w:val="0"/>
        <w:rPr>
          <w:rFonts w:hint="eastAsia" w:ascii="仿宋" w:hAnsi="仿宋" w:eastAsia="仿宋" w:cs="仿宋"/>
          <w:b/>
          <w:bCs/>
          <w:color w:val="000000"/>
          <w:kern w:val="0"/>
          <w:sz w:val="32"/>
          <w:szCs w:val="32"/>
        </w:rPr>
      </w:pPr>
    </w:p>
    <w:p w14:paraId="3729223E">
      <w:pPr>
        <w:spacing w:line="276" w:lineRule="auto"/>
        <w:ind w:left="255"/>
        <w:jc w:val="center"/>
        <w:outlineLvl w:val="0"/>
        <w:rPr>
          <w:rFonts w:hint="eastAsia" w:ascii="仿宋" w:hAnsi="仿宋" w:eastAsia="仿宋" w:cs="仿宋"/>
          <w:b/>
          <w:bCs/>
          <w:color w:val="000000"/>
          <w:kern w:val="0"/>
          <w:sz w:val="32"/>
          <w:szCs w:val="32"/>
        </w:rPr>
      </w:pPr>
      <w:r>
        <w:rPr>
          <w:rFonts w:hint="eastAsia" w:ascii="仿宋" w:hAnsi="仿宋" w:eastAsia="仿宋" w:cs="仿宋"/>
          <w:b/>
          <w:bCs/>
          <w:color w:val="000000"/>
          <w:kern w:val="0"/>
          <w:sz w:val="32"/>
          <w:szCs w:val="32"/>
        </w:rPr>
        <w:t>参与政府采购活动前三年内在经营活动中没有</w:t>
      </w:r>
      <w:bookmarkEnd w:id="127"/>
      <w:bookmarkEnd w:id="128"/>
    </w:p>
    <w:p w14:paraId="4240F8D5">
      <w:pPr>
        <w:spacing w:line="276" w:lineRule="auto"/>
        <w:ind w:left="255"/>
        <w:jc w:val="center"/>
        <w:outlineLvl w:val="0"/>
        <w:rPr>
          <w:rFonts w:hint="eastAsia" w:ascii="仿宋" w:hAnsi="仿宋" w:eastAsia="仿宋" w:cs="仿宋"/>
          <w:b/>
          <w:kern w:val="0"/>
          <w:sz w:val="28"/>
          <w:szCs w:val="28"/>
        </w:rPr>
      </w:pPr>
      <w:bookmarkStart w:id="129" w:name="_Toc103875564"/>
      <w:bookmarkStart w:id="130" w:name="_Toc104309480"/>
      <w:r>
        <w:rPr>
          <w:rFonts w:hint="eastAsia" w:ascii="仿宋" w:hAnsi="仿宋" w:eastAsia="仿宋" w:cs="仿宋"/>
          <w:b/>
          <w:bCs/>
          <w:color w:val="000000"/>
          <w:kern w:val="0"/>
          <w:sz w:val="32"/>
          <w:szCs w:val="32"/>
        </w:rPr>
        <w:t>重大违法记录的书面声明函</w:t>
      </w:r>
      <w:bookmarkEnd w:id="129"/>
      <w:bookmarkEnd w:id="130"/>
    </w:p>
    <w:p w14:paraId="1754F643">
      <w:pPr>
        <w:tabs>
          <w:tab w:val="left" w:pos="6300"/>
        </w:tabs>
        <w:snapToGrid w:val="0"/>
        <w:spacing w:before="312" w:beforeLines="100" w:after="312" w:afterLines="100" w:line="500" w:lineRule="exact"/>
        <w:rPr>
          <w:rFonts w:hint="eastAsia" w:ascii="仿宋" w:hAnsi="仿宋" w:eastAsia="仿宋" w:cs="仿宋"/>
          <w:sz w:val="28"/>
          <w:szCs w:val="28"/>
        </w:rPr>
      </w:pPr>
      <w:r>
        <w:rPr>
          <w:rFonts w:hint="eastAsia" w:ascii="仿宋" w:hAnsi="仿宋" w:eastAsia="仿宋" w:cs="仿宋"/>
          <w:sz w:val="28"/>
          <w:szCs w:val="28"/>
        </w:rPr>
        <w:t>致：</w:t>
      </w:r>
      <w:r>
        <w:rPr>
          <w:rFonts w:hint="eastAsia" w:ascii="仿宋" w:hAnsi="仿宋" w:eastAsia="仿宋" w:cs="仿宋"/>
          <w:sz w:val="28"/>
          <w:szCs w:val="28"/>
          <w:u w:val="single"/>
        </w:rPr>
        <w:t xml:space="preserve">                   </w:t>
      </w:r>
      <w:r>
        <w:rPr>
          <w:rFonts w:hint="eastAsia" w:ascii="仿宋" w:hAnsi="仿宋" w:eastAsia="仿宋" w:cs="仿宋"/>
          <w:sz w:val="28"/>
          <w:szCs w:val="28"/>
        </w:rPr>
        <w:t>（采购人）：</w:t>
      </w:r>
    </w:p>
    <w:p w14:paraId="620F7066">
      <w:pPr>
        <w:tabs>
          <w:tab w:val="left" w:pos="6300"/>
        </w:tabs>
        <w:snapToGri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我公司承诺，参与政府采购活动前三年内在经营活动中没有重大违法记录现象。如有重大违法记录，由我公司全权负责，如造成严重不良影响的，我公司愿意接受法律法规的处罚。</w:t>
      </w:r>
    </w:p>
    <w:p w14:paraId="0E9940FA">
      <w:pPr>
        <w:spacing w:line="520" w:lineRule="exact"/>
        <w:ind w:firstLine="472" w:firstLineChars="200"/>
        <w:rPr>
          <w:rFonts w:hint="eastAsia" w:ascii="宋体" w:hAnsi="宋体" w:cs="宋体"/>
          <w:color w:val="000000"/>
          <w:spacing w:val="-2"/>
          <w:sz w:val="24"/>
        </w:rPr>
      </w:pPr>
    </w:p>
    <w:p w14:paraId="5EA8018C">
      <w:pPr>
        <w:spacing w:line="520" w:lineRule="exact"/>
        <w:ind w:firstLine="472" w:firstLineChars="200"/>
        <w:rPr>
          <w:rFonts w:hint="eastAsia" w:ascii="宋体" w:hAnsi="宋体" w:cs="宋体"/>
          <w:color w:val="000000"/>
          <w:spacing w:val="-2"/>
          <w:sz w:val="24"/>
        </w:rPr>
      </w:pPr>
    </w:p>
    <w:p w14:paraId="703757AB">
      <w:pPr>
        <w:spacing w:line="520" w:lineRule="exact"/>
        <w:ind w:firstLine="472" w:firstLineChars="200"/>
        <w:rPr>
          <w:rFonts w:hint="eastAsia" w:ascii="宋体" w:hAnsi="宋体" w:cs="宋体"/>
          <w:color w:val="000000"/>
          <w:spacing w:val="-2"/>
          <w:sz w:val="24"/>
        </w:rPr>
      </w:pPr>
    </w:p>
    <w:p w14:paraId="5D5780FC">
      <w:pPr>
        <w:spacing w:line="520" w:lineRule="exact"/>
        <w:ind w:firstLine="472" w:firstLineChars="200"/>
        <w:rPr>
          <w:rFonts w:hint="eastAsia" w:ascii="宋体" w:hAnsi="宋体" w:cs="宋体"/>
          <w:color w:val="000000"/>
          <w:spacing w:val="-2"/>
          <w:sz w:val="24"/>
        </w:rPr>
      </w:pPr>
    </w:p>
    <w:p w14:paraId="0BF06B98">
      <w:pPr>
        <w:spacing w:line="520" w:lineRule="exact"/>
        <w:ind w:firstLine="472" w:firstLineChars="200"/>
        <w:rPr>
          <w:rFonts w:hint="eastAsia" w:ascii="宋体" w:hAnsi="宋体" w:cs="宋体"/>
          <w:color w:val="000000"/>
          <w:spacing w:val="-2"/>
          <w:sz w:val="24"/>
        </w:rPr>
      </w:pPr>
    </w:p>
    <w:p w14:paraId="5414C4C0">
      <w:pPr>
        <w:spacing w:line="360" w:lineRule="auto"/>
        <w:ind w:firstLine="255"/>
        <w:rPr>
          <w:rFonts w:hint="eastAsia" w:ascii="仿宋" w:hAnsi="仿宋" w:eastAsia="仿宋" w:cs="仿宋"/>
          <w:b/>
          <w:bCs/>
          <w:szCs w:val="21"/>
        </w:rPr>
      </w:pPr>
    </w:p>
    <w:p w14:paraId="781264FD">
      <w:pPr>
        <w:spacing w:line="360" w:lineRule="auto"/>
        <w:ind w:firstLine="255"/>
        <w:rPr>
          <w:rFonts w:hint="eastAsia" w:ascii="仿宋" w:hAnsi="仿宋" w:eastAsia="仿宋" w:cs="仿宋"/>
          <w:b/>
          <w:bCs/>
          <w:szCs w:val="21"/>
        </w:rPr>
      </w:pPr>
    </w:p>
    <w:p w14:paraId="49541092">
      <w:pPr>
        <w:spacing w:line="360" w:lineRule="auto"/>
        <w:ind w:firstLine="255"/>
        <w:rPr>
          <w:rFonts w:hint="eastAsia" w:ascii="仿宋" w:hAnsi="仿宋" w:eastAsia="仿宋" w:cs="仿宋"/>
          <w:b/>
          <w:bCs/>
          <w:szCs w:val="21"/>
        </w:rPr>
      </w:pPr>
    </w:p>
    <w:p w14:paraId="6EEB1B07">
      <w:pPr>
        <w:spacing w:line="360" w:lineRule="auto"/>
        <w:ind w:firstLine="255"/>
        <w:rPr>
          <w:rFonts w:hint="eastAsia" w:ascii="仿宋" w:hAnsi="仿宋" w:eastAsia="仿宋" w:cs="仿宋"/>
          <w:b/>
          <w:bCs/>
          <w:szCs w:val="21"/>
        </w:rPr>
      </w:pPr>
    </w:p>
    <w:p w14:paraId="46B74C0D">
      <w:pPr>
        <w:spacing w:line="360" w:lineRule="auto"/>
        <w:ind w:firstLine="255"/>
        <w:rPr>
          <w:rFonts w:hint="eastAsia" w:ascii="仿宋" w:hAnsi="仿宋" w:eastAsia="仿宋" w:cs="仿宋"/>
          <w:b/>
          <w:bCs/>
          <w:szCs w:val="21"/>
        </w:rPr>
      </w:pPr>
    </w:p>
    <w:p w14:paraId="39BCB96F">
      <w:pPr>
        <w:spacing w:line="360" w:lineRule="auto"/>
        <w:ind w:firstLine="255"/>
        <w:rPr>
          <w:rFonts w:hint="eastAsia" w:ascii="仿宋" w:hAnsi="仿宋" w:eastAsia="仿宋" w:cs="仿宋"/>
          <w:b/>
          <w:bCs/>
          <w:szCs w:val="21"/>
        </w:rPr>
      </w:pPr>
    </w:p>
    <w:p w14:paraId="6524CC48">
      <w:pPr>
        <w:spacing w:line="360" w:lineRule="auto"/>
        <w:ind w:firstLine="2800" w:firstLineChars="10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供应商名称(公章):__________</w:t>
      </w:r>
    </w:p>
    <w:p w14:paraId="0ED6CDAF">
      <w:pPr>
        <w:spacing w:line="360" w:lineRule="auto"/>
        <w:ind w:firstLine="1400" w:firstLineChars="5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法定代表人或授权委托人（签字或盖章）:___________</w:t>
      </w:r>
    </w:p>
    <w:p w14:paraId="4E772DCA">
      <w:pPr>
        <w:spacing w:line="360" w:lineRule="auto"/>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 xml:space="preserve">                  日    期:    年   月   日</w:t>
      </w:r>
    </w:p>
    <w:p w14:paraId="747B439B">
      <w:pPr>
        <w:spacing w:line="360" w:lineRule="auto"/>
        <w:ind w:firstLine="255"/>
        <w:rPr>
          <w:rFonts w:hint="eastAsia" w:ascii="仿宋" w:hAnsi="仿宋" w:eastAsia="仿宋" w:cs="仿宋"/>
          <w:b/>
          <w:bCs/>
          <w:szCs w:val="21"/>
        </w:rPr>
      </w:pPr>
    </w:p>
    <w:p w14:paraId="2FC36C8D">
      <w:pPr>
        <w:spacing w:line="360" w:lineRule="auto"/>
        <w:ind w:firstLine="255"/>
        <w:rPr>
          <w:rFonts w:hint="eastAsia" w:ascii="仿宋" w:hAnsi="仿宋" w:eastAsia="仿宋" w:cs="仿宋"/>
          <w:b/>
          <w:bCs/>
          <w:szCs w:val="21"/>
        </w:rPr>
      </w:pPr>
    </w:p>
    <w:p w14:paraId="382E9E85">
      <w:pPr>
        <w:spacing w:line="360" w:lineRule="auto"/>
        <w:ind w:firstLine="255"/>
        <w:rPr>
          <w:rFonts w:hint="eastAsia" w:ascii="仿宋" w:hAnsi="仿宋" w:eastAsia="仿宋" w:cs="仿宋"/>
          <w:b/>
          <w:bCs/>
          <w:szCs w:val="21"/>
        </w:rPr>
      </w:pPr>
    </w:p>
    <w:p w14:paraId="492E8ECD">
      <w:pPr>
        <w:spacing w:line="360" w:lineRule="auto"/>
        <w:ind w:firstLine="255"/>
        <w:rPr>
          <w:rFonts w:hint="eastAsia" w:ascii="仿宋" w:hAnsi="仿宋" w:eastAsia="仿宋" w:cs="仿宋"/>
          <w:b/>
          <w:bCs/>
          <w:szCs w:val="21"/>
        </w:rPr>
      </w:pPr>
    </w:p>
    <w:p w14:paraId="3838880C">
      <w:pPr>
        <w:pStyle w:val="18"/>
        <w:rPr>
          <w:rFonts w:hint="eastAsia"/>
        </w:rPr>
      </w:pPr>
    </w:p>
    <w:p w14:paraId="71EB4CF7">
      <w:pPr>
        <w:spacing w:line="360" w:lineRule="auto"/>
        <w:rPr>
          <w:rFonts w:hint="eastAsia" w:ascii="仿宋" w:hAnsi="仿宋" w:eastAsia="仿宋" w:cs="仿宋"/>
          <w:b/>
          <w:bCs/>
          <w:szCs w:val="21"/>
        </w:rPr>
      </w:pPr>
    </w:p>
    <w:p w14:paraId="7378007D">
      <w:pPr>
        <w:pStyle w:val="12"/>
        <w:rPr>
          <w:rFonts w:hint="eastAsia" w:ascii="仿宋" w:hAnsi="仿宋" w:eastAsia="仿宋" w:cs="仿宋"/>
          <w:b/>
          <w:bCs/>
          <w:szCs w:val="21"/>
        </w:rPr>
      </w:pPr>
    </w:p>
    <w:p w14:paraId="026E9236">
      <w:pPr>
        <w:rPr>
          <w:rFonts w:hint="eastAsia" w:ascii="仿宋" w:hAnsi="仿宋" w:eastAsia="仿宋" w:cs="仿宋"/>
          <w:b/>
          <w:bCs/>
          <w:szCs w:val="21"/>
        </w:rPr>
      </w:pPr>
    </w:p>
    <w:p w14:paraId="012B91C8">
      <w:pPr>
        <w:pStyle w:val="12"/>
        <w:rPr>
          <w:rFonts w:hint="eastAsia" w:ascii="仿宋" w:hAnsi="仿宋" w:eastAsia="仿宋" w:cs="仿宋"/>
          <w:b/>
          <w:bCs/>
          <w:szCs w:val="21"/>
        </w:rPr>
      </w:pPr>
    </w:p>
    <w:p w14:paraId="0668A659">
      <w:pPr>
        <w:pStyle w:val="25"/>
        <w:ind w:left="0" w:firstLine="0" w:firstLineChars="0"/>
        <w:rPr>
          <w:rFonts w:hint="eastAsia" w:ascii="仿宋" w:hAnsi="仿宋" w:eastAsia="仿宋" w:cs="仿宋"/>
          <w:sz w:val="32"/>
          <w:szCs w:val="32"/>
        </w:rPr>
      </w:pPr>
    </w:p>
    <w:p w14:paraId="407BE553">
      <w:pPr>
        <w:tabs>
          <w:tab w:val="left" w:pos="6300"/>
        </w:tabs>
        <w:snapToGrid w:val="0"/>
        <w:spacing w:line="500" w:lineRule="exact"/>
        <w:jc w:val="center"/>
        <w:outlineLvl w:val="0"/>
        <w:rPr>
          <w:rFonts w:hint="eastAsia" w:ascii="仿宋" w:hAnsi="仿宋" w:eastAsia="仿宋" w:cs="仿宋"/>
          <w:b/>
          <w:bCs/>
          <w:color w:val="000000"/>
          <w:kern w:val="0"/>
          <w:sz w:val="32"/>
          <w:szCs w:val="32"/>
        </w:rPr>
      </w:pPr>
      <w:bookmarkStart w:id="131" w:name="_Toc104309481"/>
      <w:bookmarkStart w:id="132" w:name="_Toc103875565"/>
      <w:bookmarkStart w:id="133" w:name="_Toc26068_WPSOffice_Level1"/>
      <w:bookmarkStart w:id="134" w:name="_Toc30217"/>
      <w:r>
        <w:rPr>
          <w:rFonts w:hint="eastAsia" w:ascii="仿宋" w:hAnsi="仿宋" w:eastAsia="仿宋" w:cs="仿宋"/>
          <w:b/>
          <w:bCs/>
          <w:color w:val="000000"/>
          <w:kern w:val="0"/>
          <w:sz w:val="32"/>
          <w:szCs w:val="32"/>
        </w:rPr>
        <w:t>具有履行合同所必需的设备和专业技术能力书面声明</w:t>
      </w:r>
      <w:bookmarkEnd w:id="131"/>
      <w:bookmarkEnd w:id="132"/>
    </w:p>
    <w:p w14:paraId="1A376991">
      <w:pPr>
        <w:tabs>
          <w:tab w:val="left" w:pos="6300"/>
        </w:tabs>
        <w:snapToGrid w:val="0"/>
        <w:spacing w:before="312" w:beforeLines="100" w:after="312" w:afterLines="100" w:line="500" w:lineRule="exact"/>
        <w:rPr>
          <w:rFonts w:hint="eastAsia" w:ascii="仿宋" w:hAnsi="仿宋" w:eastAsia="仿宋" w:cs="仿宋"/>
          <w:sz w:val="28"/>
          <w:szCs w:val="28"/>
        </w:rPr>
      </w:pPr>
      <w:r>
        <w:rPr>
          <w:rFonts w:hint="eastAsia" w:ascii="仿宋" w:hAnsi="仿宋" w:eastAsia="仿宋" w:cs="仿宋"/>
          <w:sz w:val="28"/>
          <w:szCs w:val="28"/>
        </w:rPr>
        <w:t>致：</w:t>
      </w:r>
      <w:r>
        <w:rPr>
          <w:rFonts w:hint="eastAsia" w:ascii="仿宋" w:hAnsi="仿宋" w:eastAsia="仿宋" w:cs="仿宋"/>
          <w:sz w:val="28"/>
          <w:szCs w:val="28"/>
          <w:u w:val="single"/>
        </w:rPr>
        <w:t xml:space="preserve">                   </w:t>
      </w:r>
      <w:r>
        <w:rPr>
          <w:rFonts w:hint="eastAsia" w:ascii="仿宋" w:hAnsi="仿宋" w:eastAsia="仿宋" w:cs="仿宋"/>
          <w:sz w:val="28"/>
          <w:szCs w:val="28"/>
        </w:rPr>
        <w:t>（采购人）：</w:t>
      </w:r>
    </w:p>
    <w:p w14:paraId="695B3DA1">
      <w:pPr>
        <w:tabs>
          <w:tab w:val="left" w:pos="6300"/>
        </w:tabs>
        <w:snapToGri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u w:val="single"/>
        </w:rPr>
        <w:t xml:space="preserve">                      </w:t>
      </w:r>
      <w:r>
        <w:rPr>
          <w:rFonts w:hint="eastAsia" w:ascii="仿宋" w:hAnsi="仿宋" w:eastAsia="仿宋" w:cs="仿宋"/>
          <w:sz w:val="28"/>
          <w:szCs w:val="28"/>
        </w:rPr>
        <w:t>（投标人名称）郑重声明，我公司具有良好的商业信誉，具有履行合同所必需的设备和专业技术能力，并随时接受采购人、采购代理机构的检查验证，符合《政府采购法》规定的投标人资格条件。我方对以上声明负全部法律责任。</w:t>
      </w:r>
    </w:p>
    <w:p w14:paraId="5B0CBCA4">
      <w:pPr>
        <w:tabs>
          <w:tab w:val="left" w:pos="6300"/>
        </w:tabs>
        <w:snapToGri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特此声明。</w:t>
      </w:r>
    </w:p>
    <w:p w14:paraId="416F6F7B">
      <w:pPr>
        <w:tabs>
          <w:tab w:val="left" w:pos="6300"/>
        </w:tabs>
        <w:snapToGrid w:val="0"/>
        <w:spacing w:line="500" w:lineRule="exact"/>
        <w:ind w:firstLine="570"/>
        <w:rPr>
          <w:rFonts w:hint="eastAsia" w:ascii="仿宋" w:hAnsi="仿宋" w:eastAsia="仿宋" w:cs="仿宋"/>
          <w:sz w:val="28"/>
          <w:szCs w:val="28"/>
        </w:rPr>
      </w:pPr>
    </w:p>
    <w:p w14:paraId="656BCB22">
      <w:pPr>
        <w:tabs>
          <w:tab w:val="left" w:pos="6300"/>
        </w:tabs>
        <w:snapToGrid w:val="0"/>
        <w:spacing w:line="500" w:lineRule="exact"/>
        <w:ind w:firstLine="570"/>
        <w:rPr>
          <w:rFonts w:hint="eastAsia" w:ascii="仿宋" w:hAnsi="仿宋" w:eastAsia="仿宋" w:cs="仿宋"/>
          <w:sz w:val="28"/>
          <w:szCs w:val="28"/>
        </w:rPr>
      </w:pPr>
    </w:p>
    <w:bookmarkEnd w:id="133"/>
    <w:bookmarkEnd w:id="134"/>
    <w:p w14:paraId="30F187B8">
      <w:pPr>
        <w:spacing w:line="360" w:lineRule="auto"/>
        <w:ind w:firstLine="4116" w:firstLineChars="1470"/>
        <w:rPr>
          <w:rFonts w:hint="eastAsia" w:ascii="仿宋" w:hAnsi="仿宋" w:eastAsia="仿宋" w:cs="仿宋"/>
          <w:kern w:val="2"/>
          <w:sz w:val="28"/>
          <w:szCs w:val="28"/>
          <w:lang w:val="en-US" w:eastAsia="zh-CN" w:bidi="ar-SA"/>
        </w:rPr>
      </w:pPr>
    </w:p>
    <w:p w14:paraId="5D603E4A">
      <w:pPr>
        <w:spacing w:line="360" w:lineRule="auto"/>
        <w:ind w:firstLine="2800" w:firstLineChars="10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供应商名称(公章):__________</w:t>
      </w:r>
    </w:p>
    <w:p w14:paraId="017A37C1">
      <w:pPr>
        <w:spacing w:line="360" w:lineRule="auto"/>
        <w:ind w:firstLine="1400" w:firstLineChars="5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法定代表人或授权委托人（签字或盖章）:___________</w:t>
      </w:r>
    </w:p>
    <w:p w14:paraId="7E34B607">
      <w:pPr>
        <w:spacing w:line="360" w:lineRule="auto"/>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 xml:space="preserve">                  日    期:    年   月   日</w:t>
      </w:r>
    </w:p>
    <w:p w14:paraId="0E77A0A9">
      <w:pPr>
        <w:pStyle w:val="25"/>
        <w:ind w:left="420" w:hanging="420"/>
        <w:rPr>
          <w:rFonts w:hint="eastAsia" w:ascii="仿宋" w:hAnsi="仿宋" w:eastAsia="仿宋" w:cs="仿宋"/>
          <w:sz w:val="28"/>
          <w:szCs w:val="28"/>
        </w:rPr>
      </w:pPr>
    </w:p>
    <w:p w14:paraId="77CAEA91">
      <w:pPr>
        <w:pStyle w:val="25"/>
        <w:ind w:left="420" w:hanging="420"/>
        <w:rPr>
          <w:rFonts w:hint="eastAsia" w:ascii="仿宋" w:hAnsi="仿宋" w:eastAsia="仿宋" w:cs="仿宋"/>
        </w:rPr>
      </w:pPr>
    </w:p>
    <w:p w14:paraId="3F5F3F4C">
      <w:pPr>
        <w:pStyle w:val="138"/>
        <w:spacing w:line="440" w:lineRule="exact"/>
        <w:ind w:right="-97"/>
        <w:rPr>
          <w:rFonts w:ascii="宋体" w:hAnsi="宋体" w:cs="宋体"/>
          <w:b/>
          <w:color w:val="000000" w:themeColor="text1"/>
          <w:sz w:val="28"/>
          <w:szCs w:val="28"/>
          <w14:textFill>
            <w14:solidFill>
              <w14:schemeClr w14:val="tx1"/>
            </w14:solidFill>
          </w14:textFill>
        </w:rPr>
      </w:pPr>
    </w:p>
    <w:p w14:paraId="1B257D35">
      <w:pPr>
        <w:pStyle w:val="138"/>
        <w:spacing w:line="440" w:lineRule="exact"/>
        <w:ind w:right="-97"/>
        <w:rPr>
          <w:rFonts w:ascii="宋体" w:hAnsi="宋体" w:cs="宋体"/>
          <w:b/>
          <w:color w:val="000000" w:themeColor="text1"/>
          <w:sz w:val="28"/>
          <w:szCs w:val="28"/>
          <w14:textFill>
            <w14:solidFill>
              <w14:schemeClr w14:val="tx1"/>
            </w14:solidFill>
          </w14:textFill>
        </w:rPr>
      </w:pPr>
    </w:p>
    <w:p w14:paraId="58169157">
      <w:pPr>
        <w:pStyle w:val="138"/>
        <w:spacing w:line="440" w:lineRule="exact"/>
        <w:ind w:right="-97"/>
        <w:rPr>
          <w:rFonts w:ascii="宋体" w:hAnsi="宋体" w:cs="宋体"/>
          <w:b/>
          <w:color w:val="000000" w:themeColor="text1"/>
          <w:sz w:val="28"/>
          <w:szCs w:val="28"/>
          <w14:textFill>
            <w14:solidFill>
              <w14:schemeClr w14:val="tx1"/>
            </w14:solidFill>
          </w14:textFill>
        </w:rPr>
      </w:pPr>
    </w:p>
    <w:p w14:paraId="14FF9475">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1E047125">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29F18EE3">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4ECE00B3">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7161B8F8">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02832A9D">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0135525E">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02BCCB5C">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28590A71">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25DD505C">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30207441">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1814851F">
      <w:pPr>
        <w:pStyle w:val="138"/>
        <w:spacing w:line="440" w:lineRule="exact"/>
        <w:ind w:right="-97"/>
        <w:jc w:val="center"/>
        <w:rPr>
          <w:rFonts w:hint="eastAsia" w:ascii="仿宋" w:hAnsi="仿宋" w:eastAsia="仿宋" w:cs="仿宋"/>
          <w:b/>
          <w:bCs/>
          <w:color w:val="000000"/>
          <w:kern w:val="0"/>
          <w:sz w:val="32"/>
          <w:szCs w:val="32"/>
          <w:lang w:val="en-US" w:eastAsia="zh-CN" w:bidi="ar-SA"/>
        </w:rPr>
      </w:pPr>
      <w:r>
        <w:rPr>
          <w:rFonts w:hint="eastAsia" w:ascii="仿宋" w:hAnsi="仿宋" w:eastAsia="仿宋" w:cs="仿宋"/>
          <w:b/>
          <w:bCs/>
          <w:color w:val="000000"/>
          <w:kern w:val="0"/>
          <w:sz w:val="32"/>
          <w:szCs w:val="32"/>
          <w:lang w:val="en-US" w:eastAsia="zh-CN" w:bidi="ar-SA"/>
        </w:rPr>
        <w:t>无违反法律、行政法规规定的其他条件</w:t>
      </w:r>
    </w:p>
    <w:p w14:paraId="0264150C">
      <w:pPr>
        <w:pStyle w:val="138"/>
        <w:spacing w:line="440" w:lineRule="exact"/>
        <w:ind w:right="-97"/>
        <w:jc w:val="center"/>
        <w:rPr>
          <w:rFonts w:hint="eastAsia" w:ascii="仿宋" w:hAnsi="仿宋" w:eastAsia="仿宋" w:cs="仿宋"/>
          <w:b/>
          <w:bCs/>
          <w:color w:val="000000"/>
          <w:kern w:val="0"/>
          <w:sz w:val="32"/>
          <w:szCs w:val="32"/>
          <w:lang w:val="en-US" w:eastAsia="zh-CN" w:bidi="ar-SA"/>
        </w:rPr>
      </w:pPr>
      <w:r>
        <w:rPr>
          <w:rFonts w:hint="eastAsia" w:ascii="仿宋" w:hAnsi="仿宋" w:eastAsia="仿宋" w:cs="仿宋"/>
          <w:b/>
          <w:bCs/>
          <w:color w:val="000000"/>
          <w:kern w:val="0"/>
          <w:sz w:val="32"/>
          <w:szCs w:val="32"/>
          <w:lang w:val="en-US" w:eastAsia="zh-CN" w:bidi="ar-SA"/>
        </w:rPr>
        <w:t>承诺书</w:t>
      </w:r>
    </w:p>
    <w:p w14:paraId="28C003ED">
      <w:pPr>
        <w:pStyle w:val="138"/>
        <w:spacing w:line="440" w:lineRule="exact"/>
        <w:ind w:right="-97"/>
        <w:rPr>
          <w:rFonts w:hint="eastAsia" w:ascii="仿宋" w:hAnsi="仿宋" w:eastAsia="仿宋" w:cs="仿宋"/>
          <w:sz w:val="28"/>
          <w:szCs w:val="28"/>
        </w:rPr>
      </w:pPr>
    </w:p>
    <w:p w14:paraId="2BAC0F23">
      <w:pPr>
        <w:pStyle w:val="138"/>
        <w:spacing w:line="440" w:lineRule="exact"/>
        <w:ind w:right="-97"/>
        <w:rPr>
          <w:rFonts w:hint="eastAsia" w:ascii="仿宋" w:hAnsi="仿宋" w:eastAsia="仿宋" w:cs="仿宋"/>
          <w:sz w:val="28"/>
          <w:szCs w:val="28"/>
        </w:rPr>
      </w:pPr>
    </w:p>
    <w:p w14:paraId="430D29C8">
      <w:pPr>
        <w:pStyle w:val="138"/>
        <w:spacing w:line="440" w:lineRule="exact"/>
        <w:ind w:right="-97"/>
        <w:rPr>
          <w:rFonts w:hint="eastAsia" w:ascii="宋体" w:hAnsi="宋体" w:cs="宋体"/>
          <w:b/>
          <w:color w:val="000000" w:themeColor="text1"/>
          <w:sz w:val="28"/>
          <w:szCs w:val="28"/>
          <w14:textFill>
            <w14:solidFill>
              <w14:schemeClr w14:val="tx1"/>
            </w14:solidFill>
          </w14:textFill>
        </w:rPr>
      </w:pPr>
      <w:r>
        <w:rPr>
          <w:rFonts w:hint="eastAsia" w:ascii="仿宋" w:hAnsi="仿宋" w:eastAsia="仿宋" w:cs="仿宋"/>
          <w:sz w:val="28"/>
          <w:szCs w:val="28"/>
        </w:rPr>
        <w:t>致：</w:t>
      </w:r>
      <w:r>
        <w:rPr>
          <w:rFonts w:hint="eastAsia" w:ascii="仿宋" w:hAnsi="仿宋" w:eastAsia="仿宋" w:cs="仿宋"/>
          <w:sz w:val="28"/>
          <w:szCs w:val="28"/>
          <w:u w:val="single"/>
        </w:rPr>
        <w:t xml:space="preserve">                   </w:t>
      </w:r>
      <w:r>
        <w:rPr>
          <w:rFonts w:hint="eastAsia" w:ascii="仿宋" w:hAnsi="仿宋" w:eastAsia="仿宋" w:cs="仿宋"/>
          <w:sz w:val="28"/>
          <w:szCs w:val="28"/>
        </w:rPr>
        <w:t>（采购人）：</w:t>
      </w:r>
    </w:p>
    <w:p w14:paraId="413DDB9C">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5610EAF3">
      <w:pPr>
        <w:pStyle w:val="138"/>
        <w:spacing w:line="440" w:lineRule="exact"/>
        <w:ind w:right="-97" w:firstLine="560" w:firstLineChars="200"/>
        <w:rPr>
          <w:rFonts w:hint="eastAsia" w:ascii="仿宋" w:hAnsi="仿宋" w:eastAsia="仿宋" w:cs="仿宋"/>
          <w:sz w:val="28"/>
          <w:szCs w:val="28"/>
        </w:rPr>
      </w:pPr>
      <w:r>
        <w:rPr>
          <w:rFonts w:hint="eastAsia" w:ascii="仿宋" w:hAnsi="仿宋" w:eastAsia="仿宋" w:cs="仿宋"/>
          <w:sz w:val="28"/>
          <w:szCs w:val="28"/>
        </w:rPr>
        <w:t>我公司参与</w:t>
      </w:r>
      <w:r>
        <w:rPr>
          <w:rFonts w:hint="eastAsia" w:ascii="仿宋" w:hAnsi="仿宋" w:eastAsia="仿宋" w:cs="仿宋"/>
          <w:sz w:val="28"/>
          <w:szCs w:val="28"/>
          <w:u w:val="single"/>
        </w:rPr>
        <w:t xml:space="preserve">        （项目名称）、          （项目编号）</w:t>
      </w:r>
      <w:r>
        <w:rPr>
          <w:rFonts w:hint="eastAsia" w:ascii="仿宋" w:hAnsi="仿宋" w:eastAsia="仿宋" w:cs="仿宋"/>
          <w:sz w:val="28"/>
          <w:szCs w:val="28"/>
        </w:rPr>
        <w:t xml:space="preserve">的投标，本公司郑重声明，我方参加本项目无违反法律、行政法规规定的其他条件，符合《中华人民共和国政府采购法》规定的供应商资格条件。若贵方在本项目采购过程中发现我方有违反法律、行政法规规定的其他条件，我公司将无条件退出本项目的投标，并承担因此引起的一切后果。我方对此声明负一切法律责任。 </w:t>
      </w:r>
    </w:p>
    <w:p w14:paraId="1A4BFF05">
      <w:pPr>
        <w:pStyle w:val="138"/>
        <w:spacing w:line="440" w:lineRule="exact"/>
        <w:ind w:right="-97"/>
        <w:rPr>
          <w:rFonts w:hint="eastAsia" w:ascii="仿宋" w:hAnsi="仿宋" w:eastAsia="仿宋" w:cs="仿宋"/>
          <w:sz w:val="28"/>
          <w:szCs w:val="28"/>
        </w:rPr>
      </w:pPr>
    </w:p>
    <w:p w14:paraId="22BE1BD1">
      <w:pPr>
        <w:pStyle w:val="138"/>
        <w:spacing w:line="440" w:lineRule="exact"/>
        <w:ind w:right="-97"/>
        <w:rPr>
          <w:rFonts w:hint="eastAsia" w:ascii="仿宋" w:hAnsi="仿宋" w:eastAsia="仿宋" w:cs="仿宋"/>
          <w:sz w:val="28"/>
          <w:szCs w:val="28"/>
        </w:rPr>
      </w:pPr>
      <w:r>
        <w:rPr>
          <w:rFonts w:hint="eastAsia" w:ascii="仿宋" w:hAnsi="仿宋" w:eastAsia="仿宋" w:cs="仿宋"/>
          <w:sz w:val="28"/>
          <w:szCs w:val="28"/>
        </w:rPr>
        <w:t>特此声明！</w:t>
      </w:r>
    </w:p>
    <w:p w14:paraId="02BEDF32">
      <w:pPr>
        <w:pStyle w:val="138"/>
        <w:spacing w:line="440" w:lineRule="exact"/>
        <w:ind w:right="-97"/>
        <w:rPr>
          <w:rFonts w:hint="eastAsia" w:ascii="仿宋" w:hAnsi="仿宋" w:eastAsia="仿宋" w:cs="仿宋"/>
          <w:sz w:val="28"/>
          <w:szCs w:val="28"/>
        </w:rPr>
      </w:pPr>
    </w:p>
    <w:p w14:paraId="2E4AE75E">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43906E8E">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0F4E20B0">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381E8F38">
      <w:pPr>
        <w:spacing w:line="360" w:lineRule="auto"/>
        <w:ind w:firstLine="4116" w:firstLineChars="147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供应商名称(公章):__________</w:t>
      </w:r>
    </w:p>
    <w:p w14:paraId="210C3C01">
      <w:pPr>
        <w:spacing w:line="360" w:lineRule="auto"/>
        <w:ind w:firstLine="1598" w:firstLineChars="571"/>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法定代表人或授权委托人（签字或盖章）:___________</w:t>
      </w:r>
    </w:p>
    <w:p w14:paraId="2C69E0B8">
      <w:pPr>
        <w:spacing w:line="360" w:lineRule="auto"/>
        <w:ind w:firstLine="255"/>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 xml:space="preserve">                            日    期:    年   月   日</w:t>
      </w:r>
    </w:p>
    <w:p w14:paraId="3361F36E">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146C6604">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0CBFA909">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7C2B618B">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21A33967">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7ABA7BA3">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3C0DAD86">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5090A55A">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3655F2C8">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4B763136">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219FAC53">
      <w:pPr>
        <w:pStyle w:val="138"/>
        <w:spacing w:line="440" w:lineRule="exact"/>
        <w:ind w:right="-97"/>
        <w:jc w:val="center"/>
        <w:rPr>
          <w:rFonts w:hint="eastAsia"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不存在与其他供应商为同一个单位负责人、控股、管理关系</w:t>
      </w:r>
    </w:p>
    <w:p w14:paraId="0ED81A54">
      <w:pPr>
        <w:pStyle w:val="138"/>
        <w:spacing w:line="440" w:lineRule="exact"/>
        <w:ind w:right="-97"/>
        <w:jc w:val="center"/>
        <w:rPr>
          <w:rFonts w:hint="eastAsia"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承诺书</w:t>
      </w:r>
    </w:p>
    <w:p w14:paraId="313669A9">
      <w:pPr>
        <w:pStyle w:val="138"/>
        <w:spacing w:line="440" w:lineRule="exact"/>
        <w:ind w:right="-97"/>
        <w:rPr>
          <w:rFonts w:hint="eastAsia" w:ascii="仿宋" w:hAnsi="仿宋" w:eastAsia="仿宋" w:cs="仿宋"/>
          <w:sz w:val="28"/>
          <w:szCs w:val="28"/>
        </w:rPr>
      </w:pPr>
    </w:p>
    <w:p w14:paraId="71CE193C">
      <w:pPr>
        <w:pStyle w:val="138"/>
        <w:spacing w:line="440" w:lineRule="exact"/>
        <w:ind w:right="-97"/>
        <w:rPr>
          <w:rFonts w:hint="eastAsia" w:ascii="仿宋" w:hAnsi="仿宋" w:eastAsia="仿宋" w:cs="仿宋"/>
          <w:sz w:val="28"/>
          <w:szCs w:val="28"/>
        </w:rPr>
      </w:pPr>
    </w:p>
    <w:p w14:paraId="35C14626">
      <w:pPr>
        <w:pStyle w:val="138"/>
        <w:spacing w:line="440" w:lineRule="exact"/>
        <w:ind w:right="-97"/>
        <w:rPr>
          <w:rFonts w:hint="eastAsia" w:ascii="宋体" w:hAnsi="宋体" w:cs="宋体"/>
          <w:b/>
          <w:color w:val="000000" w:themeColor="text1"/>
          <w:sz w:val="28"/>
          <w:szCs w:val="28"/>
          <w14:textFill>
            <w14:solidFill>
              <w14:schemeClr w14:val="tx1"/>
            </w14:solidFill>
          </w14:textFill>
        </w:rPr>
      </w:pPr>
      <w:r>
        <w:rPr>
          <w:rFonts w:hint="eastAsia" w:ascii="仿宋" w:hAnsi="仿宋" w:eastAsia="仿宋" w:cs="仿宋"/>
          <w:sz w:val="28"/>
          <w:szCs w:val="28"/>
        </w:rPr>
        <w:t>致：</w:t>
      </w:r>
      <w:r>
        <w:rPr>
          <w:rFonts w:hint="eastAsia" w:ascii="仿宋" w:hAnsi="仿宋" w:eastAsia="仿宋" w:cs="仿宋"/>
          <w:sz w:val="28"/>
          <w:szCs w:val="28"/>
          <w:u w:val="single"/>
        </w:rPr>
        <w:t xml:space="preserve">                   </w:t>
      </w:r>
      <w:r>
        <w:rPr>
          <w:rFonts w:hint="eastAsia" w:ascii="仿宋" w:hAnsi="仿宋" w:eastAsia="仿宋" w:cs="仿宋"/>
          <w:sz w:val="28"/>
          <w:szCs w:val="28"/>
        </w:rPr>
        <w:t>（采购人）：</w:t>
      </w:r>
    </w:p>
    <w:p w14:paraId="0E45F7AD">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50D74006">
      <w:pPr>
        <w:pStyle w:val="138"/>
        <w:spacing w:line="440" w:lineRule="exact"/>
        <w:ind w:right="-97" w:firstLine="560" w:firstLineChars="200"/>
        <w:rPr>
          <w:rFonts w:hint="eastAsia" w:ascii="仿宋" w:hAnsi="仿宋" w:eastAsia="仿宋" w:cs="仿宋"/>
          <w:sz w:val="28"/>
          <w:szCs w:val="28"/>
        </w:rPr>
      </w:pPr>
      <w:r>
        <w:rPr>
          <w:rFonts w:hint="eastAsia" w:ascii="仿宋" w:hAnsi="仿宋" w:eastAsia="仿宋" w:cs="仿宋"/>
          <w:sz w:val="28"/>
          <w:szCs w:val="28"/>
        </w:rPr>
        <w:t>我公司</w:t>
      </w:r>
      <w:r>
        <w:rPr>
          <w:rFonts w:hint="eastAsia" w:ascii="仿宋" w:hAnsi="仿宋" w:eastAsia="仿宋" w:cs="仿宋"/>
          <w:sz w:val="28"/>
          <w:szCs w:val="28"/>
          <w:u w:val="single"/>
        </w:rPr>
        <w:t xml:space="preserve">            （公司名称）</w:t>
      </w:r>
      <w:r>
        <w:rPr>
          <w:rFonts w:hint="eastAsia" w:ascii="仿宋" w:hAnsi="仿宋" w:eastAsia="仿宋" w:cs="仿宋"/>
          <w:sz w:val="28"/>
          <w:szCs w:val="28"/>
        </w:rPr>
        <w:t>自愿参加本次</w:t>
      </w:r>
      <w:r>
        <w:rPr>
          <w:rFonts w:hint="eastAsia" w:ascii="仿宋" w:hAnsi="仿宋" w:eastAsia="仿宋" w:cs="仿宋"/>
          <w:sz w:val="28"/>
          <w:szCs w:val="28"/>
          <w:lang w:val="en-US" w:eastAsia="zh-CN"/>
        </w:rPr>
        <w:t>政府采购活动</w:t>
      </w:r>
      <w:r>
        <w:rPr>
          <w:rFonts w:hint="eastAsia" w:ascii="仿宋" w:hAnsi="仿宋" w:eastAsia="仿宋" w:cs="仿宋"/>
          <w:sz w:val="28"/>
          <w:szCs w:val="28"/>
        </w:rPr>
        <w:t>，并做出如下承诺：</w:t>
      </w:r>
    </w:p>
    <w:p w14:paraId="58542F06">
      <w:pPr>
        <w:pStyle w:val="138"/>
        <w:spacing w:line="440" w:lineRule="exact"/>
        <w:ind w:right="-97" w:firstLine="560" w:firstLineChars="200"/>
        <w:rPr>
          <w:rFonts w:hint="eastAsia" w:ascii="仿宋" w:hAnsi="仿宋" w:eastAsia="仿宋" w:cs="仿宋"/>
          <w:sz w:val="28"/>
          <w:szCs w:val="28"/>
        </w:rPr>
      </w:pPr>
      <w:r>
        <w:rPr>
          <w:rFonts w:hint="eastAsia" w:ascii="仿宋" w:hAnsi="仿宋" w:eastAsia="仿宋" w:cs="仿宋"/>
          <w:sz w:val="28"/>
          <w:szCs w:val="28"/>
        </w:rPr>
        <w:t xml:space="preserve">（1）与本招标项目的其他供应商为同一个单位负责人； </w:t>
      </w:r>
    </w:p>
    <w:p w14:paraId="744CA8DA">
      <w:pPr>
        <w:pStyle w:val="138"/>
        <w:spacing w:line="440" w:lineRule="exact"/>
        <w:ind w:right="-97" w:firstLine="560" w:firstLineChars="200"/>
        <w:rPr>
          <w:rFonts w:hint="eastAsia" w:ascii="仿宋" w:hAnsi="仿宋" w:eastAsia="仿宋" w:cs="仿宋"/>
          <w:sz w:val="28"/>
          <w:szCs w:val="28"/>
        </w:rPr>
      </w:pPr>
      <w:r>
        <w:rPr>
          <w:rFonts w:hint="eastAsia" w:ascii="仿宋" w:hAnsi="仿宋" w:eastAsia="仿宋" w:cs="仿宋"/>
          <w:sz w:val="28"/>
          <w:szCs w:val="28"/>
        </w:rPr>
        <w:t xml:space="preserve">（2）与本招标项目的其他供应商存在控股、管理关系； </w:t>
      </w:r>
    </w:p>
    <w:p w14:paraId="28E5DFC5">
      <w:pPr>
        <w:pStyle w:val="138"/>
        <w:spacing w:line="440" w:lineRule="exact"/>
        <w:ind w:right="-97" w:firstLine="560" w:firstLineChars="200"/>
        <w:rPr>
          <w:rFonts w:hint="eastAsia" w:ascii="仿宋" w:hAnsi="仿宋" w:eastAsia="仿宋" w:cs="仿宋"/>
          <w:sz w:val="28"/>
          <w:szCs w:val="28"/>
        </w:rPr>
      </w:pPr>
      <w:r>
        <w:rPr>
          <w:rFonts w:hint="eastAsia" w:ascii="仿宋" w:hAnsi="仿宋" w:eastAsia="仿宋" w:cs="仿宋"/>
          <w:sz w:val="28"/>
          <w:szCs w:val="28"/>
        </w:rPr>
        <w:t xml:space="preserve">不存在以上情形。 </w:t>
      </w:r>
    </w:p>
    <w:p w14:paraId="4B22A6FE">
      <w:pPr>
        <w:pStyle w:val="138"/>
        <w:spacing w:line="440" w:lineRule="exact"/>
        <w:ind w:right="-97"/>
        <w:rPr>
          <w:rFonts w:hint="eastAsia" w:ascii="仿宋" w:hAnsi="仿宋" w:eastAsia="仿宋" w:cs="仿宋"/>
          <w:sz w:val="28"/>
          <w:szCs w:val="28"/>
        </w:rPr>
      </w:pPr>
    </w:p>
    <w:p w14:paraId="1972AABC">
      <w:pPr>
        <w:pStyle w:val="138"/>
        <w:spacing w:line="440" w:lineRule="exact"/>
        <w:ind w:right="-97" w:firstLine="560" w:firstLineChars="200"/>
        <w:rPr>
          <w:rFonts w:hint="eastAsia" w:ascii="仿宋" w:hAnsi="仿宋" w:eastAsia="仿宋" w:cs="仿宋"/>
          <w:sz w:val="28"/>
          <w:szCs w:val="28"/>
        </w:rPr>
      </w:pPr>
      <w:r>
        <w:rPr>
          <w:rFonts w:hint="eastAsia" w:ascii="仿宋" w:hAnsi="仿宋" w:eastAsia="仿宋" w:cs="仿宋"/>
          <w:sz w:val="28"/>
          <w:szCs w:val="28"/>
        </w:rPr>
        <w:t>特此承诺！</w:t>
      </w:r>
    </w:p>
    <w:p w14:paraId="3126C3B0">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5F1447AD">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72EAA52B">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52A1AA74">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24E7C8B2">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0D9ECCE8">
      <w:pPr>
        <w:spacing w:line="360" w:lineRule="auto"/>
        <w:ind w:firstLine="3360" w:firstLineChars="1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供应商名称(公章):__________</w:t>
      </w:r>
    </w:p>
    <w:p w14:paraId="4E5E7CB3">
      <w:pPr>
        <w:spacing w:line="360" w:lineRule="auto"/>
        <w:ind w:left="3356" w:leftChars="798" w:hanging="1680" w:hangingChars="6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法定代表人或授权委托人（签字或盖章）:___________                             日    期:    年   月   日</w:t>
      </w:r>
    </w:p>
    <w:p w14:paraId="4109BACB">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54E4BD6A">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0BA90E97">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2EE27063">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0F05BA48">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0C21A20F">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78D1359D">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1F57C54C">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3E9A263B">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3A7C8B39">
      <w:pPr>
        <w:pStyle w:val="138"/>
        <w:spacing w:line="440" w:lineRule="exact"/>
        <w:ind w:right="-97"/>
        <w:rPr>
          <w:rFonts w:hint="eastAsia" w:ascii="宋体" w:hAnsi="宋体" w:cs="宋体"/>
          <w:b/>
          <w:color w:val="000000" w:themeColor="text1"/>
          <w:sz w:val="28"/>
          <w:szCs w:val="28"/>
          <w14:textFill>
            <w14:solidFill>
              <w14:schemeClr w14:val="tx1"/>
            </w14:solidFill>
          </w14:textFill>
        </w:rPr>
      </w:pPr>
    </w:p>
    <w:p w14:paraId="01AAD4A8">
      <w:pPr>
        <w:pStyle w:val="138"/>
        <w:spacing w:line="440" w:lineRule="exact"/>
        <w:ind w:right="-97"/>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（2）其他材料（供应商认为有必要提供的其他资料）</w:t>
      </w:r>
    </w:p>
    <w:p w14:paraId="4BA15FE6">
      <w:pPr>
        <w:pStyle w:val="41"/>
        <w:ind w:left="0" w:leftChars="0" w:firstLine="0"/>
        <w:rPr>
          <w:rFonts w:ascii="宋体" w:hAnsi="宋体" w:cs="宋体"/>
          <w:color w:val="000000" w:themeColor="text1"/>
          <w:spacing w:val="-2"/>
          <w:sz w:val="24"/>
          <w14:textFill>
            <w14:solidFill>
              <w14:schemeClr w14:val="tx1"/>
            </w14:solidFill>
          </w14:textFill>
        </w:rPr>
      </w:pPr>
    </w:p>
    <w:p w14:paraId="6F087647">
      <w:pPr>
        <w:wordWrap w:val="0"/>
        <w:spacing w:line="500" w:lineRule="atLeast"/>
        <w:rPr>
          <w:rFonts w:ascii="宋体" w:hAnsi="宋体" w:cs="宋体"/>
          <w:color w:val="000000" w:themeColor="text1"/>
          <w:sz w:val="20"/>
          <w:highlight w:val="white"/>
          <w14:textFill>
            <w14:solidFill>
              <w14:schemeClr w14:val="tx1"/>
            </w14:solidFill>
          </w14:textFill>
        </w:rPr>
      </w:pPr>
    </w:p>
    <w:sectPr>
      <w:footerReference r:id="rId6" w:type="default"/>
      <w:pgSz w:w="11906" w:h="16838"/>
      <w:pgMar w:top="1440" w:right="1797" w:bottom="1440" w:left="1797"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方正仿宋_GBK">
    <w:altName w:val="微软雅黑"/>
    <w:panose1 w:val="02000000000000000000"/>
    <w:charset w:val="86"/>
    <w:family w:val="auto"/>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 w:name="Wingdings 2">
    <w:altName w:val="Wingdings"/>
    <w:panose1 w:val="05020102010507070707"/>
    <w:charset w:val="02"/>
    <w:family w:val="roman"/>
    <w:pitch w:val="default"/>
    <w:sig w:usb0="00000000" w:usb1="00000000" w:usb2="00000000" w:usb3="00000000" w:csb0="80000000" w:csb1="00000000"/>
  </w:font>
  <w:font w:name="Kingsoft UE">
    <w:panose1 w:val="02000100010000000000"/>
    <w:charset w:val="00"/>
    <w:family w:val="auto"/>
    <w:pitch w:val="default"/>
    <w:sig w:usb0="00000001" w:usb1="00004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68D51C">
    <w:pPr>
      <w:pStyle w:val="2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DED696">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6DED696">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CC4675">
    <w:pPr>
      <w:pStyle w:val="22"/>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79A0EA">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F79A0EA">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FADEC0">
    <w:pPr>
      <w:pStyle w:val="23"/>
    </w:pPr>
    <w:r>
      <w:pict>
        <v:shape id="PowerPlusWaterMarkObject48483704" o:spid="_x0000_s3074" o:spt="136" type="#_x0000_t136" style="position:absolute;left:0pt;height:34.45pt;width:551.5pt;mso-position-horizontal:center;mso-position-horizontal-relative:margin;mso-position-vertical:center;mso-position-vertical-relative:margin;rotation:20643840f;z-index:-251656192;mso-width-relative:page;mso-height-relative:page;" fillcolor="#C0C0C0" filled="t" stroked="f" coordsize="21600,21600" o:allowincell="f">
          <v:path/>
          <v:fill on="t" opacity="32768f" focussize="0,0"/>
          <v:stroke on="f"/>
          <v:imagedata o:title=""/>
          <o:lock v:ext="edit"/>
          <v:textpath on="t" fitshape="t" fitpath="t" trim="f" xscale="f" string="新疆生产建设兵团公共资源交易中心" style="font-family:宋体;font-size:8pt;v-text-align:center;"/>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5231C">
    <w:pPr>
      <w:pStyle w:val="23"/>
    </w:pPr>
    <w:r>
      <w:pict>
        <v:shape id="PowerPlusWaterMarkObject48483703" o:spid="_x0000_s3073" o:spt="136" type="#_x0000_t136" style="position:absolute;left:0pt;height:34.45pt;width:551.5pt;mso-position-horizontal:center;mso-position-horizontal-relative:margin;mso-position-vertical:center;mso-position-vertical-relative:margin;rotation:20643840f;z-index:-251657216;mso-width-relative:page;mso-height-relative:page;" fillcolor="#C0C0C0" filled="t" stroked="f" coordsize="21600,21600" o:allowincell="f">
          <v:path/>
          <v:fill on="t" opacity="32768f" focussize="0,0"/>
          <v:stroke on="f"/>
          <v:imagedata o:title=""/>
          <o:lock v:ext="edit"/>
          <v:textpath on="t" fitshape="t" fitpath="t" trim="f" xscale="f" string="新疆生产建设兵团公共资源交易中心" style="font-family:宋体;font-size:8pt;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5A9054"/>
    <w:multiLevelType w:val="singleLevel"/>
    <w:tmpl w:val="805A9054"/>
    <w:lvl w:ilvl="0" w:tentative="0">
      <w:start w:val="4"/>
      <w:numFmt w:val="chineseCounting"/>
      <w:suff w:val="nothing"/>
      <w:lvlText w:val="（%1）"/>
      <w:lvlJc w:val="left"/>
      <w:rPr>
        <w:rFonts w:hint="eastAsia"/>
      </w:rPr>
    </w:lvl>
  </w:abstractNum>
  <w:abstractNum w:abstractNumId="1">
    <w:nsid w:val="CF73C662"/>
    <w:multiLevelType w:val="singleLevel"/>
    <w:tmpl w:val="CF73C662"/>
    <w:lvl w:ilvl="0" w:tentative="0">
      <w:start w:val="5"/>
      <w:numFmt w:val="chineseCounting"/>
      <w:suff w:val="nothing"/>
      <w:lvlText w:val="（%1）"/>
      <w:lvlJc w:val="left"/>
      <w:rPr>
        <w:rFonts w:hint="eastAsia"/>
      </w:rPr>
    </w:lvl>
  </w:abstractNum>
  <w:abstractNum w:abstractNumId="2">
    <w:nsid w:val="D97DD7BE"/>
    <w:multiLevelType w:val="singleLevel"/>
    <w:tmpl w:val="D97DD7BE"/>
    <w:lvl w:ilvl="0" w:tentative="0">
      <w:start w:val="8"/>
      <w:numFmt w:val="chineseCounting"/>
      <w:suff w:val="nothing"/>
      <w:lvlText w:val="（%1）"/>
      <w:lvlJc w:val="left"/>
      <w:rPr>
        <w:rFonts w:hint="eastAsia"/>
      </w:rPr>
    </w:lvl>
  </w:abstractNum>
  <w:abstractNum w:abstractNumId="3">
    <w:nsid w:val="5CE65BD9"/>
    <w:multiLevelType w:val="singleLevel"/>
    <w:tmpl w:val="5CE65BD9"/>
    <w:lvl w:ilvl="0" w:tentative="0">
      <w:start w:val="1"/>
      <w:numFmt w:val="decimal"/>
      <w:lvlText w:val="%1."/>
      <w:lvlJc w:val="left"/>
      <w:pPr>
        <w:tabs>
          <w:tab w:val="left" w:pos="312"/>
        </w:tabs>
      </w:pPr>
    </w:lvl>
  </w:abstractNum>
  <w:abstractNum w:abstractNumId="4">
    <w:nsid w:val="6084C464"/>
    <w:multiLevelType w:val="singleLevel"/>
    <w:tmpl w:val="6084C464"/>
    <w:lvl w:ilvl="0" w:tentative="0">
      <w:start w:val="1"/>
      <w:numFmt w:val="decimal"/>
      <w:lvlText w:val="%1."/>
      <w:lvlJc w:val="left"/>
      <w:pPr>
        <w:tabs>
          <w:tab w:val="left" w:pos="312"/>
        </w:tabs>
      </w:pPr>
    </w:lvl>
  </w:abstractNum>
  <w:abstractNum w:abstractNumId="5">
    <w:nsid w:val="717D4AEE"/>
    <w:multiLevelType w:val="singleLevel"/>
    <w:tmpl w:val="717D4AEE"/>
    <w:lvl w:ilvl="0" w:tentative="0">
      <w:start w:val="2"/>
      <w:numFmt w:val="decimal"/>
      <w:suff w:val="nothing"/>
      <w:lvlText w:val="%1、"/>
      <w:lvlJc w:val="left"/>
    </w:lvl>
  </w:abstractNum>
  <w:num w:numId="1">
    <w:abstractNumId w:val="4"/>
  </w:num>
  <w:num w:numId="2">
    <w:abstractNumId w:val="5"/>
  </w:num>
  <w:num w:numId="3">
    <w:abstractNumId w:val="1"/>
  </w:num>
  <w:num w:numId="4">
    <w:abstractNumId w:val="2"/>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AxNjNiYjg3MzVlY2I0M2NmNDJkOGVjNDkyZDIxYzgifQ=="/>
  </w:docVars>
  <w:rsids>
    <w:rsidRoot w:val="0052125D"/>
    <w:rsid w:val="000006BF"/>
    <w:rsid w:val="00000D24"/>
    <w:rsid w:val="00011297"/>
    <w:rsid w:val="000159D6"/>
    <w:rsid w:val="00015AA8"/>
    <w:rsid w:val="00017639"/>
    <w:rsid w:val="00020208"/>
    <w:rsid w:val="000227F2"/>
    <w:rsid w:val="0002452B"/>
    <w:rsid w:val="0003279B"/>
    <w:rsid w:val="000330B7"/>
    <w:rsid w:val="00033A4B"/>
    <w:rsid w:val="00043A37"/>
    <w:rsid w:val="0004465C"/>
    <w:rsid w:val="00046C59"/>
    <w:rsid w:val="0005130A"/>
    <w:rsid w:val="0005231A"/>
    <w:rsid w:val="00052430"/>
    <w:rsid w:val="00063581"/>
    <w:rsid w:val="000636E2"/>
    <w:rsid w:val="00064E1F"/>
    <w:rsid w:val="0006611F"/>
    <w:rsid w:val="0008019B"/>
    <w:rsid w:val="000A79C2"/>
    <w:rsid w:val="000C36EC"/>
    <w:rsid w:val="000C76C7"/>
    <w:rsid w:val="000C7E15"/>
    <w:rsid w:val="000D1397"/>
    <w:rsid w:val="000E4B73"/>
    <w:rsid w:val="000E720E"/>
    <w:rsid w:val="000F00C0"/>
    <w:rsid w:val="000F4C3C"/>
    <w:rsid w:val="000F4DBE"/>
    <w:rsid w:val="000F545C"/>
    <w:rsid w:val="001017E6"/>
    <w:rsid w:val="00103B16"/>
    <w:rsid w:val="00107442"/>
    <w:rsid w:val="0011145E"/>
    <w:rsid w:val="00112C52"/>
    <w:rsid w:val="00114ECA"/>
    <w:rsid w:val="00115C49"/>
    <w:rsid w:val="0012462F"/>
    <w:rsid w:val="0013266C"/>
    <w:rsid w:val="00135D1A"/>
    <w:rsid w:val="0013601D"/>
    <w:rsid w:val="00140322"/>
    <w:rsid w:val="0015540E"/>
    <w:rsid w:val="00172B50"/>
    <w:rsid w:val="00172D76"/>
    <w:rsid w:val="00187637"/>
    <w:rsid w:val="00190776"/>
    <w:rsid w:val="00190D32"/>
    <w:rsid w:val="00192E93"/>
    <w:rsid w:val="001A2F4B"/>
    <w:rsid w:val="001A6C2C"/>
    <w:rsid w:val="001B18B7"/>
    <w:rsid w:val="001C7E99"/>
    <w:rsid w:val="001D0B15"/>
    <w:rsid w:val="001D3050"/>
    <w:rsid w:val="001D4480"/>
    <w:rsid w:val="001D5A78"/>
    <w:rsid w:val="001F6FB8"/>
    <w:rsid w:val="00204317"/>
    <w:rsid w:val="00211B99"/>
    <w:rsid w:val="002128A5"/>
    <w:rsid w:val="0021684A"/>
    <w:rsid w:val="00220C29"/>
    <w:rsid w:val="00220EEC"/>
    <w:rsid w:val="002221A2"/>
    <w:rsid w:val="00244683"/>
    <w:rsid w:val="0024615F"/>
    <w:rsid w:val="002506B8"/>
    <w:rsid w:val="00254980"/>
    <w:rsid w:val="00255685"/>
    <w:rsid w:val="00256882"/>
    <w:rsid w:val="002571A0"/>
    <w:rsid w:val="00270BE1"/>
    <w:rsid w:val="002714DA"/>
    <w:rsid w:val="00273F44"/>
    <w:rsid w:val="002754C6"/>
    <w:rsid w:val="002807D1"/>
    <w:rsid w:val="00280850"/>
    <w:rsid w:val="00283A5A"/>
    <w:rsid w:val="002844AA"/>
    <w:rsid w:val="002871B7"/>
    <w:rsid w:val="00287D3C"/>
    <w:rsid w:val="002B278B"/>
    <w:rsid w:val="002B6DEC"/>
    <w:rsid w:val="002C683B"/>
    <w:rsid w:val="002D7D29"/>
    <w:rsid w:val="002E0D26"/>
    <w:rsid w:val="002E5933"/>
    <w:rsid w:val="002F2BF0"/>
    <w:rsid w:val="002F37C1"/>
    <w:rsid w:val="002F4919"/>
    <w:rsid w:val="0030194C"/>
    <w:rsid w:val="0032471E"/>
    <w:rsid w:val="00335A77"/>
    <w:rsid w:val="00335D1A"/>
    <w:rsid w:val="003409D9"/>
    <w:rsid w:val="00344634"/>
    <w:rsid w:val="00344F66"/>
    <w:rsid w:val="00344F82"/>
    <w:rsid w:val="003504B4"/>
    <w:rsid w:val="003516D6"/>
    <w:rsid w:val="00351C36"/>
    <w:rsid w:val="00356F70"/>
    <w:rsid w:val="00365BC3"/>
    <w:rsid w:val="003720D5"/>
    <w:rsid w:val="00373569"/>
    <w:rsid w:val="00380C56"/>
    <w:rsid w:val="00387DB4"/>
    <w:rsid w:val="0039005C"/>
    <w:rsid w:val="003913DD"/>
    <w:rsid w:val="003943B0"/>
    <w:rsid w:val="0039452B"/>
    <w:rsid w:val="00397E86"/>
    <w:rsid w:val="003A73B1"/>
    <w:rsid w:val="003C1AFC"/>
    <w:rsid w:val="003C32AC"/>
    <w:rsid w:val="003C663C"/>
    <w:rsid w:val="003D10EA"/>
    <w:rsid w:val="003D5225"/>
    <w:rsid w:val="003D719F"/>
    <w:rsid w:val="003E08B7"/>
    <w:rsid w:val="003E1129"/>
    <w:rsid w:val="003E62EF"/>
    <w:rsid w:val="003E7604"/>
    <w:rsid w:val="003F2ADD"/>
    <w:rsid w:val="00406D3C"/>
    <w:rsid w:val="00415DF2"/>
    <w:rsid w:val="00420017"/>
    <w:rsid w:val="00421B40"/>
    <w:rsid w:val="0042397A"/>
    <w:rsid w:val="00444530"/>
    <w:rsid w:val="00450A4B"/>
    <w:rsid w:val="00452676"/>
    <w:rsid w:val="00455851"/>
    <w:rsid w:val="00465EC4"/>
    <w:rsid w:val="0047178A"/>
    <w:rsid w:val="00471FDC"/>
    <w:rsid w:val="0047347D"/>
    <w:rsid w:val="004869A4"/>
    <w:rsid w:val="00493A6D"/>
    <w:rsid w:val="004A6402"/>
    <w:rsid w:val="004B31B4"/>
    <w:rsid w:val="004C1CAF"/>
    <w:rsid w:val="004C1FE6"/>
    <w:rsid w:val="004D2C0A"/>
    <w:rsid w:val="004D3435"/>
    <w:rsid w:val="004D5137"/>
    <w:rsid w:val="004E422D"/>
    <w:rsid w:val="004E5479"/>
    <w:rsid w:val="004E743D"/>
    <w:rsid w:val="004F1BF5"/>
    <w:rsid w:val="004F3320"/>
    <w:rsid w:val="00503329"/>
    <w:rsid w:val="005039DF"/>
    <w:rsid w:val="00507676"/>
    <w:rsid w:val="00511C30"/>
    <w:rsid w:val="00513E39"/>
    <w:rsid w:val="0052125D"/>
    <w:rsid w:val="0052289B"/>
    <w:rsid w:val="00525B6E"/>
    <w:rsid w:val="00527701"/>
    <w:rsid w:val="00533CEE"/>
    <w:rsid w:val="00534A6A"/>
    <w:rsid w:val="00536D55"/>
    <w:rsid w:val="00540660"/>
    <w:rsid w:val="00551B95"/>
    <w:rsid w:val="0056063D"/>
    <w:rsid w:val="0056201B"/>
    <w:rsid w:val="00567DAE"/>
    <w:rsid w:val="00574749"/>
    <w:rsid w:val="00583ED7"/>
    <w:rsid w:val="005871C0"/>
    <w:rsid w:val="00591070"/>
    <w:rsid w:val="00593A10"/>
    <w:rsid w:val="005A2A02"/>
    <w:rsid w:val="005B2502"/>
    <w:rsid w:val="005C10A8"/>
    <w:rsid w:val="005C2A90"/>
    <w:rsid w:val="005C6C56"/>
    <w:rsid w:val="005D0544"/>
    <w:rsid w:val="005D0EE9"/>
    <w:rsid w:val="005D1E27"/>
    <w:rsid w:val="005D2CF7"/>
    <w:rsid w:val="005E2754"/>
    <w:rsid w:val="005E6DEB"/>
    <w:rsid w:val="005F1619"/>
    <w:rsid w:val="00606E5C"/>
    <w:rsid w:val="00611DEA"/>
    <w:rsid w:val="00614FA9"/>
    <w:rsid w:val="00620213"/>
    <w:rsid w:val="006270CB"/>
    <w:rsid w:val="0062748D"/>
    <w:rsid w:val="00646A17"/>
    <w:rsid w:val="0065517C"/>
    <w:rsid w:val="00660F2A"/>
    <w:rsid w:val="00677E7F"/>
    <w:rsid w:val="0068007B"/>
    <w:rsid w:val="00681593"/>
    <w:rsid w:val="006868D5"/>
    <w:rsid w:val="00686F87"/>
    <w:rsid w:val="006B2E9A"/>
    <w:rsid w:val="006B3917"/>
    <w:rsid w:val="006C5AEA"/>
    <w:rsid w:val="006E0EAD"/>
    <w:rsid w:val="006E1FCD"/>
    <w:rsid w:val="006F5275"/>
    <w:rsid w:val="006F69E2"/>
    <w:rsid w:val="006F711E"/>
    <w:rsid w:val="00703449"/>
    <w:rsid w:val="00703F85"/>
    <w:rsid w:val="00704942"/>
    <w:rsid w:val="00704B35"/>
    <w:rsid w:val="00707FD0"/>
    <w:rsid w:val="007127D6"/>
    <w:rsid w:val="00724935"/>
    <w:rsid w:val="00725874"/>
    <w:rsid w:val="00730F40"/>
    <w:rsid w:val="00732D3B"/>
    <w:rsid w:val="00745080"/>
    <w:rsid w:val="007471BD"/>
    <w:rsid w:val="00756A39"/>
    <w:rsid w:val="007645BA"/>
    <w:rsid w:val="00786BD8"/>
    <w:rsid w:val="00795F9B"/>
    <w:rsid w:val="007965C3"/>
    <w:rsid w:val="007973D2"/>
    <w:rsid w:val="007A2C75"/>
    <w:rsid w:val="007A47D8"/>
    <w:rsid w:val="007A4D4A"/>
    <w:rsid w:val="007A5F38"/>
    <w:rsid w:val="007B097B"/>
    <w:rsid w:val="007B24A3"/>
    <w:rsid w:val="007B46A8"/>
    <w:rsid w:val="007C3039"/>
    <w:rsid w:val="007D272E"/>
    <w:rsid w:val="007E11C8"/>
    <w:rsid w:val="007E5DF8"/>
    <w:rsid w:val="007E668A"/>
    <w:rsid w:val="0080397D"/>
    <w:rsid w:val="0080413C"/>
    <w:rsid w:val="0080518C"/>
    <w:rsid w:val="00807A1D"/>
    <w:rsid w:val="00813E41"/>
    <w:rsid w:val="00814534"/>
    <w:rsid w:val="00820EC4"/>
    <w:rsid w:val="008267EB"/>
    <w:rsid w:val="0082757E"/>
    <w:rsid w:val="00827757"/>
    <w:rsid w:val="008354EF"/>
    <w:rsid w:val="00846490"/>
    <w:rsid w:val="008544FC"/>
    <w:rsid w:val="00860C5D"/>
    <w:rsid w:val="00861E4A"/>
    <w:rsid w:val="00883FBD"/>
    <w:rsid w:val="00890A93"/>
    <w:rsid w:val="0089424D"/>
    <w:rsid w:val="008959BB"/>
    <w:rsid w:val="008A7EDF"/>
    <w:rsid w:val="008B34D8"/>
    <w:rsid w:val="008C1E42"/>
    <w:rsid w:val="008C62DF"/>
    <w:rsid w:val="008D12B3"/>
    <w:rsid w:val="008D3C5C"/>
    <w:rsid w:val="008D5065"/>
    <w:rsid w:val="008D7B7C"/>
    <w:rsid w:val="008E0244"/>
    <w:rsid w:val="008E1B97"/>
    <w:rsid w:val="008E31CC"/>
    <w:rsid w:val="008F0D15"/>
    <w:rsid w:val="008F50DF"/>
    <w:rsid w:val="0090181F"/>
    <w:rsid w:val="009070C8"/>
    <w:rsid w:val="00914741"/>
    <w:rsid w:val="0092775B"/>
    <w:rsid w:val="009534ED"/>
    <w:rsid w:val="0095409E"/>
    <w:rsid w:val="00957F38"/>
    <w:rsid w:val="00961198"/>
    <w:rsid w:val="00962155"/>
    <w:rsid w:val="00964B09"/>
    <w:rsid w:val="00967D10"/>
    <w:rsid w:val="00972DE8"/>
    <w:rsid w:val="0097606C"/>
    <w:rsid w:val="00994F3C"/>
    <w:rsid w:val="00995090"/>
    <w:rsid w:val="009A2EF7"/>
    <w:rsid w:val="009A6FC9"/>
    <w:rsid w:val="009A79F4"/>
    <w:rsid w:val="009D544C"/>
    <w:rsid w:val="009D6EC0"/>
    <w:rsid w:val="009D7CB7"/>
    <w:rsid w:val="009E25CD"/>
    <w:rsid w:val="009F026A"/>
    <w:rsid w:val="009F08AD"/>
    <w:rsid w:val="00A0435E"/>
    <w:rsid w:val="00A051DF"/>
    <w:rsid w:val="00A156FB"/>
    <w:rsid w:val="00A20720"/>
    <w:rsid w:val="00A2130D"/>
    <w:rsid w:val="00A235AF"/>
    <w:rsid w:val="00A2470C"/>
    <w:rsid w:val="00A31EDD"/>
    <w:rsid w:val="00A54605"/>
    <w:rsid w:val="00A60D4A"/>
    <w:rsid w:val="00A70393"/>
    <w:rsid w:val="00A83A9C"/>
    <w:rsid w:val="00A85790"/>
    <w:rsid w:val="00A9335E"/>
    <w:rsid w:val="00A953B8"/>
    <w:rsid w:val="00AA3848"/>
    <w:rsid w:val="00AC56B5"/>
    <w:rsid w:val="00AD008A"/>
    <w:rsid w:val="00AF3447"/>
    <w:rsid w:val="00B066E5"/>
    <w:rsid w:val="00B11127"/>
    <w:rsid w:val="00B12C18"/>
    <w:rsid w:val="00B17638"/>
    <w:rsid w:val="00B24775"/>
    <w:rsid w:val="00B24799"/>
    <w:rsid w:val="00B255E0"/>
    <w:rsid w:val="00B271BB"/>
    <w:rsid w:val="00B42CEA"/>
    <w:rsid w:val="00B52156"/>
    <w:rsid w:val="00B530F1"/>
    <w:rsid w:val="00B574F7"/>
    <w:rsid w:val="00B60D59"/>
    <w:rsid w:val="00B7652B"/>
    <w:rsid w:val="00B77AB7"/>
    <w:rsid w:val="00B77B31"/>
    <w:rsid w:val="00B8770C"/>
    <w:rsid w:val="00B87F0B"/>
    <w:rsid w:val="00B903A0"/>
    <w:rsid w:val="00B91750"/>
    <w:rsid w:val="00B942AF"/>
    <w:rsid w:val="00B94379"/>
    <w:rsid w:val="00B96F29"/>
    <w:rsid w:val="00BA261C"/>
    <w:rsid w:val="00BA324D"/>
    <w:rsid w:val="00BA3743"/>
    <w:rsid w:val="00BA40C9"/>
    <w:rsid w:val="00BA4433"/>
    <w:rsid w:val="00BA50F9"/>
    <w:rsid w:val="00BB074C"/>
    <w:rsid w:val="00BB4D6D"/>
    <w:rsid w:val="00BB5533"/>
    <w:rsid w:val="00BD14E4"/>
    <w:rsid w:val="00BD7663"/>
    <w:rsid w:val="00BE2A3F"/>
    <w:rsid w:val="00BE3056"/>
    <w:rsid w:val="00BE3E8E"/>
    <w:rsid w:val="00BE74D8"/>
    <w:rsid w:val="00C014CA"/>
    <w:rsid w:val="00C02094"/>
    <w:rsid w:val="00C104A2"/>
    <w:rsid w:val="00C10C8E"/>
    <w:rsid w:val="00C10CE3"/>
    <w:rsid w:val="00C140C9"/>
    <w:rsid w:val="00C17870"/>
    <w:rsid w:val="00C2500C"/>
    <w:rsid w:val="00C30909"/>
    <w:rsid w:val="00C368BA"/>
    <w:rsid w:val="00C4183C"/>
    <w:rsid w:val="00C474F7"/>
    <w:rsid w:val="00C660D5"/>
    <w:rsid w:val="00C66B84"/>
    <w:rsid w:val="00C66E33"/>
    <w:rsid w:val="00C66FA2"/>
    <w:rsid w:val="00C802A3"/>
    <w:rsid w:val="00C870B5"/>
    <w:rsid w:val="00C917FC"/>
    <w:rsid w:val="00C95130"/>
    <w:rsid w:val="00CA2A6A"/>
    <w:rsid w:val="00CA2F7B"/>
    <w:rsid w:val="00CA6561"/>
    <w:rsid w:val="00CC78DC"/>
    <w:rsid w:val="00CE17F6"/>
    <w:rsid w:val="00CF00D6"/>
    <w:rsid w:val="00CF11CF"/>
    <w:rsid w:val="00D040D4"/>
    <w:rsid w:val="00D07186"/>
    <w:rsid w:val="00D1695F"/>
    <w:rsid w:val="00D173DB"/>
    <w:rsid w:val="00D21C43"/>
    <w:rsid w:val="00D22978"/>
    <w:rsid w:val="00D30C58"/>
    <w:rsid w:val="00D43FE1"/>
    <w:rsid w:val="00D478D9"/>
    <w:rsid w:val="00D63F30"/>
    <w:rsid w:val="00D70859"/>
    <w:rsid w:val="00D92564"/>
    <w:rsid w:val="00D9614C"/>
    <w:rsid w:val="00DA43FA"/>
    <w:rsid w:val="00DA50EA"/>
    <w:rsid w:val="00DA5BDA"/>
    <w:rsid w:val="00DA6421"/>
    <w:rsid w:val="00DA679B"/>
    <w:rsid w:val="00DB403A"/>
    <w:rsid w:val="00DC6573"/>
    <w:rsid w:val="00DD2C2A"/>
    <w:rsid w:val="00DD4CB9"/>
    <w:rsid w:val="00DE3B6F"/>
    <w:rsid w:val="00DE4BF1"/>
    <w:rsid w:val="00DE67DF"/>
    <w:rsid w:val="00DE718D"/>
    <w:rsid w:val="00DF4715"/>
    <w:rsid w:val="00DF5549"/>
    <w:rsid w:val="00E003AE"/>
    <w:rsid w:val="00E10F3D"/>
    <w:rsid w:val="00E16D42"/>
    <w:rsid w:val="00E171BF"/>
    <w:rsid w:val="00E254F8"/>
    <w:rsid w:val="00E2770B"/>
    <w:rsid w:val="00E31A68"/>
    <w:rsid w:val="00E34311"/>
    <w:rsid w:val="00E35CB0"/>
    <w:rsid w:val="00E45FE3"/>
    <w:rsid w:val="00E70AE0"/>
    <w:rsid w:val="00E729A8"/>
    <w:rsid w:val="00E77E7D"/>
    <w:rsid w:val="00E812DF"/>
    <w:rsid w:val="00E91682"/>
    <w:rsid w:val="00E92B30"/>
    <w:rsid w:val="00EA02D0"/>
    <w:rsid w:val="00EC693F"/>
    <w:rsid w:val="00EC7D87"/>
    <w:rsid w:val="00ED0D7C"/>
    <w:rsid w:val="00EE60F5"/>
    <w:rsid w:val="00EF15CD"/>
    <w:rsid w:val="00F07617"/>
    <w:rsid w:val="00F10E2D"/>
    <w:rsid w:val="00F2375E"/>
    <w:rsid w:val="00F26CE5"/>
    <w:rsid w:val="00F27D6F"/>
    <w:rsid w:val="00F3338A"/>
    <w:rsid w:val="00F42E5E"/>
    <w:rsid w:val="00F51A20"/>
    <w:rsid w:val="00F60336"/>
    <w:rsid w:val="00FA0DC1"/>
    <w:rsid w:val="00FB4087"/>
    <w:rsid w:val="00FC419B"/>
    <w:rsid w:val="00FC48F7"/>
    <w:rsid w:val="00FD235A"/>
    <w:rsid w:val="00FE05BA"/>
    <w:rsid w:val="00FF1870"/>
    <w:rsid w:val="00FF4ACF"/>
    <w:rsid w:val="00FF52CE"/>
    <w:rsid w:val="01082229"/>
    <w:rsid w:val="018F626C"/>
    <w:rsid w:val="01B815C9"/>
    <w:rsid w:val="01BF6380"/>
    <w:rsid w:val="01CC5167"/>
    <w:rsid w:val="01F6514A"/>
    <w:rsid w:val="01F9124D"/>
    <w:rsid w:val="025F06C7"/>
    <w:rsid w:val="02A020CB"/>
    <w:rsid w:val="02C63ADC"/>
    <w:rsid w:val="02DD004A"/>
    <w:rsid w:val="02EF1E8A"/>
    <w:rsid w:val="030F0523"/>
    <w:rsid w:val="033A4B32"/>
    <w:rsid w:val="034B4BE6"/>
    <w:rsid w:val="03685798"/>
    <w:rsid w:val="036B2E54"/>
    <w:rsid w:val="03727E30"/>
    <w:rsid w:val="03C77A67"/>
    <w:rsid w:val="03EC2924"/>
    <w:rsid w:val="043D09D3"/>
    <w:rsid w:val="049A5E25"/>
    <w:rsid w:val="049A7BD3"/>
    <w:rsid w:val="04B006D2"/>
    <w:rsid w:val="04CF3469"/>
    <w:rsid w:val="04E247AF"/>
    <w:rsid w:val="05010EC9"/>
    <w:rsid w:val="05151F2F"/>
    <w:rsid w:val="052F2A11"/>
    <w:rsid w:val="054E3245"/>
    <w:rsid w:val="05656D7F"/>
    <w:rsid w:val="05A0352B"/>
    <w:rsid w:val="05D04600"/>
    <w:rsid w:val="05F9198D"/>
    <w:rsid w:val="06125815"/>
    <w:rsid w:val="061B2182"/>
    <w:rsid w:val="062B1E83"/>
    <w:rsid w:val="063E4322"/>
    <w:rsid w:val="068868D7"/>
    <w:rsid w:val="068C0922"/>
    <w:rsid w:val="073D5D08"/>
    <w:rsid w:val="07573AF9"/>
    <w:rsid w:val="077B758C"/>
    <w:rsid w:val="07926EDC"/>
    <w:rsid w:val="07A85289"/>
    <w:rsid w:val="08620D29"/>
    <w:rsid w:val="08687FE8"/>
    <w:rsid w:val="086D631B"/>
    <w:rsid w:val="087A52B2"/>
    <w:rsid w:val="089A5012"/>
    <w:rsid w:val="08A76360"/>
    <w:rsid w:val="08AC45CE"/>
    <w:rsid w:val="08AF1F97"/>
    <w:rsid w:val="08C360EB"/>
    <w:rsid w:val="09AB1135"/>
    <w:rsid w:val="09C0632E"/>
    <w:rsid w:val="09C22FF0"/>
    <w:rsid w:val="09EB6775"/>
    <w:rsid w:val="0A0427C2"/>
    <w:rsid w:val="0A1616AA"/>
    <w:rsid w:val="0A343B0D"/>
    <w:rsid w:val="0A382368"/>
    <w:rsid w:val="0A48270E"/>
    <w:rsid w:val="0A5202F5"/>
    <w:rsid w:val="0A7669ED"/>
    <w:rsid w:val="0A7A5933"/>
    <w:rsid w:val="0A8455AD"/>
    <w:rsid w:val="0AAC0A0E"/>
    <w:rsid w:val="0AB17A25"/>
    <w:rsid w:val="0AB526FE"/>
    <w:rsid w:val="0AEE2A27"/>
    <w:rsid w:val="0AF618DB"/>
    <w:rsid w:val="0B1D0FB0"/>
    <w:rsid w:val="0B1F4B7E"/>
    <w:rsid w:val="0B42778E"/>
    <w:rsid w:val="0B5C4849"/>
    <w:rsid w:val="0B8D2240"/>
    <w:rsid w:val="0BA3344F"/>
    <w:rsid w:val="0BDD6C6E"/>
    <w:rsid w:val="0BEB51B8"/>
    <w:rsid w:val="0C457145"/>
    <w:rsid w:val="0C697717"/>
    <w:rsid w:val="0C8E0404"/>
    <w:rsid w:val="0D324A9D"/>
    <w:rsid w:val="0D325C6E"/>
    <w:rsid w:val="0D8C2961"/>
    <w:rsid w:val="0DA33F9D"/>
    <w:rsid w:val="0DAC2346"/>
    <w:rsid w:val="0DC06A77"/>
    <w:rsid w:val="0DE6773F"/>
    <w:rsid w:val="0E0067E5"/>
    <w:rsid w:val="0E464928"/>
    <w:rsid w:val="0E47045A"/>
    <w:rsid w:val="0E6D29F4"/>
    <w:rsid w:val="0E83792A"/>
    <w:rsid w:val="0E883FAC"/>
    <w:rsid w:val="0E8A6F0A"/>
    <w:rsid w:val="0E9B25B8"/>
    <w:rsid w:val="0EA37FCC"/>
    <w:rsid w:val="0EAA2677"/>
    <w:rsid w:val="0EE64607"/>
    <w:rsid w:val="0F1F3AF7"/>
    <w:rsid w:val="0F45621F"/>
    <w:rsid w:val="0F4842EB"/>
    <w:rsid w:val="0F4B6482"/>
    <w:rsid w:val="0F64775C"/>
    <w:rsid w:val="0F6B6D3C"/>
    <w:rsid w:val="0F7E7A9B"/>
    <w:rsid w:val="0F9F3D4B"/>
    <w:rsid w:val="0FCE1079"/>
    <w:rsid w:val="0FDD554C"/>
    <w:rsid w:val="10042CED"/>
    <w:rsid w:val="101D790A"/>
    <w:rsid w:val="103C5FE2"/>
    <w:rsid w:val="10664185"/>
    <w:rsid w:val="106943B3"/>
    <w:rsid w:val="10971845"/>
    <w:rsid w:val="10AE67E0"/>
    <w:rsid w:val="10DC0689"/>
    <w:rsid w:val="11BA7B07"/>
    <w:rsid w:val="11D3386F"/>
    <w:rsid w:val="11DC698A"/>
    <w:rsid w:val="11E07AD1"/>
    <w:rsid w:val="11F62EF8"/>
    <w:rsid w:val="120668A8"/>
    <w:rsid w:val="121216F1"/>
    <w:rsid w:val="121B3069"/>
    <w:rsid w:val="121D4B51"/>
    <w:rsid w:val="122D296F"/>
    <w:rsid w:val="12314448"/>
    <w:rsid w:val="125418DB"/>
    <w:rsid w:val="12922832"/>
    <w:rsid w:val="12CF75E2"/>
    <w:rsid w:val="13257202"/>
    <w:rsid w:val="132A2A6A"/>
    <w:rsid w:val="13356E42"/>
    <w:rsid w:val="133D751B"/>
    <w:rsid w:val="13685340"/>
    <w:rsid w:val="13960100"/>
    <w:rsid w:val="139869C2"/>
    <w:rsid w:val="13A32C9F"/>
    <w:rsid w:val="13B80309"/>
    <w:rsid w:val="13B81E24"/>
    <w:rsid w:val="13E452FA"/>
    <w:rsid w:val="14C64A14"/>
    <w:rsid w:val="14E32751"/>
    <w:rsid w:val="14EE4FBA"/>
    <w:rsid w:val="15214D82"/>
    <w:rsid w:val="1528122B"/>
    <w:rsid w:val="152C0D1B"/>
    <w:rsid w:val="154054A0"/>
    <w:rsid w:val="15520056"/>
    <w:rsid w:val="15632026"/>
    <w:rsid w:val="15892AA0"/>
    <w:rsid w:val="158C17BA"/>
    <w:rsid w:val="16041350"/>
    <w:rsid w:val="163F0853"/>
    <w:rsid w:val="16403624"/>
    <w:rsid w:val="164756E1"/>
    <w:rsid w:val="16587089"/>
    <w:rsid w:val="16884DDE"/>
    <w:rsid w:val="16946B78"/>
    <w:rsid w:val="169A587E"/>
    <w:rsid w:val="16A65921"/>
    <w:rsid w:val="16CB24F8"/>
    <w:rsid w:val="16D276A1"/>
    <w:rsid w:val="16D85A4F"/>
    <w:rsid w:val="16F77662"/>
    <w:rsid w:val="171A435B"/>
    <w:rsid w:val="17451C21"/>
    <w:rsid w:val="17523C9E"/>
    <w:rsid w:val="175956CC"/>
    <w:rsid w:val="175D5520"/>
    <w:rsid w:val="176F3141"/>
    <w:rsid w:val="17741670"/>
    <w:rsid w:val="17874498"/>
    <w:rsid w:val="17BE19D3"/>
    <w:rsid w:val="18027EDA"/>
    <w:rsid w:val="18117D55"/>
    <w:rsid w:val="18310E43"/>
    <w:rsid w:val="18356139"/>
    <w:rsid w:val="184C5CD2"/>
    <w:rsid w:val="18751E99"/>
    <w:rsid w:val="187B3E47"/>
    <w:rsid w:val="188776B7"/>
    <w:rsid w:val="188B738A"/>
    <w:rsid w:val="18AC3C70"/>
    <w:rsid w:val="18AF748C"/>
    <w:rsid w:val="18CB5FE8"/>
    <w:rsid w:val="19176201"/>
    <w:rsid w:val="191E097B"/>
    <w:rsid w:val="19423CEA"/>
    <w:rsid w:val="194C53E3"/>
    <w:rsid w:val="19651FD0"/>
    <w:rsid w:val="196F567B"/>
    <w:rsid w:val="197B409C"/>
    <w:rsid w:val="19840C50"/>
    <w:rsid w:val="199A40F8"/>
    <w:rsid w:val="19A37A60"/>
    <w:rsid w:val="19BB266E"/>
    <w:rsid w:val="19EE47F1"/>
    <w:rsid w:val="19F5108B"/>
    <w:rsid w:val="19F81B23"/>
    <w:rsid w:val="1AAB623F"/>
    <w:rsid w:val="1AD7237C"/>
    <w:rsid w:val="1B06026F"/>
    <w:rsid w:val="1B7355C2"/>
    <w:rsid w:val="1B847E89"/>
    <w:rsid w:val="1B8575A1"/>
    <w:rsid w:val="1B96141C"/>
    <w:rsid w:val="1BCB0910"/>
    <w:rsid w:val="1BE1325C"/>
    <w:rsid w:val="1C1B77C3"/>
    <w:rsid w:val="1C392760"/>
    <w:rsid w:val="1C4E4CB8"/>
    <w:rsid w:val="1C5B29B0"/>
    <w:rsid w:val="1C5B72D2"/>
    <w:rsid w:val="1C8804E6"/>
    <w:rsid w:val="1C9A2A0F"/>
    <w:rsid w:val="1CFB1C06"/>
    <w:rsid w:val="1D334E8E"/>
    <w:rsid w:val="1D4B78EE"/>
    <w:rsid w:val="1D5030CD"/>
    <w:rsid w:val="1D6D0123"/>
    <w:rsid w:val="1D8D2573"/>
    <w:rsid w:val="1DD8724A"/>
    <w:rsid w:val="1DF22C48"/>
    <w:rsid w:val="1DF71805"/>
    <w:rsid w:val="1E0466CF"/>
    <w:rsid w:val="1E065362"/>
    <w:rsid w:val="1E0D7198"/>
    <w:rsid w:val="1E1B192D"/>
    <w:rsid w:val="1E240900"/>
    <w:rsid w:val="1E472722"/>
    <w:rsid w:val="1ED93562"/>
    <w:rsid w:val="1EDC472C"/>
    <w:rsid w:val="1F0E2226"/>
    <w:rsid w:val="1F192C52"/>
    <w:rsid w:val="1F2D04C8"/>
    <w:rsid w:val="1F890B18"/>
    <w:rsid w:val="1FC305B1"/>
    <w:rsid w:val="1FC66D93"/>
    <w:rsid w:val="1FCD5EBD"/>
    <w:rsid w:val="1FDA75DC"/>
    <w:rsid w:val="1FEC17D3"/>
    <w:rsid w:val="1FF61411"/>
    <w:rsid w:val="20191E9C"/>
    <w:rsid w:val="20226773"/>
    <w:rsid w:val="20360CA0"/>
    <w:rsid w:val="204D1B46"/>
    <w:rsid w:val="207C5221"/>
    <w:rsid w:val="209E6210"/>
    <w:rsid w:val="20C43BC9"/>
    <w:rsid w:val="20CC0102"/>
    <w:rsid w:val="20F278A3"/>
    <w:rsid w:val="21A63E82"/>
    <w:rsid w:val="220023A5"/>
    <w:rsid w:val="22226FAF"/>
    <w:rsid w:val="226428CF"/>
    <w:rsid w:val="22822469"/>
    <w:rsid w:val="22932F89"/>
    <w:rsid w:val="229F4440"/>
    <w:rsid w:val="22A7378F"/>
    <w:rsid w:val="22AF7DBF"/>
    <w:rsid w:val="22B43C33"/>
    <w:rsid w:val="22D10A6A"/>
    <w:rsid w:val="23160915"/>
    <w:rsid w:val="231828DF"/>
    <w:rsid w:val="23397C64"/>
    <w:rsid w:val="237C3DA7"/>
    <w:rsid w:val="23D63E89"/>
    <w:rsid w:val="23DD0904"/>
    <w:rsid w:val="23E8246B"/>
    <w:rsid w:val="24660BDC"/>
    <w:rsid w:val="24711B7F"/>
    <w:rsid w:val="248614F4"/>
    <w:rsid w:val="24AE34FB"/>
    <w:rsid w:val="24C70119"/>
    <w:rsid w:val="24F31E8B"/>
    <w:rsid w:val="250257E5"/>
    <w:rsid w:val="25292B82"/>
    <w:rsid w:val="25672CA3"/>
    <w:rsid w:val="258A6B46"/>
    <w:rsid w:val="259F603D"/>
    <w:rsid w:val="25B36D79"/>
    <w:rsid w:val="25BA2F0C"/>
    <w:rsid w:val="25BC57A4"/>
    <w:rsid w:val="25BE437E"/>
    <w:rsid w:val="25EC2AFC"/>
    <w:rsid w:val="26321022"/>
    <w:rsid w:val="26426AF8"/>
    <w:rsid w:val="26492DAF"/>
    <w:rsid w:val="265F3F5F"/>
    <w:rsid w:val="26793695"/>
    <w:rsid w:val="269363EA"/>
    <w:rsid w:val="26CE68EE"/>
    <w:rsid w:val="26E52AD8"/>
    <w:rsid w:val="2702368A"/>
    <w:rsid w:val="27054518"/>
    <w:rsid w:val="278E3170"/>
    <w:rsid w:val="27EA24FD"/>
    <w:rsid w:val="280456BC"/>
    <w:rsid w:val="28101DD7"/>
    <w:rsid w:val="2862420F"/>
    <w:rsid w:val="2897106D"/>
    <w:rsid w:val="289F1FBE"/>
    <w:rsid w:val="28BA7844"/>
    <w:rsid w:val="28CF57EE"/>
    <w:rsid w:val="28E47DF7"/>
    <w:rsid w:val="28EB63A0"/>
    <w:rsid w:val="28F27758"/>
    <w:rsid w:val="28F330BD"/>
    <w:rsid w:val="29072281"/>
    <w:rsid w:val="290F208E"/>
    <w:rsid w:val="291C47AB"/>
    <w:rsid w:val="29257957"/>
    <w:rsid w:val="292A400F"/>
    <w:rsid w:val="297A1F91"/>
    <w:rsid w:val="299434BD"/>
    <w:rsid w:val="299E3412"/>
    <w:rsid w:val="29B35110"/>
    <w:rsid w:val="29D10089"/>
    <w:rsid w:val="29E812D3"/>
    <w:rsid w:val="29F80D74"/>
    <w:rsid w:val="2A0532A8"/>
    <w:rsid w:val="2A3D2C2B"/>
    <w:rsid w:val="2A3F0751"/>
    <w:rsid w:val="2A62278A"/>
    <w:rsid w:val="2A856AE2"/>
    <w:rsid w:val="2A8B7D17"/>
    <w:rsid w:val="2ABD3BAE"/>
    <w:rsid w:val="2AC40974"/>
    <w:rsid w:val="2AE44013"/>
    <w:rsid w:val="2AE57A2D"/>
    <w:rsid w:val="2AFC6642"/>
    <w:rsid w:val="2B0B4AD7"/>
    <w:rsid w:val="2B886128"/>
    <w:rsid w:val="2B9E68B5"/>
    <w:rsid w:val="2BF24CAA"/>
    <w:rsid w:val="2BF74C39"/>
    <w:rsid w:val="2C1F3D07"/>
    <w:rsid w:val="2C6D679B"/>
    <w:rsid w:val="2CAF2430"/>
    <w:rsid w:val="2CB31280"/>
    <w:rsid w:val="2CCE400E"/>
    <w:rsid w:val="2CD873B9"/>
    <w:rsid w:val="2CF03F85"/>
    <w:rsid w:val="2D102879"/>
    <w:rsid w:val="2D2F06FF"/>
    <w:rsid w:val="2D800B62"/>
    <w:rsid w:val="2D8D3ECA"/>
    <w:rsid w:val="2DB268FB"/>
    <w:rsid w:val="2DC71D5E"/>
    <w:rsid w:val="2DE955A4"/>
    <w:rsid w:val="2DF61C6A"/>
    <w:rsid w:val="2E045F3A"/>
    <w:rsid w:val="2E24482E"/>
    <w:rsid w:val="2E3B6ED7"/>
    <w:rsid w:val="2E67471B"/>
    <w:rsid w:val="2EBA5B45"/>
    <w:rsid w:val="2EC456C9"/>
    <w:rsid w:val="2EEB70FA"/>
    <w:rsid w:val="2F1F51F9"/>
    <w:rsid w:val="2F432A92"/>
    <w:rsid w:val="2FA31612"/>
    <w:rsid w:val="303D7D61"/>
    <w:rsid w:val="305271E9"/>
    <w:rsid w:val="30534F57"/>
    <w:rsid w:val="305A5E42"/>
    <w:rsid w:val="30A64DE9"/>
    <w:rsid w:val="30AD4C16"/>
    <w:rsid w:val="30D140CD"/>
    <w:rsid w:val="31435B14"/>
    <w:rsid w:val="314D5E4A"/>
    <w:rsid w:val="31771B55"/>
    <w:rsid w:val="317E6E1B"/>
    <w:rsid w:val="31B71301"/>
    <w:rsid w:val="31E87920"/>
    <w:rsid w:val="31F504AA"/>
    <w:rsid w:val="32292413"/>
    <w:rsid w:val="322A7F39"/>
    <w:rsid w:val="323F199F"/>
    <w:rsid w:val="326D298B"/>
    <w:rsid w:val="32747F14"/>
    <w:rsid w:val="32915F56"/>
    <w:rsid w:val="32A63A8F"/>
    <w:rsid w:val="32C43EEA"/>
    <w:rsid w:val="32DF6F75"/>
    <w:rsid w:val="32E643B1"/>
    <w:rsid w:val="33040A4B"/>
    <w:rsid w:val="331E3B57"/>
    <w:rsid w:val="332E5807"/>
    <w:rsid w:val="339875DA"/>
    <w:rsid w:val="33D11E7A"/>
    <w:rsid w:val="33EB36F8"/>
    <w:rsid w:val="340201D1"/>
    <w:rsid w:val="34425A0E"/>
    <w:rsid w:val="3454129D"/>
    <w:rsid w:val="34956BEC"/>
    <w:rsid w:val="34C459EE"/>
    <w:rsid w:val="34D67F04"/>
    <w:rsid w:val="34ED6529"/>
    <w:rsid w:val="34FC0DFE"/>
    <w:rsid w:val="350E766B"/>
    <w:rsid w:val="352549E8"/>
    <w:rsid w:val="356C0301"/>
    <w:rsid w:val="3572005D"/>
    <w:rsid w:val="3575771D"/>
    <w:rsid w:val="358F70C1"/>
    <w:rsid w:val="35D90603"/>
    <w:rsid w:val="35E30B2B"/>
    <w:rsid w:val="36627389"/>
    <w:rsid w:val="36633A19"/>
    <w:rsid w:val="367D08FA"/>
    <w:rsid w:val="368B4E63"/>
    <w:rsid w:val="36D30B9F"/>
    <w:rsid w:val="3702788C"/>
    <w:rsid w:val="371A4A20"/>
    <w:rsid w:val="372733DD"/>
    <w:rsid w:val="373848CD"/>
    <w:rsid w:val="373A6E70"/>
    <w:rsid w:val="37945E5C"/>
    <w:rsid w:val="37A100E2"/>
    <w:rsid w:val="37A2031C"/>
    <w:rsid w:val="37D4524B"/>
    <w:rsid w:val="38080D1C"/>
    <w:rsid w:val="38143115"/>
    <w:rsid w:val="382613D6"/>
    <w:rsid w:val="38D25BCA"/>
    <w:rsid w:val="38EA69B5"/>
    <w:rsid w:val="39022AD6"/>
    <w:rsid w:val="39046B36"/>
    <w:rsid w:val="39292CF8"/>
    <w:rsid w:val="399C558A"/>
    <w:rsid w:val="39C417E4"/>
    <w:rsid w:val="39DA4114"/>
    <w:rsid w:val="3A455A89"/>
    <w:rsid w:val="3A494506"/>
    <w:rsid w:val="3A787C23"/>
    <w:rsid w:val="3A893431"/>
    <w:rsid w:val="3A997D16"/>
    <w:rsid w:val="3AD60D8B"/>
    <w:rsid w:val="3ADF0D6F"/>
    <w:rsid w:val="3AE72E6B"/>
    <w:rsid w:val="3AEA70D0"/>
    <w:rsid w:val="3AED5FA8"/>
    <w:rsid w:val="3AF235BE"/>
    <w:rsid w:val="3B0846CC"/>
    <w:rsid w:val="3B500217"/>
    <w:rsid w:val="3B5C2CFB"/>
    <w:rsid w:val="3B7F7A40"/>
    <w:rsid w:val="3BB473B5"/>
    <w:rsid w:val="3BC23DAF"/>
    <w:rsid w:val="3BF57C47"/>
    <w:rsid w:val="3C1E2471"/>
    <w:rsid w:val="3C432323"/>
    <w:rsid w:val="3C71507F"/>
    <w:rsid w:val="3C8C7A14"/>
    <w:rsid w:val="3C940DD1"/>
    <w:rsid w:val="3CA960FC"/>
    <w:rsid w:val="3CBD4CB0"/>
    <w:rsid w:val="3CC10986"/>
    <w:rsid w:val="3CEF6007"/>
    <w:rsid w:val="3D0575D8"/>
    <w:rsid w:val="3D1A595E"/>
    <w:rsid w:val="3D22018A"/>
    <w:rsid w:val="3D4B5A6B"/>
    <w:rsid w:val="3D606F05"/>
    <w:rsid w:val="3DBA4867"/>
    <w:rsid w:val="3DDE54F9"/>
    <w:rsid w:val="3DDE6C9D"/>
    <w:rsid w:val="3DFC4E7F"/>
    <w:rsid w:val="3E3A7756"/>
    <w:rsid w:val="3E55633E"/>
    <w:rsid w:val="3E563452"/>
    <w:rsid w:val="3E5E5F89"/>
    <w:rsid w:val="3E720C9E"/>
    <w:rsid w:val="3E907376"/>
    <w:rsid w:val="3E99495F"/>
    <w:rsid w:val="3EB14760"/>
    <w:rsid w:val="3EBC63BD"/>
    <w:rsid w:val="3EC03C4F"/>
    <w:rsid w:val="3EC55271"/>
    <w:rsid w:val="3EDA5325"/>
    <w:rsid w:val="3F012022"/>
    <w:rsid w:val="3F3013EB"/>
    <w:rsid w:val="3F3A3AB1"/>
    <w:rsid w:val="3F6E7EA3"/>
    <w:rsid w:val="3F8A3B11"/>
    <w:rsid w:val="3FA05CDE"/>
    <w:rsid w:val="3FB234C6"/>
    <w:rsid w:val="3FB858B2"/>
    <w:rsid w:val="3FB928FC"/>
    <w:rsid w:val="3FC76DC7"/>
    <w:rsid w:val="3FDE62CA"/>
    <w:rsid w:val="3FFB417E"/>
    <w:rsid w:val="4025315F"/>
    <w:rsid w:val="40276E8F"/>
    <w:rsid w:val="40292866"/>
    <w:rsid w:val="40C458FF"/>
    <w:rsid w:val="40C81049"/>
    <w:rsid w:val="40CA338F"/>
    <w:rsid w:val="4110495A"/>
    <w:rsid w:val="41275C8F"/>
    <w:rsid w:val="413B0A13"/>
    <w:rsid w:val="41456081"/>
    <w:rsid w:val="41594542"/>
    <w:rsid w:val="416A2100"/>
    <w:rsid w:val="41881C1B"/>
    <w:rsid w:val="41921689"/>
    <w:rsid w:val="41A453E3"/>
    <w:rsid w:val="41B96BE3"/>
    <w:rsid w:val="41DF6414"/>
    <w:rsid w:val="422763B9"/>
    <w:rsid w:val="422E75D1"/>
    <w:rsid w:val="424B7FBD"/>
    <w:rsid w:val="4267704F"/>
    <w:rsid w:val="42733528"/>
    <w:rsid w:val="42891129"/>
    <w:rsid w:val="429F3F15"/>
    <w:rsid w:val="42E027EF"/>
    <w:rsid w:val="42E655B2"/>
    <w:rsid w:val="43432C09"/>
    <w:rsid w:val="435C1F1C"/>
    <w:rsid w:val="43A23DD3"/>
    <w:rsid w:val="4417526C"/>
    <w:rsid w:val="44A33D51"/>
    <w:rsid w:val="44BB31B1"/>
    <w:rsid w:val="44D2693A"/>
    <w:rsid w:val="44E411C8"/>
    <w:rsid w:val="44FD4A00"/>
    <w:rsid w:val="451764AF"/>
    <w:rsid w:val="45684BA8"/>
    <w:rsid w:val="456B28EB"/>
    <w:rsid w:val="45A2122C"/>
    <w:rsid w:val="45A45947"/>
    <w:rsid w:val="45C77157"/>
    <w:rsid w:val="45D109A0"/>
    <w:rsid w:val="45D264C6"/>
    <w:rsid w:val="45E242AC"/>
    <w:rsid w:val="461800BE"/>
    <w:rsid w:val="46207231"/>
    <w:rsid w:val="46560EA5"/>
    <w:rsid w:val="46584C1D"/>
    <w:rsid w:val="466F1F67"/>
    <w:rsid w:val="4672349F"/>
    <w:rsid w:val="46871A23"/>
    <w:rsid w:val="468C6A53"/>
    <w:rsid w:val="46A95479"/>
    <w:rsid w:val="46CC5899"/>
    <w:rsid w:val="46CE4EDF"/>
    <w:rsid w:val="46DE2C5B"/>
    <w:rsid w:val="46FC1A4C"/>
    <w:rsid w:val="471F6C15"/>
    <w:rsid w:val="4728561D"/>
    <w:rsid w:val="476615BC"/>
    <w:rsid w:val="47910868"/>
    <w:rsid w:val="47A44AB2"/>
    <w:rsid w:val="47D23715"/>
    <w:rsid w:val="47D77DC3"/>
    <w:rsid w:val="48052B82"/>
    <w:rsid w:val="48194880"/>
    <w:rsid w:val="481E39F7"/>
    <w:rsid w:val="48233009"/>
    <w:rsid w:val="483A04B7"/>
    <w:rsid w:val="48425B85"/>
    <w:rsid w:val="48B24F19"/>
    <w:rsid w:val="48B710E2"/>
    <w:rsid w:val="48F52391"/>
    <w:rsid w:val="49064B23"/>
    <w:rsid w:val="490E6910"/>
    <w:rsid w:val="491575FD"/>
    <w:rsid w:val="493B49C2"/>
    <w:rsid w:val="495A0CAC"/>
    <w:rsid w:val="498E392B"/>
    <w:rsid w:val="49B76BF2"/>
    <w:rsid w:val="49D942C7"/>
    <w:rsid w:val="49F54225"/>
    <w:rsid w:val="4A0850F4"/>
    <w:rsid w:val="4A1A625F"/>
    <w:rsid w:val="4A281A58"/>
    <w:rsid w:val="4AA448D5"/>
    <w:rsid w:val="4ABD5996"/>
    <w:rsid w:val="4AE039F6"/>
    <w:rsid w:val="4B065ADB"/>
    <w:rsid w:val="4B4707D7"/>
    <w:rsid w:val="4B7360EA"/>
    <w:rsid w:val="4B7F0E9E"/>
    <w:rsid w:val="4B813038"/>
    <w:rsid w:val="4BC13264"/>
    <w:rsid w:val="4BFE4B1B"/>
    <w:rsid w:val="4C0179C4"/>
    <w:rsid w:val="4C215D55"/>
    <w:rsid w:val="4C795BE9"/>
    <w:rsid w:val="4C882FE1"/>
    <w:rsid w:val="4CB93F3C"/>
    <w:rsid w:val="4CBB5F06"/>
    <w:rsid w:val="4D261450"/>
    <w:rsid w:val="4D523DD5"/>
    <w:rsid w:val="4D8421F9"/>
    <w:rsid w:val="4E2357F4"/>
    <w:rsid w:val="4E41068C"/>
    <w:rsid w:val="4E4163E6"/>
    <w:rsid w:val="4E475B7D"/>
    <w:rsid w:val="4E5A4A86"/>
    <w:rsid w:val="4E5E0C2B"/>
    <w:rsid w:val="4E600B13"/>
    <w:rsid w:val="4E994025"/>
    <w:rsid w:val="4E9E6F6C"/>
    <w:rsid w:val="4EDD2163"/>
    <w:rsid w:val="4F4915A7"/>
    <w:rsid w:val="4F49538B"/>
    <w:rsid w:val="4F7C7A9C"/>
    <w:rsid w:val="4F8321C5"/>
    <w:rsid w:val="4FA353D4"/>
    <w:rsid w:val="4FD8398A"/>
    <w:rsid w:val="4FF51DC0"/>
    <w:rsid w:val="50053708"/>
    <w:rsid w:val="5025261C"/>
    <w:rsid w:val="502B3FF4"/>
    <w:rsid w:val="503B4338"/>
    <w:rsid w:val="503D4FAD"/>
    <w:rsid w:val="50441591"/>
    <w:rsid w:val="506C5051"/>
    <w:rsid w:val="508A631B"/>
    <w:rsid w:val="508E3C62"/>
    <w:rsid w:val="50DB6B76"/>
    <w:rsid w:val="50F25C6E"/>
    <w:rsid w:val="50F844CD"/>
    <w:rsid w:val="512028B4"/>
    <w:rsid w:val="517D7C2E"/>
    <w:rsid w:val="51845061"/>
    <w:rsid w:val="518C60C3"/>
    <w:rsid w:val="518E5997"/>
    <w:rsid w:val="51934FA4"/>
    <w:rsid w:val="51BA0DC9"/>
    <w:rsid w:val="51CE71A1"/>
    <w:rsid w:val="51DF61F2"/>
    <w:rsid w:val="51F53C68"/>
    <w:rsid w:val="520E0A3F"/>
    <w:rsid w:val="52116322"/>
    <w:rsid w:val="521F0CE5"/>
    <w:rsid w:val="52495D62"/>
    <w:rsid w:val="52763EC1"/>
    <w:rsid w:val="529E42FF"/>
    <w:rsid w:val="52AE09BB"/>
    <w:rsid w:val="52B41750"/>
    <w:rsid w:val="52B534CD"/>
    <w:rsid w:val="52C11D9C"/>
    <w:rsid w:val="52EF06B7"/>
    <w:rsid w:val="52F04A83"/>
    <w:rsid w:val="53432200"/>
    <w:rsid w:val="53486019"/>
    <w:rsid w:val="535844AE"/>
    <w:rsid w:val="53841666"/>
    <w:rsid w:val="538A1207"/>
    <w:rsid w:val="539531BF"/>
    <w:rsid w:val="539B439B"/>
    <w:rsid w:val="53B6157F"/>
    <w:rsid w:val="53B6410B"/>
    <w:rsid w:val="53CA3671"/>
    <w:rsid w:val="53EB7058"/>
    <w:rsid w:val="54120F0F"/>
    <w:rsid w:val="54330A77"/>
    <w:rsid w:val="546E05F9"/>
    <w:rsid w:val="5483555B"/>
    <w:rsid w:val="54897BE3"/>
    <w:rsid w:val="54AE2CE5"/>
    <w:rsid w:val="54C618EB"/>
    <w:rsid w:val="54C641E4"/>
    <w:rsid w:val="54DF1C5E"/>
    <w:rsid w:val="54E83197"/>
    <w:rsid w:val="54F55D2D"/>
    <w:rsid w:val="54F94BB4"/>
    <w:rsid w:val="55250945"/>
    <w:rsid w:val="55253476"/>
    <w:rsid w:val="55280C02"/>
    <w:rsid w:val="55282DDF"/>
    <w:rsid w:val="554F4786"/>
    <w:rsid w:val="55666D50"/>
    <w:rsid w:val="55922BC1"/>
    <w:rsid w:val="55933F99"/>
    <w:rsid w:val="55A55633"/>
    <w:rsid w:val="55BD7461"/>
    <w:rsid w:val="55D32B3D"/>
    <w:rsid w:val="55EC0274"/>
    <w:rsid w:val="5651482B"/>
    <w:rsid w:val="5652788C"/>
    <w:rsid w:val="565371AF"/>
    <w:rsid w:val="566413BC"/>
    <w:rsid w:val="566622CB"/>
    <w:rsid w:val="569901FE"/>
    <w:rsid w:val="56A03C06"/>
    <w:rsid w:val="56BC6A73"/>
    <w:rsid w:val="570B5520"/>
    <w:rsid w:val="571E1BA5"/>
    <w:rsid w:val="574B230E"/>
    <w:rsid w:val="57796B8D"/>
    <w:rsid w:val="57991AA1"/>
    <w:rsid w:val="57B27F05"/>
    <w:rsid w:val="57BB14B0"/>
    <w:rsid w:val="57DD2D98"/>
    <w:rsid w:val="57ED4B9A"/>
    <w:rsid w:val="581E1453"/>
    <w:rsid w:val="587A1B5E"/>
    <w:rsid w:val="58965274"/>
    <w:rsid w:val="58E25AD9"/>
    <w:rsid w:val="59B664C2"/>
    <w:rsid w:val="59CF7B26"/>
    <w:rsid w:val="5A074538"/>
    <w:rsid w:val="5A0B13F3"/>
    <w:rsid w:val="5A195118"/>
    <w:rsid w:val="5A1D496D"/>
    <w:rsid w:val="5A367221"/>
    <w:rsid w:val="5A393CE5"/>
    <w:rsid w:val="5A430245"/>
    <w:rsid w:val="5A557CBB"/>
    <w:rsid w:val="5A5A64F8"/>
    <w:rsid w:val="5A864B80"/>
    <w:rsid w:val="5AA1673B"/>
    <w:rsid w:val="5AC91A4A"/>
    <w:rsid w:val="5AF13774"/>
    <w:rsid w:val="5B062A42"/>
    <w:rsid w:val="5B0F6FED"/>
    <w:rsid w:val="5B3255E5"/>
    <w:rsid w:val="5B69078D"/>
    <w:rsid w:val="5B7E07CC"/>
    <w:rsid w:val="5BA6042C"/>
    <w:rsid w:val="5BC072ED"/>
    <w:rsid w:val="5BED775E"/>
    <w:rsid w:val="5BF41F8E"/>
    <w:rsid w:val="5C0E6052"/>
    <w:rsid w:val="5C0E64C4"/>
    <w:rsid w:val="5C193512"/>
    <w:rsid w:val="5C211C97"/>
    <w:rsid w:val="5C221B20"/>
    <w:rsid w:val="5C290FC9"/>
    <w:rsid w:val="5C2D2375"/>
    <w:rsid w:val="5C3B671B"/>
    <w:rsid w:val="5C42136E"/>
    <w:rsid w:val="5C71213D"/>
    <w:rsid w:val="5C735EB5"/>
    <w:rsid w:val="5C86208C"/>
    <w:rsid w:val="5D71038F"/>
    <w:rsid w:val="5D925618"/>
    <w:rsid w:val="5DB566AC"/>
    <w:rsid w:val="5DCA5FA9"/>
    <w:rsid w:val="5E126B65"/>
    <w:rsid w:val="5E22556B"/>
    <w:rsid w:val="5E4704CF"/>
    <w:rsid w:val="5E56783C"/>
    <w:rsid w:val="5EB334F2"/>
    <w:rsid w:val="5ECD7CF6"/>
    <w:rsid w:val="5F1B7253"/>
    <w:rsid w:val="5F1F40D2"/>
    <w:rsid w:val="5F30008D"/>
    <w:rsid w:val="5F313E05"/>
    <w:rsid w:val="5F3A715E"/>
    <w:rsid w:val="5F434264"/>
    <w:rsid w:val="5F546F0F"/>
    <w:rsid w:val="5F67000E"/>
    <w:rsid w:val="5FDC253E"/>
    <w:rsid w:val="60113B86"/>
    <w:rsid w:val="602816AC"/>
    <w:rsid w:val="605160F4"/>
    <w:rsid w:val="607C250E"/>
    <w:rsid w:val="607C7302"/>
    <w:rsid w:val="60820DBC"/>
    <w:rsid w:val="60B92304"/>
    <w:rsid w:val="60BA03A0"/>
    <w:rsid w:val="60C42041"/>
    <w:rsid w:val="60EB4BB4"/>
    <w:rsid w:val="60FA1E2E"/>
    <w:rsid w:val="618B1EF3"/>
    <w:rsid w:val="619723D2"/>
    <w:rsid w:val="61AD1E69"/>
    <w:rsid w:val="61BE7C3E"/>
    <w:rsid w:val="620432BC"/>
    <w:rsid w:val="620812F9"/>
    <w:rsid w:val="6217600D"/>
    <w:rsid w:val="622545F4"/>
    <w:rsid w:val="62264BD6"/>
    <w:rsid w:val="622F287E"/>
    <w:rsid w:val="62516C98"/>
    <w:rsid w:val="62682234"/>
    <w:rsid w:val="626F639A"/>
    <w:rsid w:val="629C4DC0"/>
    <w:rsid w:val="629D1EDE"/>
    <w:rsid w:val="62E73159"/>
    <w:rsid w:val="630B56CB"/>
    <w:rsid w:val="631B41B4"/>
    <w:rsid w:val="63212B0F"/>
    <w:rsid w:val="63257C63"/>
    <w:rsid w:val="6358146E"/>
    <w:rsid w:val="637644DD"/>
    <w:rsid w:val="63816C4C"/>
    <w:rsid w:val="63B55005"/>
    <w:rsid w:val="63CF6AC6"/>
    <w:rsid w:val="63F20A61"/>
    <w:rsid w:val="644C3BBB"/>
    <w:rsid w:val="649C07AE"/>
    <w:rsid w:val="64D77485"/>
    <w:rsid w:val="654900FB"/>
    <w:rsid w:val="656F100C"/>
    <w:rsid w:val="657E1FA6"/>
    <w:rsid w:val="65842EE1"/>
    <w:rsid w:val="65C07C91"/>
    <w:rsid w:val="65C326E0"/>
    <w:rsid w:val="65DB0DD3"/>
    <w:rsid w:val="65DD2553"/>
    <w:rsid w:val="66197D54"/>
    <w:rsid w:val="664A77E3"/>
    <w:rsid w:val="665D2BB0"/>
    <w:rsid w:val="666519A4"/>
    <w:rsid w:val="6694184A"/>
    <w:rsid w:val="66DD4F9F"/>
    <w:rsid w:val="673230F9"/>
    <w:rsid w:val="67424FC9"/>
    <w:rsid w:val="67AF7FBD"/>
    <w:rsid w:val="67B35969"/>
    <w:rsid w:val="684D1CB0"/>
    <w:rsid w:val="686C2A3B"/>
    <w:rsid w:val="686D2106"/>
    <w:rsid w:val="688E3B6E"/>
    <w:rsid w:val="68C046CA"/>
    <w:rsid w:val="68E5638C"/>
    <w:rsid w:val="68F376CD"/>
    <w:rsid w:val="68F91E38"/>
    <w:rsid w:val="68FB4503"/>
    <w:rsid w:val="69034B8D"/>
    <w:rsid w:val="6932731B"/>
    <w:rsid w:val="694C7AD9"/>
    <w:rsid w:val="698A6A5F"/>
    <w:rsid w:val="698B043C"/>
    <w:rsid w:val="69913E1E"/>
    <w:rsid w:val="69947B4F"/>
    <w:rsid w:val="699851AD"/>
    <w:rsid w:val="69A43B52"/>
    <w:rsid w:val="69A55D94"/>
    <w:rsid w:val="69CA7330"/>
    <w:rsid w:val="69E36987"/>
    <w:rsid w:val="6A1D43F7"/>
    <w:rsid w:val="6A2A00B7"/>
    <w:rsid w:val="6A400AA0"/>
    <w:rsid w:val="6A5437CA"/>
    <w:rsid w:val="6A707D4E"/>
    <w:rsid w:val="6AA85F55"/>
    <w:rsid w:val="6AEF34F2"/>
    <w:rsid w:val="6AFE3735"/>
    <w:rsid w:val="6B09114B"/>
    <w:rsid w:val="6B0C5E52"/>
    <w:rsid w:val="6B1A17BE"/>
    <w:rsid w:val="6B5F0261"/>
    <w:rsid w:val="6BB95FEB"/>
    <w:rsid w:val="6BC936BB"/>
    <w:rsid w:val="6BE24E05"/>
    <w:rsid w:val="6C0501E6"/>
    <w:rsid w:val="6C11126C"/>
    <w:rsid w:val="6C5D5310"/>
    <w:rsid w:val="6C645D87"/>
    <w:rsid w:val="6C975BF0"/>
    <w:rsid w:val="6CBB3D45"/>
    <w:rsid w:val="6CD31213"/>
    <w:rsid w:val="6CF941B4"/>
    <w:rsid w:val="6D41215D"/>
    <w:rsid w:val="6D5B32C9"/>
    <w:rsid w:val="6D78421D"/>
    <w:rsid w:val="6D9914F3"/>
    <w:rsid w:val="6DAA05D7"/>
    <w:rsid w:val="6DBC51E2"/>
    <w:rsid w:val="6DE273F3"/>
    <w:rsid w:val="6DEE7A91"/>
    <w:rsid w:val="6DF4671B"/>
    <w:rsid w:val="6DF97CB5"/>
    <w:rsid w:val="6E0A319D"/>
    <w:rsid w:val="6E1A2974"/>
    <w:rsid w:val="6E386F5E"/>
    <w:rsid w:val="6E3D3B7D"/>
    <w:rsid w:val="6E7F4B8D"/>
    <w:rsid w:val="6E8B1784"/>
    <w:rsid w:val="6EB81E4D"/>
    <w:rsid w:val="6ECE2185"/>
    <w:rsid w:val="6EE06EAE"/>
    <w:rsid w:val="6F102FEF"/>
    <w:rsid w:val="6F2101AC"/>
    <w:rsid w:val="6F2240B3"/>
    <w:rsid w:val="6F3C2169"/>
    <w:rsid w:val="6F5634B0"/>
    <w:rsid w:val="6F563B40"/>
    <w:rsid w:val="6F8F5A75"/>
    <w:rsid w:val="6FB6638D"/>
    <w:rsid w:val="6FBA60DC"/>
    <w:rsid w:val="6FBC771B"/>
    <w:rsid w:val="6FDE7692"/>
    <w:rsid w:val="70072A57"/>
    <w:rsid w:val="700F7058"/>
    <w:rsid w:val="70382BB1"/>
    <w:rsid w:val="7060204B"/>
    <w:rsid w:val="708B4BCA"/>
    <w:rsid w:val="708C533F"/>
    <w:rsid w:val="70C90342"/>
    <w:rsid w:val="70D9226B"/>
    <w:rsid w:val="70EB54BB"/>
    <w:rsid w:val="70F87CD6"/>
    <w:rsid w:val="71066EA0"/>
    <w:rsid w:val="711834D0"/>
    <w:rsid w:val="7178648C"/>
    <w:rsid w:val="718030F6"/>
    <w:rsid w:val="71883D59"/>
    <w:rsid w:val="718B55F7"/>
    <w:rsid w:val="722021E3"/>
    <w:rsid w:val="722E2B52"/>
    <w:rsid w:val="72721FAE"/>
    <w:rsid w:val="72847358"/>
    <w:rsid w:val="72AC1CC9"/>
    <w:rsid w:val="72C214EC"/>
    <w:rsid w:val="72D613E4"/>
    <w:rsid w:val="72DC4044"/>
    <w:rsid w:val="72DC58ED"/>
    <w:rsid w:val="72F03942"/>
    <w:rsid w:val="734E2D80"/>
    <w:rsid w:val="73690338"/>
    <w:rsid w:val="736E4097"/>
    <w:rsid w:val="7370599F"/>
    <w:rsid w:val="738642C8"/>
    <w:rsid w:val="73EF6311"/>
    <w:rsid w:val="74451B25"/>
    <w:rsid w:val="745F064B"/>
    <w:rsid w:val="74A814C0"/>
    <w:rsid w:val="75390532"/>
    <w:rsid w:val="754D68A1"/>
    <w:rsid w:val="75A17F65"/>
    <w:rsid w:val="75C14226"/>
    <w:rsid w:val="75C70EB0"/>
    <w:rsid w:val="75DD393C"/>
    <w:rsid w:val="75E038E7"/>
    <w:rsid w:val="75F70DED"/>
    <w:rsid w:val="75FB2FD4"/>
    <w:rsid w:val="76432944"/>
    <w:rsid w:val="76472AE2"/>
    <w:rsid w:val="765A0D22"/>
    <w:rsid w:val="76C770D1"/>
    <w:rsid w:val="76CC7D51"/>
    <w:rsid w:val="77084AA0"/>
    <w:rsid w:val="7711659E"/>
    <w:rsid w:val="77257927"/>
    <w:rsid w:val="77707769"/>
    <w:rsid w:val="77C24CFB"/>
    <w:rsid w:val="77D81715"/>
    <w:rsid w:val="77E912C9"/>
    <w:rsid w:val="77FC2DAB"/>
    <w:rsid w:val="77FE2FC7"/>
    <w:rsid w:val="781B5927"/>
    <w:rsid w:val="783D093B"/>
    <w:rsid w:val="786D2921"/>
    <w:rsid w:val="78765092"/>
    <w:rsid w:val="78963578"/>
    <w:rsid w:val="78CE1165"/>
    <w:rsid w:val="78EF46BD"/>
    <w:rsid w:val="78FE4151"/>
    <w:rsid w:val="790463BB"/>
    <w:rsid w:val="790C132C"/>
    <w:rsid w:val="79156464"/>
    <w:rsid w:val="79273E57"/>
    <w:rsid w:val="793B5369"/>
    <w:rsid w:val="797D70FC"/>
    <w:rsid w:val="797E3FCF"/>
    <w:rsid w:val="79986B03"/>
    <w:rsid w:val="79DA35C0"/>
    <w:rsid w:val="79EB4504"/>
    <w:rsid w:val="79EE2BC7"/>
    <w:rsid w:val="7A320D06"/>
    <w:rsid w:val="7A4D6108"/>
    <w:rsid w:val="7A960417"/>
    <w:rsid w:val="7AB160CE"/>
    <w:rsid w:val="7AD33C8C"/>
    <w:rsid w:val="7AF87F23"/>
    <w:rsid w:val="7B0E3A50"/>
    <w:rsid w:val="7B2737C8"/>
    <w:rsid w:val="7B292768"/>
    <w:rsid w:val="7B2F16E9"/>
    <w:rsid w:val="7B3B004A"/>
    <w:rsid w:val="7B466CDF"/>
    <w:rsid w:val="7B5353D8"/>
    <w:rsid w:val="7B5A216B"/>
    <w:rsid w:val="7BA14395"/>
    <w:rsid w:val="7BEA372F"/>
    <w:rsid w:val="7BF45936"/>
    <w:rsid w:val="7C1420C6"/>
    <w:rsid w:val="7C4065BF"/>
    <w:rsid w:val="7C4D4F70"/>
    <w:rsid w:val="7C5447D6"/>
    <w:rsid w:val="7C97511B"/>
    <w:rsid w:val="7CDE4EA9"/>
    <w:rsid w:val="7CEF2EDE"/>
    <w:rsid w:val="7D166A57"/>
    <w:rsid w:val="7D167A45"/>
    <w:rsid w:val="7D1E1E61"/>
    <w:rsid w:val="7D244CC9"/>
    <w:rsid w:val="7D423956"/>
    <w:rsid w:val="7D70764F"/>
    <w:rsid w:val="7D733B0F"/>
    <w:rsid w:val="7D7B276E"/>
    <w:rsid w:val="7D8B70AB"/>
    <w:rsid w:val="7D8C5D8E"/>
    <w:rsid w:val="7D99109C"/>
    <w:rsid w:val="7DC94FB2"/>
    <w:rsid w:val="7DDC7906"/>
    <w:rsid w:val="7E010BF5"/>
    <w:rsid w:val="7E0230E5"/>
    <w:rsid w:val="7E09578E"/>
    <w:rsid w:val="7E15247E"/>
    <w:rsid w:val="7E1C3DF3"/>
    <w:rsid w:val="7E29406D"/>
    <w:rsid w:val="7E774944"/>
    <w:rsid w:val="7ECE0174"/>
    <w:rsid w:val="7EE822DB"/>
    <w:rsid w:val="7F0D21BA"/>
    <w:rsid w:val="7F41775D"/>
    <w:rsid w:val="7F5D3B8F"/>
    <w:rsid w:val="7F9528AF"/>
    <w:rsid w:val="7FB81CAD"/>
    <w:rsid w:val="7FCC5172"/>
    <w:rsid w:val="7FD1759D"/>
    <w:rsid w:val="7FD5285F"/>
    <w:rsid w:val="7FDF67DA"/>
    <w:rsid w:val="7FE02E5B"/>
    <w:rsid w:val="7FE263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iPriority="99" w:semiHidden="0" w:name="List"/>
    <w:lsdException w:uiPriority="0" w:name="List Bullet"/>
    <w:lsdException w:uiPriority="0" w:name="List Number"/>
    <w:lsdException w:uiPriority="0" w:name="List 2"/>
    <w:lsdException w:uiPriority="0" w:name="List 3"/>
    <w:lsdException w:unhideWhenUsed="0" w:uiPriority="0" w:semiHidden="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0" w:name="Note Heading"/>
    <w:lsdException w:uiPriority="0" w:name="Body Text 2"/>
    <w:lsdException w:uiPriority="0" w:name="Body Text 3"/>
    <w:lsdException w:uiPriority="0" w:name="Body Text Indent 2"/>
    <w:lsdException w:qFormat="1" w:uiPriority="0" w:semiHidden="0" w:name="Body Text Indent 3"/>
    <w:lsdException w:qFormat="1" w:unhideWhenUsed="0" w:uiPriority="0" w:semiHidden="0" w:name="Block Text"/>
    <w:lsdException w:qFormat="1" w:unhideWhenUsed="0" w:uiPriority="99" w:semiHidden="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4"/>
    <w:next w:val="1"/>
    <w:link w:val="43"/>
    <w:qFormat/>
    <w:uiPriority w:val="9"/>
    <w:pPr>
      <w:keepNext/>
      <w:keepLines/>
      <w:spacing w:before="340" w:after="330" w:line="578" w:lineRule="auto"/>
      <w:jc w:val="center"/>
      <w:outlineLvl w:val="0"/>
    </w:pPr>
    <w:rPr>
      <w:bCs/>
      <w:kern w:val="44"/>
      <w:szCs w:val="44"/>
    </w:rPr>
  </w:style>
  <w:style w:type="paragraph" w:styleId="4">
    <w:name w:val="heading 2"/>
    <w:basedOn w:val="1"/>
    <w:next w:val="1"/>
    <w:link w:val="45"/>
    <w:qFormat/>
    <w:uiPriority w:val="0"/>
    <w:pPr>
      <w:keepNext/>
      <w:keepLines/>
      <w:spacing w:before="260" w:after="260"/>
      <w:contextualSpacing/>
      <w:outlineLvl w:val="1"/>
    </w:pPr>
    <w:rPr>
      <w:rFonts w:ascii="宋体"/>
      <w:szCs w:val="28"/>
    </w:rPr>
  </w:style>
  <w:style w:type="paragraph" w:styleId="5">
    <w:name w:val="heading 3"/>
    <w:basedOn w:val="1"/>
    <w:next w:val="1"/>
    <w:link w:val="44"/>
    <w:qFormat/>
    <w:uiPriority w:val="0"/>
    <w:pPr>
      <w:adjustRightInd w:val="0"/>
      <w:snapToGrid w:val="0"/>
      <w:spacing w:line="500" w:lineRule="exact"/>
      <w:ind w:left="-88" w:leftChars="-42"/>
      <w:jc w:val="center"/>
      <w:outlineLvl w:val="2"/>
    </w:pPr>
    <w:rPr>
      <w:rFonts w:ascii="仿宋_GB2312" w:hAnsi="宋体"/>
      <w:b/>
      <w:sz w:val="32"/>
      <w:szCs w:val="32"/>
    </w:rPr>
  </w:style>
  <w:style w:type="paragraph" w:styleId="6">
    <w:name w:val="heading 4"/>
    <w:basedOn w:val="1"/>
    <w:next w:val="1"/>
    <w:link w:val="46"/>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47"/>
    <w:qFormat/>
    <w:uiPriority w:val="0"/>
    <w:pPr>
      <w:keepNext/>
      <w:keepLines/>
      <w:spacing w:before="280" w:after="290" w:line="376" w:lineRule="auto"/>
      <w:outlineLvl w:val="4"/>
    </w:pPr>
    <w:rPr>
      <w:b/>
      <w:bCs/>
      <w:sz w:val="28"/>
      <w:szCs w:val="28"/>
    </w:rPr>
  </w:style>
  <w:style w:type="paragraph" w:styleId="8">
    <w:name w:val="heading 6"/>
    <w:basedOn w:val="7"/>
    <w:next w:val="1"/>
    <w:link w:val="48"/>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9">
    <w:name w:val="heading 7"/>
    <w:basedOn w:val="8"/>
    <w:next w:val="1"/>
    <w:link w:val="49"/>
    <w:qFormat/>
    <w:uiPriority w:val="0"/>
    <w:pPr>
      <w:tabs>
        <w:tab w:val="left" w:pos="1800"/>
        <w:tab w:val="clear" w:pos="1440"/>
      </w:tabs>
      <w:ind w:left="1276" w:hanging="1276"/>
      <w:outlineLvl w:val="6"/>
    </w:pPr>
  </w:style>
  <w:style w:type="paragraph" w:styleId="10">
    <w:name w:val="heading 8"/>
    <w:basedOn w:val="9"/>
    <w:next w:val="1"/>
    <w:link w:val="50"/>
    <w:qFormat/>
    <w:uiPriority w:val="0"/>
    <w:pPr>
      <w:ind w:left="1418" w:hanging="1418"/>
      <w:outlineLvl w:val="7"/>
    </w:pPr>
  </w:style>
  <w:style w:type="paragraph" w:styleId="11">
    <w:name w:val="heading 9"/>
    <w:basedOn w:val="10"/>
    <w:next w:val="1"/>
    <w:link w:val="51"/>
    <w:qFormat/>
    <w:uiPriority w:val="0"/>
    <w:pPr>
      <w:tabs>
        <w:tab w:val="left" w:pos="2160"/>
        <w:tab w:val="clear" w:pos="1800"/>
      </w:tabs>
      <w:ind w:left="1559" w:hanging="1559"/>
      <w:outlineLvl w:val="8"/>
    </w:pPr>
  </w:style>
  <w:style w:type="character" w:default="1" w:styleId="35">
    <w:name w:val="Default Paragraph Font"/>
    <w:semiHidden/>
    <w:unhideWhenUsed/>
    <w:qFormat/>
    <w:uiPriority w:val="1"/>
  </w:style>
  <w:style w:type="table" w:default="1" w:styleId="33">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link w:val="59"/>
    <w:qFormat/>
    <w:uiPriority w:val="0"/>
    <w:rPr>
      <w:sz w:val="44"/>
    </w:rPr>
  </w:style>
  <w:style w:type="paragraph" w:styleId="12">
    <w:name w:val="Normal Indent"/>
    <w:basedOn w:val="1"/>
    <w:next w:val="1"/>
    <w:link w:val="52"/>
    <w:unhideWhenUsed/>
    <w:qFormat/>
    <w:uiPriority w:val="0"/>
    <w:pPr>
      <w:ind w:firstLine="420" w:firstLineChars="200"/>
    </w:pPr>
  </w:style>
  <w:style w:type="paragraph" w:styleId="13">
    <w:name w:val="Document Map"/>
    <w:basedOn w:val="1"/>
    <w:link w:val="53"/>
    <w:qFormat/>
    <w:uiPriority w:val="0"/>
    <w:rPr>
      <w:rFonts w:ascii="宋体"/>
      <w:sz w:val="18"/>
      <w:szCs w:val="18"/>
    </w:rPr>
  </w:style>
  <w:style w:type="paragraph" w:styleId="14">
    <w:name w:val="annotation text"/>
    <w:basedOn w:val="1"/>
    <w:link w:val="54"/>
    <w:qFormat/>
    <w:uiPriority w:val="0"/>
    <w:pPr>
      <w:jc w:val="left"/>
    </w:pPr>
  </w:style>
  <w:style w:type="paragraph" w:styleId="15">
    <w:name w:val="Body Text"/>
    <w:basedOn w:val="1"/>
    <w:next w:val="1"/>
    <w:unhideWhenUsed/>
    <w:qFormat/>
    <w:uiPriority w:val="0"/>
    <w:pPr>
      <w:spacing w:after="120"/>
    </w:pPr>
  </w:style>
  <w:style w:type="paragraph" w:styleId="16">
    <w:name w:val="Body Text Indent"/>
    <w:basedOn w:val="1"/>
    <w:qFormat/>
    <w:uiPriority w:val="0"/>
    <w:pPr>
      <w:ind w:firstLine="830" w:firstLineChars="352"/>
    </w:pPr>
    <w:rPr>
      <w:rFonts w:ascii="仿宋_GB2312" w:eastAsia="仿宋_GB2312"/>
      <w:sz w:val="32"/>
      <w:szCs w:val="20"/>
    </w:rPr>
  </w:style>
  <w:style w:type="paragraph" w:styleId="17">
    <w:name w:val="Block Text"/>
    <w:basedOn w:val="1"/>
    <w:qFormat/>
    <w:uiPriority w:val="0"/>
    <w:pPr>
      <w:autoSpaceDE w:val="0"/>
      <w:autoSpaceDN w:val="0"/>
      <w:adjustRightInd w:val="0"/>
      <w:spacing w:line="500" w:lineRule="exact"/>
      <w:ind w:left="391" w:right="246"/>
    </w:pPr>
    <w:rPr>
      <w:rFonts w:ascii="仿宋_GB2312" w:eastAsia="仿宋_GB2312"/>
      <w:kern w:val="0"/>
      <w:sz w:val="24"/>
    </w:rPr>
  </w:style>
  <w:style w:type="paragraph" w:styleId="18">
    <w:name w:val="toc 3"/>
    <w:basedOn w:val="1"/>
    <w:next w:val="1"/>
    <w:unhideWhenUsed/>
    <w:qFormat/>
    <w:uiPriority w:val="39"/>
    <w:pPr>
      <w:ind w:left="840" w:leftChars="400"/>
    </w:pPr>
  </w:style>
  <w:style w:type="paragraph" w:styleId="19">
    <w:name w:val="Plain Text"/>
    <w:basedOn w:val="1"/>
    <w:link w:val="55"/>
    <w:qFormat/>
    <w:uiPriority w:val="0"/>
    <w:rPr>
      <w:rFonts w:ascii="宋体" w:hAnsi="Courier New"/>
      <w:szCs w:val="21"/>
    </w:rPr>
  </w:style>
  <w:style w:type="paragraph" w:styleId="20">
    <w:name w:val="Date"/>
    <w:basedOn w:val="1"/>
    <w:next w:val="1"/>
    <w:qFormat/>
    <w:uiPriority w:val="0"/>
    <w:pPr>
      <w:ind w:left="100" w:leftChars="2500"/>
    </w:pPr>
    <w:rPr>
      <w:rFonts w:ascii="宋体" w:hAnsi="Courier New" w:cs="Courier New"/>
      <w:szCs w:val="21"/>
    </w:rPr>
  </w:style>
  <w:style w:type="paragraph" w:styleId="21">
    <w:name w:val="Balloon Text"/>
    <w:basedOn w:val="1"/>
    <w:semiHidden/>
    <w:qFormat/>
    <w:uiPriority w:val="0"/>
    <w:rPr>
      <w:sz w:val="18"/>
      <w:szCs w:val="18"/>
    </w:rPr>
  </w:style>
  <w:style w:type="paragraph" w:styleId="22">
    <w:name w:val="footer"/>
    <w:basedOn w:val="1"/>
    <w:link w:val="56"/>
    <w:qFormat/>
    <w:uiPriority w:val="99"/>
    <w:pPr>
      <w:tabs>
        <w:tab w:val="center" w:pos="4153"/>
        <w:tab w:val="right" w:pos="8306"/>
      </w:tabs>
      <w:snapToGrid w:val="0"/>
      <w:jc w:val="left"/>
    </w:pPr>
    <w:rPr>
      <w:sz w:val="18"/>
      <w:szCs w:val="18"/>
    </w:rPr>
  </w:style>
  <w:style w:type="paragraph" w:styleId="23">
    <w:name w:val="header"/>
    <w:basedOn w:val="1"/>
    <w:link w:val="57"/>
    <w:qFormat/>
    <w:uiPriority w:val="99"/>
    <w:pPr>
      <w:pBdr>
        <w:bottom w:val="single" w:color="auto" w:sz="6" w:space="1"/>
      </w:pBdr>
      <w:tabs>
        <w:tab w:val="center" w:pos="4153"/>
        <w:tab w:val="right" w:pos="8306"/>
      </w:tabs>
      <w:snapToGrid w:val="0"/>
      <w:jc w:val="center"/>
    </w:pPr>
    <w:rPr>
      <w:sz w:val="18"/>
      <w:szCs w:val="18"/>
    </w:rPr>
  </w:style>
  <w:style w:type="paragraph" w:styleId="24">
    <w:name w:val="toc 1"/>
    <w:basedOn w:val="1"/>
    <w:next w:val="1"/>
    <w:qFormat/>
    <w:uiPriority w:val="39"/>
    <w:pPr>
      <w:tabs>
        <w:tab w:val="right" w:leader="dot" w:pos="8222"/>
      </w:tabs>
      <w:spacing w:line="440" w:lineRule="exact"/>
      <w:ind w:right="231" w:rightChars="110"/>
    </w:pPr>
    <w:rPr>
      <w:sz w:val="28"/>
    </w:rPr>
  </w:style>
  <w:style w:type="paragraph" w:styleId="25">
    <w:name w:val="List"/>
    <w:basedOn w:val="1"/>
    <w:unhideWhenUsed/>
    <w:qFormat/>
    <w:uiPriority w:val="99"/>
    <w:pPr>
      <w:ind w:left="200" w:hanging="200" w:hangingChars="200"/>
    </w:pPr>
  </w:style>
  <w:style w:type="paragraph" w:styleId="26">
    <w:name w:val="footnote text"/>
    <w:basedOn w:val="1"/>
    <w:qFormat/>
    <w:uiPriority w:val="0"/>
    <w:pPr>
      <w:snapToGrid w:val="0"/>
      <w:jc w:val="left"/>
    </w:pPr>
    <w:rPr>
      <w:sz w:val="18"/>
    </w:rPr>
  </w:style>
  <w:style w:type="paragraph" w:styleId="27">
    <w:name w:val="Body Text Indent 3"/>
    <w:basedOn w:val="1"/>
    <w:link w:val="58"/>
    <w:unhideWhenUsed/>
    <w:qFormat/>
    <w:uiPriority w:val="0"/>
    <w:pPr>
      <w:spacing w:after="120"/>
      <w:ind w:left="420" w:leftChars="200"/>
    </w:pPr>
    <w:rPr>
      <w:sz w:val="16"/>
      <w:szCs w:val="16"/>
    </w:rPr>
  </w:style>
  <w:style w:type="paragraph" w:styleId="28">
    <w:name w:val="toc 2"/>
    <w:basedOn w:val="1"/>
    <w:next w:val="1"/>
    <w:qFormat/>
    <w:uiPriority w:val="39"/>
    <w:pPr>
      <w:tabs>
        <w:tab w:val="right" w:leader="dot" w:pos="8222"/>
      </w:tabs>
      <w:ind w:left="420" w:leftChars="200"/>
      <w:jc w:val="left"/>
    </w:pPr>
    <w:rPr>
      <w:sz w:val="28"/>
    </w:rPr>
  </w:style>
  <w:style w:type="paragraph" w:styleId="29">
    <w:name w:val="Normal (Web)"/>
    <w:basedOn w:val="1"/>
    <w:qFormat/>
    <w:uiPriority w:val="0"/>
    <w:pPr>
      <w:widowControl/>
      <w:spacing w:before="100" w:beforeAutospacing="1" w:after="100" w:afterAutospacing="1"/>
      <w:jc w:val="left"/>
    </w:pPr>
    <w:rPr>
      <w:rFonts w:ascii="宋体" w:hAnsi="宋体"/>
      <w:kern w:val="0"/>
      <w:sz w:val="24"/>
    </w:rPr>
  </w:style>
  <w:style w:type="paragraph" w:styleId="30">
    <w:name w:val="annotation subject"/>
    <w:basedOn w:val="14"/>
    <w:next w:val="14"/>
    <w:link w:val="60"/>
    <w:qFormat/>
    <w:uiPriority w:val="99"/>
    <w:rPr>
      <w:rFonts w:ascii="Times New Roman" w:hAnsi="Times New Roman"/>
      <w:b/>
      <w:sz w:val="28"/>
      <w:szCs w:val="20"/>
    </w:rPr>
  </w:style>
  <w:style w:type="paragraph" w:styleId="31">
    <w:name w:val="Body Text First Indent"/>
    <w:basedOn w:val="15"/>
    <w:qFormat/>
    <w:uiPriority w:val="0"/>
    <w:pPr>
      <w:ind w:firstLine="420" w:firstLineChars="100"/>
    </w:pPr>
  </w:style>
  <w:style w:type="paragraph" w:styleId="32">
    <w:name w:val="Body Text First Indent 2"/>
    <w:basedOn w:val="16"/>
    <w:unhideWhenUsed/>
    <w:qFormat/>
    <w:uiPriority w:val="99"/>
    <w:pPr>
      <w:ind w:firstLine="420" w:firstLineChars="200"/>
    </w:pPr>
  </w:style>
  <w:style w:type="table" w:styleId="34">
    <w:name w:val="Table Grid"/>
    <w:basedOn w:val="3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6">
    <w:name w:val="Strong"/>
    <w:basedOn w:val="35"/>
    <w:qFormat/>
    <w:uiPriority w:val="0"/>
    <w:rPr>
      <w:b/>
      <w:bCs/>
    </w:rPr>
  </w:style>
  <w:style w:type="character" w:styleId="37">
    <w:name w:val="page number"/>
    <w:basedOn w:val="35"/>
    <w:qFormat/>
    <w:uiPriority w:val="0"/>
  </w:style>
  <w:style w:type="character" w:styleId="38">
    <w:name w:val="Hyperlink"/>
    <w:qFormat/>
    <w:uiPriority w:val="99"/>
    <w:rPr>
      <w:color w:val="0000FF"/>
      <w:u w:val="single"/>
    </w:rPr>
  </w:style>
  <w:style w:type="character" w:styleId="39">
    <w:name w:val="annotation reference"/>
    <w:unhideWhenUsed/>
    <w:qFormat/>
    <w:uiPriority w:val="0"/>
    <w:rPr>
      <w:sz w:val="21"/>
      <w:szCs w:val="21"/>
    </w:rPr>
  </w:style>
  <w:style w:type="paragraph" w:customStyle="1" w:styleId="40">
    <w:name w:val="Default"/>
    <w:basedOn w:val="2"/>
    <w:next w:val="3"/>
    <w:qFormat/>
    <w:uiPriority w:val="0"/>
    <w:pPr>
      <w:autoSpaceDE w:val="0"/>
      <w:autoSpaceDN w:val="0"/>
      <w:adjustRightInd w:val="0"/>
    </w:pPr>
    <w:rPr>
      <w:rFonts w:ascii="宋体" w:hAnsi="宋体" w:cs="宋体"/>
      <w:color w:val="000000"/>
      <w:sz w:val="24"/>
      <w:szCs w:val="24"/>
    </w:rPr>
  </w:style>
  <w:style w:type="paragraph" w:customStyle="1" w:styleId="41">
    <w:name w:val="正文首行缩进 2 Char Char"/>
    <w:basedOn w:val="42"/>
    <w:qFormat/>
    <w:uiPriority w:val="99"/>
    <w:pPr>
      <w:ind w:firstLine="420"/>
    </w:pPr>
  </w:style>
  <w:style w:type="paragraph" w:customStyle="1" w:styleId="42">
    <w:name w:val="正文文本缩进 Char Char"/>
    <w:basedOn w:val="1"/>
    <w:qFormat/>
    <w:uiPriority w:val="99"/>
    <w:pPr>
      <w:spacing w:after="120"/>
      <w:ind w:left="420" w:leftChars="200"/>
    </w:pPr>
  </w:style>
  <w:style w:type="character" w:customStyle="1" w:styleId="43">
    <w:name w:val="标题 1 字符"/>
    <w:link w:val="3"/>
    <w:qFormat/>
    <w:uiPriority w:val="9"/>
    <w:rPr>
      <w:rFonts w:ascii="Calibri" w:hAnsi="Calibri"/>
      <w:b/>
      <w:bCs/>
      <w:kern w:val="44"/>
      <w:sz w:val="44"/>
      <w:szCs w:val="44"/>
    </w:rPr>
  </w:style>
  <w:style w:type="character" w:customStyle="1" w:styleId="44">
    <w:name w:val="标题 3 字符"/>
    <w:link w:val="5"/>
    <w:qFormat/>
    <w:uiPriority w:val="0"/>
    <w:rPr>
      <w:rFonts w:ascii="仿宋_GB2312" w:hAnsi="宋体" w:eastAsia="宋体"/>
      <w:b/>
      <w:kern w:val="2"/>
      <w:sz w:val="32"/>
      <w:szCs w:val="32"/>
    </w:rPr>
  </w:style>
  <w:style w:type="character" w:customStyle="1" w:styleId="45">
    <w:name w:val="标题 2 字符"/>
    <w:link w:val="4"/>
    <w:qFormat/>
    <w:uiPriority w:val="0"/>
    <w:rPr>
      <w:rFonts w:ascii="宋体" w:hAnsi="宋体" w:eastAsia="宋体"/>
      <w:b/>
      <w:kern w:val="2"/>
      <w:sz w:val="32"/>
      <w:szCs w:val="28"/>
    </w:rPr>
  </w:style>
  <w:style w:type="character" w:customStyle="1" w:styleId="46">
    <w:name w:val="标题 4 字符"/>
    <w:link w:val="6"/>
    <w:qFormat/>
    <w:uiPriority w:val="0"/>
    <w:rPr>
      <w:rFonts w:ascii="Arial" w:hAnsi="Arial" w:eastAsia="黑体"/>
      <w:b/>
      <w:bCs/>
      <w:kern w:val="2"/>
      <w:sz w:val="28"/>
      <w:szCs w:val="28"/>
    </w:rPr>
  </w:style>
  <w:style w:type="character" w:customStyle="1" w:styleId="47">
    <w:name w:val="标题 5 字符"/>
    <w:link w:val="7"/>
    <w:qFormat/>
    <w:uiPriority w:val="0"/>
    <w:rPr>
      <w:rFonts w:ascii="Calibri" w:hAnsi="Calibri"/>
      <w:b/>
      <w:bCs/>
      <w:kern w:val="2"/>
      <w:sz w:val="28"/>
      <w:szCs w:val="28"/>
    </w:rPr>
  </w:style>
  <w:style w:type="character" w:customStyle="1" w:styleId="48">
    <w:name w:val="标题 6 字符"/>
    <w:link w:val="8"/>
    <w:qFormat/>
    <w:uiPriority w:val="0"/>
    <w:rPr>
      <w:b/>
      <w:bCs/>
      <w:kern w:val="2"/>
      <w:sz w:val="30"/>
      <w:szCs w:val="18"/>
    </w:rPr>
  </w:style>
  <w:style w:type="character" w:customStyle="1" w:styleId="49">
    <w:name w:val="标题 7 字符"/>
    <w:link w:val="9"/>
    <w:qFormat/>
    <w:uiPriority w:val="0"/>
    <w:rPr>
      <w:b/>
      <w:bCs/>
      <w:kern w:val="2"/>
      <w:sz w:val="30"/>
      <w:szCs w:val="18"/>
    </w:rPr>
  </w:style>
  <w:style w:type="character" w:customStyle="1" w:styleId="50">
    <w:name w:val="标题 8 字符"/>
    <w:link w:val="10"/>
    <w:qFormat/>
    <w:uiPriority w:val="0"/>
    <w:rPr>
      <w:b/>
      <w:bCs/>
      <w:kern w:val="2"/>
      <w:sz w:val="30"/>
      <w:szCs w:val="18"/>
    </w:rPr>
  </w:style>
  <w:style w:type="character" w:customStyle="1" w:styleId="51">
    <w:name w:val="标题 9 字符"/>
    <w:link w:val="11"/>
    <w:qFormat/>
    <w:uiPriority w:val="0"/>
    <w:rPr>
      <w:b/>
      <w:bCs/>
      <w:kern w:val="2"/>
      <w:sz w:val="30"/>
      <w:szCs w:val="18"/>
    </w:rPr>
  </w:style>
  <w:style w:type="character" w:customStyle="1" w:styleId="52">
    <w:name w:val="正文缩进 字符"/>
    <w:link w:val="12"/>
    <w:qFormat/>
    <w:uiPriority w:val="0"/>
    <w:rPr>
      <w:rFonts w:ascii="Calibri" w:hAnsi="Calibri" w:eastAsia="宋体"/>
      <w:kern w:val="2"/>
      <w:sz w:val="21"/>
      <w:szCs w:val="22"/>
      <w:lang w:val="en-US" w:eastAsia="zh-CN" w:bidi="ar-SA"/>
    </w:rPr>
  </w:style>
  <w:style w:type="character" w:customStyle="1" w:styleId="53">
    <w:name w:val="文档结构图 字符"/>
    <w:link w:val="13"/>
    <w:qFormat/>
    <w:uiPriority w:val="0"/>
    <w:rPr>
      <w:rFonts w:ascii="宋体" w:hAnsi="Calibri"/>
      <w:kern w:val="2"/>
      <w:sz w:val="18"/>
      <w:szCs w:val="18"/>
    </w:rPr>
  </w:style>
  <w:style w:type="character" w:customStyle="1" w:styleId="54">
    <w:name w:val="批注文字 字符"/>
    <w:link w:val="14"/>
    <w:qFormat/>
    <w:uiPriority w:val="0"/>
    <w:rPr>
      <w:rFonts w:ascii="Calibri" w:hAnsi="Calibri"/>
      <w:kern w:val="2"/>
      <w:sz w:val="21"/>
      <w:szCs w:val="22"/>
    </w:rPr>
  </w:style>
  <w:style w:type="character" w:customStyle="1" w:styleId="55">
    <w:name w:val="纯文本 字符"/>
    <w:link w:val="19"/>
    <w:qFormat/>
    <w:locked/>
    <w:uiPriority w:val="0"/>
    <w:rPr>
      <w:rFonts w:ascii="宋体" w:hAnsi="Courier New" w:eastAsia="宋体" w:cs="Courier New"/>
      <w:kern w:val="2"/>
      <w:sz w:val="21"/>
      <w:szCs w:val="21"/>
    </w:rPr>
  </w:style>
  <w:style w:type="character" w:customStyle="1" w:styleId="56">
    <w:name w:val="页脚 字符"/>
    <w:link w:val="22"/>
    <w:qFormat/>
    <w:uiPriority w:val="99"/>
    <w:rPr>
      <w:rFonts w:ascii="Calibri" w:hAnsi="Calibri" w:eastAsia="宋体" w:cs="Times New Roman"/>
      <w:kern w:val="2"/>
      <w:sz w:val="18"/>
      <w:szCs w:val="18"/>
    </w:rPr>
  </w:style>
  <w:style w:type="character" w:customStyle="1" w:styleId="57">
    <w:name w:val="页眉 字符"/>
    <w:link w:val="23"/>
    <w:qFormat/>
    <w:uiPriority w:val="99"/>
    <w:rPr>
      <w:rFonts w:ascii="Calibri" w:hAnsi="Calibri" w:eastAsia="宋体" w:cs="Times New Roman"/>
      <w:kern w:val="2"/>
      <w:sz w:val="18"/>
      <w:szCs w:val="18"/>
    </w:rPr>
  </w:style>
  <w:style w:type="character" w:customStyle="1" w:styleId="58">
    <w:name w:val="正文文本缩进 3 字符"/>
    <w:link w:val="27"/>
    <w:semiHidden/>
    <w:qFormat/>
    <w:uiPriority w:val="0"/>
    <w:rPr>
      <w:rFonts w:ascii="Calibri" w:hAnsi="Calibri"/>
      <w:kern w:val="2"/>
      <w:sz w:val="16"/>
      <w:szCs w:val="16"/>
    </w:rPr>
  </w:style>
  <w:style w:type="character" w:customStyle="1" w:styleId="59">
    <w:name w:val="标题 字符"/>
    <w:link w:val="2"/>
    <w:qFormat/>
    <w:uiPriority w:val="0"/>
    <w:rPr>
      <w:rFonts w:ascii="宋体" w:hAnsi="宋体" w:eastAsia="宋体"/>
      <w:b/>
      <w:kern w:val="2"/>
      <w:sz w:val="44"/>
      <w:szCs w:val="28"/>
    </w:rPr>
  </w:style>
  <w:style w:type="character" w:customStyle="1" w:styleId="60">
    <w:name w:val="批注主题 字符"/>
    <w:link w:val="30"/>
    <w:qFormat/>
    <w:uiPriority w:val="99"/>
    <w:rPr>
      <w:b/>
      <w:kern w:val="2"/>
      <w:sz w:val="28"/>
    </w:rPr>
  </w:style>
  <w:style w:type="character" w:customStyle="1" w:styleId="61">
    <w:name w:val="2册标题2 Char"/>
    <w:link w:val="62"/>
    <w:qFormat/>
    <w:uiPriority w:val="0"/>
    <w:rPr>
      <w:rFonts w:ascii="Arial" w:hAnsi="Arial" w:eastAsia="黑体"/>
      <w:kern w:val="2"/>
      <w:sz w:val="30"/>
    </w:rPr>
  </w:style>
  <w:style w:type="paragraph" w:customStyle="1" w:styleId="62">
    <w:name w:val="2册标题2"/>
    <w:basedOn w:val="1"/>
    <w:next w:val="1"/>
    <w:link w:val="61"/>
    <w:qFormat/>
    <w:uiPriority w:val="0"/>
    <w:pPr>
      <w:spacing w:beforeLines="50" w:afterLines="50" w:line="300" w:lineRule="auto"/>
      <w:outlineLvl w:val="1"/>
    </w:pPr>
    <w:rPr>
      <w:rFonts w:ascii="Arial" w:hAnsi="Arial" w:eastAsia="黑体"/>
      <w:sz w:val="30"/>
      <w:szCs w:val="20"/>
    </w:rPr>
  </w:style>
  <w:style w:type="character" w:customStyle="1" w:styleId="63">
    <w:name w:val="case31"/>
    <w:qFormat/>
    <w:uiPriority w:val="0"/>
    <w:rPr>
      <w:rFonts w:hint="default"/>
      <w:spacing w:val="390"/>
      <w:sz w:val="21"/>
      <w:szCs w:val="21"/>
    </w:rPr>
  </w:style>
  <w:style w:type="character" w:customStyle="1" w:styleId="64">
    <w:name w:val="font21"/>
    <w:basedOn w:val="35"/>
    <w:qFormat/>
    <w:uiPriority w:val="0"/>
    <w:rPr>
      <w:rFonts w:hint="eastAsia" w:ascii="宋体" w:hAnsi="宋体" w:eastAsia="宋体" w:cs="宋体"/>
      <w:color w:val="000000"/>
      <w:sz w:val="20"/>
      <w:szCs w:val="20"/>
      <w:u w:val="none"/>
    </w:rPr>
  </w:style>
  <w:style w:type="character" w:customStyle="1" w:styleId="65">
    <w:name w:val="需求样式 Char"/>
    <w:link w:val="66"/>
    <w:qFormat/>
    <w:uiPriority w:val="0"/>
    <w:rPr>
      <w:b/>
      <w:bCs/>
      <w:kern w:val="44"/>
      <w:sz w:val="32"/>
      <w:szCs w:val="28"/>
    </w:rPr>
  </w:style>
  <w:style w:type="paragraph" w:customStyle="1" w:styleId="66">
    <w:name w:val="需求样式"/>
    <w:basedOn w:val="3"/>
    <w:link w:val="65"/>
    <w:qFormat/>
    <w:uiPriority w:val="0"/>
    <w:pPr>
      <w:spacing w:before="120" w:after="120" w:line="360" w:lineRule="auto"/>
      <w:ind w:left="425" w:hanging="425"/>
    </w:pPr>
    <w:rPr>
      <w:rFonts w:ascii="Times New Roman" w:hAnsi="Times New Roman"/>
      <w:sz w:val="32"/>
      <w:szCs w:val="28"/>
    </w:rPr>
  </w:style>
  <w:style w:type="character" w:customStyle="1" w:styleId="67">
    <w:name w:val="批注主题 Char1"/>
    <w:qFormat/>
    <w:uiPriority w:val="0"/>
    <w:rPr>
      <w:rFonts w:ascii="Calibri" w:hAnsi="Calibri"/>
      <w:b/>
      <w:bCs/>
      <w:kern w:val="2"/>
      <w:sz w:val="21"/>
      <w:szCs w:val="22"/>
    </w:rPr>
  </w:style>
  <w:style w:type="character" w:customStyle="1" w:styleId="68">
    <w:name w:val="正文缩进 Char_0_0"/>
    <w:link w:val="69"/>
    <w:qFormat/>
    <w:uiPriority w:val="0"/>
    <w:rPr>
      <w:rFonts w:ascii="Calibri" w:hAnsi="Calibri" w:eastAsia="宋体" w:cs="Times New Roman"/>
      <w:kern w:val="2"/>
      <w:sz w:val="21"/>
      <w:szCs w:val="22"/>
    </w:rPr>
  </w:style>
  <w:style w:type="paragraph" w:customStyle="1" w:styleId="69">
    <w:name w:val="正文缩进_0_0"/>
    <w:basedOn w:val="70"/>
    <w:link w:val="68"/>
    <w:unhideWhenUsed/>
    <w:qFormat/>
    <w:uiPriority w:val="0"/>
    <w:pPr>
      <w:ind w:firstLine="420" w:firstLineChars="200"/>
    </w:pPr>
  </w:style>
  <w:style w:type="paragraph" w:customStyle="1" w:styleId="70">
    <w:name w:val="正文_10"/>
    <w:qFormat/>
    <w:uiPriority w:val="0"/>
    <w:pPr>
      <w:widowControl w:val="0"/>
      <w:jc w:val="both"/>
    </w:pPr>
    <w:rPr>
      <w:rFonts w:ascii="Calibri" w:hAnsi="Calibri" w:eastAsia="宋体" w:cs="Times New Roman"/>
      <w:kern w:val="2"/>
      <w:sz w:val="21"/>
      <w:szCs w:val="22"/>
      <w:lang w:val="en-US" w:eastAsia="zh-CN" w:bidi="ar-SA"/>
    </w:rPr>
  </w:style>
  <w:style w:type="character" w:customStyle="1" w:styleId="71">
    <w:name w:val="标题 2 Char_0"/>
    <w:link w:val="72"/>
    <w:semiHidden/>
    <w:qFormat/>
    <w:uiPriority w:val="9"/>
    <w:rPr>
      <w:rFonts w:ascii="Cambria" w:hAnsi="Cambria" w:eastAsia="宋体" w:cs="Times New Roman"/>
      <w:b/>
      <w:bCs/>
      <w:sz w:val="32"/>
      <w:szCs w:val="32"/>
    </w:rPr>
  </w:style>
  <w:style w:type="paragraph" w:customStyle="1" w:styleId="72">
    <w:name w:val="标题 2_1"/>
    <w:basedOn w:val="73"/>
    <w:next w:val="73"/>
    <w:link w:val="71"/>
    <w:unhideWhenUsed/>
    <w:qFormat/>
    <w:uiPriority w:val="9"/>
    <w:pPr>
      <w:keepNext/>
      <w:keepLines/>
      <w:spacing w:before="260" w:after="260" w:line="416" w:lineRule="auto"/>
      <w:outlineLvl w:val="1"/>
    </w:pPr>
    <w:rPr>
      <w:rFonts w:ascii="Cambria" w:hAnsi="Cambria"/>
      <w:b/>
      <w:bCs/>
      <w:sz w:val="32"/>
      <w:szCs w:val="32"/>
    </w:rPr>
  </w:style>
  <w:style w:type="paragraph" w:customStyle="1" w:styleId="73">
    <w:name w:val="正文_13"/>
    <w:qFormat/>
    <w:uiPriority w:val="0"/>
    <w:pPr>
      <w:widowControl w:val="0"/>
      <w:jc w:val="both"/>
    </w:pPr>
    <w:rPr>
      <w:rFonts w:ascii="Calibri" w:hAnsi="Calibri" w:eastAsia="宋体" w:cs="Times New Roman"/>
      <w:kern w:val="2"/>
      <w:sz w:val="21"/>
      <w:szCs w:val="22"/>
      <w:lang w:val="en-US" w:eastAsia="zh-CN" w:bidi="ar-SA"/>
    </w:rPr>
  </w:style>
  <w:style w:type="character" w:customStyle="1" w:styleId="74">
    <w:name w:val="正文缩进 Char_1"/>
    <w:link w:val="75"/>
    <w:qFormat/>
    <w:uiPriority w:val="0"/>
    <w:rPr>
      <w:rFonts w:ascii="Calibri" w:hAnsi="Calibri" w:eastAsia="宋体" w:cs="Times New Roman"/>
      <w:kern w:val="2"/>
      <w:sz w:val="21"/>
      <w:szCs w:val="22"/>
    </w:rPr>
  </w:style>
  <w:style w:type="paragraph" w:customStyle="1" w:styleId="75">
    <w:name w:val="正文缩进_2"/>
    <w:basedOn w:val="76"/>
    <w:link w:val="74"/>
    <w:unhideWhenUsed/>
    <w:qFormat/>
    <w:uiPriority w:val="0"/>
    <w:pPr>
      <w:ind w:firstLine="420" w:firstLineChars="200"/>
    </w:pPr>
  </w:style>
  <w:style w:type="paragraph" w:customStyle="1" w:styleId="76">
    <w:name w:val="正文_9"/>
    <w:qFormat/>
    <w:uiPriority w:val="0"/>
    <w:pPr>
      <w:widowControl w:val="0"/>
      <w:jc w:val="both"/>
    </w:pPr>
    <w:rPr>
      <w:rFonts w:ascii="Calibri" w:hAnsi="Calibri" w:eastAsia="宋体" w:cs="Times New Roman"/>
      <w:kern w:val="2"/>
      <w:sz w:val="21"/>
      <w:szCs w:val="22"/>
      <w:lang w:val="en-US" w:eastAsia="zh-CN" w:bidi="ar-SA"/>
    </w:rPr>
  </w:style>
  <w:style w:type="character" w:customStyle="1" w:styleId="77">
    <w:name w:val="正文文本 Char"/>
    <w:link w:val="78"/>
    <w:qFormat/>
    <w:uiPriority w:val="0"/>
    <w:rPr>
      <w:rFonts w:ascii="Calibri" w:hAnsi="Calibri" w:eastAsia="宋体" w:cs="Times New Roman"/>
      <w:kern w:val="2"/>
      <w:sz w:val="21"/>
      <w:szCs w:val="22"/>
    </w:rPr>
  </w:style>
  <w:style w:type="paragraph" w:customStyle="1" w:styleId="78">
    <w:name w:val="正文文本_1"/>
    <w:basedOn w:val="79"/>
    <w:link w:val="77"/>
    <w:unhideWhenUsed/>
    <w:qFormat/>
    <w:uiPriority w:val="0"/>
    <w:pPr>
      <w:spacing w:after="120"/>
    </w:pPr>
  </w:style>
  <w:style w:type="paragraph" w:customStyle="1" w:styleId="79">
    <w:name w:val="正文_1_0"/>
    <w:basedOn w:val="80"/>
    <w:qFormat/>
    <w:uiPriority w:val="0"/>
    <w:rPr>
      <w:rFonts w:ascii="Calibri" w:hAnsi="Calibri"/>
    </w:rPr>
  </w:style>
  <w:style w:type="paragraph" w:customStyle="1" w:styleId="80">
    <w:name w:val="正文_1_1"/>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81">
    <w:name w:val="纯文本 Char_0"/>
    <w:link w:val="82"/>
    <w:qFormat/>
    <w:uiPriority w:val="0"/>
    <w:rPr>
      <w:rFonts w:ascii="宋体" w:hAnsi="Courier New" w:eastAsia="宋体" w:cs="Times New Roman"/>
      <w:kern w:val="2"/>
      <w:sz w:val="21"/>
      <w:szCs w:val="21"/>
    </w:rPr>
  </w:style>
  <w:style w:type="paragraph" w:customStyle="1" w:styleId="82">
    <w:name w:val="纯文本_0"/>
    <w:basedOn w:val="83"/>
    <w:link w:val="81"/>
    <w:qFormat/>
    <w:uiPriority w:val="0"/>
    <w:rPr>
      <w:rFonts w:ascii="宋体" w:hAnsi="Courier New"/>
      <w:szCs w:val="21"/>
    </w:rPr>
  </w:style>
  <w:style w:type="paragraph" w:customStyle="1" w:styleId="83">
    <w:name w:val="正文_12"/>
    <w:qFormat/>
    <w:uiPriority w:val="0"/>
    <w:pPr>
      <w:widowControl w:val="0"/>
      <w:jc w:val="both"/>
    </w:pPr>
    <w:rPr>
      <w:rFonts w:ascii="Calibri" w:hAnsi="Calibri" w:eastAsia="宋体" w:cs="Times New Roman"/>
      <w:kern w:val="2"/>
      <w:sz w:val="21"/>
      <w:szCs w:val="22"/>
      <w:lang w:val="en-US" w:eastAsia="zh-CN" w:bidi="ar-SA"/>
    </w:rPr>
  </w:style>
  <w:style w:type="character" w:customStyle="1" w:styleId="84">
    <w:name w:val="正文缩进 Char_2"/>
    <w:link w:val="85"/>
    <w:qFormat/>
    <w:uiPriority w:val="0"/>
    <w:rPr>
      <w:rFonts w:ascii="Calibri" w:hAnsi="Calibri" w:eastAsia="宋体" w:cs="Times New Roman"/>
      <w:kern w:val="2"/>
      <w:sz w:val="21"/>
      <w:szCs w:val="22"/>
    </w:rPr>
  </w:style>
  <w:style w:type="paragraph" w:customStyle="1" w:styleId="85">
    <w:name w:val="正文缩进_2_0"/>
    <w:basedOn w:val="86"/>
    <w:link w:val="84"/>
    <w:unhideWhenUsed/>
    <w:qFormat/>
    <w:uiPriority w:val="0"/>
    <w:pPr>
      <w:ind w:firstLine="420" w:firstLineChars="200"/>
    </w:pPr>
  </w:style>
  <w:style w:type="paragraph" w:customStyle="1" w:styleId="86">
    <w:name w:val="正文_14"/>
    <w:qFormat/>
    <w:uiPriority w:val="0"/>
    <w:pPr>
      <w:widowControl w:val="0"/>
      <w:jc w:val="both"/>
    </w:pPr>
    <w:rPr>
      <w:rFonts w:ascii="Calibri" w:hAnsi="Calibri" w:eastAsia="宋体" w:cs="Times New Roman"/>
      <w:kern w:val="2"/>
      <w:sz w:val="21"/>
      <w:szCs w:val="22"/>
      <w:lang w:val="en-US" w:eastAsia="zh-CN" w:bidi="ar-SA"/>
    </w:rPr>
  </w:style>
  <w:style w:type="character" w:customStyle="1" w:styleId="87">
    <w:name w:val="普通文字 Char Char2"/>
    <w:qFormat/>
    <w:uiPriority w:val="0"/>
    <w:rPr>
      <w:rFonts w:ascii="宋体" w:hAnsi="Courier New" w:cs="Courier New"/>
      <w:kern w:val="2"/>
      <w:sz w:val="21"/>
      <w:szCs w:val="21"/>
    </w:rPr>
  </w:style>
  <w:style w:type="character" w:customStyle="1" w:styleId="88">
    <w:name w:val="font11"/>
    <w:basedOn w:val="35"/>
    <w:qFormat/>
    <w:uiPriority w:val="0"/>
    <w:rPr>
      <w:rFonts w:hint="eastAsia" w:ascii="宋体" w:hAnsi="宋体" w:eastAsia="宋体" w:cs="宋体"/>
      <w:color w:val="000000"/>
      <w:sz w:val="20"/>
      <w:szCs w:val="20"/>
      <w:u w:val="none"/>
    </w:rPr>
  </w:style>
  <w:style w:type="character" w:customStyle="1" w:styleId="89">
    <w:name w:val="正文缩进 Char_1_0"/>
    <w:link w:val="90"/>
    <w:qFormat/>
    <w:uiPriority w:val="0"/>
    <w:rPr>
      <w:rFonts w:ascii="Calibri" w:hAnsi="Calibri" w:eastAsia="宋体" w:cs="Times New Roman"/>
      <w:kern w:val="2"/>
      <w:sz w:val="21"/>
      <w:szCs w:val="22"/>
    </w:rPr>
  </w:style>
  <w:style w:type="paragraph" w:customStyle="1" w:styleId="90">
    <w:name w:val="正文缩进_1_0"/>
    <w:basedOn w:val="91"/>
    <w:link w:val="89"/>
    <w:unhideWhenUsed/>
    <w:qFormat/>
    <w:uiPriority w:val="0"/>
    <w:pPr>
      <w:ind w:firstLine="420" w:firstLineChars="200"/>
    </w:pPr>
  </w:style>
  <w:style w:type="paragraph" w:customStyle="1" w:styleId="91">
    <w:name w:val="正文_11"/>
    <w:qFormat/>
    <w:uiPriority w:val="0"/>
    <w:pPr>
      <w:widowControl w:val="0"/>
      <w:jc w:val="both"/>
    </w:pPr>
    <w:rPr>
      <w:rFonts w:ascii="Calibri" w:hAnsi="Calibri" w:eastAsia="宋体" w:cs="Times New Roman"/>
      <w:kern w:val="2"/>
      <w:sz w:val="21"/>
      <w:szCs w:val="22"/>
      <w:lang w:val="en-US" w:eastAsia="zh-CN" w:bidi="ar-SA"/>
    </w:rPr>
  </w:style>
  <w:style w:type="character" w:customStyle="1" w:styleId="92">
    <w:name w:val="标题 3 Char_0"/>
    <w:link w:val="93"/>
    <w:qFormat/>
    <w:uiPriority w:val="0"/>
    <w:rPr>
      <w:rFonts w:ascii="仿宋_GB2312" w:hAnsi="仿宋_GB2312" w:eastAsia="宋体"/>
      <w:b/>
      <w:bCs/>
      <w:kern w:val="44"/>
      <w:sz w:val="32"/>
      <w:szCs w:val="32"/>
    </w:rPr>
  </w:style>
  <w:style w:type="paragraph" w:customStyle="1" w:styleId="93">
    <w:name w:val="标题 3_1"/>
    <w:basedOn w:val="72"/>
    <w:next w:val="73"/>
    <w:link w:val="92"/>
    <w:qFormat/>
    <w:uiPriority w:val="0"/>
    <w:pPr>
      <w:adjustRightInd w:val="0"/>
      <w:snapToGrid w:val="0"/>
      <w:spacing w:line="500" w:lineRule="exact"/>
      <w:ind w:left="-88" w:leftChars="-42"/>
      <w:contextualSpacing/>
      <w:jc w:val="center"/>
      <w:outlineLvl w:val="2"/>
    </w:pPr>
    <w:rPr>
      <w:rFonts w:ascii="仿宋_GB2312" w:hAnsi="仿宋_GB2312"/>
      <w:kern w:val="44"/>
    </w:rPr>
  </w:style>
  <w:style w:type="character" w:customStyle="1" w:styleId="94">
    <w:name w:val="日期 Char"/>
    <w:link w:val="95"/>
    <w:qFormat/>
    <w:uiPriority w:val="0"/>
    <w:rPr>
      <w:rFonts w:ascii="宋体" w:hAnsi="Courier New" w:eastAsia="宋体" w:cs="Courier New"/>
      <w:kern w:val="2"/>
      <w:sz w:val="21"/>
      <w:szCs w:val="21"/>
    </w:rPr>
  </w:style>
  <w:style w:type="paragraph" w:customStyle="1" w:styleId="95">
    <w:name w:val="日期_0"/>
    <w:basedOn w:val="83"/>
    <w:next w:val="83"/>
    <w:link w:val="94"/>
    <w:qFormat/>
    <w:uiPriority w:val="0"/>
    <w:pPr>
      <w:ind w:left="100" w:leftChars="2500"/>
    </w:pPr>
    <w:rPr>
      <w:rFonts w:ascii="宋体" w:hAnsi="Courier New"/>
      <w:szCs w:val="21"/>
    </w:rPr>
  </w:style>
  <w:style w:type="character" w:customStyle="1" w:styleId="96">
    <w:name w:val="正文缩进 Char_0"/>
    <w:link w:val="97"/>
    <w:qFormat/>
    <w:uiPriority w:val="0"/>
  </w:style>
  <w:style w:type="paragraph" w:customStyle="1" w:styleId="97">
    <w:name w:val="正文缩进_1"/>
    <w:basedOn w:val="98"/>
    <w:link w:val="96"/>
    <w:unhideWhenUsed/>
    <w:qFormat/>
    <w:uiPriority w:val="0"/>
    <w:pPr>
      <w:ind w:firstLine="420" w:firstLineChars="200"/>
    </w:pPr>
  </w:style>
  <w:style w:type="paragraph" w:customStyle="1" w:styleId="98">
    <w:name w:val="正文_4"/>
    <w:qFormat/>
    <w:uiPriority w:val="0"/>
    <w:pPr>
      <w:widowControl w:val="0"/>
      <w:jc w:val="both"/>
    </w:pPr>
    <w:rPr>
      <w:rFonts w:ascii="Calibri" w:hAnsi="Calibri" w:eastAsia="宋体" w:cs="Times New Roman"/>
      <w:kern w:val="2"/>
      <w:sz w:val="21"/>
      <w:szCs w:val="22"/>
      <w:lang w:val="en-US" w:eastAsia="zh-CN" w:bidi="ar-SA"/>
    </w:rPr>
  </w:style>
  <w:style w:type="paragraph" w:customStyle="1" w:styleId="99">
    <w:name w:val="Normal_14"/>
    <w:qFormat/>
    <w:uiPriority w:val="0"/>
    <w:rPr>
      <w:rFonts w:ascii="黑体" w:hAnsi="黑体" w:eastAsia="黑体" w:cs="Times New Roman"/>
      <w:b/>
      <w:sz w:val="32"/>
      <w:szCs w:val="24"/>
      <w:lang w:val="en-US" w:eastAsia="zh-CN" w:bidi="ar-SA"/>
    </w:rPr>
  </w:style>
  <w:style w:type="paragraph" w:customStyle="1" w:styleId="100">
    <w:name w:val="TOC 标题1"/>
    <w:basedOn w:val="3"/>
    <w:next w:val="1"/>
    <w:qFormat/>
    <w:uiPriority w:val="39"/>
    <w:pPr>
      <w:widowControl/>
      <w:spacing w:before="480" w:after="0" w:line="276" w:lineRule="auto"/>
      <w:jc w:val="left"/>
      <w:outlineLvl w:val="9"/>
    </w:pPr>
    <w:rPr>
      <w:rFonts w:ascii="Cambria" w:hAnsi="Cambria"/>
      <w:color w:val="365F91"/>
      <w:kern w:val="0"/>
      <w:sz w:val="28"/>
    </w:rPr>
  </w:style>
  <w:style w:type="paragraph" w:customStyle="1" w:styleId="101">
    <w:name w:val="正文_2_1_0"/>
    <w:basedOn w:val="102"/>
    <w:qFormat/>
    <w:uiPriority w:val="0"/>
    <w:rPr>
      <w:rFonts w:cs="宋体"/>
    </w:rPr>
  </w:style>
  <w:style w:type="paragraph" w:customStyle="1" w:styleId="102">
    <w:name w:val="正文_2_1"/>
    <w:basedOn w:val="103"/>
    <w:qFormat/>
    <w:uiPriority w:val="0"/>
    <w:rPr>
      <w:rFonts w:cs="Calibri"/>
      <w:szCs w:val="21"/>
    </w:rPr>
  </w:style>
  <w:style w:type="paragraph" w:customStyle="1" w:styleId="103">
    <w:name w:val="正文_3"/>
    <w:basedOn w:val="104"/>
    <w:qFormat/>
    <w:uiPriority w:val="0"/>
  </w:style>
  <w:style w:type="paragraph" w:customStyle="1" w:styleId="104">
    <w:name w:val="正文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5">
    <w:name w:val="标题 3_0"/>
    <w:basedOn w:val="106"/>
    <w:next w:val="106"/>
    <w:unhideWhenUsed/>
    <w:qFormat/>
    <w:uiPriority w:val="9"/>
    <w:pPr>
      <w:keepNext/>
      <w:keepLines/>
      <w:spacing w:before="260" w:after="260" w:line="416" w:lineRule="auto"/>
      <w:outlineLvl w:val="2"/>
    </w:pPr>
    <w:rPr>
      <w:b/>
      <w:bCs/>
      <w:sz w:val="32"/>
      <w:szCs w:val="32"/>
    </w:rPr>
  </w:style>
  <w:style w:type="paragraph" w:customStyle="1" w:styleId="106">
    <w:name w:val="正文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7">
    <w:name w:val="Normal_11"/>
    <w:qFormat/>
    <w:uiPriority w:val="0"/>
    <w:rPr>
      <w:rFonts w:ascii="黑体" w:hAnsi="黑体" w:eastAsia="黑体" w:cs="Times New Roman"/>
      <w:b/>
      <w:sz w:val="32"/>
      <w:szCs w:val="24"/>
      <w:lang w:val="en-US" w:eastAsia="zh-CN" w:bidi="ar-SA"/>
    </w:rPr>
  </w:style>
  <w:style w:type="paragraph" w:customStyle="1" w:styleId="108">
    <w:name w:val="Normal_9"/>
    <w:qFormat/>
    <w:uiPriority w:val="0"/>
    <w:rPr>
      <w:rFonts w:ascii="黑体" w:hAnsi="黑体" w:eastAsia="黑体" w:cs="Times New Roman"/>
      <w:b/>
      <w:sz w:val="32"/>
      <w:szCs w:val="24"/>
      <w:lang w:val="en-US" w:eastAsia="zh-CN" w:bidi="ar-SA"/>
    </w:rPr>
  </w:style>
  <w:style w:type="paragraph" w:customStyle="1" w:styleId="109">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0">
    <w:name w:val="Normal_23"/>
    <w:qFormat/>
    <w:uiPriority w:val="0"/>
    <w:rPr>
      <w:rFonts w:ascii="Times New Roman" w:hAnsi="Times New Roman" w:eastAsia="Times New Roman" w:cs="Times New Roman"/>
      <w:sz w:val="24"/>
      <w:szCs w:val="24"/>
      <w:lang w:val="en-US" w:eastAsia="zh-CN" w:bidi="ar-SA"/>
    </w:rPr>
  </w:style>
  <w:style w:type="paragraph" w:customStyle="1" w:styleId="111">
    <w:name w:val="标题 2_0"/>
    <w:basedOn w:val="105"/>
    <w:next w:val="106"/>
    <w:qFormat/>
    <w:uiPriority w:val="0"/>
    <w:pPr>
      <w:adjustRightInd w:val="0"/>
      <w:snapToGrid w:val="0"/>
      <w:spacing w:line="500" w:lineRule="exact"/>
      <w:ind w:left="-88" w:leftChars="-42"/>
      <w:contextualSpacing/>
      <w:jc w:val="center"/>
      <w:outlineLvl w:val="1"/>
    </w:pPr>
    <w:rPr>
      <w:rFonts w:ascii="宋体" w:hAnsi="宋体"/>
      <w:bCs w:val="0"/>
      <w:szCs w:val="28"/>
    </w:rPr>
  </w:style>
  <w:style w:type="paragraph" w:customStyle="1" w:styleId="112">
    <w:name w:val="正文_2_0_0"/>
    <w:basedOn w:val="102"/>
    <w:qFormat/>
    <w:uiPriority w:val="0"/>
    <w:rPr>
      <w:rFonts w:cs="宋体"/>
    </w:rPr>
  </w:style>
  <w:style w:type="paragraph" w:customStyle="1" w:styleId="113">
    <w:name w:val="TOC 标题2"/>
    <w:basedOn w:val="3"/>
    <w:next w:val="1"/>
    <w:unhideWhenUsed/>
    <w:qFormat/>
    <w:uiPriority w:val="39"/>
    <w:pPr>
      <w:widowControl/>
      <w:spacing w:before="240" w:after="0" w:line="259" w:lineRule="auto"/>
      <w:jc w:val="left"/>
      <w:outlineLvl w:val="9"/>
    </w:pPr>
    <w:rPr>
      <w:rFonts w:ascii="Cambria" w:hAnsi="Cambria"/>
      <w:b/>
      <w:bCs w:val="0"/>
      <w:color w:val="365F91"/>
      <w:kern w:val="0"/>
      <w:sz w:val="32"/>
      <w:szCs w:val="32"/>
    </w:rPr>
  </w:style>
  <w:style w:type="paragraph" w:customStyle="1" w:styleId="114">
    <w:name w:val="正文_2_1_0_0"/>
    <w:basedOn w:val="101"/>
    <w:qFormat/>
    <w:uiPriority w:val="0"/>
    <w:rPr>
      <w:rFonts w:cs="Times New Roman"/>
    </w:rPr>
  </w:style>
  <w:style w:type="paragraph" w:styleId="115">
    <w:name w:val="List Paragraph"/>
    <w:basedOn w:val="1"/>
    <w:qFormat/>
    <w:uiPriority w:val="99"/>
    <w:pPr>
      <w:ind w:firstLine="420" w:firstLineChars="200"/>
    </w:pPr>
  </w:style>
  <w:style w:type="paragraph" w:styleId="116">
    <w:name w:val="No Spacing"/>
    <w:qFormat/>
    <w:uiPriority w:val="1"/>
    <w:pPr>
      <w:widowControl w:val="0"/>
      <w:jc w:val="center"/>
    </w:pPr>
    <w:rPr>
      <w:rFonts w:ascii="Times New Roman" w:hAnsi="Times New Roman" w:eastAsia="黑体" w:cs="Times New Roman"/>
      <w:kern w:val="2"/>
      <w:sz w:val="30"/>
      <w:szCs w:val="24"/>
      <w:lang w:val="en-US" w:eastAsia="zh-CN" w:bidi="ar-SA"/>
    </w:rPr>
  </w:style>
  <w:style w:type="paragraph" w:customStyle="1" w:styleId="117">
    <w:name w:val="Normal_16"/>
    <w:qFormat/>
    <w:uiPriority w:val="0"/>
    <w:rPr>
      <w:rFonts w:ascii="黑体" w:hAnsi="黑体" w:eastAsia="黑体" w:cs="Times New Roman"/>
      <w:b/>
      <w:sz w:val="32"/>
      <w:szCs w:val="24"/>
      <w:lang w:val="en-US" w:eastAsia="zh-CN" w:bidi="ar-SA"/>
    </w:rPr>
  </w:style>
  <w:style w:type="paragraph" w:customStyle="1" w:styleId="118">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19">
    <w:name w:val="普通(网站)1"/>
    <w:basedOn w:val="104"/>
    <w:unhideWhenUsed/>
    <w:qFormat/>
    <w:uiPriority w:val="99"/>
    <w:pPr>
      <w:widowControl/>
      <w:spacing w:before="100" w:beforeAutospacing="1" w:after="100" w:afterAutospacing="1"/>
      <w:jc w:val="left"/>
    </w:pPr>
    <w:rPr>
      <w:rFonts w:ascii="宋体" w:hAnsi="宋体" w:cs="宋体"/>
      <w:kern w:val="0"/>
      <w:sz w:val="24"/>
      <w:szCs w:val="24"/>
    </w:rPr>
  </w:style>
  <w:style w:type="paragraph" w:customStyle="1" w:styleId="120">
    <w:name w:val="Normal_1"/>
    <w:qFormat/>
    <w:uiPriority w:val="0"/>
    <w:rPr>
      <w:rFonts w:ascii="黑体" w:hAnsi="黑体" w:eastAsia="黑体" w:cs="Times New Roman"/>
      <w:b/>
      <w:sz w:val="32"/>
      <w:szCs w:val="24"/>
      <w:lang w:val="en-US" w:eastAsia="zh-CN" w:bidi="ar-SA"/>
    </w:rPr>
  </w:style>
  <w:style w:type="paragraph" w:customStyle="1" w:styleId="121">
    <w:name w:val="修订1"/>
    <w:semiHidden/>
    <w:qFormat/>
    <w:uiPriority w:val="99"/>
    <w:rPr>
      <w:rFonts w:ascii="Calibri" w:hAnsi="Calibri" w:eastAsia="宋体" w:cs="Times New Roman"/>
      <w:kern w:val="2"/>
      <w:sz w:val="21"/>
      <w:szCs w:val="22"/>
      <w:lang w:val="en-US" w:eastAsia="zh-CN" w:bidi="ar-SA"/>
    </w:rPr>
  </w:style>
  <w:style w:type="paragraph" w:customStyle="1" w:styleId="122">
    <w:name w:val="Normal_19"/>
    <w:qFormat/>
    <w:uiPriority w:val="0"/>
    <w:rPr>
      <w:rFonts w:ascii="黑体" w:hAnsi="黑体" w:eastAsia="黑体" w:cs="Times New Roman"/>
      <w:b/>
      <w:sz w:val="32"/>
      <w:szCs w:val="24"/>
      <w:lang w:val="en-US" w:eastAsia="zh-CN" w:bidi="ar-SA"/>
    </w:rPr>
  </w:style>
  <w:style w:type="paragraph" w:customStyle="1" w:styleId="123">
    <w:name w:val="样式1"/>
    <w:basedOn w:val="1"/>
    <w:qFormat/>
    <w:uiPriority w:val="0"/>
    <w:pPr>
      <w:tabs>
        <w:tab w:val="left" w:pos="709"/>
      </w:tabs>
      <w:adjustRightInd w:val="0"/>
      <w:ind w:left="709" w:hanging="709"/>
      <w:textAlignment w:val="baseline"/>
    </w:pPr>
    <w:rPr>
      <w:rFonts w:ascii="宋体" w:hAnsi="宋体"/>
      <w:kern w:val="0"/>
      <w:szCs w:val="21"/>
    </w:rPr>
  </w:style>
  <w:style w:type="paragraph" w:customStyle="1" w:styleId="124">
    <w:name w:val="正文_3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5">
    <w:name w:val="Normal_0"/>
    <w:basedOn w:val="102"/>
    <w:qFormat/>
    <w:uiPriority w:val="0"/>
    <w:rPr>
      <w:rFonts w:eastAsia="Times New Roman"/>
      <w:sz w:val="24"/>
      <w:szCs w:val="24"/>
    </w:rPr>
  </w:style>
  <w:style w:type="paragraph" w:customStyle="1" w:styleId="126">
    <w:name w:val="正文_0_1"/>
    <w:basedOn w:val="127"/>
    <w:qFormat/>
    <w:uiPriority w:val="0"/>
    <w:rPr>
      <w:rFonts w:ascii="Calibri" w:hAnsi="Calibri" w:cs="宋体"/>
      <w:szCs w:val="21"/>
    </w:rPr>
  </w:style>
  <w:style w:type="paragraph" w:customStyle="1" w:styleId="127">
    <w:name w:val="正文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8">
    <w:name w:val="正文_5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9">
    <w:name w:val="正文缩进_0"/>
    <w:basedOn w:val="106"/>
    <w:unhideWhenUsed/>
    <w:qFormat/>
    <w:uiPriority w:val="0"/>
    <w:pPr>
      <w:ind w:firstLine="420" w:firstLineChars="200"/>
    </w:pPr>
  </w:style>
  <w:style w:type="paragraph" w:customStyle="1" w:styleId="130">
    <w:name w:val="正文_2"/>
    <w:basedOn w:val="127"/>
    <w:qFormat/>
    <w:uiPriority w:val="0"/>
    <w:rPr>
      <w:szCs w:val="21"/>
    </w:rPr>
  </w:style>
  <w:style w:type="paragraph" w:customStyle="1" w:styleId="131">
    <w:name w:val="Normal_10"/>
    <w:qFormat/>
    <w:uiPriority w:val="0"/>
    <w:rPr>
      <w:rFonts w:ascii="黑体" w:hAnsi="黑体" w:eastAsia="黑体" w:cs="Times New Roman"/>
      <w:b/>
      <w:sz w:val="32"/>
      <w:szCs w:val="24"/>
      <w:lang w:val="en-US" w:eastAsia="zh-CN" w:bidi="ar-SA"/>
    </w:rPr>
  </w:style>
  <w:style w:type="paragraph" w:customStyle="1" w:styleId="132">
    <w:name w:val="Normal_4"/>
    <w:qFormat/>
    <w:uiPriority w:val="0"/>
    <w:rPr>
      <w:rFonts w:ascii="黑体" w:hAnsi="黑体" w:eastAsia="黑体" w:cs="Times New Roman"/>
      <w:b/>
      <w:sz w:val="32"/>
      <w:szCs w:val="24"/>
      <w:lang w:val="en-US" w:eastAsia="zh-CN" w:bidi="ar-SA"/>
    </w:rPr>
  </w:style>
  <w:style w:type="paragraph" w:customStyle="1" w:styleId="133">
    <w:name w:val="Normal_3"/>
    <w:qFormat/>
    <w:uiPriority w:val="0"/>
    <w:rPr>
      <w:rFonts w:ascii="黑体" w:hAnsi="黑体" w:eastAsia="黑体" w:cs="Times New Roman"/>
      <w:b/>
      <w:sz w:val="32"/>
      <w:szCs w:val="24"/>
      <w:lang w:val="en-US" w:eastAsia="zh-CN" w:bidi="ar-SA"/>
    </w:rPr>
  </w:style>
  <w:style w:type="paragraph" w:customStyle="1" w:styleId="134">
    <w:name w:val="Normal_12"/>
    <w:qFormat/>
    <w:uiPriority w:val="0"/>
    <w:rPr>
      <w:rFonts w:ascii="黑体" w:hAnsi="黑体" w:eastAsia="黑体" w:cs="Times New Roman"/>
      <w:b/>
      <w:sz w:val="32"/>
      <w:szCs w:val="24"/>
      <w:lang w:val="en-US" w:eastAsia="zh-CN" w:bidi="ar-SA"/>
    </w:rPr>
  </w:style>
  <w:style w:type="paragraph" w:customStyle="1" w:styleId="135">
    <w:name w:val="正文_7"/>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6">
    <w:name w:val="正文_0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37">
    <w:name w:val="Normal_8"/>
    <w:qFormat/>
    <w:uiPriority w:val="0"/>
    <w:rPr>
      <w:rFonts w:ascii="黑体" w:hAnsi="黑体" w:eastAsia="黑体" w:cs="Times New Roman"/>
      <w:b/>
      <w:sz w:val="32"/>
      <w:szCs w:val="24"/>
      <w:lang w:val="en-US" w:eastAsia="zh-CN" w:bidi="ar-SA"/>
    </w:rPr>
  </w:style>
  <w:style w:type="paragraph" w:customStyle="1" w:styleId="138">
    <w:name w:val="正文_4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9">
    <w:name w:val="正文_2_0_0_0"/>
    <w:basedOn w:val="112"/>
    <w:qFormat/>
    <w:uiPriority w:val="0"/>
  </w:style>
  <w:style w:type="paragraph" w:customStyle="1" w:styleId="140">
    <w:name w:val="Normal_20"/>
    <w:qFormat/>
    <w:uiPriority w:val="0"/>
    <w:rPr>
      <w:rFonts w:ascii="黑体" w:hAnsi="黑体" w:eastAsia="黑体" w:cs="Times New Roman"/>
      <w:b/>
      <w:sz w:val="32"/>
      <w:szCs w:val="24"/>
      <w:lang w:val="en-US" w:eastAsia="zh-CN" w:bidi="ar-SA"/>
    </w:rPr>
  </w:style>
  <w:style w:type="paragraph" w:customStyle="1" w:styleId="141">
    <w:name w:val="普通(网站)_0"/>
    <w:basedOn w:val="126"/>
    <w:qFormat/>
    <w:uiPriority w:val="0"/>
    <w:pPr>
      <w:widowControl/>
      <w:spacing w:before="100" w:beforeAutospacing="1" w:after="100" w:afterAutospacing="1"/>
      <w:jc w:val="left"/>
    </w:pPr>
    <w:rPr>
      <w:rFonts w:ascii="宋体" w:hAnsi="宋体"/>
      <w:kern w:val="0"/>
      <w:sz w:val="24"/>
      <w:szCs w:val="24"/>
    </w:rPr>
  </w:style>
  <w:style w:type="paragraph" w:customStyle="1" w:styleId="142">
    <w:name w:val="正文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43">
    <w:name w:val="Normal_21"/>
    <w:qFormat/>
    <w:uiPriority w:val="0"/>
    <w:rPr>
      <w:rFonts w:ascii="黑体" w:hAnsi="黑体" w:eastAsia="黑体" w:cs="Times New Roman"/>
      <w:b/>
      <w:sz w:val="32"/>
      <w:szCs w:val="24"/>
      <w:lang w:val="en-US" w:eastAsia="zh-CN" w:bidi="ar-SA"/>
    </w:rPr>
  </w:style>
  <w:style w:type="paragraph" w:customStyle="1" w:styleId="144">
    <w:name w:val="正文空2格  1."/>
    <w:basedOn w:val="1"/>
    <w:qFormat/>
    <w:uiPriority w:val="0"/>
    <w:pPr>
      <w:adjustRightInd w:val="0"/>
      <w:spacing w:line="360" w:lineRule="auto"/>
      <w:ind w:firstLine="480" w:firstLineChars="200"/>
      <w:textAlignment w:val="baseline"/>
    </w:pPr>
    <w:rPr>
      <w:rFonts w:ascii="宋体" w:hAnsi="Times New Roman" w:eastAsia="仿宋" w:cs="宋体"/>
      <w:kern w:val="0"/>
      <w:sz w:val="28"/>
      <w:szCs w:val="20"/>
    </w:rPr>
  </w:style>
  <w:style w:type="paragraph" w:customStyle="1" w:styleId="145">
    <w:name w:val="Normal_13"/>
    <w:qFormat/>
    <w:uiPriority w:val="0"/>
    <w:rPr>
      <w:rFonts w:ascii="黑体" w:hAnsi="黑体" w:eastAsia="黑体" w:cs="Times New Roman"/>
      <w:b/>
      <w:sz w:val="32"/>
      <w:szCs w:val="24"/>
      <w:lang w:val="en-US" w:eastAsia="zh-CN" w:bidi="ar-SA"/>
    </w:rPr>
  </w:style>
  <w:style w:type="paragraph" w:customStyle="1" w:styleId="146">
    <w:name w:val="Normal_5"/>
    <w:qFormat/>
    <w:uiPriority w:val="0"/>
    <w:rPr>
      <w:rFonts w:ascii="黑体" w:hAnsi="黑体" w:eastAsia="黑体" w:cs="Times New Roman"/>
      <w:b/>
      <w:sz w:val="32"/>
      <w:szCs w:val="24"/>
      <w:lang w:val="en-US" w:eastAsia="zh-CN" w:bidi="ar-SA"/>
    </w:rPr>
  </w:style>
  <w:style w:type="paragraph" w:customStyle="1" w:styleId="147">
    <w:name w:val="正文_6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8">
    <w:name w:val="正文_2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9">
    <w:name w:val="Normal_18"/>
    <w:qFormat/>
    <w:uiPriority w:val="0"/>
    <w:rPr>
      <w:rFonts w:ascii="黑体" w:hAnsi="黑体" w:eastAsia="黑体" w:cs="Times New Roman"/>
      <w:b/>
      <w:sz w:val="32"/>
      <w:szCs w:val="24"/>
      <w:lang w:val="en-US" w:eastAsia="zh-CN" w:bidi="ar-SA"/>
    </w:rPr>
  </w:style>
  <w:style w:type="paragraph" w:customStyle="1" w:styleId="150">
    <w:name w:val="Normal_6"/>
    <w:qFormat/>
    <w:uiPriority w:val="0"/>
    <w:rPr>
      <w:rFonts w:ascii="黑体" w:hAnsi="黑体" w:eastAsia="黑体" w:cs="Times New Roman"/>
      <w:b/>
      <w:sz w:val="32"/>
      <w:szCs w:val="24"/>
      <w:lang w:val="en-US" w:eastAsia="zh-CN" w:bidi="ar-SA"/>
    </w:rPr>
  </w:style>
  <w:style w:type="paragraph" w:customStyle="1" w:styleId="151">
    <w:name w:val="正文_15"/>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2">
    <w:name w:val="Normal_0_0"/>
    <w:qFormat/>
    <w:uiPriority w:val="0"/>
    <w:rPr>
      <w:rFonts w:ascii="黑体" w:hAnsi="黑体" w:eastAsia="黑体" w:cs="Times New Roman"/>
      <w:b/>
      <w:sz w:val="32"/>
      <w:szCs w:val="24"/>
      <w:lang w:val="en-US" w:eastAsia="zh-CN" w:bidi="ar-SA"/>
    </w:rPr>
  </w:style>
  <w:style w:type="paragraph" w:customStyle="1" w:styleId="153">
    <w:name w:val="正文文本_0"/>
    <w:basedOn w:val="106"/>
    <w:unhideWhenUsed/>
    <w:qFormat/>
    <w:uiPriority w:val="0"/>
    <w:pPr>
      <w:spacing w:after="120"/>
    </w:pPr>
  </w:style>
  <w:style w:type="paragraph" w:customStyle="1" w:styleId="154">
    <w:name w:val="正文_5"/>
    <w:basedOn w:val="155"/>
    <w:next w:val="157"/>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5">
    <w:name w:val="正文_6"/>
    <w:next w:val="156"/>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6">
    <w:name w:val="列表_1"/>
    <w:basedOn w:val="155"/>
    <w:semiHidden/>
    <w:qFormat/>
    <w:uiPriority w:val="0"/>
    <w:pPr>
      <w:ind w:left="200" w:hanging="200" w:hangingChars="200"/>
    </w:pPr>
  </w:style>
  <w:style w:type="paragraph" w:customStyle="1" w:styleId="157">
    <w:name w:val="段_0"/>
    <w:next w:val="154"/>
    <w:qFormat/>
    <w:uiPriority w:val="0"/>
    <w:pPr>
      <w:autoSpaceDE w:val="0"/>
      <w:autoSpaceDN w:val="0"/>
      <w:snapToGrid w:val="0"/>
      <w:spacing w:line="360" w:lineRule="auto"/>
      <w:ind w:firstLine="200" w:firstLineChars="200"/>
      <w:jc w:val="both"/>
    </w:pPr>
    <w:rPr>
      <w:rFonts w:ascii="宋体" w:hAnsi="Calibri" w:eastAsia="Calibri" w:cs="Times New Roman"/>
      <w:sz w:val="24"/>
      <w:szCs w:val="22"/>
      <w:lang w:val="en-US" w:eastAsia="zh-CN" w:bidi="ar-SA"/>
    </w:rPr>
  </w:style>
  <w:style w:type="paragraph" w:customStyle="1" w:styleId="158">
    <w:name w:val="列出段落1"/>
    <w:basedOn w:val="1"/>
    <w:qFormat/>
    <w:uiPriority w:val="34"/>
    <w:pPr>
      <w:ind w:firstLine="420" w:firstLineChars="200"/>
    </w:pPr>
  </w:style>
  <w:style w:type="paragraph" w:customStyle="1" w:styleId="159">
    <w:name w:val="正文_8"/>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0">
    <w:name w:val="Normal_2"/>
    <w:qFormat/>
    <w:uiPriority w:val="0"/>
    <w:rPr>
      <w:rFonts w:ascii="黑体" w:hAnsi="黑体" w:eastAsia="黑体" w:cs="Times New Roman"/>
      <w:b/>
      <w:sz w:val="32"/>
      <w:szCs w:val="24"/>
      <w:lang w:val="en-US" w:eastAsia="zh-CN" w:bidi="ar-SA"/>
    </w:rPr>
  </w:style>
  <w:style w:type="paragraph" w:customStyle="1" w:styleId="161">
    <w:name w:val="Normal_22"/>
    <w:qFormat/>
    <w:uiPriority w:val="0"/>
    <w:rPr>
      <w:rFonts w:ascii="黑体" w:hAnsi="黑体" w:eastAsia="黑体" w:cs="Times New Roman"/>
      <w:b/>
      <w:sz w:val="32"/>
      <w:szCs w:val="24"/>
      <w:lang w:val="en-US" w:eastAsia="zh-CN" w:bidi="ar-SA"/>
    </w:rPr>
  </w:style>
  <w:style w:type="paragraph" w:customStyle="1" w:styleId="162">
    <w:name w:val="Normal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3">
    <w:name w:val="Normal_15"/>
    <w:qFormat/>
    <w:uiPriority w:val="0"/>
    <w:rPr>
      <w:rFonts w:ascii="黑体" w:hAnsi="黑体" w:eastAsia="黑体" w:cs="Times New Roman"/>
      <w:b/>
      <w:sz w:val="32"/>
      <w:szCs w:val="24"/>
      <w:lang w:val="en-US" w:eastAsia="zh-CN" w:bidi="ar-SA"/>
    </w:rPr>
  </w:style>
  <w:style w:type="paragraph" w:customStyle="1" w:styleId="164">
    <w:name w:val="Normal_17"/>
    <w:qFormat/>
    <w:uiPriority w:val="0"/>
    <w:rPr>
      <w:rFonts w:ascii="黑体" w:hAnsi="黑体" w:eastAsia="黑体" w:cs="Times New Roman"/>
      <w:b/>
      <w:sz w:val="32"/>
      <w:szCs w:val="24"/>
      <w:lang w:val="en-US" w:eastAsia="zh-CN" w:bidi="ar-SA"/>
    </w:rPr>
  </w:style>
  <w:style w:type="character" w:customStyle="1" w:styleId="165">
    <w:name w:val="font01"/>
    <w:basedOn w:val="35"/>
    <w:qFormat/>
    <w:uiPriority w:val="0"/>
    <w:rPr>
      <w:rFonts w:hint="eastAsia" w:ascii="宋体" w:hAnsi="宋体" w:eastAsia="宋体" w:cs="宋体"/>
      <w:color w:val="000000"/>
      <w:sz w:val="18"/>
      <w:szCs w:val="18"/>
      <w:u w:val="none"/>
    </w:rPr>
  </w:style>
  <w:style w:type="character" w:customStyle="1" w:styleId="166">
    <w:name w:val="font31"/>
    <w:basedOn w:val="35"/>
    <w:qFormat/>
    <w:uiPriority w:val="0"/>
    <w:rPr>
      <w:rFonts w:hint="eastAsia" w:ascii="仿宋_GB2312" w:eastAsia="仿宋_GB2312" w:cs="仿宋_GB2312"/>
      <w:color w:val="000000"/>
      <w:sz w:val="18"/>
      <w:szCs w:val="18"/>
      <w:u w:val="none"/>
    </w:rPr>
  </w:style>
  <w:style w:type="paragraph" w:customStyle="1" w:styleId="167">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168">
    <w:name w:val="正文_1_0_0_0"/>
    <w:basedOn w:val="98"/>
    <w:qFormat/>
    <w:uiPriority w:val="0"/>
    <w:rPr>
      <w:szCs w:val="21"/>
    </w:rPr>
  </w:style>
  <w:style w:type="paragraph" w:customStyle="1" w:styleId="169">
    <w:name w:val="正文_1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0">
    <w:name w:val="正文文本_0_0"/>
    <w:basedOn w:val="169"/>
    <w:qFormat/>
    <w:uiPriority w:val="0"/>
    <w:pPr>
      <w:spacing w:after="120"/>
    </w:pPr>
    <w:rPr>
      <w:kern w:val="0"/>
      <w:sz w:val="20"/>
    </w:rPr>
  </w:style>
  <w:style w:type="paragraph" w:customStyle="1" w:styleId="171">
    <w:name w:val="C503-正文格式"/>
    <w:basedOn w:val="1"/>
    <w:qFormat/>
    <w:uiPriority w:val="0"/>
    <w:pPr>
      <w:widowControl/>
      <w:spacing w:line="360" w:lineRule="auto"/>
      <w:ind w:firstLine="480" w:firstLineChars="200"/>
      <w:jc w:val="left"/>
    </w:pPr>
    <w:rPr>
      <w:rFonts w:ascii="宋体" w:hAnsi="宋体" w:cs="宋体"/>
      <w:kern w:val="0"/>
      <w:sz w:val="24"/>
      <w:szCs w:val="20"/>
    </w:rPr>
  </w:style>
  <w:style w:type="paragraph" w:customStyle="1" w:styleId="172">
    <w:name w:val="普通正文"/>
    <w:basedOn w:val="1"/>
    <w:qFormat/>
    <w:uiPriority w:val="0"/>
    <w:pPr>
      <w:spacing w:line="360" w:lineRule="auto"/>
      <w:ind w:firstLine="200" w:firstLineChars="200"/>
    </w:pPr>
    <w:rPr>
      <w:rFonts w:ascii="宋体" w:hAnsi="宋体" w:cs="宋体"/>
      <w:sz w:val="24"/>
    </w:rPr>
  </w:style>
  <w:style w:type="paragraph" w:customStyle="1" w:styleId="173">
    <w:name w:val="报告正文"/>
    <w:basedOn w:val="1"/>
    <w:qFormat/>
    <w:uiPriority w:val="0"/>
    <w:pPr>
      <w:spacing w:line="360" w:lineRule="auto"/>
      <w:ind w:firstLine="200" w:firstLineChars="200"/>
    </w:pPr>
    <w:rPr>
      <w:rFonts w:ascii="Times New Roman" w:hAnsi="Times New Roman"/>
      <w:sz w:val="24"/>
    </w:rPr>
  </w:style>
  <w:style w:type="paragraph" w:customStyle="1" w:styleId="174">
    <w:name w:val="列表段落1"/>
    <w:basedOn w:val="1"/>
    <w:qFormat/>
    <w:uiPriority w:val="34"/>
    <w:pPr>
      <w:widowControl/>
      <w:ind w:firstLine="420" w:firstLineChars="200"/>
      <w:jc w:val="left"/>
    </w:pPr>
    <w:rPr>
      <w:rFonts w:ascii="宋体" w:hAnsi="宋体" w:cs="宋体"/>
      <w:kern w:val="0"/>
      <w:sz w:val="24"/>
    </w:rPr>
  </w:style>
  <w:style w:type="paragraph" w:customStyle="1" w:styleId="175">
    <w:name w:val="首行缩进"/>
    <w:basedOn w:val="1"/>
    <w:qFormat/>
    <w:uiPriority w:val="0"/>
    <w:pPr>
      <w:ind w:firstLine="480" w:firstLineChars="200"/>
    </w:pPr>
    <w:rPr>
      <w:lang w:val="zh-CN"/>
    </w:rPr>
  </w:style>
  <w:style w:type="character" w:customStyle="1" w:styleId="176">
    <w:name w:val="font51"/>
    <w:basedOn w:val="35"/>
    <w:qFormat/>
    <w:uiPriority w:val="0"/>
    <w:rPr>
      <w:rFonts w:hint="default" w:ascii="Times New Roman" w:hAnsi="Times New Roman" w:cs="Times New Roman"/>
      <w:color w:val="000000"/>
      <w:sz w:val="22"/>
      <w:szCs w:val="22"/>
      <w:u w:val="none"/>
    </w:rPr>
  </w:style>
  <w:style w:type="paragraph" w:customStyle="1" w:styleId="177">
    <w:name w:val="样式 样式 样式 左侧:  2 字符1 + 首行缩进:  2 字符1 + 首行缩进:  2 字符"/>
    <w:basedOn w:val="1"/>
    <w:qFormat/>
    <w:uiPriority w:val="0"/>
    <w:pPr>
      <w:widowControl/>
      <w:spacing w:before="60" w:after="120" w:line="440" w:lineRule="atLeast"/>
      <w:ind w:firstLine="480"/>
    </w:pPr>
    <w:rPr>
      <w:rFonts w:hint="eastAsia"/>
      <w:sz w:val="24"/>
      <w:szCs w:val="20"/>
    </w:rPr>
  </w:style>
  <w:style w:type="paragraph" w:customStyle="1" w:styleId="178">
    <w:name w:val="Other|1"/>
    <w:basedOn w:val="1"/>
    <w:qFormat/>
    <w:uiPriority w:val="0"/>
    <w:pPr>
      <w:spacing w:line="286" w:lineRule="auto"/>
      <w:ind w:firstLine="400"/>
      <w:jc w:val="left"/>
    </w:pPr>
    <w:rPr>
      <w:rFonts w:ascii="宋体" w:hAnsi="宋体" w:cs="宋体"/>
      <w:color w:val="000000"/>
      <w:sz w:val="20"/>
      <w:szCs w:val="20"/>
      <w:lang w:val="zh-TW" w:eastAsia="zh-TW" w:bidi="zh-TW"/>
    </w:rPr>
  </w:style>
  <w:style w:type="paragraph" w:customStyle="1" w:styleId="179">
    <w:name w:val="HY-正文"/>
    <w:basedOn w:val="180"/>
    <w:autoRedefine/>
    <w:unhideWhenUsed/>
    <w:qFormat/>
    <w:uiPriority w:val="0"/>
    <w:rPr>
      <w:rFonts w:hint="eastAsia" w:ascii="仿宋_GB2312" w:hAnsi="仿宋_GB2312"/>
      <w:sz w:val="32"/>
    </w:rPr>
  </w:style>
  <w:style w:type="paragraph" w:customStyle="1" w:styleId="180">
    <w:name w:val="SG0-正文"/>
    <w:basedOn w:val="1"/>
    <w:autoRedefine/>
    <w:unhideWhenUsed/>
    <w:qFormat/>
    <w:uiPriority w:val="0"/>
    <w:pPr>
      <w:spacing w:line="580" w:lineRule="exact"/>
      <w:ind w:firstLine="200" w:firstLineChars="200"/>
    </w:pPr>
    <w:rPr>
      <w:rFonts w:hint="eastAsia" w:ascii="方正仿宋_GBK" w:eastAsia="方正仿宋_GBK"/>
      <w:sz w:val="32"/>
    </w:rPr>
  </w:style>
  <w:style w:type="paragraph" w:customStyle="1" w:styleId="181">
    <w:name w:val="Table Text"/>
    <w:basedOn w:val="1"/>
    <w:autoRedefine/>
    <w:semiHidden/>
    <w:qFormat/>
    <w:uiPriority w:val="0"/>
    <w:rPr>
      <w:rFonts w:ascii="宋体" w:hAnsi="宋体" w:eastAsia="宋体" w:cs="宋体"/>
      <w:sz w:val="23"/>
      <w:szCs w:val="23"/>
      <w:lang w:val="en-US" w:eastAsia="en-US" w:bidi="ar-SA"/>
    </w:rPr>
  </w:style>
  <w:style w:type="table" w:customStyle="1" w:styleId="182">
    <w:name w:val="Table Normal"/>
    <w:autoRedefine/>
    <w:semiHidden/>
    <w:unhideWhenUsed/>
    <w:qFormat/>
    <w:uiPriority w:val="0"/>
    <w:tblPr>
      <w:tblCellMar>
        <w:top w:w="0" w:type="dxa"/>
        <w:left w:w="0" w:type="dxa"/>
        <w:bottom w:w="0" w:type="dxa"/>
        <w:right w:w="0" w:type="dxa"/>
      </w:tblCellMar>
    </w:tblPr>
  </w:style>
  <w:style w:type="paragraph" w:customStyle="1" w:styleId="183">
    <w:name w:val="正文（缩进）"/>
    <w:basedOn w:val="1"/>
    <w:qFormat/>
    <w:uiPriority w:val="0"/>
    <w:pPr>
      <w:spacing w:line="594" w:lineRule="exact"/>
      <w:ind w:firstLine="482"/>
    </w:pPr>
    <w:rPr>
      <w:rFonts w:eastAsia="方正仿宋_GBK"/>
      <w:sz w:val="32"/>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3074"/>
    <customShpInfo spid="_x0000_s3073"/>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71</Pages>
  <Words>14576</Words>
  <Characters>15923</Characters>
  <Lines>225</Lines>
  <Paragraphs>63</Paragraphs>
  <TotalTime>27</TotalTime>
  <ScaleCrop>false</ScaleCrop>
  <LinksUpToDate>false</LinksUpToDate>
  <CharactersWithSpaces>16113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2021-10-18T04:34:00Z</dcterms:created>
  <dc:creator>微软用户</dc:creator>
  <cp:lastModifiedBy>小懒猪</cp:lastModifiedBy>
  <cp:lastPrinted>2024-12-31T02:48:00Z</cp:lastPrinted>
  <dcterms:modified xsi:type="dcterms:W3CDTF">2025-04-01T01:24:01Z</dcterms:modified>
  <cp:revision>787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154E57E7EB764E4BBA330E75CE073847</vt:lpwstr>
  </property>
  <property fmtid="{D5CDD505-2E9C-101B-9397-08002B2CF9AE}" pid="4" name="KSOTemplateDocerSaveRecord">
    <vt:lpwstr>eyJoZGlkIjoiZGQyYjEyM2RiOGE3OWVhODQ3ODMzYWVhZDVjNjg5Y2MiLCJ1c2VySWQiOiIzNjI3ODA5MzgifQ==</vt:lpwstr>
  </property>
</Properties>
</file>