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1BDB11F">
      <w:pPr>
        <w:pStyle w:val="9"/>
        <w:spacing w:line="255" w:lineRule="auto"/>
        <w:rPr>
          <w:color w:val="auto"/>
          <w:highlight w:val="none"/>
        </w:rPr>
      </w:pPr>
    </w:p>
    <w:p w14:paraId="152F5072">
      <w:pPr>
        <w:pStyle w:val="9"/>
        <w:spacing w:line="255" w:lineRule="auto"/>
        <w:jc w:val="center"/>
        <w:rPr>
          <w:color w:val="auto"/>
          <w:highlight w:val="none"/>
        </w:rPr>
      </w:pPr>
    </w:p>
    <w:p w14:paraId="0DAC6D93">
      <w:pPr>
        <w:spacing w:before="212" w:line="225" w:lineRule="auto"/>
        <w:jc w:val="center"/>
        <w:rPr>
          <w:rFonts w:hint="eastAsia" w:ascii="宋体" w:hAnsi="宋体" w:eastAsia="宋体" w:cs="宋体"/>
          <w:b/>
          <w:bCs/>
          <w:color w:val="auto"/>
          <w:spacing w:val="20"/>
          <w:sz w:val="34"/>
          <w:szCs w:val="34"/>
          <w:highlight w:val="none"/>
          <w:lang w:eastAsia="zh-CN"/>
        </w:rPr>
      </w:pPr>
      <w:r>
        <w:rPr>
          <w:rFonts w:hint="eastAsia" w:ascii="宋体" w:hAnsi="宋体" w:eastAsia="宋体" w:cs="宋体"/>
          <w:b/>
          <w:bCs/>
          <w:color w:val="auto"/>
          <w:spacing w:val="20"/>
          <w:sz w:val="34"/>
          <w:szCs w:val="34"/>
          <w:highlight w:val="none"/>
          <w:lang w:eastAsia="zh-CN"/>
        </w:rPr>
        <w:t>中华人民共和国新疆出入境边防检查总站乌鲁木齐警犬训练基地待训警犬采购项目</w:t>
      </w:r>
    </w:p>
    <w:p w14:paraId="578E2AE3">
      <w:pPr>
        <w:spacing w:before="212" w:line="225" w:lineRule="auto"/>
        <w:jc w:val="center"/>
        <w:rPr>
          <w:rFonts w:hint="eastAsia" w:ascii="宋体" w:hAnsi="宋体" w:eastAsia="宋体" w:cs="宋体"/>
          <w:b/>
          <w:bCs/>
          <w:color w:val="auto"/>
          <w:spacing w:val="20"/>
          <w:sz w:val="34"/>
          <w:szCs w:val="34"/>
          <w:highlight w:val="none"/>
          <w:lang w:eastAsia="zh-CN"/>
        </w:rPr>
      </w:pPr>
    </w:p>
    <w:p w14:paraId="04C2D73A">
      <w:pPr>
        <w:spacing w:before="212" w:line="225" w:lineRule="auto"/>
        <w:jc w:val="center"/>
        <w:rPr>
          <w:rFonts w:hint="eastAsia" w:ascii="宋体" w:hAnsi="宋体" w:eastAsia="宋体" w:cs="宋体"/>
          <w:color w:val="auto"/>
          <w:sz w:val="34"/>
          <w:szCs w:val="34"/>
          <w:highlight w:val="none"/>
        </w:rPr>
      </w:pPr>
      <w:bookmarkStart w:id="0" w:name="_Toc11348"/>
      <w:r>
        <w:rPr>
          <w:rFonts w:ascii="宋体" w:hAnsi="宋体" w:eastAsia="宋体" w:cs="宋体"/>
          <w:b/>
          <w:bCs/>
          <w:color w:val="auto"/>
          <w:spacing w:val="15"/>
          <w:sz w:val="34"/>
          <w:szCs w:val="34"/>
          <w:highlight w:val="none"/>
        </w:rPr>
        <w:t>竞争性谈判文件</w:t>
      </w:r>
      <w:bookmarkEnd w:id="0"/>
    </w:p>
    <w:p w14:paraId="256A9644">
      <w:pPr>
        <w:rPr>
          <w:color w:val="auto"/>
          <w:highlight w:val="none"/>
        </w:rPr>
      </w:pPr>
    </w:p>
    <w:p w14:paraId="7A0F02ED">
      <w:pPr>
        <w:pStyle w:val="9"/>
        <w:rPr>
          <w:color w:val="auto"/>
          <w:highlight w:val="none"/>
        </w:rPr>
      </w:pPr>
    </w:p>
    <w:p w14:paraId="3E68366E">
      <w:pPr>
        <w:pStyle w:val="9"/>
        <w:spacing w:line="272" w:lineRule="auto"/>
        <w:rPr>
          <w:color w:val="auto"/>
          <w:highlight w:val="none"/>
        </w:rPr>
      </w:pPr>
    </w:p>
    <w:p w14:paraId="04B4C68E">
      <w:pPr>
        <w:pStyle w:val="9"/>
        <w:spacing w:line="272" w:lineRule="auto"/>
        <w:jc w:val="center"/>
        <w:rPr>
          <w:color w:val="auto"/>
          <w:highlight w:val="none"/>
        </w:rPr>
      </w:pPr>
      <w:r>
        <w:rPr>
          <w:rFonts w:hint="eastAsia" w:ascii="宋体" w:hAnsi="宋体"/>
          <w:color w:val="auto"/>
          <w:sz w:val="28"/>
          <w:highlight w:val="none"/>
        </w:rPr>
        <w:drawing>
          <wp:inline distT="0" distB="0" distL="114300" distR="114300">
            <wp:extent cx="2202180" cy="2806065"/>
            <wp:effectExtent l="0" t="0" r="7620" b="13335"/>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26"/>
                    <a:stretch>
                      <a:fillRect/>
                    </a:stretch>
                  </pic:blipFill>
                  <pic:spPr>
                    <a:xfrm>
                      <a:off x="0" y="0"/>
                      <a:ext cx="1704975" cy="2171700"/>
                    </a:xfrm>
                    <a:prstGeom prst="rect">
                      <a:avLst/>
                    </a:prstGeom>
                    <a:noFill/>
                    <a:ln w="9525">
                      <a:noFill/>
                      <a:miter/>
                    </a:ln>
                    <a:effectLst/>
                  </pic:spPr>
                </pic:pic>
              </a:graphicData>
            </a:graphic>
          </wp:inline>
        </w:drawing>
      </w:r>
    </w:p>
    <w:p w14:paraId="21C3B2C5">
      <w:pPr>
        <w:spacing w:before="94" w:line="223" w:lineRule="auto"/>
        <w:rPr>
          <w:rFonts w:hint="eastAsia" w:ascii="仿宋" w:hAnsi="仿宋" w:eastAsia="仿宋" w:cs="仿宋"/>
          <w:color w:val="auto"/>
          <w:spacing w:val="8"/>
          <w:sz w:val="29"/>
          <w:szCs w:val="29"/>
          <w:highlight w:val="none"/>
        </w:rPr>
      </w:pPr>
    </w:p>
    <w:p w14:paraId="3A9294F4">
      <w:pPr>
        <w:spacing w:before="94" w:line="223" w:lineRule="auto"/>
        <w:jc w:val="center"/>
        <w:rPr>
          <w:rFonts w:hint="eastAsia" w:ascii="仿宋" w:hAnsi="仿宋" w:eastAsia="仿宋" w:cs="仿宋"/>
          <w:color w:val="auto"/>
          <w:sz w:val="29"/>
          <w:szCs w:val="29"/>
          <w:highlight w:val="none"/>
          <w:lang w:eastAsia="zh-CN"/>
        </w:rPr>
      </w:pPr>
      <w:bookmarkStart w:id="1" w:name="_Toc13682"/>
      <w:r>
        <w:rPr>
          <w:rFonts w:ascii="仿宋" w:hAnsi="仿宋" w:eastAsia="仿宋" w:cs="仿宋"/>
          <w:color w:val="auto"/>
          <w:spacing w:val="8"/>
          <w:sz w:val="29"/>
          <w:szCs w:val="29"/>
          <w:highlight w:val="none"/>
          <w:lang w:eastAsia="zh-CN"/>
        </w:rPr>
        <w:t>（全流程电子化评标）</w:t>
      </w:r>
      <w:bookmarkEnd w:id="1"/>
    </w:p>
    <w:p w14:paraId="4EAC90A2">
      <w:pPr>
        <w:pStyle w:val="9"/>
        <w:spacing w:line="338" w:lineRule="auto"/>
        <w:rPr>
          <w:color w:val="auto"/>
          <w:highlight w:val="none"/>
          <w:lang w:eastAsia="zh-CN"/>
        </w:rPr>
      </w:pPr>
    </w:p>
    <w:p w14:paraId="087A7062">
      <w:pPr>
        <w:pStyle w:val="9"/>
        <w:spacing w:line="351" w:lineRule="auto"/>
        <w:rPr>
          <w:b/>
          <w:bCs/>
          <w:color w:val="auto"/>
          <w:highlight w:val="none"/>
          <w:lang w:eastAsia="zh-CN"/>
        </w:rPr>
      </w:pPr>
      <w:r>
        <w:rPr>
          <w:rFonts w:ascii="仿宋" w:hAnsi="仿宋" w:eastAsia="仿宋" w:cs="仿宋"/>
          <w:b/>
          <w:bCs/>
          <w:color w:val="auto"/>
          <w:spacing w:val="5"/>
          <w:sz w:val="29"/>
          <w:szCs w:val="29"/>
          <w:highlight w:val="none"/>
          <w:lang w:eastAsia="zh-CN"/>
        </w:rPr>
        <w:t>项目名称：</w:t>
      </w:r>
      <w:r>
        <w:rPr>
          <w:rFonts w:hint="eastAsia" w:ascii="仿宋" w:hAnsi="仿宋" w:eastAsia="仿宋" w:cs="仿宋"/>
          <w:b/>
          <w:bCs/>
          <w:color w:val="auto"/>
          <w:spacing w:val="5"/>
          <w:sz w:val="29"/>
          <w:szCs w:val="29"/>
          <w:highlight w:val="none"/>
          <w:lang w:eastAsia="zh-CN"/>
        </w:rPr>
        <w:t>中华人民共和国新疆出入境边防检查总站乌鲁木齐警犬训练基地待训警犬采购项目</w:t>
      </w:r>
    </w:p>
    <w:p w14:paraId="192711F4">
      <w:pPr>
        <w:spacing w:before="94" w:line="224" w:lineRule="auto"/>
        <w:ind w:left="3"/>
        <w:rPr>
          <w:b/>
          <w:bCs/>
          <w:color w:val="auto"/>
          <w:highlight w:val="none"/>
          <w:lang w:eastAsia="zh-CN"/>
        </w:rPr>
      </w:pPr>
      <w:bookmarkStart w:id="2" w:name="_Toc30539"/>
      <w:r>
        <w:rPr>
          <w:rFonts w:ascii="仿宋" w:hAnsi="仿宋" w:eastAsia="仿宋" w:cs="仿宋"/>
          <w:b/>
          <w:bCs/>
          <w:color w:val="auto"/>
          <w:spacing w:val="4"/>
          <w:sz w:val="29"/>
          <w:szCs w:val="29"/>
          <w:highlight w:val="none"/>
          <w:lang w:eastAsia="zh-CN"/>
        </w:rPr>
        <w:t>项目编号：</w:t>
      </w:r>
      <w:r>
        <w:rPr>
          <w:rFonts w:hint="eastAsia" w:ascii="仿宋" w:hAnsi="仿宋" w:eastAsia="仿宋" w:cs="仿宋"/>
          <w:b/>
          <w:bCs/>
          <w:color w:val="auto"/>
          <w:spacing w:val="4"/>
          <w:sz w:val="29"/>
          <w:szCs w:val="29"/>
          <w:highlight w:val="none"/>
          <w:lang w:eastAsia="zh-CN"/>
        </w:rPr>
        <w:t>XJHY-BJZZ-DXQCG</w:t>
      </w:r>
      <w:bookmarkEnd w:id="2"/>
    </w:p>
    <w:p w14:paraId="4079330A">
      <w:pPr>
        <w:pStyle w:val="9"/>
        <w:spacing w:line="315" w:lineRule="auto"/>
        <w:rPr>
          <w:b/>
          <w:bCs/>
          <w:color w:val="auto"/>
          <w:highlight w:val="none"/>
          <w:lang w:eastAsia="zh-CN"/>
        </w:rPr>
      </w:pPr>
    </w:p>
    <w:p w14:paraId="344A92F3">
      <w:pPr>
        <w:spacing w:before="95" w:line="223" w:lineRule="auto"/>
        <w:rPr>
          <w:rFonts w:hint="eastAsia" w:ascii="仿宋" w:hAnsi="仿宋" w:eastAsia="仿宋" w:cs="仿宋"/>
          <w:b/>
          <w:bCs/>
          <w:color w:val="auto"/>
          <w:sz w:val="29"/>
          <w:szCs w:val="29"/>
          <w:highlight w:val="none"/>
          <w:lang w:eastAsia="zh-CN"/>
        </w:rPr>
      </w:pPr>
      <w:bookmarkStart w:id="3" w:name="_Toc25815"/>
      <w:r>
        <w:rPr>
          <w:rFonts w:ascii="仿宋" w:hAnsi="仿宋" w:eastAsia="仿宋" w:cs="仿宋"/>
          <w:b/>
          <w:bCs/>
          <w:color w:val="auto"/>
          <w:spacing w:val="-6"/>
          <w:sz w:val="29"/>
          <w:szCs w:val="29"/>
          <w:highlight w:val="none"/>
          <w:lang w:eastAsia="zh-CN"/>
        </w:rPr>
        <w:t>采 购 人：</w:t>
      </w:r>
      <w:r>
        <w:rPr>
          <w:rFonts w:hint="eastAsia" w:ascii="仿宋" w:hAnsi="仿宋" w:eastAsia="仿宋" w:cs="仿宋"/>
          <w:b/>
          <w:bCs/>
          <w:color w:val="auto"/>
          <w:spacing w:val="-6"/>
          <w:sz w:val="29"/>
          <w:szCs w:val="29"/>
          <w:highlight w:val="none"/>
          <w:lang w:eastAsia="zh-CN"/>
        </w:rPr>
        <w:t>中华人民共和国新疆出入境边防检查总站</w:t>
      </w:r>
      <w:bookmarkEnd w:id="3"/>
    </w:p>
    <w:p w14:paraId="3EE74BE2">
      <w:pPr>
        <w:pStyle w:val="9"/>
        <w:spacing w:line="307" w:lineRule="auto"/>
        <w:rPr>
          <w:b/>
          <w:bCs/>
          <w:color w:val="auto"/>
          <w:highlight w:val="none"/>
          <w:lang w:eastAsia="zh-CN"/>
        </w:rPr>
      </w:pPr>
    </w:p>
    <w:p w14:paraId="747C3DEF">
      <w:pPr>
        <w:spacing w:before="95" w:line="493" w:lineRule="exact"/>
        <w:rPr>
          <w:rFonts w:hint="eastAsia" w:ascii="仿宋" w:hAnsi="仿宋" w:eastAsia="仿宋" w:cs="仿宋"/>
          <w:b/>
          <w:bCs/>
          <w:color w:val="auto"/>
          <w:spacing w:val="-7"/>
          <w:position w:val="14"/>
          <w:sz w:val="29"/>
          <w:szCs w:val="29"/>
          <w:highlight w:val="none"/>
          <w:lang w:eastAsia="zh-CN"/>
        </w:rPr>
      </w:pPr>
      <w:r>
        <w:rPr>
          <w:rFonts w:ascii="仿宋" w:hAnsi="仿宋" w:eastAsia="仿宋" w:cs="仿宋"/>
          <w:b/>
          <w:bCs/>
          <w:color w:val="auto"/>
          <w:spacing w:val="-7"/>
          <w:position w:val="14"/>
          <w:sz w:val="29"/>
          <w:szCs w:val="29"/>
          <w:highlight w:val="none"/>
          <w:lang w:eastAsia="zh-CN"/>
        </w:rPr>
        <w:t>采购代理机构：</w:t>
      </w:r>
      <w:r>
        <w:rPr>
          <w:rFonts w:hint="eastAsia" w:ascii="仿宋" w:hAnsi="仿宋" w:eastAsia="仿宋" w:cs="仿宋"/>
          <w:b/>
          <w:bCs/>
          <w:color w:val="auto"/>
          <w:spacing w:val="-7"/>
          <w:position w:val="14"/>
          <w:sz w:val="29"/>
          <w:szCs w:val="29"/>
          <w:highlight w:val="none"/>
          <w:lang w:eastAsia="zh-CN"/>
        </w:rPr>
        <w:t>新疆华域建设工程项目管理咨询有限公司</w:t>
      </w:r>
    </w:p>
    <w:p w14:paraId="04E1DB49">
      <w:pPr>
        <w:spacing w:before="95" w:line="493" w:lineRule="exact"/>
        <w:rPr>
          <w:rFonts w:hint="eastAsia" w:ascii="仿宋" w:hAnsi="仿宋" w:eastAsia="仿宋" w:cs="仿宋"/>
          <w:color w:val="auto"/>
          <w:spacing w:val="-7"/>
          <w:position w:val="14"/>
          <w:sz w:val="29"/>
          <w:szCs w:val="29"/>
          <w:highlight w:val="none"/>
          <w:lang w:eastAsia="zh-CN"/>
        </w:rPr>
      </w:pPr>
    </w:p>
    <w:p w14:paraId="0190E168">
      <w:pPr>
        <w:spacing w:before="1" w:line="225" w:lineRule="auto"/>
        <w:ind w:left="3689"/>
        <w:rPr>
          <w:rFonts w:hint="eastAsia" w:ascii="宋体" w:hAnsi="宋体" w:eastAsia="宋体" w:cs="宋体"/>
          <w:color w:val="auto"/>
          <w:spacing w:val="-5"/>
          <w:sz w:val="29"/>
          <w:szCs w:val="29"/>
          <w:highlight w:val="none"/>
        </w:rPr>
      </w:pPr>
      <w:r>
        <w:rPr>
          <w:rFonts w:ascii="宋体" w:hAnsi="宋体" w:eastAsia="宋体" w:cs="宋体"/>
          <w:color w:val="auto"/>
          <w:spacing w:val="-5"/>
          <w:sz w:val="29"/>
          <w:szCs w:val="29"/>
          <w:highlight w:val="none"/>
        </w:rPr>
        <w:t>202</w:t>
      </w:r>
      <w:r>
        <w:rPr>
          <w:rFonts w:hint="eastAsia" w:ascii="宋体" w:hAnsi="宋体" w:eastAsia="宋体" w:cs="宋体"/>
          <w:color w:val="auto"/>
          <w:spacing w:val="-5"/>
          <w:sz w:val="29"/>
          <w:szCs w:val="29"/>
          <w:highlight w:val="none"/>
          <w:lang w:eastAsia="zh-CN"/>
        </w:rPr>
        <w:t>5</w:t>
      </w:r>
      <w:r>
        <w:rPr>
          <w:rFonts w:ascii="宋体" w:hAnsi="宋体" w:eastAsia="宋体" w:cs="宋体"/>
          <w:color w:val="auto"/>
          <w:spacing w:val="-5"/>
          <w:sz w:val="29"/>
          <w:szCs w:val="29"/>
          <w:highlight w:val="none"/>
        </w:rPr>
        <w:t>年0</w:t>
      </w:r>
      <w:r>
        <w:rPr>
          <w:rFonts w:hint="eastAsia" w:ascii="宋体" w:hAnsi="宋体" w:eastAsia="宋体" w:cs="宋体"/>
          <w:color w:val="auto"/>
          <w:spacing w:val="-5"/>
          <w:sz w:val="29"/>
          <w:szCs w:val="29"/>
          <w:highlight w:val="none"/>
          <w:lang w:eastAsia="zh-CN"/>
        </w:rPr>
        <w:t>4</w:t>
      </w:r>
      <w:r>
        <w:rPr>
          <w:rFonts w:ascii="宋体" w:hAnsi="宋体" w:eastAsia="宋体" w:cs="宋体"/>
          <w:color w:val="auto"/>
          <w:spacing w:val="-5"/>
          <w:sz w:val="29"/>
          <w:szCs w:val="29"/>
          <w:highlight w:val="none"/>
        </w:rPr>
        <w:t>月</w:t>
      </w:r>
    </w:p>
    <w:p w14:paraId="6F457A94">
      <w:pPr>
        <w:pStyle w:val="9"/>
        <w:spacing w:line="268" w:lineRule="auto"/>
        <w:rPr>
          <w:color w:val="auto"/>
          <w:highlight w:val="none"/>
        </w:rPr>
      </w:pPr>
    </w:p>
    <w:p w14:paraId="0A1F205E">
      <w:pPr>
        <w:pStyle w:val="9"/>
        <w:spacing w:line="268" w:lineRule="auto"/>
        <w:rPr>
          <w:color w:val="auto"/>
          <w:highlight w:val="none"/>
        </w:rPr>
        <w:sectPr>
          <w:headerReference r:id="rId3" w:type="default"/>
          <w:footerReference r:id="rId4" w:type="default"/>
          <w:pgSz w:w="11906" w:h="16838"/>
          <w:pgMar w:top="1440" w:right="1077" w:bottom="1440" w:left="1077" w:header="0" w:footer="805" w:gutter="0"/>
          <w:cols w:space="720" w:num="1"/>
        </w:sectPr>
      </w:pPr>
    </w:p>
    <w:p w14:paraId="0D5E0C53">
      <w:pPr>
        <w:pStyle w:val="9"/>
        <w:spacing w:line="268" w:lineRule="auto"/>
        <w:rPr>
          <w:color w:val="auto"/>
          <w:highlight w:val="none"/>
        </w:rPr>
      </w:pPr>
    </w:p>
    <w:sdt>
      <w:sdtPr>
        <w:rPr>
          <w:rFonts w:ascii="宋体" w:hAnsi="宋体" w:eastAsia="宋体"/>
          <w:color w:val="auto"/>
          <w:highlight w:val="none"/>
        </w:rPr>
        <w:id w:val="147480244"/>
        <w15:color w:val="DBDBDB"/>
        <w:docPartObj>
          <w:docPartGallery w:val="Table of Contents"/>
          <w:docPartUnique/>
        </w:docPartObj>
      </w:sdtPr>
      <w:sdtEndPr>
        <w:rPr>
          <w:rFonts w:ascii="宋体" w:hAnsi="宋体" w:eastAsia="宋体"/>
          <w:color w:val="auto"/>
          <w:highlight w:val="none"/>
        </w:rPr>
      </w:sdtEndPr>
      <w:sdtContent>
        <w:p w14:paraId="1C78668B">
          <w:pPr>
            <w:spacing w:line="48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目录</w:t>
          </w:r>
        </w:p>
        <w:p w14:paraId="5B9B5578">
          <w:pPr>
            <w:pStyle w:val="30"/>
            <w:tabs>
              <w:tab w:val="right" w:leader="dot" w:pos="8691"/>
            </w:tabs>
            <w:spacing w:line="480" w:lineRule="auto"/>
            <w:rPr>
              <w:rFonts w:hint="eastAsia" w:asciiTheme="minorEastAsia" w:hAnsiTheme="minorEastAsia" w:cstheme="minorEastAsia"/>
              <w:color w:val="auto"/>
              <w:sz w:val="24"/>
              <w:szCs w:val="24"/>
              <w:highlight w:val="none"/>
            </w:rPr>
          </w:pPr>
          <w:r>
            <w:rPr>
              <w:rFonts w:hint="eastAsia" w:asciiTheme="minorEastAsia" w:hAnsiTheme="minorEastAsia" w:cstheme="minorEastAsia"/>
              <w:color w:val="auto"/>
              <w:sz w:val="24"/>
              <w:szCs w:val="24"/>
              <w:highlight w:val="none"/>
            </w:rPr>
            <w:fldChar w:fldCharType="begin"/>
          </w:r>
          <w:r>
            <w:rPr>
              <w:rFonts w:hint="eastAsia" w:asciiTheme="minorEastAsia" w:hAnsiTheme="minorEastAsia" w:cstheme="minorEastAsia"/>
              <w:color w:val="auto"/>
              <w:sz w:val="24"/>
              <w:szCs w:val="24"/>
              <w:highlight w:val="none"/>
            </w:rPr>
            <w:instrText xml:space="preserve">TOC \o "1-3" \h \u </w:instrText>
          </w:r>
          <w:r>
            <w:rPr>
              <w:rFonts w:hint="eastAsia" w:asciiTheme="minorEastAsia" w:hAnsiTheme="minorEastAsia" w:cstheme="minorEastAsia"/>
              <w:color w:val="auto"/>
              <w:sz w:val="24"/>
              <w:szCs w:val="24"/>
              <w:highlight w:val="none"/>
            </w:rPr>
            <w:fldChar w:fldCharType="separate"/>
          </w:r>
        </w:p>
        <w:p w14:paraId="6A161268">
          <w:pPr>
            <w:pStyle w:val="30"/>
            <w:tabs>
              <w:tab w:val="right" w:leader="dot" w:pos="8691"/>
            </w:tabs>
            <w:spacing w:line="480" w:lineRule="auto"/>
            <w:rPr>
              <w:rFonts w:hint="eastAsia" w:asciiTheme="minorEastAsia" w:hAnsiTheme="minorEastAsia" w:cstheme="minorEastAsia"/>
              <w:color w:val="auto"/>
              <w:sz w:val="24"/>
              <w:szCs w:val="24"/>
              <w:highlight w:val="none"/>
            </w:rPr>
          </w:pPr>
          <w:r>
            <w:rPr>
              <w:color w:val="auto"/>
              <w:highlight w:val="none"/>
            </w:rPr>
            <w:fldChar w:fldCharType="begin"/>
          </w:r>
          <w:r>
            <w:rPr>
              <w:color w:val="auto"/>
              <w:highlight w:val="none"/>
            </w:rPr>
            <w:instrText xml:space="preserve"> HYPERLINK \l "_Toc13565" </w:instrText>
          </w:r>
          <w:r>
            <w:rPr>
              <w:color w:val="auto"/>
              <w:highlight w:val="none"/>
            </w:rPr>
            <w:fldChar w:fldCharType="separate"/>
          </w:r>
          <w:r>
            <w:rPr>
              <w:rFonts w:hint="eastAsia" w:asciiTheme="minorEastAsia" w:hAnsiTheme="minorEastAsia" w:cstheme="minorEastAsia"/>
              <w:color w:val="auto"/>
              <w:sz w:val="24"/>
              <w:szCs w:val="24"/>
              <w:highlight w:val="none"/>
            </w:rPr>
            <w:t>第一章谈判公告</w:t>
          </w:r>
          <w:r>
            <w:rPr>
              <w:rFonts w:hint="eastAsia" w:asciiTheme="minorEastAsia" w:hAnsiTheme="minorEastAsia" w:cstheme="minorEastAsia"/>
              <w:color w:val="auto"/>
              <w:sz w:val="24"/>
              <w:szCs w:val="24"/>
              <w:highlight w:val="none"/>
            </w:rPr>
            <w:tab/>
          </w:r>
          <w:r>
            <w:rPr>
              <w:rFonts w:hint="eastAsia" w:asciiTheme="minorEastAsia" w:hAnsiTheme="minorEastAsia" w:cstheme="minorEastAsia"/>
              <w:color w:val="auto"/>
              <w:sz w:val="24"/>
              <w:szCs w:val="24"/>
              <w:highlight w:val="none"/>
            </w:rPr>
            <w:fldChar w:fldCharType="begin"/>
          </w:r>
          <w:r>
            <w:rPr>
              <w:rFonts w:hint="eastAsia" w:asciiTheme="minorEastAsia" w:hAnsiTheme="minorEastAsia" w:cstheme="minorEastAsia"/>
              <w:color w:val="auto"/>
              <w:sz w:val="24"/>
              <w:szCs w:val="24"/>
              <w:highlight w:val="none"/>
            </w:rPr>
            <w:instrText xml:space="preserve"> PAGEREF _Toc13565 \h </w:instrText>
          </w:r>
          <w:r>
            <w:rPr>
              <w:rFonts w:hint="eastAsia" w:asciiTheme="minorEastAsia" w:hAnsiTheme="minorEastAsia" w:cstheme="minorEastAsia"/>
              <w:color w:val="auto"/>
              <w:sz w:val="24"/>
              <w:szCs w:val="24"/>
              <w:highlight w:val="none"/>
            </w:rPr>
            <w:fldChar w:fldCharType="separate"/>
          </w:r>
          <w:r>
            <w:rPr>
              <w:rFonts w:hint="eastAsia" w:asciiTheme="minorEastAsia" w:hAnsiTheme="minorEastAsia" w:cstheme="minorEastAsia"/>
              <w:color w:val="auto"/>
              <w:sz w:val="24"/>
              <w:szCs w:val="24"/>
              <w:highlight w:val="none"/>
            </w:rPr>
            <w:t>8</w:t>
          </w:r>
          <w:r>
            <w:rPr>
              <w:rFonts w:hint="eastAsia" w:asciiTheme="minorEastAsia" w:hAnsiTheme="minorEastAsia" w:cstheme="minorEastAsia"/>
              <w:color w:val="auto"/>
              <w:sz w:val="24"/>
              <w:szCs w:val="24"/>
              <w:highlight w:val="none"/>
            </w:rPr>
            <w:fldChar w:fldCharType="end"/>
          </w:r>
          <w:r>
            <w:rPr>
              <w:rFonts w:hint="eastAsia" w:asciiTheme="minorEastAsia" w:hAnsiTheme="minorEastAsia" w:cstheme="minorEastAsia"/>
              <w:color w:val="auto"/>
              <w:sz w:val="24"/>
              <w:szCs w:val="24"/>
              <w:highlight w:val="none"/>
            </w:rPr>
            <w:fldChar w:fldCharType="end"/>
          </w:r>
        </w:p>
        <w:p w14:paraId="2B17C5DE">
          <w:pPr>
            <w:pStyle w:val="30"/>
            <w:tabs>
              <w:tab w:val="right" w:leader="dot" w:pos="8691"/>
            </w:tabs>
            <w:spacing w:line="480" w:lineRule="auto"/>
            <w:rPr>
              <w:rFonts w:hint="eastAsia" w:asciiTheme="minorEastAsia" w:hAnsiTheme="minorEastAsia" w:cstheme="minorEastAsia"/>
              <w:color w:val="auto"/>
              <w:sz w:val="24"/>
              <w:szCs w:val="24"/>
              <w:highlight w:val="none"/>
            </w:rPr>
          </w:pPr>
          <w:r>
            <w:rPr>
              <w:color w:val="auto"/>
              <w:highlight w:val="none"/>
            </w:rPr>
            <w:fldChar w:fldCharType="begin"/>
          </w:r>
          <w:r>
            <w:rPr>
              <w:color w:val="auto"/>
              <w:highlight w:val="none"/>
            </w:rPr>
            <w:instrText xml:space="preserve"> HYPERLINK \l "_Toc6274" </w:instrText>
          </w:r>
          <w:r>
            <w:rPr>
              <w:color w:val="auto"/>
              <w:highlight w:val="none"/>
            </w:rPr>
            <w:fldChar w:fldCharType="separate"/>
          </w:r>
          <w:r>
            <w:rPr>
              <w:rFonts w:hint="eastAsia" w:asciiTheme="minorEastAsia" w:hAnsiTheme="minorEastAsia" w:cstheme="minorEastAsia"/>
              <w:color w:val="auto"/>
              <w:spacing w:val="15"/>
              <w:sz w:val="24"/>
              <w:szCs w:val="24"/>
              <w:highlight w:val="none"/>
            </w:rPr>
            <w:t>第二章谈判须知</w:t>
          </w:r>
          <w:r>
            <w:rPr>
              <w:rFonts w:hint="eastAsia" w:asciiTheme="minorEastAsia" w:hAnsiTheme="minorEastAsia" w:cstheme="minorEastAsia"/>
              <w:color w:val="auto"/>
              <w:sz w:val="24"/>
              <w:szCs w:val="24"/>
              <w:highlight w:val="none"/>
            </w:rPr>
            <w:tab/>
          </w:r>
          <w:r>
            <w:rPr>
              <w:rFonts w:hint="eastAsia" w:asciiTheme="minorEastAsia" w:hAnsiTheme="minorEastAsia" w:cstheme="minorEastAsia"/>
              <w:color w:val="auto"/>
              <w:sz w:val="24"/>
              <w:szCs w:val="24"/>
              <w:highlight w:val="none"/>
            </w:rPr>
            <w:fldChar w:fldCharType="begin"/>
          </w:r>
          <w:r>
            <w:rPr>
              <w:rFonts w:hint="eastAsia" w:asciiTheme="minorEastAsia" w:hAnsiTheme="minorEastAsia" w:cstheme="minorEastAsia"/>
              <w:color w:val="auto"/>
              <w:sz w:val="24"/>
              <w:szCs w:val="24"/>
              <w:highlight w:val="none"/>
            </w:rPr>
            <w:instrText xml:space="preserve"> PAGEREF _Toc6274 \h </w:instrText>
          </w:r>
          <w:r>
            <w:rPr>
              <w:rFonts w:hint="eastAsia" w:asciiTheme="minorEastAsia" w:hAnsiTheme="minorEastAsia" w:cstheme="minorEastAsia"/>
              <w:color w:val="auto"/>
              <w:sz w:val="24"/>
              <w:szCs w:val="24"/>
              <w:highlight w:val="none"/>
            </w:rPr>
            <w:fldChar w:fldCharType="separate"/>
          </w:r>
          <w:r>
            <w:rPr>
              <w:rFonts w:hint="eastAsia" w:asciiTheme="minorEastAsia" w:hAnsiTheme="minorEastAsia" w:cstheme="minorEastAsia"/>
              <w:color w:val="auto"/>
              <w:sz w:val="24"/>
              <w:szCs w:val="24"/>
              <w:highlight w:val="none"/>
            </w:rPr>
            <w:t>12</w:t>
          </w:r>
          <w:r>
            <w:rPr>
              <w:rFonts w:hint="eastAsia" w:asciiTheme="minorEastAsia" w:hAnsiTheme="minorEastAsia" w:cstheme="minorEastAsia"/>
              <w:color w:val="auto"/>
              <w:sz w:val="24"/>
              <w:szCs w:val="24"/>
              <w:highlight w:val="none"/>
            </w:rPr>
            <w:fldChar w:fldCharType="end"/>
          </w:r>
          <w:r>
            <w:rPr>
              <w:rFonts w:hint="eastAsia" w:asciiTheme="minorEastAsia" w:hAnsiTheme="minorEastAsia" w:cstheme="minorEastAsia"/>
              <w:color w:val="auto"/>
              <w:sz w:val="24"/>
              <w:szCs w:val="24"/>
              <w:highlight w:val="none"/>
            </w:rPr>
            <w:fldChar w:fldCharType="end"/>
          </w:r>
        </w:p>
        <w:p w14:paraId="6B4AF200">
          <w:pPr>
            <w:pStyle w:val="30"/>
            <w:tabs>
              <w:tab w:val="right" w:leader="dot" w:pos="8691"/>
            </w:tabs>
            <w:spacing w:line="480" w:lineRule="auto"/>
            <w:rPr>
              <w:rFonts w:hint="eastAsia" w:asciiTheme="minorEastAsia" w:hAnsiTheme="minorEastAsia" w:cstheme="minorEastAsia"/>
              <w:color w:val="auto"/>
              <w:sz w:val="24"/>
              <w:szCs w:val="24"/>
              <w:highlight w:val="none"/>
            </w:rPr>
          </w:pPr>
          <w:r>
            <w:rPr>
              <w:color w:val="auto"/>
              <w:highlight w:val="none"/>
            </w:rPr>
            <w:fldChar w:fldCharType="begin"/>
          </w:r>
          <w:r>
            <w:rPr>
              <w:color w:val="auto"/>
              <w:highlight w:val="none"/>
            </w:rPr>
            <w:instrText xml:space="preserve"> HYPERLINK \l "_Toc1940" </w:instrText>
          </w:r>
          <w:r>
            <w:rPr>
              <w:color w:val="auto"/>
              <w:highlight w:val="none"/>
            </w:rPr>
            <w:fldChar w:fldCharType="separate"/>
          </w:r>
          <w:r>
            <w:rPr>
              <w:rFonts w:hint="eastAsia" w:asciiTheme="minorEastAsia" w:hAnsiTheme="minorEastAsia" w:cstheme="minorEastAsia"/>
              <w:color w:val="auto"/>
              <w:sz w:val="24"/>
              <w:szCs w:val="24"/>
              <w:highlight w:val="none"/>
            </w:rPr>
            <w:t>第三章采购需求</w:t>
          </w:r>
          <w:r>
            <w:rPr>
              <w:rFonts w:hint="eastAsia" w:asciiTheme="minorEastAsia" w:hAnsiTheme="minorEastAsia" w:cstheme="minorEastAsia"/>
              <w:color w:val="auto"/>
              <w:sz w:val="24"/>
              <w:szCs w:val="24"/>
              <w:highlight w:val="none"/>
            </w:rPr>
            <w:tab/>
          </w:r>
          <w:r>
            <w:rPr>
              <w:rFonts w:hint="eastAsia" w:asciiTheme="minorEastAsia" w:hAnsiTheme="minorEastAsia" w:cstheme="minorEastAsia"/>
              <w:color w:val="auto"/>
              <w:sz w:val="24"/>
              <w:szCs w:val="24"/>
              <w:highlight w:val="none"/>
            </w:rPr>
            <w:fldChar w:fldCharType="begin"/>
          </w:r>
          <w:r>
            <w:rPr>
              <w:rFonts w:hint="eastAsia" w:asciiTheme="minorEastAsia" w:hAnsiTheme="minorEastAsia" w:cstheme="minorEastAsia"/>
              <w:color w:val="auto"/>
              <w:sz w:val="24"/>
              <w:szCs w:val="24"/>
              <w:highlight w:val="none"/>
            </w:rPr>
            <w:instrText xml:space="preserve"> PAGEREF _Toc1940 \h </w:instrText>
          </w:r>
          <w:r>
            <w:rPr>
              <w:rFonts w:hint="eastAsia" w:asciiTheme="minorEastAsia" w:hAnsiTheme="minorEastAsia" w:cstheme="minorEastAsia"/>
              <w:color w:val="auto"/>
              <w:sz w:val="24"/>
              <w:szCs w:val="24"/>
              <w:highlight w:val="none"/>
            </w:rPr>
            <w:fldChar w:fldCharType="separate"/>
          </w:r>
          <w:r>
            <w:rPr>
              <w:rFonts w:hint="eastAsia" w:asciiTheme="minorEastAsia" w:hAnsiTheme="minorEastAsia" w:cstheme="minorEastAsia"/>
              <w:color w:val="auto"/>
              <w:sz w:val="24"/>
              <w:szCs w:val="24"/>
              <w:highlight w:val="none"/>
            </w:rPr>
            <w:t>21</w:t>
          </w:r>
          <w:r>
            <w:rPr>
              <w:rFonts w:hint="eastAsia" w:asciiTheme="minorEastAsia" w:hAnsiTheme="minorEastAsia" w:cstheme="minorEastAsia"/>
              <w:color w:val="auto"/>
              <w:sz w:val="24"/>
              <w:szCs w:val="24"/>
              <w:highlight w:val="none"/>
            </w:rPr>
            <w:fldChar w:fldCharType="end"/>
          </w:r>
          <w:r>
            <w:rPr>
              <w:rFonts w:hint="eastAsia" w:asciiTheme="minorEastAsia" w:hAnsiTheme="minorEastAsia" w:cstheme="minorEastAsia"/>
              <w:color w:val="auto"/>
              <w:sz w:val="24"/>
              <w:szCs w:val="24"/>
              <w:highlight w:val="none"/>
            </w:rPr>
            <w:fldChar w:fldCharType="end"/>
          </w:r>
        </w:p>
        <w:p w14:paraId="6EEB4A99">
          <w:pPr>
            <w:pStyle w:val="30"/>
            <w:tabs>
              <w:tab w:val="right" w:leader="dot" w:pos="8691"/>
            </w:tabs>
            <w:spacing w:line="480" w:lineRule="auto"/>
            <w:rPr>
              <w:rFonts w:hint="eastAsia" w:asciiTheme="minorEastAsia" w:hAnsiTheme="minorEastAsia" w:cstheme="minorEastAsia"/>
              <w:color w:val="auto"/>
              <w:sz w:val="24"/>
              <w:szCs w:val="24"/>
              <w:highlight w:val="none"/>
            </w:rPr>
          </w:pPr>
          <w:r>
            <w:rPr>
              <w:color w:val="auto"/>
              <w:highlight w:val="none"/>
            </w:rPr>
            <w:fldChar w:fldCharType="begin"/>
          </w:r>
          <w:r>
            <w:rPr>
              <w:color w:val="auto"/>
              <w:highlight w:val="none"/>
            </w:rPr>
            <w:instrText xml:space="preserve"> HYPERLINK \l "_Toc6109" </w:instrText>
          </w:r>
          <w:r>
            <w:rPr>
              <w:color w:val="auto"/>
              <w:highlight w:val="none"/>
            </w:rPr>
            <w:fldChar w:fldCharType="separate"/>
          </w:r>
          <w:r>
            <w:rPr>
              <w:rFonts w:hint="eastAsia" w:asciiTheme="minorEastAsia" w:hAnsiTheme="minorEastAsia" w:cstheme="minorEastAsia"/>
              <w:color w:val="auto"/>
              <w:sz w:val="24"/>
              <w:szCs w:val="24"/>
              <w:highlight w:val="none"/>
            </w:rPr>
            <w:t>第四章评审方法</w:t>
          </w:r>
          <w:r>
            <w:rPr>
              <w:rFonts w:hint="eastAsia" w:asciiTheme="minorEastAsia" w:hAnsiTheme="minorEastAsia" w:cstheme="minorEastAsia"/>
              <w:color w:val="auto"/>
              <w:sz w:val="24"/>
              <w:szCs w:val="24"/>
              <w:highlight w:val="none"/>
            </w:rPr>
            <w:tab/>
          </w:r>
          <w:r>
            <w:rPr>
              <w:rFonts w:hint="eastAsia" w:asciiTheme="minorEastAsia" w:hAnsiTheme="minorEastAsia" w:cstheme="minorEastAsia"/>
              <w:color w:val="auto"/>
              <w:sz w:val="24"/>
              <w:szCs w:val="24"/>
              <w:highlight w:val="none"/>
            </w:rPr>
            <w:fldChar w:fldCharType="begin"/>
          </w:r>
          <w:r>
            <w:rPr>
              <w:rFonts w:hint="eastAsia" w:asciiTheme="minorEastAsia" w:hAnsiTheme="minorEastAsia" w:cstheme="minorEastAsia"/>
              <w:color w:val="auto"/>
              <w:sz w:val="24"/>
              <w:szCs w:val="24"/>
              <w:highlight w:val="none"/>
            </w:rPr>
            <w:instrText xml:space="preserve"> PAGEREF _Toc6109 \h </w:instrText>
          </w:r>
          <w:r>
            <w:rPr>
              <w:rFonts w:hint="eastAsia" w:asciiTheme="minorEastAsia" w:hAnsiTheme="minorEastAsia" w:cstheme="minorEastAsia"/>
              <w:color w:val="auto"/>
              <w:sz w:val="24"/>
              <w:szCs w:val="24"/>
              <w:highlight w:val="none"/>
            </w:rPr>
            <w:fldChar w:fldCharType="separate"/>
          </w:r>
          <w:r>
            <w:rPr>
              <w:rFonts w:hint="eastAsia" w:asciiTheme="minorEastAsia" w:hAnsiTheme="minorEastAsia" w:cstheme="minorEastAsia"/>
              <w:color w:val="auto"/>
              <w:sz w:val="24"/>
              <w:szCs w:val="24"/>
              <w:highlight w:val="none"/>
            </w:rPr>
            <w:t>30</w:t>
          </w:r>
          <w:r>
            <w:rPr>
              <w:rFonts w:hint="eastAsia" w:asciiTheme="minorEastAsia" w:hAnsiTheme="minorEastAsia" w:cstheme="minorEastAsia"/>
              <w:color w:val="auto"/>
              <w:sz w:val="24"/>
              <w:szCs w:val="24"/>
              <w:highlight w:val="none"/>
            </w:rPr>
            <w:fldChar w:fldCharType="end"/>
          </w:r>
          <w:r>
            <w:rPr>
              <w:rFonts w:hint="eastAsia" w:asciiTheme="minorEastAsia" w:hAnsiTheme="minorEastAsia" w:cstheme="minorEastAsia"/>
              <w:color w:val="auto"/>
              <w:sz w:val="24"/>
              <w:szCs w:val="24"/>
              <w:highlight w:val="none"/>
            </w:rPr>
            <w:fldChar w:fldCharType="end"/>
          </w:r>
        </w:p>
        <w:p w14:paraId="5471F772">
          <w:pPr>
            <w:pStyle w:val="30"/>
            <w:tabs>
              <w:tab w:val="right" w:leader="dot" w:pos="8691"/>
            </w:tabs>
            <w:spacing w:line="480" w:lineRule="auto"/>
            <w:rPr>
              <w:rFonts w:hint="eastAsia" w:asciiTheme="minorEastAsia" w:hAnsiTheme="minorEastAsia" w:cstheme="minorEastAsia"/>
              <w:color w:val="auto"/>
              <w:sz w:val="24"/>
              <w:szCs w:val="24"/>
              <w:highlight w:val="none"/>
            </w:rPr>
          </w:pPr>
          <w:r>
            <w:rPr>
              <w:color w:val="auto"/>
              <w:highlight w:val="none"/>
            </w:rPr>
            <w:fldChar w:fldCharType="begin"/>
          </w:r>
          <w:r>
            <w:rPr>
              <w:color w:val="auto"/>
              <w:highlight w:val="none"/>
            </w:rPr>
            <w:instrText xml:space="preserve"> HYPERLINK \l "_Toc28374" </w:instrText>
          </w:r>
          <w:r>
            <w:rPr>
              <w:color w:val="auto"/>
              <w:highlight w:val="none"/>
            </w:rPr>
            <w:fldChar w:fldCharType="separate"/>
          </w:r>
          <w:r>
            <w:rPr>
              <w:rFonts w:hint="eastAsia" w:asciiTheme="minorEastAsia" w:hAnsiTheme="minorEastAsia" w:cstheme="minorEastAsia"/>
              <w:color w:val="auto"/>
              <w:spacing w:val="13"/>
              <w:sz w:val="24"/>
              <w:szCs w:val="24"/>
              <w:highlight w:val="none"/>
            </w:rPr>
            <w:t>第五章合同</w:t>
          </w:r>
          <w:r>
            <w:rPr>
              <w:rFonts w:hint="eastAsia" w:asciiTheme="minorEastAsia" w:hAnsiTheme="minorEastAsia" w:cstheme="minorEastAsia"/>
              <w:color w:val="auto"/>
              <w:sz w:val="24"/>
              <w:szCs w:val="24"/>
              <w:highlight w:val="none"/>
            </w:rPr>
            <w:tab/>
          </w:r>
          <w:r>
            <w:rPr>
              <w:rFonts w:hint="eastAsia" w:asciiTheme="minorEastAsia" w:hAnsiTheme="minorEastAsia" w:cstheme="minorEastAsia"/>
              <w:color w:val="auto"/>
              <w:sz w:val="24"/>
              <w:szCs w:val="24"/>
              <w:highlight w:val="none"/>
            </w:rPr>
            <w:fldChar w:fldCharType="begin"/>
          </w:r>
          <w:r>
            <w:rPr>
              <w:rFonts w:hint="eastAsia" w:asciiTheme="minorEastAsia" w:hAnsiTheme="minorEastAsia" w:cstheme="minorEastAsia"/>
              <w:color w:val="auto"/>
              <w:sz w:val="24"/>
              <w:szCs w:val="24"/>
              <w:highlight w:val="none"/>
            </w:rPr>
            <w:instrText xml:space="preserve"> PAGEREF _Toc28374 \h </w:instrText>
          </w:r>
          <w:r>
            <w:rPr>
              <w:rFonts w:hint="eastAsia" w:asciiTheme="minorEastAsia" w:hAnsiTheme="minorEastAsia" w:cstheme="minorEastAsia"/>
              <w:color w:val="auto"/>
              <w:sz w:val="24"/>
              <w:szCs w:val="24"/>
              <w:highlight w:val="none"/>
            </w:rPr>
            <w:fldChar w:fldCharType="separate"/>
          </w:r>
          <w:r>
            <w:rPr>
              <w:rFonts w:hint="eastAsia" w:asciiTheme="minorEastAsia" w:hAnsiTheme="minorEastAsia" w:cstheme="minorEastAsia"/>
              <w:color w:val="auto"/>
              <w:sz w:val="24"/>
              <w:szCs w:val="24"/>
              <w:highlight w:val="none"/>
            </w:rPr>
            <w:t>33</w:t>
          </w:r>
          <w:r>
            <w:rPr>
              <w:rFonts w:hint="eastAsia" w:asciiTheme="minorEastAsia" w:hAnsiTheme="minorEastAsia" w:cstheme="minorEastAsia"/>
              <w:color w:val="auto"/>
              <w:sz w:val="24"/>
              <w:szCs w:val="24"/>
              <w:highlight w:val="none"/>
            </w:rPr>
            <w:fldChar w:fldCharType="end"/>
          </w:r>
          <w:r>
            <w:rPr>
              <w:rFonts w:hint="eastAsia" w:asciiTheme="minorEastAsia" w:hAnsiTheme="minorEastAsia" w:cstheme="minorEastAsia"/>
              <w:color w:val="auto"/>
              <w:sz w:val="24"/>
              <w:szCs w:val="24"/>
              <w:highlight w:val="none"/>
            </w:rPr>
            <w:fldChar w:fldCharType="end"/>
          </w:r>
        </w:p>
        <w:p w14:paraId="2EA8C284">
          <w:pPr>
            <w:pStyle w:val="30"/>
            <w:tabs>
              <w:tab w:val="right" w:leader="dot" w:pos="8691"/>
            </w:tabs>
            <w:spacing w:line="480" w:lineRule="auto"/>
            <w:rPr>
              <w:rFonts w:hint="eastAsia" w:asciiTheme="minorEastAsia" w:hAnsiTheme="minorEastAsia" w:cstheme="minorEastAsia"/>
              <w:color w:val="auto"/>
              <w:sz w:val="24"/>
              <w:szCs w:val="24"/>
              <w:highlight w:val="none"/>
            </w:rPr>
          </w:pPr>
          <w:r>
            <w:rPr>
              <w:color w:val="auto"/>
              <w:highlight w:val="none"/>
            </w:rPr>
            <w:fldChar w:fldCharType="begin"/>
          </w:r>
          <w:r>
            <w:rPr>
              <w:color w:val="auto"/>
              <w:highlight w:val="none"/>
            </w:rPr>
            <w:instrText xml:space="preserve"> HYPERLINK \l "_Toc5171" </w:instrText>
          </w:r>
          <w:r>
            <w:rPr>
              <w:color w:val="auto"/>
              <w:highlight w:val="none"/>
            </w:rPr>
            <w:fldChar w:fldCharType="separate"/>
          </w:r>
          <w:r>
            <w:rPr>
              <w:rFonts w:hint="eastAsia" w:asciiTheme="minorEastAsia" w:hAnsiTheme="minorEastAsia" w:cstheme="minorEastAsia"/>
              <w:color w:val="auto"/>
              <w:spacing w:val="13"/>
              <w:sz w:val="24"/>
              <w:szCs w:val="24"/>
              <w:highlight w:val="none"/>
            </w:rPr>
            <w:t>第六章响应文件格式</w:t>
          </w:r>
          <w:r>
            <w:rPr>
              <w:rFonts w:hint="eastAsia" w:asciiTheme="minorEastAsia" w:hAnsiTheme="minorEastAsia" w:cstheme="minorEastAsia"/>
              <w:color w:val="auto"/>
              <w:sz w:val="24"/>
              <w:szCs w:val="24"/>
              <w:highlight w:val="none"/>
            </w:rPr>
            <w:tab/>
          </w:r>
          <w:r>
            <w:rPr>
              <w:rFonts w:hint="eastAsia" w:asciiTheme="minorEastAsia" w:hAnsiTheme="minorEastAsia" w:cstheme="minorEastAsia"/>
              <w:color w:val="auto"/>
              <w:sz w:val="24"/>
              <w:szCs w:val="24"/>
              <w:highlight w:val="none"/>
            </w:rPr>
            <w:fldChar w:fldCharType="begin"/>
          </w:r>
          <w:r>
            <w:rPr>
              <w:rFonts w:hint="eastAsia" w:asciiTheme="minorEastAsia" w:hAnsiTheme="minorEastAsia" w:cstheme="minorEastAsia"/>
              <w:color w:val="auto"/>
              <w:sz w:val="24"/>
              <w:szCs w:val="24"/>
              <w:highlight w:val="none"/>
            </w:rPr>
            <w:instrText xml:space="preserve"> PAGEREF _Toc5171 \h </w:instrText>
          </w:r>
          <w:r>
            <w:rPr>
              <w:rFonts w:hint="eastAsia" w:asciiTheme="minorEastAsia" w:hAnsiTheme="minorEastAsia" w:cstheme="minorEastAsia"/>
              <w:color w:val="auto"/>
              <w:sz w:val="24"/>
              <w:szCs w:val="24"/>
              <w:highlight w:val="none"/>
            </w:rPr>
            <w:fldChar w:fldCharType="separate"/>
          </w:r>
          <w:r>
            <w:rPr>
              <w:rFonts w:hint="eastAsia" w:asciiTheme="minorEastAsia" w:hAnsiTheme="minorEastAsia" w:cstheme="minorEastAsia"/>
              <w:color w:val="auto"/>
              <w:sz w:val="24"/>
              <w:szCs w:val="24"/>
              <w:highlight w:val="none"/>
            </w:rPr>
            <w:t>48</w:t>
          </w:r>
          <w:r>
            <w:rPr>
              <w:rFonts w:hint="eastAsia" w:asciiTheme="minorEastAsia" w:hAnsiTheme="minorEastAsia" w:cstheme="minorEastAsia"/>
              <w:color w:val="auto"/>
              <w:sz w:val="24"/>
              <w:szCs w:val="24"/>
              <w:highlight w:val="none"/>
            </w:rPr>
            <w:fldChar w:fldCharType="end"/>
          </w:r>
          <w:r>
            <w:rPr>
              <w:rFonts w:hint="eastAsia" w:asciiTheme="minorEastAsia" w:hAnsiTheme="minorEastAsia" w:cstheme="minorEastAsia"/>
              <w:color w:val="auto"/>
              <w:sz w:val="24"/>
              <w:szCs w:val="24"/>
              <w:highlight w:val="none"/>
            </w:rPr>
            <w:fldChar w:fldCharType="end"/>
          </w:r>
        </w:p>
        <w:p w14:paraId="0B093BA4">
          <w:pPr>
            <w:pStyle w:val="32"/>
            <w:tabs>
              <w:tab w:val="right" w:leader="dot" w:pos="8691"/>
            </w:tabs>
            <w:spacing w:line="480" w:lineRule="auto"/>
            <w:ind w:left="840"/>
            <w:rPr>
              <w:rFonts w:hint="eastAsia" w:asciiTheme="minorEastAsia" w:hAnsiTheme="minorEastAsia" w:cstheme="minorEastAsia"/>
              <w:color w:val="auto"/>
              <w:sz w:val="24"/>
              <w:szCs w:val="24"/>
              <w:highlight w:val="none"/>
            </w:rPr>
          </w:pPr>
        </w:p>
        <w:p w14:paraId="350716E9">
          <w:pPr>
            <w:spacing w:line="480" w:lineRule="auto"/>
            <w:rPr>
              <w:color w:val="auto"/>
              <w:highlight w:val="none"/>
            </w:rPr>
          </w:pPr>
          <w:r>
            <w:rPr>
              <w:rFonts w:hint="eastAsia" w:asciiTheme="minorEastAsia" w:hAnsiTheme="minorEastAsia" w:eastAsiaTheme="minorEastAsia" w:cstheme="minorEastAsia"/>
              <w:color w:val="auto"/>
              <w:sz w:val="24"/>
              <w:szCs w:val="24"/>
              <w:highlight w:val="none"/>
            </w:rPr>
            <w:fldChar w:fldCharType="end"/>
          </w:r>
        </w:p>
      </w:sdtContent>
    </w:sdt>
    <w:p w14:paraId="0A737686">
      <w:pPr>
        <w:rPr>
          <w:color w:val="auto"/>
          <w:highlight w:val="none"/>
        </w:rPr>
      </w:pPr>
    </w:p>
    <w:p w14:paraId="0D23173F">
      <w:pPr>
        <w:spacing w:line="186" w:lineRule="auto"/>
        <w:rPr>
          <w:rFonts w:hint="eastAsia" w:ascii="黑体" w:hAnsi="黑体" w:eastAsia="黑体" w:cs="黑体"/>
          <w:color w:val="auto"/>
          <w:sz w:val="28"/>
          <w:szCs w:val="28"/>
          <w:highlight w:val="none"/>
        </w:rPr>
        <w:sectPr>
          <w:footerReference r:id="rId5" w:type="default"/>
          <w:pgSz w:w="11906" w:h="16838"/>
          <w:pgMar w:top="1440" w:right="1800" w:bottom="1440" w:left="1800" w:header="0" w:footer="805" w:gutter="0"/>
          <w:pgNumType w:start="1"/>
          <w:cols w:space="720" w:num="1"/>
        </w:sectPr>
      </w:pPr>
    </w:p>
    <w:p w14:paraId="4613DA9B">
      <w:pPr>
        <w:pStyle w:val="3"/>
        <w:bidi w:val="0"/>
        <w:spacing w:line="240" w:lineRule="auto"/>
        <w:rPr>
          <w:rFonts w:hint="eastAsia"/>
        </w:rPr>
      </w:pPr>
      <w:bookmarkStart w:id="4" w:name="_Toc25309"/>
      <w:r>
        <w:t>谈判须知前附表</w:t>
      </w:r>
      <w:bookmarkEnd w:id="4"/>
    </w:p>
    <w:p w14:paraId="1B3C9DB9">
      <w:pPr>
        <w:spacing w:line="92" w:lineRule="exact"/>
        <w:rPr>
          <w:color w:val="auto"/>
          <w:highlight w:val="none"/>
        </w:rPr>
      </w:pPr>
    </w:p>
    <w:tbl>
      <w:tblPr>
        <w:tblStyle w:val="19"/>
        <w:tblW w:w="947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147"/>
        <w:gridCol w:w="2223"/>
        <w:gridCol w:w="6101"/>
      </w:tblGrid>
      <w:tr w14:paraId="3EAF06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147" w:type="dxa"/>
            <w:tcBorders>
              <w:top w:val="single" w:color="000000" w:sz="2" w:space="0"/>
              <w:left w:val="single" w:color="000000" w:sz="2" w:space="0"/>
            </w:tcBorders>
            <w:vAlign w:val="center"/>
          </w:tcPr>
          <w:p w14:paraId="6BE9694C">
            <w:pPr>
              <w:pStyle w:val="18"/>
              <w:keepNext w:val="0"/>
              <w:keepLines w:val="0"/>
              <w:pageBreakBefore w:val="0"/>
              <w:widowControl/>
              <w:kinsoku w:val="0"/>
              <w:wordWrap/>
              <w:overflowPunct/>
              <w:topLinePunct w:val="0"/>
              <w:autoSpaceDE w:val="0"/>
              <w:autoSpaceDN w:val="0"/>
              <w:bidi w:val="0"/>
              <w:adjustRightInd w:val="0"/>
              <w:snapToGrid w:val="0"/>
              <w:spacing w:line="0" w:lineRule="atLeast"/>
              <w:ind w:left="0"/>
              <w:jc w:val="center"/>
              <w:textAlignment w:val="baseline"/>
              <w:rPr>
                <w:rFonts w:hint="eastAsia"/>
                <w:color w:val="auto"/>
                <w:sz w:val="28"/>
                <w:szCs w:val="28"/>
                <w:highlight w:val="none"/>
              </w:rPr>
            </w:pPr>
            <w:r>
              <w:rPr>
                <w:color w:val="auto"/>
                <w:spacing w:val="-2"/>
                <w:sz w:val="28"/>
                <w:szCs w:val="28"/>
                <w:highlight w:val="none"/>
                <w14:textOutline w14:w="5130" w14:cap="flat" w14:cmpd="sng" w14:algn="ctr">
                  <w14:solidFill>
                    <w14:srgbClr w14:val="000000"/>
                  </w14:solidFill>
                  <w14:prstDash w14:val="solid"/>
                  <w14:miter w14:val="0"/>
                </w14:textOutline>
              </w:rPr>
              <w:t>序列号</w:t>
            </w:r>
          </w:p>
        </w:tc>
        <w:tc>
          <w:tcPr>
            <w:tcW w:w="2223" w:type="dxa"/>
            <w:tcBorders>
              <w:top w:val="single" w:color="000000" w:sz="2" w:space="0"/>
            </w:tcBorders>
            <w:vAlign w:val="center"/>
          </w:tcPr>
          <w:p w14:paraId="590B8498">
            <w:pPr>
              <w:pStyle w:val="18"/>
              <w:keepNext w:val="0"/>
              <w:keepLines w:val="0"/>
              <w:pageBreakBefore w:val="0"/>
              <w:widowControl/>
              <w:kinsoku w:val="0"/>
              <w:wordWrap/>
              <w:overflowPunct/>
              <w:topLinePunct w:val="0"/>
              <w:autoSpaceDE w:val="0"/>
              <w:autoSpaceDN w:val="0"/>
              <w:bidi w:val="0"/>
              <w:adjustRightInd w:val="0"/>
              <w:snapToGrid w:val="0"/>
              <w:spacing w:line="0" w:lineRule="atLeast"/>
              <w:ind w:left="0"/>
              <w:jc w:val="center"/>
              <w:textAlignment w:val="baseline"/>
              <w:rPr>
                <w:rFonts w:hint="eastAsia"/>
                <w:color w:val="auto"/>
                <w:sz w:val="28"/>
                <w:szCs w:val="28"/>
                <w:highlight w:val="none"/>
              </w:rPr>
            </w:pPr>
            <w:r>
              <w:rPr>
                <w:color w:val="auto"/>
                <w:spacing w:val="-2"/>
                <w:sz w:val="28"/>
                <w:szCs w:val="28"/>
                <w:highlight w:val="none"/>
                <w14:textOutline w14:w="5130" w14:cap="flat" w14:cmpd="sng" w14:algn="ctr">
                  <w14:solidFill>
                    <w14:srgbClr w14:val="000000"/>
                  </w14:solidFill>
                  <w14:prstDash w14:val="solid"/>
                  <w14:miter w14:val="0"/>
                </w14:textOutline>
              </w:rPr>
              <w:t>条款名称</w:t>
            </w:r>
          </w:p>
        </w:tc>
        <w:tc>
          <w:tcPr>
            <w:tcW w:w="6101" w:type="dxa"/>
            <w:tcBorders>
              <w:top w:val="single" w:color="000000" w:sz="2" w:space="0"/>
              <w:right w:val="single" w:color="000000" w:sz="2" w:space="0"/>
            </w:tcBorders>
            <w:vAlign w:val="center"/>
          </w:tcPr>
          <w:p w14:paraId="62D12AF0">
            <w:pPr>
              <w:pStyle w:val="18"/>
              <w:keepNext w:val="0"/>
              <w:keepLines w:val="0"/>
              <w:pageBreakBefore w:val="0"/>
              <w:widowControl/>
              <w:kinsoku w:val="0"/>
              <w:wordWrap/>
              <w:overflowPunct/>
              <w:topLinePunct w:val="0"/>
              <w:autoSpaceDE w:val="0"/>
              <w:autoSpaceDN w:val="0"/>
              <w:bidi w:val="0"/>
              <w:adjustRightInd w:val="0"/>
              <w:snapToGrid w:val="0"/>
              <w:spacing w:line="0" w:lineRule="atLeast"/>
              <w:ind w:left="0"/>
              <w:jc w:val="center"/>
              <w:textAlignment w:val="baseline"/>
              <w:rPr>
                <w:rFonts w:hint="eastAsia"/>
                <w:color w:val="auto"/>
                <w:sz w:val="28"/>
                <w:szCs w:val="28"/>
                <w:highlight w:val="none"/>
              </w:rPr>
            </w:pPr>
            <w:r>
              <w:rPr>
                <w:color w:val="auto"/>
                <w:spacing w:val="-1"/>
                <w:sz w:val="28"/>
                <w:szCs w:val="28"/>
                <w:highlight w:val="none"/>
                <w14:textOutline w14:w="5130" w14:cap="flat" w14:cmpd="sng" w14:algn="ctr">
                  <w14:solidFill>
                    <w14:srgbClr w14:val="000000"/>
                  </w14:solidFill>
                  <w14:prstDash w14:val="solid"/>
                  <w14:miter w14:val="0"/>
                </w14:textOutline>
              </w:rPr>
              <w:t>编列内容规定</w:t>
            </w:r>
          </w:p>
        </w:tc>
      </w:tr>
      <w:tr w14:paraId="740273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0" w:hRule="atLeast"/>
          <w:jc w:val="center"/>
        </w:trPr>
        <w:tc>
          <w:tcPr>
            <w:tcW w:w="1147" w:type="dxa"/>
            <w:tcBorders>
              <w:left w:val="single" w:color="000000" w:sz="2" w:space="0"/>
            </w:tcBorders>
            <w:vAlign w:val="center"/>
          </w:tcPr>
          <w:p w14:paraId="398ADDE0">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1</w:t>
            </w:r>
          </w:p>
        </w:tc>
        <w:tc>
          <w:tcPr>
            <w:tcW w:w="2223" w:type="dxa"/>
            <w:vAlign w:val="center"/>
          </w:tcPr>
          <w:p w14:paraId="03BEB370">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项目名称</w:t>
            </w:r>
          </w:p>
        </w:tc>
        <w:tc>
          <w:tcPr>
            <w:tcW w:w="6101" w:type="dxa"/>
            <w:tcBorders>
              <w:right w:val="single" w:color="000000" w:sz="2" w:space="0"/>
            </w:tcBorders>
            <w:vAlign w:val="center"/>
          </w:tcPr>
          <w:p w14:paraId="3403DBA3">
            <w:pPr>
              <w:pStyle w:val="18"/>
              <w:spacing w:before="31" w:line="235" w:lineRule="auto"/>
              <w:ind w:left="115" w:right="117" w:hanging="2"/>
              <w:jc w:val="both"/>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中华人民共和国新疆出入境边防检查总站乌鲁木齐警犬训练基地待训警犬采购项目</w:t>
            </w:r>
          </w:p>
          <w:p w14:paraId="6F750E0D">
            <w:pPr>
              <w:pStyle w:val="18"/>
              <w:spacing w:before="31" w:line="235" w:lineRule="auto"/>
              <w:ind w:left="115" w:right="117" w:hanging="2"/>
              <w:jc w:val="both"/>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项目编号：XJHY-BJZZ-DXQCG</w:t>
            </w:r>
          </w:p>
        </w:tc>
      </w:tr>
      <w:tr w14:paraId="6EB623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4" w:hRule="atLeast"/>
          <w:jc w:val="center"/>
        </w:trPr>
        <w:tc>
          <w:tcPr>
            <w:tcW w:w="1147" w:type="dxa"/>
            <w:tcBorders>
              <w:left w:val="single" w:color="000000" w:sz="2" w:space="0"/>
            </w:tcBorders>
            <w:vAlign w:val="center"/>
          </w:tcPr>
          <w:p w14:paraId="38BF9CCA">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p>
          <w:p w14:paraId="15E8B5CB">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2</w:t>
            </w:r>
          </w:p>
        </w:tc>
        <w:tc>
          <w:tcPr>
            <w:tcW w:w="2223" w:type="dxa"/>
            <w:vAlign w:val="center"/>
          </w:tcPr>
          <w:p w14:paraId="42A2A28B">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采购人</w:t>
            </w:r>
          </w:p>
        </w:tc>
        <w:tc>
          <w:tcPr>
            <w:tcW w:w="6101" w:type="dxa"/>
            <w:tcBorders>
              <w:right w:val="single" w:color="000000" w:sz="2" w:space="0"/>
            </w:tcBorders>
          </w:tcPr>
          <w:p w14:paraId="0ED454FB">
            <w:pPr>
              <w:pStyle w:val="18"/>
              <w:spacing w:before="180" w:line="227" w:lineRule="auto"/>
              <w:ind w:left="115"/>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 xml:space="preserve">名称：中华人民共和国新疆出入境边防检查总站 </w:t>
            </w:r>
          </w:p>
          <w:p w14:paraId="1F3E3844">
            <w:pPr>
              <w:pStyle w:val="18"/>
              <w:spacing w:before="27" w:line="227" w:lineRule="auto"/>
              <w:ind w:left="112"/>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地址：新疆乌鲁木齐市天山区团结路1551号</w:t>
            </w:r>
          </w:p>
        </w:tc>
      </w:tr>
      <w:tr w14:paraId="741A39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4" w:hRule="atLeast"/>
          <w:jc w:val="center"/>
        </w:trPr>
        <w:tc>
          <w:tcPr>
            <w:tcW w:w="1147" w:type="dxa"/>
            <w:tcBorders>
              <w:left w:val="single" w:color="000000" w:sz="2" w:space="0"/>
            </w:tcBorders>
            <w:vAlign w:val="center"/>
          </w:tcPr>
          <w:p w14:paraId="7630E8CE">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p>
          <w:p w14:paraId="6CC19866">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3</w:t>
            </w:r>
          </w:p>
        </w:tc>
        <w:tc>
          <w:tcPr>
            <w:tcW w:w="2223" w:type="dxa"/>
            <w:vAlign w:val="center"/>
          </w:tcPr>
          <w:p w14:paraId="5C43B6BA">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采购代理机构</w:t>
            </w:r>
          </w:p>
        </w:tc>
        <w:tc>
          <w:tcPr>
            <w:tcW w:w="6101" w:type="dxa"/>
            <w:tcBorders>
              <w:right w:val="single" w:color="000000" w:sz="2" w:space="0"/>
            </w:tcBorders>
          </w:tcPr>
          <w:p w14:paraId="4CF6BFE6">
            <w:pPr>
              <w:pStyle w:val="18"/>
              <w:spacing w:before="60" w:line="227" w:lineRule="auto"/>
              <w:ind w:left="115"/>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名 称：新疆华域建设工程项目管理咨询有限公司</w:t>
            </w:r>
          </w:p>
          <w:p w14:paraId="5669213F">
            <w:pPr>
              <w:pStyle w:val="18"/>
              <w:spacing w:before="29" w:line="238" w:lineRule="auto"/>
              <w:ind w:left="113" w:right="114" w:hanging="1"/>
              <w:rPr>
                <w:rFonts w:hint="eastAsia" w:asciiTheme="minorEastAsia" w:hAnsiTheme="minorEastAsia" w:eastAsiaTheme="minorEastAsia" w:cstheme="minorEastAsia"/>
                <w:color w:val="auto"/>
                <w:spacing w:val="6"/>
                <w:sz w:val="24"/>
                <w:szCs w:val="24"/>
                <w:highlight w:val="none"/>
                <w:lang w:eastAsia="zh-CN"/>
              </w:rPr>
            </w:pPr>
            <w:r>
              <w:rPr>
                <w:rFonts w:hint="eastAsia" w:asciiTheme="minorEastAsia" w:hAnsiTheme="minorEastAsia" w:eastAsiaTheme="minorEastAsia" w:cstheme="minorEastAsia"/>
                <w:color w:val="auto"/>
                <w:spacing w:val="16"/>
                <w:sz w:val="24"/>
                <w:szCs w:val="24"/>
                <w:highlight w:val="none"/>
                <w:lang w:eastAsia="zh-CN"/>
              </w:rPr>
              <w:t>地</w:t>
            </w:r>
            <w:r>
              <w:rPr>
                <w:rFonts w:hint="eastAsia" w:asciiTheme="minorEastAsia" w:hAnsiTheme="minorEastAsia" w:eastAsiaTheme="minorEastAsia" w:cstheme="minorEastAsia"/>
                <w:color w:val="auto"/>
                <w:spacing w:val="64"/>
                <w:sz w:val="24"/>
                <w:szCs w:val="24"/>
                <w:highlight w:val="none"/>
                <w:lang w:eastAsia="zh-CN"/>
              </w:rPr>
              <w:t xml:space="preserve"> </w:t>
            </w:r>
            <w:r>
              <w:rPr>
                <w:rFonts w:hint="eastAsia" w:asciiTheme="minorEastAsia" w:hAnsiTheme="minorEastAsia" w:eastAsiaTheme="minorEastAsia" w:cstheme="minorEastAsia"/>
                <w:color w:val="auto"/>
                <w:spacing w:val="16"/>
                <w:sz w:val="24"/>
                <w:szCs w:val="24"/>
                <w:highlight w:val="none"/>
                <w:lang w:eastAsia="zh-CN"/>
              </w:rPr>
              <w:t>址：乌鲁木齐市五星北路194号新地园大厦13、14楼</w:t>
            </w:r>
          </w:p>
          <w:p w14:paraId="2D2A34E5">
            <w:pPr>
              <w:pStyle w:val="18"/>
              <w:spacing w:before="29" w:line="238" w:lineRule="auto"/>
              <w:ind w:left="113" w:right="114" w:hanging="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6"/>
                <w:sz w:val="24"/>
                <w:szCs w:val="24"/>
                <w:highlight w:val="none"/>
                <w:lang w:eastAsia="zh-CN"/>
              </w:rPr>
              <w:t>项目联系人：王鹤宇、张伟、马成武</w:t>
            </w:r>
          </w:p>
          <w:p w14:paraId="12725AA6">
            <w:pPr>
              <w:pStyle w:val="18"/>
              <w:spacing w:before="28" w:line="229" w:lineRule="auto"/>
              <w:ind w:left="113"/>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2"/>
                <w:sz w:val="24"/>
                <w:szCs w:val="24"/>
                <w:highlight w:val="none"/>
              </w:rPr>
              <w:t>联系方式：</w:t>
            </w:r>
            <w:r>
              <w:rPr>
                <w:rFonts w:hint="eastAsia" w:asciiTheme="minorEastAsia" w:hAnsiTheme="minorEastAsia" w:eastAsiaTheme="minorEastAsia" w:cstheme="minorEastAsia"/>
                <w:color w:val="auto"/>
                <w:spacing w:val="-2"/>
                <w:sz w:val="24"/>
                <w:szCs w:val="24"/>
                <w:highlight w:val="none"/>
                <w:lang w:eastAsia="zh-CN"/>
              </w:rPr>
              <w:t>17690970999</w:t>
            </w:r>
          </w:p>
        </w:tc>
      </w:tr>
      <w:tr w14:paraId="2D519C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81" w:hRule="atLeast"/>
          <w:jc w:val="center"/>
        </w:trPr>
        <w:tc>
          <w:tcPr>
            <w:tcW w:w="1147" w:type="dxa"/>
            <w:tcBorders>
              <w:left w:val="single" w:color="000000" w:sz="2" w:space="0"/>
            </w:tcBorders>
            <w:vAlign w:val="center"/>
          </w:tcPr>
          <w:p w14:paraId="79785C98">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p>
          <w:p w14:paraId="0C444042">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p>
          <w:p w14:paraId="5EB789B8">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p>
          <w:p w14:paraId="21A7608B">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4</w:t>
            </w:r>
          </w:p>
        </w:tc>
        <w:tc>
          <w:tcPr>
            <w:tcW w:w="2223" w:type="dxa"/>
            <w:vAlign w:val="center"/>
          </w:tcPr>
          <w:p w14:paraId="1E9A3DBB">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供应商资格条件</w:t>
            </w:r>
          </w:p>
        </w:tc>
        <w:tc>
          <w:tcPr>
            <w:tcW w:w="6101" w:type="dxa"/>
            <w:tcBorders>
              <w:right w:val="single" w:color="000000" w:sz="2" w:space="0"/>
            </w:tcBorders>
          </w:tcPr>
          <w:p w14:paraId="689E847D">
            <w:pPr>
              <w:pStyle w:val="18"/>
              <w:spacing w:before="35"/>
              <w:ind w:left="107" w:right="136" w:firstLine="22"/>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1、满足《中华人民共和国政府采购法》第二十二条规定；</w:t>
            </w:r>
          </w:p>
          <w:p w14:paraId="16C5A779">
            <w:pPr>
              <w:pStyle w:val="18"/>
              <w:spacing w:before="35"/>
              <w:ind w:left="107" w:right="136" w:firstLine="22"/>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2、落实政府采购政策需满足的资格要求：本项目专门面向中小企业采购</w:t>
            </w:r>
          </w:p>
          <w:p w14:paraId="4DEDD826">
            <w:pPr>
              <w:pStyle w:val="18"/>
              <w:spacing w:before="35"/>
              <w:ind w:left="107" w:right="136" w:firstLine="22"/>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3、本项目的特定资格要求：</w:t>
            </w:r>
          </w:p>
          <w:p w14:paraId="4BB1E965">
            <w:pPr>
              <w:pStyle w:val="18"/>
              <w:spacing w:before="35"/>
              <w:ind w:left="107" w:right="136" w:firstLine="22"/>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w:t>
            </w:r>
            <w:r>
              <w:rPr>
                <w:rFonts w:hint="eastAsia" w:asciiTheme="minorEastAsia" w:hAnsiTheme="minorEastAsia" w:eastAsiaTheme="minorEastAsia" w:cstheme="minorEastAsia"/>
                <w:color w:val="auto"/>
                <w:spacing w:val="8"/>
                <w:sz w:val="24"/>
                <w:szCs w:val="24"/>
                <w:highlight w:val="none"/>
                <w:lang w:val="en-US" w:eastAsia="zh-CN"/>
              </w:rPr>
              <w:t>1</w:t>
            </w:r>
            <w:r>
              <w:rPr>
                <w:rFonts w:hint="eastAsia" w:asciiTheme="minorEastAsia" w:hAnsiTheme="minorEastAsia" w:eastAsiaTheme="minorEastAsia" w:cstheme="minorEastAsia"/>
                <w:color w:val="auto"/>
                <w:spacing w:val="8"/>
                <w:sz w:val="24"/>
                <w:szCs w:val="24"/>
                <w:highlight w:val="none"/>
                <w:lang w:eastAsia="zh-CN"/>
              </w:rPr>
              <w:t>）企业诚信信息未被行业主管部门通报；</w:t>
            </w:r>
          </w:p>
          <w:p w14:paraId="7CA79AAB">
            <w:pPr>
              <w:pStyle w:val="18"/>
              <w:spacing w:before="35"/>
              <w:ind w:left="107" w:right="136" w:firstLine="22"/>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w:t>
            </w:r>
            <w:r>
              <w:rPr>
                <w:rFonts w:hint="eastAsia" w:asciiTheme="minorEastAsia" w:hAnsiTheme="minorEastAsia" w:eastAsiaTheme="minorEastAsia" w:cstheme="minorEastAsia"/>
                <w:color w:val="auto"/>
                <w:spacing w:val="8"/>
                <w:sz w:val="24"/>
                <w:szCs w:val="24"/>
                <w:highlight w:val="none"/>
                <w:lang w:val="en-US" w:eastAsia="zh-CN"/>
              </w:rPr>
              <w:t>2</w:t>
            </w:r>
            <w:r>
              <w:rPr>
                <w:rFonts w:hint="eastAsia" w:asciiTheme="minorEastAsia" w:hAnsiTheme="minorEastAsia" w:eastAsiaTheme="minorEastAsia" w:cstheme="minorEastAsia"/>
                <w:color w:val="auto"/>
                <w:spacing w:val="8"/>
                <w:sz w:val="24"/>
                <w:szCs w:val="24"/>
                <w:highlight w:val="none"/>
                <w:lang w:eastAsia="zh-CN"/>
              </w:rPr>
              <w:t>）投标人必须为投标文件递交截止之日前未被列入“信用中国”网站（www.creditchina.gov.cn）、中国政府采购网（www.ccgp.gov.cn）信用记录失信被执行人、重大税收违法案件当事人名单、政府采购严重违法失信行为记录名单的；</w:t>
            </w:r>
          </w:p>
          <w:p w14:paraId="3A5B9074">
            <w:pPr>
              <w:pStyle w:val="18"/>
              <w:spacing w:before="35"/>
              <w:ind w:left="107" w:right="136" w:firstLine="22"/>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w:t>
            </w:r>
            <w:r>
              <w:rPr>
                <w:rFonts w:hint="eastAsia" w:asciiTheme="minorEastAsia" w:hAnsiTheme="minorEastAsia" w:eastAsiaTheme="minorEastAsia" w:cstheme="minorEastAsia"/>
                <w:color w:val="auto"/>
                <w:spacing w:val="8"/>
                <w:sz w:val="24"/>
                <w:szCs w:val="24"/>
                <w:highlight w:val="none"/>
                <w:lang w:val="en-US" w:eastAsia="zh-CN"/>
              </w:rPr>
              <w:t>3</w:t>
            </w:r>
            <w:r>
              <w:rPr>
                <w:rFonts w:hint="eastAsia" w:asciiTheme="minorEastAsia" w:hAnsiTheme="minorEastAsia" w:eastAsiaTheme="minorEastAsia" w:cstheme="minorEastAsia"/>
                <w:color w:val="auto"/>
                <w:spacing w:val="8"/>
                <w:sz w:val="24"/>
                <w:szCs w:val="24"/>
                <w:highlight w:val="none"/>
                <w:lang w:eastAsia="zh-CN"/>
              </w:rPr>
              <w:t>）单位负责人为同一人或者存在控股、管理关系的不同单位，不得同时参加本项目的投标。为本项目提供整体设计、规范编制或者项目管理、监理、检测等服务的投标人，不得再参加本项目投标；</w:t>
            </w:r>
          </w:p>
          <w:p w14:paraId="49A2B8DE">
            <w:pPr>
              <w:pStyle w:val="18"/>
              <w:spacing w:before="35"/>
              <w:ind w:left="107" w:right="136" w:firstLine="22"/>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w:t>
            </w:r>
            <w:r>
              <w:rPr>
                <w:rFonts w:hint="eastAsia" w:asciiTheme="minorEastAsia" w:hAnsiTheme="minorEastAsia" w:eastAsiaTheme="minorEastAsia" w:cstheme="minorEastAsia"/>
                <w:color w:val="auto"/>
                <w:spacing w:val="8"/>
                <w:sz w:val="24"/>
                <w:szCs w:val="24"/>
                <w:highlight w:val="none"/>
                <w:lang w:val="en-US" w:eastAsia="zh-CN"/>
              </w:rPr>
              <w:t>4</w:t>
            </w:r>
            <w:r>
              <w:rPr>
                <w:rFonts w:hint="eastAsia" w:asciiTheme="minorEastAsia" w:hAnsiTheme="minorEastAsia" w:eastAsiaTheme="minorEastAsia" w:cstheme="minorEastAsia"/>
                <w:color w:val="auto"/>
                <w:spacing w:val="8"/>
                <w:sz w:val="24"/>
                <w:szCs w:val="24"/>
                <w:highlight w:val="none"/>
                <w:lang w:eastAsia="zh-CN"/>
              </w:rPr>
              <w:t xml:space="preserve">）供应商需提供近三年内（2022年4月至今）类似业绩2个。其中，一份完整业绩证明材料包括：中标（成交）通知书、合同关键页复印件（或扫描件）加盖公章及开具的供货发票复印件，缺一项视为无效业绩，业绩证明材料需清晰可辨认、可查，否则视为无效业绩）。            </w:t>
            </w:r>
          </w:p>
        </w:tc>
      </w:tr>
      <w:tr w14:paraId="345708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jc w:val="center"/>
        </w:trPr>
        <w:tc>
          <w:tcPr>
            <w:tcW w:w="1147" w:type="dxa"/>
            <w:tcBorders>
              <w:left w:val="single" w:color="000000" w:sz="2" w:space="0"/>
            </w:tcBorders>
            <w:vAlign w:val="center"/>
          </w:tcPr>
          <w:p w14:paraId="5FC98746">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5</w:t>
            </w:r>
          </w:p>
        </w:tc>
        <w:tc>
          <w:tcPr>
            <w:tcW w:w="2223" w:type="dxa"/>
            <w:vAlign w:val="center"/>
          </w:tcPr>
          <w:p w14:paraId="5ED8E25B">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val="en-US" w:eastAsia="zh-CN"/>
              </w:rPr>
            </w:pPr>
            <w:r>
              <w:rPr>
                <w:rFonts w:hint="eastAsia" w:asciiTheme="minorEastAsia" w:hAnsiTheme="minorEastAsia" w:eastAsiaTheme="minorEastAsia" w:cstheme="minorEastAsia"/>
                <w:color w:val="auto"/>
                <w:spacing w:val="8"/>
                <w:sz w:val="24"/>
                <w:szCs w:val="24"/>
                <w:highlight w:val="none"/>
              </w:rPr>
              <w:t>联合体投标</w:t>
            </w:r>
          </w:p>
        </w:tc>
        <w:tc>
          <w:tcPr>
            <w:tcW w:w="6101" w:type="dxa"/>
            <w:tcBorders>
              <w:right w:val="single" w:color="000000" w:sz="2" w:space="0"/>
            </w:tcBorders>
          </w:tcPr>
          <w:p w14:paraId="1675070B">
            <w:pPr>
              <w:pStyle w:val="18"/>
              <w:spacing w:before="156" w:line="207" w:lineRule="auto"/>
              <w:ind w:left="116"/>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5"/>
                <w:sz w:val="24"/>
                <w:szCs w:val="24"/>
                <w:highlight w:val="none"/>
              </w:rPr>
              <w:t>不接受</w:t>
            </w:r>
          </w:p>
        </w:tc>
      </w:tr>
      <w:tr w14:paraId="6CC352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jc w:val="center"/>
        </w:trPr>
        <w:tc>
          <w:tcPr>
            <w:tcW w:w="1147" w:type="dxa"/>
            <w:tcBorders>
              <w:left w:val="single" w:color="000000" w:sz="2" w:space="0"/>
            </w:tcBorders>
            <w:vAlign w:val="center"/>
          </w:tcPr>
          <w:p w14:paraId="4E591B2F">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6</w:t>
            </w:r>
          </w:p>
        </w:tc>
        <w:tc>
          <w:tcPr>
            <w:tcW w:w="2223" w:type="dxa"/>
            <w:vAlign w:val="center"/>
          </w:tcPr>
          <w:p w14:paraId="174B4F75">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评标办法</w:t>
            </w:r>
          </w:p>
        </w:tc>
        <w:tc>
          <w:tcPr>
            <w:tcW w:w="6101" w:type="dxa"/>
            <w:tcBorders>
              <w:right w:val="single" w:color="000000" w:sz="2" w:space="0"/>
            </w:tcBorders>
          </w:tcPr>
          <w:p w14:paraId="6DD69758">
            <w:pPr>
              <w:pStyle w:val="18"/>
              <w:spacing w:before="156" w:line="211" w:lineRule="auto"/>
              <w:ind w:left="116"/>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5"/>
                <w:sz w:val="24"/>
                <w:szCs w:val="24"/>
                <w:highlight w:val="none"/>
              </w:rPr>
              <w:t>最低评标价法</w:t>
            </w:r>
          </w:p>
        </w:tc>
      </w:tr>
      <w:tr w14:paraId="7F3964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jc w:val="center"/>
        </w:trPr>
        <w:tc>
          <w:tcPr>
            <w:tcW w:w="1147" w:type="dxa"/>
            <w:tcBorders>
              <w:left w:val="single" w:color="000000" w:sz="2" w:space="0"/>
            </w:tcBorders>
            <w:vAlign w:val="center"/>
          </w:tcPr>
          <w:p w14:paraId="238A5A2F">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7</w:t>
            </w:r>
          </w:p>
        </w:tc>
        <w:tc>
          <w:tcPr>
            <w:tcW w:w="2223" w:type="dxa"/>
            <w:vAlign w:val="center"/>
          </w:tcPr>
          <w:p w14:paraId="3209A2CC">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信息公告媒体</w:t>
            </w:r>
          </w:p>
        </w:tc>
        <w:tc>
          <w:tcPr>
            <w:tcW w:w="6101" w:type="dxa"/>
            <w:tcBorders>
              <w:right w:val="single" w:color="000000" w:sz="2" w:space="0"/>
            </w:tcBorders>
          </w:tcPr>
          <w:p w14:paraId="20A8B417">
            <w:pPr>
              <w:pStyle w:val="18"/>
              <w:spacing w:before="232" w:line="222"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4"/>
                <w:sz w:val="24"/>
                <w:szCs w:val="24"/>
                <w:highlight w:val="none"/>
              </w:rPr>
              <w:t>新疆政府采购网（</w:t>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HYPERLINK "http://www.ccgpxinjiang.gov.cn"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http</w:t>
            </w:r>
            <w:r>
              <w:rPr>
                <w:rFonts w:hint="eastAsia" w:asciiTheme="minorEastAsia" w:hAnsiTheme="minorEastAsia" w:eastAsiaTheme="minorEastAsia" w:cstheme="minorEastAsia"/>
                <w:color w:val="auto"/>
                <w:spacing w:val="14"/>
                <w:sz w:val="24"/>
                <w:szCs w:val="24"/>
                <w:highlight w:val="none"/>
              </w:rPr>
              <w:t>://</w:t>
            </w:r>
            <w:r>
              <w:rPr>
                <w:rFonts w:hint="eastAsia" w:asciiTheme="minorEastAsia" w:hAnsiTheme="minorEastAsia" w:eastAsiaTheme="minorEastAsia" w:cstheme="minorEastAsia"/>
                <w:color w:val="auto"/>
                <w:sz w:val="24"/>
                <w:szCs w:val="24"/>
                <w:highlight w:val="none"/>
              </w:rPr>
              <w:t>www</w:t>
            </w:r>
            <w:r>
              <w:rPr>
                <w:rFonts w:hint="eastAsia" w:asciiTheme="minorEastAsia" w:hAnsiTheme="minorEastAsia" w:eastAsiaTheme="minorEastAsia" w:cstheme="minorEastAsia"/>
                <w:color w:val="auto"/>
                <w:spacing w:val="14"/>
                <w:sz w:val="24"/>
                <w:szCs w:val="24"/>
                <w:highlight w:val="none"/>
              </w:rPr>
              <w:t>.</w:t>
            </w:r>
            <w:r>
              <w:rPr>
                <w:rFonts w:hint="eastAsia" w:asciiTheme="minorEastAsia" w:hAnsiTheme="minorEastAsia" w:eastAsiaTheme="minorEastAsia" w:cstheme="minorEastAsia"/>
                <w:color w:val="auto"/>
                <w:sz w:val="24"/>
                <w:szCs w:val="24"/>
                <w:highlight w:val="none"/>
              </w:rPr>
              <w:t>ccgpxinjiang</w:t>
            </w:r>
            <w:r>
              <w:rPr>
                <w:rFonts w:hint="eastAsia" w:asciiTheme="minorEastAsia" w:hAnsiTheme="minorEastAsia" w:eastAsiaTheme="minorEastAsia" w:cstheme="minorEastAsia"/>
                <w:color w:val="auto"/>
                <w:spacing w:val="14"/>
                <w:sz w:val="24"/>
                <w:szCs w:val="24"/>
                <w:highlight w:val="none"/>
              </w:rPr>
              <w:t>.</w:t>
            </w:r>
            <w:r>
              <w:rPr>
                <w:rFonts w:hint="eastAsia" w:asciiTheme="minorEastAsia" w:hAnsiTheme="minorEastAsia" w:eastAsiaTheme="minorEastAsia" w:cstheme="minorEastAsia"/>
                <w:color w:val="auto"/>
                <w:sz w:val="24"/>
                <w:szCs w:val="24"/>
                <w:highlight w:val="none"/>
              </w:rPr>
              <w:t>gov</w:t>
            </w:r>
            <w:r>
              <w:rPr>
                <w:rFonts w:hint="eastAsia" w:asciiTheme="minorEastAsia" w:hAnsiTheme="minorEastAsia" w:eastAsiaTheme="minorEastAsia" w:cstheme="minorEastAsia"/>
                <w:color w:val="auto"/>
                <w:spacing w:val="14"/>
                <w:sz w:val="24"/>
                <w:szCs w:val="24"/>
                <w:highlight w:val="none"/>
              </w:rPr>
              <w:t>.</w:t>
            </w:r>
            <w:r>
              <w:rPr>
                <w:rFonts w:hint="eastAsia" w:asciiTheme="minorEastAsia" w:hAnsiTheme="minorEastAsia" w:eastAsiaTheme="minorEastAsia" w:cstheme="minorEastAsia"/>
                <w:color w:val="auto"/>
                <w:sz w:val="24"/>
                <w:szCs w:val="24"/>
                <w:highlight w:val="none"/>
              </w:rPr>
              <w:t>cn</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pacing w:val="14"/>
                <w:sz w:val="24"/>
                <w:szCs w:val="24"/>
                <w:highlight w:val="none"/>
              </w:rPr>
              <w:t>）</w:t>
            </w:r>
            <w:r>
              <w:rPr>
                <w:rFonts w:hint="eastAsia" w:asciiTheme="minorEastAsia" w:hAnsiTheme="minorEastAsia" w:eastAsiaTheme="minorEastAsia" w:cstheme="minorEastAsia"/>
                <w:color w:val="auto"/>
                <w:spacing w:val="14"/>
                <w:sz w:val="24"/>
                <w:szCs w:val="24"/>
                <w:highlight w:val="none"/>
                <w:lang w:eastAsia="zh-CN"/>
              </w:rPr>
              <w:t>和</w:t>
            </w:r>
            <w:r>
              <w:rPr>
                <w:rFonts w:hint="eastAsia" w:asciiTheme="minorEastAsia" w:hAnsiTheme="minorEastAsia" w:eastAsiaTheme="minorEastAsia" w:cstheme="minorEastAsia"/>
                <w:color w:val="auto"/>
                <w:spacing w:val="14"/>
                <w:sz w:val="24"/>
                <w:szCs w:val="24"/>
                <w:highlight w:val="none"/>
              </w:rPr>
              <w:t>中国政府采购网（http://www.ccgp.gov.cn/）</w:t>
            </w:r>
          </w:p>
        </w:tc>
      </w:tr>
      <w:tr w14:paraId="2FDFFB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jc w:val="center"/>
        </w:trPr>
        <w:tc>
          <w:tcPr>
            <w:tcW w:w="1147" w:type="dxa"/>
            <w:tcBorders>
              <w:left w:val="single" w:color="000000" w:sz="2" w:space="0"/>
            </w:tcBorders>
            <w:vAlign w:val="center"/>
          </w:tcPr>
          <w:p w14:paraId="2C4BEBB1">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8</w:t>
            </w:r>
          </w:p>
        </w:tc>
        <w:tc>
          <w:tcPr>
            <w:tcW w:w="2223" w:type="dxa"/>
            <w:vAlign w:val="center"/>
          </w:tcPr>
          <w:p w14:paraId="5B5CA000">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谈判响应文件递交截止时间</w:t>
            </w:r>
          </w:p>
        </w:tc>
        <w:tc>
          <w:tcPr>
            <w:tcW w:w="6101" w:type="dxa"/>
            <w:tcBorders>
              <w:right w:val="single" w:color="000000" w:sz="2" w:space="0"/>
            </w:tcBorders>
            <w:vAlign w:val="center"/>
          </w:tcPr>
          <w:p w14:paraId="05DF9721">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left"/>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2025年</w:t>
            </w:r>
            <w:r>
              <w:rPr>
                <w:rFonts w:hint="eastAsia" w:asciiTheme="minorEastAsia" w:hAnsiTheme="minorEastAsia" w:eastAsiaTheme="minorEastAsia" w:cstheme="minorEastAsia"/>
                <w:color w:val="auto"/>
                <w:spacing w:val="8"/>
                <w:sz w:val="24"/>
                <w:szCs w:val="24"/>
                <w:highlight w:val="none"/>
                <w:lang w:val="en-US" w:eastAsia="zh-CN"/>
              </w:rPr>
              <w:t>4</w:t>
            </w:r>
            <w:r>
              <w:rPr>
                <w:rFonts w:hint="eastAsia" w:asciiTheme="minorEastAsia" w:hAnsiTheme="minorEastAsia" w:eastAsiaTheme="minorEastAsia" w:cstheme="minorEastAsia"/>
                <w:color w:val="auto"/>
                <w:spacing w:val="8"/>
                <w:sz w:val="24"/>
                <w:szCs w:val="24"/>
                <w:highlight w:val="none"/>
                <w:lang w:eastAsia="zh-CN"/>
              </w:rPr>
              <w:t>月</w:t>
            </w:r>
            <w:r>
              <w:rPr>
                <w:rFonts w:hint="eastAsia" w:asciiTheme="minorEastAsia" w:hAnsiTheme="minorEastAsia" w:eastAsiaTheme="minorEastAsia" w:cstheme="minorEastAsia"/>
                <w:color w:val="auto"/>
                <w:spacing w:val="8"/>
                <w:sz w:val="24"/>
                <w:szCs w:val="24"/>
                <w:highlight w:val="none"/>
                <w:lang w:val="en-US" w:eastAsia="zh-CN"/>
              </w:rPr>
              <w:t>24</w:t>
            </w:r>
            <w:r>
              <w:rPr>
                <w:rFonts w:hint="eastAsia" w:asciiTheme="minorEastAsia" w:hAnsiTheme="minorEastAsia" w:eastAsiaTheme="minorEastAsia" w:cstheme="minorEastAsia"/>
                <w:color w:val="auto"/>
                <w:spacing w:val="8"/>
                <w:sz w:val="24"/>
                <w:szCs w:val="24"/>
                <w:highlight w:val="none"/>
                <w:lang w:eastAsia="zh-CN"/>
              </w:rPr>
              <w:t>日 1</w:t>
            </w:r>
            <w:r>
              <w:rPr>
                <w:rFonts w:hint="eastAsia" w:asciiTheme="minorEastAsia" w:hAnsiTheme="minorEastAsia" w:eastAsiaTheme="minorEastAsia" w:cstheme="minorEastAsia"/>
                <w:color w:val="auto"/>
                <w:spacing w:val="8"/>
                <w:sz w:val="24"/>
                <w:szCs w:val="24"/>
                <w:highlight w:val="none"/>
                <w:lang w:val="en-US" w:eastAsia="zh-CN"/>
              </w:rPr>
              <w:t>6</w:t>
            </w:r>
            <w:r>
              <w:rPr>
                <w:rFonts w:hint="eastAsia" w:asciiTheme="minorEastAsia" w:hAnsiTheme="minorEastAsia" w:eastAsiaTheme="minorEastAsia" w:cstheme="minorEastAsia"/>
                <w:color w:val="auto"/>
                <w:spacing w:val="8"/>
                <w:sz w:val="24"/>
                <w:szCs w:val="24"/>
                <w:highlight w:val="none"/>
                <w:lang w:eastAsia="zh-CN"/>
              </w:rPr>
              <w:t>:00（北京时间）</w:t>
            </w:r>
          </w:p>
        </w:tc>
      </w:tr>
      <w:tr w14:paraId="085890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73" w:hRule="atLeast"/>
          <w:jc w:val="center"/>
        </w:trPr>
        <w:tc>
          <w:tcPr>
            <w:tcW w:w="1147" w:type="dxa"/>
            <w:tcBorders>
              <w:left w:val="single" w:color="000000" w:sz="2" w:space="0"/>
            </w:tcBorders>
            <w:vAlign w:val="center"/>
          </w:tcPr>
          <w:p w14:paraId="161561B8">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9</w:t>
            </w:r>
          </w:p>
        </w:tc>
        <w:tc>
          <w:tcPr>
            <w:tcW w:w="2223" w:type="dxa"/>
            <w:vAlign w:val="center"/>
          </w:tcPr>
          <w:p w14:paraId="1B52F613">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谈判响应文件开启时间、地点</w:t>
            </w:r>
          </w:p>
        </w:tc>
        <w:tc>
          <w:tcPr>
            <w:tcW w:w="6101" w:type="dxa"/>
            <w:tcBorders>
              <w:right w:val="single" w:color="000000" w:sz="2" w:space="0"/>
            </w:tcBorders>
          </w:tcPr>
          <w:p w14:paraId="6F4C6A3D">
            <w:pPr>
              <w:pStyle w:val="18"/>
              <w:spacing w:before="75" w:line="238" w:lineRule="auto"/>
              <w:ind w:right="116"/>
              <w:rPr>
                <w:rFonts w:hint="eastAsia" w:asciiTheme="minorEastAsia" w:hAnsiTheme="minorEastAsia" w:eastAsiaTheme="minorEastAsia" w:cstheme="minorEastAsia"/>
                <w:color w:val="auto"/>
                <w:spacing w:val="18"/>
                <w:sz w:val="24"/>
                <w:szCs w:val="24"/>
                <w:highlight w:val="none"/>
                <w:lang w:eastAsia="zh-CN"/>
              </w:rPr>
            </w:pPr>
            <w:r>
              <w:rPr>
                <w:rFonts w:hint="eastAsia" w:asciiTheme="minorEastAsia" w:hAnsiTheme="minorEastAsia" w:eastAsiaTheme="minorEastAsia" w:cstheme="minorEastAsia"/>
                <w:color w:val="auto"/>
                <w:spacing w:val="18"/>
                <w:sz w:val="24"/>
                <w:szCs w:val="24"/>
                <w:highlight w:val="none"/>
                <w:lang w:eastAsia="zh-CN"/>
              </w:rPr>
              <w:t>时间：2025年</w:t>
            </w:r>
            <w:r>
              <w:rPr>
                <w:rFonts w:hint="eastAsia" w:asciiTheme="minorEastAsia" w:hAnsiTheme="minorEastAsia" w:eastAsiaTheme="minorEastAsia" w:cstheme="minorEastAsia"/>
                <w:color w:val="auto"/>
                <w:spacing w:val="18"/>
                <w:sz w:val="24"/>
                <w:szCs w:val="24"/>
                <w:highlight w:val="none"/>
                <w:lang w:val="en-US" w:eastAsia="zh-CN"/>
              </w:rPr>
              <w:t>4</w:t>
            </w:r>
            <w:r>
              <w:rPr>
                <w:rFonts w:hint="eastAsia" w:asciiTheme="minorEastAsia" w:hAnsiTheme="minorEastAsia" w:eastAsiaTheme="minorEastAsia" w:cstheme="minorEastAsia"/>
                <w:color w:val="auto"/>
                <w:spacing w:val="18"/>
                <w:sz w:val="24"/>
                <w:szCs w:val="24"/>
                <w:highlight w:val="none"/>
                <w:lang w:eastAsia="zh-CN"/>
              </w:rPr>
              <w:t>月</w:t>
            </w:r>
            <w:r>
              <w:rPr>
                <w:rFonts w:hint="eastAsia" w:asciiTheme="minorEastAsia" w:hAnsiTheme="minorEastAsia" w:eastAsiaTheme="minorEastAsia" w:cstheme="minorEastAsia"/>
                <w:color w:val="auto"/>
                <w:spacing w:val="18"/>
                <w:sz w:val="24"/>
                <w:szCs w:val="24"/>
                <w:highlight w:val="none"/>
                <w:lang w:val="en-US" w:eastAsia="zh-CN"/>
              </w:rPr>
              <w:t>24</w:t>
            </w:r>
            <w:r>
              <w:rPr>
                <w:rFonts w:hint="eastAsia" w:asciiTheme="minorEastAsia" w:hAnsiTheme="minorEastAsia" w:eastAsiaTheme="minorEastAsia" w:cstheme="minorEastAsia"/>
                <w:color w:val="auto"/>
                <w:spacing w:val="18"/>
                <w:sz w:val="24"/>
                <w:szCs w:val="24"/>
                <w:highlight w:val="none"/>
                <w:lang w:eastAsia="zh-CN"/>
              </w:rPr>
              <w:t>日1</w:t>
            </w:r>
            <w:r>
              <w:rPr>
                <w:rFonts w:hint="eastAsia" w:asciiTheme="minorEastAsia" w:hAnsiTheme="minorEastAsia" w:eastAsiaTheme="minorEastAsia" w:cstheme="minorEastAsia"/>
                <w:color w:val="auto"/>
                <w:spacing w:val="18"/>
                <w:sz w:val="24"/>
                <w:szCs w:val="24"/>
                <w:highlight w:val="none"/>
                <w:lang w:val="en-US" w:eastAsia="zh-CN"/>
              </w:rPr>
              <w:t>6</w:t>
            </w:r>
            <w:r>
              <w:rPr>
                <w:rFonts w:hint="eastAsia" w:asciiTheme="minorEastAsia" w:hAnsiTheme="minorEastAsia" w:eastAsiaTheme="minorEastAsia" w:cstheme="minorEastAsia"/>
                <w:color w:val="auto"/>
                <w:spacing w:val="18"/>
                <w:sz w:val="24"/>
                <w:szCs w:val="24"/>
                <w:highlight w:val="none"/>
                <w:lang w:eastAsia="zh-CN"/>
              </w:rPr>
              <w:t>:00（北京时间）</w:t>
            </w:r>
          </w:p>
          <w:p w14:paraId="434ADA49">
            <w:pPr>
              <w:pStyle w:val="18"/>
              <w:spacing w:before="75" w:line="238" w:lineRule="auto"/>
              <w:ind w:right="116"/>
              <w:rPr>
                <w:rFonts w:hint="eastAsia" w:asciiTheme="minorEastAsia" w:hAnsiTheme="minorEastAsia" w:eastAsiaTheme="minorEastAsia" w:cstheme="minorEastAsia"/>
                <w:color w:val="auto"/>
                <w:spacing w:val="18"/>
                <w:sz w:val="24"/>
                <w:szCs w:val="24"/>
                <w:highlight w:val="none"/>
                <w:lang w:eastAsia="zh-CN"/>
              </w:rPr>
            </w:pPr>
            <w:r>
              <w:rPr>
                <w:rFonts w:hint="eastAsia" w:asciiTheme="minorEastAsia" w:hAnsiTheme="minorEastAsia" w:eastAsiaTheme="minorEastAsia" w:cstheme="minorEastAsia"/>
                <w:color w:val="auto"/>
                <w:spacing w:val="18"/>
                <w:sz w:val="24"/>
                <w:szCs w:val="24"/>
                <w:highlight w:val="none"/>
                <w:lang w:eastAsia="zh-CN"/>
              </w:rPr>
              <w:t xml:space="preserve">地点：政采云；解密默认时长： 30 分钟   </w:t>
            </w:r>
          </w:p>
          <w:p w14:paraId="7CC96D42">
            <w:pPr>
              <w:pStyle w:val="18"/>
              <w:spacing w:before="75" w:line="238" w:lineRule="auto"/>
              <w:ind w:right="116"/>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8"/>
                <w:sz w:val="24"/>
                <w:szCs w:val="24"/>
                <w:highlight w:val="none"/>
                <w:lang w:eastAsia="zh-CN"/>
              </w:rPr>
              <w:t xml:space="preserve">注：本项目采用远程不见面交易的模式。供应商仅需在 任意地点通过政采云平台（ </w:t>
            </w:r>
            <w:r>
              <w:rPr>
                <w:rFonts w:hint="eastAsia" w:asciiTheme="minorEastAsia" w:hAnsiTheme="minorEastAsia" w:eastAsiaTheme="minorEastAsia" w:cstheme="minorEastAsia"/>
                <w:color w:val="auto"/>
                <w:spacing w:val="18"/>
                <w:sz w:val="24"/>
                <w:szCs w:val="24"/>
                <w:highlight w:val="none"/>
                <w:lang w:eastAsia="zh-CN"/>
              </w:rPr>
              <w:fldChar w:fldCharType="begin"/>
            </w:r>
            <w:r>
              <w:rPr>
                <w:rFonts w:hint="eastAsia" w:asciiTheme="minorEastAsia" w:hAnsiTheme="minorEastAsia" w:eastAsiaTheme="minorEastAsia" w:cstheme="minorEastAsia"/>
                <w:color w:val="auto"/>
                <w:spacing w:val="18"/>
                <w:sz w:val="24"/>
                <w:szCs w:val="24"/>
                <w:highlight w:val="none"/>
                <w:lang w:eastAsia="zh-CN"/>
              </w:rPr>
              <w:instrText xml:space="preserve"> HYPERLINK "https://www.zcygov.cn" </w:instrText>
            </w:r>
            <w:r>
              <w:rPr>
                <w:rFonts w:hint="eastAsia" w:asciiTheme="minorEastAsia" w:hAnsiTheme="minorEastAsia" w:eastAsiaTheme="minorEastAsia" w:cstheme="minorEastAsia"/>
                <w:color w:val="auto"/>
                <w:spacing w:val="18"/>
                <w:sz w:val="24"/>
                <w:szCs w:val="24"/>
                <w:highlight w:val="none"/>
                <w:lang w:eastAsia="zh-CN"/>
              </w:rPr>
              <w:fldChar w:fldCharType="separate"/>
            </w:r>
            <w:r>
              <w:rPr>
                <w:rFonts w:hint="eastAsia" w:asciiTheme="minorEastAsia" w:hAnsiTheme="minorEastAsia" w:eastAsiaTheme="minorEastAsia" w:cstheme="minorEastAsia"/>
                <w:color w:val="auto"/>
                <w:spacing w:val="18"/>
                <w:sz w:val="24"/>
                <w:szCs w:val="24"/>
                <w:highlight w:val="none"/>
                <w:lang w:eastAsia="zh-CN"/>
              </w:rPr>
              <w:t>https://www.zcygov.cn</w:t>
            </w:r>
            <w:r>
              <w:rPr>
                <w:rFonts w:hint="eastAsia" w:asciiTheme="minorEastAsia" w:hAnsiTheme="minorEastAsia" w:eastAsiaTheme="minorEastAsia" w:cstheme="minorEastAsia"/>
                <w:color w:val="auto"/>
                <w:spacing w:val="18"/>
                <w:sz w:val="24"/>
                <w:szCs w:val="24"/>
                <w:highlight w:val="none"/>
                <w:lang w:eastAsia="zh-CN"/>
              </w:rPr>
              <w:fldChar w:fldCharType="end"/>
            </w:r>
            <w:r>
              <w:rPr>
                <w:rFonts w:hint="eastAsia" w:asciiTheme="minorEastAsia" w:hAnsiTheme="minorEastAsia" w:eastAsiaTheme="minorEastAsia" w:cstheme="minorEastAsia"/>
                <w:color w:val="auto"/>
                <w:spacing w:val="18"/>
                <w:sz w:val="24"/>
                <w:szCs w:val="24"/>
                <w:highlight w:val="none"/>
                <w:lang w:eastAsia="zh-CN"/>
              </w:rPr>
              <w:t xml:space="preserve"> ） 不见面开标系统完成远程解密、提疑澄清、谈判报价、 结果公布等交互环节。供应商必须使用能正确解密投 标文件的“CA 锁 ”在规定的时间内完成远程解密， 因供应商原因未能解密、解密失败或解密超时，视为供应商撤销其投标文件，默认自动放弃； 因采购人原因或网上招投标平台发生故障，导致无法按时完成投标文件解密的，供应商需将未加密的投标文件提供给采购代理机构， 采购代理机构通过[异常处理]端口上传、解密。 （供应商编制标书的 CA 需与解密 CA 保持一致）。</w:t>
            </w:r>
          </w:p>
        </w:tc>
      </w:tr>
      <w:tr w14:paraId="157612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7" w:hRule="atLeast"/>
          <w:jc w:val="center"/>
        </w:trPr>
        <w:tc>
          <w:tcPr>
            <w:tcW w:w="1147" w:type="dxa"/>
            <w:tcBorders>
              <w:left w:val="single" w:color="000000" w:sz="2" w:space="0"/>
              <w:bottom w:val="single" w:color="000000" w:sz="2" w:space="0"/>
            </w:tcBorders>
            <w:vAlign w:val="center"/>
          </w:tcPr>
          <w:p w14:paraId="791D4E3A">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10</w:t>
            </w:r>
          </w:p>
        </w:tc>
        <w:tc>
          <w:tcPr>
            <w:tcW w:w="2223" w:type="dxa"/>
            <w:tcBorders>
              <w:bottom w:val="single" w:color="000000" w:sz="2" w:space="0"/>
            </w:tcBorders>
            <w:vAlign w:val="center"/>
          </w:tcPr>
          <w:p w14:paraId="70EA08CB">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谈判小组的组建及确定方式</w:t>
            </w:r>
          </w:p>
        </w:tc>
        <w:tc>
          <w:tcPr>
            <w:tcW w:w="6101" w:type="dxa"/>
            <w:tcBorders>
              <w:bottom w:val="single" w:color="000000" w:sz="2" w:space="0"/>
              <w:right w:val="single" w:color="000000" w:sz="2" w:space="0"/>
            </w:tcBorders>
          </w:tcPr>
          <w:p w14:paraId="62348C06">
            <w:pPr>
              <w:pStyle w:val="18"/>
              <w:spacing w:before="75" w:line="238" w:lineRule="auto"/>
              <w:ind w:right="116"/>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8"/>
                <w:sz w:val="24"/>
                <w:szCs w:val="24"/>
                <w:highlight w:val="none"/>
                <w:lang w:eastAsia="zh-CN"/>
              </w:rPr>
              <w:t>采购人依法组建谈判小组，共</w:t>
            </w:r>
            <w:r>
              <w:rPr>
                <w:rFonts w:hint="eastAsia" w:asciiTheme="minorEastAsia" w:hAnsiTheme="minorEastAsia" w:eastAsiaTheme="minorEastAsia" w:cstheme="minorEastAsia"/>
                <w:color w:val="auto"/>
                <w:spacing w:val="18"/>
                <w:sz w:val="24"/>
                <w:szCs w:val="24"/>
                <w:highlight w:val="none"/>
                <w:u w:val="single"/>
                <w:lang w:eastAsia="zh-CN"/>
              </w:rPr>
              <w:t xml:space="preserve"> 3 </w:t>
            </w:r>
            <w:r>
              <w:rPr>
                <w:rFonts w:hint="eastAsia" w:asciiTheme="minorEastAsia" w:hAnsiTheme="minorEastAsia" w:eastAsiaTheme="minorEastAsia" w:cstheme="minorEastAsia"/>
                <w:color w:val="auto"/>
                <w:spacing w:val="18"/>
                <w:sz w:val="24"/>
                <w:szCs w:val="24"/>
                <w:highlight w:val="none"/>
                <w:lang w:eastAsia="zh-CN"/>
              </w:rPr>
              <w:t>人组成，其中采购代表</w:t>
            </w:r>
            <w:r>
              <w:rPr>
                <w:rFonts w:hint="eastAsia" w:asciiTheme="minorEastAsia" w:hAnsiTheme="minorEastAsia" w:eastAsiaTheme="minorEastAsia" w:cstheme="minorEastAsia"/>
                <w:color w:val="auto"/>
                <w:spacing w:val="18"/>
                <w:sz w:val="24"/>
                <w:szCs w:val="24"/>
                <w:highlight w:val="none"/>
                <w:u w:val="single"/>
                <w:lang w:eastAsia="zh-CN"/>
              </w:rPr>
              <w:t>1</w:t>
            </w:r>
            <w:r>
              <w:rPr>
                <w:rFonts w:hint="eastAsia" w:asciiTheme="minorEastAsia" w:hAnsiTheme="minorEastAsia" w:eastAsiaTheme="minorEastAsia" w:cstheme="minorEastAsia"/>
                <w:color w:val="auto"/>
                <w:spacing w:val="18"/>
                <w:sz w:val="24"/>
                <w:szCs w:val="24"/>
                <w:highlight w:val="none"/>
                <w:lang w:eastAsia="zh-CN"/>
              </w:rPr>
              <w:t>人，专家库抽取专家</w:t>
            </w:r>
            <w:r>
              <w:rPr>
                <w:rFonts w:hint="eastAsia" w:asciiTheme="minorEastAsia" w:hAnsiTheme="minorEastAsia" w:eastAsiaTheme="minorEastAsia" w:cstheme="minorEastAsia"/>
                <w:color w:val="auto"/>
                <w:spacing w:val="18"/>
                <w:sz w:val="24"/>
                <w:szCs w:val="24"/>
                <w:highlight w:val="none"/>
                <w:u w:val="single"/>
                <w:lang w:eastAsia="zh-CN"/>
              </w:rPr>
              <w:t>2</w:t>
            </w:r>
            <w:r>
              <w:rPr>
                <w:rFonts w:hint="eastAsia" w:asciiTheme="minorEastAsia" w:hAnsiTheme="minorEastAsia" w:eastAsiaTheme="minorEastAsia" w:cstheme="minorEastAsia"/>
                <w:color w:val="auto"/>
                <w:spacing w:val="18"/>
                <w:sz w:val="24"/>
                <w:szCs w:val="24"/>
                <w:highlight w:val="none"/>
                <w:lang w:eastAsia="zh-CN"/>
              </w:rPr>
              <w:t>人。谈判小组有</w:t>
            </w:r>
            <w:r>
              <w:rPr>
                <w:rFonts w:hint="eastAsia" w:asciiTheme="minorEastAsia" w:hAnsiTheme="minorEastAsia" w:eastAsiaTheme="minorEastAsia" w:cstheme="minorEastAsia"/>
                <w:color w:val="auto"/>
                <w:sz w:val="24"/>
                <w:szCs w:val="24"/>
                <w:highlight w:val="none"/>
                <w:lang w:eastAsia="zh-CN"/>
              </w:rPr>
              <w:t>关专家确定方式：</w:t>
            </w:r>
            <w:r>
              <w:rPr>
                <w:rFonts w:hint="eastAsia" w:asciiTheme="minorEastAsia" w:hAnsiTheme="minorEastAsia" w:eastAsiaTheme="minorEastAsia" w:cstheme="minorEastAsia"/>
                <w:color w:val="auto"/>
                <w:sz w:val="24"/>
                <w:szCs w:val="24"/>
                <w:highlight w:val="none"/>
                <w:u w:val="single"/>
                <w:lang w:eastAsia="zh-CN"/>
              </w:rPr>
              <w:t>政采云专家库中随机抽取</w:t>
            </w:r>
          </w:p>
        </w:tc>
      </w:tr>
      <w:tr w14:paraId="2A4D69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147" w:type="dxa"/>
            <w:tcBorders>
              <w:left w:val="single" w:color="000000" w:sz="2" w:space="0"/>
            </w:tcBorders>
            <w:vAlign w:val="center"/>
          </w:tcPr>
          <w:p w14:paraId="766F8E1C">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11</w:t>
            </w:r>
          </w:p>
        </w:tc>
        <w:tc>
          <w:tcPr>
            <w:tcW w:w="2223" w:type="dxa"/>
            <w:vAlign w:val="center"/>
          </w:tcPr>
          <w:p w14:paraId="5F7AF87D">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谈判保证金</w:t>
            </w:r>
          </w:p>
        </w:tc>
        <w:tc>
          <w:tcPr>
            <w:tcW w:w="6101" w:type="dxa"/>
            <w:tcBorders>
              <w:right w:val="single" w:color="000000" w:sz="2" w:space="0"/>
            </w:tcBorders>
          </w:tcPr>
          <w:p w14:paraId="7DEB9E5E">
            <w:pPr>
              <w:pStyle w:val="18"/>
              <w:ind w:hanging="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1、金额：人民币叁万元整（¥30000元）；</w:t>
            </w:r>
          </w:p>
          <w:p w14:paraId="205AD7B2">
            <w:pPr>
              <w:pStyle w:val="18"/>
              <w:ind w:hanging="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2、形式：以支票、汇票、本票或者金融机构、担保机构出具的保函等非现金形式提交；</w:t>
            </w:r>
          </w:p>
          <w:p w14:paraId="6C29B055">
            <w:pPr>
              <w:pStyle w:val="18"/>
              <w:ind w:hanging="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3、递交时间：在投标截止时间前递交（以到账时间为准）；</w:t>
            </w:r>
          </w:p>
          <w:p w14:paraId="61A1C5D1">
            <w:pPr>
              <w:pStyle w:val="18"/>
              <w:ind w:hanging="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4、账户信息：</w:t>
            </w:r>
          </w:p>
          <w:p w14:paraId="21454447">
            <w:pPr>
              <w:pStyle w:val="18"/>
              <w:ind w:hanging="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开户名称：新疆华域建设工程项目管理咨询有限公司</w:t>
            </w:r>
          </w:p>
          <w:p w14:paraId="536C9804">
            <w:pPr>
              <w:pStyle w:val="18"/>
              <w:ind w:hanging="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开户银行：中国银行乌鲁木齐南湖东路支行</w:t>
            </w:r>
          </w:p>
          <w:p w14:paraId="133F0C99">
            <w:pPr>
              <w:pStyle w:val="18"/>
              <w:ind w:hanging="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 xml:space="preserve">开户行行号：104881006151 </w:t>
            </w:r>
          </w:p>
          <w:p w14:paraId="0AF2BBC4">
            <w:pPr>
              <w:pStyle w:val="18"/>
              <w:ind w:hanging="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账   号： 107083025521</w:t>
            </w:r>
          </w:p>
          <w:p w14:paraId="3E05280C">
            <w:pPr>
              <w:pStyle w:val="18"/>
              <w:ind w:hanging="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打款时需备注项目编号或项目名称简称。</w:t>
            </w:r>
          </w:p>
          <w:p w14:paraId="25A2BDD7">
            <w:pPr>
              <w:pStyle w:val="18"/>
              <w:ind w:hanging="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注：供应商无需来我单位开收据，投标文件中提供保证金电汇凭证即可。</w:t>
            </w:r>
          </w:p>
          <w:p w14:paraId="15693568">
            <w:pPr>
              <w:pStyle w:val="18"/>
              <w:ind w:hanging="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投标保证金于截止日之前确认到账，若供应商</w:t>
            </w:r>
            <w:r>
              <w:rPr>
                <w:rFonts w:hint="eastAsia" w:asciiTheme="minorEastAsia" w:hAnsiTheme="minorEastAsia" w:eastAsiaTheme="minorEastAsia" w:cstheme="minorEastAsia"/>
                <w:color w:val="auto"/>
                <w:sz w:val="24"/>
                <w:szCs w:val="24"/>
                <w:highlight w:val="none"/>
                <w:lang w:val="zh-CN" w:eastAsia="zh-CN"/>
              </w:rPr>
              <w:t>未按照上述规定缴纳投标保证金,投标文件将被拒绝评审。</w:t>
            </w:r>
          </w:p>
        </w:tc>
      </w:tr>
      <w:tr w14:paraId="13DF24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jc w:val="center"/>
        </w:trPr>
        <w:tc>
          <w:tcPr>
            <w:tcW w:w="1147" w:type="dxa"/>
            <w:tcBorders>
              <w:left w:val="single" w:color="000000" w:sz="2" w:space="0"/>
            </w:tcBorders>
            <w:vAlign w:val="center"/>
          </w:tcPr>
          <w:p w14:paraId="19BFA742">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12</w:t>
            </w:r>
          </w:p>
        </w:tc>
        <w:tc>
          <w:tcPr>
            <w:tcW w:w="2223" w:type="dxa"/>
            <w:vAlign w:val="center"/>
          </w:tcPr>
          <w:p w14:paraId="02353D68">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谈判有效期</w:t>
            </w:r>
          </w:p>
        </w:tc>
        <w:tc>
          <w:tcPr>
            <w:tcW w:w="6101" w:type="dxa"/>
            <w:tcBorders>
              <w:right w:val="single" w:color="000000" w:sz="2" w:space="0"/>
            </w:tcBorders>
          </w:tcPr>
          <w:p w14:paraId="6838A11D">
            <w:pPr>
              <w:pStyle w:val="18"/>
              <w:spacing w:before="153" w:line="227" w:lineRule="auto"/>
              <w:ind w:left="152"/>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6"/>
                <w:sz w:val="24"/>
                <w:szCs w:val="24"/>
                <w:highlight w:val="none"/>
                <w:lang w:eastAsia="zh-CN"/>
              </w:rPr>
              <w:t xml:space="preserve">自首次递交响应文件截止时间起计算 </w:t>
            </w:r>
            <w:r>
              <w:rPr>
                <w:rFonts w:hint="eastAsia" w:asciiTheme="minorEastAsia" w:hAnsiTheme="minorEastAsia" w:eastAsiaTheme="minorEastAsia" w:cstheme="minorEastAsia"/>
                <w:color w:val="auto"/>
                <w:spacing w:val="6"/>
                <w:sz w:val="24"/>
                <w:szCs w:val="24"/>
                <w:highlight w:val="none"/>
                <w:u w:val="single"/>
                <w:lang w:eastAsia="zh-CN"/>
              </w:rPr>
              <w:t>90</w:t>
            </w:r>
            <w:r>
              <w:rPr>
                <w:rFonts w:hint="eastAsia" w:asciiTheme="minorEastAsia" w:hAnsiTheme="minorEastAsia" w:eastAsiaTheme="minorEastAsia" w:cstheme="minorEastAsia"/>
                <w:color w:val="auto"/>
                <w:spacing w:val="6"/>
                <w:sz w:val="24"/>
                <w:szCs w:val="24"/>
                <w:highlight w:val="none"/>
                <w:lang w:eastAsia="zh-CN"/>
              </w:rPr>
              <w:t>个日历日</w:t>
            </w:r>
          </w:p>
        </w:tc>
      </w:tr>
      <w:tr w14:paraId="619432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147" w:type="dxa"/>
            <w:tcBorders>
              <w:left w:val="single" w:color="000000" w:sz="2" w:space="0"/>
            </w:tcBorders>
            <w:vAlign w:val="center"/>
          </w:tcPr>
          <w:p w14:paraId="35F94552">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13</w:t>
            </w:r>
          </w:p>
        </w:tc>
        <w:tc>
          <w:tcPr>
            <w:tcW w:w="2223" w:type="dxa"/>
            <w:vAlign w:val="center"/>
          </w:tcPr>
          <w:p w14:paraId="25E51BF8">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谈判文件份数</w:t>
            </w:r>
          </w:p>
        </w:tc>
        <w:tc>
          <w:tcPr>
            <w:tcW w:w="6101" w:type="dxa"/>
            <w:tcBorders>
              <w:right w:val="single" w:color="000000" w:sz="2" w:space="0"/>
            </w:tcBorders>
          </w:tcPr>
          <w:p w14:paraId="577A6852">
            <w:pPr>
              <w:pStyle w:val="18"/>
              <w:spacing w:before="33" w:line="350" w:lineRule="auto"/>
              <w:ind w:left="111" w:right="95" w:firstLine="1"/>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6"/>
                <w:sz w:val="24"/>
                <w:szCs w:val="24"/>
                <w:highlight w:val="none"/>
                <w:lang w:eastAsia="zh-CN"/>
              </w:rPr>
              <w:t xml:space="preserve">本项目采用不见面开标、供应商需要递交电子响应文件，加密的电子响应文件在投标截止时间前通过政采云平台（ </w:t>
            </w:r>
            <w:r>
              <w:rPr>
                <w:rFonts w:hint="eastAsia" w:asciiTheme="minorEastAsia" w:hAnsiTheme="minorEastAsia" w:eastAsiaTheme="minorEastAsia" w:cstheme="minorEastAsia"/>
                <w:color w:val="auto"/>
                <w:spacing w:val="6"/>
                <w:sz w:val="24"/>
                <w:szCs w:val="24"/>
                <w:highlight w:val="none"/>
                <w:lang w:eastAsia="zh-CN"/>
              </w:rPr>
              <w:fldChar w:fldCharType="begin"/>
            </w:r>
            <w:r>
              <w:rPr>
                <w:rFonts w:hint="eastAsia" w:asciiTheme="minorEastAsia" w:hAnsiTheme="minorEastAsia" w:eastAsiaTheme="minorEastAsia" w:cstheme="minorEastAsia"/>
                <w:color w:val="auto"/>
                <w:spacing w:val="6"/>
                <w:sz w:val="24"/>
                <w:szCs w:val="24"/>
                <w:highlight w:val="none"/>
                <w:lang w:eastAsia="zh-CN"/>
              </w:rPr>
              <w:instrText xml:space="preserve"> HYPERLINK "https://www.zcygov.cn" </w:instrText>
            </w:r>
            <w:r>
              <w:rPr>
                <w:rFonts w:hint="eastAsia" w:asciiTheme="minorEastAsia" w:hAnsiTheme="minorEastAsia" w:eastAsiaTheme="minorEastAsia" w:cstheme="minorEastAsia"/>
                <w:color w:val="auto"/>
                <w:spacing w:val="6"/>
                <w:sz w:val="24"/>
                <w:szCs w:val="24"/>
                <w:highlight w:val="none"/>
                <w:lang w:eastAsia="zh-CN"/>
              </w:rPr>
              <w:fldChar w:fldCharType="separate"/>
            </w:r>
            <w:r>
              <w:rPr>
                <w:rFonts w:hint="eastAsia" w:asciiTheme="minorEastAsia" w:hAnsiTheme="minorEastAsia" w:eastAsiaTheme="minorEastAsia" w:cstheme="minorEastAsia"/>
                <w:color w:val="auto"/>
                <w:spacing w:val="6"/>
                <w:sz w:val="24"/>
                <w:szCs w:val="24"/>
                <w:highlight w:val="none"/>
                <w:lang w:eastAsia="zh-CN"/>
              </w:rPr>
              <w:t>https://www.zcygov.cn</w:t>
            </w:r>
            <w:r>
              <w:rPr>
                <w:rFonts w:hint="eastAsia" w:asciiTheme="minorEastAsia" w:hAnsiTheme="minorEastAsia" w:eastAsiaTheme="minorEastAsia" w:cstheme="minorEastAsia"/>
                <w:color w:val="auto"/>
                <w:spacing w:val="6"/>
                <w:sz w:val="24"/>
                <w:szCs w:val="24"/>
                <w:highlight w:val="none"/>
                <w:lang w:eastAsia="zh-CN"/>
              </w:rPr>
              <w:fldChar w:fldCharType="end"/>
            </w:r>
            <w:r>
              <w:rPr>
                <w:rFonts w:hint="eastAsia" w:asciiTheme="minorEastAsia" w:hAnsiTheme="minorEastAsia" w:eastAsiaTheme="minorEastAsia" w:cstheme="minorEastAsia"/>
                <w:color w:val="auto"/>
                <w:spacing w:val="6"/>
                <w:sz w:val="24"/>
                <w:szCs w:val="24"/>
                <w:highlight w:val="none"/>
                <w:lang w:eastAsia="zh-CN"/>
              </w:rPr>
              <w:t xml:space="preserve"> ）上传到指定位置。无需递交纸质文件。</w:t>
            </w:r>
          </w:p>
        </w:tc>
      </w:tr>
      <w:tr w14:paraId="2BA69B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jc w:val="center"/>
        </w:trPr>
        <w:tc>
          <w:tcPr>
            <w:tcW w:w="1147" w:type="dxa"/>
            <w:tcBorders>
              <w:left w:val="single" w:color="000000" w:sz="2" w:space="0"/>
            </w:tcBorders>
            <w:vAlign w:val="center"/>
          </w:tcPr>
          <w:p w14:paraId="6503252C">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rPr>
              <w:t>1</w:t>
            </w:r>
            <w:r>
              <w:rPr>
                <w:rFonts w:hint="eastAsia" w:asciiTheme="minorEastAsia" w:hAnsiTheme="minorEastAsia" w:eastAsiaTheme="minorEastAsia" w:cstheme="minorEastAsia"/>
                <w:color w:val="auto"/>
                <w:spacing w:val="8"/>
                <w:sz w:val="24"/>
                <w:szCs w:val="24"/>
                <w:highlight w:val="none"/>
                <w:lang w:eastAsia="zh-CN"/>
              </w:rPr>
              <w:t>4</w:t>
            </w:r>
          </w:p>
        </w:tc>
        <w:tc>
          <w:tcPr>
            <w:tcW w:w="2223" w:type="dxa"/>
            <w:vAlign w:val="center"/>
          </w:tcPr>
          <w:p w14:paraId="4C9DB799">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合同履约期限</w:t>
            </w:r>
          </w:p>
        </w:tc>
        <w:tc>
          <w:tcPr>
            <w:tcW w:w="6101" w:type="dxa"/>
            <w:tcBorders>
              <w:right w:val="single" w:color="000000" w:sz="2" w:space="0"/>
            </w:tcBorders>
          </w:tcPr>
          <w:p w14:paraId="636B7C94">
            <w:pPr>
              <w:pStyle w:val="18"/>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 xml:space="preserve">乙方需按甲方供货要求分两批供货，第一批 76 </w:t>
            </w:r>
            <w:r>
              <w:rPr>
                <w:rFonts w:hint="eastAsia" w:asciiTheme="minorEastAsia" w:hAnsiTheme="minorEastAsia" w:eastAsiaTheme="minorEastAsia" w:cstheme="minorEastAsia"/>
                <w:color w:val="auto"/>
                <w:spacing w:val="9"/>
                <w:sz w:val="24"/>
                <w:szCs w:val="24"/>
                <w:highlight w:val="none"/>
                <w:lang w:eastAsia="zh-CN"/>
              </w:rPr>
              <w:t>头</w:t>
            </w:r>
            <w:r>
              <w:rPr>
                <w:rFonts w:hint="eastAsia" w:asciiTheme="minorEastAsia" w:hAnsiTheme="minorEastAsia" w:eastAsiaTheme="minorEastAsia" w:cstheme="minorEastAsia"/>
                <w:color w:val="auto"/>
                <w:sz w:val="24"/>
                <w:szCs w:val="24"/>
                <w:highlight w:val="none"/>
                <w:lang w:eastAsia="zh-CN"/>
              </w:rPr>
              <w:t>警犬（包含乌鲁木齐警犬训练基地30</w:t>
            </w:r>
            <w:r>
              <w:rPr>
                <w:rFonts w:hint="eastAsia" w:asciiTheme="minorEastAsia" w:hAnsiTheme="minorEastAsia" w:eastAsiaTheme="minorEastAsia" w:cstheme="minorEastAsia"/>
                <w:color w:val="auto"/>
                <w:spacing w:val="9"/>
                <w:sz w:val="24"/>
                <w:szCs w:val="24"/>
                <w:highlight w:val="none"/>
                <w:lang w:eastAsia="zh-CN"/>
              </w:rPr>
              <w:t>头</w:t>
            </w:r>
            <w:r>
              <w:rPr>
                <w:rFonts w:hint="eastAsia" w:asciiTheme="minorEastAsia" w:hAnsiTheme="minorEastAsia" w:eastAsiaTheme="minorEastAsia" w:cstheme="minorEastAsia"/>
                <w:color w:val="auto"/>
                <w:sz w:val="24"/>
                <w:szCs w:val="24"/>
                <w:highlight w:val="none"/>
                <w:lang w:eastAsia="zh-CN"/>
              </w:rPr>
              <w:t>马里努阿犬、25</w:t>
            </w:r>
            <w:r>
              <w:rPr>
                <w:rFonts w:hint="eastAsia" w:asciiTheme="minorEastAsia" w:hAnsiTheme="minorEastAsia" w:eastAsiaTheme="minorEastAsia" w:cstheme="minorEastAsia"/>
                <w:color w:val="auto"/>
                <w:spacing w:val="9"/>
                <w:sz w:val="24"/>
                <w:szCs w:val="24"/>
                <w:highlight w:val="none"/>
                <w:lang w:eastAsia="zh-CN"/>
              </w:rPr>
              <w:t>头</w:t>
            </w:r>
            <w:r>
              <w:rPr>
                <w:rFonts w:hint="eastAsia" w:asciiTheme="minorEastAsia" w:hAnsiTheme="minorEastAsia" w:eastAsiaTheme="minorEastAsia" w:cstheme="minorEastAsia"/>
                <w:color w:val="auto"/>
                <w:sz w:val="24"/>
                <w:szCs w:val="24"/>
                <w:highlight w:val="none"/>
                <w:lang w:eastAsia="zh-CN"/>
              </w:rPr>
              <w:t>东德牧羊犬、5</w:t>
            </w:r>
            <w:r>
              <w:rPr>
                <w:rFonts w:hint="eastAsia" w:asciiTheme="minorEastAsia" w:hAnsiTheme="minorEastAsia" w:eastAsiaTheme="minorEastAsia" w:cstheme="minorEastAsia"/>
                <w:color w:val="auto"/>
                <w:spacing w:val="9"/>
                <w:sz w:val="24"/>
                <w:szCs w:val="24"/>
                <w:highlight w:val="none"/>
                <w:lang w:eastAsia="zh-CN"/>
              </w:rPr>
              <w:t>头</w:t>
            </w:r>
            <w:r>
              <w:rPr>
                <w:rFonts w:hint="eastAsia" w:asciiTheme="minorEastAsia" w:hAnsiTheme="minorEastAsia" w:eastAsiaTheme="minorEastAsia" w:cstheme="minorEastAsia"/>
                <w:color w:val="auto"/>
                <w:sz w:val="24"/>
                <w:szCs w:val="24"/>
                <w:highlight w:val="none"/>
                <w:lang w:eastAsia="zh-CN"/>
              </w:rPr>
              <w:t>史宾格犬，8个月-20个月；山东出入境边防检查总站6</w:t>
            </w:r>
            <w:r>
              <w:rPr>
                <w:rFonts w:hint="eastAsia" w:asciiTheme="minorEastAsia" w:hAnsiTheme="minorEastAsia" w:eastAsiaTheme="minorEastAsia" w:cstheme="minorEastAsia"/>
                <w:color w:val="auto"/>
                <w:spacing w:val="9"/>
                <w:sz w:val="24"/>
                <w:szCs w:val="24"/>
                <w:highlight w:val="none"/>
                <w:lang w:eastAsia="zh-CN"/>
              </w:rPr>
              <w:t>头</w:t>
            </w:r>
            <w:r>
              <w:rPr>
                <w:rFonts w:hint="eastAsia" w:asciiTheme="minorEastAsia" w:hAnsiTheme="minorEastAsia" w:eastAsiaTheme="minorEastAsia" w:cstheme="minorEastAsia"/>
                <w:color w:val="auto"/>
                <w:sz w:val="24"/>
                <w:szCs w:val="24"/>
                <w:highlight w:val="none"/>
                <w:lang w:eastAsia="zh-CN"/>
              </w:rPr>
              <w:t>马里努阿犬、5</w:t>
            </w:r>
            <w:r>
              <w:rPr>
                <w:rFonts w:hint="eastAsia" w:asciiTheme="minorEastAsia" w:hAnsiTheme="minorEastAsia" w:eastAsiaTheme="minorEastAsia" w:cstheme="minorEastAsia"/>
                <w:color w:val="auto"/>
                <w:spacing w:val="9"/>
                <w:sz w:val="24"/>
                <w:szCs w:val="24"/>
                <w:highlight w:val="none"/>
                <w:lang w:eastAsia="zh-CN"/>
              </w:rPr>
              <w:t>头</w:t>
            </w:r>
            <w:r>
              <w:rPr>
                <w:rFonts w:hint="eastAsia" w:asciiTheme="minorEastAsia" w:hAnsiTheme="minorEastAsia" w:eastAsiaTheme="minorEastAsia" w:cstheme="minorEastAsia"/>
                <w:color w:val="auto"/>
                <w:sz w:val="24"/>
                <w:szCs w:val="24"/>
                <w:highlight w:val="none"/>
                <w:lang w:eastAsia="zh-CN"/>
              </w:rPr>
              <w:t>东德牧羊犬、5</w:t>
            </w:r>
            <w:r>
              <w:rPr>
                <w:rFonts w:hint="eastAsia" w:asciiTheme="minorEastAsia" w:hAnsiTheme="minorEastAsia" w:eastAsiaTheme="minorEastAsia" w:cstheme="minorEastAsia"/>
                <w:color w:val="auto"/>
                <w:spacing w:val="9"/>
                <w:sz w:val="24"/>
                <w:szCs w:val="24"/>
                <w:highlight w:val="none"/>
                <w:lang w:eastAsia="zh-CN"/>
              </w:rPr>
              <w:t>头</w:t>
            </w:r>
            <w:r>
              <w:rPr>
                <w:rFonts w:hint="eastAsia" w:asciiTheme="minorEastAsia" w:hAnsiTheme="minorEastAsia" w:eastAsiaTheme="minorEastAsia" w:cstheme="minorEastAsia"/>
                <w:color w:val="auto"/>
                <w:sz w:val="24"/>
                <w:szCs w:val="24"/>
                <w:highlight w:val="none"/>
                <w:lang w:eastAsia="zh-CN"/>
              </w:rPr>
              <w:t xml:space="preserve">拉布拉多犬,均为8个月-20个月。）于合同签订后 15个日历日内送至合同约定供货地点；第二批 77 </w:t>
            </w:r>
            <w:r>
              <w:rPr>
                <w:rFonts w:hint="eastAsia" w:asciiTheme="minorEastAsia" w:hAnsiTheme="minorEastAsia" w:eastAsiaTheme="minorEastAsia" w:cstheme="minorEastAsia"/>
                <w:color w:val="auto"/>
                <w:spacing w:val="9"/>
                <w:sz w:val="24"/>
                <w:szCs w:val="24"/>
                <w:highlight w:val="none"/>
                <w:lang w:eastAsia="zh-CN"/>
              </w:rPr>
              <w:t>头</w:t>
            </w:r>
            <w:r>
              <w:rPr>
                <w:rFonts w:hint="eastAsia" w:asciiTheme="minorEastAsia" w:hAnsiTheme="minorEastAsia" w:eastAsiaTheme="minorEastAsia" w:cstheme="minorEastAsia"/>
                <w:color w:val="auto"/>
                <w:sz w:val="24"/>
                <w:szCs w:val="24"/>
                <w:highlight w:val="none"/>
                <w:lang w:eastAsia="zh-CN"/>
              </w:rPr>
              <w:t>（乌鲁木齐警犬训练基地30</w:t>
            </w:r>
            <w:r>
              <w:rPr>
                <w:rFonts w:hint="eastAsia" w:asciiTheme="minorEastAsia" w:hAnsiTheme="minorEastAsia" w:eastAsiaTheme="minorEastAsia" w:cstheme="minorEastAsia"/>
                <w:color w:val="auto"/>
                <w:spacing w:val="9"/>
                <w:sz w:val="24"/>
                <w:szCs w:val="24"/>
                <w:highlight w:val="none"/>
                <w:lang w:eastAsia="zh-CN"/>
              </w:rPr>
              <w:t>头</w:t>
            </w:r>
            <w:r>
              <w:rPr>
                <w:rFonts w:hint="eastAsia" w:asciiTheme="minorEastAsia" w:hAnsiTheme="minorEastAsia" w:eastAsiaTheme="minorEastAsia" w:cstheme="minorEastAsia"/>
                <w:color w:val="auto"/>
                <w:sz w:val="24"/>
                <w:szCs w:val="24"/>
                <w:highlight w:val="none"/>
                <w:lang w:eastAsia="zh-CN"/>
              </w:rPr>
              <w:t>马里努阿犬、45</w:t>
            </w:r>
            <w:r>
              <w:rPr>
                <w:rFonts w:hint="eastAsia" w:asciiTheme="minorEastAsia" w:hAnsiTheme="minorEastAsia" w:eastAsiaTheme="minorEastAsia" w:cstheme="minorEastAsia"/>
                <w:color w:val="auto"/>
                <w:spacing w:val="9"/>
                <w:sz w:val="24"/>
                <w:szCs w:val="24"/>
                <w:highlight w:val="none"/>
                <w:lang w:eastAsia="zh-CN"/>
              </w:rPr>
              <w:t>头</w:t>
            </w:r>
            <w:r>
              <w:rPr>
                <w:rFonts w:hint="eastAsia" w:asciiTheme="minorEastAsia" w:hAnsiTheme="minorEastAsia" w:eastAsiaTheme="minorEastAsia" w:cstheme="minorEastAsia"/>
                <w:color w:val="auto"/>
                <w:sz w:val="24"/>
                <w:szCs w:val="24"/>
                <w:highlight w:val="none"/>
                <w:lang w:eastAsia="zh-CN"/>
              </w:rPr>
              <w:t>东德牧羊犬、2</w:t>
            </w:r>
            <w:r>
              <w:rPr>
                <w:rFonts w:hint="eastAsia" w:asciiTheme="minorEastAsia" w:hAnsiTheme="minorEastAsia" w:eastAsiaTheme="minorEastAsia" w:cstheme="minorEastAsia"/>
                <w:color w:val="auto"/>
                <w:spacing w:val="9"/>
                <w:sz w:val="24"/>
                <w:szCs w:val="24"/>
                <w:highlight w:val="none"/>
                <w:lang w:eastAsia="zh-CN"/>
              </w:rPr>
              <w:t>头</w:t>
            </w:r>
            <w:r>
              <w:rPr>
                <w:rFonts w:hint="eastAsia" w:asciiTheme="minorEastAsia" w:hAnsiTheme="minorEastAsia" w:eastAsiaTheme="minorEastAsia" w:cstheme="minorEastAsia"/>
                <w:color w:val="auto"/>
                <w:sz w:val="24"/>
                <w:szCs w:val="24"/>
                <w:highlight w:val="none"/>
                <w:lang w:eastAsia="zh-CN"/>
              </w:rPr>
              <w:t>新疆牧羊犬（一公一母）,年龄段为：</w:t>
            </w:r>
            <w:r>
              <w:rPr>
                <w:rFonts w:hint="eastAsia" w:asciiTheme="minorEastAsia" w:hAnsiTheme="minorEastAsia" w:eastAsiaTheme="minorEastAsia" w:cstheme="minorEastAsia"/>
                <w:color w:val="auto"/>
                <w:kern w:val="28"/>
                <w:sz w:val="24"/>
                <w:szCs w:val="24"/>
                <w:highlight w:val="none"/>
                <w:lang w:eastAsia="zh-CN"/>
              </w:rPr>
              <w:t>8个月-20个月</w:t>
            </w:r>
            <w:r>
              <w:rPr>
                <w:rFonts w:hint="eastAsia" w:asciiTheme="minorEastAsia" w:hAnsiTheme="minorEastAsia" w:eastAsiaTheme="minorEastAsia" w:cstheme="minorEastAsia"/>
                <w:color w:val="auto"/>
                <w:sz w:val="24"/>
                <w:szCs w:val="24"/>
                <w:highlight w:val="none"/>
                <w:lang w:eastAsia="zh-CN"/>
              </w:rPr>
              <w:t>）接甲方通知后15个日历日内合同约定供货地点，乙方承担全部货运费用。</w:t>
            </w:r>
          </w:p>
        </w:tc>
      </w:tr>
      <w:tr w14:paraId="615FC1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jc w:val="center"/>
        </w:trPr>
        <w:tc>
          <w:tcPr>
            <w:tcW w:w="1147" w:type="dxa"/>
            <w:tcBorders>
              <w:left w:val="single" w:color="000000" w:sz="2" w:space="0"/>
            </w:tcBorders>
            <w:vAlign w:val="center"/>
          </w:tcPr>
          <w:p w14:paraId="276701E6">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rPr>
              <w:t>1</w:t>
            </w:r>
            <w:r>
              <w:rPr>
                <w:rFonts w:hint="eastAsia" w:asciiTheme="minorEastAsia" w:hAnsiTheme="minorEastAsia" w:eastAsiaTheme="minorEastAsia" w:cstheme="minorEastAsia"/>
                <w:color w:val="auto"/>
                <w:spacing w:val="8"/>
                <w:sz w:val="24"/>
                <w:szCs w:val="24"/>
                <w:highlight w:val="none"/>
                <w:lang w:eastAsia="zh-CN"/>
              </w:rPr>
              <w:t>5</w:t>
            </w:r>
          </w:p>
        </w:tc>
        <w:tc>
          <w:tcPr>
            <w:tcW w:w="2223" w:type="dxa"/>
            <w:vAlign w:val="center"/>
          </w:tcPr>
          <w:p w14:paraId="117F4E42">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付款方式</w:t>
            </w:r>
          </w:p>
        </w:tc>
        <w:tc>
          <w:tcPr>
            <w:tcW w:w="6101" w:type="dxa"/>
            <w:tcBorders>
              <w:right w:val="single" w:color="000000" w:sz="2" w:space="0"/>
            </w:tcBorders>
          </w:tcPr>
          <w:p w14:paraId="2DBF6193">
            <w:pPr>
              <w:pStyle w:val="18"/>
              <w:spacing w:before="38"/>
              <w:ind w:left="108" w:right="113"/>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成交通知书下达后7日历日内，乙方向甲方（新疆出入境边防检查总站）提供成交价格5%的履约保函（期限240个日历日）。乙方按要求分批次进行供货履约，履约完毕并验收合格后，乙方按照合同约定价分批次提供对应金额发票后，甲方采用银行转账的方式，分批次支付对应款项。待全部供货履约完毕后，甲方配合乙方退还履约保函。若乙方未向甲方出具全额增值税普通发票，甲方有权推迟付款，由此造成的损失，由乙方自行承担。</w:t>
            </w:r>
          </w:p>
        </w:tc>
      </w:tr>
      <w:tr w14:paraId="13F94E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147" w:type="dxa"/>
            <w:tcBorders>
              <w:left w:val="single" w:color="000000" w:sz="2" w:space="0"/>
            </w:tcBorders>
            <w:vAlign w:val="center"/>
          </w:tcPr>
          <w:p w14:paraId="153473CB">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16</w:t>
            </w:r>
          </w:p>
        </w:tc>
        <w:tc>
          <w:tcPr>
            <w:tcW w:w="2223" w:type="dxa"/>
            <w:vAlign w:val="center"/>
          </w:tcPr>
          <w:p w14:paraId="75A9346A">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供货地点</w:t>
            </w:r>
          </w:p>
        </w:tc>
        <w:tc>
          <w:tcPr>
            <w:tcW w:w="6101" w:type="dxa"/>
            <w:tcBorders>
              <w:right w:val="single" w:color="000000" w:sz="2" w:space="0"/>
            </w:tcBorders>
            <w:vAlign w:val="center"/>
          </w:tcPr>
          <w:p w14:paraId="772A2E51">
            <w:pPr>
              <w:pStyle w:val="18"/>
              <w:spacing w:before="38"/>
              <w:ind w:left="108" w:right="113"/>
              <w:jc w:val="left"/>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乌鲁木齐县水西沟镇南康大道乌鲁木齐警犬训练基地。</w:t>
            </w:r>
          </w:p>
        </w:tc>
      </w:tr>
      <w:tr w14:paraId="6849D3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147" w:type="dxa"/>
            <w:tcBorders>
              <w:left w:val="single" w:color="000000" w:sz="2" w:space="0"/>
            </w:tcBorders>
            <w:vAlign w:val="center"/>
          </w:tcPr>
          <w:p w14:paraId="0CD9D7AA">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17</w:t>
            </w:r>
          </w:p>
        </w:tc>
        <w:tc>
          <w:tcPr>
            <w:tcW w:w="2223" w:type="dxa"/>
            <w:vAlign w:val="center"/>
          </w:tcPr>
          <w:p w14:paraId="29A0F142">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验收方式、验收标准及验收内容</w:t>
            </w:r>
          </w:p>
        </w:tc>
        <w:tc>
          <w:tcPr>
            <w:tcW w:w="6101" w:type="dxa"/>
            <w:tcBorders>
              <w:right w:val="single" w:color="000000" w:sz="2" w:space="0"/>
            </w:tcBorders>
          </w:tcPr>
          <w:p w14:paraId="0E9B2B02">
            <w:pPr>
              <w:pStyle w:val="18"/>
              <w:spacing w:before="38"/>
              <w:ind w:right="113"/>
              <w:jc w:val="both"/>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1.履约验收方式：</w:t>
            </w:r>
          </w:p>
          <w:p w14:paraId="12C4CD47">
            <w:pPr>
              <w:pStyle w:val="18"/>
              <w:spacing w:before="38"/>
              <w:ind w:right="113"/>
              <w:jc w:val="both"/>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 xml:space="preserve">启用一般程序按供货批次开展验收，验收由乌鲁木齐警犬训练基地牵头，山东出入境边防检查总站，新疆总站督察队、法制处、后勤保障处采购组组成验收小组开展验收，期间对应合同约定要求实地核查核对待训警犬数量、品种、履约过程资料等内容。                                          </w:t>
            </w:r>
          </w:p>
          <w:p w14:paraId="60FAE4CE">
            <w:pPr>
              <w:pStyle w:val="18"/>
              <w:spacing w:before="38"/>
              <w:ind w:right="113"/>
              <w:jc w:val="both"/>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2.履约验收程序及内容要求：</w:t>
            </w:r>
          </w:p>
          <w:p w14:paraId="785433BC">
            <w:pPr>
              <w:pStyle w:val="18"/>
              <w:spacing w:before="38"/>
              <w:ind w:right="113"/>
              <w:jc w:val="both"/>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（1）提交验收申请。按照甲方要求完成第一批、第二批供货并度过犬只环境适应期后，乙方向甲方提出验收申请，甲方应收到验收申请后7个日历日内由警犬训练基地组织验收小组开展验收。</w:t>
            </w:r>
          </w:p>
          <w:p w14:paraId="482D98E0">
            <w:pPr>
              <w:pStyle w:val="18"/>
              <w:spacing w:before="38"/>
              <w:ind w:right="113"/>
              <w:jc w:val="both"/>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2）提供验收所需资料。乙方需准备齐全的验收资料，包括但不限于动物医院（具备动物诊疗许可证资质）合格的体检报告、档案、犬只身份证明芯片、选犬记录、往来函件、供货履约时间说明或证明、适应期保障等相关资料。</w:t>
            </w:r>
          </w:p>
          <w:p w14:paraId="62D2C36D">
            <w:pPr>
              <w:pStyle w:val="18"/>
              <w:spacing w:before="38"/>
              <w:ind w:right="113"/>
              <w:jc w:val="both"/>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（3）开展验收。验收小组按照合同约定的内容对应乙方验收所供资料进行逐项核对开展项目验收。</w:t>
            </w:r>
          </w:p>
          <w:p w14:paraId="19FBEEFF">
            <w:pPr>
              <w:pStyle w:val="18"/>
              <w:spacing w:before="38"/>
              <w:ind w:right="113"/>
              <w:jc w:val="both"/>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（4）验收结束后，验收小组出具验收报告。验收小组成员根据验收情况明确验收意见，经甲乙双方确认后签字、盖章。</w:t>
            </w:r>
          </w:p>
          <w:p w14:paraId="45D37A71">
            <w:pPr>
              <w:pStyle w:val="18"/>
              <w:spacing w:before="38"/>
              <w:ind w:right="113"/>
              <w:jc w:val="both"/>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（5）验收不合格的处理。履约验收不合格的，警犬训练基地向供应商发出整改通知书，明确整改时限和整改要求，整改结束后由乙方对接甲方验收组织主体重新验收。</w:t>
            </w:r>
          </w:p>
          <w:p w14:paraId="3163185D">
            <w:pPr>
              <w:pStyle w:val="18"/>
              <w:spacing w:before="38"/>
              <w:ind w:right="113"/>
              <w:jc w:val="both"/>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 xml:space="preserve">（6）验收档案收集及保存。履约验收完成后，由甲方警犬训练基地收集验收报告留存备查。   </w:t>
            </w:r>
          </w:p>
          <w:p w14:paraId="7F7FB72A">
            <w:pPr>
              <w:pStyle w:val="18"/>
              <w:spacing w:before="38"/>
              <w:ind w:right="113"/>
              <w:jc w:val="both"/>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3、验收合格标准：</w:t>
            </w:r>
          </w:p>
          <w:p w14:paraId="645267D0">
            <w:pPr>
              <w:pStyle w:val="18"/>
              <w:spacing w:before="38"/>
              <w:ind w:right="113"/>
              <w:jc w:val="both"/>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待训警犬数量、品种等符合采购需求，动物医院（具备动物诊疗许可证资质）出具的体检报告、档案、选犬记录、往来函件、供货履约时间说明或证明、适应期保障等相关资料齐全且达到采购及响应要求视为验收合格。</w:t>
            </w:r>
          </w:p>
        </w:tc>
      </w:tr>
      <w:tr w14:paraId="4D48DD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2" w:hRule="atLeast"/>
          <w:jc w:val="center"/>
        </w:trPr>
        <w:tc>
          <w:tcPr>
            <w:tcW w:w="1147" w:type="dxa"/>
            <w:tcBorders>
              <w:left w:val="single" w:color="000000" w:sz="2" w:space="0"/>
            </w:tcBorders>
            <w:vAlign w:val="center"/>
          </w:tcPr>
          <w:p w14:paraId="78F747CC">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rPr>
              <w:t>1</w:t>
            </w:r>
            <w:r>
              <w:rPr>
                <w:rFonts w:hint="eastAsia" w:asciiTheme="minorEastAsia" w:hAnsiTheme="minorEastAsia" w:eastAsiaTheme="minorEastAsia" w:cstheme="minorEastAsia"/>
                <w:color w:val="auto"/>
                <w:spacing w:val="8"/>
                <w:sz w:val="24"/>
                <w:szCs w:val="24"/>
                <w:highlight w:val="none"/>
                <w:lang w:eastAsia="zh-CN"/>
              </w:rPr>
              <w:t>8</w:t>
            </w:r>
          </w:p>
        </w:tc>
        <w:tc>
          <w:tcPr>
            <w:tcW w:w="2223" w:type="dxa"/>
            <w:vAlign w:val="center"/>
          </w:tcPr>
          <w:p w14:paraId="330A2855">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本次采购标的所属</w:t>
            </w:r>
          </w:p>
          <w:p w14:paraId="3ED2ED21">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行业</w:t>
            </w:r>
          </w:p>
        </w:tc>
        <w:tc>
          <w:tcPr>
            <w:tcW w:w="6101" w:type="dxa"/>
            <w:tcBorders>
              <w:right w:val="single" w:color="000000" w:sz="2" w:space="0"/>
            </w:tcBorders>
          </w:tcPr>
          <w:p w14:paraId="3B4EDA1A">
            <w:pPr>
              <w:pStyle w:val="18"/>
              <w:spacing w:before="271" w:line="227" w:lineRule="auto"/>
              <w:ind w:left="113"/>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9"/>
                <w:sz w:val="24"/>
                <w:szCs w:val="24"/>
                <w:highlight w:val="none"/>
                <w:lang w:eastAsia="zh-CN"/>
              </w:rPr>
              <w:t>其它未列明行业</w:t>
            </w:r>
          </w:p>
        </w:tc>
      </w:tr>
      <w:tr w14:paraId="134940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5" w:hRule="atLeast"/>
          <w:jc w:val="center"/>
        </w:trPr>
        <w:tc>
          <w:tcPr>
            <w:tcW w:w="1147" w:type="dxa"/>
            <w:tcBorders>
              <w:left w:val="single" w:color="000000" w:sz="2" w:space="0"/>
            </w:tcBorders>
            <w:vAlign w:val="center"/>
          </w:tcPr>
          <w:p w14:paraId="7178BBD0">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rPr>
              <w:t>1</w:t>
            </w:r>
            <w:r>
              <w:rPr>
                <w:rFonts w:hint="eastAsia" w:asciiTheme="minorEastAsia" w:hAnsiTheme="minorEastAsia" w:eastAsiaTheme="minorEastAsia" w:cstheme="minorEastAsia"/>
                <w:color w:val="auto"/>
                <w:spacing w:val="8"/>
                <w:sz w:val="24"/>
                <w:szCs w:val="24"/>
                <w:highlight w:val="none"/>
                <w:lang w:eastAsia="zh-CN"/>
              </w:rPr>
              <w:t>9</w:t>
            </w:r>
          </w:p>
        </w:tc>
        <w:tc>
          <w:tcPr>
            <w:tcW w:w="2223" w:type="dxa"/>
            <w:vAlign w:val="center"/>
          </w:tcPr>
          <w:p w14:paraId="3357DA99">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rPr>
              <w:t>采购预算</w:t>
            </w:r>
            <w:r>
              <w:rPr>
                <w:rFonts w:hint="eastAsia" w:asciiTheme="minorEastAsia" w:hAnsiTheme="minorEastAsia" w:eastAsiaTheme="minorEastAsia" w:cstheme="minorEastAsia"/>
                <w:color w:val="auto"/>
                <w:spacing w:val="8"/>
                <w:sz w:val="24"/>
                <w:szCs w:val="24"/>
                <w:highlight w:val="none"/>
                <w:lang w:eastAsia="zh-CN"/>
              </w:rPr>
              <w:t>及最高限价</w:t>
            </w:r>
          </w:p>
        </w:tc>
        <w:tc>
          <w:tcPr>
            <w:tcW w:w="6101" w:type="dxa"/>
            <w:tcBorders>
              <w:right w:val="single" w:color="000000" w:sz="2" w:space="0"/>
            </w:tcBorders>
          </w:tcPr>
          <w:p w14:paraId="0ED7098E">
            <w:pPr>
              <w:pStyle w:val="18"/>
              <w:keepNext w:val="0"/>
              <w:keepLines w:val="0"/>
              <w:pageBreakBefore w:val="0"/>
              <w:widowControl/>
              <w:kinsoku w:val="0"/>
              <w:wordWrap/>
              <w:overflowPunct/>
              <w:topLinePunct w:val="0"/>
              <w:autoSpaceDE w:val="0"/>
              <w:autoSpaceDN w:val="0"/>
              <w:bidi w:val="0"/>
              <w:adjustRightInd w:val="0"/>
              <w:snapToGrid w:val="0"/>
              <w:spacing w:line="228" w:lineRule="auto"/>
              <w:ind w:left="0"/>
              <w:textAlignment w:val="baseline"/>
              <w:rPr>
                <w:rFonts w:hint="eastAsia" w:asciiTheme="minorEastAsia" w:hAnsiTheme="minorEastAsia" w:eastAsiaTheme="minorEastAsia" w:cstheme="minorEastAsia"/>
                <w:b/>
                <w:bCs/>
                <w:color w:val="auto"/>
                <w:spacing w:val="9"/>
                <w:sz w:val="24"/>
                <w:szCs w:val="24"/>
                <w:highlight w:val="none"/>
                <w:lang w:eastAsia="zh-CN"/>
              </w:rPr>
            </w:pPr>
            <w:r>
              <w:rPr>
                <w:rFonts w:hint="eastAsia" w:asciiTheme="minorEastAsia" w:hAnsiTheme="minorEastAsia" w:eastAsiaTheme="minorEastAsia" w:cstheme="minorEastAsia"/>
                <w:b/>
                <w:bCs/>
                <w:color w:val="auto"/>
                <w:spacing w:val="9"/>
                <w:sz w:val="24"/>
                <w:szCs w:val="24"/>
                <w:highlight w:val="none"/>
                <w:lang w:eastAsia="zh-CN"/>
              </w:rPr>
              <w:t xml:space="preserve">预（概）算： 156万元   </w:t>
            </w:r>
          </w:p>
          <w:p w14:paraId="1E14DB70">
            <w:pPr>
              <w:pStyle w:val="18"/>
              <w:keepNext w:val="0"/>
              <w:keepLines w:val="0"/>
              <w:pageBreakBefore w:val="0"/>
              <w:widowControl/>
              <w:kinsoku w:val="0"/>
              <w:wordWrap/>
              <w:overflowPunct/>
              <w:topLinePunct w:val="0"/>
              <w:autoSpaceDE w:val="0"/>
              <w:autoSpaceDN w:val="0"/>
              <w:bidi w:val="0"/>
              <w:adjustRightInd w:val="0"/>
              <w:snapToGrid w:val="0"/>
              <w:spacing w:line="228" w:lineRule="auto"/>
              <w:ind w:left="0"/>
              <w:textAlignment w:val="baseline"/>
              <w:rPr>
                <w:rFonts w:hint="eastAsia" w:asciiTheme="minorEastAsia" w:hAnsiTheme="minorEastAsia" w:eastAsiaTheme="minorEastAsia" w:cstheme="minorEastAsia"/>
                <w:b/>
                <w:bCs/>
                <w:color w:val="auto"/>
                <w:spacing w:val="9"/>
                <w:sz w:val="24"/>
                <w:szCs w:val="24"/>
                <w:highlight w:val="none"/>
                <w:lang w:eastAsia="zh-CN"/>
              </w:rPr>
            </w:pPr>
            <w:r>
              <w:rPr>
                <w:rFonts w:hint="eastAsia" w:asciiTheme="minorEastAsia" w:hAnsiTheme="minorEastAsia" w:eastAsiaTheme="minorEastAsia" w:cstheme="minorEastAsia"/>
                <w:b/>
                <w:bCs/>
                <w:color w:val="auto"/>
                <w:spacing w:val="9"/>
                <w:sz w:val="24"/>
                <w:szCs w:val="24"/>
                <w:highlight w:val="none"/>
                <w:lang w:eastAsia="zh-CN"/>
              </w:rPr>
              <w:t xml:space="preserve">最高限价： 152.8万元  </w:t>
            </w:r>
          </w:p>
          <w:p w14:paraId="3E852B1F">
            <w:pPr>
              <w:pStyle w:val="18"/>
              <w:keepNext w:val="0"/>
              <w:keepLines w:val="0"/>
              <w:pageBreakBefore w:val="0"/>
              <w:widowControl/>
              <w:kinsoku w:val="0"/>
              <w:wordWrap/>
              <w:overflowPunct/>
              <w:topLinePunct w:val="0"/>
              <w:autoSpaceDE w:val="0"/>
              <w:autoSpaceDN w:val="0"/>
              <w:bidi w:val="0"/>
              <w:adjustRightInd w:val="0"/>
              <w:snapToGrid w:val="0"/>
              <w:spacing w:line="228" w:lineRule="auto"/>
              <w:ind w:left="0"/>
              <w:textAlignment w:val="baseline"/>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供应商在报价时，总价不得超过采购预算，超出采购预算做无效标处理；（本项目设定有单价限价，供应商报价不得超出单价限价，超出单价限价做无效标处理）。</w:t>
            </w:r>
          </w:p>
        </w:tc>
      </w:tr>
      <w:tr w14:paraId="34D3CE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9" w:hRule="atLeast"/>
          <w:jc w:val="center"/>
        </w:trPr>
        <w:tc>
          <w:tcPr>
            <w:tcW w:w="1147" w:type="dxa"/>
            <w:tcBorders>
              <w:left w:val="single" w:color="000000" w:sz="2" w:space="0"/>
            </w:tcBorders>
            <w:vAlign w:val="center"/>
          </w:tcPr>
          <w:p w14:paraId="0523FCE5">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20</w:t>
            </w:r>
          </w:p>
        </w:tc>
        <w:tc>
          <w:tcPr>
            <w:tcW w:w="2223" w:type="dxa"/>
            <w:vAlign w:val="center"/>
          </w:tcPr>
          <w:p w14:paraId="0A7125A8">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报价说明</w:t>
            </w:r>
          </w:p>
        </w:tc>
        <w:tc>
          <w:tcPr>
            <w:tcW w:w="6101" w:type="dxa"/>
            <w:tcBorders>
              <w:right w:val="single" w:color="000000" w:sz="2" w:space="0"/>
            </w:tcBorders>
          </w:tcPr>
          <w:p w14:paraId="724D3176">
            <w:pPr>
              <w:pStyle w:val="18"/>
              <w:keepNext w:val="0"/>
              <w:keepLines w:val="0"/>
              <w:pageBreakBefore w:val="0"/>
              <w:widowControl/>
              <w:kinsoku w:val="0"/>
              <w:wordWrap/>
              <w:overflowPunct/>
              <w:topLinePunct w:val="0"/>
              <w:autoSpaceDE w:val="0"/>
              <w:autoSpaceDN w:val="0"/>
              <w:bidi w:val="0"/>
              <w:adjustRightInd w:val="0"/>
              <w:snapToGrid w:val="0"/>
              <w:spacing w:line="228" w:lineRule="auto"/>
              <w:ind w:left="0"/>
              <w:textAlignment w:val="baseline"/>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val="en-US" w:eastAsia="zh-CN"/>
              </w:rPr>
              <w:t>1、</w:t>
            </w:r>
            <w:r>
              <w:rPr>
                <w:rFonts w:hint="eastAsia" w:asciiTheme="minorEastAsia" w:hAnsiTheme="minorEastAsia" w:eastAsiaTheme="minorEastAsia" w:cstheme="minorEastAsia"/>
                <w:color w:val="auto"/>
                <w:spacing w:val="9"/>
                <w:sz w:val="24"/>
                <w:szCs w:val="24"/>
                <w:highlight w:val="none"/>
                <w:lang w:eastAsia="zh-CN"/>
              </w:rPr>
              <w:t>本项目采购方式为竞争性谈判，供应商最后报价为完成本项目的报价。最后报价是供应商响应文件的有效组成部分。</w:t>
            </w:r>
          </w:p>
          <w:p w14:paraId="2DFDA25F">
            <w:pPr>
              <w:pStyle w:val="18"/>
              <w:keepNext w:val="0"/>
              <w:keepLines w:val="0"/>
              <w:pageBreakBefore w:val="0"/>
              <w:widowControl/>
              <w:kinsoku w:val="0"/>
              <w:wordWrap/>
              <w:overflowPunct/>
              <w:topLinePunct w:val="0"/>
              <w:autoSpaceDE w:val="0"/>
              <w:autoSpaceDN w:val="0"/>
              <w:bidi w:val="0"/>
              <w:adjustRightInd w:val="0"/>
              <w:snapToGrid w:val="0"/>
              <w:spacing w:line="228" w:lineRule="auto"/>
              <w:ind w:left="0"/>
              <w:textAlignment w:val="baseline"/>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2、参加投标的供应商需在政采云平台规定 的报价时间内进行最后报价，若投标供应商未在规定报价时间内向政采云平台提交所投项目最后报价的（以政采云平台收到最后报价的时间为准） ，视为自动放弃该项目的投标。 最后报价时长截止后不做任何延长。</w:t>
            </w:r>
          </w:p>
        </w:tc>
      </w:tr>
      <w:tr w14:paraId="0180F1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1" w:hRule="atLeast"/>
          <w:jc w:val="center"/>
        </w:trPr>
        <w:tc>
          <w:tcPr>
            <w:tcW w:w="1147" w:type="dxa"/>
            <w:tcBorders>
              <w:left w:val="single" w:color="000000" w:sz="2" w:space="0"/>
            </w:tcBorders>
            <w:vAlign w:val="center"/>
          </w:tcPr>
          <w:p w14:paraId="509BFEF1">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21</w:t>
            </w:r>
          </w:p>
        </w:tc>
        <w:tc>
          <w:tcPr>
            <w:tcW w:w="2223" w:type="dxa"/>
            <w:vAlign w:val="center"/>
          </w:tcPr>
          <w:p w14:paraId="70851B58">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资金来源</w:t>
            </w:r>
          </w:p>
        </w:tc>
        <w:tc>
          <w:tcPr>
            <w:tcW w:w="6101" w:type="dxa"/>
            <w:tcBorders>
              <w:right w:val="single" w:color="000000" w:sz="2" w:space="0"/>
            </w:tcBorders>
            <w:vAlign w:val="center"/>
          </w:tcPr>
          <w:p w14:paraId="3D7D6E5F">
            <w:pPr>
              <w:textAlignment w:val="center"/>
              <w:rPr>
                <w:rFonts w:hint="eastAsia" w:asciiTheme="minorEastAsia" w:hAnsiTheme="minorEastAsia" w:eastAsiaTheme="minorEastAsia" w:cstheme="minorEastAsia"/>
                <w:color w:val="auto"/>
                <w:spacing w:val="20"/>
                <w:sz w:val="24"/>
                <w:szCs w:val="24"/>
                <w:highlight w:val="none"/>
                <w14:textOutline w14:w="4394" w14:cap="flat" w14:cmpd="sng" w14:algn="ctr">
                  <w14:solidFill>
                    <w14:srgbClr w14:val="000000"/>
                  </w14:solidFill>
                  <w14:prstDash w14:val="solid"/>
                  <w14:miter w14:val="0"/>
                </w14:textOutline>
              </w:rPr>
            </w:pPr>
            <w:r>
              <w:rPr>
                <w:rFonts w:hint="eastAsia" w:asciiTheme="minorEastAsia" w:hAnsiTheme="minorEastAsia" w:eastAsiaTheme="minorEastAsia" w:cstheme="minorEastAsia"/>
                <w:color w:val="auto"/>
                <w:sz w:val="24"/>
                <w:szCs w:val="24"/>
                <w:highlight w:val="none"/>
                <w:lang w:eastAsia="zh-CN"/>
              </w:rPr>
              <w:t>中央</w:t>
            </w:r>
            <w:r>
              <w:rPr>
                <w:rFonts w:hint="eastAsia" w:asciiTheme="minorEastAsia" w:hAnsiTheme="minorEastAsia" w:eastAsiaTheme="minorEastAsia" w:cstheme="minorEastAsia"/>
                <w:color w:val="auto"/>
                <w:sz w:val="24"/>
                <w:szCs w:val="24"/>
                <w:highlight w:val="none"/>
              </w:rPr>
              <w:t>财政资金</w:t>
            </w:r>
          </w:p>
        </w:tc>
      </w:tr>
      <w:tr w14:paraId="046167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7" w:hRule="atLeast"/>
          <w:jc w:val="center"/>
        </w:trPr>
        <w:tc>
          <w:tcPr>
            <w:tcW w:w="1147" w:type="dxa"/>
            <w:tcBorders>
              <w:left w:val="single" w:color="000000" w:sz="2" w:space="0"/>
            </w:tcBorders>
            <w:vAlign w:val="center"/>
          </w:tcPr>
          <w:p w14:paraId="5CA4462A">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22</w:t>
            </w:r>
          </w:p>
        </w:tc>
        <w:tc>
          <w:tcPr>
            <w:tcW w:w="2223" w:type="dxa"/>
            <w:vAlign w:val="center"/>
          </w:tcPr>
          <w:p w14:paraId="5712C4CF">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lang w:eastAsia="zh-CN"/>
              </w:rPr>
              <w:t>采购代理</w:t>
            </w:r>
            <w:r>
              <w:rPr>
                <w:rFonts w:hint="eastAsia" w:asciiTheme="minorEastAsia" w:hAnsiTheme="minorEastAsia" w:eastAsiaTheme="minorEastAsia" w:cstheme="minorEastAsia"/>
                <w:color w:val="auto"/>
                <w:spacing w:val="8"/>
                <w:sz w:val="24"/>
                <w:szCs w:val="24"/>
                <w:highlight w:val="none"/>
              </w:rPr>
              <w:t>服务费</w:t>
            </w:r>
          </w:p>
        </w:tc>
        <w:tc>
          <w:tcPr>
            <w:tcW w:w="6101" w:type="dxa"/>
            <w:tcBorders>
              <w:right w:val="single" w:color="000000" w:sz="2" w:space="0"/>
            </w:tcBorders>
            <w:vAlign w:val="center"/>
          </w:tcPr>
          <w:p w14:paraId="10E222BE">
            <w:pPr>
              <w:pStyle w:val="18"/>
              <w:kinsoku/>
              <w:ind w:left="44" w:leftChars="20" w:hanging="2"/>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本项目招标代理服务费：采购代理服务费由成交供应商向采购代理机构支付，采购代理服务费参照以下标准按差额定率累进计算。例如：某货物类采购项目中标（成交）金额1200万元，计算招标代理服务费为：100万元×1.5%=1.5万元；（500-100）万元×1.1%=4.4万元；（1000-500）万元×0.8%=4万元；（1200-1000）万元×0.5%=1万元；合计收费=1.5+4.4+4+1=10.9万元。</w:t>
            </w:r>
          </w:p>
          <w:tbl>
            <w:tblPr>
              <w:tblStyle w:val="14"/>
              <w:tblW w:w="4632" w:type="pct"/>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2770"/>
              <w:gridCol w:w="904"/>
              <w:gridCol w:w="983"/>
              <w:gridCol w:w="960"/>
            </w:tblGrid>
            <w:tr w14:paraId="223977B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17" w:hRule="atLeast"/>
                <w:jc w:val="center"/>
              </w:trPr>
              <w:tc>
                <w:tcPr>
                  <w:tcW w:w="2465" w:type="pct"/>
                  <w:tcBorders>
                    <w:tl2br w:val="single" w:color="auto" w:sz="4" w:space="0"/>
                  </w:tcBorders>
                </w:tcPr>
                <w:p w14:paraId="47DE0D90">
                  <w:pPr>
                    <w:shd w:val="clear" w:color="auto" w:fill="FFFFFF"/>
                    <w:spacing w:line="360" w:lineRule="auto"/>
                    <w:ind w:firstLine="480"/>
                    <w:rPr>
                      <w:rFonts w:hint="eastAsia" w:asciiTheme="minorEastAsia" w:hAnsiTheme="minorEastAsia" w:eastAsiaTheme="minorEastAsia" w:cstheme="minorEastAsia"/>
                      <w:bCs/>
                      <w:color w:val="auto"/>
                      <w:sz w:val="24"/>
                      <w:szCs w:val="24"/>
                      <w:highlight w:val="none"/>
                      <w:lang w:eastAsia="zh-CN"/>
                    </w:rPr>
                  </w:pPr>
                  <w:r>
                    <w:rPr>
                      <w:rFonts w:hint="eastAsia" w:asciiTheme="minorEastAsia" w:hAnsiTheme="minorEastAsia" w:eastAsiaTheme="minorEastAsia" w:cstheme="minorEastAsia"/>
                      <w:bCs/>
                      <w:color w:val="auto"/>
                      <w:sz w:val="24"/>
                      <w:szCs w:val="24"/>
                      <w:highlight w:val="none"/>
                      <w:lang w:eastAsia="zh-CN"/>
                    </w:rPr>
                    <w:t xml:space="preserve">             采购类别</w:t>
                  </w:r>
                </w:p>
                <w:p w14:paraId="4ADF6086">
                  <w:pPr>
                    <w:shd w:val="clear" w:color="auto" w:fill="FFFFFF"/>
                    <w:spacing w:line="360" w:lineRule="auto"/>
                    <w:ind w:firstLine="480"/>
                    <w:rPr>
                      <w:rFonts w:hint="eastAsia" w:asciiTheme="minorEastAsia" w:hAnsiTheme="minorEastAsia" w:eastAsiaTheme="minorEastAsia" w:cstheme="minorEastAsia"/>
                      <w:bCs/>
                      <w:color w:val="auto"/>
                      <w:sz w:val="24"/>
                      <w:szCs w:val="24"/>
                      <w:highlight w:val="none"/>
                      <w:lang w:eastAsia="zh-CN"/>
                    </w:rPr>
                  </w:pPr>
                  <w:r>
                    <w:rPr>
                      <w:rFonts w:hint="eastAsia" w:asciiTheme="minorEastAsia" w:hAnsiTheme="minorEastAsia" w:eastAsiaTheme="minorEastAsia" w:cstheme="minorEastAsia"/>
                      <w:bCs/>
                      <w:color w:val="auto"/>
                      <w:sz w:val="24"/>
                      <w:szCs w:val="24"/>
                      <w:highlight w:val="none"/>
                      <w:lang w:eastAsia="zh-CN"/>
                    </w:rPr>
                    <w:t>成交金额（万）</w:t>
                  </w:r>
                </w:p>
              </w:tc>
              <w:tc>
                <w:tcPr>
                  <w:tcW w:w="804" w:type="pct"/>
                  <w:vAlign w:val="center"/>
                </w:tcPr>
                <w:p w14:paraId="42E4459A">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货物取费标准</w:t>
                  </w:r>
                </w:p>
              </w:tc>
              <w:tc>
                <w:tcPr>
                  <w:tcW w:w="875" w:type="pct"/>
                  <w:vAlign w:val="center"/>
                </w:tcPr>
                <w:p w14:paraId="5DBD34F3">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服务取费标准</w:t>
                  </w:r>
                </w:p>
              </w:tc>
              <w:tc>
                <w:tcPr>
                  <w:tcW w:w="854" w:type="pct"/>
                  <w:vAlign w:val="center"/>
                </w:tcPr>
                <w:p w14:paraId="09C4ECF5">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工程取费标准</w:t>
                  </w:r>
                </w:p>
              </w:tc>
            </w:tr>
            <w:tr w14:paraId="101BEC0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09" w:hRule="atLeast"/>
                <w:jc w:val="center"/>
              </w:trPr>
              <w:tc>
                <w:tcPr>
                  <w:tcW w:w="2465" w:type="pct"/>
                </w:tcPr>
                <w:p w14:paraId="693EED6C">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100以下</w:t>
                  </w:r>
                </w:p>
              </w:tc>
              <w:tc>
                <w:tcPr>
                  <w:tcW w:w="804" w:type="pct"/>
                </w:tcPr>
                <w:p w14:paraId="408C5539">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1.5%</w:t>
                  </w:r>
                </w:p>
              </w:tc>
              <w:tc>
                <w:tcPr>
                  <w:tcW w:w="875" w:type="pct"/>
                </w:tcPr>
                <w:p w14:paraId="3FC9EB56">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1.5%</w:t>
                  </w:r>
                </w:p>
              </w:tc>
              <w:tc>
                <w:tcPr>
                  <w:tcW w:w="854" w:type="pct"/>
                </w:tcPr>
                <w:p w14:paraId="1FA08757">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1.0%</w:t>
                  </w:r>
                </w:p>
              </w:tc>
            </w:tr>
            <w:tr w14:paraId="5B3AE82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09" w:hRule="atLeast"/>
                <w:jc w:val="center"/>
              </w:trPr>
              <w:tc>
                <w:tcPr>
                  <w:tcW w:w="2465" w:type="pct"/>
                </w:tcPr>
                <w:p w14:paraId="52515248">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100-500</w:t>
                  </w:r>
                </w:p>
              </w:tc>
              <w:tc>
                <w:tcPr>
                  <w:tcW w:w="804" w:type="pct"/>
                </w:tcPr>
                <w:p w14:paraId="57027414">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1.1%</w:t>
                  </w:r>
                </w:p>
              </w:tc>
              <w:tc>
                <w:tcPr>
                  <w:tcW w:w="875" w:type="pct"/>
                </w:tcPr>
                <w:p w14:paraId="16066092">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0.8%</w:t>
                  </w:r>
                </w:p>
              </w:tc>
              <w:tc>
                <w:tcPr>
                  <w:tcW w:w="854" w:type="pct"/>
                </w:tcPr>
                <w:p w14:paraId="3B0F88A3">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0.7%</w:t>
                  </w:r>
                </w:p>
              </w:tc>
            </w:tr>
            <w:tr w14:paraId="089FA12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09" w:hRule="atLeast"/>
                <w:jc w:val="center"/>
              </w:trPr>
              <w:tc>
                <w:tcPr>
                  <w:tcW w:w="2465" w:type="pct"/>
                </w:tcPr>
                <w:p w14:paraId="2530BFED">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500-1000</w:t>
                  </w:r>
                </w:p>
              </w:tc>
              <w:tc>
                <w:tcPr>
                  <w:tcW w:w="804" w:type="pct"/>
                </w:tcPr>
                <w:p w14:paraId="7E508285">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0.8%</w:t>
                  </w:r>
                </w:p>
              </w:tc>
              <w:tc>
                <w:tcPr>
                  <w:tcW w:w="875" w:type="pct"/>
                </w:tcPr>
                <w:p w14:paraId="35A7B5BE">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0.45%</w:t>
                  </w:r>
                </w:p>
              </w:tc>
              <w:tc>
                <w:tcPr>
                  <w:tcW w:w="854" w:type="pct"/>
                </w:tcPr>
                <w:p w14:paraId="47D19D0B">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0.55%</w:t>
                  </w:r>
                </w:p>
              </w:tc>
            </w:tr>
            <w:tr w14:paraId="6C08B33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09" w:hRule="atLeast"/>
                <w:jc w:val="center"/>
              </w:trPr>
              <w:tc>
                <w:tcPr>
                  <w:tcW w:w="2465" w:type="pct"/>
                </w:tcPr>
                <w:p w14:paraId="6A9C7685">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1000-5000</w:t>
                  </w:r>
                </w:p>
              </w:tc>
              <w:tc>
                <w:tcPr>
                  <w:tcW w:w="804" w:type="pct"/>
                </w:tcPr>
                <w:p w14:paraId="4E63BE40">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0.5%</w:t>
                  </w:r>
                </w:p>
              </w:tc>
              <w:tc>
                <w:tcPr>
                  <w:tcW w:w="875" w:type="pct"/>
                </w:tcPr>
                <w:p w14:paraId="73B2BC27">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0.25%</w:t>
                  </w:r>
                </w:p>
              </w:tc>
              <w:tc>
                <w:tcPr>
                  <w:tcW w:w="854" w:type="pct"/>
                </w:tcPr>
                <w:p w14:paraId="19A0DDA0">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0.35%</w:t>
                  </w:r>
                </w:p>
              </w:tc>
            </w:tr>
            <w:tr w14:paraId="5037B59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18" w:hRule="atLeast"/>
                <w:jc w:val="center"/>
              </w:trPr>
              <w:tc>
                <w:tcPr>
                  <w:tcW w:w="2465" w:type="pct"/>
                </w:tcPr>
                <w:p w14:paraId="4A30F740">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5000-10000</w:t>
                  </w:r>
                </w:p>
              </w:tc>
              <w:tc>
                <w:tcPr>
                  <w:tcW w:w="804" w:type="pct"/>
                </w:tcPr>
                <w:p w14:paraId="57E556C5">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0.25%</w:t>
                  </w:r>
                </w:p>
              </w:tc>
              <w:tc>
                <w:tcPr>
                  <w:tcW w:w="875" w:type="pct"/>
                </w:tcPr>
                <w:p w14:paraId="3163848F">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0.1%</w:t>
                  </w:r>
                </w:p>
              </w:tc>
              <w:tc>
                <w:tcPr>
                  <w:tcW w:w="854" w:type="pct"/>
                </w:tcPr>
                <w:p w14:paraId="11346F43">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0.2%</w:t>
                  </w:r>
                </w:p>
              </w:tc>
            </w:tr>
            <w:tr w14:paraId="23349D5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09" w:hRule="atLeast"/>
                <w:jc w:val="center"/>
              </w:trPr>
              <w:tc>
                <w:tcPr>
                  <w:tcW w:w="2465" w:type="pct"/>
                </w:tcPr>
                <w:p w14:paraId="33D49557">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10000-100000</w:t>
                  </w:r>
                </w:p>
              </w:tc>
              <w:tc>
                <w:tcPr>
                  <w:tcW w:w="804" w:type="pct"/>
                </w:tcPr>
                <w:p w14:paraId="1BA814F5">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0.05%</w:t>
                  </w:r>
                </w:p>
              </w:tc>
              <w:tc>
                <w:tcPr>
                  <w:tcW w:w="875" w:type="pct"/>
                </w:tcPr>
                <w:p w14:paraId="48ADFB61">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0.05%</w:t>
                  </w:r>
                </w:p>
              </w:tc>
              <w:tc>
                <w:tcPr>
                  <w:tcW w:w="854" w:type="pct"/>
                </w:tcPr>
                <w:p w14:paraId="48FAC272">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0.05%</w:t>
                  </w:r>
                </w:p>
              </w:tc>
            </w:tr>
            <w:tr w14:paraId="02F24B3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28" w:hRule="atLeast"/>
                <w:jc w:val="center"/>
              </w:trPr>
              <w:tc>
                <w:tcPr>
                  <w:tcW w:w="2465" w:type="pct"/>
                </w:tcPr>
                <w:p w14:paraId="1989A12D">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100000以上</w:t>
                  </w:r>
                </w:p>
              </w:tc>
              <w:tc>
                <w:tcPr>
                  <w:tcW w:w="804" w:type="pct"/>
                </w:tcPr>
                <w:p w14:paraId="5F530045">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0.01%</w:t>
                  </w:r>
                </w:p>
              </w:tc>
              <w:tc>
                <w:tcPr>
                  <w:tcW w:w="875" w:type="pct"/>
                </w:tcPr>
                <w:p w14:paraId="54EE94A1">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0.01%</w:t>
                  </w:r>
                </w:p>
              </w:tc>
              <w:tc>
                <w:tcPr>
                  <w:tcW w:w="854" w:type="pct"/>
                </w:tcPr>
                <w:p w14:paraId="3BF7C8FE">
                  <w:pPr>
                    <w:shd w:val="clear" w:color="auto" w:fill="FFFFFF"/>
                    <w:spacing w:line="36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0.01%</w:t>
                  </w:r>
                </w:p>
              </w:tc>
            </w:tr>
          </w:tbl>
          <w:p w14:paraId="21DD1C2E">
            <w:pPr>
              <w:textAlignment w:val="center"/>
              <w:rPr>
                <w:rFonts w:hint="eastAsia" w:asciiTheme="minorEastAsia" w:hAnsiTheme="minorEastAsia" w:eastAsiaTheme="minorEastAsia" w:cstheme="minorEastAsia"/>
                <w:color w:val="auto"/>
                <w:spacing w:val="20"/>
                <w:sz w:val="24"/>
                <w:szCs w:val="24"/>
                <w:highlight w:val="none"/>
                <w14:textOutline w14:w="4394" w14:cap="flat" w14:cmpd="sng" w14:algn="ctr">
                  <w14:solidFill>
                    <w14:srgbClr w14:val="000000"/>
                  </w14:solidFill>
                  <w14:prstDash w14:val="solid"/>
                  <w14:miter w14:val="0"/>
                </w14:textOutline>
              </w:rPr>
            </w:pPr>
          </w:p>
        </w:tc>
      </w:tr>
      <w:tr w14:paraId="594F3D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8" w:hRule="atLeast"/>
          <w:jc w:val="center"/>
        </w:trPr>
        <w:tc>
          <w:tcPr>
            <w:tcW w:w="1147" w:type="dxa"/>
            <w:tcBorders>
              <w:left w:val="single" w:color="000000" w:sz="2" w:space="0"/>
            </w:tcBorders>
            <w:vAlign w:val="center"/>
          </w:tcPr>
          <w:p w14:paraId="634220C7">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rPr>
              <w:t>2</w:t>
            </w:r>
            <w:r>
              <w:rPr>
                <w:rFonts w:hint="eastAsia" w:asciiTheme="minorEastAsia" w:hAnsiTheme="minorEastAsia" w:eastAsiaTheme="minorEastAsia" w:cstheme="minorEastAsia"/>
                <w:color w:val="auto"/>
                <w:spacing w:val="8"/>
                <w:sz w:val="24"/>
                <w:szCs w:val="24"/>
                <w:highlight w:val="none"/>
                <w:lang w:eastAsia="zh-CN"/>
              </w:rPr>
              <w:t>3</w:t>
            </w:r>
          </w:p>
        </w:tc>
        <w:tc>
          <w:tcPr>
            <w:tcW w:w="2223" w:type="dxa"/>
            <w:vAlign w:val="center"/>
          </w:tcPr>
          <w:p w14:paraId="7CA0D178">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本项目所属行业</w:t>
            </w:r>
          </w:p>
        </w:tc>
        <w:tc>
          <w:tcPr>
            <w:tcW w:w="6101" w:type="dxa"/>
            <w:tcBorders>
              <w:right w:val="single" w:color="000000" w:sz="2" w:space="0"/>
            </w:tcBorders>
            <w:vAlign w:val="center"/>
          </w:tcPr>
          <w:p w14:paraId="305B556A">
            <w:pPr>
              <w:textAlignment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（1）根据工信部等部委发布的《关于印发中小企业划型标准规定的通知》（工信部联企业[2011]300号）规定执行；</w:t>
            </w:r>
          </w:p>
          <w:p w14:paraId="47C06ECD">
            <w:pPr>
              <w:textAlignment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（2）本项目所属行业：其他未列明行业。从业人员300人以下的为中小微型企业。其中，从业人员100人及以上的为中型企业；从业人员10人及以上的为小型企业；从业人员10人以下的为微型企业。</w:t>
            </w:r>
          </w:p>
          <w:p w14:paraId="62D42ABD">
            <w:pPr>
              <w:textAlignment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3）依据财政部司法部《关于政府采购支持监狱企业发展有关问题的通知》（财库[2014]68号）的规定，监狱企业视同小型、微型企业，享受预留份额、评审中价格扣除等促进中小企业发展的政府采购政策。监狱企业应当提供由省级以上监狱管理局、戒毒管理局(含新疆生产建设兵团)出具的属于监狱企业的证明文件。依据财政部 民政部 中国残疾人联合会《关于促进残疾人就业政府采购政策的通知》（财库[2017]141号）的规定，残疾人福利性单位视同小型、微型企业，享受预留份额、评审中价格扣除等促进中小企业发展的政府采购政策。</w:t>
            </w:r>
          </w:p>
          <w:p w14:paraId="25F63319">
            <w:pPr>
              <w:textAlignment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供应商应当对《中小企业声明函》、监狱企业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643A65F2">
            <w:pPr>
              <w:textAlignment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（4）根据中华人民共和国财政部、中华人民共和国工业和信息化部关于印发《政府采购促进中小企业发展管理办法》（财库[2020]46号）文件及财库〔2022〕19号的规定，属于中小企业评审优惠内容及幅度如下：</w:t>
            </w:r>
          </w:p>
          <w:p w14:paraId="41386C78">
            <w:pPr>
              <w:textAlignment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（一）中小企业（含中型、小型、微型企业）应当同时符合以下条件：</w:t>
            </w:r>
          </w:p>
          <w:p w14:paraId="78F7CA01">
            <w:pPr>
              <w:textAlignment w:val="center"/>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eastAsia="zh-CN"/>
              </w:rPr>
              <w:t xml:space="preserve">①在货物采购项目中，货物由中小企业制造，即货物由中小企业生产且使用该中小企业商号或者注册商标； </w:t>
            </w:r>
          </w:p>
          <w:p w14:paraId="0F23A2C5">
            <w:pPr>
              <w:textAlignment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 xml:space="preserve">②在工程采购项目中，工程由中小企业承建，即工程施工单位为中小企业； </w:t>
            </w:r>
          </w:p>
          <w:p w14:paraId="66B98901">
            <w:pPr>
              <w:textAlignment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③在服务采购项目中，服务由中小企业承接，即提供服务的人员为中小企业依照《中华人民共和国劳动合同法》订立劳动合同的从业人员。</w:t>
            </w:r>
          </w:p>
          <w:p w14:paraId="624C3CE9">
            <w:pPr>
              <w:textAlignment w:val="center"/>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eastAsia="zh-CN"/>
              </w:rPr>
              <w:t>在货物采购项目中，供应商提供的货物既有中小企业制造货物，也有大型企业制造货物的，不享受本办法规定的中小企业扶持政策。</w:t>
            </w:r>
          </w:p>
          <w:p w14:paraId="59A94865">
            <w:pPr>
              <w:textAlignment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以联合体形式参加政府采购活动，联合体各方均为中小企业的，联合体视同中小企业。其中，联合体各方均为小微企业的，联合体视同小微企业。</w:t>
            </w:r>
          </w:p>
          <w:p w14:paraId="0CC8CC79">
            <w:pPr>
              <w:textAlignment w:val="center"/>
              <w:rPr>
                <w:rFonts w:hint="eastAsia" w:asciiTheme="minorEastAsia" w:hAnsiTheme="minorEastAsia" w:eastAsiaTheme="minorEastAsia" w:cstheme="minorEastAsia"/>
                <w:color w:val="auto"/>
                <w:spacing w:val="20"/>
                <w:sz w:val="24"/>
                <w:szCs w:val="24"/>
                <w:highlight w:val="none"/>
                <w:lang w:eastAsia="zh-CN"/>
                <w14:textOutline w14:w="4394" w14:cap="flat" w14:cmpd="sng" w14:algn="ctr">
                  <w14:solidFill>
                    <w14:srgbClr w14:val="000000"/>
                  </w14:solidFill>
                  <w14:prstDash w14:val="solid"/>
                  <w14:miter w14:val="0"/>
                </w14:textOutline>
              </w:rPr>
            </w:pPr>
            <w:r>
              <w:rPr>
                <w:rFonts w:hint="eastAsia" w:asciiTheme="minorEastAsia" w:hAnsiTheme="minorEastAsia" w:eastAsiaTheme="minorEastAsia" w:cstheme="minorEastAsia"/>
                <w:color w:val="auto"/>
                <w:sz w:val="24"/>
                <w:szCs w:val="24"/>
                <w:highlight w:val="none"/>
                <w:lang w:eastAsia="zh-CN"/>
              </w:rPr>
              <w:t>（二）中小企业适用价格扣除办法时应提供的相关资料：《中小企业声明函》</w:t>
            </w:r>
          </w:p>
        </w:tc>
      </w:tr>
      <w:tr w14:paraId="3CF4B2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8" w:hRule="atLeast"/>
          <w:jc w:val="center"/>
        </w:trPr>
        <w:tc>
          <w:tcPr>
            <w:tcW w:w="1147" w:type="dxa"/>
            <w:tcBorders>
              <w:left w:val="single" w:color="000000" w:sz="2" w:space="0"/>
            </w:tcBorders>
            <w:vAlign w:val="center"/>
          </w:tcPr>
          <w:p w14:paraId="6E9E196D">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24</w:t>
            </w:r>
          </w:p>
        </w:tc>
        <w:tc>
          <w:tcPr>
            <w:tcW w:w="2223" w:type="dxa"/>
            <w:vAlign w:val="center"/>
          </w:tcPr>
          <w:p w14:paraId="6A6E7B13">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lang w:eastAsia="zh-CN"/>
              </w:rPr>
              <w:t>同品牌产品评审规则</w:t>
            </w:r>
          </w:p>
        </w:tc>
        <w:tc>
          <w:tcPr>
            <w:tcW w:w="6101" w:type="dxa"/>
            <w:tcBorders>
              <w:right w:val="single" w:color="000000" w:sz="2" w:space="0"/>
            </w:tcBorders>
            <w:vAlign w:val="center"/>
          </w:tcPr>
          <w:p w14:paraId="0C37F375">
            <w:pPr>
              <w:textAlignment w:val="center"/>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eastAsia="zh-CN"/>
              </w:rPr>
              <w:t>本项目核心产品：犬</w:t>
            </w:r>
          </w:p>
          <w:p w14:paraId="534CE4B3">
            <w:pPr>
              <w:textAlignment w:val="center"/>
              <w:rPr>
                <w:rFonts w:hint="eastAsia" w:asciiTheme="minorEastAsia" w:hAnsiTheme="minorEastAsia" w:eastAsiaTheme="minorEastAsia" w:cstheme="minorEastAsia"/>
                <w:color w:val="auto"/>
                <w:spacing w:val="20"/>
                <w:sz w:val="24"/>
                <w:szCs w:val="24"/>
                <w:highlight w:val="none"/>
                <w:lang w:eastAsia="zh-CN"/>
                <w14:textOutline w14:w="4394" w14:cap="flat" w14:cmpd="sng" w14:algn="ctr">
                  <w14:solidFill>
                    <w14:srgbClr w14:val="000000"/>
                  </w14:solidFill>
                  <w14:prstDash w14:val="solid"/>
                  <w14:miter w14:val="0"/>
                </w14:textOutline>
              </w:rPr>
            </w:pPr>
            <w:r>
              <w:rPr>
                <w:rFonts w:hint="eastAsia" w:asciiTheme="minorEastAsia" w:hAnsiTheme="minorEastAsia" w:eastAsiaTheme="minorEastAsia" w:cstheme="minorEastAsia"/>
                <w:color w:val="auto"/>
                <w:sz w:val="24"/>
                <w:szCs w:val="24"/>
                <w:highlight w:val="none"/>
                <w:lang w:eastAsia="zh-CN"/>
              </w:rPr>
              <w:t>核心产品提供相同品牌产品的不同供应商参加本项目下询价的，以其中通过资格审查、符合性审查且报价最低的参加评审，报价相同的，由询价小组采取随机抽取方式确定一家供应商参与项目评审。</w:t>
            </w:r>
          </w:p>
        </w:tc>
      </w:tr>
      <w:tr w14:paraId="5D3A19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84" w:hRule="atLeast"/>
          <w:jc w:val="center"/>
        </w:trPr>
        <w:tc>
          <w:tcPr>
            <w:tcW w:w="1147" w:type="dxa"/>
            <w:tcBorders>
              <w:left w:val="single" w:color="000000" w:sz="2" w:space="0"/>
            </w:tcBorders>
            <w:vAlign w:val="center"/>
          </w:tcPr>
          <w:p w14:paraId="1B4F370F">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val="en-US" w:eastAsia="zh-CN"/>
              </w:rPr>
            </w:pPr>
            <w:r>
              <w:rPr>
                <w:rFonts w:hint="eastAsia" w:asciiTheme="minorEastAsia" w:hAnsiTheme="minorEastAsia" w:eastAsiaTheme="minorEastAsia" w:cstheme="minorEastAsia"/>
                <w:color w:val="auto"/>
                <w:spacing w:val="8"/>
                <w:sz w:val="24"/>
                <w:szCs w:val="24"/>
                <w:highlight w:val="none"/>
                <w:lang w:val="en-US" w:eastAsia="zh-CN"/>
              </w:rPr>
              <w:t>25</w:t>
            </w:r>
          </w:p>
        </w:tc>
        <w:tc>
          <w:tcPr>
            <w:tcW w:w="2223" w:type="dxa"/>
            <w:vAlign w:val="center"/>
          </w:tcPr>
          <w:p w14:paraId="0E663E63">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val="en-US" w:eastAsia="zh-CN"/>
              </w:rPr>
            </w:pPr>
            <w:r>
              <w:rPr>
                <w:rFonts w:hint="eastAsia" w:asciiTheme="minorEastAsia" w:hAnsiTheme="minorEastAsia" w:eastAsiaTheme="minorEastAsia" w:cstheme="minorEastAsia"/>
                <w:color w:val="auto"/>
                <w:spacing w:val="8"/>
                <w:sz w:val="24"/>
                <w:szCs w:val="24"/>
                <w:highlight w:val="none"/>
                <w:lang w:val="en-US" w:eastAsia="zh-CN"/>
              </w:rPr>
              <w:t>其他</w:t>
            </w:r>
          </w:p>
        </w:tc>
        <w:tc>
          <w:tcPr>
            <w:tcW w:w="6101" w:type="dxa"/>
            <w:tcBorders>
              <w:right w:val="single" w:color="000000" w:sz="2" w:space="0"/>
            </w:tcBorders>
          </w:tcPr>
          <w:p w14:paraId="0CEBA789">
            <w:pPr>
              <w:pStyle w:val="18"/>
              <w:spacing w:before="37" w:line="227" w:lineRule="auto"/>
              <w:ind w:left="13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5"/>
                <w:sz w:val="24"/>
                <w:szCs w:val="24"/>
                <w:highlight w:val="none"/>
                <w:lang w:eastAsia="zh-CN"/>
              </w:rPr>
              <w:t>1、当出现下列情形之一，响应文件将予以退回：</w:t>
            </w:r>
          </w:p>
          <w:p w14:paraId="76905FA8">
            <w:pPr>
              <w:pStyle w:val="18"/>
              <w:spacing w:before="27" w:line="239" w:lineRule="auto"/>
              <w:ind w:left="110" w:right="116" w:firstLine="13"/>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8"/>
                <w:sz w:val="24"/>
                <w:szCs w:val="24"/>
                <w:highlight w:val="none"/>
                <w:lang w:eastAsia="zh-CN"/>
              </w:rPr>
              <w:t>（1）投标供应商在响应文件递交截止时间前未成功上</w:t>
            </w:r>
            <w:r>
              <w:rPr>
                <w:rFonts w:hint="eastAsia" w:asciiTheme="minorEastAsia" w:hAnsiTheme="minorEastAsia" w:eastAsiaTheme="minorEastAsia" w:cstheme="minorEastAsia"/>
                <w:color w:val="auto"/>
                <w:spacing w:val="14"/>
                <w:sz w:val="24"/>
                <w:szCs w:val="24"/>
                <w:highlight w:val="none"/>
                <w:lang w:eastAsia="zh-CN"/>
              </w:rPr>
              <w:t xml:space="preserve"> </w:t>
            </w:r>
            <w:r>
              <w:rPr>
                <w:rFonts w:hint="eastAsia" w:asciiTheme="minorEastAsia" w:hAnsiTheme="minorEastAsia" w:eastAsiaTheme="minorEastAsia" w:cstheme="minorEastAsia"/>
                <w:color w:val="auto"/>
                <w:spacing w:val="8"/>
                <w:sz w:val="24"/>
                <w:szCs w:val="24"/>
                <w:highlight w:val="none"/>
                <w:lang w:eastAsia="zh-CN"/>
              </w:rPr>
              <w:t>传加密电子响应文件；</w:t>
            </w:r>
          </w:p>
          <w:p w14:paraId="23F17C16">
            <w:pPr>
              <w:pStyle w:val="18"/>
              <w:spacing w:before="26" w:line="239" w:lineRule="auto"/>
              <w:ind w:left="112" w:right="117" w:firstLine="1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9"/>
                <w:sz w:val="24"/>
                <w:szCs w:val="24"/>
                <w:highlight w:val="none"/>
                <w:lang w:eastAsia="zh-CN"/>
              </w:rPr>
              <w:t>（2）投标供应商使用解密的</w:t>
            </w:r>
            <w:r>
              <w:rPr>
                <w:rFonts w:hint="eastAsia" w:asciiTheme="minorEastAsia" w:hAnsiTheme="minorEastAsia" w:eastAsiaTheme="minorEastAsia" w:cstheme="minorEastAsia"/>
                <w:color w:val="auto"/>
                <w:sz w:val="24"/>
                <w:szCs w:val="24"/>
                <w:highlight w:val="none"/>
                <w:lang w:eastAsia="zh-CN"/>
              </w:rPr>
              <w:t>CA</w:t>
            </w:r>
            <w:r>
              <w:rPr>
                <w:rFonts w:hint="eastAsia" w:asciiTheme="minorEastAsia" w:hAnsiTheme="minorEastAsia" w:eastAsiaTheme="minorEastAsia" w:cstheme="minorEastAsia"/>
                <w:color w:val="auto"/>
                <w:spacing w:val="19"/>
                <w:sz w:val="24"/>
                <w:szCs w:val="24"/>
                <w:highlight w:val="none"/>
                <w:lang w:eastAsia="zh-CN"/>
              </w:rPr>
              <w:t>数字证书与上传加密响</w:t>
            </w:r>
            <w:r>
              <w:rPr>
                <w:rFonts w:hint="eastAsia" w:asciiTheme="minorEastAsia" w:hAnsiTheme="minorEastAsia" w:eastAsiaTheme="minorEastAsia" w:cstheme="minorEastAsia"/>
                <w:color w:val="auto"/>
                <w:spacing w:val="8"/>
                <w:sz w:val="24"/>
                <w:szCs w:val="24"/>
                <w:highlight w:val="none"/>
                <w:lang w:eastAsia="zh-CN"/>
              </w:rPr>
              <w:t xml:space="preserve"> </w:t>
            </w:r>
            <w:r>
              <w:rPr>
                <w:rFonts w:hint="eastAsia" w:asciiTheme="minorEastAsia" w:hAnsiTheme="minorEastAsia" w:eastAsiaTheme="minorEastAsia" w:cstheme="minorEastAsia"/>
                <w:color w:val="auto"/>
                <w:spacing w:val="7"/>
                <w:sz w:val="24"/>
                <w:szCs w:val="24"/>
                <w:highlight w:val="none"/>
                <w:lang w:eastAsia="zh-CN"/>
              </w:rPr>
              <w:t>应文件使用的</w:t>
            </w:r>
            <w:r>
              <w:rPr>
                <w:rFonts w:hint="eastAsia" w:asciiTheme="minorEastAsia" w:hAnsiTheme="minorEastAsia" w:eastAsiaTheme="minorEastAsia" w:cstheme="minorEastAsia"/>
                <w:color w:val="auto"/>
                <w:sz w:val="24"/>
                <w:szCs w:val="24"/>
                <w:highlight w:val="none"/>
                <w:lang w:eastAsia="zh-CN"/>
              </w:rPr>
              <w:t>CA</w:t>
            </w:r>
            <w:r>
              <w:rPr>
                <w:rFonts w:hint="eastAsia" w:asciiTheme="minorEastAsia" w:hAnsiTheme="minorEastAsia" w:eastAsiaTheme="minorEastAsia" w:cstheme="minorEastAsia"/>
                <w:color w:val="auto"/>
                <w:spacing w:val="7"/>
                <w:sz w:val="24"/>
                <w:szCs w:val="24"/>
                <w:highlight w:val="none"/>
                <w:lang w:eastAsia="zh-CN"/>
              </w:rPr>
              <w:t>数字证书不一致；</w:t>
            </w:r>
          </w:p>
          <w:p w14:paraId="33B28DF3">
            <w:pPr>
              <w:pStyle w:val="18"/>
              <w:spacing w:before="30" w:line="238" w:lineRule="auto"/>
              <w:ind w:left="117" w:right="114" w:firstLine="6"/>
              <w:rPr>
                <w:rFonts w:hint="eastAsia" w:asciiTheme="minorEastAsia" w:hAnsiTheme="minorEastAsia" w:eastAsiaTheme="minorEastAsia" w:cstheme="minorEastAsia"/>
                <w:color w:val="auto"/>
                <w:spacing w:val="17"/>
                <w:sz w:val="24"/>
                <w:szCs w:val="24"/>
                <w:highlight w:val="none"/>
                <w:lang w:eastAsia="zh-CN"/>
              </w:rPr>
            </w:pPr>
            <w:r>
              <w:rPr>
                <w:rFonts w:hint="eastAsia" w:asciiTheme="minorEastAsia" w:hAnsiTheme="minorEastAsia" w:eastAsiaTheme="minorEastAsia" w:cstheme="minorEastAsia"/>
                <w:color w:val="auto"/>
                <w:spacing w:val="17"/>
                <w:sz w:val="24"/>
                <w:szCs w:val="24"/>
                <w:highlight w:val="none"/>
                <w:lang w:eastAsia="zh-CN"/>
              </w:rPr>
              <w:t>（3）投标供应商解密时</w:t>
            </w:r>
            <w:r>
              <w:rPr>
                <w:rFonts w:hint="eastAsia" w:asciiTheme="minorEastAsia" w:hAnsiTheme="minorEastAsia" w:eastAsiaTheme="minorEastAsia" w:cstheme="minorEastAsia"/>
                <w:color w:val="auto"/>
                <w:sz w:val="24"/>
                <w:szCs w:val="24"/>
                <w:highlight w:val="none"/>
                <w:lang w:eastAsia="zh-CN"/>
              </w:rPr>
              <w:t>CA</w:t>
            </w:r>
            <w:r>
              <w:rPr>
                <w:rFonts w:hint="eastAsia" w:asciiTheme="minorEastAsia" w:hAnsiTheme="minorEastAsia" w:eastAsiaTheme="minorEastAsia" w:cstheme="minorEastAsia"/>
                <w:color w:val="auto"/>
                <w:spacing w:val="17"/>
                <w:sz w:val="24"/>
                <w:szCs w:val="24"/>
                <w:highlight w:val="none"/>
                <w:lang w:eastAsia="zh-CN"/>
              </w:rPr>
              <w:t>数字证书已过期，</w:t>
            </w:r>
            <w:r>
              <w:rPr>
                <w:rFonts w:hint="eastAsia" w:asciiTheme="minorEastAsia" w:hAnsiTheme="minorEastAsia" w:eastAsiaTheme="minorEastAsia" w:cstheme="minorEastAsia"/>
                <w:color w:val="auto"/>
                <w:spacing w:val="-58"/>
                <w:sz w:val="24"/>
                <w:szCs w:val="24"/>
                <w:highlight w:val="none"/>
                <w:lang w:eastAsia="zh-CN"/>
              </w:rPr>
              <w:t xml:space="preserve"> </w:t>
            </w:r>
            <w:r>
              <w:rPr>
                <w:rFonts w:hint="eastAsia" w:asciiTheme="minorEastAsia" w:hAnsiTheme="minorEastAsia" w:eastAsiaTheme="minorEastAsia" w:cstheme="minorEastAsia"/>
                <w:color w:val="auto"/>
                <w:spacing w:val="17"/>
                <w:sz w:val="24"/>
                <w:szCs w:val="24"/>
                <w:highlight w:val="none"/>
                <w:lang w:eastAsia="zh-CN"/>
              </w:rPr>
              <w:t>导致无法</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5"/>
                <w:sz w:val="24"/>
                <w:szCs w:val="24"/>
                <w:highlight w:val="none"/>
                <w:lang w:eastAsia="zh-CN"/>
              </w:rPr>
              <w:t>正常解密；</w:t>
            </w:r>
          </w:p>
          <w:p w14:paraId="52048029">
            <w:pPr>
              <w:pStyle w:val="18"/>
              <w:spacing w:before="31" w:line="239" w:lineRule="auto"/>
              <w:ind w:left="118" w:right="172" w:firstLine="5"/>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7"/>
                <w:sz w:val="24"/>
                <w:szCs w:val="24"/>
                <w:highlight w:val="none"/>
                <w:lang w:eastAsia="zh-CN"/>
              </w:rPr>
              <w:t>（4）加密响应文件时，</w:t>
            </w:r>
            <w:r>
              <w:rPr>
                <w:rFonts w:hint="eastAsia" w:asciiTheme="minorEastAsia" w:hAnsiTheme="minorEastAsia" w:eastAsiaTheme="minorEastAsia" w:cstheme="minorEastAsia"/>
                <w:color w:val="auto"/>
                <w:sz w:val="24"/>
                <w:szCs w:val="24"/>
                <w:highlight w:val="none"/>
                <w:lang w:eastAsia="zh-CN"/>
              </w:rPr>
              <w:t>CA</w:t>
            </w:r>
            <w:r>
              <w:rPr>
                <w:rFonts w:hint="eastAsia" w:asciiTheme="minorEastAsia" w:hAnsiTheme="minorEastAsia" w:eastAsiaTheme="minorEastAsia" w:cstheme="minorEastAsia"/>
                <w:color w:val="auto"/>
                <w:spacing w:val="17"/>
                <w:sz w:val="24"/>
                <w:szCs w:val="24"/>
                <w:highlight w:val="none"/>
                <w:lang w:eastAsia="zh-CN"/>
              </w:rPr>
              <w:t>数字证书未过期，解密时，</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6"/>
                <w:sz w:val="24"/>
                <w:szCs w:val="24"/>
                <w:highlight w:val="none"/>
                <w:lang w:eastAsia="zh-CN"/>
              </w:rPr>
              <w:t>显示</w:t>
            </w:r>
            <w:r>
              <w:rPr>
                <w:rFonts w:hint="eastAsia" w:asciiTheme="minorEastAsia" w:hAnsiTheme="minorEastAsia" w:eastAsiaTheme="minorEastAsia" w:cstheme="minorEastAsia"/>
                <w:color w:val="auto"/>
                <w:sz w:val="24"/>
                <w:szCs w:val="24"/>
                <w:highlight w:val="none"/>
                <w:lang w:eastAsia="zh-CN"/>
              </w:rPr>
              <w:t>CA</w:t>
            </w:r>
            <w:r>
              <w:rPr>
                <w:rFonts w:hint="eastAsia" w:asciiTheme="minorEastAsia" w:hAnsiTheme="minorEastAsia" w:eastAsiaTheme="minorEastAsia" w:cstheme="minorEastAsia"/>
                <w:color w:val="auto"/>
                <w:spacing w:val="6"/>
                <w:sz w:val="24"/>
                <w:szCs w:val="24"/>
                <w:highlight w:val="none"/>
                <w:lang w:eastAsia="zh-CN"/>
              </w:rPr>
              <w:t>数字证书已过期，导致无法正常解密；</w:t>
            </w:r>
          </w:p>
          <w:p w14:paraId="7F9C17E7">
            <w:pPr>
              <w:pStyle w:val="18"/>
              <w:spacing w:before="27" w:line="227" w:lineRule="auto"/>
              <w:ind w:left="124"/>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6"/>
                <w:sz w:val="24"/>
                <w:szCs w:val="24"/>
                <w:highlight w:val="none"/>
                <w:lang w:eastAsia="zh-CN"/>
              </w:rPr>
              <w:t>（5）未在规定的响应文件解密时间内进行解密的；</w:t>
            </w:r>
          </w:p>
          <w:p w14:paraId="5D36977D">
            <w:pPr>
              <w:pStyle w:val="18"/>
              <w:spacing w:before="28"/>
              <w:ind w:left="115" w:right="127" w:firstLine="8"/>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35"/>
                <w:sz w:val="24"/>
                <w:szCs w:val="24"/>
                <w:highlight w:val="none"/>
                <w:lang w:eastAsia="zh-CN"/>
              </w:rPr>
              <w:t>（6</w:t>
            </w:r>
            <w:r>
              <w:rPr>
                <w:rFonts w:hint="eastAsia" w:asciiTheme="minorEastAsia" w:hAnsiTheme="minorEastAsia" w:eastAsiaTheme="minorEastAsia" w:cstheme="minorEastAsia"/>
                <w:color w:val="auto"/>
                <w:spacing w:val="-42"/>
                <w:sz w:val="24"/>
                <w:szCs w:val="24"/>
                <w:highlight w:val="none"/>
                <w:lang w:eastAsia="zh-CN"/>
              </w:rPr>
              <w:t xml:space="preserve"> </w:t>
            </w:r>
            <w:r>
              <w:rPr>
                <w:rFonts w:hint="eastAsia" w:asciiTheme="minorEastAsia" w:hAnsiTheme="minorEastAsia" w:eastAsiaTheme="minorEastAsia" w:cstheme="minorEastAsia"/>
                <w:color w:val="auto"/>
                <w:spacing w:val="35"/>
                <w:sz w:val="24"/>
                <w:szCs w:val="24"/>
                <w:highlight w:val="none"/>
                <w:lang w:eastAsia="zh-CN"/>
              </w:rPr>
              <w:t>）</w:t>
            </w:r>
            <w:r>
              <w:rPr>
                <w:rFonts w:hint="eastAsia" w:asciiTheme="minorEastAsia" w:hAnsiTheme="minorEastAsia" w:eastAsiaTheme="minorEastAsia" w:cstheme="minorEastAsia"/>
                <w:color w:val="auto"/>
                <w:spacing w:val="-63"/>
                <w:sz w:val="24"/>
                <w:szCs w:val="24"/>
                <w:highlight w:val="none"/>
                <w:lang w:eastAsia="zh-CN"/>
              </w:rPr>
              <w:t xml:space="preserve"> </w:t>
            </w:r>
            <w:r>
              <w:rPr>
                <w:rFonts w:hint="eastAsia" w:asciiTheme="minorEastAsia" w:hAnsiTheme="minorEastAsia" w:eastAsiaTheme="minorEastAsia" w:cstheme="minorEastAsia"/>
                <w:color w:val="auto"/>
                <w:spacing w:val="35"/>
                <w:sz w:val="24"/>
                <w:szCs w:val="24"/>
                <w:highlight w:val="none"/>
                <w:lang w:eastAsia="zh-CN"/>
              </w:rPr>
              <w:t>投标供应商个人原因导致无法解密的其他情</w:t>
            </w:r>
            <w:r>
              <w:rPr>
                <w:rFonts w:hint="eastAsia" w:asciiTheme="minorEastAsia" w:hAnsiTheme="minorEastAsia" w:eastAsiaTheme="minorEastAsia" w:cstheme="minorEastAsia"/>
                <w:color w:val="auto"/>
                <w:spacing w:val="-9"/>
                <w:sz w:val="24"/>
                <w:szCs w:val="24"/>
                <w:highlight w:val="none"/>
                <w:lang w:eastAsia="zh-CN"/>
              </w:rPr>
              <w:t>形。</w:t>
            </w:r>
          </w:p>
          <w:p w14:paraId="2CA40BCE">
            <w:pPr>
              <w:pStyle w:val="18"/>
              <w:spacing w:before="24" w:line="242" w:lineRule="auto"/>
              <w:ind w:left="113" w:right="117" w:firstLine="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9"/>
                <w:sz w:val="24"/>
                <w:szCs w:val="24"/>
                <w:highlight w:val="none"/>
                <w:lang w:eastAsia="zh-CN"/>
              </w:rPr>
              <w:t>2、投标供应商应在投标截止时间前将投标时使用</w:t>
            </w:r>
            <w:r>
              <w:rPr>
                <w:rFonts w:hint="eastAsia" w:asciiTheme="minorEastAsia" w:hAnsiTheme="minorEastAsia" w:eastAsiaTheme="minorEastAsia" w:cstheme="minorEastAsia"/>
                <w:color w:val="auto"/>
                <w:spacing w:val="18"/>
                <w:sz w:val="24"/>
                <w:szCs w:val="24"/>
                <w:highlight w:val="none"/>
                <w:lang w:eastAsia="zh-CN"/>
              </w:rPr>
              <w:t>的计</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15"/>
                <w:sz w:val="24"/>
                <w:szCs w:val="24"/>
                <w:highlight w:val="none"/>
                <w:lang w:eastAsia="zh-CN"/>
              </w:rPr>
              <w:t>算机安装相关的浏览器（推荐使用谷歌浏览</w:t>
            </w:r>
            <w:r>
              <w:rPr>
                <w:rFonts w:hint="eastAsia" w:asciiTheme="minorEastAsia" w:hAnsiTheme="minorEastAsia" w:eastAsiaTheme="minorEastAsia" w:cstheme="minorEastAsia"/>
                <w:color w:val="auto"/>
                <w:spacing w:val="14"/>
                <w:sz w:val="24"/>
                <w:szCs w:val="24"/>
                <w:highlight w:val="none"/>
                <w:lang w:eastAsia="zh-CN"/>
              </w:rPr>
              <w:t>器）、</w:t>
            </w:r>
            <w:r>
              <w:rPr>
                <w:rFonts w:hint="eastAsia" w:asciiTheme="minorEastAsia" w:hAnsiTheme="minorEastAsia" w:eastAsiaTheme="minorEastAsia" w:cstheme="minorEastAsia"/>
                <w:color w:val="auto"/>
                <w:sz w:val="24"/>
                <w:szCs w:val="24"/>
                <w:highlight w:val="none"/>
                <w:lang w:eastAsia="zh-CN"/>
              </w:rPr>
              <w:t>CA</w:t>
            </w:r>
            <w:r>
              <w:rPr>
                <w:rFonts w:hint="eastAsia" w:asciiTheme="minorEastAsia" w:hAnsiTheme="minorEastAsia" w:eastAsiaTheme="minorEastAsia" w:cstheme="minorEastAsia"/>
                <w:color w:val="auto"/>
                <w:spacing w:val="14"/>
                <w:sz w:val="24"/>
                <w:szCs w:val="24"/>
                <w:highlight w:val="none"/>
                <w:lang w:eastAsia="zh-CN"/>
              </w:rPr>
              <w:t>驱</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7"/>
                <w:sz w:val="24"/>
                <w:szCs w:val="24"/>
                <w:highlight w:val="none"/>
                <w:lang w:eastAsia="zh-CN"/>
              </w:rPr>
              <w:t>动等软件，方便响应文件解密时能够正常解密。</w:t>
            </w:r>
          </w:p>
          <w:p w14:paraId="6A748BA3">
            <w:pPr>
              <w:pStyle w:val="18"/>
              <w:spacing w:before="30" w:line="242" w:lineRule="auto"/>
              <w:ind w:left="113" w:right="117" w:firstLine="3"/>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9"/>
                <w:sz w:val="24"/>
                <w:szCs w:val="24"/>
                <w:highlight w:val="none"/>
                <w:lang w:eastAsia="zh-CN"/>
              </w:rPr>
              <w:t>3、投标供应商需在投标截止时间前自行测试</w:t>
            </w:r>
            <w:r>
              <w:rPr>
                <w:rFonts w:hint="eastAsia" w:asciiTheme="minorEastAsia" w:hAnsiTheme="minorEastAsia" w:eastAsiaTheme="minorEastAsia" w:cstheme="minorEastAsia"/>
                <w:color w:val="auto"/>
                <w:spacing w:val="18"/>
                <w:sz w:val="24"/>
                <w:szCs w:val="24"/>
                <w:highlight w:val="none"/>
                <w:lang w:eastAsia="zh-CN"/>
              </w:rPr>
              <w:t>开标时使</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14"/>
                <w:sz w:val="24"/>
                <w:szCs w:val="24"/>
                <w:highlight w:val="none"/>
                <w:lang w:eastAsia="zh-CN"/>
              </w:rPr>
              <w:t>用的计算机，如因投标供应商自身原因导致响应文件解</w:t>
            </w:r>
            <w:r>
              <w:rPr>
                <w:rFonts w:hint="eastAsia" w:asciiTheme="minorEastAsia" w:hAnsiTheme="minorEastAsia" w:eastAsiaTheme="minorEastAsia" w:cstheme="minorEastAsia"/>
                <w:color w:val="auto"/>
                <w:spacing w:val="8"/>
                <w:sz w:val="24"/>
                <w:szCs w:val="24"/>
                <w:highlight w:val="none"/>
                <w:lang w:eastAsia="zh-CN"/>
              </w:rPr>
              <w:t>密失败的，由投标供应商自行承担相应后果</w:t>
            </w:r>
            <w:r>
              <w:rPr>
                <w:rFonts w:hint="eastAsia" w:asciiTheme="minorEastAsia" w:hAnsiTheme="minorEastAsia" w:eastAsiaTheme="minorEastAsia" w:cstheme="minorEastAsia"/>
                <w:color w:val="auto"/>
                <w:spacing w:val="8"/>
                <w:sz w:val="24"/>
                <w:szCs w:val="24"/>
                <w:highlight w:val="none"/>
                <w:lang w:eastAsia="zh-CN"/>
                <w14:textOutline w14:w="4394" w14:cap="flat" w14:cmpd="sng" w14:algn="ctr">
                  <w14:solidFill>
                    <w14:srgbClr w14:val="000000"/>
                  </w14:solidFill>
                  <w14:prstDash w14:val="solid"/>
                  <w14:miter w14:val="0"/>
                </w14:textOutline>
              </w:rPr>
              <w:t>。</w:t>
            </w:r>
          </w:p>
          <w:p w14:paraId="782FA658">
            <w:pPr>
              <w:pStyle w:val="18"/>
              <w:spacing w:before="27" w:line="234" w:lineRule="auto"/>
              <w:ind w:left="111" w:right="92"/>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b/>
                <w:bCs/>
                <w:color w:val="auto"/>
                <w:spacing w:val="8"/>
                <w:sz w:val="24"/>
                <w:szCs w:val="24"/>
                <w:highlight w:val="none"/>
                <w:lang w:eastAsia="zh-CN"/>
              </w:rPr>
              <w:t>4、本项目为全流程电子化开评审，供应商自备视频及语音通话功能的设备。</w:t>
            </w:r>
          </w:p>
        </w:tc>
      </w:tr>
      <w:tr w14:paraId="54A4F7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10" w:hRule="atLeast"/>
          <w:jc w:val="center"/>
        </w:trPr>
        <w:tc>
          <w:tcPr>
            <w:tcW w:w="1147" w:type="dxa"/>
            <w:tcBorders>
              <w:left w:val="single" w:color="000000" w:sz="2" w:space="0"/>
            </w:tcBorders>
            <w:vAlign w:val="center"/>
          </w:tcPr>
          <w:p w14:paraId="7ACE5195">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val="en-US" w:eastAsia="zh-CN"/>
              </w:rPr>
              <w:t>26</w:t>
            </w:r>
          </w:p>
        </w:tc>
        <w:tc>
          <w:tcPr>
            <w:tcW w:w="2223" w:type="dxa"/>
            <w:vAlign w:val="center"/>
          </w:tcPr>
          <w:p w14:paraId="0808AE5A">
            <w:pPr>
              <w:pStyle w:val="18"/>
              <w:keepNext w:val="0"/>
              <w:keepLines w:val="0"/>
              <w:pageBreakBefore w:val="0"/>
              <w:widowControl/>
              <w:kinsoku w:val="0"/>
              <w:wordWrap/>
              <w:overflowPunct/>
              <w:topLinePunct w:val="0"/>
              <w:autoSpaceDE w:val="0"/>
              <w:autoSpaceDN w:val="0"/>
              <w:bidi w:val="0"/>
              <w:adjustRightInd w:val="0"/>
              <w:snapToGrid w:val="0"/>
              <w:spacing w:line="0" w:lineRule="atLeast"/>
              <w:jc w:val="center"/>
              <w:textAlignment w:val="baseline"/>
              <w:rPr>
                <w:rFonts w:hint="eastAsia" w:asciiTheme="minorEastAsia" w:hAnsiTheme="minorEastAsia" w:eastAsiaTheme="minorEastAsia" w:cstheme="minorEastAsia"/>
                <w:color w:val="auto"/>
                <w:spacing w:val="8"/>
                <w:sz w:val="24"/>
                <w:szCs w:val="24"/>
                <w:highlight w:val="none"/>
              </w:rPr>
            </w:pPr>
            <w:r>
              <w:rPr>
                <w:rFonts w:hint="eastAsia" w:asciiTheme="minorEastAsia" w:hAnsiTheme="minorEastAsia" w:eastAsiaTheme="minorEastAsia" w:cstheme="minorEastAsia"/>
                <w:color w:val="auto"/>
                <w:spacing w:val="8"/>
                <w:sz w:val="24"/>
                <w:szCs w:val="24"/>
                <w:highlight w:val="none"/>
              </w:rPr>
              <w:t>不正当竞争预防措施</w:t>
            </w:r>
          </w:p>
        </w:tc>
        <w:tc>
          <w:tcPr>
            <w:tcW w:w="6101" w:type="dxa"/>
            <w:tcBorders>
              <w:right w:val="single" w:color="000000" w:sz="2" w:space="0"/>
            </w:tcBorders>
            <w:vAlign w:val="center"/>
          </w:tcPr>
          <w:p w14:paraId="763C6B69">
            <w:pP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在评标过程中，供应商报价低于其他有效供应商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w:t>
            </w:r>
          </w:p>
          <w:p w14:paraId="0B5DD2B6">
            <w:pP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供应商书面说明应当签字确认或者加盖公章，否则无效。书面说明的签字确认，供应商为法人的，由其法定代表人或者委托代理人签字确认。</w:t>
            </w:r>
          </w:p>
          <w:p w14:paraId="155C48D6">
            <w:pPr>
              <w:rPr>
                <w:rFonts w:hint="eastAsia" w:asciiTheme="minorEastAsia" w:hAnsiTheme="minorEastAsia" w:eastAsiaTheme="minorEastAsia" w:cstheme="minorEastAsia"/>
                <w:color w:val="auto"/>
                <w:spacing w:val="20"/>
                <w:sz w:val="24"/>
                <w:szCs w:val="24"/>
                <w:highlight w:val="none"/>
                <w:lang w:eastAsia="zh-CN"/>
                <w14:textOutline w14:w="4394" w14:cap="flat" w14:cmpd="sng" w14:algn="ctr">
                  <w14:solidFill>
                    <w14:srgbClr w14:val="000000"/>
                  </w14:solidFill>
                  <w14:prstDash w14:val="solid"/>
                  <w14:miter w14:val="0"/>
                </w14:textOutline>
              </w:rPr>
            </w:pPr>
            <w:r>
              <w:rPr>
                <w:rFonts w:hint="eastAsia" w:asciiTheme="minorEastAsia" w:hAnsiTheme="minorEastAsia" w:eastAsiaTheme="minorEastAsia" w:cstheme="minorEastAsia"/>
                <w:color w:val="auto"/>
                <w:sz w:val="24"/>
                <w:szCs w:val="24"/>
                <w:highlight w:val="none"/>
                <w:lang w:eastAsia="zh-CN"/>
              </w:rPr>
              <w:t>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p>
        </w:tc>
      </w:tr>
    </w:tbl>
    <w:p w14:paraId="1C08278C">
      <w:pPr>
        <w:rPr>
          <w:rFonts w:hint="eastAsia" w:asciiTheme="minorEastAsia" w:hAnsiTheme="minorEastAsia" w:eastAsiaTheme="minorEastAsia" w:cstheme="minorEastAsia"/>
          <w:b/>
          <w:bCs/>
          <w:color w:val="auto"/>
          <w:sz w:val="22"/>
          <w:szCs w:val="22"/>
          <w:highlight w:val="none"/>
          <w:lang w:eastAsia="zh-CN"/>
        </w:rPr>
      </w:pPr>
      <w:r>
        <w:rPr>
          <w:rFonts w:hint="eastAsia" w:asciiTheme="minorEastAsia" w:hAnsiTheme="minorEastAsia" w:eastAsiaTheme="minorEastAsia" w:cstheme="minorEastAsia"/>
          <w:b/>
          <w:bCs/>
          <w:color w:val="auto"/>
          <w:sz w:val="22"/>
          <w:szCs w:val="22"/>
          <w:highlight w:val="none"/>
          <w:lang w:eastAsia="zh-CN"/>
        </w:rPr>
        <w:t>备注：采购文件中其它内容与须知前附表不一致的情形下，以须知前附表内容为准。</w:t>
      </w:r>
    </w:p>
    <w:p w14:paraId="095B0DE9">
      <w:pPr>
        <w:spacing w:line="253" w:lineRule="auto"/>
        <w:rPr>
          <w:color w:val="auto"/>
          <w:highlight w:val="none"/>
          <w:lang w:eastAsia="zh-CN"/>
        </w:rPr>
      </w:pPr>
    </w:p>
    <w:p w14:paraId="4A0D1FF4">
      <w:pPr>
        <w:pStyle w:val="9"/>
        <w:spacing w:line="253" w:lineRule="auto"/>
        <w:rPr>
          <w:color w:val="auto"/>
          <w:highlight w:val="none"/>
          <w:lang w:eastAsia="zh-CN"/>
        </w:rPr>
      </w:pPr>
    </w:p>
    <w:p w14:paraId="63A8C2BC">
      <w:pPr>
        <w:rPr>
          <w:color w:val="auto"/>
          <w:highlight w:val="none"/>
          <w:lang w:eastAsia="zh-CN"/>
        </w:rPr>
      </w:pPr>
      <w:bookmarkStart w:id="5" w:name="bookmark3"/>
      <w:bookmarkEnd w:id="5"/>
      <w:bookmarkStart w:id="6" w:name="_Toc13565"/>
      <w:r>
        <w:rPr>
          <w:rFonts w:hint="eastAsia"/>
          <w:color w:val="auto"/>
          <w:highlight w:val="none"/>
          <w:lang w:eastAsia="zh-CN"/>
        </w:rPr>
        <w:br w:type="page"/>
      </w:r>
    </w:p>
    <w:p w14:paraId="35694622">
      <w:pPr>
        <w:pStyle w:val="3"/>
        <w:spacing w:before="111" w:line="240" w:lineRule="auto"/>
        <w:jc w:val="center"/>
        <w:rPr>
          <w:color w:val="auto"/>
          <w:highlight w:val="none"/>
        </w:rPr>
      </w:pPr>
      <w:r>
        <w:rPr>
          <w:rFonts w:hint="eastAsia"/>
          <w:color w:val="auto"/>
          <w:highlight w:val="none"/>
        </w:rPr>
        <w:t>第一章谈判公告</w:t>
      </w:r>
      <w:bookmarkEnd w:id="6"/>
    </w:p>
    <w:tbl>
      <w:tblPr>
        <w:tblStyle w:val="19"/>
        <w:tblW w:w="8800"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800"/>
      </w:tblGrid>
      <w:tr w14:paraId="167B9A12">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432" w:hRule="atLeast"/>
        </w:trPr>
        <w:tc>
          <w:tcPr>
            <w:tcW w:w="8800" w:type="dxa"/>
          </w:tcPr>
          <w:p w14:paraId="0E431CAD">
            <w:pPr>
              <w:spacing w:before="58" w:line="191"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9"/>
                <w:sz w:val="24"/>
                <w:szCs w:val="24"/>
                <w:highlight w:val="none"/>
                <w:lang w:eastAsia="zh-CN"/>
              </w:rPr>
              <w:t>项目概况：</w:t>
            </w:r>
          </w:p>
          <w:p w14:paraId="620670BC">
            <w:pPr>
              <w:pStyle w:val="18"/>
              <w:spacing w:before="157" w:line="285" w:lineRule="auto"/>
              <w:ind w:left="93" w:right="124" w:firstLine="476"/>
              <w:rPr>
                <w:rFonts w:hint="eastAsia"/>
                <w:color w:val="auto"/>
                <w:highlight w:val="none"/>
                <w:lang w:eastAsia="zh-CN"/>
              </w:rPr>
            </w:pPr>
            <w:r>
              <w:rPr>
                <w:rFonts w:hint="eastAsia"/>
                <w:color w:val="auto"/>
                <w:spacing w:val="9"/>
                <w:sz w:val="24"/>
                <w:szCs w:val="24"/>
                <w:highlight w:val="none"/>
                <w:u w:val="single"/>
                <w:lang w:eastAsia="zh-CN"/>
              </w:rPr>
              <w:t>中华人民共和国新疆出入境边防检查总站乌鲁木齐警犬训练基地待训警犬采购项目</w:t>
            </w:r>
            <w:r>
              <w:rPr>
                <w:rFonts w:hint="eastAsia"/>
                <w:color w:val="auto"/>
                <w:spacing w:val="9"/>
                <w:sz w:val="24"/>
                <w:szCs w:val="24"/>
                <w:highlight w:val="none"/>
                <w:lang w:eastAsia="zh-CN"/>
              </w:rPr>
              <w:t>的潜在供应商应登陆政采</w:t>
            </w:r>
            <w:r>
              <w:rPr>
                <w:rFonts w:hint="eastAsia"/>
                <w:color w:val="auto"/>
                <w:spacing w:val="12"/>
                <w:sz w:val="24"/>
                <w:szCs w:val="24"/>
                <w:highlight w:val="none"/>
                <w:lang w:eastAsia="zh-CN"/>
              </w:rPr>
              <w:t>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Fonts w:hint="eastAsia"/>
                <w:color w:val="auto"/>
                <w:sz w:val="24"/>
                <w:szCs w:val="24"/>
                <w:highlight w:val="none"/>
                <w:lang w:eastAsia="zh-CN"/>
              </w:rPr>
              <w:t>https</w:t>
            </w:r>
            <w:r>
              <w:rPr>
                <w:rFonts w:hint="eastAsia"/>
                <w:color w:val="auto"/>
                <w:spacing w:val="12"/>
                <w:sz w:val="24"/>
                <w:szCs w:val="24"/>
                <w:highlight w:val="none"/>
                <w:lang w:eastAsia="zh-CN"/>
              </w:rPr>
              <w:t>://</w:t>
            </w:r>
            <w:r>
              <w:rPr>
                <w:rFonts w:hint="eastAsia"/>
                <w:color w:val="auto"/>
                <w:sz w:val="24"/>
                <w:szCs w:val="24"/>
                <w:highlight w:val="none"/>
                <w:lang w:eastAsia="zh-CN"/>
              </w:rPr>
              <w:t>www</w:t>
            </w:r>
            <w:r>
              <w:rPr>
                <w:rFonts w:hint="eastAsia"/>
                <w:color w:val="auto"/>
                <w:spacing w:val="12"/>
                <w:sz w:val="24"/>
                <w:szCs w:val="24"/>
                <w:highlight w:val="none"/>
                <w:lang w:eastAsia="zh-CN"/>
              </w:rPr>
              <w:t>.</w:t>
            </w:r>
            <w:r>
              <w:rPr>
                <w:rFonts w:hint="eastAsia"/>
                <w:color w:val="auto"/>
                <w:sz w:val="24"/>
                <w:szCs w:val="24"/>
                <w:highlight w:val="none"/>
                <w:lang w:eastAsia="zh-CN"/>
              </w:rPr>
              <w:t>zcygov</w:t>
            </w:r>
            <w:r>
              <w:rPr>
                <w:rFonts w:hint="eastAsia"/>
                <w:color w:val="auto"/>
                <w:spacing w:val="12"/>
                <w:sz w:val="24"/>
                <w:szCs w:val="24"/>
                <w:highlight w:val="none"/>
                <w:lang w:eastAsia="zh-CN"/>
              </w:rPr>
              <w:t>.</w:t>
            </w:r>
            <w:r>
              <w:rPr>
                <w:rFonts w:hint="eastAsia"/>
                <w:color w:val="auto"/>
                <w:sz w:val="24"/>
                <w:szCs w:val="24"/>
                <w:highlight w:val="none"/>
                <w:lang w:eastAsia="zh-CN"/>
              </w:rPr>
              <w:t>cn</w:t>
            </w:r>
            <w:r>
              <w:rPr>
                <w:rFonts w:hint="eastAsia"/>
                <w:color w:val="auto"/>
                <w:spacing w:val="12"/>
                <w:sz w:val="24"/>
                <w:szCs w:val="24"/>
                <w:highlight w:val="none"/>
                <w:lang w:eastAsia="zh-CN"/>
              </w:rPr>
              <w:t>/</w:t>
            </w:r>
            <w:r>
              <w:rPr>
                <w:rFonts w:hint="eastAsia"/>
                <w:color w:val="auto"/>
                <w:spacing w:val="12"/>
                <w:sz w:val="24"/>
                <w:szCs w:val="24"/>
                <w:highlight w:val="none"/>
                <w:lang w:eastAsia="zh-CN"/>
              </w:rPr>
              <w:fldChar w:fldCharType="end"/>
            </w:r>
            <w:r>
              <w:rPr>
                <w:rFonts w:hint="eastAsia"/>
                <w:color w:val="auto"/>
                <w:spacing w:val="12"/>
                <w:sz w:val="24"/>
                <w:szCs w:val="24"/>
                <w:highlight w:val="none"/>
                <w:lang w:eastAsia="zh-CN"/>
              </w:rPr>
              <w:t>在线申请获取采购文件，并于</w:t>
            </w:r>
            <w:r>
              <w:rPr>
                <w:rFonts w:hint="eastAsia"/>
                <w:color w:val="auto"/>
                <w:spacing w:val="6"/>
                <w:sz w:val="24"/>
                <w:szCs w:val="24"/>
                <w:highlight w:val="none"/>
                <w:lang w:eastAsia="zh-CN"/>
              </w:rPr>
              <w:t>2025年</w:t>
            </w:r>
            <w:r>
              <w:rPr>
                <w:rFonts w:hint="eastAsia"/>
                <w:color w:val="auto"/>
                <w:spacing w:val="6"/>
                <w:sz w:val="24"/>
                <w:szCs w:val="24"/>
                <w:highlight w:val="none"/>
                <w:lang w:val="en-US" w:eastAsia="zh-CN"/>
              </w:rPr>
              <w:t>4</w:t>
            </w:r>
            <w:r>
              <w:rPr>
                <w:rFonts w:hint="eastAsia"/>
                <w:color w:val="auto"/>
                <w:spacing w:val="6"/>
                <w:sz w:val="24"/>
                <w:szCs w:val="24"/>
                <w:highlight w:val="none"/>
                <w:lang w:eastAsia="zh-CN"/>
              </w:rPr>
              <w:t>月</w:t>
            </w:r>
            <w:r>
              <w:rPr>
                <w:rFonts w:hint="eastAsia"/>
                <w:color w:val="auto"/>
                <w:spacing w:val="6"/>
                <w:sz w:val="24"/>
                <w:szCs w:val="24"/>
                <w:highlight w:val="none"/>
                <w:lang w:val="en-US" w:eastAsia="zh-CN"/>
              </w:rPr>
              <w:t>24</w:t>
            </w:r>
            <w:r>
              <w:rPr>
                <w:rFonts w:hint="eastAsia"/>
                <w:color w:val="auto"/>
                <w:spacing w:val="6"/>
                <w:sz w:val="24"/>
                <w:szCs w:val="24"/>
                <w:highlight w:val="none"/>
                <w:lang w:eastAsia="zh-CN"/>
              </w:rPr>
              <w:t>日1</w:t>
            </w:r>
            <w:r>
              <w:rPr>
                <w:rFonts w:hint="eastAsia"/>
                <w:color w:val="auto"/>
                <w:spacing w:val="6"/>
                <w:sz w:val="24"/>
                <w:szCs w:val="24"/>
                <w:highlight w:val="none"/>
                <w:lang w:val="en-US" w:eastAsia="zh-CN"/>
              </w:rPr>
              <w:t>6</w:t>
            </w:r>
            <w:r>
              <w:rPr>
                <w:rFonts w:hint="eastAsia"/>
                <w:color w:val="auto"/>
                <w:spacing w:val="6"/>
                <w:sz w:val="24"/>
                <w:szCs w:val="24"/>
                <w:highlight w:val="none"/>
                <w:lang w:eastAsia="zh-CN"/>
              </w:rPr>
              <w:t>:00(北京时间）前提交响应文件。</w:t>
            </w:r>
          </w:p>
        </w:tc>
      </w:tr>
    </w:tbl>
    <w:p w14:paraId="5B2A184D">
      <w:pPr>
        <w:pStyle w:val="9"/>
        <w:spacing w:line="312" w:lineRule="auto"/>
        <w:rPr>
          <w:rFonts w:hint="eastAsia" w:ascii="宋体" w:hAnsi="宋体" w:eastAsia="宋体" w:cs="宋体"/>
          <w:color w:val="auto"/>
          <w:highlight w:val="none"/>
          <w:lang w:eastAsia="zh-CN"/>
        </w:rPr>
      </w:pPr>
    </w:p>
    <w:p w14:paraId="3057B9FC">
      <w:pPr>
        <w:spacing w:before="74" w:line="360" w:lineRule="auto"/>
        <w:ind w:left="101"/>
        <w:outlineLvl w:val="1"/>
        <w:rPr>
          <w:rFonts w:hint="eastAsia" w:ascii="宋体" w:hAnsi="宋体" w:eastAsia="宋体" w:cs="宋体"/>
          <w:color w:val="auto"/>
          <w:sz w:val="24"/>
          <w:szCs w:val="24"/>
          <w:highlight w:val="none"/>
          <w:lang w:eastAsia="zh-CN"/>
        </w:rPr>
      </w:pPr>
      <w:bookmarkStart w:id="7" w:name="_Toc14714"/>
      <w:r>
        <w:rPr>
          <w:rFonts w:hint="eastAsia" w:ascii="宋体" w:hAnsi="宋体" w:eastAsia="宋体" w:cs="宋体"/>
          <w:color w:val="auto"/>
          <w:spacing w:val="6"/>
          <w:sz w:val="24"/>
          <w:szCs w:val="24"/>
          <w:highlight w:val="none"/>
          <w:lang w:eastAsia="zh-CN"/>
        </w:rPr>
        <w:t xml:space="preserve">一、 </w:t>
      </w:r>
      <w:r>
        <w:rPr>
          <w:rFonts w:hint="eastAsia" w:ascii="宋体" w:hAnsi="宋体" w:eastAsia="宋体" w:cs="宋体"/>
          <w:color w:val="auto"/>
          <w:spacing w:val="6"/>
          <w:sz w:val="24"/>
          <w:szCs w:val="24"/>
          <w:highlight w:val="none"/>
          <w:lang w:eastAsia="zh-CN"/>
          <w14:textOutline w14:w="4394" w14:cap="flat" w14:cmpd="sng" w14:algn="ctr">
            <w14:solidFill>
              <w14:srgbClr w14:val="000000"/>
            </w14:solidFill>
            <w14:prstDash w14:val="solid"/>
            <w14:miter w14:val="0"/>
          </w14:textOutline>
        </w:rPr>
        <w:t>项目基本情况</w:t>
      </w:r>
      <w:bookmarkEnd w:id="7"/>
    </w:p>
    <w:p w14:paraId="05F5244F">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68" w:firstLineChars="200"/>
        <w:textAlignment w:val="baseline"/>
        <w:rPr>
          <w:rFonts w:hint="eastAsia" w:asciiTheme="minorEastAsia" w:hAnsiTheme="minorEastAsia" w:eastAsiaTheme="minorEastAsia" w:cstheme="minorEastAsia"/>
          <w:color w:val="auto"/>
          <w:sz w:val="24"/>
          <w:szCs w:val="24"/>
          <w:highlight w:val="none"/>
          <w:lang w:eastAsia="zh-CN"/>
        </w:rPr>
      </w:pPr>
      <w:bookmarkStart w:id="8" w:name="_Toc23836"/>
      <w:r>
        <w:rPr>
          <w:rFonts w:hint="eastAsia" w:asciiTheme="minorEastAsia" w:hAnsiTheme="minorEastAsia" w:eastAsiaTheme="minorEastAsia" w:cstheme="minorEastAsia"/>
          <w:color w:val="auto"/>
          <w:spacing w:val="-3"/>
          <w:sz w:val="24"/>
          <w:szCs w:val="24"/>
          <w:highlight w:val="none"/>
          <w:lang w:eastAsia="zh-CN"/>
        </w:rPr>
        <w:t>项目编号：XJHY-BJZZ-DXQCG</w:t>
      </w:r>
      <w:bookmarkEnd w:id="8"/>
      <w:r>
        <w:rPr>
          <w:rFonts w:hint="eastAsia" w:asciiTheme="minorEastAsia" w:hAnsiTheme="minorEastAsia" w:eastAsiaTheme="minorEastAsia" w:cstheme="minorEastAsia"/>
          <w:color w:val="auto"/>
          <w:spacing w:val="71"/>
          <w:sz w:val="24"/>
          <w:szCs w:val="24"/>
          <w:highlight w:val="none"/>
          <w:lang w:eastAsia="zh-CN"/>
        </w:rPr>
        <w:t xml:space="preserve"> </w:t>
      </w:r>
    </w:p>
    <w:p w14:paraId="452D44F4">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88" w:firstLineChars="20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2"/>
          <w:sz w:val="24"/>
          <w:szCs w:val="24"/>
          <w:highlight w:val="none"/>
          <w:lang w:eastAsia="zh-CN"/>
        </w:rPr>
        <w:t>项目名称：</w:t>
      </w:r>
      <w:r>
        <w:rPr>
          <w:rFonts w:hint="eastAsia" w:asciiTheme="minorEastAsia" w:hAnsiTheme="minorEastAsia" w:eastAsiaTheme="minorEastAsia" w:cstheme="minorEastAsia"/>
          <w:color w:val="auto"/>
          <w:spacing w:val="2"/>
          <w:sz w:val="24"/>
          <w:szCs w:val="24"/>
          <w:highlight w:val="none"/>
          <w:u w:val="single"/>
          <w:lang w:eastAsia="zh-CN"/>
        </w:rPr>
        <w:t>中华人民共和国新疆出入境边防检查总站乌鲁木齐警犬训练基地待训警犬采购项目</w:t>
      </w:r>
    </w:p>
    <w:p w14:paraId="6DCB1E14">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40" w:firstLineChars="20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0"/>
          <w:sz w:val="24"/>
          <w:szCs w:val="24"/>
          <w:highlight w:val="none"/>
          <w:lang w:eastAsia="zh-CN"/>
        </w:rPr>
        <w:t>采购方式：</w:t>
      </w:r>
      <w:r>
        <w:rPr>
          <w:rFonts w:hint="eastAsia" w:asciiTheme="minorEastAsia" w:hAnsiTheme="minorEastAsia" w:eastAsiaTheme="minorEastAsia" w:cstheme="minorEastAsia"/>
          <w:color w:val="auto"/>
          <w:spacing w:val="-10"/>
          <w:sz w:val="24"/>
          <w:szCs w:val="24"/>
          <w:highlight w:val="none"/>
          <w:u w:val="single"/>
          <w:lang w:eastAsia="zh-CN"/>
        </w:rPr>
        <w:t>竞争性谈判</w:t>
      </w:r>
    </w:p>
    <w:p w14:paraId="15AC2D3E">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56" w:firstLineChars="200"/>
        <w:textAlignment w:val="baseline"/>
        <w:rPr>
          <w:rFonts w:hint="eastAsia" w:asciiTheme="minorEastAsia" w:hAnsiTheme="minorEastAsia" w:eastAsiaTheme="minorEastAsia" w:cstheme="minorEastAsia"/>
          <w:color w:val="auto"/>
          <w:spacing w:val="-6"/>
          <w:sz w:val="24"/>
          <w:szCs w:val="24"/>
          <w:highlight w:val="none"/>
          <w:u w:val="single"/>
          <w:lang w:eastAsia="zh-CN"/>
        </w:rPr>
      </w:pPr>
      <w:r>
        <w:rPr>
          <w:rFonts w:hint="eastAsia" w:asciiTheme="minorEastAsia" w:hAnsiTheme="minorEastAsia" w:eastAsiaTheme="minorEastAsia" w:cstheme="minorEastAsia"/>
          <w:color w:val="auto"/>
          <w:spacing w:val="-6"/>
          <w:sz w:val="24"/>
          <w:szCs w:val="24"/>
          <w:highlight w:val="none"/>
          <w:lang w:eastAsia="zh-CN"/>
        </w:rPr>
        <w:t>预算金额：</w:t>
      </w:r>
      <w:r>
        <w:rPr>
          <w:rFonts w:hint="eastAsia" w:asciiTheme="minorEastAsia" w:hAnsiTheme="minorEastAsia" w:eastAsiaTheme="minorEastAsia" w:cstheme="minorEastAsia"/>
          <w:color w:val="auto"/>
          <w:spacing w:val="-6"/>
          <w:sz w:val="24"/>
          <w:szCs w:val="24"/>
          <w:highlight w:val="none"/>
          <w:u w:val="single"/>
          <w:lang w:eastAsia="zh-CN"/>
        </w:rPr>
        <w:t>1560000.00 元</w:t>
      </w:r>
    </w:p>
    <w:p w14:paraId="3B345C04">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40" w:firstLineChars="200"/>
        <w:textAlignment w:val="baseline"/>
        <w:rPr>
          <w:rFonts w:hint="eastAsia" w:asciiTheme="minorEastAsia" w:hAnsiTheme="minorEastAsia" w:eastAsiaTheme="minorEastAsia" w:cstheme="minorEastAsia"/>
          <w:color w:val="auto"/>
          <w:spacing w:val="-10"/>
          <w:sz w:val="24"/>
          <w:szCs w:val="24"/>
          <w:highlight w:val="none"/>
          <w:lang w:eastAsia="zh-CN"/>
        </w:rPr>
      </w:pPr>
      <w:r>
        <w:rPr>
          <w:rFonts w:hint="eastAsia" w:asciiTheme="minorEastAsia" w:hAnsiTheme="minorEastAsia" w:eastAsiaTheme="minorEastAsia" w:cstheme="minorEastAsia"/>
          <w:color w:val="auto"/>
          <w:spacing w:val="-10"/>
          <w:sz w:val="24"/>
          <w:szCs w:val="24"/>
          <w:highlight w:val="none"/>
          <w:lang w:eastAsia="zh-CN"/>
        </w:rPr>
        <w:t>最高限价</w:t>
      </w:r>
      <w:r>
        <w:rPr>
          <w:rFonts w:hint="eastAsia" w:asciiTheme="minorEastAsia" w:hAnsiTheme="minorEastAsia" w:eastAsiaTheme="minorEastAsia" w:cstheme="minorEastAsia"/>
          <w:color w:val="auto"/>
          <w:spacing w:val="-6"/>
          <w:sz w:val="24"/>
          <w:szCs w:val="24"/>
          <w:highlight w:val="none"/>
          <w:u w:val="single"/>
          <w:lang w:eastAsia="zh-CN"/>
        </w:rPr>
        <w:t>：1528000元</w:t>
      </w:r>
    </w:p>
    <w:p w14:paraId="68C78192">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40" w:firstLineChars="200"/>
        <w:textAlignment w:val="baseline"/>
        <w:rPr>
          <w:rFonts w:hint="eastAsia" w:asciiTheme="minorEastAsia" w:hAnsiTheme="minorEastAsia" w:eastAsiaTheme="minorEastAsia" w:cstheme="minorEastAsia"/>
          <w:color w:val="auto"/>
          <w:spacing w:val="-10"/>
          <w:sz w:val="24"/>
          <w:szCs w:val="24"/>
          <w:highlight w:val="none"/>
          <w:lang w:eastAsia="zh-CN"/>
        </w:rPr>
      </w:pPr>
      <w:r>
        <w:rPr>
          <w:rFonts w:hint="eastAsia" w:asciiTheme="minorEastAsia" w:hAnsiTheme="minorEastAsia" w:eastAsiaTheme="minorEastAsia" w:cstheme="minorEastAsia"/>
          <w:color w:val="auto"/>
          <w:spacing w:val="-10"/>
          <w:sz w:val="24"/>
          <w:szCs w:val="24"/>
          <w:highlight w:val="none"/>
          <w:lang w:eastAsia="zh-CN"/>
        </w:rPr>
        <w:t>采购需求：</w:t>
      </w:r>
    </w:p>
    <w:p w14:paraId="134745FF">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40" w:firstLineChars="200"/>
        <w:textAlignment w:val="baseline"/>
        <w:rPr>
          <w:rFonts w:hint="eastAsia" w:asciiTheme="minorEastAsia" w:hAnsiTheme="minorEastAsia" w:eastAsiaTheme="minorEastAsia" w:cstheme="minorEastAsia"/>
          <w:color w:val="auto"/>
          <w:spacing w:val="-10"/>
          <w:sz w:val="24"/>
          <w:szCs w:val="24"/>
          <w:highlight w:val="none"/>
          <w:lang w:eastAsia="zh-CN"/>
        </w:rPr>
      </w:pPr>
      <w:r>
        <w:rPr>
          <w:rFonts w:hint="eastAsia" w:asciiTheme="minorEastAsia" w:hAnsiTheme="minorEastAsia" w:eastAsiaTheme="minorEastAsia" w:cstheme="minorEastAsia"/>
          <w:color w:val="auto"/>
          <w:spacing w:val="-10"/>
          <w:sz w:val="24"/>
          <w:szCs w:val="24"/>
          <w:highlight w:val="none"/>
          <w:lang w:eastAsia="zh-CN"/>
        </w:rPr>
        <w:t>数量：153头</w:t>
      </w:r>
    </w:p>
    <w:p w14:paraId="655654F0">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40" w:firstLineChars="200"/>
        <w:textAlignment w:val="baseline"/>
        <w:rPr>
          <w:rFonts w:hint="eastAsia" w:asciiTheme="minorEastAsia" w:hAnsiTheme="minorEastAsia" w:eastAsiaTheme="minorEastAsia" w:cstheme="minorEastAsia"/>
          <w:color w:val="auto"/>
          <w:spacing w:val="-10"/>
          <w:sz w:val="24"/>
          <w:szCs w:val="24"/>
          <w:highlight w:val="none"/>
          <w:lang w:eastAsia="zh-CN"/>
        </w:rPr>
      </w:pPr>
      <w:r>
        <w:rPr>
          <w:rFonts w:hint="eastAsia" w:asciiTheme="minorEastAsia" w:hAnsiTheme="minorEastAsia" w:eastAsiaTheme="minorEastAsia" w:cstheme="minorEastAsia"/>
          <w:color w:val="auto"/>
          <w:spacing w:val="-10"/>
          <w:sz w:val="24"/>
          <w:szCs w:val="24"/>
          <w:highlight w:val="none"/>
          <w:lang w:eastAsia="zh-CN"/>
        </w:rPr>
        <w:t>预算金额（元）</w:t>
      </w:r>
      <w:r>
        <w:rPr>
          <w:rFonts w:hint="eastAsia" w:asciiTheme="minorEastAsia" w:hAnsiTheme="minorEastAsia" w:eastAsiaTheme="minorEastAsia" w:cstheme="minorEastAsia"/>
          <w:color w:val="auto"/>
          <w:spacing w:val="-10"/>
          <w:sz w:val="24"/>
          <w:szCs w:val="24"/>
          <w:highlight w:val="none"/>
          <w:u w:val="single"/>
          <w:lang w:eastAsia="zh-CN"/>
        </w:rPr>
        <w:t>：1560000.00 元</w:t>
      </w:r>
    </w:p>
    <w:p w14:paraId="776280A1">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40" w:firstLineChars="200"/>
        <w:textAlignment w:val="baseline"/>
        <w:rPr>
          <w:rFonts w:hint="eastAsia" w:asciiTheme="minorEastAsia" w:hAnsiTheme="minorEastAsia" w:eastAsiaTheme="minorEastAsia" w:cstheme="minorEastAsia"/>
          <w:color w:val="auto"/>
          <w:spacing w:val="-10"/>
          <w:sz w:val="24"/>
          <w:szCs w:val="24"/>
          <w:highlight w:val="none"/>
          <w:lang w:eastAsia="zh-CN"/>
        </w:rPr>
      </w:pPr>
      <w:r>
        <w:rPr>
          <w:rFonts w:hint="eastAsia" w:asciiTheme="minorEastAsia" w:hAnsiTheme="minorEastAsia" w:eastAsiaTheme="minorEastAsia" w:cstheme="minorEastAsia"/>
          <w:color w:val="auto"/>
          <w:spacing w:val="-10"/>
          <w:sz w:val="24"/>
          <w:szCs w:val="24"/>
          <w:highlight w:val="none"/>
          <w:lang w:eastAsia="zh-CN"/>
        </w:rPr>
        <w:t>单位：批</w:t>
      </w:r>
    </w:p>
    <w:p w14:paraId="0C51BA34">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516" w:firstLineChars="200"/>
        <w:textAlignment w:val="baseline"/>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简要规格描述：</w:t>
      </w:r>
    </w:p>
    <w:p w14:paraId="6BE3C179">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516" w:firstLineChars="200"/>
        <w:textAlignment w:val="baseline"/>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（一）品种：东德牧羊犬；马里努阿犬；史宾格犬；新疆牧羊犬；拉布拉多犬。</w:t>
      </w:r>
    </w:p>
    <w:p w14:paraId="45D645CA">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516" w:firstLineChars="200"/>
        <w:textAlignment w:val="baseline"/>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（二）数量：共计153头；其中乌鲁木齐警犬训练基地137头；山东出入境边防检查总站9个边检站待采待训警犬16头；东德牧羊犬75头；马里努阿犬66头；史宾格犬5头；新疆牧羊犬2头；拉布拉多犬5头。</w:t>
      </w:r>
    </w:p>
    <w:p w14:paraId="0AC2863B">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516" w:firstLineChars="200"/>
        <w:textAlignment w:val="baseline"/>
        <w:rPr>
          <w:rFonts w:hint="eastAsia" w:asciiTheme="minorEastAsia" w:hAnsiTheme="minorEastAsia" w:eastAsiaTheme="minorEastAsia" w:cstheme="minorEastAsia"/>
          <w:color w:val="auto"/>
          <w:spacing w:val="9"/>
          <w:sz w:val="24"/>
          <w:szCs w:val="24"/>
          <w:highlight w:val="none"/>
          <w:lang w:eastAsia="zh-CN"/>
        </w:rPr>
      </w:pPr>
      <w:bookmarkStart w:id="9" w:name="_Toc14807"/>
      <w:r>
        <w:rPr>
          <w:rFonts w:hint="eastAsia" w:asciiTheme="minorEastAsia" w:hAnsiTheme="minorEastAsia" w:eastAsiaTheme="minorEastAsia" w:cstheme="minorEastAsia"/>
          <w:color w:val="auto"/>
          <w:spacing w:val="9"/>
          <w:sz w:val="24"/>
          <w:szCs w:val="24"/>
          <w:highlight w:val="none"/>
          <w:lang w:eastAsia="zh-CN"/>
        </w:rPr>
        <w:t>（三）性别：东德牧羊犬、马里努阿犬、史宾格犬</w:t>
      </w:r>
      <w:bookmarkEnd w:id="9"/>
      <w:r>
        <w:rPr>
          <w:rFonts w:hint="eastAsia" w:asciiTheme="minorEastAsia" w:hAnsiTheme="minorEastAsia" w:eastAsiaTheme="minorEastAsia" w:cstheme="minorEastAsia"/>
          <w:color w:val="auto"/>
          <w:spacing w:val="9"/>
          <w:sz w:val="24"/>
          <w:szCs w:val="24"/>
          <w:highlight w:val="none"/>
          <w:lang w:eastAsia="zh-CN"/>
        </w:rPr>
        <w:t>、拉布拉多犬均为公犬；新疆牧羊犬为一公一母。</w:t>
      </w:r>
    </w:p>
    <w:p w14:paraId="75576CB8">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516" w:firstLineChars="20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（四）年龄：8个月-20个月之间。</w:t>
      </w:r>
    </w:p>
    <w:p w14:paraId="73B08403">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76" w:firstLineChars="200"/>
        <w:textAlignment w:val="baseline"/>
        <w:rPr>
          <w:rFonts w:hint="eastAsia" w:asciiTheme="minorEastAsia" w:hAnsiTheme="minorEastAsia" w:eastAsiaTheme="minorEastAsia" w:cstheme="minorEastAsia"/>
          <w:color w:val="auto"/>
          <w:spacing w:val="-1"/>
          <w:position w:val="18"/>
          <w:sz w:val="24"/>
          <w:szCs w:val="24"/>
          <w:highlight w:val="none"/>
          <w:lang w:eastAsia="zh-CN"/>
        </w:rPr>
      </w:pPr>
      <w:r>
        <w:rPr>
          <w:rFonts w:hint="eastAsia" w:asciiTheme="minorEastAsia" w:hAnsiTheme="minorEastAsia" w:eastAsiaTheme="minorEastAsia" w:cstheme="minorEastAsia"/>
          <w:color w:val="auto"/>
          <w:spacing w:val="-1"/>
          <w:position w:val="18"/>
          <w:sz w:val="24"/>
          <w:szCs w:val="24"/>
          <w:highlight w:val="none"/>
          <w:lang w:eastAsia="zh-CN"/>
        </w:rPr>
        <w:t>合同履约期限：乙方需按甲方供货要求分两批供货，第一批 76 头警犬（包含乌鲁木齐警犬训练基地30头马里努阿</w:t>
      </w:r>
      <w:r>
        <w:rPr>
          <w:rFonts w:hint="eastAsia" w:asciiTheme="minorEastAsia" w:hAnsiTheme="minorEastAsia" w:eastAsiaTheme="minorEastAsia" w:cstheme="minorEastAsia"/>
          <w:color w:val="auto"/>
          <w:spacing w:val="-1"/>
          <w:position w:val="18"/>
          <w:sz w:val="21"/>
          <w:szCs w:val="21"/>
          <w:highlight w:val="none"/>
          <w:lang w:eastAsia="zh-CN"/>
        </w:rPr>
        <w:t>犬</w:t>
      </w:r>
      <w:r>
        <w:rPr>
          <w:rFonts w:hint="eastAsia" w:asciiTheme="minorEastAsia" w:hAnsiTheme="minorEastAsia" w:eastAsiaTheme="minorEastAsia" w:cstheme="minorEastAsia"/>
          <w:color w:val="auto"/>
          <w:spacing w:val="-1"/>
          <w:position w:val="18"/>
          <w:sz w:val="24"/>
          <w:szCs w:val="24"/>
          <w:highlight w:val="none"/>
          <w:lang w:eastAsia="zh-CN"/>
        </w:rPr>
        <w:t>、25头东德牧羊犬、5头史宾格犬，8个月-20个月；山东出入境边防检查总站6头马里努阿犬、5头东德牧羊犬、5头拉布拉多犬,均为8个月-20个月。）于合同签订后 15个日历日内送至合同约定供货地点；第二批 77 头（乌鲁木齐警犬训练基地30头马里努阿犬、45头东德牧羊犬、2头新疆牧羊犬（一公一母）,年龄段为：8个月-20个月）接甲方通知后15个日历日内合同约定供货地点，乙方承担全部货运费用。</w:t>
      </w:r>
    </w:p>
    <w:p w14:paraId="23205FEB">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508" w:firstLineChars="20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本项目（否）接受联合体投标。</w:t>
      </w:r>
    </w:p>
    <w:p w14:paraId="1F342E98">
      <w:pPr>
        <w:spacing w:before="162" w:line="360" w:lineRule="auto"/>
        <w:ind w:left="103"/>
        <w:outlineLvl w:val="1"/>
        <w:rPr>
          <w:rFonts w:hint="eastAsia" w:ascii="宋体" w:hAnsi="宋体" w:eastAsia="宋体" w:cs="宋体"/>
          <w:color w:val="auto"/>
          <w:sz w:val="24"/>
          <w:szCs w:val="24"/>
          <w:highlight w:val="none"/>
          <w:lang w:eastAsia="zh-CN"/>
        </w:rPr>
      </w:pPr>
      <w:bookmarkStart w:id="10" w:name="_Toc31729"/>
      <w:r>
        <w:rPr>
          <w:rFonts w:hint="eastAsia" w:ascii="宋体" w:hAnsi="宋体" w:eastAsia="宋体" w:cs="宋体"/>
          <w:color w:val="auto"/>
          <w:spacing w:val="-6"/>
          <w:sz w:val="24"/>
          <w:szCs w:val="24"/>
          <w:highlight w:val="none"/>
          <w:lang w:eastAsia="zh-CN"/>
          <w14:textOutline w14:w="4394" w14:cap="flat" w14:cmpd="sng" w14:algn="ctr">
            <w14:solidFill>
              <w14:srgbClr w14:val="000000"/>
            </w14:solidFill>
            <w14:prstDash w14:val="solid"/>
            <w14:miter w14:val="0"/>
          </w14:textOutline>
        </w:rPr>
        <w:t>二、</w:t>
      </w:r>
      <w:r>
        <w:rPr>
          <w:rFonts w:hint="eastAsia" w:ascii="宋体" w:hAnsi="宋体" w:eastAsia="宋体" w:cs="宋体"/>
          <w:color w:val="auto"/>
          <w:spacing w:val="41"/>
          <w:sz w:val="24"/>
          <w:szCs w:val="24"/>
          <w:highlight w:val="none"/>
          <w:lang w:eastAsia="zh-CN"/>
        </w:rPr>
        <w:t xml:space="preserve"> </w:t>
      </w:r>
      <w:r>
        <w:rPr>
          <w:rFonts w:hint="eastAsia" w:ascii="宋体" w:hAnsi="宋体" w:eastAsia="宋体" w:cs="宋体"/>
          <w:color w:val="auto"/>
          <w:spacing w:val="-6"/>
          <w:sz w:val="24"/>
          <w:szCs w:val="24"/>
          <w:highlight w:val="none"/>
          <w:lang w:eastAsia="zh-CN"/>
          <w14:textOutline w14:w="4394" w14:cap="flat" w14:cmpd="sng" w14:algn="ctr">
            <w14:solidFill>
              <w14:srgbClr w14:val="000000"/>
            </w14:solidFill>
            <w14:prstDash w14:val="solid"/>
            <w14:miter w14:val="0"/>
          </w14:textOutline>
        </w:rPr>
        <w:t>申请人的资格要求：</w:t>
      </w:r>
      <w:bookmarkEnd w:id="10"/>
    </w:p>
    <w:p w14:paraId="3E5F544F">
      <w:pPr>
        <w:spacing w:line="360" w:lineRule="auto"/>
        <w:rPr>
          <w:rFonts w:hint="eastAsia" w:ascii="宋体" w:hAnsi="宋体" w:eastAsia="宋体" w:cs="宋体"/>
          <w:color w:val="auto"/>
          <w:spacing w:val="9"/>
          <w:position w:val="18"/>
          <w:sz w:val="24"/>
          <w:szCs w:val="24"/>
          <w:highlight w:val="none"/>
          <w:lang w:eastAsia="zh-CN"/>
        </w:rPr>
      </w:pPr>
      <w:bookmarkStart w:id="11" w:name="_Toc24372"/>
      <w:r>
        <w:rPr>
          <w:rFonts w:hint="eastAsia" w:ascii="宋体" w:hAnsi="宋体" w:eastAsia="宋体" w:cs="宋体"/>
          <w:color w:val="auto"/>
          <w:spacing w:val="9"/>
          <w:position w:val="18"/>
          <w:sz w:val="24"/>
          <w:szCs w:val="24"/>
          <w:highlight w:val="none"/>
          <w:lang w:eastAsia="zh-CN"/>
        </w:rPr>
        <w:t>1、满足《中华人民共和国政府采购法》第二十二条规定；</w:t>
      </w:r>
      <w:bookmarkEnd w:id="11"/>
    </w:p>
    <w:p w14:paraId="6FFDD033">
      <w:pPr>
        <w:spacing w:line="360" w:lineRule="auto"/>
        <w:rPr>
          <w:rFonts w:hint="eastAsia" w:ascii="宋体" w:hAnsi="宋体" w:eastAsia="宋体" w:cs="宋体"/>
          <w:color w:val="auto"/>
          <w:spacing w:val="9"/>
          <w:position w:val="18"/>
          <w:sz w:val="24"/>
          <w:szCs w:val="24"/>
          <w:highlight w:val="none"/>
          <w:lang w:eastAsia="zh-CN"/>
        </w:rPr>
      </w:pPr>
      <w:r>
        <w:rPr>
          <w:rFonts w:hint="eastAsia" w:ascii="宋体" w:hAnsi="宋体" w:eastAsia="宋体" w:cs="宋体"/>
          <w:color w:val="auto"/>
          <w:spacing w:val="9"/>
          <w:position w:val="18"/>
          <w:sz w:val="24"/>
          <w:szCs w:val="24"/>
          <w:highlight w:val="none"/>
          <w:lang w:eastAsia="zh-CN"/>
        </w:rPr>
        <w:t>2、落实政府采购政策需满足的资格要求：本项目专门面向中小企业采购</w:t>
      </w:r>
    </w:p>
    <w:p w14:paraId="6B8A0D0E">
      <w:pPr>
        <w:spacing w:line="360" w:lineRule="auto"/>
        <w:rPr>
          <w:rFonts w:hint="eastAsia" w:ascii="宋体" w:hAnsi="宋体" w:eastAsia="宋体" w:cs="宋体"/>
          <w:color w:val="auto"/>
          <w:spacing w:val="9"/>
          <w:position w:val="18"/>
          <w:sz w:val="24"/>
          <w:szCs w:val="24"/>
          <w:highlight w:val="none"/>
          <w:lang w:eastAsia="zh-CN"/>
        </w:rPr>
      </w:pPr>
      <w:r>
        <w:rPr>
          <w:rFonts w:hint="eastAsia" w:ascii="宋体" w:hAnsi="宋体" w:eastAsia="宋体" w:cs="宋体"/>
          <w:color w:val="auto"/>
          <w:spacing w:val="9"/>
          <w:position w:val="18"/>
          <w:sz w:val="24"/>
          <w:szCs w:val="24"/>
          <w:highlight w:val="none"/>
          <w:lang w:eastAsia="zh-CN"/>
        </w:rPr>
        <w:t>3、本项目的特定资格要求：</w:t>
      </w:r>
    </w:p>
    <w:p w14:paraId="26BDE2A6">
      <w:pPr>
        <w:pStyle w:val="18"/>
        <w:spacing w:before="35" w:line="360" w:lineRule="auto"/>
        <w:ind w:left="108" w:right="136" w:firstLine="23"/>
        <w:rPr>
          <w:rFonts w:hint="eastAsia" w:asciiTheme="minorEastAsia" w:hAnsiTheme="minorEastAsia" w:eastAsiaTheme="minorEastAsia" w:cstheme="minorEastAsia"/>
          <w:color w:val="auto"/>
          <w:spacing w:val="-1"/>
          <w:position w:val="18"/>
          <w:sz w:val="24"/>
          <w:szCs w:val="24"/>
          <w:highlight w:val="none"/>
          <w:lang w:eastAsia="zh-CN"/>
        </w:rPr>
      </w:pPr>
      <w:r>
        <w:rPr>
          <w:rFonts w:hint="eastAsia" w:asciiTheme="minorEastAsia" w:hAnsiTheme="minorEastAsia" w:eastAsiaTheme="minorEastAsia" w:cstheme="minorEastAsia"/>
          <w:color w:val="auto"/>
          <w:spacing w:val="-1"/>
          <w:position w:val="18"/>
          <w:sz w:val="24"/>
          <w:szCs w:val="24"/>
          <w:highlight w:val="none"/>
          <w:lang w:eastAsia="zh-CN"/>
        </w:rPr>
        <w:t>（</w:t>
      </w:r>
      <w:r>
        <w:rPr>
          <w:rFonts w:hint="eastAsia" w:asciiTheme="minorEastAsia" w:hAnsiTheme="minorEastAsia" w:eastAsiaTheme="minorEastAsia" w:cstheme="minorEastAsia"/>
          <w:color w:val="auto"/>
          <w:spacing w:val="-1"/>
          <w:position w:val="18"/>
          <w:sz w:val="24"/>
          <w:szCs w:val="24"/>
          <w:highlight w:val="none"/>
          <w:lang w:val="en-US" w:eastAsia="zh-CN"/>
        </w:rPr>
        <w:t>1</w:t>
      </w:r>
      <w:r>
        <w:rPr>
          <w:rFonts w:hint="eastAsia" w:asciiTheme="minorEastAsia" w:hAnsiTheme="minorEastAsia" w:eastAsiaTheme="minorEastAsia" w:cstheme="minorEastAsia"/>
          <w:color w:val="auto"/>
          <w:spacing w:val="-1"/>
          <w:position w:val="18"/>
          <w:sz w:val="24"/>
          <w:szCs w:val="24"/>
          <w:highlight w:val="none"/>
          <w:lang w:eastAsia="zh-CN"/>
        </w:rPr>
        <w:t>）企业诚信信息未被行业主管部门通报；</w:t>
      </w:r>
    </w:p>
    <w:p w14:paraId="633EE22A">
      <w:pPr>
        <w:pStyle w:val="18"/>
        <w:spacing w:before="35" w:line="360" w:lineRule="auto"/>
        <w:ind w:left="108" w:right="136" w:firstLine="23"/>
        <w:rPr>
          <w:rFonts w:hint="eastAsia" w:asciiTheme="minorEastAsia" w:hAnsiTheme="minorEastAsia" w:eastAsiaTheme="minorEastAsia" w:cstheme="minorEastAsia"/>
          <w:color w:val="auto"/>
          <w:spacing w:val="-1"/>
          <w:position w:val="18"/>
          <w:sz w:val="24"/>
          <w:szCs w:val="24"/>
          <w:highlight w:val="none"/>
          <w:lang w:eastAsia="zh-CN"/>
        </w:rPr>
      </w:pPr>
      <w:r>
        <w:rPr>
          <w:rFonts w:hint="eastAsia" w:asciiTheme="minorEastAsia" w:hAnsiTheme="minorEastAsia" w:eastAsiaTheme="minorEastAsia" w:cstheme="minorEastAsia"/>
          <w:color w:val="auto"/>
          <w:spacing w:val="-1"/>
          <w:position w:val="18"/>
          <w:sz w:val="24"/>
          <w:szCs w:val="24"/>
          <w:highlight w:val="none"/>
          <w:lang w:eastAsia="zh-CN"/>
        </w:rPr>
        <w:t>（</w:t>
      </w:r>
      <w:r>
        <w:rPr>
          <w:rFonts w:hint="eastAsia" w:asciiTheme="minorEastAsia" w:hAnsiTheme="minorEastAsia" w:eastAsiaTheme="minorEastAsia" w:cstheme="minorEastAsia"/>
          <w:color w:val="auto"/>
          <w:spacing w:val="-1"/>
          <w:position w:val="18"/>
          <w:sz w:val="24"/>
          <w:szCs w:val="24"/>
          <w:highlight w:val="none"/>
          <w:lang w:val="en-US" w:eastAsia="zh-CN"/>
        </w:rPr>
        <w:t>2</w:t>
      </w:r>
      <w:r>
        <w:rPr>
          <w:rFonts w:hint="eastAsia" w:asciiTheme="minorEastAsia" w:hAnsiTheme="minorEastAsia" w:eastAsiaTheme="minorEastAsia" w:cstheme="minorEastAsia"/>
          <w:color w:val="auto"/>
          <w:spacing w:val="-1"/>
          <w:position w:val="18"/>
          <w:sz w:val="24"/>
          <w:szCs w:val="24"/>
          <w:highlight w:val="none"/>
          <w:lang w:eastAsia="zh-CN"/>
        </w:rPr>
        <w:t>）投标人必须为投标文件递交截止之日前未被列入“信用中国”网站（www.creditchina.gov.cn）、中国政府采购网（www.ccgp.gov.cn）信用记录失信被执行人、重大税收违法案件当事人名单、政府采购严重违法失信行为记录名单的；</w:t>
      </w:r>
    </w:p>
    <w:p w14:paraId="05FFCB81">
      <w:pPr>
        <w:pStyle w:val="18"/>
        <w:spacing w:before="35" w:line="360" w:lineRule="auto"/>
        <w:ind w:left="108" w:right="136" w:firstLine="23"/>
        <w:rPr>
          <w:rFonts w:hint="eastAsia" w:asciiTheme="minorEastAsia" w:hAnsiTheme="minorEastAsia" w:eastAsiaTheme="minorEastAsia" w:cstheme="minorEastAsia"/>
          <w:color w:val="auto"/>
          <w:spacing w:val="-1"/>
          <w:position w:val="18"/>
          <w:sz w:val="24"/>
          <w:szCs w:val="24"/>
          <w:highlight w:val="none"/>
          <w:lang w:eastAsia="zh-CN"/>
        </w:rPr>
      </w:pPr>
      <w:r>
        <w:rPr>
          <w:rFonts w:hint="eastAsia" w:asciiTheme="minorEastAsia" w:hAnsiTheme="minorEastAsia" w:eastAsiaTheme="minorEastAsia" w:cstheme="minorEastAsia"/>
          <w:color w:val="auto"/>
          <w:spacing w:val="-1"/>
          <w:position w:val="18"/>
          <w:sz w:val="24"/>
          <w:szCs w:val="24"/>
          <w:highlight w:val="none"/>
          <w:lang w:eastAsia="zh-CN"/>
        </w:rPr>
        <w:t>（</w:t>
      </w:r>
      <w:r>
        <w:rPr>
          <w:rFonts w:hint="eastAsia" w:asciiTheme="minorEastAsia" w:hAnsiTheme="minorEastAsia" w:eastAsiaTheme="minorEastAsia" w:cstheme="minorEastAsia"/>
          <w:color w:val="auto"/>
          <w:spacing w:val="-1"/>
          <w:position w:val="18"/>
          <w:sz w:val="24"/>
          <w:szCs w:val="24"/>
          <w:highlight w:val="none"/>
          <w:lang w:val="en-US" w:eastAsia="zh-CN"/>
        </w:rPr>
        <w:t>3</w:t>
      </w:r>
      <w:r>
        <w:rPr>
          <w:rFonts w:hint="eastAsia" w:asciiTheme="minorEastAsia" w:hAnsiTheme="minorEastAsia" w:eastAsiaTheme="minorEastAsia" w:cstheme="minorEastAsia"/>
          <w:color w:val="auto"/>
          <w:spacing w:val="-1"/>
          <w:position w:val="18"/>
          <w:sz w:val="24"/>
          <w:szCs w:val="24"/>
          <w:highlight w:val="none"/>
          <w:lang w:eastAsia="zh-CN"/>
        </w:rPr>
        <w:t>）单位负责人为同一人或者存在控股、管理关系的不同单位，不得同时参加本项目的投标。为本项目提供整体设计、规范编制或者项目管理、监理、检测等服务的投标人，不得再参加本项目投标；</w:t>
      </w:r>
    </w:p>
    <w:p w14:paraId="6D8AF239">
      <w:pPr>
        <w:pStyle w:val="18"/>
        <w:spacing w:before="35" w:line="360" w:lineRule="auto"/>
        <w:ind w:left="108" w:right="136" w:firstLine="23"/>
        <w:rPr>
          <w:rFonts w:hint="eastAsia" w:asciiTheme="minorEastAsia" w:hAnsiTheme="minorEastAsia" w:eastAsiaTheme="minorEastAsia" w:cstheme="minorEastAsia"/>
          <w:color w:val="auto"/>
          <w:spacing w:val="24"/>
          <w:position w:val="18"/>
          <w:sz w:val="24"/>
          <w:szCs w:val="24"/>
          <w:highlight w:val="none"/>
          <w:lang w:eastAsia="zh-CN"/>
        </w:rPr>
      </w:pPr>
      <w:r>
        <w:rPr>
          <w:rFonts w:hint="eastAsia" w:asciiTheme="minorEastAsia" w:hAnsiTheme="minorEastAsia" w:eastAsiaTheme="minorEastAsia" w:cstheme="minorEastAsia"/>
          <w:color w:val="auto"/>
          <w:spacing w:val="-1"/>
          <w:position w:val="18"/>
          <w:sz w:val="24"/>
          <w:szCs w:val="24"/>
          <w:highlight w:val="none"/>
          <w:lang w:eastAsia="zh-CN"/>
        </w:rPr>
        <w:t>（</w:t>
      </w:r>
      <w:r>
        <w:rPr>
          <w:rFonts w:hint="eastAsia" w:asciiTheme="minorEastAsia" w:hAnsiTheme="minorEastAsia" w:eastAsiaTheme="minorEastAsia" w:cstheme="minorEastAsia"/>
          <w:color w:val="auto"/>
          <w:spacing w:val="-1"/>
          <w:position w:val="18"/>
          <w:sz w:val="24"/>
          <w:szCs w:val="24"/>
          <w:highlight w:val="none"/>
          <w:lang w:val="en-US" w:eastAsia="zh-CN"/>
        </w:rPr>
        <w:t>4</w:t>
      </w:r>
      <w:r>
        <w:rPr>
          <w:rFonts w:hint="eastAsia" w:asciiTheme="minorEastAsia" w:hAnsiTheme="minorEastAsia" w:eastAsiaTheme="minorEastAsia" w:cstheme="minorEastAsia"/>
          <w:color w:val="auto"/>
          <w:spacing w:val="-1"/>
          <w:position w:val="18"/>
          <w:sz w:val="24"/>
          <w:szCs w:val="24"/>
          <w:highlight w:val="none"/>
          <w:lang w:eastAsia="zh-CN"/>
        </w:rPr>
        <w:t>）供应商需提供近三年内（2022年4月至今）类似业绩2个。其中，一份完整业绩证明材料包括：中标（成交）通知书、合同关键页复印件（或扫描件）加盖公章及开具的供货发票复印件，缺一项视为无效业绩，业绩证明材料需清晰可辨认、可查，否则视为无效业绩）。</w:t>
      </w:r>
    </w:p>
    <w:p w14:paraId="53976706">
      <w:pPr>
        <w:pStyle w:val="4"/>
        <w:spacing w:before="35" w:line="360" w:lineRule="auto"/>
        <w:ind w:left="107" w:right="138"/>
        <w:rPr>
          <w:rFonts w:hint="eastAsia" w:ascii="宋体" w:hAnsi="宋体" w:eastAsia="宋体" w:cs="宋体"/>
          <w:color w:val="auto"/>
          <w:spacing w:val="-6"/>
          <w:sz w:val="24"/>
          <w:szCs w:val="24"/>
          <w:highlight w:val="none"/>
          <w:lang w:eastAsia="zh-CN"/>
          <w14:textOutline w14:w="4394" w14:cap="flat" w14:cmpd="sng" w14:algn="ctr">
            <w14:solidFill>
              <w14:srgbClr w14:val="000000"/>
            </w14:solidFill>
            <w14:prstDash w14:val="solid"/>
            <w14:miter w14:val="0"/>
          </w14:textOutline>
        </w:rPr>
      </w:pPr>
      <w:bookmarkStart w:id="12" w:name="_Toc24932"/>
      <w:r>
        <w:rPr>
          <w:rFonts w:hint="eastAsia" w:ascii="宋体" w:hAnsi="宋体" w:eastAsia="宋体" w:cs="宋体"/>
          <w:color w:val="auto"/>
          <w:spacing w:val="-6"/>
          <w:sz w:val="24"/>
          <w:szCs w:val="24"/>
          <w:highlight w:val="none"/>
          <w:lang w:eastAsia="zh-CN"/>
          <w14:textOutline w14:w="4394" w14:cap="flat" w14:cmpd="sng" w14:algn="ctr">
            <w14:solidFill>
              <w14:srgbClr w14:val="000000"/>
            </w14:solidFill>
            <w14:prstDash w14:val="solid"/>
            <w14:miter w14:val="0"/>
          </w14:textOutline>
        </w:rPr>
        <w:t>三、获取采购文件</w:t>
      </w:r>
      <w:bookmarkEnd w:id="12"/>
    </w:p>
    <w:p w14:paraId="7AAA7C9E">
      <w:pPr>
        <w:pStyle w:val="13"/>
        <w:spacing w:line="360" w:lineRule="auto"/>
        <w:ind w:firstLine="420"/>
        <w:rPr>
          <w:rFonts w:hint="eastAsia" w:eastAsia="宋体"/>
          <w:color w:val="auto"/>
          <w:highlight w:val="none"/>
          <w:lang w:eastAsia="zh-CN"/>
        </w:rPr>
      </w:pPr>
      <w:r>
        <w:rPr>
          <w:rFonts w:hint="eastAsia" w:eastAsia="宋体"/>
          <w:color w:val="auto"/>
          <w:highlight w:val="none"/>
          <w:lang w:eastAsia="zh-CN"/>
        </w:rPr>
        <w:t>时间：2025年</w:t>
      </w:r>
      <w:r>
        <w:rPr>
          <w:rFonts w:hint="eastAsia" w:eastAsia="宋体"/>
          <w:color w:val="auto"/>
          <w:highlight w:val="none"/>
          <w:lang w:val="en-US" w:eastAsia="zh-CN"/>
        </w:rPr>
        <w:t>4</w:t>
      </w:r>
      <w:r>
        <w:rPr>
          <w:rFonts w:hint="eastAsia" w:eastAsia="宋体"/>
          <w:color w:val="auto"/>
          <w:highlight w:val="none"/>
          <w:lang w:eastAsia="zh-CN"/>
        </w:rPr>
        <w:t>月</w:t>
      </w:r>
      <w:r>
        <w:rPr>
          <w:rFonts w:hint="eastAsia" w:eastAsia="宋体"/>
          <w:color w:val="auto"/>
          <w:highlight w:val="none"/>
          <w:lang w:val="en-US" w:eastAsia="zh-CN"/>
        </w:rPr>
        <w:t>18</w:t>
      </w:r>
      <w:r>
        <w:rPr>
          <w:rFonts w:hint="eastAsia" w:eastAsia="宋体"/>
          <w:color w:val="auto"/>
          <w:highlight w:val="none"/>
          <w:lang w:eastAsia="zh-CN"/>
        </w:rPr>
        <w:t>日至2025年</w:t>
      </w:r>
      <w:r>
        <w:rPr>
          <w:rFonts w:hint="eastAsia" w:eastAsia="宋体"/>
          <w:color w:val="auto"/>
          <w:highlight w:val="none"/>
          <w:lang w:val="en-US" w:eastAsia="zh-CN"/>
        </w:rPr>
        <w:t>4</w:t>
      </w:r>
      <w:r>
        <w:rPr>
          <w:rFonts w:hint="eastAsia" w:eastAsia="宋体"/>
          <w:color w:val="auto"/>
          <w:highlight w:val="none"/>
          <w:lang w:eastAsia="zh-CN"/>
        </w:rPr>
        <w:t>月</w:t>
      </w:r>
      <w:r>
        <w:rPr>
          <w:rFonts w:hint="eastAsia" w:eastAsia="宋体"/>
          <w:color w:val="auto"/>
          <w:highlight w:val="none"/>
          <w:lang w:val="en-US" w:eastAsia="zh-CN"/>
        </w:rPr>
        <w:t>22</w:t>
      </w:r>
      <w:r>
        <w:rPr>
          <w:rFonts w:hint="eastAsia" w:eastAsia="宋体"/>
          <w:color w:val="auto"/>
          <w:highlight w:val="none"/>
          <w:lang w:eastAsia="zh-CN"/>
        </w:rPr>
        <w:t>日，每天上午10:30至13:30，下午15:30至19:30（北京时间，法定节假日除外）</w:t>
      </w:r>
    </w:p>
    <w:p w14:paraId="246ED0D7">
      <w:pPr>
        <w:pStyle w:val="13"/>
        <w:spacing w:line="360" w:lineRule="auto"/>
        <w:ind w:firstLine="420"/>
        <w:rPr>
          <w:rFonts w:hint="eastAsia" w:eastAsia="宋体"/>
          <w:color w:val="auto"/>
          <w:highlight w:val="none"/>
        </w:rPr>
      </w:pPr>
      <w:r>
        <w:rPr>
          <w:rFonts w:hint="eastAsia" w:eastAsia="宋体"/>
          <w:color w:val="auto"/>
          <w:highlight w:val="none"/>
        </w:rPr>
        <w:t>地点：新疆政府采购网（</w:t>
      </w:r>
      <w:r>
        <w:rPr>
          <w:color w:val="auto"/>
          <w:highlight w:val="none"/>
        </w:rPr>
        <w:fldChar w:fldCharType="begin"/>
      </w:r>
      <w:r>
        <w:rPr>
          <w:color w:val="auto"/>
          <w:highlight w:val="none"/>
        </w:rPr>
        <w:instrText xml:space="preserve"> HYPERLINK "http://www.ccgp-xinjiang.gov.cn" </w:instrText>
      </w:r>
      <w:r>
        <w:rPr>
          <w:color w:val="auto"/>
          <w:highlight w:val="none"/>
        </w:rPr>
        <w:fldChar w:fldCharType="separate"/>
      </w:r>
      <w:r>
        <w:rPr>
          <w:rFonts w:hint="eastAsia" w:eastAsia="宋体"/>
          <w:color w:val="auto"/>
          <w:highlight w:val="none"/>
        </w:rPr>
        <w:t>http://www.ccgp-xinjiang.gov.cn</w:t>
      </w:r>
      <w:r>
        <w:rPr>
          <w:rFonts w:hint="eastAsia" w:eastAsia="宋体"/>
          <w:color w:val="auto"/>
          <w:highlight w:val="none"/>
        </w:rPr>
        <w:fldChar w:fldCharType="end"/>
      </w:r>
      <w:r>
        <w:rPr>
          <w:rFonts w:hint="eastAsia" w:eastAsia="宋体"/>
          <w:color w:val="auto"/>
          <w:highlight w:val="none"/>
        </w:rPr>
        <w:t>）政采云平台</w:t>
      </w:r>
    </w:p>
    <w:p w14:paraId="59155FB2">
      <w:pPr>
        <w:pStyle w:val="13"/>
        <w:spacing w:line="360" w:lineRule="auto"/>
        <w:ind w:firstLine="420"/>
        <w:rPr>
          <w:rFonts w:hint="eastAsia" w:eastAsia="宋体"/>
          <w:color w:val="auto"/>
          <w:highlight w:val="none"/>
        </w:rPr>
      </w:pPr>
      <w:r>
        <w:rPr>
          <w:rFonts w:hint="eastAsia" w:eastAsia="宋体"/>
          <w:color w:val="auto"/>
          <w:highlight w:val="none"/>
          <w:lang w:eastAsia="zh-CN"/>
        </w:rPr>
        <w:t>线上获</w:t>
      </w:r>
      <w:r>
        <w:rPr>
          <w:rFonts w:hint="eastAsia" w:eastAsia="宋体"/>
          <w:color w:val="auto"/>
          <w:highlight w:val="none"/>
        </w:rPr>
        <w:t>取。</w:t>
      </w:r>
    </w:p>
    <w:p w14:paraId="66B2E79C">
      <w:pPr>
        <w:pStyle w:val="13"/>
        <w:spacing w:line="360" w:lineRule="auto"/>
        <w:ind w:firstLine="420"/>
        <w:rPr>
          <w:rFonts w:hint="eastAsia" w:eastAsia="宋体"/>
          <w:color w:val="auto"/>
          <w:highlight w:val="none"/>
        </w:rPr>
      </w:pPr>
      <w:r>
        <w:rPr>
          <w:rFonts w:hint="eastAsia" w:eastAsia="宋体"/>
          <w:color w:val="auto"/>
          <w:highlight w:val="none"/>
        </w:rPr>
        <w:t>方式：供应商登录政采云平台https://www.zcygov.cn/在线申请获取采购文件（进入“项目采购”应用，在获取采购文件菜单中选择项目，申请获取采购文件）</w:t>
      </w:r>
    </w:p>
    <w:p w14:paraId="4AE6A2D0">
      <w:pPr>
        <w:pStyle w:val="13"/>
        <w:tabs>
          <w:tab w:val="left" w:pos="3588"/>
        </w:tabs>
        <w:spacing w:line="360" w:lineRule="auto"/>
        <w:ind w:firstLine="420"/>
        <w:rPr>
          <w:rFonts w:hint="eastAsia" w:eastAsia="宋体"/>
          <w:color w:val="auto"/>
          <w:highlight w:val="none"/>
          <w:lang w:eastAsia="zh-CN"/>
        </w:rPr>
      </w:pPr>
      <w:r>
        <w:rPr>
          <w:rFonts w:hint="eastAsia" w:eastAsia="宋体"/>
          <w:color w:val="auto"/>
          <w:highlight w:val="none"/>
          <w:lang w:eastAsia="zh-CN"/>
        </w:rPr>
        <w:t>售价（元）：0元</w:t>
      </w:r>
      <w:r>
        <w:rPr>
          <w:rFonts w:hint="eastAsia" w:eastAsia="宋体"/>
          <w:color w:val="auto"/>
          <w:highlight w:val="none"/>
          <w:lang w:eastAsia="zh-CN"/>
        </w:rPr>
        <w:tab/>
      </w:r>
    </w:p>
    <w:p w14:paraId="36F83157">
      <w:pPr>
        <w:spacing w:before="187"/>
        <w:ind w:left="25"/>
        <w:outlineLvl w:val="1"/>
        <w:rPr>
          <w:rFonts w:hint="eastAsia" w:ascii="宋体" w:hAnsi="宋体" w:eastAsia="宋体" w:cs="宋体"/>
          <w:color w:val="auto"/>
          <w:sz w:val="24"/>
          <w:szCs w:val="24"/>
          <w:highlight w:val="none"/>
          <w:lang w:eastAsia="zh-CN"/>
        </w:rPr>
      </w:pPr>
      <w:bookmarkStart w:id="13" w:name="_Toc7385"/>
      <w:r>
        <w:rPr>
          <w:rFonts w:hint="eastAsia" w:ascii="宋体" w:hAnsi="宋体" w:eastAsia="宋体" w:cs="宋体"/>
          <w:color w:val="auto"/>
          <w:spacing w:val="-6"/>
          <w:sz w:val="24"/>
          <w:szCs w:val="24"/>
          <w:highlight w:val="none"/>
          <w:lang w:eastAsia="zh-CN"/>
          <w14:textOutline w14:w="4394" w14:cap="flat" w14:cmpd="sng" w14:algn="ctr">
            <w14:solidFill>
              <w14:srgbClr w14:val="000000"/>
            </w14:solidFill>
            <w14:prstDash w14:val="solid"/>
            <w14:miter w14:val="0"/>
          </w14:textOutline>
        </w:rPr>
        <w:t>四、</w:t>
      </w:r>
      <w:r>
        <w:rPr>
          <w:rFonts w:hint="eastAsia" w:ascii="宋体" w:hAnsi="宋体" w:eastAsia="宋体" w:cs="宋体"/>
          <w:color w:val="auto"/>
          <w:spacing w:val="-16"/>
          <w:sz w:val="24"/>
          <w:szCs w:val="24"/>
          <w:highlight w:val="none"/>
          <w:lang w:eastAsia="zh-CN"/>
        </w:rPr>
        <w:t xml:space="preserve"> </w:t>
      </w:r>
      <w:r>
        <w:rPr>
          <w:rFonts w:hint="eastAsia" w:ascii="宋体" w:hAnsi="宋体" w:eastAsia="宋体" w:cs="宋体"/>
          <w:color w:val="auto"/>
          <w:spacing w:val="-6"/>
          <w:sz w:val="24"/>
          <w:szCs w:val="24"/>
          <w:highlight w:val="none"/>
          <w:lang w:eastAsia="zh-CN"/>
          <w14:textOutline w14:w="4394" w14:cap="flat" w14:cmpd="sng" w14:algn="ctr">
            <w14:solidFill>
              <w14:srgbClr w14:val="000000"/>
            </w14:solidFill>
            <w14:prstDash w14:val="solid"/>
            <w14:miter w14:val="0"/>
          </w14:textOutline>
        </w:rPr>
        <w:t>响应文件提交</w:t>
      </w:r>
      <w:bookmarkEnd w:id="13"/>
    </w:p>
    <w:p w14:paraId="0FA217D4">
      <w:pPr>
        <w:spacing w:before="182" w:line="360" w:lineRule="auto"/>
        <w:ind w:left="479"/>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2"/>
          <w:sz w:val="24"/>
          <w:szCs w:val="24"/>
          <w:highlight w:val="none"/>
          <w:lang w:eastAsia="zh-CN"/>
        </w:rPr>
        <w:t>截止时间：</w:t>
      </w:r>
      <w:r>
        <w:rPr>
          <w:rFonts w:hint="eastAsia" w:ascii="宋体" w:hAnsi="宋体" w:eastAsia="宋体" w:cs="宋体"/>
          <w:color w:val="auto"/>
          <w:spacing w:val="19"/>
          <w:w w:val="101"/>
          <w:sz w:val="24"/>
          <w:szCs w:val="24"/>
          <w:highlight w:val="none"/>
          <w:lang w:eastAsia="zh-CN"/>
        </w:rPr>
        <w:t xml:space="preserve"> </w:t>
      </w:r>
      <w:r>
        <w:rPr>
          <w:rFonts w:hint="eastAsia" w:ascii="宋体" w:hAnsi="宋体" w:eastAsia="宋体" w:cs="宋体"/>
          <w:color w:val="auto"/>
          <w:spacing w:val="2"/>
          <w:sz w:val="24"/>
          <w:szCs w:val="24"/>
          <w:highlight w:val="none"/>
          <w:lang w:eastAsia="zh-CN"/>
        </w:rPr>
        <w:t xml:space="preserve"> 2025年</w:t>
      </w:r>
      <w:r>
        <w:rPr>
          <w:rFonts w:hint="eastAsia" w:ascii="宋体" w:hAnsi="宋体" w:eastAsia="宋体" w:cs="宋体"/>
          <w:color w:val="auto"/>
          <w:spacing w:val="2"/>
          <w:sz w:val="24"/>
          <w:szCs w:val="24"/>
          <w:highlight w:val="none"/>
          <w:lang w:val="en-US" w:eastAsia="zh-CN"/>
        </w:rPr>
        <w:t>4</w:t>
      </w:r>
      <w:r>
        <w:rPr>
          <w:rFonts w:hint="eastAsia" w:ascii="宋体" w:hAnsi="宋体" w:eastAsia="宋体" w:cs="宋体"/>
          <w:color w:val="auto"/>
          <w:spacing w:val="2"/>
          <w:sz w:val="24"/>
          <w:szCs w:val="24"/>
          <w:highlight w:val="none"/>
          <w:lang w:eastAsia="zh-CN"/>
        </w:rPr>
        <w:t>月</w:t>
      </w:r>
      <w:r>
        <w:rPr>
          <w:rFonts w:hint="eastAsia" w:ascii="宋体" w:hAnsi="宋体" w:eastAsia="宋体" w:cs="宋体"/>
          <w:color w:val="auto"/>
          <w:spacing w:val="2"/>
          <w:sz w:val="24"/>
          <w:szCs w:val="24"/>
          <w:highlight w:val="none"/>
          <w:lang w:val="en-US" w:eastAsia="zh-CN"/>
        </w:rPr>
        <w:t>24</w:t>
      </w:r>
      <w:r>
        <w:rPr>
          <w:rFonts w:hint="eastAsia" w:ascii="宋体" w:hAnsi="宋体" w:eastAsia="宋体" w:cs="宋体"/>
          <w:color w:val="auto"/>
          <w:spacing w:val="2"/>
          <w:sz w:val="24"/>
          <w:szCs w:val="24"/>
          <w:highlight w:val="none"/>
          <w:lang w:eastAsia="zh-CN"/>
        </w:rPr>
        <w:t>日1</w:t>
      </w:r>
      <w:r>
        <w:rPr>
          <w:rFonts w:hint="eastAsia" w:ascii="宋体" w:hAnsi="宋体" w:eastAsia="宋体" w:cs="宋体"/>
          <w:color w:val="auto"/>
          <w:spacing w:val="2"/>
          <w:sz w:val="24"/>
          <w:szCs w:val="24"/>
          <w:highlight w:val="none"/>
          <w:lang w:val="en-US" w:eastAsia="zh-CN"/>
        </w:rPr>
        <w:t>6</w:t>
      </w:r>
      <w:r>
        <w:rPr>
          <w:rFonts w:hint="eastAsia" w:ascii="宋体" w:hAnsi="宋体" w:eastAsia="宋体" w:cs="宋体"/>
          <w:color w:val="auto"/>
          <w:spacing w:val="2"/>
          <w:sz w:val="24"/>
          <w:szCs w:val="24"/>
          <w:highlight w:val="none"/>
          <w:lang w:eastAsia="zh-CN"/>
        </w:rPr>
        <w:t>:00 （北京时间</w:t>
      </w:r>
      <w:r>
        <w:rPr>
          <w:rFonts w:hint="eastAsia" w:ascii="宋体" w:hAnsi="宋体" w:eastAsia="宋体" w:cs="宋体"/>
          <w:color w:val="auto"/>
          <w:spacing w:val="1"/>
          <w:sz w:val="24"/>
          <w:szCs w:val="24"/>
          <w:highlight w:val="none"/>
          <w:lang w:eastAsia="zh-CN"/>
        </w:rPr>
        <w:t>）新疆政府采购网（</w:t>
      </w:r>
      <w:r>
        <w:rPr>
          <w:rFonts w:hint="eastAsia" w:ascii="宋体" w:hAnsi="宋体" w:eastAsia="宋体" w:cs="宋体"/>
          <w:color w:val="auto"/>
          <w:sz w:val="24"/>
          <w:szCs w:val="24"/>
          <w:highlight w:val="none"/>
          <w:lang w:eastAsia="zh-CN"/>
        </w:rPr>
        <w:t>http</w:t>
      </w:r>
      <w:r>
        <w:rPr>
          <w:rFonts w:hint="eastAsia" w:ascii="宋体" w:hAnsi="宋体" w:eastAsia="宋体" w:cs="宋体"/>
          <w:color w:val="auto"/>
          <w:spacing w:val="1"/>
          <w:sz w:val="24"/>
          <w:szCs w:val="24"/>
          <w:highlight w:val="none"/>
          <w:lang w:eastAsia="zh-CN"/>
        </w:rPr>
        <w:t>://</w:t>
      </w:r>
      <w:r>
        <w:rPr>
          <w:rFonts w:hint="eastAsia" w:ascii="宋体" w:hAnsi="宋体" w:eastAsia="宋体" w:cs="宋体"/>
          <w:color w:val="auto"/>
          <w:sz w:val="24"/>
          <w:szCs w:val="24"/>
          <w:highlight w:val="none"/>
          <w:lang w:eastAsia="zh-CN"/>
        </w:rPr>
        <w:t>www</w:t>
      </w:r>
      <w:r>
        <w:rPr>
          <w:rFonts w:hint="eastAsia" w:ascii="宋体" w:hAnsi="宋体" w:eastAsia="宋体" w:cs="宋体"/>
          <w:color w:val="auto"/>
          <w:spacing w:val="1"/>
          <w:sz w:val="24"/>
          <w:szCs w:val="24"/>
          <w:highlight w:val="none"/>
          <w:lang w:eastAsia="zh-CN"/>
        </w:rPr>
        <w:t>.</w:t>
      </w:r>
      <w:r>
        <w:rPr>
          <w:rFonts w:hint="eastAsia" w:ascii="宋体" w:hAnsi="宋体" w:eastAsia="宋体" w:cs="宋体"/>
          <w:color w:val="auto"/>
          <w:sz w:val="24"/>
          <w:szCs w:val="24"/>
          <w:highlight w:val="none"/>
          <w:lang w:eastAsia="zh-CN"/>
        </w:rPr>
        <w:t>ccg</w:t>
      </w:r>
      <w:r>
        <w:rPr>
          <w:rFonts w:hint="eastAsia" w:ascii="宋体" w:hAnsi="宋体" w:eastAsia="宋体" w:cs="宋体"/>
          <w:color w:val="auto"/>
          <w:spacing w:val="7"/>
          <w:sz w:val="24"/>
          <w:szCs w:val="24"/>
          <w:highlight w:val="none"/>
          <w:lang w:eastAsia="zh-CN"/>
        </w:rPr>
        <w:t>p-</w:t>
      </w:r>
      <w:r>
        <w:rPr>
          <w:rFonts w:hint="eastAsia" w:ascii="宋体" w:hAnsi="宋体" w:eastAsia="宋体" w:cs="宋体"/>
          <w:color w:val="auto"/>
          <w:sz w:val="24"/>
          <w:szCs w:val="24"/>
          <w:highlight w:val="none"/>
          <w:lang w:eastAsia="zh-CN"/>
        </w:rPr>
        <w:t>xinjiang</w:t>
      </w:r>
      <w:r>
        <w:rPr>
          <w:rFonts w:hint="eastAsia" w:ascii="宋体" w:hAnsi="宋体" w:eastAsia="宋体" w:cs="宋体"/>
          <w:color w:val="auto"/>
          <w:spacing w:val="7"/>
          <w:sz w:val="24"/>
          <w:szCs w:val="24"/>
          <w:highlight w:val="none"/>
          <w:lang w:eastAsia="zh-CN"/>
        </w:rPr>
        <w:t>.</w:t>
      </w:r>
      <w:r>
        <w:rPr>
          <w:rFonts w:hint="eastAsia" w:ascii="宋体" w:hAnsi="宋体" w:eastAsia="宋体" w:cs="宋体"/>
          <w:color w:val="auto"/>
          <w:sz w:val="24"/>
          <w:szCs w:val="24"/>
          <w:highlight w:val="none"/>
          <w:lang w:eastAsia="zh-CN"/>
        </w:rPr>
        <w:t>gov</w:t>
      </w:r>
      <w:r>
        <w:rPr>
          <w:rFonts w:hint="eastAsia" w:ascii="宋体" w:hAnsi="宋体" w:eastAsia="宋体" w:cs="宋体"/>
          <w:color w:val="auto"/>
          <w:spacing w:val="7"/>
          <w:sz w:val="24"/>
          <w:szCs w:val="24"/>
          <w:highlight w:val="none"/>
          <w:lang w:eastAsia="zh-CN"/>
        </w:rPr>
        <w:t>.</w:t>
      </w:r>
      <w:r>
        <w:rPr>
          <w:rFonts w:hint="eastAsia" w:ascii="宋体" w:hAnsi="宋体" w:eastAsia="宋体" w:cs="宋体"/>
          <w:color w:val="auto"/>
          <w:sz w:val="24"/>
          <w:szCs w:val="24"/>
          <w:highlight w:val="none"/>
          <w:lang w:eastAsia="zh-CN"/>
        </w:rPr>
        <w:t>cn</w:t>
      </w:r>
      <w:r>
        <w:rPr>
          <w:rFonts w:hint="eastAsia" w:ascii="宋体" w:hAnsi="宋体" w:eastAsia="宋体" w:cs="宋体"/>
          <w:color w:val="auto"/>
          <w:spacing w:val="-40"/>
          <w:sz w:val="24"/>
          <w:szCs w:val="24"/>
          <w:highlight w:val="none"/>
          <w:lang w:eastAsia="zh-CN"/>
        </w:rPr>
        <w:t xml:space="preserve"> </w:t>
      </w:r>
      <w:r>
        <w:rPr>
          <w:rFonts w:hint="eastAsia" w:ascii="宋体" w:hAnsi="宋体" w:eastAsia="宋体" w:cs="宋体"/>
          <w:color w:val="auto"/>
          <w:spacing w:val="7"/>
          <w:sz w:val="24"/>
          <w:szCs w:val="24"/>
          <w:highlight w:val="none"/>
          <w:lang w:eastAsia="zh-CN"/>
        </w:rPr>
        <w:t>）政采云平台）</w:t>
      </w:r>
    </w:p>
    <w:p w14:paraId="0F8BF635">
      <w:pPr>
        <w:pStyle w:val="9"/>
        <w:spacing w:before="225" w:line="360" w:lineRule="auto"/>
        <w:ind w:left="47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地点：</w:t>
      </w:r>
      <w:r>
        <w:rPr>
          <w:rFonts w:hint="eastAsia" w:ascii="宋体" w:hAnsi="宋体" w:eastAsia="宋体" w:cs="宋体"/>
          <w:color w:val="auto"/>
          <w:sz w:val="24"/>
          <w:szCs w:val="24"/>
          <w:highlight w:val="none"/>
        </w:rPr>
        <w:t>政采云平台（https://www.zcygov.cn/）</w:t>
      </w:r>
    </w:p>
    <w:p w14:paraId="3BD73CFA">
      <w:pPr>
        <w:spacing w:before="214"/>
        <w:ind w:left="6"/>
        <w:outlineLvl w:val="1"/>
        <w:rPr>
          <w:rFonts w:hint="eastAsia" w:ascii="宋体" w:hAnsi="宋体" w:eastAsia="宋体" w:cs="宋体"/>
          <w:color w:val="auto"/>
          <w:sz w:val="24"/>
          <w:szCs w:val="24"/>
          <w:highlight w:val="none"/>
          <w:lang w:eastAsia="zh-CN"/>
        </w:rPr>
      </w:pPr>
      <w:bookmarkStart w:id="14" w:name="_Toc4761"/>
      <w:r>
        <w:rPr>
          <w:rFonts w:hint="eastAsia" w:ascii="宋体" w:hAnsi="宋体" w:eastAsia="宋体" w:cs="宋体"/>
          <w:color w:val="auto"/>
          <w:spacing w:val="8"/>
          <w:sz w:val="24"/>
          <w:szCs w:val="24"/>
          <w:highlight w:val="none"/>
          <w:lang w:eastAsia="zh-CN"/>
          <w14:textOutline w14:w="4394" w14:cap="flat" w14:cmpd="sng" w14:algn="ctr">
            <w14:solidFill>
              <w14:srgbClr w14:val="000000"/>
            </w14:solidFill>
            <w14:prstDash w14:val="solid"/>
            <w14:miter w14:val="0"/>
          </w14:textOutline>
        </w:rPr>
        <w:t>五、响应文件开启</w:t>
      </w:r>
      <w:bookmarkEnd w:id="14"/>
    </w:p>
    <w:p w14:paraId="26BCF8A8">
      <w:pPr>
        <w:spacing w:before="182" w:line="360" w:lineRule="auto"/>
        <w:ind w:left="483"/>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6"/>
          <w:sz w:val="24"/>
          <w:szCs w:val="24"/>
          <w:highlight w:val="none"/>
          <w:lang w:eastAsia="zh-CN"/>
        </w:rPr>
        <w:t>开启时间：</w:t>
      </w:r>
      <w:r>
        <w:rPr>
          <w:rFonts w:hint="eastAsia" w:asciiTheme="minorEastAsia" w:hAnsiTheme="minorEastAsia" w:eastAsiaTheme="minorEastAsia" w:cstheme="minorEastAsia"/>
          <w:color w:val="auto"/>
          <w:spacing w:val="24"/>
          <w:sz w:val="24"/>
          <w:szCs w:val="24"/>
          <w:highlight w:val="none"/>
          <w:lang w:eastAsia="zh-CN"/>
        </w:rPr>
        <w:t xml:space="preserve"> </w:t>
      </w:r>
      <w:r>
        <w:rPr>
          <w:rFonts w:hint="eastAsia" w:asciiTheme="minorEastAsia" w:hAnsiTheme="minorEastAsia" w:eastAsiaTheme="minorEastAsia" w:cstheme="minorEastAsia"/>
          <w:color w:val="auto"/>
          <w:spacing w:val="-7"/>
          <w:sz w:val="24"/>
          <w:szCs w:val="24"/>
          <w:highlight w:val="none"/>
          <w:lang w:eastAsia="zh-CN"/>
        </w:rPr>
        <w:t xml:space="preserve">2025 年 </w:t>
      </w:r>
      <w:r>
        <w:rPr>
          <w:rFonts w:hint="eastAsia" w:asciiTheme="minorEastAsia" w:hAnsiTheme="minorEastAsia" w:eastAsiaTheme="minorEastAsia" w:cstheme="minorEastAsia"/>
          <w:color w:val="auto"/>
          <w:spacing w:val="-7"/>
          <w:sz w:val="24"/>
          <w:szCs w:val="24"/>
          <w:highlight w:val="none"/>
          <w:lang w:val="en-US" w:eastAsia="zh-CN"/>
        </w:rPr>
        <w:t xml:space="preserve">4 </w:t>
      </w:r>
      <w:r>
        <w:rPr>
          <w:rFonts w:hint="eastAsia" w:asciiTheme="minorEastAsia" w:hAnsiTheme="minorEastAsia" w:eastAsiaTheme="minorEastAsia" w:cstheme="minorEastAsia"/>
          <w:color w:val="auto"/>
          <w:spacing w:val="-7"/>
          <w:sz w:val="24"/>
          <w:szCs w:val="24"/>
          <w:highlight w:val="none"/>
          <w:lang w:eastAsia="zh-CN"/>
        </w:rPr>
        <w:t xml:space="preserve">月 </w:t>
      </w:r>
      <w:r>
        <w:rPr>
          <w:rFonts w:hint="eastAsia" w:asciiTheme="minorEastAsia" w:hAnsiTheme="minorEastAsia" w:eastAsiaTheme="minorEastAsia" w:cstheme="minorEastAsia"/>
          <w:color w:val="auto"/>
          <w:spacing w:val="-7"/>
          <w:sz w:val="24"/>
          <w:szCs w:val="24"/>
          <w:highlight w:val="none"/>
          <w:lang w:val="en-US" w:eastAsia="zh-CN"/>
        </w:rPr>
        <w:t xml:space="preserve">24 </w:t>
      </w:r>
      <w:r>
        <w:rPr>
          <w:rFonts w:hint="eastAsia" w:asciiTheme="minorEastAsia" w:hAnsiTheme="minorEastAsia" w:eastAsiaTheme="minorEastAsia" w:cstheme="minorEastAsia"/>
          <w:color w:val="auto"/>
          <w:spacing w:val="-7"/>
          <w:sz w:val="24"/>
          <w:szCs w:val="24"/>
          <w:highlight w:val="none"/>
          <w:lang w:eastAsia="zh-CN"/>
        </w:rPr>
        <w:t>日 1</w:t>
      </w:r>
      <w:r>
        <w:rPr>
          <w:rFonts w:hint="eastAsia" w:asciiTheme="minorEastAsia" w:hAnsiTheme="minorEastAsia" w:eastAsiaTheme="minorEastAsia" w:cstheme="minorEastAsia"/>
          <w:color w:val="auto"/>
          <w:spacing w:val="-7"/>
          <w:sz w:val="24"/>
          <w:szCs w:val="24"/>
          <w:highlight w:val="none"/>
          <w:lang w:val="en-US" w:eastAsia="zh-CN"/>
        </w:rPr>
        <w:t>6</w:t>
      </w:r>
      <w:r>
        <w:rPr>
          <w:rFonts w:hint="eastAsia" w:asciiTheme="minorEastAsia" w:hAnsiTheme="minorEastAsia" w:eastAsiaTheme="minorEastAsia" w:cstheme="minorEastAsia"/>
          <w:color w:val="auto"/>
          <w:spacing w:val="-7"/>
          <w:sz w:val="24"/>
          <w:szCs w:val="24"/>
          <w:highlight w:val="none"/>
          <w:lang w:eastAsia="zh-CN"/>
        </w:rPr>
        <w:t>:00 （</w:t>
      </w:r>
      <w:r>
        <w:rPr>
          <w:rFonts w:hint="eastAsia" w:asciiTheme="minorEastAsia" w:hAnsiTheme="minorEastAsia" w:eastAsiaTheme="minorEastAsia" w:cstheme="minorEastAsia"/>
          <w:color w:val="auto"/>
          <w:spacing w:val="-6"/>
          <w:sz w:val="24"/>
          <w:szCs w:val="24"/>
          <w:highlight w:val="none"/>
          <w:lang w:eastAsia="zh-CN"/>
        </w:rPr>
        <w:t>北京</w:t>
      </w:r>
      <w:r>
        <w:rPr>
          <w:rFonts w:hint="eastAsia" w:asciiTheme="minorEastAsia" w:hAnsiTheme="minorEastAsia" w:eastAsiaTheme="minorEastAsia" w:cstheme="minorEastAsia"/>
          <w:color w:val="auto"/>
          <w:spacing w:val="-7"/>
          <w:sz w:val="24"/>
          <w:szCs w:val="24"/>
          <w:highlight w:val="none"/>
          <w:lang w:eastAsia="zh-CN"/>
        </w:rPr>
        <w:t>时间）</w:t>
      </w:r>
    </w:p>
    <w:p w14:paraId="4CF20C32">
      <w:pPr>
        <w:spacing w:before="1" w:line="360" w:lineRule="auto"/>
        <w:ind w:left="482"/>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1"/>
          <w:sz w:val="24"/>
          <w:szCs w:val="24"/>
          <w:highlight w:val="none"/>
        </w:rPr>
        <w:t>地点：政采云平台（</w:t>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HYPERLINK "https://www.zcygov.cn/"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https</w:t>
      </w:r>
      <w:r>
        <w:rPr>
          <w:rFonts w:hint="eastAsia" w:asciiTheme="minorEastAsia" w:hAnsiTheme="minorEastAsia" w:eastAsiaTheme="minorEastAsia" w:cstheme="minorEastAsia"/>
          <w:color w:val="auto"/>
          <w:spacing w:val="11"/>
          <w:sz w:val="24"/>
          <w:szCs w:val="24"/>
          <w:highlight w:val="none"/>
        </w:rPr>
        <w:t>://</w:t>
      </w:r>
      <w:r>
        <w:rPr>
          <w:rFonts w:hint="eastAsia" w:asciiTheme="minorEastAsia" w:hAnsiTheme="minorEastAsia" w:eastAsiaTheme="minorEastAsia" w:cstheme="minorEastAsia"/>
          <w:color w:val="auto"/>
          <w:sz w:val="24"/>
          <w:szCs w:val="24"/>
          <w:highlight w:val="none"/>
        </w:rPr>
        <w:t>www</w:t>
      </w:r>
      <w:r>
        <w:rPr>
          <w:rFonts w:hint="eastAsia" w:asciiTheme="minorEastAsia" w:hAnsiTheme="minorEastAsia" w:eastAsiaTheme="minorEastAsia" w:cstheme="minorEastAsia"/>
          <w:color w:val="auto"/>
          <w:spacing w:val="11"/>
          <w:sz w:val="24"/>
          <w:szCs w:val="24"/>
          <w:highlight w:val="none"/>
        </w:rPr>
        <w:t>.</w:t>
      </w:r>
      <w:r>
        <w:rPr>
          <w:rFonts w:hint="eastAsia" w:asciiTheme="minorEastAsia" w:hAnsiTheme="minorEastAsia" w:eastAsiaTheme="minorEastAsia" w:cstheme="minorEastAsia"/>
          <w:color w:val="auto"/>
          <w:sz w:val="24"/>
          <w:szCs w:val="24"/>
          <w:highlight w:val="none"/>
        </w:rPr>
        <w:t>zcygov</w:t>
      </w:r>
      <w:r>
        <w:rPr>
          <w:rFonts w:hint="eastAsia" w:asciiTheme="minorEastAsia" w:hAnsiTheme="minorEastAsia" w:eastAsiaTheme="minorEastAsia" w:cstheme="minorEastAsia"/>
          <w:color w:val="auto"/>
          <w:spacing w:val="11"/>
          <w:sz w:val="24"/>
          <w:szCs w:val="24"/>
          <w:highlight w:val="none"/>
        </w:rPr>
        <w:t>.</w:t>
      </w:r>
      <w:r>
        <w:rPr>
          <w:rFonts w:hint="eastAsia" w:asciiTheme="minorEastAsia" w:hAnsiTheme="minorEastAsia" w:eastAsiaTheme="minorEastAsia" w:cstheme="minorEastAsia"/>
          <w:color w:val="auto"/>
          <w:sz w:val="24"/>
          <w:szCs w:val="24"/>
          <w:highlight w:val="none"/>
        </w:rPr>
        <w:t>cn</w:t>
      </w:r>
      <w:r>
        <w:rPr>
          <w:rFonts w:hint="eastAsia" w:asciiTheme="minorEastAsia" w:hAnsiTheme="minorEastAsia" w:eastAsiaTheme="minorEastAsia" w:cstheme="minorEastAsia"/>
          <w:color w:val="auto"/>
          <w:spacing w:val="11"/>
          <w:sz w:val="24"/>
          <w:szCs w:val="24"/>
          <w:highlight w:val="none"/>
        </w:rPr>
        <w:t>/</w:t>
      </w:r>
      <w:r>
        <w:rPr>
          <w:rFonts w:hint="eastAsia" w:asciiTheme="minorEastAsia" w:hAnsiTheme="minorEastAsia" w:eastAsiaTheme="minorEastAsia" w:cstheme="minorEastAsia"/>
          <w:color w:val="auto"/>
          <w:spacing w:val="11"/>
          <w:sz w:val="24"/>
          <w:szCs w:val="24"/>
          <w:highlight w:val="none"/>
        </w:rPr>
        <w:fldChar w:fldCharType="end"/>
      </w:r>
      <w:r>
        <w:rPr>
          <w:rFonts w:hint="eastAsia" w:asciiTheme="minorEastAsia" w:hAnsiTheme="minorEastAsia" w:eastAsiaTheme="minorEastAsia" w:cstheme="minorEastAsia"/>
          <w:color w:val="auto"/>
          <w:spacing w:val="11"/>
          <w:sz w:val="24"/>
          <w:szCs w:val="24"/>
          <w:highlight w:val="none"/>
        </w:rPr>
        <w:t>）</w:t>
      </w:r>
    </w:p>
    <w:p w14:paraId="673C5CEE">
      <w:pPr>
        <w:spacing w:before="252"/>
        <w:ind w:left="4"/>
        <w:outlineLvl w:val="1"/>
        <w:rPr>
          <w:rFonts w:hint="eastAsia" w:ascii="宋体" w:hAnsi="宋体" w:eastAsia="宋体" w:cs="宋体"/>
          <w:color w:val="auto"/>
          <w:sz w:val="24"/>
          <w:szCs w:val="24"/>
          <w:highlight w:val="none"/>
          <w:lang w:eastAsia="zh-CN"/>
        </w:rPr>
      </w:pPr>
      <w:bookmarkStart w:id="15" w:name="_Toc11885"/>
      <w:r>
        <w:rPr>
          <w:rFonts w:hint="eastAsia" w:ascii="宋体" w:hAnsi="宋体" w:eastAsia="宋体" w:cs="宋体"/>
          <w:color w:val="auto"/>
          <w:spacing w:val="-8"/>
          <w:sz w:val="24"/>
          <w:szCs w:val="24"/>
          <w:highlight w:val="none"/>
          <w:lang w:eastAsia="zh-CN"/>
          <w14:textOutline w14:w="4394" w14:cap="flat" w14:cmpd="sng" w14:algn="ctr">
            <w14:solidFill>
              <w14:srgbClr w14:val="000000"/>
            </w14:solidFill>
            <w14:prstDash w14:val="solid"/>
            <w14:miter w14:val="0"/>
          </w14:textOutline>
        </w:rPr>
        <w:t>六、</w:t>
      </w:r>
      <w:r>
        <w:rPr>
          <w:rFonts w:hint="eastAsia" w:ascii="宋体" w:hAnsi="宋体" w:eastAsia="宋体" w:cs="宋体"/>
          <w:color w:val="auto"/>
          <w:spacing w:val="-17"/>
          <w:sz w:val="24"/>
          <w:szCs w:val="24"/>
          <w:highlight w:val="none"/>
          <w:lang w:eastAsia="zh-CN"/>
        </w:rPr>
        <w:t xml:space="preserve"> </w:t>
      </w:r>
      <w:r>
        <w:rPr>
          <w:rFonts w:hint="eastAsia" w:ascii="宋体" w:hAnsi="宋体" w:eastAsia="宋体" w:cs="宋体"/>
          <w:color w:val="auto"/>
          <w:spacing w:val="-8"/>
          <w:sz w:val="24"/>
          <w:szCs w:val="24"/>
          <w:highlight w:val="none"/>
          <w:lang w:eastAsia="zh-CN"/>
          <w14:textOutline w14:w="4394" w14:cap="flat" w14:cmpd="sng" w14:algn="ctr">
            <w14:solidFill>
              <w14:srgbClr w14:val="000000"/>
            </w14:solidFill>
            <w14:prstDash w14:val="solid"/>
            <w14:miter w14:val="0"/>
          </w14:textOutline>
        </w:rPr>
        <w:t>公告期限</w:t>
      </w:r>
      <w:bookmarkEnd w:id="15"/>
    </w:p>
    <w:p w14:paraId="4FD53C05">
      <w:pPr>
        <w:spacing w:before="186"/>
        <w:ind w:left="522"/>
        <w:rPr>
          <w:rFonts w:hint="eastAsia" w:ascii="宋体" w:hAnsi="宋体" w:eastAsia="宋体" w:cs="宋体"/>
          <w:color w:val="auto"/>
          <w:sz w:val="24"/>
          <w:szCs w:val="24"/>
          <w:highlight w:val="none"/>
          <w:lang w:eastAsia="zh-CN"/>
        </w:rPr>
      </w:pPr>
      <w:r>
        <w:rPr>
          <w:rFonts w:hint="eastAsia" w:asciiTheme="minorEastAsia" w:hAnsiTheme="minorEastAsia" w:eastAsiaTheme="minorEastAsia" w:cstheme="minorEastAsia"/>
          <w:color w:val="auto"/>
          <w:spacing w:val="3"/>
          <w:sz w:val="24"/>
          <w:szCs w:val="24"/>
          <w:highlight w:val="none"/>
          <w:lang w:eastAsia="zh-CN"/>
        </w:rPr>
        <w:t>自本公告发布之日起 3 个工作日。</w:t>
      </w:r>
    </w:p>
    <w:p w14:paraId="4CCAD51B">
      <w:pPr>
        <w:spacing w:before="184"/>
        <w:ind w:left="1"/>
        <w:outlineLvl w:val="1"/>
        <w:rPr>
          <w:rFonts w:hint="eastAsia" w:ascii="宋体" w:hAnsi="宋体" w:eastAsia="宋体" w:cs="宋体"/>
          <w:color w:val="auto"/>
          <w:sz w:val="24"/>
          <w:szCs w:val="24"/>
          <w:highlight w:val="none"/>
          <w:lang w:eastAsia="zh-CN"/>
        </w:rPr>
      </w:pPr>
      <w:bookmarkStart w:id="16" w:name="_Toc17252"/>
      <w:r>
        <w:rPr>
          <w:rFonts w:hint="eastAsia" w:ascii="宋体" w:hAnsi="宋体" w:eastAsia="宋体" w:cs="宋体"/>
          <w:color w:val="auto"/>
          <w:spacing w:val="-3"/>
          <w:sz w:val="24"/>
          <w:szCs w:val="24"/>
          <w:highlight w:val="none"/>
          <w:lang w:eastAsia="zh-CN"/>
          <w14:textOutline w14:w="4394" w14:cap="flat" w14:cmpd="sng" w14:algn="ctr">
            <w14:solidFill>
              <w14:srgbClr w14:val="000000"/>
            </w14:solidFill>
            <w14:prstDash w14:val="solid"/>
            <w14:miter w14:val="0"/>
          </w14:textOutline>
        </w:rPr>
        <w:t>七、</w:t>
      </w:r>
      <w:r>
        <w:rPr>
          <w:rFonts w:hint="eastAsia" w:ascii="宋体" w:hAnsi="宋体" w:eastAsia="宋体" w:cs="宋体"/>
          <w:color w:val="auto"/>
          <w:spacing w:val="-16"/>
          <w:sz w:val="24"/>
          <w:szCs w:val="24"/>
          <w:highlight w:val="none"/>
          <w:lang w:eastAsia="zh-CN"/>
        </w:rPr>
        <w:t xml:space="preserve"> </w:t>
      </w:r>
      <w:r>
        <w:rPr>
          <w:rFonts w:hint="eastAsia" w:ascii="宋体" w:hAnsi="宋体" w:eastAsia="宋体" w:cs="宋体"/>
          <w:color w:val="auto"/>
          <w:spacing w:val="-3"/>
          <w:sz w:val="24"/>
          <w:szCs w:val="24"/>
          <w:highlight w:val="none"/>
          <w:lang w:eastAsia="zh-CN"/>
          <w14:textOutline w14:w="4394" w14:cap="flat" w14:cmpd="sng" w14:algn="ctr">
            <w14:solidFill>
              <w14:srgbClr w14:val="000000"/>
            </w14:solidFill>
            <w14:prstDash w14:val="solid"/>
            <w14:miter w14:val="0"/>
          </w14:textOutline>
        </w:rPr>
        <w:t>其他补充事宜</w:t>
      </w:r>
      <w:bookmarkEnd w:id="16"/>
    </w:p>
    <w:p w14:paraId="1747812F">
      <w:pPr>
        <w:pStyle w:val="13"/>
        <w:kinsoku/>
        <w:autoSpaceDE/>
        <w:autoSpaceDN/>
        <w:adjustRightInd/>
        <w:snapToGrid/>
        <w:spacing w:line="400" w:lineRule="exact"/>
        <w:ind w:right="84" w:rightChars="40" w:firstLine="420"/>
        <w:textAlignment w:val="auto"/>
        <w:rPr>
          <w:rFonts w:hint="eastAsia" w:eastAsia="宋体"/>
          <w:color w:val="auto"/>
          <w:sz w:val="24"/>
          <w:szCs w:val="24"/>
          <w:highlight w:val="none"/>
          <w:lang w:eastAsia="zh-CN"/>
        </w:rPr>
      </w:pPr>
      <w:bookmarkStart w:id="17" w:name="_Toc27669"/>
      <w:r>
        <w:rPr>
          <w:rFonts w:hint="eastAsia" w:eastAsia="宋体"/>
          <w:color w:val="auto"/>
          <w:sz w:val="24"/>
          <w:szCs w:val="24"/>
          <w:highlight w:val="none"/>
          <w:lang w:eastAsia="zh-CN"/>
        </w:rPr>
        <w:t>1、本项目实行网上投标，采用电子响应文件；</w:t>
      </w:r>
      <w:bookmarkEnd w:id="17"/>
    </w:p>
    <w:p w14:paraId="266B82B4">
      <w:pPr>
        <w:pStyle w:val="13"/>
        <w:kinsoku/>
        <w:autoSpaceDE/>
        <w:autoSpaceDN/>
        <w:adjustRightInd/>
        <w:snapToGrid/>
        <w:spacing w:line="400" w:lineRule="exact"/>
        <w:ind w:right="84" w:rightChars="40" w:firstLine="420"/>
        <w:textAlignment w:val="auto"/>
        <w:rPr>
          <w:rFonts w:hint="eastAsia" w:eastAsia="宋体"/>
          <w:color w:val="auto"/>
          <w:sz w:val="24"/>
          <w:szCs w:val="24"/>
          <w:highlight w:val="none"/>
          <w:lang w:eastAsia="zh-CN"/>
        </w:rPr>
      </w:pPr>
      <w:r>
        <w:rPr>
          <w:rFonts w:hint="eastAsia" w:eastAsia="宋体"/>
          <w:color w:val="auto"/>
          <w:sz w:val="24"/>
          <w:szCs w:val="24"/>
          <w:highlight w:val="none"/>
          <w:lang w:eastAsia="zh-CN"/>
        </w:rPr>
        <w:t>2、本项目采用远程不见面交易的模式。招标当日，供应商无需到达招标现场，仅需在任意地点登录政采云平台（https://www.zcygov.cn）不见面开标系统（进入“项目采购”应用，在开标评标菜单中选择进入开标大厅）</w:t>
      </w:r>
    </w:p>
    <w:p w14:paraId="09F574F9">
      <w:pPr>
        <w:pStyle w:val="13"/>
        <w:kinsoku/>
        <w:autoSpaceDE/>
        <w:autoSpaceDN/>
        <w:adjustRightInd/>
        <w:snapToGrid/>
        <w:spacing w:line="400" w:lineRule="exact"/>
        <w:ind w:right="84" w:rightChars="40" w:firstLine="420"/>
        <w:textAlignment w:val="auto"/>
        <w:rPr>
          <w:rFonts w:hint="eastAsia" w:eastAsia="宋体"/>
          <w:color w:val="auto"/>
          <w:sz w:val="24"/>
          <w:szCs w:val="24"/>
          <w:highlight w:val="none"/>
          <w:lang w:eastAsia="zh-CN"/>
        </w:rPr>
      </w:pPr>
      <w:r>
        <w:rPr>
          <w:rFonts w:hint="eastAsia" w:eastAsia="宋体"/>
          <w:color w:val="auto"/>
          <w:sz w:val="24"/>
          <w:szCs w:val="24"/>
          <w:highlight w:val="none"/>
          <w:lang w:eastAsia="zh-CN"/>
        </w:rPr>
        <w:t>3、各供应商应在开标前应确保成为政采云平台供应商，并完成CA数字证书（符合国密标准）申领。因未注册入库、未办理CA数字证书等原因造成无法投标或投标失败等后果由投标人自行承担。有意向参与电子开评标的投标人，可访问新疆数字证书认证中心官方网站（https://www.xjca.com.cn/）或下载“新疆政务通”APP自行进行申领。如需咨询，请联系新疆CA服务热线0991-2819290；</w:t>
      </w:r>
    </w:p>
    <w:p w14:paraId="656CDEC3">
      <w:pPr>
        <w:pStyle w:val="13"/>
        <w:widowControl w:val="0"/>
        <w:kinsoku/>
        <w:adjustRightInd/>
        <w:snapToGrid/>
        <w:spacing w:line="460" w:lineRule="exact"/>
        <w:ind w:right="84" w:rightChars="40" w:firstLine="480" w:firstLineChars="200"/>
        <w:jc w:val="both"/>
        <w:textAlignment w:val="auto"/>
        <w:rPr>
          <w:rFonts w:hint="eastAsia" w:eastAsia="宋体"/>
          <w:color w:val="auto"/>
          <w:sz w:val="24"/>
          <w:szCs w:val="24"/>
          <w:highlight w:val="none"/>
          <w:lang w:eastAsia="zh-CN"/>
        </w:rPr>
      </w:pPr>
      <w:r>
        <w:rPr>
          <w:rFonts w:hint="eastAsia" w:eastAsia="宋体"/>
          <w:color w:val="auto"/>
          <w:sz w:val="24"/>
          <w:szCs w:val="24"/>
          <w:highlight w:val="none"/>
          <w:lang w:eastAsia="zh-CN"/>
        </w:rPr>
        <w:t>4、供应商将政采云电子投标客户端下载、安装完成后，可通过账号密码或CA登录客户端进行响应文件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29705C74">
      <w:pPr>
        <w:pStyle w:val="13"/>
        <w:widowControl w:val="0"/>
        <w:kinsoku/>
        <w:adjustRightInd/>
        <w:snapToGrid/>
        <w:spacing w:line="460" w:lineRule="exact"/>
        <w:ind w:right="84" w:rightChars="40" w:firstLine="480" w:firstLineChars="200"/>
        <w:textAlignment w:val="auto"/>
        <w:rPr>
          <w:rFonts w:hint="eastAsia" w:eastAsia="宋体"/>
          <w:color w:val="auto"/>
          <w:sz w:val="24"/>
          <w:szCs w:val="24"/>
          <w:highlight w:val="none"/>
          <w:lang w:eastAsia="zh-CN"/>
        </w:rPr>
      </w:pPr>
      <w:r>
        <w:rPr>
          <w:rFonts w:hint="eastAsia" w:eastAsia="宋体"/>
          <w:color w:val="auto"/>
          <w:sz w:val="24"/>
          <w:szCs w:val="24"/>
          <w:highlight w:val="none"/>
          <w:lang w:eastAsia="zh-CN"/>
        </w:rPr>
        <w:t>5、</w:t>
      </w:r>
      <w:r>
        <w:rPr>
          <w:rFonts w:hint="eastAsia" w:eastAsia="宋体"/>
          <w:color w:val="auto"/>
          <w:sz w:val="24"/>
          <w:szCs w:val="24"/>
          <w:highlight w:val="none"/>
        </w:rPr>
        <w:t>凡拟参加本次招标项目的投标人须具有良好的信誉，未在“信用中国”网站（www.creditchina.gov.cn）被列入失信被执行人、重大税收违法案件当事人名单、政府采购严重违法失信名单的（尚在处罚期内的）、中国政府采购网（www.ccgp.gov.cn）被列入政府采购严重违法失信行为记录名单（尚在处罚期内的）</w:t>
      </w:r>
      <w:r>
        <w:rPr>
          <w:rFonts w:hint="eastAsia" w:eastAsia="宋体"/>
          <w:color w:val="auto"/>
          <w:sz w:val="24"/>
          <w:szCs w:val="24"/>
          <w:highlight w:val="none"/>
          <w:lang w:eastAsia="zh-CN"/>
        </w:rPr>
        <w:t>以</w:t>
      </w:r>
      <w:r>
        <w:rPr>
          <w:rFonts w:hint="eastAsia" w:eastAsia="宋体"/>
          <w:color w:val="auto"/>
          <w:sz w:val="24"/>
          <w:szCs w:val="24"/>
          <w:highlight w:val="none"/>
        </w:rPr>
        <w:t>及未被列入新疆税务局失信惩戒企业名单</w:t>
      </w:r>
      <w:r>
        <w:rPr>
          <w:rFonts w:hint="eastAsia" w:eastAsia="宋体"/>
          <w:color w:val="auto"/>
          <w:sz w:val="24"/>
          <w:szCs w:val="24"/>
          <w:highlight w:val="none"/>
          <w:lang w:eastAsia="zh-CN"/>
        </w:rPr>
        <w:t>（</w:t>
      </w:r>
      <w:r>
        <w:rPr>
          <w:rFonts w:hint="eastAsia" w:eastAsia="宋体"/>
          <w:color w:val="auto"/>
          <w:sz w:val="24"/>
          <w:szCs w:val="24"/>
          <w:highlight w:val="none"/>
        </w:rPr>
        <w:t>https://etax.xinjiang.chinatax.gov.cn/zdsswfaj/pages/swmh/wfcx.html</w:t>
      </w:r>
      <w:r>
        <w:rPr>
          <w:rFonts w:hint="eastAsia" w:eastAsia="宋体"/>
          <w:color w:val="auto"/>
          <w:sz w:val="24"/>
          <w:szCs w:val="24"/>
          <w:highlight w:val="none"/>
          <w:lang w:eastAsia="zh-CN"/>
        </w:rPr>
        <w:t>）</w:t>
      </w:r>
      <w:r>
        <w:rPr>
          <w:rFonts w:hint="eastAsia" w:eastAsia="宋体"/>
          <w:color w:val="auto"/>
          <w:sz w:val="24"/>
          <w:szCs w:val="24"/>
          <w:highlight w:val="none"/>
        </w:rPr>
        <w:t>。</w:t>
      </w:r>
      <w:r>
        <w:rPr>
          <w:rFonts w:hint="eastAsia" w:eastAsia="宋体"/>
          <w:color w:val="auto"/>
          <w:sz w:val="24"/>
          <w:szCs w:val="24"/>
          <w:highlight w:val="none"/>
          <w:lang w:eastAsia="zh-CN"/>
        </w:rPr>
        <w:t>近三年政府采购合同履约过程中及其他经营活动履约过程中因围标串标、偷税漏税、制售假冒伪劣商品等行为被有关行政部门处罚（处理）记录的，本项目不认定其具有良好的商业信誉，将拒绝其参本次招标活动。</w:t>
      </w:r>
    </w:p>
    <w:p w14:paraId="492DDB10">
      <w:pPr>
        <w:spacing w:before="178"/>
        <w:ind w:left="6"/>
        <w:outlineLvl w:val="1"/>
        <w:rPr>
          <w:rFonts w:hint="eastAsia" w:ascii="宋体" w:hAnsi="宋体" w:eastAsia="宋体" w:cs="宋体"/>
          <w:color w:val="auto"/>
          <w:sz w:val="24"/>
          <w:szCs w:val="24"/>
          <w:highlight w:val="none"/>
          <w:lang w:eastAsia="zh-CN"/>
        </w:rPr>
      </w:pPr>
      <w:bookmarkStart w:id="18" w:name="_Toc6258"/>
      <w:r>
        <w:rPr>
          <w:rFonts w:hint="eastAsia" w:ascii="宋体" w:hAnsi="宋体" w:eastAsia="宋体" w:cs="宋体"/>
          <w:color w:val="auto"/>
          <w:spacing w:val="4"/>
          <w:sz w:val="24"/>
          <w:szCs w:val="24"/>
          <w:highlight w:val="none"/>
          <w:lang w:eastAsia="zh-CN"/>
          <w14:textOutline w14:w="4394" w14:cap="flat" w14:cmpd="sng" w14:algn="ctr">
            <w14:solidFill>
              <w14:srgbClr w14:val="000000"/>
            </w14:solidFill>
            <w14:prstDash w14:val="solid"/>
            <w14:miter w14:val="0"/>
          </w14:textOutline>
        </w:rPr>
        <w:t>八、</w:t>
      </w:r>
      <w:r>
        <w:rPr>
          <w:rFonts w:hint="eastAsia" w:ascii="宋体" w:hAnsi="宋体" w:eastAsia="宋体" w:cs="宋体"/>
          <w:color w:val="auto"/>
          <w:spacing w:val="-18"/>
          <w:sz w:val="24"/>
          <w:szCs w:val="24"/>
          <w:highlight w:val="none"/>
          <w:lang w:eastAsia="zh-CN"/>
        </w:rPr>
        <w:t xml:space="preserve"> </w:t>
      </w:r>
      <w:r>
        <w:rPr>
          <w:rFonts w:hint="eastAsia" w:ascii="宋体" w:hAnsi="宋体" w:eastAsia="宋体" w:cs="宋体"/>
          <w:color w:val="auto"/>
          <w:spacing w:val="4"/>
          <w:sz w:val="24"/>
          <w:szCs w:val="24"/>
          <w:highlight w:val="none"/>
          <w:lang w:eastAsia="zh-CN"/>
          <w14:textOutline w14:w="4394" w14:cap="flat" w14:cmpd="sng" w14:algn="ctr">
            <w14:solidFill>
              <w14:srgbClr w14:val="000000"/>
            </w14:solidFill>
            <w14:prstDash w14:val="solid"/>
            <w14:miter w14:val="0"/>
          </w14:textOutline>
        </w:rPr>
        <w:t>对本次招标提出询问，请按以下方式联系。</w:t>
      </w:r>
      <w:bookmarkEnd w:id="18"/>
    </w:p>
    <w:p w14:paraId="1699C18C">
      <w:pPr>
        <w:spacing w:before="184" w:line="360" w:lineRule="auto"/>
        <w:ind w:left="529"/>
        <w:rPr>
          <w:rFonts w:hint="eastAsia" w:ascii="宋体" w:hAnsi="宋体" w:eastAsia="宋体" w:cs="宋体"/>
          <w:color w:val="auto"/>
          <w:sz w:val="24"/>
          <w:szCs w:val="24"/>
          <w:highlight w:val="none"/>
          <w:lang w:eastAsia="zh-CN"/>
        </w:rPr>
      </w:pPr>
      <w:bookmarkStart w:id="19" w:name="_Toc18557"/>
      <w:r>
        <w:rPr>
          <w:rFonts w:hint="eastAsia" w:ascii="宋体" w:hAnsi="宋体" w:eastAsia="宋体" w:cs="宋体"/>
          <w:color w:val="auto"/>
          <w:spacing w:val="-1"/>
          <w:sz w:val="24"/>
          <w:szCs w:val="24"/>
          <w:highlight w:val="none"/>
          <w:lang w:eastAsia="zh-CN"/>
        </w:rPr>
        <w:t>1、采购人信息：</w:t>
      </w:r>
      <w:bookmarkEnd w:id="19"/>
    </w:p>
    <w:p w14:paraId="365B2FD2">
      <w:pPr>
        <w:spacing w:before="1" w:line="360" w:lineRule="auto"/>
        <w:ind w:left="514"/>
        <w:rPr>
          <w:rFonts w:hint="eastAsia" w:ascii="宋体" w:hAnsi="宋体" w:eastAsia="宋体" w:cs="宋体"/>
          <w:color w:val="auto"/>
          <w:spacing w:val="4"/>
          <w:sz w:val="24"/>
          <w:szCs w:val="24"/>
          <w:highlight w:val="none"/>
          <w:lang w:eastAsia="zh-CN"/>
        </w:rPr>
      </w:pPr>
      <w:r>
        <w:rPr>
          <w:rFonts w:hint="eastAsia" w:ascii="宋体" w:hAnsi="宋体" w:eastAsia="宋体" w:cs="宋体"/>
          <w:color w:val="auto"/>
          <w:spacing w:val="4"/>
          <w:sz w:val="24"/>
          <w:szCs w:val="24"/>
          <w:highlight w:val="none"/>
          <w:lang w:eastAsia="zh-CN"/>
        </w:rPr>
        <w:t>招 标 人：中华人民共和国新疆出入境边防检查总站</w:t>
      </w:r>
    </w:p>
    <w:p w14:paraId="0B9B37A2">
      <w:pPr>
        <w:spacing w:before="1" w:line="360" w:lineRule="auto"/>
        <w:ind w:left="514"/>
        <w:rPr>
          <w:rFonts w:hint="eastAsia" w:ascii="宋体" w:hAnsi="宋体" w:eastAsia="宋体" w:cs="宋体"/>
          <w:color w:val="auto"/>
          <w:spacing w:val="4"/>
          <w:sz w:val="24"/>
          <w:szCs w:val="24"/>
          <w:highlight w:val="none"/>
          <w:lang w:eastAsia="zh-CN"/>
        </w:rPr>
      </w:pPr>
      <w:r>
        <w:rPr>
          <w:rFonts w:hint="eastAsia" w:ascii="宋体" w:hAnsi="宋体" w:eastAsia="宋体" w:cs="宋体"/>
          <w:color w:val="auto"/>
          <w:spacing w:val="4"/>
          <w:sz w:val="24"/>
          <w:szCs w:val="24"/>
          <w:highlight w:val="none"/>
          <w:lang w:eastAsia="zh-CN"/>
        </w:rPr>
        <w:t>地    址：新疆乌鲁木齐市天山区团结路1551号</w:t>
      </w:r>
    </w:p>
    <w:p w14:paraId="0B8696DD">
      <w:pPr>
        <w:spacing w:before="1" w:line="360" w:lineRule="auto"/>
        <w:ind w:left="514"/>
        <w:rPr>
          <w:rFonts w:hint="eastAsia" w:ascii="宋体" w:hAnsi="宋体" w:eastAsia="宋体" w:cs="宋体"/>
          <w:color w:val="auto"/>
          <w:spacing w:val="4"/>
          <w:sz w:val="24"/>
          <w:szCs w:val="24"/>
          <w:highlight w:val="none"/>
          <w:lang w:eastAsia="zh-CN"/>
        </w:rPr>
      </w:pPr>
      <w:r>
        <w:rPr>
          <w:rFonts w:hint="eastAsia" w:ascii="宋体" w:hAnsi="宋体" w:eastAsia="宋体" w:cs="宋体"/>
          <w:color w:val="auto"/>
          <w:spacing w:val="4"/>
          <w:sz w:val="24"/>
          <w:szCs w:val="24"/>
          <w:highlight w:val="none"/>
          <w:lang w:eastAsia="zh-CN"/>
        </w:rPr>
        <w:t>联 系 人：王警官   </w:t>
      </w:r>
    </w:p>
    <w:p w14:paraId="5392ECBE">
      <w:pPr>
        <w:spacing w:before="1" w:line="360" w:lineRule="auto"/>
        <w:ind w:left="514"/>
        <w:rPr>
          <w:rFonts w:hint="eastAsia" w:ascii="宋体" w:hAnsi="宋体" w:eastAsia="宋体" w:cs="宋体"/>
          <w:color w:val="auto"/>
          <w:spacing w:val="4"/>
          <w:sz w:val="24"/>
          <w:szCs w:val="24"/>
          <w:highlight w:val="none"/>
          <w:lang w:eastAsia="zh-CN"/>
        </w:rPr>
      </w:pPr>
      <w:r>
        <w:rPr>
          <w:rFonts w:hint="eastAsia" w:ascii="宋体" w:hAnsi="宋体" w:eastAsia="宋体" w:cs="宋体"/>
          <w:color w:val="auto"/>
          <w:spacing w:val="4"/>
          <w:sz w:val="24"/>
          <w:szCs w:val="24"/>
          <w:highlight w:val="none"/>
          <w:lang w:eastAsia="zh-CN"/>
        </w:rPr>
        <w:t xml:space="preserve">联系电话：0991-8512158   </w:t>
      </w:r>
    </w:p>
    <w:p w14:paraId="5E29EE6E">
      <w:pPr>
        <w:spacing w:before="1" w:line="360" w:lineRule="auto"/>
        <w:ind w:left="514"/>
        <w:rPr>
          <w:rFonts w:hint="eastAsia" w:ascii="宋体" w:hAnsi="宋体" w:eastAsia="宋体" w:cs="宋体"/>
          <w:color w:val="auto"/>
          <w:spacing w:val="4"/>
          <w:sz w:val="24"/>
          <w:szCs w:val="24"/>
          <w:highlight w:val="none"/>
          <w:lang w:eastAsia="zh-CN"/>
        </w:rPr>
      </w:pPr>
      <w:bookmarkStart w:id="20" w:name="_Toc24488"/>
      <w:r>
        <w:rPr>
          <w:rFonts w:hint="eastAsia" w:ascii="宋体" w:hAnsi="宋体" w:eastAsia="宋体" w:cs="宋体"/>
          <w:color w:val="auto"/>
          <w:spacing w:val="4"/>
          <w:sz w:val="24"/>
          <w:szCs w:val="24"/>
          <w:highlight w:val="none"/>
          <w:lang w:eastAsia="zh-CN"/>
        </w:rPr>
        <w:t>2.采购代理机构信息</w:t>
      </w:r>
      <w:bookmarkEnd w:id="20"/>
    </w:p>
    <w:p w14:paraId="1A6F8B62">
      <w:pPr>
        <w:spacing w:before="1" w:line="360" w:lineRule="auto"/>
        <w:ind w:left="514"/>
        <w:rPr>
          <w:rFonts w:hint="eastAsia" w:ascii="宋体" w:hAnsi="宋体" w:eastAsia="宋体" w:cs="宋体"/>
          <w:color w:val="auto"/>
          <w:spacing w:val="4"/>
          <w:sz w:val="24"/>
          <w:szCs w:val="24"/>
          <w:highlight w:val="none"/>
          <w:lang w:eastAsia="zh-CN"/>
        </w:rPr>
      </w:pPr>
      <w:r>
        <w:rPr>
          <w:rFonts w:hint="eastAsia" w:ascii="宋体" w:hAnsi="宋体" w:eastAsia="宋体" w:cs="宋体"/>
          <w:color w:val="auto"/>
          <w:spacing w:val="4"/>
          <w:sz w:val="24"/>
          <w:szCs w:val="24"/>
          <w:highlight w:val="none"/>
          <w:lang w:eastAsia="zh-CN"/>
        </w:rPr>
        <w:t>名 称：新疆华域建设工程项目管理咨询有限公司</w:t>
      </w:r>
    </w:p>
    <w:p w14:paraId="62204D8D">
      <w:pPr>
        <w:spacing w:before="1" w:line="360" w:lineRule="auto"/>
        <w:ind w:left="514"/>
        <w:rPr>
          <w:rFonts w:hint="eastAsia" w:ascii="宋体" w:hAnsi="宋体" w:eastAsia="宋体" w:cs="宋体"/>
          <w:color w:val="auto"/>
          <w:spacing w:val="4"/>
          <w:sz w:val="24"/>
          <w:szCs w:val="24"/>
          <w:highlight w:val="none"/>
          <w:lang w:eastAsia="zh-CN"/>
        </w:rPr>
      </w:pPr>
      <w:r>
        <w:rPr>
          <w:rFonts w:hint="eastAsia" w:ascii="宋体" w:hAnsi="宋体" w:eastAsia="宋体" w:cs="宋体"/>
          <w:color w:val="auto"/>
          <w:spacing w:val="4"/>
          <w:sz w:val="24"/>
          <w:szCs w:val="24"/>
          <w:highlight w:val="none"/>
          <w:lang w:eastAsia="zh-CN"/>
        </w:rPr>
        <w:t>地 址：乌鲁木齐市五星北路194号新地园大厦13、14楼</w:t>
      </w:r>
    </w:p>
    <w:p w14:paraId="4605F7BA">
      <w:pPr>
        <w:spacing w:before="1" w:line="360" w:lineRule="auto"/>
        <w:ind w:left="514"/>
        <w:rPr>
          <w:rFonts w:hint="eastAsia" w:ascii="宋体" w:hAnsi="宋体" w:eastAsia="宋体" w:cs="宋体"/>
          <w:color w:val="auto"/>
          <w:spacing w:val="4"/>
          <w:sz w:val="24"/>
          <w:szCs w:val="24"/>
          <w:highlight w:val="none"/>
          <w:lang w:eastAsia="zh-CN"/>
        </w:rPr>
      </w:pPr>
      <w:r>
        <w:rPr>
          <w:rFonts w:hint="eastAsia" w:ascii="宋体" w:hAnsi="宋体" w:eastAsia="宋体" w:cs="宋体"/>
          <w:color w:val="auto"/>
          <w:spacing w:val="4"/>
          <w:sz w:val="24"/>
          <w:szCs w:val="24"/>
          <w:highlight w:val="none"/>
          <w:lang w:eastAsia="zh-CN"/>
        </w:rPr>
        <w:t xml:space="preserve">联系方式：17690970999 </w:t>
      </w:r>
    </w:p>
    <w:p w14:paraId="49DF46A1">
      <w:pPr>
        <w:spacing w:before="1" w:line="360" w:lineRule="auto"/>
        <w:ind w:left="514"/>
        <w:rPr>
          <w:rFonts w:hint="eastAsia" w:ascii="宋体" w:hAnsi="宋体" w:eastAsia="宋体" w:cs="宋体"/>
          <w:color w:val="auto"/>
          <w:spacing w:val="4"/>
          <w:sz w:val="24"/>
          <w:szCs w:val="24"/>
          <w:highlight w:val="none"/>
          <w:lang w:eastAsia="zh-CN"/>
        </w:rPr>
      </w:pPr>
      <w:bookmarkStart w:id="21" w:name="_Toc4152"/>
      <w:r>
        <w:rPr>
          <w:rFonts w:hint="eastAsia" w:ascii="宋体" w:hAnsi="宋体" w:eastAsia="宋体" w:cs="宋体"/>
          <w:color w:val="auto"/>
          <w:spacing w:val="4"/>
          <w:sz w:val="24"/>
          <w:szCs w:val="24"/>
          <w:highlight w:val="none"/>
          <w:lang w:eastAsia="zh-CN"/>
        </w:rPr>
        <w:t>3.项目联系方式</w:t>
      </w:r>
      <w:bookmarkEnd w:id="21"/>
    </w:p>
    <w:p w14:paraId="34555E7D">
      <w:pPr>
        <w:spacing w:before="1" w:line="360" w:lineRule="auto"/>
        <w:ind w:left="514"/>
        <w:rPr>
          <w:rFonts w:hint="eastAsia" w:ascii="宋体" w:hAnsi="宋体" w:eastAsia="宋体" w:cs="宋体"/>
          <w:color w:val="auto"/>
          <w:spacing w:val="4"/>
          <w:sz w:val="24"/>
          <w:szCs w:val="24"/>
          <w:highlight w:val="none"/>
          <w:lang w:eastAsia="zh-CN"/>
        </w:rPr>
      </w:pPr>
      <w:r>
        <w:rPr>
          <w:rFonts w:hint="eastAsia" w:ascii="宋体" w:hAnsi="宋体" w:eastAsia="宋体" w:cs="宋体"/>
          <w:color w:val="auto"/>
          <w:spacing w:val="4"/>
          <w:sz w:val="24"/>
          <w:szCs w:val="24"/>
          <w:highlight w:val="none"/>
          <w:lang w:eastAsia="zh-CN"/>
        </w:rPr>
        <w:t xml:space="preserve">项目联系人：王鹤宇、张伟、马成武 </w:t>
      </w:r>
    </w:p>
    <w:p w14:paraId="0FA4756F">
      <w:pPr>
        <w:spacing w:before="1" w:line="360" w:lineRule="auto"/>
        <w:ind w:left="514"/>
        <w:rPr>
          <w:rFonts w:hint="eastAsia" w:ascii="宋体" w:hAnsi="宋体" w:eastAsia="宋体" w:cs="宋体"/>
          <w:color w:val="auto"/>
          <w:spacing w:val="4"/>
          <w:sz w:val="24"/>
          <w:szCs w:val="24"/>
          <w:highlight w:val="none"/>
          <w:lang w:eastAsia="zh-CN"/>
        </w:rPr>
      </w:pPr>
      <w:r>
        <w:rPr>
          <w:rFonts w:hint="eastAsia" w:ascii="宋体" w:hAnsi="宋体" w:eastAsia="宋体" w:cs="宋体"/>
          <w:color w:val="auto"/>
          <w:spacing w:val="4"/>
          <w:sz w:val="24"/>
          <w:szCs w:val="24"/>
          <w:highlight w:val="none"/>
          <w:lang w:eastAsia="zh-CN"/>
        </w:rPr>
        <w:t xml:space="preserve">电 话：17690970999 </w:t>
      </w:r>
    </w:p>
    <w:p w14:paraId="401F400D">
      <w:pPr>
        <w:pStyle w:val="9"/>
        <w:spacing w:line="244" w:lineRule="auto"/>
        <w:rPr>
          <w:color w:val="auto"/>
          <w:highlight w:val="none"/>
          <w:lang w:eastAsia="zh-CN"/>
        </w:rPr>
      </w:pPr>
    </w:p>
    <w:p w14:paraId="3620FA16">
      <w:pPr>
        <w:rPr>
          <w:rFonts w:hint="eastAsia" w:ascii="宋体" w:hAnsi="宋体" w:eastAsia="宋体" w:cs="宋体"/>
          <w:color w:val="auto"/>
          <w:spacing w:val="15"/>
          <w:sz w:val="34"/>
          <w:szCs w:val="34"/>
          <w:highlight w:val="none"/>
          <w:lang w:eastAsia="zh-CN"/>
        </w:rPr>
      </w:pPr>
      <w:r>
        <w:rPr>
          <w:rFonts w:ascii="宋体" w:hAnsi="宋体" w:eastAsia="宋体" w:cs="宋体"/>
          <w:color w:val="auto"/>
          <w:spacing w:val="15"/>
          <w:sz w:val="34"/>
          <w:szCs w:val="34"/>
          <w:highlight w:val="none"/>
          <w:lang w:eastAsia="zh-CN"/>
        </w:rPr>
        <w:br w:type="page"/>
      </w:r>
      <w:bookmarkStart w:id="306" w:name="_GoBack"/>
      <w:bookmarkEnd w:id="306"/>
    </w:p>
    <w:p w14:paraId="796B4DDD">
      <w:pPr>
        <w:spacing w:before="111" w:line="224" w:lineRule="auto"/>
        <w:jc w:val="center"/>
        <w:outlineLvl w:val="0"/>
        <w:rPr>
          <w:rFonts w:hint="eastAsia" w:ascii="宋体" w:hAnsi="宋体" w:eastAsia="宋体" w:cs="宋体"/>
          <w:color w:val="auto"/>
          <w:sz w:val="34"/>
          <w:szCs w:val="34"/>
          <w:highlight w:val="none"/>
          <w:lang w:eastAsia="zh-CN"/>
        </w:rPr>
      </w:pPr>
      <w:bookmarkStart w:id="22" w:name="_Toc6274"/>
      <w:r>
        <w:rPr>
          <w:rFonts w:ascii="宋体" w:hAnsi="宋体" w:eastAsia="宋体" w:cs="宋体"/>
          <w:color w:val="auto"/>
          <w:spacing w:val="15"/>
          <w:sz w:val="34"/>
          <w:szCs w:val="34"/>
          <w:highlight w:val="none"/>
          <w:lang w:eastAsia="zh-CN"/>
        </w:rPr>
        <w:t>第二章谈判须知</w:t>
      </w:r>
      <w:bookmarkEnd w:id="22"/>
    </w:p>
    <w:p w14:paraId="1A8E90F9">
      <w:pPr>
        <w:spacing w:before="286" w:line="226" w:lineRule="auto"/>
        <w:outlineLvl w:val="1"/>
        <w:rPr>
          <w:rFonts w:hint="eastAsia" w:ascii="宋体" w:hAnsi="宋体" w:eastAsia="宋体" w:cs="宋体"/>
          <w:color w:val="auto"/>
          <w:sz w:val="30"/>
          <w:szCs w:val="30"/>
          <w:highlight w:val="none"/>
          <w:lang w:eastAsia="zh-CN"/>
        </w:rPr>
      </w:pPr>
      <w:bookmarkStart w:id="23" w:name="_Toc32032"/>
      <w:r>
        <w:rPr>
          <w:rFonts w:ascii="宋体" w:hAnsi="宋体" w:eastAsia="宋体" w:cs="宋体"/>
          <w:color w:val="auto"/>
          <w:spacing w:val="-14"/>
          <w:sz w:val="30"/>
          <w:szCs w:val="30"/>
          <w:highlight w:val="none"/>
          <w:lang w:eastAsia="zh-CN"/>
        </w:rPr>
        <w:t>一、总则</w:t>
      </w:r>
      <w:bookmarkEnd w:id="23"/>
    </w:p>
    <w:p w14:paraId="2C49403F">
      <w:pPr>
        <w:spacing w:before="179" w:line="228" w:lineRule="auto"/>
        <w:ind w:left="25"/>
        <w:outlineLvl w:val="2"/>
        <w:rPr>
          <w:rFonts w:hint="eastAsia" w:asciiTheme="minorEastAsia" w:hAnsiTheme="minorEastAsia" w:eastAsiaTheme="minorEastAsia" w:cstheme="minorEastAsia"/>
          <w:color w:val="auto"/>
          <w:sz w:val="24"/>
          <w:szCs w:val="24"/>
          <w:highlight w:val="none"/>
          <w:lang w:eastAsia="zh-CN"/>
        </w:rPr>
      </w:pPr>
      <w:bookmarkStart w:id="24" w:name="_Toc13444"/>
      <w:r>
        <w:rPr>
          <w:rFonts w:hint="eastAsia" w:asciiTheme="minorEastAsia" w:hAnsiTheme="minorEastAsia" w:eastAsiaTheme="minorEastAsia" w:cstheme="minorEastAsia"/>
          <w:color w:val="auto"/>
          <w:spacing w:val="2"/>
          <w:sz w:val="24"/>
          <w:szCs w:val="24"/>
          <w:highlight w:val="none"/>
          <w:lang w:eastAsia="zh-CN"/>
          <w14:textOutline w14:w="4394" w14:cap="flat" w14:cmpd="sng" w14:algn="ctr">
            <w14:solidFill>
              <w14:srgbClr w14:val="000000"/>
            </w14:solidFill>
            <w14:prstDash w14:val="solid"/>
            <w14:miter w14:val="0"/>
          </w14:textOutline>
        </w:rPr>
        <w:t>1.</w:t>
      </w:r>
      <w:r>
        <w:rPr>
          <w:rFonts w:hint="eastAsia" w:asciiTheme="minorEastAsia" w:hAnsiTheme="minorEastAsia" w:eastAsiaTheme="minorEastAsia" w:cstheme="minorEastAsia"/>
          <w:color w:val="auto"/>
          <w:spacing w:val="19"/>
          <w:sz w:val="24"/>
          <w:szCs w:val="24"/>
          <w:highlight w:val="none"/>
          <w:lang w:eastAsia="zh-CN"/>
        </w:rPr>
        <w:t xml:space="preserve"> </w:t>
      </w:r>
      <w:r>
        <w:rPr>
          <w:rFonts w:hint="eastAsia" w:asciiTheme="minorEastAsia" w:hAnsiTheme="minorEastAsia" w:eastAsiaTheme="minorEastAsia" w:cstheme="minorEastAsia"/>
          <w:color w:val="auto"/>
          <w:spacing w:val="2"/>
          <w:sz w:val="24"/>
          <w:szCs w:val="24"/>
          <w:highlight w:val="none"/>
          <w:lang w:eastAsia="zh-CN"/>
          <w14:textOutline w14:w="4394" w14:cap="flat" w14:cmpd="sng" w14:algn="ctr">
            <w14:solidFill>
              <w14:srgbClr w14:val="000000"/>
            </w14:solidFill>
            <w14:prstDash w14:val="solid"/>
            <w14:miter w14:val="0"/>
          </w14:textOutline>
        </w:rPr>
        <w:t>适用范围</w:t>
      </w:r>
      <w:bookmarkEnd w:id="24"/>
    </w:p>
    <w:p w14:paraId="0F6B783A">
      <w:pPr>
        <w:spacing w:before="214" w:line="360" w:lineRule="auto"/>
        <w:rPr>
          <w:rFonts w:hint="eastAsia" w:asciiTheme="minorEastAsia" w:hAnsiTheme="minorEastAsia" w:eastAsiaTheme="minorEastAsia" w:cstheme="minorEastAsia"/>
          <w:color w:val="auto"/>
          <w:spacing w:val="7"/>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1.1 本竞争性谈判文件适用于本谈判中所述的中华人民共和国新疆出入境边防检查总站乌鲁木齐警犬训练基地待训警犬采购项目政府采购项目。</w:t>
      </w:r>
    </w:p>
    <w:p w14:paraId="5D500852">
      <w:pPr>
        <w:spacing w:before="217" w:line="228" w:lineRule="auto"/>
        <w:ind w:left="11"/>
        <w:outlineLvl w:val="2"/>
        <w:rPr>
          <w:rFonts w:hint="eastAsia" w:asciiTheme="minorEastAsia" w:hAnsiTheme="minorEastAsia" w:eastAsiaTheme="minorEastAsia" w:cstheme="minorEastAsia"/>
          <w:color w:val="auto"/>
          <w:sz w:val="24"/>
          <w:szCs w:val="24"/>
          <w:highlight w:val="none"/>
          <w:lang w:eastAsia="zh-CN"/>
        </w:rPr>
      </w:pPr>
      <w:bookmarkStart w:id="25" w:name="_Toc1426"/>
      <w:r>
        <w:rPr>
          <w:rFonts w:hint="eastAsia" w:asciiTheme="minorEastAsia" w:hAnsiTheme="minorEastAsia" w:eastAsiaTheme="minorEastAsia" w:cstheme="minorEastAsia"/>
          <w:color w:val="auto"/>
          <w:sz w:val="24"/>
          <w:szCs w:val="24"/>
          <w:highlight w:val="none"/>
          <w:lang w:eastAsia="zh-CN"/>
          <w14:textOutline w14:w="4394" w14:cap="flat" w14:cmpd="sng" w14:algn="ctr">
            <w14:solidFill>
              <w14:srgbClr w14:val="000000"/>
            </w14:solidFill>
            <w14:prstDash w14:val="solid"/>
            <w14:miter w14:val="0"/>
          </w14:textOutline>
        </w:rPr>
        <w:t>2.</w:t>
      </w:r>
      <w:r>
        <w:rPr>
          <w:rFonts w:hint="eastAsia" w:asciiTheme="minorEastAsia" w:hAnsiTheme="minorEastAsia" w:eastAsiaTheme="minorEastAsia" w:cstheme="minorEastAsia"/>
          <w:color w:val="auto"/>
          <w:spacing w:val="24"/>
          <w:sz w:val="24"/>
          <w:szCs w:val="24"/>
          <w:highlight w:val="none"/>
          <w:lang w:eastAsia="zh-CN"/>
        </w:rPr>
        <w:t xml:space="preserve"> </w:t>
      </w:r>
      <w:r>
        <w:rPr>
          <w:rFonts w:hint="eastAsia" w:asciiTheme="minorEastAsia" w:hAnsiTheme="minorEastAsia" w:eastAsiaTheme="minorEastAsia" w:cstheme="minorEastAsia"/>
          <w:color w:val="auto"/>
          <w:sz w:val="24"/>
          <w:szCs w:val="24"/>
          <w:highlight w:val="none"/>
          <w:lang w:eastAsia="zh-CN"/>
          <w14:textOutline w14:w="4394" w14:cap="flat" w14:cmpd="sng" w14:algn="ctr">
            <w14:solidFill>
              <w14:srgbClr w14:val="000000"/>
            </w14:solidFill>
            <w14:prstDash w14:val="solid"/>
            <w14:miter w14:val="0"/>
          </w14:textOutline>
        </w:rPr>
        <w:t>定义</w:t>
      </w:r>
      <w:bookmarkEnd w:id="25"/>
    </w:p>
    <w:p w14:paraId="667FE0D5">
      <w:pPr>
        <w:spacing w:before="214" w:line="360" w:lineRule="auto"/>
        <w:rPr>
          <w:rFonts w:hint="eastAsia" w:asciiTheme="minorEastAsia" w:hAnsiTheme="minorEastAsia" w:eastAsiaTheme="minorEastAsia" w:cstheme="minorEastAsia"/>
          <w:color w:val="auto"/>
          <w:spacing w:val="7"/>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2.1“采购人 ”名称见本招标文件第二部分“供应商须知前附表 ”中第 2 项。</w:t>
      </w:r>
    </w:p>
    <w:p w14:paraId="416BB512">
      <w:pPr>
        <w:spacing w:before="214" w:line="360" w:lineRule="auto"/>
        <w:rPr>
          <w:rFonts w:hint="eastAsia" w:asciiTheme="minorEastAsia" w:hAnsiTheme="minorEastAsia" w:eastAsiaTheme="minorEastAsia" w:cstheme="minorEastAsia"/>
          <w:color w:val="auto"/>
          <w:spacing w:val="7"/>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2.2“采购代理机构 ”名称见本招标文件第二部分“供应商须知前附表 ”中第 2 项。</w:t>
      </w:r>
    </w:p>
    <w:p w14:paraId="7FC3A51A">
      <w:pPr>
        <w:spacing w:before="214" w:line="360" w:lineRule="auto"/>
        <w:rPr>
          <w:rFonts w:hint="eastAsia" w:asciiTheme="minorEastAsia" w:hAnsiTheme="minorEastAsia" w:eastAsiaTheme="minorEastAsia" w:cstheme="minorEastAsia"/>
          <w:color w:val="auto"/>
          <w:spacing w:val="7"/>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2.3 “服务 ”指招标文件第四部分所述供应商应该提供的服务及履行的承诺和义务；</w:t>
      </w:r>
    </w:p>
    <w:p w14:paraId="779F0049">
      <w:pPr>
        <w:spacing w:before="214" w:line="360" w:lineRule="auto"/>
        <w:rPr>
          <w:rFonts w:hint="eastAsia" w:asciiTheme="minorEastAsia" w:hAnsiTheme="minorEastAsia" w:eastAsiaTheme="minorEastAsia" w:cstheme="minorEastAsia"/>
          <w:color w:val="auto"/>
          <w:spacing w:val="7"/>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2.4“供应商 ”指符合招标文件规定并参加投标的供应商。</w:t>
      </w:r>
    </w:p>
    <w:p w14:paraId="0367C74D">
      <w:pPr>
        <w:spacing w:before="214" w:line="360" w:lineRule="auto"/>
        <w:rPr>
          <w:rFonts w:hint="eastAsia" w:asciiTheme="minorEastAsia" w:hAnsiTheme="minorEastAsia" w:eastAsiaTheme="minorEastAsia" w:cstheme="minorEastAsia"/>
          <w:color w:val="auto"/>
          <w:spacing w:val="7"/>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2.5“成交供应商 ”是指：经谈判小组评审、推荐，采购人依法确定并授予合同的谈判供应商。</w:t>
      </w:r>
    </w:p>
    <w:p w14:paraId="7664F736">
      <w:pPr>
        <w:spacing w:before="214" w:line="360" w:lineRule="auto"/>
        <w:rPr>
          <w:rFonts w:hint="eastAsia" w:asciiTheme="minorEastAsia" w:hAnsiTheme="minorEastAsia" w:eastAsiaTheme="minorEastAsia" w:cstheme="minorEastAsia"/>
          <w:color w:val="auto"/>
          <w:spacing w:val="7"/>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2.6“谈判响应文件 ”是指：谈判供应商根据本文件要求，编制包含报价、技术和等所有内容的文件。</w:t>
      </w:r>
    </w:p>
    <w:p w14:paraId="24C4736A">
      <w:pPr>
        <w:spacing w:before="214" w:line="360" w:lineRule="auto"/>
        <w:rPr>
          <w:rFonts w:hint="eastAsia" w:asciiTheme="minorEastAsia" w:hAnsiTheme="minorEastAsia" w:eastAsiaTheme="minorEastAsia" w:cstheme="minorEastAsia"/>
          <w:color w:val="auto"/>
          <w:spacing w:val="7"/>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2.7“ 电子谈判响应文件 ”是指：使用政采云电子投标客户端编制并电子签章生成</w:t>
      </w:r>
      <w:bookmarkStart w:id="26" w:name="_Toc30699"/>
      <w:r>
        <w:rPr>
          <w:rFonts w:hint="eastAsia" w:asciiTheme="minorEastAsia" w:hAnsiTheme="minorEastAsia" w:eastAsiaTheme="minorEastAsia" w:cstheme="minorEastAsia"/>
          <w:color w:val="auto"/>
          <w:spacing w:val="7"/>
          <w:sz w:val="24"/>
          <w:szCs w:val="24"/>
          <w:highlight w:val="none"/>
          <w:lang w:eastAsia="zh-CN"/>
        </w:rPr>
        <w:t>加密和未加密的谈判响应文件。</w:t>
      </w:r>
    </w:p>
    <w:p w14:paraId="6AF9CB82">
      <w:pPr>
        <w:spacing w:before="216"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14:textOutline w14:w="4394" w14:cap="flat" w14:cmpd="sng" w14:algn="ctr">
            <w14:solidFill>
              <w14:srgbClr w14:val="000000"/>
            </w14:solidFill>
            <w14:prstDash w14:val="solid"/>
            <w14:miter w14:val="0"/>
          </w14:textOutline>
        </w:rPr>
        <w:t>3.</w:t>
      </w:r>
      <w:r>
        <w:rPr>
          <w:rFonts w:hint="eastAsia" w:asciiTheme="minorEastAsia" w:hAnsiTheme="minorEastAsia" w:eastAsiaTheme="minorEastAsia" w:cstheme="minorEastAsia"/>
          <w:color w:val="auto"/>
          <w:spacing w:val="9"/>
          <w:sz w:val="24"/>
          <w:szCs w:val="24"/>
          <w:highlight w:val="none"/>
          <w:lang w:eastAsia="zh-CN"/>
        </w:rPr>
        <w:t xml:space="preserve"> </w:t>
      </w:r>
      <w:r>
        <w:rPr>
          <w:rFonts w:hint="eastAsia" w:asciiTheme="minorEastAsia" w:hAnsiTheme="minorEastAsia" w:eastAsiaTheme="minorEastAsia" w:cstheme="minorEastAsia"/>
          <w:color w:val="auto"/>
          <w:spacing w:val="9"/>
          <w:sz w:val="24"/>
          <w:szCs w:val="24"/>
          <w:highlight w:val="none"/>
          <w:lang w:eastAsia="zh-CN"/>
          <w14:textOutline w14:w="4394" w14:cap="flat" w14:cmpd="sng" w14:algn="ctr">
            <w14:solidFill>
              <w14:srgbClr w14:val="000000"/>
            </w14:solidFill>
            <w14:prstDash w14:val="solid"/>
            <w14:miter w14:val="0"/>
          </w14:textOutline>
        </w:rPr>
        <w:t>谈判供应商必须具备的基本条件</w:t>
      </w:r>
      <w:bookmarkEnd w:id="26"/>
    </w:p>
    <w:p w14:paraId="7EA55BD4">
      <w:pPr>
        <w:spacing w:before="217" w:line="24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7"/>
          <w:position w:val="20"/>
          <w:sz w:val="24"/>
          <w:szCs w:val="24"/>
          <w:highlight w:val="none"/>
          <w:lang w:eastAsia="zh-CN"/>
        </w:rPr>
        <w:t>3.1 符合谈判文件“第一章 竞争性谈判公告</w:t>
      </w:r>
      <w:r>
        <w:rPr>
          <w:rFonts w:hint="eastAsia" w:asciiTheme="minorEastAsia" w:hAnsiTheme="minorEastAsia" w:eastAsiaTheme="minorEastAsia" w:cstheme="minorEastAsia"/>
          <w:color w:val="auto"/>
          <w:spacing w:val="-83"/>
          <w:position w:val="20"/>
          <w:sz w:val="24"/>
          <w:szCs w:val="24"/>
          <w:highlight w:val="none"/>
          <w:lang w:eastAsia="zh-CN"/>
        </w:rPr>
        <w:t xml:space="preserve"> </w:t>
      </w:r>
      <w:r>
        <w:rPr>
          <w:rFonts w:hint="eastAsia" w:asciiTheme="minorEastAsia" w:hAnsiTheme="minorEastAsia" w:eastAsiaTheme="minorEastAsia" w:cstheme="minorEastAsia"/>
          <w:color w:val="auto"/>
          <w:spacing w:val="7"/>
          <w:position w:val="20"/>
          <w:sz w:val="24"/>
          <w:szCs w:val="24"/>
          <w:highlight w:val="none"/>
          <w:lang w:eastAsia="zh-CN"/>
        </w:rPr>
        <w:t>”</w:t>
      </w:r>
      <w:r>
        <w:rPr>
          <w:rFonts w:hint="eastAsia" w:asciiTheme="minorEastAsia" w:hAnsiTheme="minorEastAsia" w:eastAsiaTheme="minorEastAsia" w:cstheme="minorEastAsia"/>
          <w:color w:val="auto"/>
          <w:spacing w:val="6"/>
          <w:position w:val="20"/>
          <w:sz w:val="24"/>
          <w:szCs w:val="24"/>
          <w:highlight w:val="none"/>
          <w:lang w:eastAsia="zh-CN"/>
        </w:rPr>
        <w:t>规定的供应商资格要求。</w:t>
      </w:r>
    </w:p>
    <w:p w14:paraId="031D6488">
      <w:pPr>
        <w:spacing w:before="1" w:line="24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3"/>
          <w:sz w:val="24"/>
          <w:szCs w:val="24"/>
          <w:highlight w:val="none"/>
          <w:lang w:eastAsia="zh-CN"/>
        </w:rPr>
        <w:t>3.2</w:t>
      </w:r>
      <w:r>
        <w:rPr>
          <w:rFonts w:hint="eastAsia" w:asciiTheme="minorEastAsia" w:hAnsiTheme="minorEastAsia" w:eastAsiaTheme="minorEastAsia" w:cstheme="minorEastAsia"/>
          <w:color w:val="auto"/>
          <w:spacing w:val="17"/>
          <w:sz w:val="24"/>
          <w:szCs w:val="24"/>
          <w:highlight w:val="none"/>
          <w:lang w:eastAsia="zh-CN"/>
        </w:rPr>
        <w:t xml:space="preserve"> </w:t>
      </w:r>
      <w:r>
        <w:rPr>
          <w:rFonts w:hint="eastAsia" w:asciiTheme="minorEastAsia" w:hAnsiTheme="minorEastAsia" w:eastAsiaTheme="minorEastAsia" w:cstheme="minorEastAsia"/>
          <w:color w:val="auto"/>
          <w:spacing w:val="3"/>
          <w:sz w:val="24"/>
          <w:szCs w:val="24"/>
          <w:highlight w:val="none"/>
          <w:lang w:eastAsia="zh-CN"/>
        </w:rPr>
        <w:t>联合体</w:t>
      </w:r>
      <w:r>
        <w:rPr>
          <w:rFonts w:hint="eastAsia" w:asciiTheme="minorEastAsia" w:hAnsiTheme="minorEastAsia" w:eastAsiaTheme="minorEastAsia" w:cstheme="minorEastAsia"/>
          <w:color w:val="auto"/>
          <w:spacing w:val="6"/>
          <w:sz w:val="24"/>
          <w:szCs w:val="24"/>
          <w:highlight w:val="none"/>
          <w:lang w:eastAsia="zh-CN"/>
        </w:rPr>
        <w:t>本项目（否）接受联合体投标。</w:t>
      </w:r>
    </w:p>
    <w:p w14:paraId="03578809">
      <w:pPr>
        <w:spacing w:before="217" w:line="228" w:lineRule="auto"/>
        <w:ind w:left="7"/>
        <w:outlineLvl w:val="2"/>
        <w:rPr>
          <w:rFonts w:hint="eastAsia" w:asciiTheme="minorEastAsia" w:hAnsiTheme="minorEastAsia" w:eastAsiaTheme="minorEastAsia" w:cstheme="minorEastAsia"/>
          <w:color w:val="auto"/>
          <w:spacing w:val="5"/>
          <w:sz w:val="24"/>
          <w:szCs w:val="24"/>
          <w:highlight w:val="none"/>
          <w:lang w:eastAsia="zh-CN"/>
          <w14:textOutline w14:w="4394" w14:cap="flat" w14:cmpd="sng" w14:algn="ctr">
            <w14:solidFill>
              <w14:srgbClr w14:val="000000"/>
            </w14:solidFill>
            <w14:prstDash w14:val="solid"/>
            <w14:miter w14:val="0"/>
          </w14:textOutline>
        </w:rPr>
      </w:pPr>
      <w:bookmarkStart w:id="27" w:name="_Toc20161"/>
      <w:r>
        <w:rPr>
          <w:rFonts w:hint="eastAsia" w:asciiTheme="minorEastAsia" w:hAnsiTheme="minorEastAsia" w:eastAsiaTheme="minorEastAsia" w:cstheme="minorEastAsia"/>
          <w:color w:val="auto"/>
          <w:spacing w:val="5"/>
          <w:sz w:val="24"/>
          <w:szCs w:val="24"/>
          <w:highlight w:val="none"/>
          <w:lang w:eastAsia="zh-CN"/>
          <w14:textOutline w14:w="4394" w14:cap="flat" w14:cmpd="sng" w14:algn="ctr">
            <w14:solidFill>
              <w14:srgbClr w14:val="000000"/>
            </w14:solidFill>
            <w14:prstDash w14:val="solid"/>
            <w14:miter w14:val="0"/>
          </w14:textOutline>
        </w:rPr>
        <w:t>4.</w:t>
      </w:r>
      <w:r>
        <w:rPr>
          <w:rFonts w:hint="eastAsia" w:asciiTheme="minorEastAsia" w:hAnsiTheme="minorEastAsia" w:eastAsiaTheme="minorEastAsia" w:cstheme="minorEastAsia"/>
          <w:color w:val="auto"/>
          <w:spacing w:val="20"/>
          <w:sz w:val="24"/>
          <w:szCs w:val="24"/>
          <w:highlight w:val="none"/>
          <w:lang w:eastAsia="zh-CN"/>
        </w:rPr>
        <w:t xml:space="preserve"> </w:t>
      </w:r>
      <w:r>
        <w:rPr>
          <w:rFonts w:hint="eastAsia" w:asciiTheme="minorEastAsia" w:hAnsiTheme="minorEastAsia" w:eastAsiaTheme="minorEastAsia" w:cstheme="minorEastAsia"/>
          <w:color w:val="auto"/>
          <w:spacing w:val="5"/>
          <w:sz w:val="24"/>
          <w:szCs w:val="24"/>
          <w:highlight w:val="none"/>
          <w:lang w:eastAsia="zh-CN"/>
          <w14:textOutline w14:w="4394" w14:cap="flat" w14:cmpd="sng" w14:algn="ctr">
            <w14:solidFill>
              <w14:srgbClr w14:val="000000"/>
            </w14:solidFill>
            <w14:prstDash w14:val="solid"/>
            <w14:miter w14:val="0"/>
          </w14:textOutline>
        </w:rPr>
        <w:t>谈判费用</w:t>
      </w:r>
      <w:bookmarkEnd w:id="27"/>
    </w:p>
    <w:p w14:paraId="48906E7F">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4.1 谈判供应商应自行承担所有与编写和提交竞争性谈判响应文件有关的费用，不论谈判结果如何，采购人和采购代理机构在任何情况下无义务和责任承担此类费用。</w:t>
      </w:r>
    </w:p>
    <w:p w14:paraId="278F8E7C">
      <w:pPr>
        <w:rPr>
          <w:color w:val="auto"/>
          <w:highlight w:val="none"/>
          <w:lang w:eastAsia="zh-CN"/>
        </w:rPr>
      </w:pPr>
    </w:p>
    <w:p w14:paraId="4E05B2FE">
      <w:pPr>
        <w:spacing w:before="258" w:line="227" w:lineRule="auto"/>
        <w:jc w:val="center"/>
        <w:outlineLvl w:val="1"/>
        <w:rPr>
          <w:rFonts w:hint="eastAsia" w:asciiTheme="minorEastAsia" w:hAnsiTheme="minorEastAsia" w:eastAsiaTheme="minorEastAsia" w:cstheme="minorEastAsia"/>
          <w:color w:val="auto"/>
          <w:sz w:val="24"/>
          <w:szCs w:val="24"/>
          <w:highlight w:val="none"/>
          <w:lang w:eastAsia="zh-CN"/>
        </w:rPr>
      </w:pPr>
      <w:bookmarkStart w:id="28" w:name="_Toc25932"/>
      <w:r>
        <w:rPr>
          <w:rFonts w:hint="eastAsia" w:asciiTheme="minorEastAsia" w:hAnsiTheme="minorEastAsia" w:eastAsiaTheme="minorEastAsia" w:cstheme="minorEastAsia"/>
          <w:color w:val="auto"/>
          <w:spacing w:val="9"/>
          <w:sz w:val="24"/>
          <w:szCs w:val="24"/>
          <w:highlight w:val="none"/>
          <w:lang w:eastAsia="zh-CN"/>
          <w14:textOutline w14:w="4394" w14:cap="flat" w14:cmpd="sng" w14:algn="ctr">
            <w14:solidFill>
              <w14:srgbClr w14:val="000000"/>
            </w14:solidFill>
            <w14:prstDash w14:val="solid"/>
            <w14:miter w14:val="0"/>
          </w14:textOutline>
        </w:rPr>
        <w:t>二、竞争性谈判响应文件的编制</w:t>
      </w:r>
      <w:bookmarkEnd w:id="28"/>
    </w:p>
    <w:p w14:paraId="6DD3E49B">
      <w:pPr>
        <w:pStyle w:val="9"/>
        <w:spacing w:line="306" w:lineRule="auto"/>
        <w:rPr>
          <w:rFonts w:hint="eastAsia" w:asciiTheme="minorEastAsia" w:hAnsiTheme="minorEastAsia" w:eastAsiaTheme="minorEastAsia" w:cstheme="minorEastAsia"/>
          <w:color w:val="auto"/>
          <w:sz w:val="24"/>
          <w:szCs w:val="24"/>
          <w:highlight w:val="none"/>
          <w:lang w:eastAsia="zh-CN"/>
        </w:rPr>
      </w:pPr>
    </w:p>
    <w:p w14:paraId="0DF351D1">
      <w:pPr>
        <w:numPr>
          <w:ilvl w:val="0"/>
          <w:numId w:val="2"/>
        </w:numPr>
        <w:spacing w:before="75" w:line="227" w:lineRule="auto"/>
        <w:ind w:left="12"/>
        <w:outlineLvl w:val="2"/>
        <w:rPr>
          <w:rFonts w:hint="eastAsia" w:asciiTheme="minorEastAsia" w:hAnsiTheme="minorEastAsia" w:eastAsiaTheme="minorEastAsia" w:cstheme="minorEastAsia"/>
          <w:color w:val="auto"/>
          <w:spacing w:val="9"/>
          <w:sz w:val="24"/>
          <w:szCs w:val="24"/>
          <w:highlight w:val="none"/>
          <w:lang w:eastAsia="zh-CN"/>
          <w14:textOutline w14:w="4394" w14:cap="flat" w14:cmpd="sng" w14:algn="ctr">
            <w14:solidFill>
              <w14:srgbClr w14:val="000000"/>
            </w14:solidFill>
            <w14:prstDash w14:val="solid"/>
            <w14:miter w14:val="0"/>
          </w14:textOutline>
        </w:rPr>
      </w:pPr>
      <w:bookmarkStart w:id="29" w:name="_Toc8823"/>
      <w:r>
        <w:rPr>
          <w:rFonts w:hint="eastAsia" w:asciiTheme="minorEastAsia" w:hAnsiTheme="minorEastAsia" w:eastAsiaTheme="minorEastAsia" w:cstheme="minorEastAsia"/>
          <w:color w:val="auto"/>
          <w:spacing w:val="9"/>
          <w:sz w:val="24"/>
          <w:szCs w:val="24"/>
          <w:highlight w:val="none"/>
          <w:lang w:eastAsia="zh-CN"/>
          <w14:textOutline w14:w="4394" w14:cap="flat" w14:cmpd="sng" w14:algn="ctr">
            <w14:solidFill>
              <w14:srgbClr w14:val="000000"/>
            </w14:solidFill>
            <w14:prstDash w14:val="solid"/>
            <w14:miter w14:val="0"/>
          </w14:textOutline>
        </w:rPr>
        <w:t>竞争性谈判响应文件编制基本要求</w:t>
      </w:r>
      <w:bookmarkEnd w:id="29"/>
    </w:p>
    <w:p w14:paraId="4C4770CC">
      <w:pPr>
        <w:pStyle w:val="2"/>
        <w:ind w:firstLine="240" w:firstLineChars="100"/>
        <w:rPr>
          <w:rFonts w:hint="eastAsia" w:asciiTheme="minorEastAsia" w:hAnsiTheme="minorEastAsia" w:eastAsiaTheme="minorEastAsia" w:cstheme="minorEastAsia"/>
          <w:color w:val="auto"/>
          <w:sz w:val="24"/>
          <w:szCs w:val="24"/>
          <w:highlight w:val="none"/>
          <w:lang w:eastAsia="zh-CN"/>
        </w:rPr>
      </w:pPr>
    </w:p>
    <w:p w14:paraId="3EFF8D2F">
      <w:pPr>
        <w:pStyle w:val="2"/>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5.1 谈判供应商提交的竞争性谈判响应文件以及谈判供应商与采购人和采购代理机构就有关谈判的所有来往函电均应使用中文。谈判供应商提交的支持文件和印刷的文献可以使用别的语言，但其相应内容必须附有中文翻译文本，在解释竞争性谈判响应文件时以翻译文本为主。</w:t>
      </w:r>
    </w:p>
    <w:p w14:paraId="58B5A01D">
      <w:pPr>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5.2 谈判供应商应认真阅读、并充分理解本文件的全部内容（包括所有的补充、修改</w:t>
      </w:r>
      <w:r>
        <w:rPr>
          <w:rFonts w:hint="eastAsia" w:asciiTheme="minorEastAsia" w:hAnsiTheme="minorEastAsia" w:eastAsiaTheme="minorEastAsia" w:cstheme="minorEastAsia"/>
          <w:color w:val="auto"/>
          <w:spacing w:val="6"/>
          <w:sz w:val="24"/>
          <w:szCs w:val="24"/>
          <w:highlight w:val="none"/>
          <w:lang w:eastAsia="zh-CN"/>
        </w:rPr>
        <w:t>内容</w:t>
      </w:r>
      <w:r>
        <w:rPr>
          <w:rFonts w:hint="eastAsia" w:asciiTheme="minorEastAsia" w:hAnsiTheme="minorEastAsia" w:eastAsiaTheme="minorEastAsia" w:cstheme="minorEastAsia"/>
          <w:color w:val="auto"/>
          <w:spacing w:val="12"/>
          <w:sz w:val="24"/>
          <w:szCs w:val="24"/>
          <w:highlight w:val="none"/>
          <w:lang w:eastAsia="zh-CN"/>
        </w:rPr>
        <w:t>），</w:t>
      </w:r>
      <w:r>
        <w:rPr>
          <w:rFonts w:hint="eastAsia" w:asciiTheme="minorEastAsia" w:hAnsiTheme="minorEastAsia" w:eastAsiaTheme="minorEastAsia" w:cstheme="minorEastAsia"/>
          <w:color w:val="auto"/>
          <w:spacing w:val="6"/>
          <w:sz w:val="24"/>
          <w:szCs w:val="24"/>
          <w:highlight w:val="none"/>
          <w:lang w:eastAsia="zh-CN"/>
        </w:rPr>
        <w:t>承诺并履行本文件中各项条款规定及要求。</w:t>
      </w:r>
    </w:p>
    <w:p w14:paraId="451BC1EB">
      <w:pPr>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5.3 竞争性谈判响应文件必须按本文件的全部内容，包括所有的补充通知及附件进行编制。</w:t>
      </w:r>
    </w:p>
    <w:p w14:paraId="0FC449F4">
      <w:pPr>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5.4 如因谈判供应商只填写和提供了本文件要求的部分内容和附件，而给评审造成困难，其可能导致的结果和责任由谈判供应商自行承担。</w:t>
      </w:r>
    </w:p>
    <w:p w14:paraId="717DB214">
      <w:pPr>
        <w:spacing w:before="218" w:line="480" w:lineRule="auto"/>
        <w:ind w:left="2"/>
        <w:outlineLvl w:val="2"/>
        <w:rPr>
          <w:rFonts w:hint="eastAsia" w:asciiTheme="minorEastAsia" w:hAnsiTheme="minorEastAsia" w:eastAsiaTheme="minorEastAsia" w:cstheme="minorEastAsia"/>
          <w:color w:val="auto"/>
          <w:sz w:val="24"/>
          <w:szCs w:val="24"/>
          <w:highlight w:val="none"/>
          <w:lang w:eastAsia="zh-CN"/>
        </w:rPr>
      </w:pPr>
      <w:bookmarkStart w:id="30" w:name="_Toc12992"/>
      <w:r>
        <w:rPr>
          <w:rFonts w:hint="eastAsia" w:asciiTheme="minorEastAsia" w:hAnsiTheme="minorEastAsia" w:eastAsiaTheme="minorEastAsia" w:cstheme="minorEastAsia"/>
          <w:color w:val="auto"/>
          <w:spacing w:val="9"/>
          <w:sz w:val="24"/>
          <w:szCs w:val="24"/>
          <w:highlight w:val="none"/>
          <w:lang w:eastAsia="zh-CN"/>
          <w14:textOutline w14:w="4394" w14:cap="flat" w14:cmpd="sng" w14:algn="ctr">
            <w14:solidFill>
              <w14:srgbClr w14:val="000000"/>
            </w14:solidFill>
            <w14:prstDash w14:val="solid"/>
            <w14:miter w14:val="0"/>
          </w14:textOutline>
        </w:rPr>
        <w:t>6.</w:t>
      </w:r>
      <w:r>
        <w:rPr>
          <w:rFonts w:hint="eastAsia" w:asciiTheme="minorEastAsia" w:hAnsiTheme="minorEastAsia" w:eastAsiaTheme="minorEastAsia" w:cstheme="minorEastAsia"/>
          <w:color w:val="auto"/>
          <w:spacing w:val="9"/>
          <w:sz w:val="24"/>
          <w:szCs w:val="24"/>
          <w:highlight w:val="none"/>
          <w:lang w:eastAsia="zh-CN"/>
        </w:rPr>
        <w:t xml:space="preserve"> </w:t>
      </w:r>
      <w:r>
        <w:rPr>
          <w:rFonts w:hint="eastAsia" w:asciiTheme="minorEastAsia" w:hAnsiTheme="minorEastAsia" w:eastAsiaTheme="minorEastAsia" w:cstheme="minorEastAsia"/>
          <w:color w:val="auto"/>
          <w:spacing w:val="9"/>
          <w:sz w:val="24"/>
          <w:szCs w:val="24"/>
          <w:highlight w:val="none"/>
          <w:lang w:eastAsia="zh-CN"/>
          <w14:textOutline w14:w="4394" w14:cap="flat" w14:cmpd="sng" w14:algn="ctr">
            <w14:solidFill>
              <w14:srgbClr w14:val="000000"/>
            </w14:solidFill>
            <w14:prstDash w14:val="solid"/>
            <w14:miter w14:val="0"/>
          </w14:textOutline>
        </w:rPr>
        <w:t>竞争性谈判响应文件的组成</w:t>
      </w:r>
      <w:bookmarkEnd w:id="30"/>
    </w:p>
    <w:p w14:paraId="133FB37F">
      <w:pPr>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竞争性谈判响应文件应分为“资格响应文件 ”、 “报价响应文件 ”和“商务技术响应文件 ”三个部分组成。</w:t>
      </w:r>
    </w:p>
    <w:p w14:paraId="6ACF1A90">
      <w:pPr>
        <w:spacing w:before="216" w:line="360" w:lineRule="auto"/>
        <w:ind w:left="43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8"/>
          <w:position w:val="20"/>
          <w:sz w:val="24"/>
          <w:szCs w:val="24"/>
          <w:highlight w:val="none"/>
          <w:lang w:eastAsia="zh-CN"/>
        </w:rPr>
        <w:t>6.1 资格响应文件（详见第六章资格响应文</w:t>
      </w:r>
      <w:r>
        <w:rPr>
          <w:rFonts w:hint="eastAsia" w:asciiTheme="minorEastAsia" w:hAnsiTheme="minorEastAsia" w:eastAsiaTheme="minorEastAsia" w:cstheme="minorEastAsia"/>
          <w:color w:val="auto"/>
          <w:spacing w:val="7"/>
          <w:position w:val="20"/>
          <w:sz w:val="24"/>
          <w:szCs w:val="24"/>
          <w:highlight w:val="none"/>
          <w:lang w:eastAsia="zh-CN"/>
        </w:rPr>
        <w:t>件组成）</w:t>
      </w:r>
    </w:p>
    <w:p w14:paraId="7D810CC2">
      <w:pPr>
        <w:spacing w:before="1" w:line="360" w:lineRule="auto"/>
        <w:ind w:left="43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6.2 报价响应文件（详见第六章报价响应文</w:t>
      </w:r>
      <w:r>
        <w:rPr>
          <w:rFonts w:hint="eastAsia" w:asciiTheme="minorEastAsia" w:hAnsiTheme="minorEastAsia" w:eastAsiaTheme="minorEastAsia" w:cstheme="minorEastAsia"/>
          <w:color w:val="auto"/>
          <w:spacing w:val="7"/>
          <w:sz w:val="24"/>
          <w:szCs w:val="24"/>
          <w:highlight w:val="none"/>
          <w:lang w:eastAsia="zh-CN"/>
        </w:rPr>
        <w:t>件组成）</w:t>
      </w:r>
    </w:p>
    <w:p w14:paraId="10231382">
      <w:pPr>
        <w:spacing w:before="217" w:line="360" w:lineRule="auto"/>
        <w:ind w:left="43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6.3 商务技术响应文件（详见第六章商务技术响应文件组成）</w:t>
      </w:r>
    </w:p>
    <w:p w14:paraId="64A0440E">
      <w:pPr>
        <w:spacing w:before="217" w:line="227" w:lineRule="auto"/>
        <w:ind w:left="6"/>
        <w:outlineLvl w:val="2"/>
        <w:rPr>
          <w:rFonts w:hint="eastAsia" w:asciiTheme="minorEastAsia" w:hAnsiTheme="minorEastAsia" w:eastAsiaTheme="minorEastAsia" w:cstheme="minorEastAsia"/>
          <w:color w:val="auto"/>
          <w:sz w:val="24"/>
          <w:szCs w:val="24"/>
          <w:highlight w:val="none"/>
          <w:lang w:eastAsia="zh-CN"/>
        </w:rPr>
      </w:pPr>
      <w:bookmarkStart w:id="31" w:name="_Toc3064"/>
      <w:r>
        <w:rPr>
          <w:rFonts w:hint="eastAsia" w:asciiTheme="minorEastAsia" w:hAnsiTheme="minorEastAsia" w:eastAsiaTheme="minorEastAsia" w:cstheme="minorEastAsia"/>
          <w:color w:val="auto"/>
          <w:spacing w:val="8"/>
          <w:sz w:val="24"/>
          <w:szCs w:val="24"/>
          <w:highlight w:val="none"/>
          <w:lang w:eastAsia="zh-CN"/>
          <w14:textOutline w14:w="4394" w14:cap="flat" w14:cmpd="sng" w14:algn="ctr">
            <w14:solidFill>
              <w14:srgbClr w14:val="000000"/>
            </w14:solidFill>
            <w14:prstDash w14:val="solid"/>
            <w14:miter w14:val="0"/>
          </w14:textOutline>
        </w:rPr>
        <w:t>7.</w:t>
      </w:r>
      <w:r>
        <w:rPr>
          <w:rFonts w:hint="eastAsia" w:asciiTheme="minorEastAsia" w:hAnsiTheme="minorEastAsia" w:eastAsiaTheme="minorEastAsia" w:cstheme="minorEastAsia"/>
          <w:color w:val="auto"/>
          <w:spacing w:val="8"/>
          <w:sz w:val="24"/>
          <w:szCs w:val="24"/>
          <w:highlight w:val="none"/>
          <w:lang w:eastAsia="zh-CN"/>
        </w:rPr>
        <w:t xml:space="preserve"> </w:t>
      </w:r>
      <w:r>
        <w:rPr>
          <w:rFonts w:hint="eastAsia" w:asciiTheme="minorEastAsia" w:hAnsiTheme="minorEastAsia" w:eastAsiaTheme="minorEastAsia" w:cstheme="minorEastAsia"/>
          <w:color w:val="auto"/>
          <w:spacing w:val="8"/>
          <w:sz w:val="24"/>
          <w:szCs w:val="24"/>
          <w:highlight w:val="none"/>
          <w:lang w:eastAsia="zh-CN"/>
          <w14:textOutline w14:w="4394" w14:cap="flat" w14:cmpd="sng" w14:algn="ctr">
            <w14:solidFill>
              <w14:srgbClr w14:val="000000"/>
            </w14:solidFill>
            <w14:prstDash w14:val="solid"/>
            <w14:miter w14:val="0"/>
          </w14:textOutline>
        </w:rPr>
        <w:t>竞争性谈判响应文件的编制</w:t>
      </w:r>
      <w:bookmarkEnd w:id="31"/>
    </w:p>
    <w:p w14:paraId="721D2395">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7.1 电子谈判响应文件的编制</w:t>
      </w:r>
    </w:p>
    <w:p w14:paraId="3A287C1D">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1）电子谈判响应文件应按照“政采云电子投标客户端 ”以及谈判文件要求进行制作编制，保证目录清晰、内容完整；</w:t>
      </w:r>
    </w:p>
    <w:p w14:paraId="11EF23A6">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2）电子谈判响应文件各类证件须与谈判供应商注册登记资料相一致；</w:t>
      </w:r>
    </w:p>
    <w:p w14:paraId="1BBB28F3">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3）供应商因自身原因导致电子谈判响应文件无法导入电子评审系统的，该谈判响应文件视为无效文件。</w:t>
      </w:r>
    </w:p>
    <w:p w14:paraId="284192F0">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4）电子谈判文件以及电子谈判响应文件具有法律效力,与其他形式的谈判文件以及谈  判响应文件在内容和格式上等同，若谈判响应文件与谈判文件要求不一致，其内容影响成交结果时，责任由谈判供应商自行承担。</w:t>
      </w:r>
    </w:p>
    <w:p w14:paraId="77AAEA2D">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5）为了保证电子谈判响应文件的合法性、安全性和完整性，电子谈判响应文件转换完成后，应在规定区域加盖单位和法定代表人 CA 印章。电子谈判响应文件若无 CA 电子签章，则视为无效文件。</w:t>
      </w:r>
    </w:p>
    <w:p w14:paraId="6BF431DC">
      <w:pPr>
        <w:spacing w:before="74" w:line="360" w:lineRule="auto"/>
        <w:ind w:left="2"/>
        <w:outlineLvl w:val="2"/>
        <w:rPr>
          <w:rFonts w:hint="eastAsia" w:asciiTheme="minorEastAsia" w:hAnsiTheme="minorEastAsia" w:eastAsiaTheme="minorEastAsia" w:cstheme="minorEastAsia"/>
          <w:color w:val="auto"/>
          <w:sz w:val="24"/>
          <w:szCs w:val="24"/>
          <w:highlight w:val="none"/>
          <w:lang w:eastAsia="zh-CN"/>
        </w:rPr>
      </w:pPr>
      <w:bookmarkStart w:id="32" w:name="_Toc32199"/>
      <w:r>
        <w:rPr>
          <w:rFonts w:hint="eastAsia" w:asciiTheme="minorEastAsia" w:hAnsiTheme="minorEastAsia" w:eastAsiaTheme="minorEastAsia" w:cstheme="minorEastAsia"/>
          <w:color w:val="auto"/>
          <w:spacing w:val="5"/>
          <w:sz w:val="24"/>
          <w:szCs w:val="24"/>
          <w:highlight w:val="none"/>
          <w:lang w:eastAsia="zh-CN"/>
          <w14:textOutline w14:w="4394" w14:cap="flat" w14:cmpd="sng" w14:algn="ctr">
            <w14:solidFill>
              <w14:srgbClr w14:val="000000"/>
            </w14:solidFill>
            <w14:prstDash w14:val="solid"/>
            <w14:miter w14:val="0"/>
          </w14:textOutline>
        </w:rPr>
        <w:t>8.</w:t>
      </w:r>
      <w:r>
        <w:rPr>
          <w:rFonts w:hint="eastAsia" w:asciiTheme="minorEastAsia" w:hAnsiTheme="minorEastAsia" w:eastAsiaTheme="minorEastAsia" w:cstheme="minorEastAsia"/>
          <w:color w:val="auto"/>
          <w:spacing w:val="18"/>
          <w:sz w:val="24"/>
          <w:szCs w:val="24"/>
          <w:highlight w:val="none"/>
          <w:lang w:eastAsia="zh-CN"/>
        </w:rPr>
        <w:t xml:space="preserve"> </w:t>
      </w:r>
      <w:r>
        <w:rPr>
          <w:rFonts w:hint="eastAsia" w:asciiTheme="minorEastAsia" w:hAnsiTheme="minorEastAsia" w:eastAsiaTheme="minorEastAsia" w:cstheme="minorEastAsia"/>
          <w:color w:val="auto"/>
          <w:spacing w:val="5"/>
          <w:sz w:val="24"/>
          <w:szCs w:val="24"/>
          <w:highlight w:val="none"/>
          <w:lang w:eastAsia="zh-CN"/>
          <w14:textOutline w14:w="4394" w14:cap="flat" w14:cmpd="sng" w14:algn="ctr">
            <w14:solidFill>
              <w14:srgbClr w14:val="000000"/>
            </w14:solidFill>
            <w14:prstDash w14:val="solid"/>
            <w14:miter w14:val="0"/>
          </w14:textOutline>
        </w:rPr>
        <w:t>计量单位</w:t>
      </w:r>
      <w:bookmarkEnd w:id="32"/>
    </w:p>
    <w:p w14:paraId="303E0D45">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 xml:space="preserve">   除技术要求中另有规定外，本文件所要求使用的计量单位均应采用国家法定计量单位。</w:t>
      </w:r>
    </w:p>
    <w:p w14:paraId="7A912790">
      <w:pPr>
        <w:spacing w:before="216" w:line="360" w:lineRule="auto"/>
        <w:ind w:left="2"/>
        <w:outlineLvl w:val="2"/>
        <w:rPr>
          <w:rFonts w:hint="eastAsia" w:asciiTheme="minorEastAsia" w:hAnsiTheme="minorEastAsia" w:eastAsiaTheme="minorEastAsia" w:cstheme="minorEastAsia"/>
          <w:color w:val="auto"/>
          <w:sz w:val="24"/>
          <w:szCs w:val="24"/>
          <w:highlight w:val="none"/>
          <w:lang w:eastAsia="zh-CN"/>
        </w:rPr>
      </w:pPr>
      <w:bookmarkStart w:id="33" w:name="_Toc7397"/>
      <w:r>
        <w:rPr>
          <w:rFonts w:hint="eastAsia" w:asciiTheme="minorEastAsia" w:hAnsiTheme="minorEastAsia" w:eastAsiaTheme="minorEastAsia" w:cstheme="minorEastAsia"/>
          <w:color w:val="auto"/>
          <w:spacing w:val="7"/>
          <w:sz w:val="24"/>
          <w:szCs w:val="24"/>
          <w:highlight w:val="none"/>
          <w:lang w:eastAsia="zh-CN"/>
          <w14:textOutline w14:w="4394" w14:cap="flat" w14:cmpd="sng" w14:algn="ctr">
            <w14:solidFill>
              <w14:srgbClr w14:val="000000"/>
            </w14:solidFill>
            <w14:prstDash w14:val="solid"/>
            <w14:miter w14:val="0"/>
          </w14:textOutline>
        </w:rPr>
        <w:t>9.</w:t>
      </w:r>
      <w:r>
        <w:rPr>
          <w:rFonts w:hint="eastAsia" w:asciiTheme="minorEastAsia" w:hAnsiTheme="minorEastAsia" w:eastAsiaTheme="minorEastAsia" w:cstheme="minorEastAsia"/>
          <w:color w:val="auto"/>
          <w:spacing w:val="7"/>
          <w:sz w:val="24"/>
          <w:szCs w:val="24"/>
          <w:highlight w:val="none"/>
          <w:lang w:eastAsia="zh-CN"/>
        </w:rPr>
        <w:t xml:space="preserve"> </w:t>
      </w:r>
      <w:r>
        <w:rPr>
          <w:rFonts w:hint="eastAsia" w:asciiTheme="minorEastAsia" w:hAnsiTheme="minorEastAsia" w:eastAsiaTheme="minorEastAsia" w:cstheme="minorEastAsia"/>
          <w:color w:val="auto"/>
          <w:spacing w:val="7"/>
          <w:sz w:val="24"/>
          <w:szCs w:val="24"/>
          <w:highlight w:val="none"/>
          <w:lang w:eastAsia="zh-CN"/>
          <w14:textOutline w14:w="4394" w14:cap="flat" w14:cmpd="sng" w14:algn="ctr">
            <w14:solidFill>
              <w14:srgbClr w14:val="000000"/>
            </w14:solidFill>
            <w14:prstDash w14:val="solid"/>
            <w14:miter w14:val="0"/>
          </w14:textOutline>
        </w:rPr>
        <w:t>谈判保证金</w:t>
      </w:r>
      <w:bookmarkEnd w:id="33"/>
    </w:p>
    <w:p w14:paraId="6A36E2E4">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516" w:firstLineChars="20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保证金应当以支票、汇票、本票或者金融机构、担保机构出具的保函等非现金形式。</w:t>
      </w:r>
    </w:p>
    <w:p w14:paraId="54490EF8">
      <w:pPr>
        <w:spacing w:before="217" w:line="228" w:lineRule="auto"/>
        <w:ind w:left="19"/>
        <w:outlineLvl w:val="2"/>
        <w:rPr>
          <w:rFonts w:hint="eastAsia" w:asciiTheme="minorEastAsia" w:hAnsiTheme="minorEastAsia" w:eastAsiaTheme="minorEastAsia" w:cstheme="minorEastAsia"/>
          <w:color w:val="auto"/>
          <w:sz w:val="24"/>
          <w:szCs w:val="24"/>
          <w:highlight w:val="none"/>
          <w:lang w:eastAsia="zh-CN"/>
        </w:rPr>
      </w:pPr>
      <w:bookmarkStart w:id="34" w:name="_Toc23319"/>
      <w:r>
        <w:rPr>
          <w:rFonts w:hint="eastAsia" w:asciiTheme="minorEastAsia" w:hAnsiTheme="minorEastAsia" w:eastAsiaTheme="minorEastAsia" w:cstheme="minorEastAsia"/>
          <w:color w:val="auto"/>
          <w:spacing w:val="6"/>
          <w:sz w:val="24"/>
          <w:szCs w:val="24"/>
          <w:highlight w:val="none"/>
          <w:lang w:eastAsia="zh-CN"/>
          <w14:textOutline w14:w="4394" w14:cap="flat" w14:cmpd="sng" w14:algn="ctr">
            <w14:solidFill>
              <w14:srgbClr w14:val="000000"/>
            </w14:solidFill>
            <w14:prstDash w14:val="solid"/>
            <w14:miter w14:val="0"/>
          </w14:textOutline>
        </w:rPr>
        <w:t>10.</w:t>
      </w:r>
      <w:r>
        <w:rPr>
          <w:rFonts w:hint="eastAsia" w:asciiTheme="minorEastAsia" w:hAnsiTheme="minorEastAsia" w:eastAsiaTheme="minorEastAsia" w:cstheme="minorEastAsia"/>
          <w:color w:val="auto"/>
          <w:spacing w:val="6"/>
          <w:sz w:val="24"/>
          <w:szCs w:val="24"/>
          <w:highlight w:val="none"/>
          <w:lang w:eastAsia="zh-CN"/>
        </w:rPr>
        <w:t xml:space="preserve"> </w:t>
      </w:r>
      <w:r>
        <w:rPr>
          <w:rFonts w:hint="eastAsia" w:asciiTheme="minorEastAsia" w:hAnsiTheme="minorEastAsia" w:eastAsiaTheme="minorEastAsia" w:cstheme="minorEastAsia"/>
          <w:color w:val="auto"/>
          <w:spacing w:val="6"/>
          <w:sz w:val="24"/>
          <w:szCs w:val="24"/>
          <w:highlight w:val="none"/>
          <w:lang w:eastAsia="zh-CN"/>
          <w14:textOutline w14:w="4394" w14:cap="flat" w14:cmpd="sng" w14:algn="ctr">
            <w14:solidFill>
              <w14:srgbClr w14:val="000000"/>
            </w14:solidFill>
            <w14:prstDash w14:val="solid"/>
            <w14:miter w14:val="0"/>
          </w14:textOutline>
        </w:rPr>
        <w:t>谈判的有效期</w:t>
      </w:r>
      <w:bookmarkEnd w:id="34"/>
    </w:p>
    <w:p w14:paraId="39B587A3">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516" w:firstLineChars="200"/>
        <w:textAlignment w:val="baseline"/>
        <w:rPr>
          <w:rFonts w:hint="eastAsia" w:asciiTheme="minorEastAsia" w:hAnsiTheme="minorEastAsia" w:eastAsiaTheme="minorEastAsia" w:cstheme="minorEastAsia"/>
          <w:color w:val="auto"/>
          <w:spacing w:val="9"/>
          <w:position w:val="20"/>
          <w:sz w:val="24"/>
          <w:szCs w:val="24"/>
          <w:highlight w:val="none"/>
          <w:lang w:eastAsia="zh-CN"/>
        </w:rPr>
      </w:pPr>
      <w:r>
        <w:rPr>
          <w:rFonts w:hint="eastAsia" w:asciiTheme="minorEastAsia" w:hAnsiTheme="minorEastAsia" w:eastAsiaTheme="minorEastAsia" w:cstheme="minorEastAsia"/>
          <w:color w:val="auto"/>
          <w:spacing w:val="9"/>
          <w:position w:val="20"/>
          <w:sz w:val="24"/>
          <w:szCs w:val="24"/>
          <w:highlight w:val="none"/>
          <w:lang w:eastAsia="zh-CN"/>
        </w:rPr>
        <w:t>10.1 谈判有效期详见供应商须知前附表。谈判供应商谈判有效期不足的将被视为无效谈判。</w:t>
      </w:r>
    </w:p>
    <w:p w14:paraId="303AD17D">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512" w:firstLineChars="200"/>
        <w:textAlignment w:val="baseline"/>
        <w:rPr>
          <w:rFonts w:hint="eastAsia" w:asciiTheme="minorEastAsia" w:hAnsiTheme="minorEastAsia" w:eastAsiaTheme="minorEastAsia" w:cstheme="minorEastAsia"/>
          <w:color w:val="auto"/>
          <w:spacing w:val="9"/>
          <w:position w:val="20"/>
          <w:sz w:val="24"/>
          <w:szCs w:val="24"/>
          <w:highlight w:val="none"/>
          <w:lang w:eastAsia="zh-CN"/>
        </w:rPr>
      </w:pPr>
      <w:r>
        <w:rPr>
          <w:rFonts w:hint="eastAsia" w:asciiTheme="minorEastAsia" w:hAnsiTheme="minorEastAsia" w:eastAsiaTheme="minorEastAsia" w:cstheme="minorEastAsia"/>
          <w:color w:val="auto"/>
          <w:spacing w:val="8"/>
          <w:position w:val="20"/>
          <w:sz w:val="24"/>
          <w:szCs w:val="24"/>
          <w:highlight w:val="none"/>
          <w:lang w:eastAsia="zh-CN"/>
        </w:rPr>
        <w:t>10.2</w:t>
      </w:r>
      <w:r>
        <w:rPr>
          <w:rFonts w:hint="eastAsia" w:asciiTheme="minorEastAsia" w:hAnsiTheme="minorEastAsia" w:eastAsiaTheme="minorEastAsia" w:cstheme="minorEastAsia"/>
          <w:color w:val="auto"/>
          <w:spacing w:val="9"/>
          <w:sz w:val="24"/>
          <w:szCs w:val="24"/>
          <w:highlight w:val="none"/>
          <w:lang w:eastAsia="zh-CN"/>
        </w:rPr>
        <w:t xml:space="preserve"> </w:t>
      </w:r>
      <w:r>
        <w:rPr>
          <w:rFonts w:hint="eastAsia" w:asciiTheme="minorEastAsia" w:hAnsiTheme="minorEastAsia" w:eastAsiaTheme="minorEastAsia" w:cstheme="minorEastAsia"/>
          <w:color w:val="auto"/>
          <w:spacing w:val="9"/>
          <w:position w:val="20"/>
          <w:sz w:val="24"/>
          <w:szCs w:val="24"/>
          <w:highlight w:val="none"/>
          <w:lang w:eastAsia="zh-CN"/>
        </w:rPr>
        <w:t>特殊情况下，在原谈判有效期截止之前，采购人或采购代理机构可要求谈判供应。商延长谈判有效期。这种要求与答复均应以书面形式提交。谈判供应商可拒绝采购人或采购代理机构的这种要求，其谈判保证金将不会被没收，但其谈判在原谈判有效期期满后将不再有效。同意延长谈判有效期的谈判供应商将会被要求相应地延长其谈判保证金的有效期。在这种情况下，本须知第 9（条）有关谈判保证金的退还和没收的规定将在延长了的有效期内继续有效。</w:t>
      </w:r>
    </w:p>
    <w:p w14:paraId="328330A1">
      <w:pPr>
        <w:spacing w:before="305" w:line="300" w:lineRule="exact"/>
        <w:ind w:left="3765"/>
        <w:outlineLvl w:val="1"/>
        <w:rPr>
          <w:rFonts w:hint="eastAsia" w:asciiTheme="minorEastAsia" w:hAnsiTheme="minorEastAsia" w:eastAsiaTheme="minorEastAsia" w:cstheme="minorEastAsia"/>
          <w:color w:val="auto"/>
          <w:sz w:val="24"/>
          <w:szCs w:val="24"/>
          <w:highlight w:val="none"/>
          <w:lang w:eastAsia="zh-CN"/>
        </w:rPr>
      </w:pPr>
      <w:bookmarkStart w:id="35" w:name="_Toc8785"/>
      <w:r>
        <w:rPr>
          <w:rFonts w:hint="eastAsia" w:asciiTheme="minorEastAsia" w:hAnsiTheme="minorEastAsia" w:eastAsiaTheme="minorEastAsia" w:cstheme="minorEastAsia"/>
          <w:color w:val="auto"/>
          <w:spacing w:val="9"/>
          <w:sz w:val="24"/>
          <w:szCs w:val="24"/>
          <w:highlight w:val="none"/>
          <w:lang w:eastAsia="zh-CN"/>
          <w14:textOutline w14:w="4394" w14:cap="flat" w14:cmpd="sng" w14:algn="ctr">
            <w14:solidFill>
              <w14:srgbClr w14:val="000000"/>
            </w14:solidFill>
            <w14:prstDash w14:val="solid"/>
            <w14:miter w14:val="0"/>
          </w14:textOutline>
        </w:rPr>
        <w:t>三、谈判报价要求</w:t>
      </w:r>
      <w:bookmarkEnd w:id="35"/>
    </w:p>
    <w:p w14:paraId="7B049CFE">
      <w:pPr>
        <w:spacing w:before="227" w:line="480" w:lineRule="auto"/>
        <w:ind w:left="19"/>
        <w:outlineLvl w:val="2"/>
        <w:rPr>
          <w:rFonts w:hint="eastAsia" w:asciiTheme="minorEastAsia" w:hAnsiTheme="minorEastAsia" w:eastAsiaTheme="minorEastAsia" w:cstheme="minorEastAsia"/>
          <w:color w:val="auto"/>
          <w:sz w:val="24"/>
          <w:szCs w:val="24"/>
          <w:highlight w:val="none"/>
          <w:lang w:eastAsia="zh-CN"/>
        </w:rPr>
      </w:pPr>
      <w:bookmarkStart w:id="36" w:name="_Toc2530"/>
      <w:r>
        <w:rPr>
          <w:rFonts w:hint="eastAsia" w:asciiTheme="minorEastAsia" w:hAnsiTheme="minorEastAsia" w:eastAsiaTheme="minorEastAsia" w:cstheme="minorEastAsia"/>
          <w:color w:val="auto"/>
          <w:spacing w:val="2"/>
          <w:sz w:val="24"/>
          <w:szCs w:val="24"/>
          <w:highlight w:val="none"/>
          <w:lang w:eastAsia="zh-CN"/>
          <w14:textOutline w14:w="4394" w14:cap="flat" w14:cmpd="sng" w14:algn="ctr">
            <w14:solidFill>
              <w14:srgbClr w14:val="000000"/>
            </w14:solidFill>
            <w14:prstDash w14:val="solid"/>
            <w14:miter w14:val="0"/>
          </w14:textOutline>
        </w:rPr>
        <w:t>11.报价</w:t>
      </w:r>
      <w:bookmarkEnd w:id="36"/>
    </w:p>
    <w:p w14:paraId="2316CA6F">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11.1 报价响应文件中的单价和总价全部采用人民币表示。</w:t>
      </w:r>
    </w:p>
    <w:p w14:paraId="2C38BA1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11.2 报价表上应清楚地标明供应商拟提供服务的总价。</w:t>
      </w:r>
    </w:p>
    <w:p w14:paraId="0F4E560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11.3 供应商只允许有一个方案。</w:t>
      </w:r>
    </w:p>
    <w:p w14:paraId="0F7359CA">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11.4 供应商应按“采购要求 ”所列服务内容进行报价，总价包括：本次服务所产生全部费用（人工费、差旅费、税费及完成本次服务所需的所有费用等）。</w:t>
      </w:r>
    </w:p>
    <w:p w14:paraId="175515E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11.5 报价的价格是完成本次服务所需的全部费用，其总价即为履行合同的固定总价。</w:t>
      </w:r>
    </w:p>
    <w:p w14:paraId="2C40467F">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11.6 技术要求中规定的各类方案如需产生费用均应包括在报价中，招标人不再为此次招标支付任何费用。</w:t>
      </w:r>
    </w:p>
    <w:p w14:paraId="2A4F45B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11.7 供应商报价不得高于本次项目设置的最高限价否则将作为无效投标处理。</w:t>
      </w:r>
    </w:p>
    <w:p w14:paraId="109C19E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11.8 如采购文件中未列明全面实现投标服务功能而必须配置的配套或辅助设施及相应技术措施的费用，这些费用将被视为已包含在报价中。</w:t>
      </w:r>
    </w:p>
    <w:p w14:paraId="3462754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11.9 报价中不得缺漏采购文件所要求的内容，否则，评审时将有效投标中该项内容的最高价计入其评审总价，但在授予合同时，缺漏项目的报价视作已含在其他项目的报价中，这些项目将作为免费赠送而包含在合同内。</w:t>
      </w:r>
    </w:p>
    <w:p w14:paraId="36FCF039">
      <w:pPr>
        <w:spacing w:before="257" w:line="227" w:lineRule="auto"/>
        <w:jc w:val="center"/>
        <w:outlineLvl w:val="1"/>
        <w:rPr>
          <w:rFonts w:hint="eastAsia" w:asciiTheme="minorEastAsia" w:hAnsiTheme="minorEastAsia" w:eastAsiaTheme="minorEastAsia" w:cstheme="minorEastAsia"/>
          <w:color w:val="auto"/>
          <w:sz w:val="24"/>
          <w:szCs w:val="24"/>
          <w:highlight w:val="none"/>
          <w:lang w:eastAsia="zh-CN"/>
        </w:rPr>
      </w:pPr>
      <w:bookmarkStart w:id="37" w:name="_Toc4966"/>
      <w:r>
        <w:rPr>
          <w:rFonts w:hint="eastAsia" w:asciiTheme="minorEastAsia" w:hAnsiTheme="minorEastAsia" w:eastAsiaTheme="minorEastAsia" w:cstheme="minorEastAsia"/>
          <w:color w:val="auto"/>
          <w:spacing w:val="9"/>
          <w:sz w:val="24"/>
          <w:szCs w:val="24"/>
          <w:highlight w:val="none"/>
          <w:lang w:eastAsia="zh-CN"/>
          <w14:textOutline w14:w="4394" w14:cap="flat" w14:cmpd="sng" w14:algn="ctr">
            <w14:solidFill>
              <w14:srgbClr w14:val="000000"/>
            </w14:solidFill>
            <w14:prstDash w14:val="solid"/>
            <w14:miter w14:val="0"/>
          </w14:textOutline>
        </w:rPr>
        <w:t>四、竞争性谈判响应文件的份数、封装和递交</w:t>
      </w:r>
      <w:bookmarkEnd w:id="37"/>
    </w:p>
    <w:p w14:paraId="5411FA27">
      <w:pPr>
        <w:pStyle w:val="9"/>
        <w:spacing w:line="307" w:lineRule="auto"/>
        <w:rPr>
          <w:rFonts w:hint="eastAsia" w:asciiTheme="minorEastAsia" w:hAnsiTheme="minorEastAsia" w:eastAsiaTheme="minorEastAsia" w:cstheme="minorEastAsia"/>
          <w:color w:val="auto"/>
          <w:sz w:val="24"/>
          <w:szCs w:val="24"/>
          <w:highlight w:val="none"/>
          <w:lang w:eastAsia="zh-CN"/>
        </w:rPr>
      </w:pPr>
    </w:p>
    <w:p w14:paraId="13CCFB40">
      <w:pPr>
        <w:spacing w:before="75" w:line="360" w:lineRule="auto"/>
        <w:ind w:left="18"/>
        <w:outlineLvl w:val="2"/>
        <w:rPr>
          <w:rFonts w:hint="eastAsia" w:asciiTheme="minorEastAsia" w:hAnsiTheme="minorEastAsia" w:eastAsiaTheme="minorEastAsia" w:cstheme="minorEastAsia"/>
          <w:color w:val="auto"/>
          <w:sz w:val="24"/>
          <w:szCs w:val="24"/>
          <w:highlight w:val="none"/>
          <w:lang w:eastAsia="zh-CN"/>
        </w:rPr>
      </w:pPr>
      <w:bookmarkStart w:id="38" w:name="_Toc3680"/>
      <w:r>
        <w:rPr>
          <w:rFonts w:hint="eastAsia" w:asciiTheme="minorEastAsia" w:hAnsiTheme="minorEastAsia" w:eastAsiaTheme="minorEastAsia" w:cstheme="minorEastAsia"/>
          <w:color w:val="auto"/>
          <w:spacing w:val="7"/>
          <w:sz w:val="24"/>
          <w:szCs w:val="24"/>
          <w:highlight w:val="none"/>
          <w:lang w:eastAsia="zh-CN"/>
          <w14:textOutline w14:w="4394" w14:cap="flat" w14:cmpd="sng" w14:algn="ctr">
            <w14:solidFill>
              <w14:srgbClr w14:val="000000"/>
            </w14:solidFill>
            <w14:prstDash w14:val="solid"/>
            <w14:miter w14:val="0"/>
          </w14:textOutline>
        </w:rPr>
        <w:t>12.</w:t>
      </w:r>
      <w:r>
        <w:rPr>
          <w:rFonts w:hint="eastAsia" w:asciiTheme="minorEastAsia" w:hAnsiTheme="minorEastAsia" w:eastAsiaTheme="minorEastAsia" w:cstheme="minorEastAsia"/>
          <w:color w:val="auto"/>
          <w:spacing w:val="7"/>
          <w:sz w:val="24"/>
          <w:szCs w:val="24"/>
          <w:highlight w:val="none"/>
          <w:lang w:eastAsia="zh-CN"/>
        </w:rPr>
        <w:t xml:space="preserve"> </w:t>
      </w:r>
      <w:r>
        <w:rPr>
          <w:rFonts w:hint="eastAsia" w:asciiTheme="minorEastAsia" w:hAnsiTheme="minorEastAsia" w:eastAsiaTheme="minorEastAsia" w:cstheme="minorEastAsia"/>
          <w:color w:val="auto"/>
          <w:spacing w:val="7"/>
          <w:sz w:val="24"/>
          <w:szCs w:val="24"/>
          <w:highlight w:val="none"/>
          <w:lang w:eastAsia="zh-CN"/>
          <w14:textOutline w14:w="4394" w14:cap="flat" w14:cmpd="sng" w14:algn="ctr">
            <w14:solidFill>
              <w14:srgbClr w14:val="000000"/>
            </w14:solidFill>
            <w14:prstDash w14:val="solid"/>
            <w14:miter w14:val="0"/>
          </w14:textOutline>
        </w:rPr>
        <w:t>谈判响应文件的份数</w:t>
      </w:r>
      <w:bookmarkEnd w:id="38"/>
    </w:p>
    <w:p w14:paraId="12A29E9A">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12.1 本项目采用不见面开标、供应商需要递交电子响应文件，加密的电子响应文件。</w:t>
      </w:r>
    </w:p>
    <w:p w14:paraId="290CD3AE">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在投标截止时间前通过政采云平台（</w:t>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HYPERLINK "https://www.zcygov.cn"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https://www.zcygov.cn</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rPr>
        <w:t>）上传到指定位置</w:t>
      </w:r>
      <w:r>
        <w:rPr>
          <w:rFonts w:hint="eastAsia" w:asciiTheme="minorEastAsia" w:hAnsiTheme="minorEastAsia" w:eastAsiaTheme="minorEastAsia" w:cstheme="minorEastAsia"/>
          <w:color w:val="auto"/>
          <w:sz w:val="24"/>
          <w:szCs w:val="24"/>
          <w:highlight w:val="none"/>
          <w:lang w:eastAsia="zh-CN"/>
        </w:rPr>
        <w:t>。</w:t>
      </w:r>
    </w:p>
    <w:p w14:paraId="5F0D516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Theme="minorEastAsia" w:hAnsiTheme="minorEastAsia" w:eastAsiaTheme="minorEastAsia" w:cstheme="minorEastAsia"/>
          <w:color w:val="auto"/>
          <w:sz w:val="24"/>
          <w:szCs w:val="24"/>
          <w:highlight w:val="none"/>
          <w:lang w:eastAsia="zh-CN"/>
        </w:rPr>
      </w:pPr>
      <w:bookmarkStart w:id="39" w:name="_Toc3663"/>
      <w:r>
        <w:rPr>
          <w:rFonts w:hint="eastAsia" w:asciiTheme="minorEastAsia" w:hAnsiTheme="minorEastAsia" w:eastAsiaTheme="minorEastAsia" w:cstheme="minorEastAsia"/>
          <w:color w:val="auto"/>
          <w:spacing w:val="7"/>
          <w:sz w:val="24"/>
          <w:szCs w:val="24"/>
          <w:highlight w:val="none"/>
          <w:lang w:eastAsia="zh-CN"/>
          <w14:textOutline w14:w="4394" w14:cap="flat" w14:cmpd="sng" w14:algn="ctr">
            <w14:solidFill>
              <w14:srgbClr w14:val="000000"/>
            </w14:solidFill>
            <w14:prstDash w14:val="solid"/>
            <w14:miter w14:val="0"/>
          </w14:textOutline>
        </w:rPr>
        <w:t>13.</w:t>
      </w:r>
      <w:r>
        <w:rPr>
          <w:rFonts w:hint="eastAsia" w:asciiTheme="minorEastAsia" w:hAnsiTheme="minorEastAsia" w:eastAsiaTheme="minorEastAsia" w:cstheme="minorEastAsia"/>
          <w:color w:val="auto"/>
          <w:spacing w:val="7"/>
          <w:sz w:val="24"/>
          <w:szCs w:val="24"/>
          <w:highlight w:val="none"/>
          <w:lang w:eastAsia="zh-CN"/>
        </w:rPr>
        <w:t xml:space="preserve"> </w:t>
      </w:r>
      <w:r>
        <w:rPr>
          <w:rFonts w:hint="eastAsia" w:asciiTheme="minorEastAsia" w:hAnsiTheme="minorEastAsia" w:eastAsiaTheme="minorEastAsia" w:cstheme="minorEastAsia"/>
          <w:color w:val="auto"/>
          <w:spacing w:val="7"/>
          <w:sz w:val="24"/>
          <w:szCs w:val="24"/>
          <w:highlight w:val="none"/>
          <w:lang w:eastAsia="zh-CN"/>
          <w14:textOutline w14:w="4394" w14:cap="flat" w14:cmpd="sng" w14:algn="ctr">
            <w14:solidFill>
              <w14:srgbClr w14:val="000000"/>
            </w14:solidFill>
            <w14:prstDash w14:val="solid"/>
            <w14:miter w14:val="0"/>
          </w14:textOutline>
        </w:rPr>
        <w:t>谈判响应文件的密封和标记</w:t>
      </w:r>
      <w:bookmarkEnd w:id="39"/>
    </w:p>
    <w:p w14:paraId="7B3531D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3"/>
          <w:sz w:val="24"/>
          <w:szCs w:val="24"/>
          <w:highlight w:val="none"/>
          <w:lang w:eastAsia="zh-CN"/>
        </w:rPr>
        <w:t>13.1</w:t>
      </w:r>
      <w:r>
        <w:rPr>
          <w:rFonts w:hint="eastAsia" w:asciiTheme="minorEastAsia" w:hAnsiTheme="minorEastAsia" w:eastAsiaTheme="minorEastAsia" w:cstheme="minorEastAsia"/>
          <w:color w:val="auto"/>
          <w:spacing w:val="52"/>
          <w:sz w:val="24"/>
          <w:szCs w:val="24"/>
          <w:highlight w:val="none"/>
          <w:lang w:eastAsia="zh-CN"/>
        </w:rPr>
        <w:t xml:space="preserve"> </w:t>
      </w:r>
      <w:r>
        <w:rPr>
          <w:rFonts w:hint="eastAsia" w:asciiTheme="minorEastAsia" w:hAnsiTheme="minorEastAsia" w:eastAsiaTheme="minorEastAsia" w:cstheme="minorEastAsia"/>
          <w:color w:val="auto"/>
          <w:spacing w:val="13"/>
          <w:sz w:val="24"/>
          <w:szCs w:val="24"/>
          <w:highlight w:val="none"/>
          <w:lang w:eastAsia="zh-CN"/>
        </w:rPr>
        <w:t>电子谈判响应文件的密封和标记。电子谈判响应文件的内容通过数字证书进行</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13"/>
          <w:sz w:val="24"/>
          <w:szCs w:val="24"/>
          <w:highlight w:val="none"/>
          <w:lang w:eastAsia="zh-CN"/>
        </w:rPr>
        <w:t>加密并签章。未按要求加密和数字证书认证的谈判响应文件，</w:t>
      </w:r>
      <w:r>
        <w:rPr>
          <w:rFonts w:hint="eastAsia" w:asciiTheme="minorEastAsia" w:hAnsiTheme="minorEastAsia" w:eastAsiaTheme="minorEastAsia" w:cstheme="minorEastAsia"/>
          <w:color w:val="auto"/>
          <w:spacing w:val="-42"/>
          <w:sz w:val="24"/>
          <w:szCs w:val="24"/>
          <w:highlight w:val="none"/>
          <w:lang w:eastAsia="zh-CN"/>
        </w:rPr>
        <w:t xml:space="preserve"> </w:t>
      </w:r>
      <w:r>
        <w:rPr>
          <w:rFonts w:hint="eastAsia" w:asciiTheme="minorEastAsia" w:hAnsiTheme="minorEastAsia" w:eastAsiaTheme="minorEastAsia" w:cstheme="minorEastAsia"/>
          <w:color w:val="auto"/>
          <w:spacing w:val="13"/>
          <w:sz w:val="24"/>
          <w:szCs w:val="24"/>
          <w:highlight w:val="none"/>
          <w:lang w:eastAsia="zh-CN"/>
        </w:rPr>
        <w:t>电子开标软件将无法接受,</w:t>
      </w:r>
      <w:r>
        <w:rPr>
          <w:rFonts w:hint="eastAsia" w:asciiTheme="minorEastAsia" w:hAnsiTheme="minorEastAsia" w:eastAsiaTheme="minorEastAsia" w:cstheme="minorEastAsia"/>
          <w:color w:val="auto"/>
          <w:spacing w:val="5"/>
          <w:sz w:val="24"/>
          <w:szCs w:val="24"/>
          <w:highlight w:val="none"/>
          <w:lang w:eastAsia="zh-CN"/>
        </w:rPr>
        <w:t>采购代理机构不予受理。</w:t>
      </w:r>
    </w:p>
    <w:p w14:paraId="721BD74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13.2 本项目采用不见面开标，供应商应通过政采云电</w:t>
      </w:r>
      <w:r>
        <w:rPr>
          <w:rFonts w:hint="eastAsia" w:asciiTheme="minorEastAsia" w:hAnsiTheme="minorEastAsia" w:eastAsiaTheme="minorEastAsia" w:cstheme="minorEastAsia"/>
          <w:color w:val="auto"/>
          <w:spacing w:val="8"/>
          <w:sz w:val="24"/>
          <w:szCs w:val="24"/>
          <w:highlight w:val="none"/>
          <w:lang w:eastAsia="zh-CN"/>
        </w:rPr>
        <w:t>子投标客户端严格按谈判文件要</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12"/>
          <w:sz w:val="24"/>
          <w:szCs w:val="24"/>
          <w:highlight w:val="none"/>
          <w:lang w:eastAsia="zh-CN"/>
        </w:rPr>
        <w:t>求制作响应文件，在响应文件递交截止时间前完成经过数字证书电子签章并加密的</w:t>
      </w:r>
      <w:r>
        <w:rPr>
          <w:rFonts w:hint="eastAsia" w:asciiTheme="minorEastAsia" w:hAnsiTheme="minorEastAsia" w:eastAsiaTheme="minorEastAsia" w:cstheme="minorEastAsia"/>
          <w:color w:val="auto"/>
          <w:spacing w:val="11"/>
          <w:sz w:val="24"/>
          <w:szCs w:val="24"/>
          <w:highlight w:val="none"/>
          <w:lang w:eastAsia="zh-CN"/>
        </w:rPr>
        <w:t>电子响</w:t>
      </w:r>
      <w:r>
        <w:rPr>
          <w:rFonts w:hint="eastAsia" w:asciiTheme="minorEastAsia" w:hAnsiTheme="minorEastAsia" w:eastAsiaTheme="minorEastAsia" w:cstheme="minorEastAsia"/>
          <w:color w:val="auto"/>
          <w:spacing w:val="12"/>
          <w:sz w:val="24"/>
          <w:szCs w:val="24"/>
          <w:highlight w:val="none"/>
          <w:lang w:eastAsia="zh-CN"/>
        </w:rPr>
        <w:t>应文件（加密和解密必须使用同一把数字证书）的上传。供应商在响应文件递交截</w:t>
      </w:r>
      <w:r>
        <w:rPr>
          <w:rFonts w:hint="eastAsia" w:asciiTheme="minorEastAsia" w:hAnsiTheme="minorEastAsia" w:eastAsiaTheme="minorEastAsia" w:cstheme="minorEastAsia"/>
          <w:color w:val="auto"/>
          <w:spacing w:val="11"/>
          <w:sz w:val="24"/>
          <w:szCs w:val="24"/>
          <w:highlight w:val="none"/>
          <w:lang w:eastAsia="zh-CN"/>
        </w:rPr>
        <w:t>止时间</w:t>
      </w:r>
      <w:r>
        <w:rPr>
          <w:rFonts w:hint="eastAsia" w:asciiTheme="minorEastAsia" w:hAnsiTheme="minorEastAsia" w:eastAsiaTheme="minorEastAsia" w:cstheme="minorEastAsia"/>
          <w:color w:val="auto"/>
          <w:spacing w:val="12"/>
          <w:sz w:val="24"/>
          <w:szCs w:val="24"/>
          <w:highlight w:val="none"/>
          <w:lang w:eastAsia="zh-CN"/>
        </w:rPr>
        <w:t>前，可以对其所递交的响应文件进行撤销、修改并重新上传，但以响应文件递交截</w:t>
      </w:r>
      <w:r>
        <w:rPr>
          <w:rFonts w:hint="eastAsia" w:asciiTheme="minorEastAsia" w:hAnsiTheme="minorEastAsia" w:eastAsiaTheme="minorEastAsia" w:cstheme="minorEastAsia"/>
          <w:color w:val="auto"/>
          <w:spacing w:val="11"/>
          <w:sz w:val="24"/>
          <w:szCs w:val="24"/>
          <w:highlight w:val="none"/>
          <w:lang w:eastAsia="zh-CN"/>
        </w:rPr>
        <w:t>止时间</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12"/>
          <w:sz w:val="24"/>
          <w:szCs w:val="24"/>
          <w:highlight w:val="none"/>
          <w:lang w:eastAsia="zh-CN"/>
        </w:rPr>
        <w:t>前最后一次完成上传的响应文件为有效响应文件。逾期系统将自动关闭，未完成上</w:t>
      </w:r>
      <w:r>
        <w:rPr>
          <w:rFonts w:hint="eastAsia" w:asciiTheme="minorEastAsia" w:hAnsiTheme="minorEastAsia" w:eastAsiaTheme="minorEastAsia" w:cstheme="minorEastAsia"/>
          <w:color w:val="auto"/>
          <w:spacing w:val="11"/>
          <w:sz w:val="24"/>
          <w:szCs w:val="24"/>
          <w:highlight w:val="none"/>
          <w:lang w:eastAsia="zh-CN"/>
        </w:rPr>
        <w:t>传的响</w:t>
      </w:r>
      <w:r>
        <w:rPr>
          <w:rFonts w:hint="eastAsia" w:asciiTheme="minorEastAsia" w:hAnsiTheme="minorEastAsia" w:eastAsiaTheme="minorEastAsia" w:cstheme="minorEastAsia"/>
          <w:color w:val="auto"/>
          <w:spacing w:val="6"/>
          <w:sz w:val="24"/>
          <w:szCs w:val="24"/>
          <w:highlight w:val="none"/>
          <w:lang w:eastAsia="zh-CN"/>
        </w:rPr>
        <w:t>应文件视为逾期送达，将被拒绝。</w:t>
      </w:r>
    </w:p>
    <w:p w14:paraId="0CBDC2D9">
      <w:pPr>
        <w:spacing w:before="219" w:line="227" w:lineRule="auto"/>
        <w:ind w:left="18"/>
        <w:outlineLvl w:val="2"/>
        <w:rPr>
          <w:rFonts w:hint="eastAsia" w:asciiTheme="minorEastAsia" w:hAnsiTheme="minorEastAsia" w:eastAsiaTheme="minorEastAsia" w:cstheme="minorEastAsia"/>
          <w:color w:val="auto"/>
          <w:sz w:val="24"/>
          <w:szCs w:val="24"/>
          <w:highlight w:val="none"/>
          <w:lang w:eastAsia="zh-CN"/>
        </w:rPr>
      </w:pPr>
      <w:bookmarkStart w:id="40" w:name="_Toc21922"/>
      <w:r>
        <w:rPr>
          <w:rFonts w:hint="eastAsia" w:asciiTheme="minorEastAsia" w:hAnsiTheme="minorEastAsia" w:eastAsiaTheme="minorEastAsia" w:cstheme="minorEastAsia"/>
          <w:color w:val="auto"/>
          <w:spacing w:val="7"/>
          <w:sz w:val="24"/>
          <w:szCs w:val="24"/>
          <w:highlight w:val="none"/>
          <w:lang w:eastAsia="zh-CN"/>
          <w14:textOutline w14:w="4394" w14:cap="flat" w14:cmpd="sng" w14:algn="ctr">
            <w14:solidFill>
              <w14:srgbClr w14:val="000000"/>
            </w14:solidFill>
            <w14:prstDash w14:val="solid"/>
            <w14:miter w14:val="0"/>
          </w14:textOutline>
        </w:rPr>
        <w:t>14.</w:t>
      </w:r>
      <w:r>
        <w:rPr>
          <w:rFonts w:hint="eastAsia" w:asciiTheme="minorEastAsia" w:hAnsiTheme="minorEastAsia" w:eastAsiaTheme="minorEastAsia" w:cstheme="minorEastAsia"/>
          <w:color w:val="auto"/>
          <w:spacing w:val="7"/>
          <w:sz w:val="24"/>
          <w:szCs w:val="24"/>
          <w:highlight w:val="none"/>
          <w:lang w:eastAsia="zh-CN"/>
        </w:rPr>
        <w:t xml:space="preserve"> </w:t>
      </w:r>
      <w:r>
        <w:rPr>
          <w:rFonts w:hint="eastAsia" w:asciiTheme="minorEastAsia" w:hAnsiTheme="minorEastAsia" w:eastAsiaTheme="minorEastAsia" w:cstheme="minorEastAsia"/>
          <w:color w:val="auto"/>
          <w:spacing w:val="7"/>
          <w:sz w:val="24"/>
          <w:szCs w:val="24"/>
          <w:highlight w:val="none"/>
          <w:lang w:eastAsia="zh-CN"/>
          <w14:textOutline w14:w="4394" w14:cap="flat" w14:cmpd="sng" w14:algn="ctr">
            <w14:solidFill>
              <w14:srgbClr w14:val="000000"/>
            </w14:solidFill>
            <w14:prstDash w14:val="solid"/>
            <w14:miter w14:val="0"/>
          </w14:textOutline>
        </w:rPr>
        <w:t>谈判响应文件的递交</w:t>
      </w:r>
      <w:bookmarkEnd w:id="40"/>
    </w:p>
    <w:p w14:paraId="29FF62C4">
      <w:pPr>
        <w:spacing w:before="215" w:line="227"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 xml:space="preserve">14.1 谈判供应商在递交谈判响应文件时需应用 </w:t>
      </w:r>
      <w:r>
        <w:rPr>
          <w:rFonts w:hint="eastAsia" w:asciiTheme="minorEastAsia" w:hAnsiTheme="minorEastAsia" w:eastAsiaTheme="minorEastAsia" w:cstheme="minorEastAsia"/>
          <w:color w:val="auto"/>
          <w:sz w:val="24"/>
          <w:szCs w:val="24"/>
          <w:highlight w:val="none"/>
          <w:lang w:eastAsia="zh-CN"/>
        </w:rPr>
        <w:t>CA</w:t>
      </w:r>
      <w:r>
        <w:rPr>
          <w:rFonts w:hint="eastAsia" w:asciiTheme="minorEastAsia" w:hAnsiTheme="minorEastAsia" w:eastAsiaTheme="minorEastAsia" w:cstheme="minorEastAsia"/>
          <w:color w:val="auto"/>
          <w:spacing w:val="7"/>
          <w:sz w:val="24"/>
          <w:szCs w:val="24"/>
          <w:highlight w:val="none"/>
          <w:lang w:eastAsia="zh-CN"/>
        </w:rPr>
        <w:t xml:space="preserve"> 锁。</w:t>
      </w:r>
    </w:p>
    <w:p w14:paraId="632EBF0F">
      <w:pPr>
        <w:spacing w:before="138" w:line="468" w:lineRule="exac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23"/>
          <w:position w:val="17"/>
          <w:sz w:val="24"/>
          <w:szCs w:val="24"/>
          <w:highlight w:val="none"/>
          <w:lang w:eastAsia="zh-CN"/>
        </w:rPr>
        <w:t>14.2</w:t>
      </w:r>
      <w:r>
        <w:rPr>
          <w:rFonts w:hint="eastAsia" w:asciiTheme="minorEastAsia" w:hAnsiTheme="minorEastAsia" w:eastAsiaTheme="minorEastAsia" w:cstheme="minorEastAsia"/>
          <w:color w:val="auto"/>
          <w:spacing w:val="48"/>
          <w:position w:val="17"/>
          <w:sz w:val="24"/>
          <w:szCs w:val="24"/>
          <w:highlight w:val="none"/>
          <w:lang w:eastAsia="zh-CN"/>
        </w:rPr>
        <w:t xml:space="preserve"> </w:t>
      </w:r>
      <w:r>
        <w:rPr>
          <w:rFonts w:hint="eastAsia" w:asciiTheme="minorEastAsia" w:hAnsiTheme="minorEastAsia" w:eastAsiaTheme="minorEastAsia" w:cstheme="minorEastAsia"/>
          <w:color w:val="auto"/>
          <w:spacing w:val="23"/>
          <w:position w:val="17"/>
          <w:sz w:val="24"/>
          <w:szCs w:val="24"/>
          <w:highlight w:val="none"/>
          <w:lang w:eastAsia="zh-CN"/>
          <w14:textOutline w14:w="4394" w14:cap="flat" w14:cmpd="sng" w14:algn="ctr">
            <w14:solidFill>
              <w14:srgbClr w14:val="000000"/>
            </w14:solidFill>
            <w14:prstDash w14:val="solid"/>
            <w14:miter w14:val="0"/>
          </w14:textOutline>
        </w:rPr>
        <w:t>本项目采用不见面开标</w:t>
      </w:r>
      <w:r>
        <w:rPr>
          <w:rFonts w:hint="eastAsia" w:asciiTheme="minorEastAsia" w:hAnsiTheme="minorEastAsia" w:eastAsiaTheme="minorEastAsia" w:cstheme="minorEastAsia"/>
          <w:color w:val="auto"/>
          <w:spacing w:val="-58"/>
          <w:position w:val="17"/>
          <w:sz w:val="24"/>
          <w:szCs w:val="24"/>
          <w:highlight w:val="none"/>
          <w:lang w:eastAsia="zh-CN"/>
        </w:rPr>
        <w:t xml:space="preserve"> </w:t>
      </w:r>
      <w:r>
        <w:rPr>
          <w:rFonts w:hint="eastAsia" w:asciiTheme="minorEastAsia" w:hAnsiTheme="minorEastAsia" w:eastAsiaTheme="minorEastAsia" w:cstheme="minorEastAsia"/>
          <w:color w:val="auto"/>
          <w:spacing w:val="23"/>
          <w:position w:val="17"/>
          <w:sz w:val="24"/>
          <w:szCs w:val="24"/>
          <w:highlight w:val="none"/>
          <w:lang w:eastAsia="zh-CN"/>
          <w14:textOutline w14:w="4394" w14:cap="flat" w14:cmpd="sng" w14:algn="ctr">
            <w14:solidFill>
              <w14:srgbClr w14:val="000000"/>
            </w14:solidFill>
            <w14:prstDash w14:val="solid"/>
            <w14:miter w14:val="0"/>
          </w14:textOutline>
        </w:rPr>
        <w:t>，</w:t>
      </w:r>
      <w:r>
        <w:rPr>
          <w:rFonts w:hint="eastAsia" w:asciiTheme="minorEastAsia" w:hAnsiTheme="minorEastAsia" w:eastAsiaTheme="minorEastAsia" w:cstheme="minorEastAsia"/>
          <w:color w:val="auto"/>
          <w:spacing w:val="-67"/>
          <w:position w:val="17"/>
          <w:sz w:val="24"/>
          <w:szCs w:val="24"/>
          <w:highlight w:val="none"/>
          <w:lang w:eastAsia="zh-CN"/>
        </w:rPr>
        <w:t xml:space="preserve"> </w:t>
      </w:r>
      <w:r>
        <w:rPr>
          <w:rFonts w:hint="eastAsia" w:asciiTheme="minorEastAsia" w:hAnsiTheme="minorEastAsia" w:eastAsiaTheme="minorEastAsia" w:cstheme="minorEastAsia"/>
          <w:color w:val="auto"/>
          <w:spacing w:val="23"/>
          <w:position w:val="17"/>
          <w:sz w:val="24"/>
          <w:szCs w:val="24"/>
          <w:highlight w:val="none"/>
          <w:lang w:eastAsia="zh-CN"/>
          <w14:textOutline w14:w="4394" w14:cap="flat" w14:cmpd="sng" w14:algn="ctr">
            <w14:solidFill>
              <w14:srgbClr w14:val="000000"/>
            </w14:solidFill>
            <w14:prstDash w14:val="solid"/>
            <w14:miter w14:val="0"/>
          </w14:textOutline>
        </w:rPr>
        <w:t>供应商应</w:t>
      </w:r>
      <w:r>
        <w:rPr>
          <w:rFonts w:hint="eastAsia" w:asciiTheme="minorEastAsia" w:hAnsiTheme="minorEastAsia" w:eastAsiaTheme="minorEastAsia" w:cstheme="minorEastAsia"/>
          <w:color w:val="auto"/>
          <w:spacing w:val="-61"/>
          <w:position w:val="17"/>
          <w:sz w:val="24"/>
          <w:szCs w:val="24"/>
          <w:highlight w:val="none"/>
          <w:lang w:eastAsia="zh-CN"/>
        </w:rPr>
        <w:t xml:space="preserve"> </w:t>
      </w:r>
      <w:r>
        <w:rPr>
          <w:rFonts w:hint="eastAsia" w:asciiTheme="minorEastAsia" w:hAnsiTheme="minorEastAsia" w:eastAsiaTheme="minorEastAsia" w:cstheme="minorEastAsia"/>
          <w:color w:val="auto"/>
          <w:spacing w:val="23"/>
          <w:position w:val="17"/>
          <w:sz w:val="24"/>
          <w:szCs w:val="24"/>
          <w:highlight w:val="none"/>
          <w:lang w:eastAsia="zh-CN"/>
          <w14:textOutline w14:w="4394" w14:cap="flat" w14:cmpd="sng" w14:algn="ctr">
            <w14:solidFill>
              <w14:srgbClr w14:val="000000"/>
            </w14:solidFill>
            <w14:prstDash w14:val="solid"/>
            <w14:miter w14:val="0"/>
          </w14:textOutline>
        </w:rPr>
        <w:t>当在投标截止</w:t>
      </w:r>
      <w:r>
        <w:rPr>
          <w:rFonts w:hint="eastAsia" w:asciiTheme="minorEastAsia" w:hAnsiTheme="minorEastAsia" w:eastAsiaTheme="minorEastAsia" w:cstheme="minorEastAsia"/>
          <w:color w:val="auto"/>
          <w:spacing w:val="-63"/>
          <w:position w:val="17"/>
          <w:sz w:val="24"/>
          <w:szCs w:val="24"/>
          <w:highlight w:val="none"/>
          <w:lang w:eastAsia="zh-CN"/>
        </w:rPr>
        <w:t xml:space="preserve"> </w:t>
      </w:r>
      <w:r>
        <w:rPr>
          <w:rFonts w:hint="eastAsia" w:asciiTheme="minorEastAsia" w:hAnsiTheme="minorEastAsia" w:eastAsiaTheme="minorEastAsia" w:cstheme="minorEastAsia"/>
          <w:color w:val="auto"/>
          <w:spacing w:val="23"/>
          <w:position w:val="17"/>
          <w:sz w:val="24"/>
          <w:szCs w:val="24"/>
          <w:highlight w:val="none"/>
          <w:lang w:eastAsia="zh-CN"/>
          <w14:textOutline w14:w="4394" w14:cap="flat" w14:cmpd="sng" w14:algn="ctr">
            <w14:solidFill>
              <w14:srgbClr w14:val="000000"/>
            </w14:solidFill>
            <w14:prstDash w14:val="solid"/>
            <w14:miter w14:val="0"/>
          </w14:textOutline>
        </w:rPr>
        <w:t>时</w:t>
      </w:r>
      <w:r>
        <w:rPr>
          <w:rFonts w:hint="eastAsia" w:asciiTheme="minorEastAsia" w:hAnsiTheme="minorEastAsia" w:eastAsiaTheme="minorEastAsia" w:cstheme="minorEastAsia"/>
          <w:color w:val="auto"/>
          <w:spacing w:val="-58"/>
          <w:position w:val="17"/>
          <w:sz w:val="24"/>
          <w:szCs w:val="24"/>
          <w:highlight w:val="none"/>
          <w:lang w:eastAsia="zh-CN"/>
        </w:rPr>
        <w:t xml:space="preserve"> </w:t>
      </w:r>
      <w:r>
        <w:rPr>
          <w:rFonts w:hint="eastAsia" w:asciiTheme="minorEastAsia" w:hAnsiTheme="minorEastAsia" w:eastAsiaTheme="minorEastAsia" w:cstheme="minorEastAsia"/>
          <w:color w:val="auto"/>
          <w:spacing w:val="23"/>
          <w:position w:val="17"/>
          <w:sz w:val="24"/>
          <w:szCs w:val="24"/>
          <w:highlight w:val="none"/>
          <w:lang w:eastAsia="zh-CN"/>
          <w14:textOutline w14:w="4394" w14:cap="flat" w14:cmpd="sng" w14:algn="ctr">
            <w14:solidFill>
              <w14:srgbClr w14:val="000000"/>
            </w14:solidFill>
            <w14:prstDash w14:val="solid"/>
            <w14:miter w14:val="0"/>
          </w14:textOutline>
        </w:rPr>
        <w:t>间前通过</w:t>
      </w:r>
      <w:r>
        <w:rPr>
          <w:rFonts w:hint="eastAsia" w:asciiTheme="minorEastAsia" w:hAnsiTheme="minorEastAsia" w:eastAsiaTheme="minorEastAsia" w:cstheme="minorEastAsia"/>
          <w:color w:val="auto"/>
          <w:spacing w:val="22"/>
          <w:position w:val="17"/>
          <w:sz w:val="24"/>
          <w:szCs w:val="24"/>
          <w:highlight w:val="none"/>
          <w:lang w:eastAsia="zh-CN"/>
          <w14:textOutline w14:w="4394" w14:cap="flat" w14:cmpd="sng" w14:algn="ctr">
            <w14:solidFill>
              <w14:srgbClr w14:val="000000"/>
            </w14:solidFill>
            <w14:prstDash w14:val="solid"/>
            <w14:miter w14:val="0"/>
          </w14:textOutline>
        </w:rPr>
        <w:t>政采云平</w:t>
      </w:r>
      <w:r>
        <w:rPr>
          <w:rFonts w:hint="eastAsia" w:asciiTheme="minorEastAsia" w:hAnsiTheme="minorEastAsia" w:eastAsiaTheme="minorEastAsia" w:cstheme="minorEastAsia"/>
          <w:color w:val="auto"/>
          <w:spacing w:val="-56"/>
          <w:position w:val="17"/>
          <w:sz w:val="24"/>
          <w:szCs w:val="24"/>
          <w:highlight w:val="none"/>
          <w:lang w:eastAsia="zh-CN"/>
        </w:rPr>
        <w:t xml:space="preserve"> </w:t>
      </w:r>
      <w:r>
        <w:rPr>
          <w:rFonts w:hint="eastAsia" w:asciiTheme="minorEastAsia" w:hAnsiTheme="minorEastAsia" w:eastAsiaTheme="minorEastAsia" w:cstheme="minorEastAsia"/>
          <w:color w:val="auto"/>
          <w:spacing w:val="22"/>
          <w:position w:val="17"/>
          <w:sz w:val="24"/>
          <w:szCs w:val="24"/>
          <w:highlight w:val="none"/>
          <w:lang w:eastAsia="zh-CN"/>
          <w14:textOutline w14:w="4394" w14:cap="flat" w14:cmpd="sng" w14:algn="ctr">
            <w14:solidFill>
              <w14:srgbClr w14:val="000000"/>
            </w14:solidFill>
            <w14:prstDash w14:val="solid"/>
            <w14:miter w14:val="0"/>
          </w14:textOutline>
        </w:rPr>
        <w:t>台</w:t>
      </w:r>
    </w:p>
    <w:p w14:paraId="679186C6">
      <w:pPr>
        <w:spacing w:before="1" w:line="221"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9"/>
          <w:sz w:val="24"/>
          <w:szCs w:val="24"/>
          <w:highlight w:val="none"/>
          <w14:textOutline w14:w="4394" w14:cap="flat" w14:cmpd="sng" w14:algn="ctr">
            <w14:solidFill>
              <w14:srgbClr w14:val="000000"/>
            </w14:solidFill>
            <w14:prstDash w14:val="solid"/>
            <w14:miter w14:val="0"/>
          </w14:textOutline>
        </w:rPr>
        <w:t>（</w:t>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HYPERLINK "https://www.zcygov.cn"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14:textOutline w14:w="4394" w14:cap="flat" w14:cmpd="sng" w14:algn="ctr">
            <w14:solidFill>
              <w14:srgbClr w14:val="000000"/>
            </w14:solidFill>
            <w14:prstDash w14:val="solid"/>
            <w14:miter w14:val="0"/>
          </w14:textOutline>
        </w:rPr>
        <w:t>https</w:t>
      </w:r>
      <w:r>
        <w:rPr>
          <w:rFonts w:hint="eastAsia" w:asciiTheme="minorEastAsia" w:hAnsiTheme="minorEastAsia" w:eastAsiaTheme="minorEastAsia" w:cstheme="minorEastAsia"/>
          <w:color w:val="auto"/>
          <w:spacing w:val="19"/>
          <w:sz w:val="24"/>
          <w:szCs w:val="24"/>
          <w:highlight w:val="none"/>
          <w14:textOutline w14:w="4394" w14:cap="flat" w14:cmpd="sng" w14:algn="ctr">
            <w14:solidFill>
              <w14:srgbClr w14:val="000000"/>
            </w14:solidFill>
            <w14:prstDash w14:val="solid"/>
            <w14:miter w14:val="0"/>
          </w14:textOutline>
        </w:rPr>
        <w:t>://</w:t>
      </w:r>
      <w:r>
        <w:rPr>
          <w:rFonts w:hint="eastAsia" w:asciiTheme="minorEastAsia" w:hAnsiTheme="minorEastAsia" w:eastAsiaTheme="minorEastAsia" w:cstheme="minorEastAsia"/>
          <w:color w:val="auto"/>
          <w:sz w:val="24"/>
          <w:szCs w:val="24"/>
          <w:highlight w:val="none"/>
          <w14:textOutline w14:w="4394" w14:cap="flat" w14:cmpd="sng" w14:algn="ctr">
            <w14:solidFill>
              <w14:srgbClr w14:val="000000"/>
            </w14:solidFill>
            <w14:prstDash w14:val="solid"/>
            <w14:miter w14:val="0"/>
          </w14:textOutline>
        </w:rPr>
        <w:t>www</w:t>
      </w:r>
      <w:r>
        <w:rPr>
          <w:rFonts w:hint="eastAsia" w:asciiTheme="minorEastAsia" w:hAnsiTheme="minorEastAsia" w:eastAsiaTheme="minorEastAsia" w:cstheme="minorEastAsia"/>
          <w:color w:val="auto"/>
          <w:spacing w:val="19"/>
          <w:sz w:val="24"/>
          <w:szCs w:val="24"/>
          <w:highlight w:val="none"/>
          <w14:textOutline w14:w="4394" w14:cap="flat" w14:cmpd="sng" w14:algn="ctr">
            <w14:solidFill>
              <w14:srgbClr w14:val="000000"/>
            </w14:solidFill>
            <w14:prstDash w14:val="solid"/>
            <w14:miter w14:val="0"/>
          </w14:textOutline>
        </w:rPr>
        <w:t>.</w:t>
      </w:r>
      <w:r>
        <w:rPr>
          <w:rFonts w:hint="eastAsia" w:asciiTheme="minorEastAsia" w:hAnsiTheme="minorEastAsia" w:eastAsiaTheme="minorEastAsia" w:cstheme="minorEastAsia"/>
          <w:color w:val="auto"/>
          <w:sz w:val="24"/>
          <w:szCs w:val="24"/>
          <w:highlight w:val="none"/>
          <w14:textOutline w14:w="4394" w14:cap="flat" w14:cmpd="sng" w14:algn="ctr">
            <w14:solidFill>
              <w14:srgbClr w14:val="000000"/>
            </w14:solidFill>
            <w14:prstDash w14:val="solid"/>
            <w14:miter w14:val="0"/>
          </w14:textOutline>
        </w:rPr>
        <w:t>zcygov</w:t>
      </w:r>
      <w:r>
        <w:rPr>
          <w:rFonts w:hint="eastAsia" w:asciiTheme="minorEastAsia" w:hAnsiTheme="minorEastAsia" w:eastAsiaTheme="minorEastAsia" w:cstheme="minorEastAsia"/>
          <w:color w:val="auto"/>
          <w:spacing w:val="19"/>
          <w:sz w:val="24"/>
          <w:szCs w:val="24"/>
          <w:highlight w:val="none"/>
          <w14:textOutline w14:w="4394" w14:cap="flat" w14:cmpd="sng" w14:algn="ctr">
            <w14:solidFill>
              <w14:srgbClr w14:val="000000"/>
            </w14:solidFill>
            <w14:prstDash w14:val="solid"/>
            <w14:miter w14:val="0"/>
          </w14:textOutline>
        </w:rPr>
        <w:t>.</w:t>
      </w:r>
      <w:r>
        <w:rPr>
          <w:rFonts w:hint="eastAsia" w:asciiTheme="minorEastAsia" w:hAnsiTheme="minorEastAsia" w:eastAsiaTheme="minorEastAsia" w:cstheme="minorEastAsia"/>
          <w:color w:val="auto"/>
          <w:sz w:val="24"/>
          <w:szCs w:val="24"/>
          <w:highlight w:val="none"/>
          <w14:textOutline w14:w="4394" w14:cap="flat" w14:cmpd="sng" w14:algn="ctr">
            <w14:solidFill>
              <w14:srgbClr w14:val="000000"/>
            </w14:solidFill>
            <w14:prstDash w14:val="solid"/>
            <w14:miter w14:val="0"/>
          </w14:textOutline>
        </w:rPr>
        <w:t>cn</w:t>
      </w:r>
      <w:r>
        <w:rPr>
          <w:rFonts w:hint="eastAsia" w:asciiTheme="minorEastAsia" w:hAnsiTheme="minorEastAsia" w:eastAsiaTheme="minorEastAsia" w:cstheme="minorEastAsia"/>
          <w:color w:val="auto"/>
          <w:sz w:val="24"/>
          <w:szCs w:val="24"/>
          <w:highlight w:val="none"/>
          <w14:textOutline w14:w="4394" w14:cap="flat" w14:cmpd="sng" w14:algn="ctr">
            <w14:solidFill>
              <w14:srgbClr w14:val="000000"/>
            </w14:solidFill>
            <w14:prstDash w14:val="solid"/>
            <w14:miter w14:val="0"/>
          </w14:textOutline>
        </w:rPr>
        <w:fldChar w:fldCharType="end"/>
      </w:r>
      <w:r>
        <w:rPr>
          <w:rFonts w:hint="eastAsia" w:asciiTheme="minorEastAsia" w:hAnsiTheme="minorEastAsia" w:eastAsiaTheme="minorEastAsia" w:cstheme="minorEastAsia"/>
          <w:color w:val="auto"/>
          <w:spacing w:val="19"/>
          <w:sz w:val="24"/>
          <w:szCs w:val="24"/>
          <w:highlight w:val="none"/>
          <w14:textOutline w14:w="4394" w14:cap="flat" w14:cmpd="sng" w14:algn="ctr">
            <w14:solidFill>
              <w14:srgbClr w14:val="000000"/>
            </w14:solidFill>
            <w14:prstDash w14:val="solid"/>
            <w14:miter w14:val="0"/>
          </w14:textOutline>
        </w:rPr>
        <w:t>）上传加密的电子投标文件，逾</w:t>
      </w:r>
      <w:r>
        <w:rPr>
          <w:rFonts w:hint="eastAsia" w:asciiTheme="minorEastAsia" w:hAnsiTheme="minorEastAsia" w:eastAsiaTheme="minorEastAsia" w:cstheme="minorEastAsia"/>
          <w:color w:val="auto"/>
          <w:spacing w:val="18"/>
          <w:sz w:val="24"/>
          <w:szCs w:val="24"/>
          <w:highlight w:val="none"/>
          <w14:textOutline w14:w="4394" w14:cap="flat" w14:cmpd="sng" w14:algn="ctr">
            <w14:solidFill>
              <w14:srgbClr w14:val="000000"/>
            </w14:solidFill>
            <w14:prstDash w14:val="solid"/>
            <w14:miter w14:val="0"/>
          </w14:textOutline>
        </w:rPr>
        <w:t>期上传的或者未上传到平台的</w:t>
      </w:r>
      <w:r>
        <w:rPr>
          <w:rFonts w:hint="eastAsia" w:asciiTheme="minorEastAsia" w:hAnsiTheme="minorEastAsia" w:eastAsiaTheme="minorEastAsia" w:cstheme="minorEastAsia"/>
          <w:color w:val="auto"/>
          <w:spacing w:val="9"/>
          <w:sz w:val="24"/>
          <w:szCs w:val="24"/>
          <w:highlight w:val="none"/>
          <w14:textOutline w14:w="4394" w14:cap="flat" w14:cmpd="sng" w14:algn="ctr">
            <w14:solidFill>
              <w14:srgbClr w14:val="000000"/>
            </w14:solidFill>
            <w14:prstDash w14:val="solid"/>
            <w14:miter w14:val="0"/>
          </w14:textOutline>
        </w:rPr>
        <w:t>投标文件，采购人不予受理。</w:t>
      </w:r>
    </w:p>
    <w:p w14:paraId="57EC2AC5">
      <w:pPr>
        <w:spacing w:before="265" w:line="227" w:lineRule="auto"/>
        <w:ind w:left="18"/>
        <w:outlineLvl w:val="2"/>
        <w:rPr>
          <w:rFonts w:hint="eastAsia" w:asciiTheme="minorEastAsia" w:hAnsiTheme="minorEastAsia" w:eastAsiaTheme="minorEastAsia" w:cstheme="minorEastAsia"/>
          <w:color w:val="auto"/>
          <w:sz w:val="24"/>
          <w:szCs w:val="24"/>
          <w:highlight w:val="none"/>
          <w:lang w:eastAsia="zh-CN"/>
        </w:rPr>
      </w:pPr>
      <w:bookmarkStart w:id="41" w:name="_Toc7480"/>
      <w:r>
        <w:rPr>
          <w:rFonts w:hint="eastAsia" w:asciiTheme="minorEastAsia" w:hAnsiTheme="minorEastAsia" w:eastAsiaTheme="minorEastAsia" w:cstheme="minorEastAsia"/>
          <w:color w:val="auto"/>
          <w:spacing w:val="7"/>
          <w:sz w:val="24"/>
          <w:szCs w:val="24"/>
          <w:highlight w:val="none"/>
          <w:lang w:eastAsia="zh-CN"/>
          <w14:textOutline w14:w="4394" w14:cap="flat" w14:cmpd="sng" w14:algn="ctr">
            <w14:solidFill>
              <w14:srgbClr w14:val="000000"/>
            </w14:solidFill>
            <w14:prstDash w14:val="solid"/>
            <w14:miter w14:val="0"/>
          </w14:textOutline>
        </w:rPr>
        <w:t>15.</w:t>
      </w:r>
      <w:r>
        <w:rPr>
          <w:rFonts w:hint="eastAsia" w:asciiTheme="minorEastAsia" w:hAnsiTheme="minorEastAsia" w:eastAsiaTheme="minorEastAsia" w:cstheme="minorEastAsia"/>
          <w:color w:val="auto"/>
          <w:spacing w:val="7"/>
          <w:sz w:val="24"/>
          <w:szCs w:val="24"/>
          <w:highlight w:val="none"/>
          <w:lang w:eastAsia="zh-CN"/>
        </w:rPr>
        <w:t xml:space="preserve"> </w:t>
      </w:r>
      <w:r>
        <w:rPr>
          <w:rFonts w:hint="eastAsia" w:asciiTheme="minorEastAsia" w:hAnsiTheme="minorEastAsia" w:eastAsiaTheme="minorEastAsia" w:cstheme="minorEastAsia"/>
          <w:color w:val="auto"/>
          <w:spacing w:val="7"/>
          <w:sz w:val="24"/>
          <w:szCs w:val="24"/>
          <w:highlight w:val="none"/>
          <w:lang w:eastAsia="zh-CN"/>
          <w14:textOutline w14:w="4394" w14:cap="flat" w14:cmpd="sng" w14:algn="ctr">
            <w14:solidFill>
              <w14:srgbClr w14:val="000000"/>
            </w14:solidFill>
            <w14:prstDash w14:val="solid"/>
            <w14:miter w14:val="0"/>
          </w14:textOutline>
        </w:rPr>
        <w:t>迟交的竞争性谈判响应文件</w:t>
      </w:r>
      <w:bookmarkEnd w:id="41"/>
    </w:p>
    <w:p w14:paraId="6493C438">
      <w:pPr>
        <w:spacing w:before="220" w:line="401" w:lineRule="auto"/>
        <w:ind w:right="4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15.1 采购代理机构将拒绝在规定的递交竞争性谈判响</w:t>
      </w:r>
      <w:r>
        <w:rPr>
          <w:rFonts w:hint="eastAsia" w:asciiTheme="minorEastAsia" w:hAnsiTheme="minorEastAsia" w:eastAsiaTheme="minorEastAsia" w:cstheme="minorEastAsia"/>
          <w:color w:val="auto"/>
          <w:spacing w:val="8"/>
          <w:sz w:val="24"/>
          <w:szCs w:val="24"/>
          <w:highlight w:val="none"/>
          <w:lang w:eastAsia="zh-CN"/>
        </w:rPr>
        <w:t>应文件截止时间之后收到的任何</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12"/>
          <w:sz w:val="24"/>
          <w:szCs w:val="24"/>
          <w:highlight w:val="none"/>
          <w:lang w:eastAsia="zh-CN"/>
        </w:rPr>
        <w:t>竞争性谈判响应文件。由于对网上操作不熟悉或自身电脑、网络的原因导致不能在</w:t>
      </w:r>
      <w:r>
        <w:rPr>
          <w:rFonts w:hint="eastAsia" w:asciiTheme="minorEastAsia" w:hAnsiTheme="minorEastAsia" w:eastAsiaTheme="minorEastAsia" w:cstheme="minorEastAsia"/>
          <w:color w:val="auto"/>
          <w:spacing w:val="11"/>
          <w:sz w:val="24"/>
          <w:szCs w:val="24"/>
          <w:highlight w:val="none"/>
          <w:lang w:eastAsia="zh-CN"/>
        </w:rPr>
        <w:t>谈判响</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12"/>
          <w:sz w:val="24"/>
          <w:szCs w:val="24"/>
          <w:highlight w:val="none"/>
          <w:lang w:eastAsia="zh-CN"/>
        </w:rPr>
        <w:t>应文件递交截止时间之前上传谈判响应文件的，不负任何责任。建议于谈判响应文</w:t>
      </w:r>
      <w:r>
        <w:rPr>
          <w:rFonts w:hint="eastAsia" w:asciiTheme="minorEastAsia" w:hAnsiTheme="minorEastAsia" w:eastAsiaTheme="minorEastAsia" w:cstheme="minorEastAsia"/>
          <w:color w:val="auto"/>
          <w:spacing w:val="11"/>
          <w:sz w:val="24"/>
          <w:szCs w:val="24"/>
          <w:highlight w:val="none"/>
          <w:lang w:eastAsia="zh-CN"/>
        </w:rPr>
        <w:t>件递交</w:t>
      </w:r>
      <w:r>
        <w:rPr>
          <w:rFonts w:hint="eastAsia" w:asciiTheme="minorEastAsia" w:hAnsiTheme="minorEastAsia" w:eastAsiaTheme="minorEastAsia" w:cstheme="minorEastAsia"/>
          <w:color w:val="auto"/>
          <w:spacing w:val="7"/>
          <w:sz w:val="24"/>
          <w:szCs w:val="24"/>
          <w:highlight w:val="none"/>
          <w:lang w:eastAsia="zh-CN"/>
        </w:rPr>
        <w:t>截止时间前 1 个工作日完成谈判响应文件的制作与上传。</w:t>
      </w:r>
    </w:p>
    <w:p w14:paraId="4CC59FD2">
      <w:pPr>
        <w:spacing w:line="226" w:lineRule="auto"/>
        <w:rPr>
          <w:rFonts w:hint="eastAsia" w:asciiTheme="minorEastAsia" w:hAnsiTheme="minorEastAsia" w:eastAsiaTheme="minorEastAsia" w:cstheme="minorEastAsia"/>
          <w:color w:val="auto"/>
          <w:sz w:val="24"/>
          <w:szCs w:val="24"/>
          <w:highlight w:val="none"/>
          <w:lang w:eastAsia="zh-CN"/>
        </w:rPr>
        <w:sectPr>
          <w:headerReference r:id="rId6" w:type="default"/>
          <w:footerReference r:id="rId7" w:type="default"/>
          <w:pgSz w:w="11906" w:h="16838"/>
          <w:pgMar w:top="1440" w:right="1800" w:bottom="1440" w:left="1800" w:header="0" w:footer="1202" w:gutter="0"/>
          <w:pgNumType w:fmt="decimal" w:start="1"/>
          <w:cols w:space="0" w:num="1"/>
        </w:sectPr>
      </w:pPr>
    </w:p>
    <w:p w14:paraId="7450C682">
      <w:pPr>
        <w:spacing w:before="75" w:line="227" w:lineRule="auto"/>
        <w:ind w:left="3888"/>
        <w:outlineLvl w:val="1"/>
        <w:rPr>
          <w:rFonts w:hint="eastAsia" w:asciiTheme="minorEastAsia" w:hAnsiTheme="minorEastAsia" w:eastAsiaTheme="minorEastAsia" w:cstheme="minorEastAsia"/>
          <w:color w:val="auto"/>
          <w:sz w:val="24"/>
          <w:szCs w:val="24"/>
          <w:highlight w:val="none"/>
          <w:lang w:eastAsia="zh-CN"/>
        </w:rPr>
      </w:pPr>
      <w:bookmarkStart w:id="42" w:name="_Toc21749"/>
      <w:r>
        <w:rPr>
          <w:rFonts w:hint="eastAsia" w:asciiTheme="minorEastAsia" w:hAnsiTheme="minorEastAsia" w:eastAsiaTheme="minorEastAsia" w:cstheme="minorEastAsia"/>
          <w:color w:val="auto"/>
          <w:spacing w:val="8"/>
          <w:sz w:val="24"/>
          <w:szCs w:val="24"/>
          <w:highlight w:val="none"/>
          <w:lang w:eastAsia="zh-CN"/>
          <w14:textOutline w14:w="4394" w14:cap="flat" w14:cmpd="sng" w14:algn="ctr">
            <w14:solidFill>
              <w14:srgbClr w14:val="000000"/>
            </w14:solidFill>
            <w14:prstDash w14:val="solid"/>
            <w14:miter w14:val="0"/>
          </w14:textOutline>
        </w:rPr>
        <w:t>五、谈判的步骤</w:t>
      </w:r>
      <w:bookmarkEnd w:id="42"/>
    </w:p>
    <w:p w14:paraId="2300007D">
      <w:pPr>
        <w:pStyle w:val="9"/>
        <w:spacing w:line="309" w:lineRule="auto"/>
        <w:rPr>
          <w:rFonts w:hint="eastAsia" w:asciiTheme="minorEastAsia" w:hAnsiTheme="minorEastAsia" w:eastAsiaTheme="minorEastAsia" w:cstheme="minorEastAsia"/>
          <w:color w:val="auto"/>
          <w:sz w:val="24"/>
          <w:szCs w:val="24"/>
          <w:highlight w:val="none"/>
          <w:lang w:eastAsia="zh-CN"/>
        </w:rPr>
      </w:pPr>
    </w:p>
    <w:p w14:paraId="52652BDB">
      <w:pPr>
        <w:spacing w:before="75" w:line="360" w:lineRule="auto"/>
        <w:ind w:left="19"/>
        <w:outlineLvl w:val="2"/>
        <w:rPr>
          <w:rFonts w:hint="eastAsia" w:asciiTheme="minorEastAsia" w:hAnsiTheme="minorEastAsia" w:eastAsiaTheme="minorEastAsia" w:cstheme="minorEastAsia"/>
          <w:color w:val="auto"/>
          <w:sz w:val="24"/>
          <w:szCs w:val="24"/>
          <w:highlight w:val="none"/>
          <w:lang w:eastAsia="zh-CN"/>
        </w:rPr>
      </w:pPr>
      <w:bookmarkStart w:id="43" w:name="_Toc3248"/>
      <w:r>
        <w:rPr>
          <w:rFonts w:hint="eastAsia" w:asciiTheme="minorEastAsia" w:hAnsiTheme="minorEastAsia" w:eastAsiaTheme="minorEastAsia" w:cstheme="minorEastAsia"/>
          <w:color w:val="auto"/>
          <w:spacing w:val="4"/>
          <w:sz w:val="24"/>
          <w:szCs w:val="24"/>
          <w:highlight w:val="none"/>
          <w:lang w:eastAsia="zh-CN"/>
          <w14:textOutline w14:w="4394" w14:cap="flat" w14:cmpd="sng" w14:algn="ctr">
            <w14:solidFill>
              <w14:srgbClr w14:val="000000"/>
            </w14:solidFill>
            <w14:prstDash w14:val="solid"/>
            <w14:miter w14:val="0"/>
          </w14:textOutline>
        </w:rPr>
        <w:t>16.</w:t>
      </w:r>
      <w:r>
        <w:rPr>
          <w:rFonts w:hint="eastAsia" w:asciiTheme="minorEastAsia" w:hAnsiTheme="minorEastAsia" w:eastAsiaTheme="minorEastAsia" w:cstheme="minorEastAsia"/>
          <w:color w:val="auto"/>
          <w:spacing w:val="25"/>
          <w:sz w:val="24"/>
          <w:szCs w:val="24"/>
          <w:highlight w:val="none"/>
          <w:lang w:eastAsia="zh-CN"/>
        </w:rPr>
        <w:t xml:space="preserve"> </w:t>
      </w:r>
      <w:r>
        <w:rPr>
          <w:rFonts w:hint="eastAsia" w:asciiTheme="minorEastAsia" w:hAnsiTheme="minorEastAsia" w:eastAsiaTheme="minorEastAsia" w:cstheme="minorEastAsia"/>
          <w:color w:val="auto"/>
          <w:spacing w:val="4"/>
          <w:sz w:val="24"/>
          <w:szCs w:val="24"/>
          <w:highlight w:val="none"/>
          <w:lang w:eastAsia="zh-CN"/>
          <w14:textOutline w14:w="4394" w14:cap="flat" w14:cmpd="sng" w14:algn="ctr">
            <w14:solidFill>
              <w14:srgbClr w14:val="000000"/>
            </w14:solidFill>
            <w14:prstDash w14:val="solid"/>
            <w14:miter w14:val="0"/>
          </w14:textOutline>
        </w:rPr>
        <w:t>成立谈判小组</w:t>
      </w:r>
      <w:bookmarkEnd w:id="43"/>
    </w:p>
    <w:p w14:paraId="34CFC37D">
      <w:pPr>
        <w:spacing w:before="215"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1"/>
          <w:position w:val="20"/>
          <w:sz w:val="24"/>
          <w:szCs w:val="24"/>
          <w:highlight w:val="none"/>
          <w:lang w:eastAsia="zh-CN"/>
        </w:rPr>
        <w:t>16.1 谈判小组由有关专家共 3 人以</w:t>
      </w:r>
      <w:r>
        <w:rPr>
          <w:rFonts w:hint="eastAsia" w:asciiTheme="minorEastAsia" w:hAnsiTheme="minorEastAsia" w:eastAsiaTheme="minorEastAsia" w:cstheme="minorEastAsia"/>
          <w:color w:val="auto"/>
          <w:spacing w:val="10"/>
          <w:position w:val="20"/>
          <w:sz w:val="24"/>
          <w:szCs w:val="24"/>
          <w:highlight w:val="none"/>
          <w:lang w:eastAsia="zh-CN"/>
        </w:rPr>
        <w:t>上的单数组成，其中采购代表</w:t>
      </w:r>
      <w:r>
        <w:rPr>
          <w:rFonts w:hint="eastAsia" w:asciiTheme="minorEastAsia" w:hAnsiTheme="minorEastAsia" w:eastAsiaTheme="minorEastAsia" w:cstheme="minorEastAsia"/>
          <w:color w:val="auto"/>
          <w:spacing w:val="10"/>
          <w:position w:val="20"/>
          <w:sz w:val="24"/>
          <w:szCs w:val="24"/>
          <w:highlight w:val="none"/>
          <w:u w:val="single"/>
          <w:lang w:eastAsia="zh-CN"/>
        </w:rPr>
        <w:t>1</w:t>
      </w:r>
      <w:r>
        <w:rPr>
          <w:rFonts w:hint="eastAsia" w:asciiTheme="minorEastAsia" w:hAnsiTheme="minorEastAsia" w:eastAsiaTheme="minorEastAsia" w:cstheme="minorEastAsia"/>
          <w:color w:val="auto"/>
          <w:spacing w:val="10"/>
          <w:position w:val="20"/>
          <w:sz w:val="24"/>
          <w:szCs w:val="24"/>
          <w:highlight w:val="none"/>
          <w:lang w:eastAsia="zh-CN"/>
        </w:rPr>
        <w:t>人，专家库抽取专家</w:t>
      </w:r>
      <w:r>
        <w:rPr>
          <w:rFonts w:hint="eastAsia" w:asciiTheme="minorEastAsia" w:hAnsiTheme="minorEastAsia" w:eastAsiaTheme="minorEastAsia" w:cstheme="minorEastAsia"/>
          <w:color w:val="auto"/>
          <w:spacing w:val="10"/>
          <w:position w:val="20"/>
          <w:sz w:val="24"/>
          <w:szCs w:val="24"/>
          <w:highlight w:val="none"/>
          <w:u w:val="single"/>
          <w:lang w:eastAsia="zh-CN"/>
        </w:rPr>
        <w:t>2</w:t>
      </w:r>
      <w:r>
        <w:rPr>
          <w:rFonts w:hint="eastAsia" w:asciiTheme="minorEastAsia" w:hAnsiTheme="minorEastAsia" w:eastAsiaTheme="minorEastAsia" w:cstheme="minorEastAsia"/>
          <w:color w:val="auto"/>
          <w:spacing w:val="10"/>
          <w:position w:val="20"/>
          <w:sz w:val="24"/>
          <w:szCs w:val="24"/>
          <w:highlight w:val="none"/>
          <w:lang w:eastAsia="zh-CN"/>
        </w:rPr>
        <w:t>人。专家成员依法从政采云专家库中随机抽取确定。</w:t>
      </w:r>
    </w:p>
    <w:p w14:paraId="2201B000">
      <w:pPr>
        <w:spacing w:before="219" w:line="360" w:lineRule="auto"/>
        <w:ind w:left="19"/>
        <w:outlineLvl w:val="2"/>
        <w:rPr>
          <w:rFonts w:hint="eastAsia" w:asciiTheme="minorEastAsia" w:hAnsiTheme="minorEastAsia" w:eastAsiaTheme="minorEastAsia" w:cstheme="minorEastAsia"/>
          <w:color w:val="auto"/>
          <w:sz w:val="24"/>
          <w:szCs w:val="24"/>
          <w:highlight w:val="none"/>
          <w:lang w:eastAsia="zh-CN"/>
        </w:rPr>
      </w:pPr>
      <w:bookmarkStart w:id="44" w:name="_Toc26972"/>
      <w:r>
        <w:rPr>
          <w:rFonts w:hint="eastAsia" w:asciiTheme="minorEastAsia" w:hAnsiTheme="minorEastAsia" w:eastAsiaTheme="minorEastAsia" w:cstheme="minorEastAsia"/>
          <w:color w:val="auto"/>
          <w:spacing w:val="7"/>
          <w:sz w:val="24"/>
          <w:szCs w:val="24"/>
          <w:highlight w:val="none"/>
          <w:lang w:eastAsia="zh-CN"/>
          <w14:textOutline w14:w="4394" w14:cap="flat" w14:cmpd="sng" w14:algn="ctr">
            <w14:solidFill>
              <w14:srgbClr w14:val="000000"/>
            </w14:solidFill>
            <w14:prstDash w14:val="solid"/>
            <w14:miter w14:val="0"/>
          </w14:textOutline>
        </w:rPr>
        <w:t>17.</w:t>
      </w:r>
      <w:r>
        <w:rPr>
          <w:rFonts w:hint="eastAsia" w:asciiTheme="minorEastAsia" w:hAnsiTheme="minorEastAsia" w:eastAsiaTheme="minorEastAsia" w:cstheme="minorEastAsia"/>
          <w:color w:val="auto"/>
          <w:spacing w:val="7"/>
          <w:sz w:val="24"/>
          <w:szCs w:val="24"/>
          <w:highlight w:val="none"/>
          <w:lang w:eastAsia="zh-CN"/>
        </w:rPr>
        <w:t xml:space="preserve"> </w:t>
      </w:r>
      <w:r>
        <w:rPr>
          <w:rFonts w:hint="eastAsia" w:asciiTheme="minorEastAsia" w:hAnsiTheme="minorEastAsia" w:eastAsiaTheme="minorEastAsia" w:cstheme="minorEastAsia"/>
          <w:color w:val="auto"/>
          <w:spacing w:val="7"/>
          <w:sz w:val="24"/>
          <w:szCs w:val="24"/>
          <w:highlight w:val="none"/>
          <w:lang w:eastAsia="zh-CN"/>
          <w14:textOutline w14:w="4394" w14:cap="flat" w14:cmpd="sng" w14:algn="ctr">
            <w14:solidFill>
              <w14:srgbClr w14:val="000000"/>
            </w14:solidFill>
            <w14:prstDash w14:val="solid"/>
            <w14:miter w14:val="0"/>
          </w14:textOutline>
        </w:rPr>
        <w:t>谈判响应文件的审核</w:t>
      </w:r>
      <w:bookmarkEnd w:id="44"/>
    </w:p>
    <w:p w14:paraId="6C012DA5">
      <w:pPr>
        <w:spacing w:before="215" w:line="360" w:lineRule="auto"/>
        <w:rPr>
          <w:rFonts w:hint="eastAsia" w:asciiTheme="minorEastAsia" w:hAnsiTheme="minorEastAsia" w:eastAsiaTheme="minorEastAsia" w:cstheme="minorEastAsia"/>
          <w:color w:val="auto"/>
          <w:spacing w:val="11"/>
          <w:position w:val="20"/>
          <w:sz w:val="24"/>
          <w:szCs w:val="24"/>
          <w:highlight w:val="none"/>
          <w:lang w:eastAsia="zh-CN"/>
        </w:rPr>
      </w:pPr>
      <w:r>
        <w:rPr>
          <w:rFonts w:hint="eastAsia" w:asciiTheme="minorEastAsia" w:hAnsiTheme="minorEastAsia" w:eastAsiaTheme="minorEastAsia" w:cstheme="minorEastAsia"/>
          <w:color w:val="auto"/>
          <w:spacing w:val="11"/>
          <w:position w:val="20"/>
          <w:sz w:val="24"/>
          <w:szCs w:val="24"/>
          <w:highlight w:val="none"/>
          <w:lang w:eastAsia="zh-CN"/>
        </w:rPr>
        <w:t>17.1 谈判供应商在规定的时间内解密上传的谈判响应文件。若因网络等技术原因不能进行电子谈判响应文件解密，则以电子谈判响应文件进行谈判。</w:t>
      </w:r>
    </w:p>
    <w:p w14:paraId="2207EB5A">
      <w:pPr>
        <w:spacing w:before="215" w:line="360" w:lineRule="auto"/>
        <w:rPr>
          <w:rFonts w:hint="eastAsia" w:asciiTheme="minorEastAsia" w:hAnsiTheme="minorEastAsia" w:eastAsiaTheme="minorEastAsia" w:cstheme="minorEastAsia"/>
          <w:color w:val="auto"/>
          <w:spacing w:val="11"/>
          <w:position w:val="20"/>
          <w:sz w:val="24"/>
          <w:szCs w:val="24"/>
          <w:highlight w:val="none"/>
          <w:lang w:eastAsia="zh-CN"/>
        </w:rPr>
      </w:pPr>
      <w:r>
        <w:rPr>
          <w:rFonts w:hint="eastAsia" w:asciiTheme="minorEastAsia" w:hAnsiTheme="minorEastAsia" w:eastAsiaTheme="minorEastAsia" w:cstheme="minorEastAsia"/>
          <w:color w:val="auto"/>
          <w:spacing w:val="11"/>
          <w:position w:val="20"/>
          <w:sz w:val="24"/>
          <w:szCs w:val="24"/>
          <w:highlight w:val="none"/>
          <w:lang w:eastAsia="zh-CN"/>
        </w:rPr>
        <w:t>17.2 谈判小组根据谈判原则及标准对谈判供应商递交的竞争性谈判响应文件进行资格和符合性审查，以确定其谈判供应商是否具备参加竞争性谈判的资格。</w:t>
      </w:r>
    </w:p>
    <w:p w14:paraId="114B4901">
      <w:pPr>
        <w:spacing w:before="215" w:line="360" w:lineRule="auto"/>
        <w:rPr>
          <w:rFonts w:hint="eastAsia" w:asciiTheme="minorEastAsia" w:hAnsiTheme="minorEastAsia" w:eastAsiaTheme="minorEastAsia" w:cstheme="minorEastAsia"/>
          <w:color w:val="auto"/>
          <w:spacing w:val="11"/>
          <w:position w:val="20"/>
          <w:sz w:val="24"/>
          <w:szCs w:val="24"/>
          <w:highlight w:val="none"/>
          <w:lang w:eastAsia="zh-CN"/>
        </w:rPr>
      </w:pPr>
      <w:r>
        <w:rPr>
          <w:rFonts w:hint="eastAsia" w:asciiTheme="minorEastAsia" w:hAnsiTheme="minorEastAsia" w:eastAsiaTheme="minorEastAsia" w:cstheme="minorEastAsia"/>
          <w:color w:val="auto"/>
          <w:spacing w:val="11"/>
          <w:position w:val="20"/>
          <w:sz w:val="24"/>
          <w:szCs w:val="24"/>
          <w:highlight w:val="none"/>
          <w:lang w:eastAsia="zh-CN"/>
        </w:rPr>
        <w:t>17.3 竞争性谈判响应文件被确认为无效文件后，该谈判供应商即失去参加本次竞争性谈判的资格。</w:t>
      </w:r>
    </w:p>
    <w:p w14:paraId="0A706A16">
      <w:pPr>
        <w:spacing w:before="216" w:line="228" w:lineRule="auto"/>
        <w:ind w:left="19"/>
        <w:outlineLvl w:val="2"/>
        <w:rPr>
          <w:rFonts w:hint="eastAsia" w:asciiTheme="minorEastAsia" w:hAnsiTheme="minorEastAsia" w:eastAsiaTheme="minorEastAsia" w:cstheme="minorEastAsia"/>
          <w:color w:val="auto"/>
          <w:sz w:val="24"/>
          <w:szCs w:val="24"/>
          <w:highlight w:val="none"/>
          <w:lang w:eastAsia="zh-CN"/>
        </w:rPr>
      </w:pPr>
      <w:bookmarkStart w:id="45" w:name="_Toc9644"/>
      <w:r>
        <w:rPr>
          <w:rFonts w:hint="eastAsia" w:asciiTheme="minorEastAsia" w:hAnsiTheme="minorEastAsia" w:eastAsiaTheme="minorEastAsia" w:cstheme="minorEastAsia"/>
          <w:color w:val="auto"/>
          <w:spacing w:val="-1"/>
          <w:sz w:val="24"/>
          <w:szCs w:val="24"/>
          <w:highlight w:val="none"/>
          <w:lang w:eastAsia="zh-CN"/>
          <w14:textOutline w14:w="4394" w14:cap="flat" w14:cmpd="sng" w14:algn="ctr">
            <w14:solidFill>
              <w14:srgbClr w14:val="000000"/>
            </w14:solidFill>
            <w14:prstDash w14:val="solid"/>
            <w14:miter w14:val="0"/>
          </w14:textOutline>
        </w:rPr>
        <w:t>18.</w:t>
      </w:r>
      <w:r>
        <w:rPr>
          <w:rFonts w:hint="eastAsia" w:asciiTheme="minorEastAsia" w:hAnsiTheme="minorEastAsia" w:eastAsiaTheme="minorEastAsia" w:cstheme="minorEastAsia"/>
          <w:color w:val="auto"/>
          <w:spacing w:val="21"/>
          <w:sz w:val="24"/>
          <w:szCs w:val="24"/>
          <w:highlight w:val="none"/>
          <w:lang w:eastAsia="zh-CN"/>
        </w:rPr>
        <w:t xml:space="preserve"> </w:t>
      </w:r>
      <w:r>
        <w:rPr>
          <w:rFonts w:hint="eastAsia" w:asciiTheme="minorEastAsia" w:hAnsiTheme="minorEastAsia" w:eastAsiaTheme="minorEastAsia" w:cstheme="minorEastAsia"/>
          <w:color w:val="auto"/>
          <w:spacing w:val="-1"/>
          <w:sz w:val="24"/>
          <w:szCs w:val="24"/>
          <w:highlight w:val="none"/>
          <w:lang w:eastAsia="zh-CN"/>
          <w14:textOutline w14:w="4394" w14:cap="flat" w14:cmpd="sng" w14:algn="ctr">
            <w14:solidFill>
              <w14:srgbClr w14:val="000000"/>
            </w14:solidFill>
            <w14:prstDash w14:val="solid"/>
            <w14:miter w14:val="0"/>
          </w14:textOutline>
        </w:rPr>
        <w:t>谈判</w:t>
      </w:r>
      <w:bookmarkEnd w:id="45"/>
    </w:p>
    <w:p w14:paraId="0E21C789">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18.1 谈判小组按已确定的谈判顺序，就符合采购需求</w:t>
      </w:r>
      <w:r>
        <w:rPr>
          <w:rFonts w:hint="eastAsia" w:asciiTheme="minorEastAsia" w:hAnsiTheme="minorEastAsia" w:eastAsiaTheme="minorEastAsia" w:cstheme="minorEastAsia"/>
          <w:color w:val="auto"/>
          <w:spacing w:val="8"/>
          <w:sz w:val="24"/>
          <w:szCs w:val="24"/>
          <w:highlight w:val="none"/>
          <w:lang w:eastAsia="zh-CN"/>
        </w:rPr>
        <w:t>、质量和服务等进行谈判，并了</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12"/>
          <w:sz w:val="24"/>
          <w:szCs w:val="24"/>
          <w:highlight w:val="none"/>
          <w:lang w:eastAsia="zh-CN"/>
        </w:rPr>
        <w:t>解其报价组成情况。谈判中，谈判的任何一方不得透露与谈判有关的其他供应商的技</w:t>
      </w:r>
      <w:r>
        <w:rPr>
          <w:rFonts w:hint="eastAsia" w:asciiTheme="minorEastAsia" w:hAnsiTheme="minorEastAsia" w:eastAsiaTheme="minorEastAsia" w:cstheme="minorEastAsia"/>
          <w:color w:val="auto"/>
          <w:spacing w:val="11"/>
          <w:sz w:val="24"/>
          <w:szCs w:val="24"/>
          <w:highlight w:val="none"/>
          <w:lang w:eastAsia="zh-CN"/>
        </w:rPr>
        <w:t>术资</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12"/>
          <w:sz w:val="24"/>
          <w:szCs w:val="24"/>
          <w:highlight w:val="none"/>
          <w:lang w:eastAsia="zh-CN"/>
        </w:rPr>
        <w:t>料、价格和其他信息。谈判结束后，谈判小组按照谈判文件规定的方法和标准，对响</w:t>
      </w:r>
      <w:r>
        <w:rPr>
          <w:rFonts w:hint="eastAsia" w:asciiTheme="minorEastAsia" w:hAnsiTheme="minorEastAsia" w:eastAsiaTheme="minorEastAsia" w:cstheme="minorEastAsia"/>
          <w:color w:val="auto"/>
          <w:spacing w:val="11"/>
          <w:sz w:val="24"/>
          <w:szCs w:val="24"/>
          <w:highlight w:val="none"/>
          <w:lang w:eastAsia="zh-CN"/>
        </w:rPr>
        <w:t>应谈</w:t>
      </w:r>
      <w:r>
        <w:rPr>
          <w:rFonts w:hint="eastAsia" w:asciiTheme="minorEastAsia" w:hAnsiTheme="minorEastAsia" w:eastAsiaTheme="minorEastAsia" w:cstheme="minorEastAsia"/>
          <w:color w:val="auto"/>
          <w:spacing w:val="8"/>
          <w:sz w:val="24"/>
          <w:szCs w:val="24"/>
          <w:highlight w:val="none"/>
          <w:lang w:eastAsia="zh-CN"/>
        </w:rPr>
        <w:t>判文件要求的供应商进行综合评议，并视情况决定是否进行下一轮谈判。</w:t>
      </w:r>
    </w:p>
    <w:p w14:paraId="57B9D235">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rPr>
      </w:pPr>
      <w:r>
        <w:rPr>
          <w:rFonts w:hint="eastAsia" w:asciiTheme="minorEastAsia" w:hAnsiTheme="minorEastAsia" w:eastAsiaTheme="minorEastAsia" w:cstheme="minorEastAsia"/>
          <w:color w:val="auto"/>
          <w:spacing w:val="8"/>
          <w:sz w:val="24"/>
          <w:szCs w:val="24"/>
          <w:highlight w:val="none"/>
          <w:lang w:eastAsia="zh-CN"/>
        </w:rPr>
        <w:t>18.2 谈判过程中,若需修正谈判文件或优化采购方案, 采购代理机构将通知所有谈判</w:t>
      </w:r>
      <w:r>
        <w:rPr>
          <w:rFonts w:hint="eastAsia" w:asciiTheme="minorEastAsia" w:hAnsiTheme="minorEastAsia" w:eastAsiaTheme="minorEastAsia" w:cstheme="minorEastAsia"/>
          <w:color w:val="auto"/>
          <w:spacing w:val="15"/>
          <w:sz w:val="24"/>
          <w:szCs w:val="24"/>
          <w:highlight w:val="none"/>
          <w:lang w:eastAsia="zh-CN"/>
        </w:rPr>
        <w:t>供应商,并给所有谈判供应商提供较充分的修正时间。谈判供应商根据谈判文</w:t>
      </w:r>
      <w:r>
        <w:rPr>
          <w:rFonts w:hint="eastAsia" w:asciiTheme="minorEastAsia" w:hAnsiTheme="minorEastAsia" w:eastAsiaTheme="minorEastAsia" w:cstheme="minorEastAsia"/>
          <w:color w:val="auto"/>
          <w:spacing w:val="14"/>
          <w:sz w:val="24"/>
          <w:szCs w:val="24"/>
          <w:highlight w:val="none"/>
          <w:lang w:eastAsia="zh-CN"/>
        </w:rPr>
        <w:t>件修改，对</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9"/>
          <w:sz w:val="24"/>
          <w:szCs w:val="24"/>
          <w:highlight w:val="none"/>
          <w:lang w:eastAsia="zh-CN"/>
        </w:rPr>
        <w:t>原响应文件</w:t>
      </w:r>
      <w:r>
        <w:rPr>
          <w:rFonts w:hint="eastAsia" w:asciiTheme="minorEastAsia" w:hAnsiTheme="minorEastAsia" w:eastAsiaTheme="minorEastAsia" w:cstheme="minorEastAsia"/>
          <w:color w:val="auto"/>
          <w:spacing w:val="12"/>
          <w:sz w:val="24"/>
          <w:szCs w:val="24"/>
          <w:highlight w:val="none"/>
          <w:lang w:eastAsia="zh-CN"/>
        </w:rPr>
        <w:t>进行修正， 并将修正文件通过数字证书加密并签章后，传到网站指定栏目。逾 期不上传的，视同放弃谈判。修正文件与响应文件同具法律效力。</w:t>
      </w:r>
      <w:r>
        <w:rPr>
          <w:rFonts w:hint="eastAsia" w:asciiTheme="minorEastAsia" w:hAnsiTheme="minorEastAsia" w:eastAsiaTheme="minorEastAsia" w:cstheme="minorEastAsia"/>
          <w:color w:val="auto"/>
          <w:spacing w:val="12"/>
          <w:sz w:val="24"/>
          <w:szCs w:val="24"/>
          <w:highlight w:val="none"/>
        </w:rPr>
        <w:t>文件修正后，按照规定的时间继续进行谈判。</w:t>
      </w:r>
    </w:p>
    <w:p w14:paraId="0910429B">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18.3 每一次谈判结束后，参加谈判的供应商均须根据谈判小组的要求在规定的时间内进行网上报价，并作出有关承诺说明。</w:t>
      </w:r>
    </w:p>
    <w:p w14:paraId="2712B2D8">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18.4 谈判供应商作最后报价，通过数字证书进行加密</w:t>
      </w:r>
      <w:r>
        <w:rPr>
          <w:rFonts w:hint="eastAsia" w:asciiTheme="minorEastAsia" w:hAnsiTheme="minorEastAsia" w:eastAsiaTheme="minorEastAsia" w:cstheme="minorEastAsia"/>
          <w:color w:val="auto"/>
          <w:spacing w:val="7"/>
          <w:sz w:val="24"/>
          <w:szCs w:val="24"/>
          <w:highlight w:val="none"/>
          <w:lang w:eastAsia="zh-CN"/>
        </w:rPr>
        <w:t>并签章后，传到网站指定栏目。</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12"/>
          <w:sz w:val="24"/>
          <w:szCs w:val="24"/>
          <w:highlight w:val="none"/>
          <w:lang w:eastAsia="zh-CN"/>
        </w:rPr>
        <w:t>谈判小组按谈判情况和最后报价情况综合评价比较，推荐成交候选供应商名单，形成</w:t>
      </w:r>
      <w:r>
        <w:rPr>
          <w:rFonts w:hint="eastAsia" w:asciiTheme="minorEastAsia" w:hAnsiTheme="minorEastAsia" w:eastAsiaTheme="minorEastAsia" w:cstheme="minorEastAsia"/>
          <w:color w:val="auto"/>
          <w:spacing w:val="11"/>
          <w:sz w:val="24"/>
          <w:szCs w:val="24"/>
          <w:highlight w:val="none"/>
          <w:lang w:eastAsia="zh-CN"/>
        </w:rPr>
        <w:t>谈判</w:t>
      </w:r>
      <w:r>
        <w:rPr>
          <w:rFonts w:hint="eastAsia" w:asciiTheme="minorEastAsia" w:hAnsiTheme="minorEastAsia" w:eastAsiaTheme="minorEastAsia" w:cstheme="minorEastAsia"/>
          <w:color w:val="auto"/>
          <w:spacing w:val="-4"/>
          <w:sz w:val="24"/>
          <w:szCs w:val="24"/>
          <w:highlight w:val="none"/>
          <w:lang w:eastAsia="zh-CN"/>
        </w:rPr>
        <w:t>报告。</w:t>
      </w:r>
    </w:p>
    <w:p w14:paraId="6C8E304E">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18.5 谈判供应商的报价均超过了政府采购预算，采购人不能支付的，谈判活动终止；终止后，采购人需要采取调整采购预算或项目配置标准等，或采取其他采购方式的，应当在采购活动开始前获得政府采购监督管理部门批准。</w:t>
      </w:r>
    </w:p>
    <w:p w14:paraId="16B95488">
      <w:pPr>
        <w:pStyle w:val="9"/>
        <w:spacing w:before="136" w:line="376" w:lineRule="auto"/>
        <w:ind w:firstLine="48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3"/>
          <w:sz w:val="24"/>
          <w:szCs w:val="24"/>
          <w:highlight w:val="none"/>
          <w:lang w:eastAsia="zh-CN"/>
          <w14:textOutline w14:w="4394" w14:cap="flat" w14:cmpd="sng" w14:algn="ctr">
            <w14:solidFill>
              <w14:srgbClr w14:val="000000"/>
            </w14:solidFill>
            <w14:prstDash w14:val="solid"/>
            <w14:miter w14:val="0"/>
          </w14:textOutline>
        </w:rPr>
        <w:t>注：本项目采用不见面开标方式，招标人在规定的投标截止时间（开标时间）和</w:t>
      </w:r>
      <w:r>
        <w:rPr>
          <w:rFonts w:hint="eastAsia" w:asciiTheme="minorEastAsia" w:hAnsiTheme="minorEastAsia" w:eastAsiaTheme="minorEastAsia" w:cstheme="minorEastAsia"/>
          <w:color w:val="auto"/>
          <w:spacing w:val="12"/>
          <w:sz w:val="24"/>
          <w:szCs w:val="24"/>
          <w:highlight w:val="none"/>
          <w:lang w:eastAsia="zh-CN"/>
          <w14:textOutline w14:w="4394" w14:cap="flat" w14:cmpd="sng" w14:algn="ctr">
            <w14:solidFill>
              <w14:srgbClr w14:val="000000"/>
            </w14:solidFill>
            <w14:prstDash w14:val="solid"/>
            <w14:miter w14:val="0"/>
          </w14:textOutline>
        </w:rPr>
        <w:t>供应</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13"/>
          <w:sz w:val="24"/>
          <w:szCs w:val="24"/>
          <w:highlight w:val="none"/>
          <w:lang w:eastAsia="zh-CN"/>
          <w14:textOutline w14:w="4394" w14:cap="flat" w14:cmpd="sng" w14:algn="ctr">
            <w14:solidFill>
              <w14:srgbClr w14:val="000000"/>
            </w14:solidFill>
            <w14:prstDash w14:val="solid"/>
            <w14:miter w14:val="0"/>
          </w14:textOutline>
        </w:rPr>
        <w:t>商须知前附表规定的地点开标。供应商的法定代表人</w:t>
      </w:r>
      <w:r>
        <w:rPr>
          <w:rFonts w:hint="eastAsia" w:asciiTheme="minorEastAsia" w:hAnsiTheme="minorEastAsia" w:eastAsiaTheme="minorEastAsia" w:cstheme="minorEastAsia"/>
          <w:color w:val="auto"/>
          <w:spacing w:val="12"/>
          <w:sz w:val="24"/>
          <w:szCs w:val="24"/>
          <w:highlight w:val="none"/>
          <w:lang w:eastAsia="zh-CN"/>
          <w14:textOutline w14:w="4394" w14:cap="flat" w14:cmpd="sng" w14:algn="ctr">
            <w14:solidFill>
              <w14:srgbClr w14:val="000000"/>
            </w14:solidFill>
            <w14:prstDash w14:val="solid"/>
            <w14:miter w14:val="0"/>
          </w14:textOutline>
        </w:rPr>
        <w:t>或其委托代理人无需到达开标现场，</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4"/>
          <w:sz w:val="24"/>
          <w:szCs w:val="24"/>
          <w:highlight w:val="none"/>
          <w:lang w:eastAsia="zh-CN"/>
          <w14:textOutline w14:w="4394" w14:cap="flat" w14:cmpd="sng" w14:algn="ctr">
            <w14:solidFill>
              <w14:srgbClr w14:val="000000"/>
            </w14:solidFill>
            <w14:prstDash w14:val="solid"/>
            <w14:miter w14:val="0"/>
          </w14:textOutline>
        </w:rPr>
        <w:t>仅需在任意地点通过</w:t>
      </w:r>
      <w:r>
        <w:rPr>
          <w:rFonts w:hint="eastAsia" w:asciiTheme="minorEastAsia" w:hAnsiTheme="minorEastAsia" w:eastAsiaTheme="minorEastAsia" w:cstheme="minorEastAsia"/>
          <w:color w:val="auto"/>
          <w:spacing w:val="-99"/>
          <w:sz w:val="24"/>
          <w:szCs w:val="24"/>
          <w:highlight w:val="none"/>
          <w:lang w:eastAsia="zh-CN"/>
        </w:rPr>
        <w:t xml:space="preserve"> </w:t>
      </w:r>
      <w:r>
        <w:rPr>
          <w:rFonts w:hint="eastAsia" w:asciiTheme="minorEastAsia" w:hAnsiTheme="minorEastAsia" w:eastAsiaTheme="minorEastAsia" w:cstheme="minorEastAsia"/>
          <w:color w:val="auto"/>
          <w:spacing w:val="-106"/>
          <w:sz w:val="24"/>
          <w:szCs w:val="24"/>
          <w:highlight w:val="none"/>
          <w:u w:val="single"/>
          <w:lang w:eastAsia="zh-CN"/>
        </w:rPr>
        <w:t xml:space="preserve"> </w:t>
      </w:r>
      <w:r>
        <w:rPr>
          <w:rFonts w:hint="eastAsia" w:asciiTheme="minorEastAsia" w:hAnsiTheme="minorEastAsia" w:eastAsiaTheme="minorEastAsia" w:cstheme="minorEastAsia"/>
          <w:color w:val="auto"/>
          <w:spacing w:val="4"/>
          <w:sz w:val="24"/>
          <w:szCs w:val="24"/>
          <w:highlight w:val="none"/>
          <w:u w:val="single" w:color="000000"/>
          <w:lang w:eastAsia="zh-CN"/>
          <w14:textOutline w14:w="4394" w14:cap="flat" w14:cmpd="sng" w14:algn="ctr">
            <w14:solidFill>
              <w14:srgbClr w14:val="000000"/>
            </w14:solidFill>
            <w14:prstDash w14:val="solid"/>
            <w14:miter w14:val="0"/>
          </w14:textOutline>
        </w:rPr>
        <w:t>政采云平台（</w:t>
      </w:r>
      <w:r>
        <w:rPr>
          <w:rFonts w:hint="eastAsia" w:asciiTheme="minorEastAsia" w:hAnsiTheme="minorEastAsia" w:eastAsiaTheme="minorEastAsia" w:cstheme="minorEastAsia"/>
          <w:color w:val="auto"/>
          <w:spacing w:val="-64"/>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HYPERLINK "https://www.zcygov.cn"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b/>
          <w:bCs/>
          <w:color w:val="auto"/>
          <w:sz w:val="24"/>
          <w:szCs w:val="24"/>
          <w:highlight w:val="none"/>
          <w:u w:val="single"/>
          <w:lang w:eastAsia="zh-CN"/>
        </w:rPr>
        <w:t>https</w:t>
      </w:r>
      <w:r>
        <w:rPr>
          <w:rFonts w:hint="eastAsia" w:asciiTheme="minorEastAsia" w:hAnsiTheme="minorEastAsia" w:eastAsiaTheme="minorEastAsia" w:cstheme="minorEastAsia"/>
          <w:b/>
          <w:bCs/>
          <w:color w:val="auto"/>
          <w:spacing w:val="4"/>
          <w:sz w:val="24"/>
          <w:szCs w:val="24"/>
          <w:highlight w:val="none"/>
          <w:u w:val="single"/>
          <w:lang w:eastAsia="zh-CN"/>
        </w:rPr>
        <w:t>://</w:t>
      </w:r>
      <w:r>
        <w:rPr>
          <w:rFonts w:hint="eastAsia" w:asciiTheme="minorEastAsia" w:hAnsiTheme="minorEastAsia" w:eastAsiaTheme="minorEastAsia" w:cstheme="minorEastAsia"/>
          <w:b/>
          <w:bCs/>
          <w:color w:val="auto"/>
          <w:sz w:val="24"/>
          <w:szCs w:val="24"/>
          <w:highlight w:val="none"/>
          <w:u w:val="single"/>
          <w:lang w:eastAsia="zh-CN"/>
        </w:rPr>
        <w:t>www</w:t>
      </w:r>
      <w:r>
        <w:rPr>
          <w:rFonts w:hint="eastAsia" w:asciiTheme="minorEastAsia" w:hAnsiTheme="minorEastAsia" w:eastAsiaTheme="minorEastAsia" w:cstheme="minorEastAsia"/>
          <w:b/>
          <w:bCs/>
          <w:color w:val="auto"/>
          <w:spacing w:val="4"/>
          <w:sz w:val="24"/>
          <w:szCs w:val="24"/>
          <w:highlight w:val="none"/>
          <w:u w:val="single"/>
          <w:lang w:eastAsia="zh-CN"/>
        </w:rPr>
        <w:t>.</w:t>
      </w:r>
      <w:r>
        <w:rPr>
          <w:rFonts w:hint="eastAsia" w:asciiTheme="minorEastAsia" w:hAnsiTheme="minorEastAsia" w:eastAsiaTheme="minorEastAsia" w:cstheme="minorEastAsia"/>
          <w:b/>
          <w:bCs/>
          <w:color w:val="auto"/>
          <w:sz w:val="24"/>
          <w:szCs w:val="24"/>
          <w:highlight w:val="none"/>
          <w:u w:val="single"/>
          <w:lang w:eastAsia="zh-CN"/>
        </w:rPr>
        <w:t>zcygov</w:t>
      </w:r>
      <w:r>
        <w:rPr>
          <w:rFonts w:hint="eastAsia" w:asciiTheme="minorEastAsia" w:hAnsiTheme="minorEastAsia" w:eastAsiaTheme="minorEastAsia" w:cstheme="minorEastAsia"/>
          <w:b/>
          <w:bCs/>
          <w:color w:val="auto"/>
          <w:spacing w:val="4"/>
          <w:sz w:val="24"/>
          <w:szCs w:val="24"/>
          <w:highlight w:val="none"/>
          <w:u w:val="single"/>
          <w:lang w:eastAsia="zh-CN"/>
        </w:rPr>
        <w:t>.</w:t>
      </w:r>
      <w:r>
        <w:rPr>
          <w:rFonts w:hint="eastAsia" w:asciiTheme="minorEastAsia" w:hAnsiTheme="minorEastAsia" w:eastAsiaTheme="minorEastAsia" w:cstheme="minorEastAsia"/>
          <w:b/>
          <w:bCs/>
          <w:color w:val="auto"/>
          <w:sz w:val="24"/>
          <w:szCs w:val="24"/>
          <w:highlight w:val="none"/>
          <w:u w:val="single"/>
          <w:lang w:eastAsia="zh-CN"/>
        </w:rPr>
        <w:t>cn</w:t>
      </w:r>
      <w:r>
        <w:rPr>
          <w:rFonts w:hint="eastAsia" w:asciiTheme="minorEastAsia" w:hAnsiTheme="minorEastAsia" w:eastAsiaTheme="minorEastAsia" w:cstheme="minorEastAsia"/>
          <w:b/>
          <w:bCs/>
          <w:color w:val="auto"/>
          <w:sz w:val="24"/>
          <w:szCs w:val="24"/>
          <w:highlight w:val="none"/>
          <w:u w:val="single"/>
          <w:lang w:eastAsia="zh-CN"/>
        </w:rPr>
        <w:fldChar w:fldCharType="end"/>
      </w:r>
      <w:r>
        <w:rPr>
          <w:rFonts w:hint="eastAsia" w:asciiTheme="minorEastAsia" w:hAnsiTheme="minorEastAsia" w:eastAsiaTheme="minorEastAsia" w:cstheme="minorEastAsia"/>
          <w:b/>
          <w:bCs/>
          <w:color w:val="auto"/>
          <w:spacing w:val="-22"/>
          <w:sz w:val="24"/>
          <w:szCs w:val="24"/>
          <w:highlight w:val="none"/>
          <w:u w:val="single"/>
          <w:lang w:eastAsia="zh-CN"/>
        </w:rPr>
        <w:t xml:space="preserve"> </w:t>
      </w:r>
      <w:r>
        <w:rPr>
          <w:rFonts w:hint="eastAsia" w:asciiTheme="minorEastAsia" w:hAnsiTheme="minorEastAsia" w:eastAsiaTheme="minorEastAsia" w:cstheme="minorEastAsia"/>
          <w:color w:val="auto"/>
          <w:spacing w:val="4"/>
          <w:sz w:val="24"/>
          <w:szCs w:val="24"/>
          <w:highlight w:val="none"/>
          <w:u w:val="single" w:color="000000"/>
          <w:lang w:eastAsia="zh-CN"/>
          <w14:textOutline w14:w="4394" w14:cap="flat" w14:cmpd="sng" w14:algn="ctr">
            <w14:solidFill>
              <w14:srgbClr w14:val="000000"/>
            </w14:solidFill>
            <w14:prstDash w14:val="solid"/>
            <w14:miter w14:val="0"/>
          </w14:textOutline>
        </w:rPr>
        <w:t>）</w:t>
      </w:r>
      <w:r>
        <w:rPr>
          <w:rFonts w:hint="eastAsia" w:asciiTheme="minorEastAsia" w:hAnsiTheme="minorEastAsia" w:eastAsiaTheme="minorEastAsia" w:cstheme="minorEastAsia"/>
          <w:color w:val="auto"/>
          <w:spacing w:val="4"/>
          <w:sz w:val="24"/>
          <w:szCs w:val="24"/>
          <w:highlight w:val="none"/>
          <w:lang w:eastAsia="zh-CN"/>
          <w14:textOutline w14:w="4394" w14:cap="flat" w14:cmpd="sng" w14:algn="ctr">
            <w14:solidFill>
              <w14:srgbClr w14:val="000000"/>
            </w14:solidFill>
            <w14:prstDash w14:val="solid"/>
            <w14:miter w14:val="0"/>
          </w14:textOutline>
        </w:rPr>
        <w:t>不见面开标系统使用</w:t>
      </w:r>
      <w:r>
        <w:rPr>
          <w:rFonts w:hint="eastAsia" w:asciiTheme="minorEastAsia" w:hAnsiTheme="minorEastAsia" w:eastAsiaTheme="minorEastAsia" w:cstheme="minorEastAsia"/>
          <w:color w:val="auto"/>
          <w:spacing w:val="4"/>
          <w:sz w:val="24"/>
          <w:szCs w:val="24"/>
          <w:highlight w:val="none"/>
          <w:lang w:eastAsia="zh-CN"/>
        </w:rPr>
        <w:t xml:space="preserve"> </w:t>
      </w:r>
      <w:r>
        <w:rPr>
          <w:rFonts w:hint="eastAsia" w:asciiTheme="minorEastAsia" w:hAnsiTheme="minorEastAsia" w:eastAsiaTheme="minorEastAsia" w:cstheme="minorEastAsia"/>
          <w:b/>
          <w:bCs/>
          <w:color w:val="auto"/>
          <w:sz w:val="24"/>
          <w:szCs w:val="24"/>
          <w:highlight w:val="none"/>
          <w:lang w:eastAsia="zh-CN"/>
        </w:rPr>
        <w:t>CA</w:t>
      </w:r>
      <w:r>
        <w:rPr>
          <w:rFonts w:hint="eastAsia" w:asciiTheme="minorEastAsia" w:hAnsiTheme="minorEastAsia" w:eastAsiaTheme="minorEastAsia" w:cstheme="minorEastAsia"/>
          <w:b/>
          <w:bCs/>
          <w:color w:val="auto"/>
          <w:spacing w:val="23"/>
          <w:w w:val="101"/>
          <w:sz w:val="24"/>
          <w:szCs w:val="24"/>
          <w:highlight w:val="none"/>
          <w:lang w:eastAsia="zh-CN"/>
        </w:rPr>
        <w:t xml:space="preserve"> </w:t>
      </w:r>
      <w:r>
        <w:rPr>
          <w:rFonts w:hint="eastAsia" w:asciiTheme="minorEastAsia" w:hAnsiTheme="minorEastAsia" w:eastAsiaTheme="minorEastAsia" w:cstheme="minorEastAsia"/>
          <w:color w:val="auto"/>
          <w:spacing w:val="4"/>
          <w:sz w:val="24"/>
          <w:szCs w:val="24"/>
          <w:highlight w:val="none"/>
          <w:lang w:eastAsia="zh-CN"/>
          <w14:textOutline w14:w="4394" w14:cap="flat" w14:cmpd="sng" w14:algn="ctr">
            <w14:solidFill>
              <w14:srgbClr w14:val="000000"/>
            </w14:solidFill>
            <w14:prstDash w14:val="solid"/>
            <w14:miter w14:val="0"/>
          </w14:textOutline>
        </w:rPr>
        <w:t>密钥</w:t>
      </w:r>
      <w:r>
        <w:rPr>
          <w:rFonts w:hint="eastAsia" w:asciiTheme="minorEastAsia" w:hAnsiTheme="minorEastAsia" w:eastAsiaTheme="minorEastAsia" w:cstheme="minorEastAsia"/>
          <w:color w:val="auto"/>
          <w:spacing w:val="9"/>
          <w:sz w:val="24"/>
          <w:szCs w:val="24"/>
          <w:highlight w:val="none"/>
          <w:lang w:eastAsia="zh-CN"/>
          <w14:textOutline w14:w="4394" w14:cap="flat" w14:cmpd="sng" w14:algn="ctr">
            <w14:solidFill>
              <w14:srgbClr w14:val="000000"/>
            </w14:solidFill>
            <w14:prstDash w14:val="solid"/>
            <w14:miter w14:val="0"/>
          </w14:textOutline>
        </w:rPr>
        <w:t>完成远程解密、提疑澄清、结果公布等交互</w:t>
      </w:r>
      <w:r>
        <w:rPr>
          <w:rFonts w:hint="eastAsia" w:asciiTheme="minorEastAsia" w:hAnsiTheme="minorEastAsia" w:eastAsiaTheme="minorEastAsia" w:cstheme="minorEastAsia"/>
          <w:color w:val="auto"/>
          <w:spacing w:val="8"/>
          <w:sz w:val="24"/>
          <w:szCs w:val="24"/>
          <w:highlight w:val="none"/>
          <w:lang w:eastAsia="zh-CN"/>
          <w14:textOutline w14:w="4394" w14:cap="flat" w14:cmpd="sng" w14:algn="ctr">
            <w14:solidFill>
              <w14:srgbClr w14:val="000000"/>
            </w14:solidFill>
            <w14:prstDash w14:val="solid"/>
            <w14:miter w14:val="0"/>
          </w14:textOutline>
        </w:rPr>
        <w:t>环节。</w:t>
      </w:r>
      <w:r>
        <w:rPr>
          <w:rFonts w:hint="eastAsia" w:asciiTheme="minorEastAsia" w:hAnsiTheme="minorEastAsia" w:eastAsiaTheme="minorEastAsia" w:cstheme="minorEastAsia"/>
          <w:color w:val="auto"/>
          <w:spacing w:val="11"/>
          <w:sz w:val="24"/>
          <w:szCs w:val="24"/>
          <w:highlight w:val="none"/>
          <w:lang w:eastAsia="zh-CN"/>
          <w14:textOutline w14:w="4394" w14:cap="flat" w14:cmpd="sng" w14:algn="ctr">
            <w14:solidFill>
              <w14:srgbClr w14:val="000000"/>
            </w14:solidFill>
            <w14:prstDash w14:val="solid"/>
            <w14:miter w14:val="0"/>
          </w14:textOutline>
        </w:rPr>
        <w:t>法定代表人或法定代表人授权委托人参与远</w:t>
      </w:r>
      <w:r>
        <w:rPr>
          <w:rFonts w:hint="eastAsia" w:asciiTheme="minorEastAsia" w:hAnsiTheme="minorEastAsia" w:eastAsiaTheme="minorEastAsia" w:cstheme="minorEastAsia"/>
          <w:color w:val="auto"/>
          <w:spacing w:val="10"/>
          <w:sz w:val="24"/>
          <w:szCs w:val="24"/>
          <w:highlight w:val="none"/>
          <w:lang w:eastAsia="zh-CN"/>
          <w14:textOutline w14:w="4394" w14:cap="flat" w14:cmpd="sng" w14:algn="ctr">
            <w14:solidFill>
              <w14:srgbClr w14:val="000000"/>
            </w14:solidFill>
            <w14:prstDash w14:val="solid"/>
            <w14:miter w14:val="0"/>
          </w14:textOutline>
        </w:rPr>
        <w:t>程交互，</w:t>
      </w:r>
      <w:r>
        <w:rPr>
          <w:rFonts w:hint="eastAsia" w:asciiTheme="minorEastAsia" w:hAnsiTheme="minorEastAsia" w:eastAsiaTheme="minorEastAsia" w:cstheme="minorEastAsia"/>
          <w:color w:val="auto"/>
          <w:spacing w:val="-66"/>
          <w:sz w:val="24"/>
          <w:szCs w:val="24"/>
          <w:highlight w:val="none"/>
          <w:lang w:eastAsia="zh-CN"/>
        </w:rPr>
        <w:t xml:space="preserve"> </w:t>
      </w:r>
      <w:r>
        <w:rPr>
          <w:rFonts w:hint="eastAsia" w:asciiTheme="minorEastAsia" w:hAnsiTheme="minorEastAsia" w:eastAsiaTheme="minorEastAsia" w:cstheme="minorEastAsia"/>
          <w:color w:val="auto"/>
          <w:spacing w:val="10"/>
          <w:sz w:val="24"/>
          <w:szCs w:val="24"/>
          <w:highlight w:val="none"/>
          <w:lang w:eastAsia="zh-CN"/>
          <w14:textOutline w14:w="4394" w14:cap="flat" w14:cmpd="sng" w14:algn="ctr">
            <w14:solidFill>
              <w14:srgbClr w14:val="000000"/>
            </w14:solidFill>
            <w14:prstDash w14:val="solid"/>
            <w14:miter w14:val="0"/>
          </w14:textOutline>
        </w:rPr>
        <w:t>中途不得更换，在废标、澄清、</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13"/>
          <w:sz w:val="24"/>
          <w:szCs w:val="24"/>
          <w:highlight w:val="none"/>
          <w:lang w:eastAsia="zh-CN"/>
          <w14:textOutline w14:w="4394" w14:cap="flat" w14:cmpd="sng" w14:algn="ctr">
            <w14:solidFill>
              <w14:srgbClr w14:val="000000"/>
            </w14:solidFill>
            <w14:prstDash w14:val="solid"/>
            <w14:miter w14:val="0"/>
          </w14:textOutline>
        </w:rPr>
        <w:t>提疑、传送文件等特殊情况下需要交互时，供应商一端参与交互的人员将</w:t>
      </w:r>
      <w:r>
        <w:rPr>
          <w:rFonts w:hint="eastAsia" w:asciiTheme="minorEastAsia" w:hAnsiTheme="minorEastAsia" w:eastAsiaTheme="minorEastAsia" w:cstheme="minorEastAsia"/>
          <w:color w:val="auto"/>
          <w:spacing w:val="12"/>
          <w:sz w:val="24"/>
          <w:szCs w:val="24"/>
          <w:highlight w:val="none"/>
          <w:lang w:eastAsia="zh-CN"/>
          <w14:textOutline w14:w="4394" w14:cap="flat" w14:cmpd="sng" w14:algn="ctr">
            <w14:solidFill>
              <w14:srgbClr w14:val="000000"/>
            </w14:solidFill>
            <w14:prstDash w14:val="solid"/>
            <w14:miter w14:val="0"/>
          </w14:textOutline>
        </w:rPr>
        <w:t>均被视为是供应</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13"/>
          <w:sz w:val="24"/>
          <w:szCs w:val="24"/>
          <w:highlight w:val="none"/>
          <w:lang w:eastAsia="zh-CN"/>
          <w14:textOutline w14:w="4394" w14:cap="flat" w14:cmpd="sng" w14:algn="ctr">
            <w14:solidFill>
              <w14:srgbClr w14:val="000000"/>
            </w14:solidFill>
            <w14:prstDash w14:val="solid"/>
            <w14:miter w14:val="0"/>
          </w14:textOutline>
        </w:rPr>
        <w:t>商的授权委托人或法人代表，供应商不得以不</w:t>
      </w:r>
      <w:r>
        <w:rPr>
          <w:rFonts w:hint="eastAsia" w:asciiTheme="minorEastAsia" w:hAnsiTheme="minorEastAsia" w:eastAsiaTheme="minorEastAsia" w:cstheme="minorEastAsia"/>
          <w:color w:val="auto"/>
          <w:spacing w:val="12"/>
          <w:sz w:val="24"/>
          <w:szCs w:val="24"/>
          <w:highlight w:val="none"/>
          <w:lang w:eastAsia="zh-CN"/>
          <w14:textOutline w14:w="4394" w14:cap="flat" w14:cmpd="sng" w14:algn="ctr">
            <w14:solidFill>
              <w14:srgbClr w14:val="000000"/>
            </w14:solidFill>
            <w14:prstDash w14:val="solid"/>
            <w14:miter w14:val="0"/>
          </w14:textOutline>
        </w:rPr>
        <w:t>承认交互人员的资格或身份等为借口推脱，</w:t>
      </w:r>
      <w:r>
        <w:rPr>
          <w:rFonts w:hint="eastAsia" w:asciiTheme="minorEastAsia" w:hAnsiTheme="minorEastAsia" w:eastAsiaTheme="minorEastAsia" w:cstheme="minorEastAsia"/>
          <w:color w:val="auto"/>
          <w:spacing w:val="9"/>
          <w:sz w:val="24"/>
          <w:szCs w:val="24"/>
          <w:highlight w:val="none"/>
          <w:lang w:eastAsia="zh-CN"/>
          <w14:textOutline w14:w="4394" w14:cap="flat" w14:cmpd="sng" w14:algn="ctr">
            <w14:solidFill>
              <w14:srgbClr w14:val="000000"/>
            </w14:solidFill>
            <w14:prstDash w14:val="solid"/>
            <w14:miter w14:val="0"/>
          </w14:textOutline>
        </w:rPr>
        <w:t>供应商自行承担随意更换人员所导致的一切后果。</w:t>
      </w:r>
    </w:p>
    <w:p w14:paraId="5F061745">
      <w:pPr>
        <w:spacing w:before="306" w:line="227" w:lineRule="auto"/>
        <w:ind w:left="3046"/>
        <w:outlineLvl w:val="1"/>
        <w:rPr>
          <w:rFonts w:hint="eastAsia" w:asciiTheme="minorEastAsia" w:hAnsiTheme="minorEastAsia" w:eastAsiaTheme="minorEastAsia" w:cstheme="minorEastAsia"/>
          <w:color w:val="auto"/>
          <w:sz w:val="24"/>
          <w:szCs w:val="24"/>
          <w:highlight w:val="none"/>
          <w:lang w:eastAsia="zh-CN"/>
        </w:rPr>
      </w:pPr>
      <w:bookmarkStart w:id="46" w:name="_Toc8178"/>
      <w:r>
        <w:rPr>
          <w:rFonts w:hint="eastAsia" w:asciiTheme="minorEastAsia" w:hAnsiTheme="minorEastAsia" w:eastAsiaTheme="minorEastAsia" w:cstheme="minorEastAsia"/>
          <w:color w:val="auto"/>
          <w:spacing w:val="10"/>
          <w:sz w:val="24"/>
          <w:szCs w:val="24"/>
          <w:highlight w:val="none"/>
          <w:lang w:eastAsia="zh-CN"/>
          <w14:textOutline w14:w="4394" w14:cap="flat" w14:cmpd="sng" w14:algn="ctr">
            <w14:solidFill>
              <w14:srgbClr w14:val="000000"/>
            </w14:solidFill>
            <w14:prstDash w14:val="solid"/>
            <w14:miter w14:val="0"/>
          </w14:textOutline>
        </w:rPr>
        <w:t>六、确定成交供应商办法和原则</w:t>
      </w:r>
      <w:bookmarkEnd w:id="46"/>
    </w:p>
    <w:p w14:paraId="2F1DFADA">
      <w:pPr>
        <w:pStyle w:val="9"/>
        <w:spacing w:line="307" w:lineRule="auto"/>
        <w:rPr>
          <w:rFonts w:hint="eastAsia" w:asciiTheme="minorEastAsia" w:hAnsiTheme="minorEastAsia" w:eastAsiaTheme="minorEastAsia" w:cstheme="minorEastAsia"/>
          <w:color w:val="auto"/>
          <w:sz w:val="24"/>
          <w:szCs w:val="24"/>
          <w:highlight w:val="none"/>
          <w:lang w:eastAsia="zh-CN"/>
        </w:rPr>
      </w:pPr>
    </w:p>
    <w:p w14:paraId="7AF3D49C">
      <w:pPr>
        <w:spacing w:before="75" w:line="360" w:lineRule="auto"/>
        <w:ind w:left="19"/>
        <w:outlineLvl w:val="2"/>
        <w:rPr>
          <w:rFonts w:hint="eastAsia" w:asciiTheme="minorEastAsia" w:hAnsiTheme="minorEastAsia" w:eastAsiaTheme="minorEastAsia" w:cstheme="minorEastAsia"/>
          <w:color w:val="auto"/>
          <w:sz w:val="24"/>
          <w:szCs w:val="24"/>
          <w:highlight w:val="none"/>
          <w:lang w:eastAsia="zh-CN"/>
        </w:rPr>
      </w:pPr>
      <w:bookmarkStart w:id="47" w:name="_Toc28915"/>
      <w:r>
        <w:rPr>
          <w:rFonts w:hint="eastAsia" w:asciiTheme="minorEastAsia" w:hAnsiTheme="minorEastAsia" w:eastAsiaTheme="minorEastAsia" w:cstheme="minorEastAsia"/>
          <w:color w:val="auto"/>
          <w:spacing w:val="6"/>
          <w:sz w:val="24"/>
          <w:szCs w:val="24"/>
          <w:highlight w:val="none"/>
          <w:lang w:eastAsia="zh-CN"/>
          <w14:textOutline w14:w="4394" w14:cap="flat" w14:cmpd="sng" w14:algn="ctr">
            <w14:solidFill>
              <w14:srgbClr w14:val="000000"/>
            </w14:solidFill>
            <w14:prstDash w14:val="solid"/>
            <w14:miter w14:val="0"/>
          </w14:textOutline>
        </w:rPr>
        <w:t>19.</w:t>
      </w:r>
      <w:r>
        <w:rPr>
          <w:rFonts w:hint="eastAsia" w:asciiTheme="minorEastAsia" w:hAnsiTheme="minorEastAsia" w:eastAsiaTheme="minorEastAsia" w:cstheme="minorEastAsia"/>
          <w:color w:val="auto"/>
          <w:spacing w:val="6"/>
          <w:sz w:val="24"/>
          <w:szCs w:val="24"/>
          <w:highlight w:val="none"/>
          <w:lang w:eastAsia="zh-CN"/>
        </w:rPr>
        <w:t xml:space="preserve"> </w:t>
      </w:r>
      <w:r>
        <w:rPr>
          <w:rFonts w:hint="eastAsia" w:asciiTheme="minorEastAsia" w:hAnsiTheme="minorEastAsia" w:eastAsiaTheme="minorEastAsia" w:cstheme="minorEastAsia"/>
          <w:color w:val="auto"/>
          <w:spacing w:val="6"/>
          <w:sz w:val="24"/>
          <w:szCs w:val="24"/>
          <w:highlight w:val="none"/>
          <w:lang w:eastAsia="zh-CN"/>
          <w14:textOutline w14:w="4394" w14:cap="flat" w14:cmpd="sng" w14:algn="ctr">
            <w14:solidFill>
              <w14:srgbClr w14:val="000000"/>
            </w14:solidFill>
            <w14:prstDash w14:val="solid"/>
            <w14:miter w14:val="0"/>
          </w14:textOutline>
        </w:rPr>
        <w:t>确定成交供应商</w:t>
      </w:r>
      <w:bookmarkEnd w:id="47"/>
    </w:p>
    <w:p w14:paraId="5638871A">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default" w:asciiTheme="minorEastAsia" w:hAnsiTheme="minorEastAsia" w:eastAsiaTheme="minorEastAsia" w:cstheme="minorEastAsia"/>
          <w:color w:val="auto"/>
          <w:spacing w:val="12"/>
          <w:sz w:val="24"/>
          <w:szCs w:val="24"/>
          <w:highlight w:val="none"/>
          <w:lang w:val="en-US" w:eastAsia="zh-CN"/>
        </w:rPr>
      </w:pPr>
      <w:r>
        <w:rPr>
          <w:rFonts w:hint="eastAsia" w:asciiTheme="minorEastAsia" w:hAnsiTheme="minorEastAsia" w:eastAsiaTheme="minorEastAsia" w:cstheme="minorEastAsia"/>
          <w:color w:val="auto"/>
          <w:spacing w:val="12"/>
          <w:sz w:val="24"/>
          <w:szCs w:val="24"/>
          <w:highlight w:val="none"/>
          <w:lang w:eastAsia="zh-CN"/>
        </w:rPr>
        <w:t>19.1 谈判小组根据符合采购需求、质量和服务相等且报价最低的原则推荐成交候</w:t>
      </w:r>
      <w:r>
        <w:rPr>
          <w:rFonts w:hint="eastAsia" w:asciiTheme="minorEastAsia" w:hAnsiTheme="minorEastAsia" w:eastAsiaTheme="minorEastAsia" w:cstheme="minorEastAsia"/>
          <w:color w:val="auto"/>
          <w:spacing w:val="12"/>
          <w:sz w:val="24"/>
          <w:szCs w:val="24"/>
          <w:highlight w:val="none"/>
          <w:lang w:val="en-US" w:eastAsia="zh-CN"/>
        </w:rPr>
        <w:t>选人。</w:t>
      </w:r>
    </w:p>
    <w:p w14:paraId="540220C5">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19.2 最低报价不是成交的唯一标准。但是，在符合采购需求、质量和服务相等的情况下，报价是确定成交的关键因素。</w:t>
      </w:r>
    </w:p>
    <w:p w14:paraId="5292A4E0">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19.3 谈判小组按照最后报价由低到高的顺序向采购人推荐一名成交候选人。</w:t>
      </w:r>
    </w:p>
    <w:p w14:paraId="3A207FCA">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19.4 成交供应商确定后，采购代理机构将在政府采购监管部门指定的媒体上发布成交公告，同时向成交供应商发出《成交通知书》。《成交通知书》是合同的组成部分,对成交供应商和采购人具有同等法律效力。</w:t>
      </w:r>
    </w:p>
    <w:p w14:paraId="79053CE8">
      <w:pPr>
        <w:spacing w:before="1" w:line="228" w:lineRule="auto"/>
        <w:ind w:left="582"/>
        <w:rPr>
          <w:rFonts w:hint="eastAsia" w:asciiTheme="minorEastAsia" w:hAnsiTheme="minorEastAsia" w:eastAsiaTheme="minorEastAsia" w:cstheme="minorEastAsia"/>
          <w:color w:val="auto"/>
          <w:sz w:val="24"/>
          <w:szCs w:val="24"/>
          <w:highlight w:val="none"/>
          <w:lang w:eastAsia="zh-CN"/>
        </w:rPr>
      </w:pPr>
    </w:p>
    <w:p w14:paraId="239D58E7">
      <w:pPr>
        <w:spacing w:before="257" w:line="360" w:lineRule="auto"/>
        <w:ind w:left="4004"/>
        <w:outlineLvl w:val="1"/>
        <w:rPr>
          <w:rFonts w:hint="eastAsia" w:asciiTheme="minorEastAsia" w:hAnsiTheme="minorEastAsia" w:eastAsiaTheme="minorEastAsia" w:cstheme="minorEastAsia"/>
          <w:color w:val="auto"/>
          <w:sz w:val="24"/>
          <w:szCs w:val="24"/>
          <w:highlight w:val="none"/>
          <w:lang w:eastAsia="zh-CN"/>
        </w:rPr>
      </w:pPr>
      <w:bookmarkStart w:id="48" w:name="_Toc5672"/>
      <w:r>
        <w:rPr>
          <w:rFonts w:hint="eastAsia" w:asciiTheme="minorEastAsia" w:hAnsiTheme="minorEastAsia" w:eastAsiaTheme="minorEastAsia" w:cstheme="minorEastAsia"/>
          <w:color w:val="auto"/>
          <w:spacing w:val="9"/>
          <w:sz w:val="24"/>
          <w:szCs w:val="24"/>
          <w:highlight w:val="none"/>
          <w:lang w:eastAsia="zh-CN"/>
          <w14:textOutline w14:w="4394" w14:cap="flat" w14:cmpd="sng" w14:algn="ctr">
            <w14:solidFill>
              <w14:srgbClr w14:val="000000"/>
            </w14:solidFill>
            <w14:prstDash w14:val="solid"/>
            <w14:miter w14:val="0"/>
          </w14:textOutline>
        </w:rPr>
        <w:t>七、签订合同</w:t>
      </w:r>
      <w:bookmarkEnd w:id="48"/>
    </w:p>
    <w:p w14:paraId="14269D13">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20.1 成交供应商在收到《成交通知书》后30个日历日内，按规定与采购人签订供货合同。</w:t>
      </w:r>
    </w:p>
    <w:p w14:paraId="5D2B5662">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20.2 合同签订后 7 个工作日内，采购人应将政府采购合同副本报采购代理机构网上备案。</w:t>
      </w:r>
    </w:p>
    <w:p w14:paraId="4C9FD4B3">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20.3 成交供应商不得向他人转让成交项目，如果成交供应商向他人转让成交项目或在履行合同时发生违约行为，政府采购监管部门将视情节轻重，按有关规定给予处罚。</w:t>
      </w:r>
    </w:p>
    <w:p w14:paraId="013F1310">
      <w:pPr>
        <w:spacing w:before="257" w:line="226" w:lineRule="auto"/>
        <w:ind w:left="3888"/>
        <w:outlineLvl w:val="1"/>
        <w:rPr>
          <w:rFonts w:hint="eastAsia" w:asciiTheme="minorEastAsia" w:hAnsiTheme="minorEastAsia" w:eastAsiaTheme="minorEastAsia" w:cstheme="minorEastAsia"/>
          <w:color w:val="auto"/>
          <w:sz w:val="24"/>
          <w:szCs w:val="24"/>
          <w:highlight w:val="none"/>
          <w:lang w:eastAsia="zh-CN"/>
        </w:rPr>
      </w:pPr>
      <w:bookmarkStart w:id="49" w:name="_Toc5836"/>
      <w:r>
        <w:rPr>
          <w:rFonts w:hint="eastAsia" w:asciiTheme="minorEastAsia" w:hAnsiTheme="minorEastAsia" w:eastAsiaTheme="minorEastAsia" w:cstheme="minorEastAsia"/>
          <w:color w:val="auto"/>
          <w:spacing w:val="7"/>
          <w:sz w:val="24"/>
          <w:szCs w:val="24"/>
          <w:highlight w:val="none"/>
          <w:lang w:eastAsia="zh-CN"/>
          <w14:textOutline w14:w="4394" w14:cap="flat" w14:cmpd="sng" w14:algn="ctr">
            <w14:solidFill>
              <w14:srgbClr w14:val="000000"/>
            </w14:solidFill>
            <w14:prstDash w14:val="solid"/>
            <w14:miter w14:val="0"/>
          </w14:textOutline>
        </w:rPr>
        <w:t>八、公告、质疑</w:t>
      </w:r>
      <w:bookmarkEnd w:id="49"/>
    </w:p>
    <w:p w14:paraId="41A0E6D1">
      <w:pPr>
        <w:pStyle w:val="9"/>
        <w:spacing w:line="309" w:lineRule="auto"/>
        <w:rPr>
          <w:rFonts w:hint="eastAsia" w:asciiTheme="minorEastAsia" w:hAnsiTheme="minorEastAsia" w:eastAsiaTheme="minorEastAsia" w:cstheme="minorEastAsia"/>
          <w:color w:val="auto"/>
          <w:sz w:val="24"/>
          <w:szCs w:val="24"/>
          <w:highlight w:val="none"/>
          <w:lang w:eastAsia="zh-CN"/>
        </w:rPr>
      </w:pPr>
    </w:p>
    <w:p w14:paraId="700C3A64">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bookmarkStart w:id="50" w:name="_Toc22854"/>
      <w:r>
        <w:rPr>
          <w:rFonts w:hint="eastAsia" w:asciiTheme="minorEastAsia" w:hAnsiTheme="minorEastAsia" w:eastAsiaTheme="minorEastAsia" w:cstheme="minorEastAsia"/>
          <w:color w:val="auto"/>
          <w:spacing w:val="12"/>
          <w:sz w:val="24"/>
          <w:szCs w:val="24"/>
          <w:highlight w:val="none"/>
          <w:lang w:eastAsia="zh-CN"/>
        </w:rPr>
        <w:t>21.1 采购代理机构将在政府采购监管部门指定媒体上发布采购公告、通知、评审结</w:t>
      </w:r>
      <w:bookmarkEnd w:id="50"/>
      <w:r>
        <w:rPr>
          <w:rFonts w:hint="eastAsia" w:asciiTheme="minorEastAsia" w:hAnsiTheme="minorEastAsia" w:eastAsiaTheme="minorEastAsia" w:cstheme="minorEastAsia"/>
          <w:color w:val="auto"/>
          <w:spacing w:val="12"/>
          <w:sz w:val="24"/>
          <w:szCs w:val="24"/>
          <w:highlight w:val="none"/>
          <w:lang w:eastAsia="zh-CN"/>
        </w:rPr>
        <w:t>果公告等谈判程序中所有信息。成交公告期为 1 个工作日。</w:t>
      </w:r>
    </w:p>
    <w:p w14:paraId="3E41A4D2">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21.2 如果谈判供应商对此次采购活动有疑问，可依据《政府采购法》等相关规定，</w:t>
      </w:r>
    </w:p>
    <w:p w14:paraId="00328D29">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在规定的时间内以书面形式向采购人和采购代理机构提出质疑。质疑书应当包括下列主要内容：</w:t>
      </w:r>
    </w:p>
    <w:p w14:paraId="21348A11">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①质疑人的名称、地址、电话等；</w:t>
      </w:r>
    </w:p>
    <w:p w14:paraId="25EC391D">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②质疑人法人签章和单位公章；</w:t>
      </w:r>
    </w:p>
    <w:p w14:paraId="620FFF5D">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③具体的质疑事项及事实依据；</w:t>
      </w:r>
    </w:p>
    <w:p w14:paraId="4DDE565D">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④明确的请求和必要（合法来源）的证明材料；</w:t>
      </w:r>
    </w:p>
    <w:p w14:paraId="033F3BEE">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⑤以联合体形式参与谈判的，则必须联合体各方共同签署、盖章；</w:t>
      </w:r>
    </w:p>
    <w:p w14:paraId="6FC4F311">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⑥提起质疑的日期。</w:t>
      </w:r>
    </w:p>
    <w:p w14:paraId="183AB624">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特注：未按上述程序规定的必备内容进行质疑的，政府采购机构将不予以受理。</w:t>
      </w:r>
    </w:p>
    <w:p w14:paraId="7E614E2A">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21.3 成交公告期限届满之日起7个工作日内如有质疑的，采购人或采购代理机构将</w:t>
      </w:r>
    </w:p>
    <w:p w14:paraId="66C255C2">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依法给与答复，并将结果告知所有当事人。</w:t>
      </w:r>
    </w:p>
    <w:p w14:paraId="6612EC45">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21.4 质疑供应商对采购人或采购代理机构答复不满意，可在15个工作日内向政府</w:t>
      </w:r>
    </w:p>
    <w:p w14:paraId="14CB8CBF">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采购监管部门投诉。</w:t>
      </w:r>
    </w:p>
    <w:p w14:paraId="080E84B8">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Theme="minorEastAsia" w:hAnsiTheme="minorEastAsia" w:eastAsiaTheme="minorEastAsia" w:cstheme="minorEastAsia"/>
          <w:color w:val="auto"/>
          <w:spacing w:val="12"/>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21.5 谈判供应商的质疑和投诉应有事实依据，若为无效投诉，政府采购监管部门将按有关规定给与处罚。</w:t>
      </w:r>
    </w:p>
    <w:p w14:paraId="5C9A1A40">
      <w:pPr>
        <w:spacing w:before="256" w:line="227" w:lineRule="auto"/>
        <w:ind w:left="4010"/>
        <w:outlineLvl w:val="1"/>
        <w:rPr>
          <w:rFonts w:hint="eastAsia" w:asciiTheme="minorEastAsia" w:hAnsiTheme="minorEastAsia" w:eastAsiaTheme="minorEastAsia" w:cstheme="minorEastAsia"/>
          <w:color w:val="auto"/>
          <w:sz w:val="24"/>
          <w:szCs w:val="24"/>
          <w:highlight w:val="none"/>
          <w:lang w:eastAsia="zh-CN"/>
        </w:rPr>
      </w:pPr>
      <w:bookmarkStart w:id="51" w:name="_Toc17688"/>
      <w:r>
        <w:rPr>
          <w:rFonts w:hint="eastAsia" w:asciiTheme="minorEastAsia" w:hAnsiTheme="minorEastAsia" w:eastAsiaTheme="minorEastAsia" w:cstheme="minorEastAsia"/>
          <w:color w:val="auto"/>
          <w:spacing w:val="8"/>
          <w:sz w:val="24"/>
          <w:szCs w:val="24"/>
          <w:highlight w:val="none"/>
          <w:lang w:eastAsia="zh-CN"/>
          <w14:textOutline w14:w="4394" w14:cap="flat" w14:cmpd="sng" w14:algn="ctr">
            <w14:solidFill>
              <w14:srgbClr w14:val="000000"/>
            </w14:solidFill>
            <w14:prstDash w14:val="solid"/>
            <w14:miter w14:val="0"/>
          </w14:textOutline>
        </w:rPr>
        <w:t>九、项目验收</w:t>
      </w:r>
      <w:bookmarkEnd w:id="51"/>
    </w:p>
    <w:p w14:paraId="0D702ECD">
      <w:pPr>
        <w:spacing w:before="76" w:line="227" w:lineRule="auto"/>
        <w:ind w:firstLine="254" w:firstLineChars="100"/>
        <w:outlineLvl w:val="2"/>
        <w:rPr>
          <w:rFonts w:hint="eastAsia" w:asciiTheme="minorEastAsia" w:hAnsiTheme="minorEastAsia" w:eastAsiaTheme="minorEastAsia" w:cstheme="minorEastAsia"/>
          <w:color w:val="auto"/>
          <w:sz w:val="24"/>
          <w:szCs w:val="24"/>
          <w:highlight w:val="none"/>
          <w:lang w:eastAsia="zh-CN"/>
        </w:rPr>
      </w:pPr>
      <w:bookmarkStart w:id="52" w:name="_Toc9875"/>
      <w:r>
        <w:rPr>
          <w:rFonts w:hint="eastAsia" w:asciiTheme="minorEastAsia" w:hAnsiTheme="minorEastAsia" w:eastAsiaTheme="minorEastAsia" w:cstheme="minorEastAsia"/>
          <w:color w:val="auto"/>
          <w:spacing w:val="7"/>
          <w:sz w:val="24"/>
          <w:szCs w:val="24"/>
          <w:highlight w:val="none"/>
          <w:lang w:eastAsia="zh-CN"/>
        </w:rPr>
        <w:t>22.1 项目实施完毕，采购人组织对供应商履约进行验收。</w:t>
      </w:r>
      <w:bookmarkEnd w:id="52"/>
    </w:p>
    <w:p w14:paraId="5F06844F">
      <w:pPr>
        <w:spacing w:before="219" w:line="227" w:lineRule="auto"/>
        <w:ind w:firstLine="254" w:firstLineChars="1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22.2 验收标准:谈判文件、谈判响应文件、政府采购合同规定的标准。</w:t>
      </w:r>
    </w:p>
    <w:p w14:paraId="2F2781E6">
      <w:pPr>
        <w:spacing w:before="75" w:line="227" w:lineRule="auto"/>
        <w:ind w:left="3521" w:firstLine="516" w:firstLineChars="200"/>
        <w:outlineLvl w:val="1"/>
        <w:rPr>
          <w:rFonts w:hint="eastAsia" w:asciiTheme="minorEastAsia" w:hAnsiTheme="minorEastAsia" w:eastAsiaTheme="minorEastAsia" w:cstheme="minorEastAsia"/>
          <w:color w:val="auto"/>
          <w:sz w:val="24"/>
          <w:szCs w:val="24"/>
          <w:highlight w:val="none"/>
          <w:lang w:eastAsia="zh-CN"/>
        </w:rPr>
      </w:pPr>
      <w:bookmarkStart w:id="53" w:name="_Toc5952"/>
      <w:r>
        <w:rPr>
          <w:rFonts w:hint="eastAsia" w:asciiTheme="minorEastAsia" w:hAnsiTheme="minorEastAsia" w:eastAsiaTheme="minorEastAsia" w:cstheme="minorEastAsia"/>
          <w:color w:val="auto"/>
          <w:spacing w:val="9"/>
          <w:sz w:val="24"/>
          <w:szCs w:val="24"/>
          <w:highlight w:val="none"/>
          <w:lang w:eastAsia="zh-CN"/>
          <w14:textOutline w14:w="4394" w14:cap="flat" w14:cmpd="sng" w14:algn="ctr">
            <w14:solidFill>
              <w14:srgbClr w14:val="000000"/>
            </w14:solidFill>
            <w14:prstDash w14:val="solid"/>
            <w14:miter w14:val="0"/>
          </w14:textOutline>
        </w:rPr>
        <w:t>十、适用法律</w:t>
      </w:r>
      <w:bookmarkEnd w:id="53"/>
    </w:p>
    <w:p w14:paraId="265A0EAB">
      <w:pPr>
        <w:pStyle w:val="9"/>
        <w:spacing w:line="309" w:lineRule="auto"/>
        <w:rPr>
          <w:rFonts w:hint="eastAsia" w:asciiTheme="minorEastAsia" w:hAnsiTheme="minorEastAsia" w:eastAsiaTheme="minorEastAsia" w:cstheme="minorEastAsia"/>
          <w:color w:val="auto"/>
          <w:sz w:val="24"/>
          <w:szCs w:val="24"/>
          <w:highlight w:val="none"/>
          <w:lang w:eastAsia="zh-CN"/>
        </w:rPr>
      </w:pPr>
    </w:p>
    <w:p w14:paraId="074E14C2">
      <w:pPr>
        <w:spacing w:before="74" w:line="227" w:lineRule="auto"/>
        <w:ind w:firstLine="256" w:firstLineChars="100"/>
        <w:jc w:val="both"/>
        <w:rPr>
          <w:color w:val="auto"/>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23. 采购当事人的一切活动均适用于《中华人民共和国政府采购法》及相关规定。</w:t>
      </w:r>
    </w:p>
    <w:p w14:paraId="552DA376">
      <w:pPr>
        <w:rPr>
          <w:color w:val="auto"/>
          <w:highlight w:val="none"/>
          <w:lang w:eastAsia="zh-CN"/>
        </w:rPr>
      </w:pPr>
      <w:r>
        <w:rPr>
          <w:color w:val="auto"/>
          <w:highlight w:val="none"/>
          <w:lang w:eastAsia="zh-CN"/>
        </w:rPr>
        <w:br w:type="page"/>
      </w:r>
    </w:p>
    <w:p w14:paraId="5EEFFBEA">
      <w:pPr>
        <w:pStyle w:val="9"/>
        <w:spacing w:line="276" w:lineRule="auto"/>
        <w:rPr>
          <w:color w:val="auto"/>
          <w:highlight w:val="none"/>
          <w:lang w:eastAsia="zh-CN"/>
        </w:rPr>
      </w:pPr>
    </w:p>
    <w:p w14:paraId="25342CB1">
      <w:pPr>
        <w:spacing w:before="75" w:line="227" w:lineRule="auto"/>
        <w:ind w:left="3779"/>
        <w:outlineLvl w:val="1"/>
        <w:rPr>
          <w:rFonts w:hint="eastAsia" w:asciiTheme="minorEastAsia" w:hAnsiTheme="minorEastAsia" w:eastAsiaTheme="minorEastAsia" w:cstheme="minorEastAsia"/>
          <w:color w:val="auto"/>
          <w:sz w:val="24"/>
          <w:szCs w:val="24"/>
          <w:highlight w:val="none"/>
          <w:lang w:eastAsia="zh-CN"/>
        </w:rPr>
      </w:pPr>
      <w:bookmarkStart w:id="54" w:name="_Toc14858"/>
      <w:r>
        <w:rPr>
          <w:rFonts w:hint="eastAsia" w:asciiTheme="minorEastAsia" w:hAnsiTheme="minorEastAsia" w:eastAsiaTheme="minorEastAsia" w:cstheme="minorEastAsia"/>
          <w:color w:val="auto"/>
          <w:spacing w:val="8"/>
          <w:sz w:val="24"/>
          <w:szCs w:val="24"/>
          <w:highlight w:val="none"/>
          <w:lang w:eastAsia="zh-CN"/>
          <w14:textOutline w14:w="4394" w14:cap="flat" w14:cmpd="sng" w14:algn="ctr">
            <w14:solidFill>
              <w14:srgbClr w14:val="000000"/>
            </w14:solidFill>
            <w14:prstDash w14:val="solid"/>
            <w14:miter w14:val="0"/>
          </w14:textOutline>
        </w:rPr>
        <w:t>十一、采购代理费</w:t>
      </w:r>
      <w:bookmarkEnd w:id="54"/>
    </w:p>
    <w:p w14:paraId="3AC18546">
      <w:pPr>
        <w:pStyle w:val="9"/>
        <w:spacing w:line="288" w:lineRule="auto"/>
        <w:rPr>
          <w:rFonts w:hint="eastAsia" w:asciiTheme="minorEastAsia" w:hAnsiTheme="minorEastAsia" w:eastAsiaTheme="minorEastAsia" w:cstheme="minorEastAsia"/>
          <w:color w:val="auto"/>
          <w:sz w:val="24"/>
          <w:szCs w:val="24"/>
          <w:highlight w:val="none"/>
          <w:lang w:eastAsia="zh-CN"/>
        </w:rPr>
      </w:pPr>
    </w:p>
    <w:p w14:paraId="6306767F">
      <w:pPr>
        <w:spacing w:before="71" w:line="243" w:lineRule="auto"/>
        <w:ind w:left="7" w:right="526" w:firstLine="282" w:firstLineChars="101"/>
        <w:jc w:val="both"/>
        <w:rPr>
          <w:rFonts w:hint="eastAsia" w:ascii="宋体" w:hAnsi="宋体" w:eastAsia="宋体" w:cs="宋体"/>
          <w:color w:val="auto"/>
          <w:sz w:val="24"/>
          <w:szCs w:val="24"/>
          <w:highlight w:val="none"/>
          <w:lang w:eastAsia="zh-CN"/>
        </w:rPr>
      </w:pPr>
      <w:r>
        <w:rPr>
          <w:rFonts w:ascii="宋体" w:hAnsi="宋体" w:eastAsia="宋体" w:cs="宋体"/>
          <w:color w:val="auto"/>
          <w:spacing w:val="20"/>
          <w:sz w:val="24"/>
          <w:szCs w:val="24"/>
          <w:highlight w:val="none"/>
          <w:lang w:eastAsia="zh-CN"/>
        </w:rPr>
        <w:t>24.根据采购代理合同约定，本次竞争性谈判由成交供应商按照采购代理收费标</w:t>
      </w:r>
      <w:r>
        <w:rPr>
          <w:rFonts w:ascii="宋体" w:hAnsi="宋体" w:eastAsia="宋体" w:cs="宋体"/>
          <w:color w:val="auto"/>
          <w:spacing w:val="19"/>
          <w:sz w:val="24"/>
          <w:szCs w:val="24"/>
          <w:highlight w:val="none"/>
          <w:lang w:eastAsia="zh-CN"/>
        </w:rPr>
        <w:t>准向采购代理机构支付采购代理费。成交供应商必须在成交通知书发出前向采购代理机构支付</w:t>
      </w:r>
      <w:r>
        <w:rPr>
          <w:rFonts w:ascii="宋体" w:hAnsi="宋体" w:eastAsia="宋体" w:cs="宋体"/>
          <w:color w:val="auto"/>
          <w:spacing w:val="13"/>
          <w:sz w:val="24"/>
          <w:szCs w:val="24"/>
          <w:highlight w:val="none"/>
          <w:lang w:eastAsia="zh-CN"/>
        </w:rPr>
        <w:t>采购代理费。</w:t>
      </w:r>
    </w:p>
    <w:p w14:paraId="6FA50C44">
      <w:pPr>
        <w:spacing w:line="225" w:lineRule="auto"/>
        <w:rPr>
          <w:rFonts w:hint="eastAsia" w:ascii="仿宋" w:hAnsi="仿宋" w:eastAsia="仿宋" w:cs="仿宋"/>
          <w:color w:val="auto"/>
          <w:highlight w:val="none"/>
          <w:lang w:eastAsia="zh-CN"/>
        </w:rPr>
      </w:pPr>
    </w:p>
    <w:p w14:paraId="296DD7E6">
      <w:pPr>
        <w:spacing w:before="202" w:line="227" w:lineRule="auto"/>
        <w:ind w:left="3913"/>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9"/>
          <w:highlight w:val="none"/>
          <w14:textOutline w14:w="4394" w14:cap="flat" w14:cmpd="sng" w14:algn="ctr">
            <w14:solidFill>
              <w14:srgbClr w14:val="000000"/>
            </w14:solidFill>
            <w14:prstDash w14:val="solid"/>
            <w14:miter w14:val="0"/>
          </w14:textOutline>
        </w:rPr>
        <w:t>采购代理收费标准</w:t>
      </w:r>
    </w:p>
    <w:p w14:paraId="7E302C86">
      <w:pPr>
        <w:spacing w:line="153" w:lineRule="exact"/>
        <w:rPr>
          <w:rFonts w:hint="eastAsia" w:asciiTheme="minorEastAsia" w:hAnsiTheme="minorEastAsia" w:eastAsiaTheme="minorEastAsia" w:cstheme="minorEastAsia"/>
          <w:color w:val="auto"/>
          <w:highlight w:val="none"/>
        </w:rPr>
      </w:pPr>
    </w:p>
    <w:tbl>
      <w:tblPr>
        <w:tblStyle w:val="19"/>
        <w:tblW w:w="945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643"/>
        <w:gridCol w:w="2098"/>
        <w:gridCol w:w="1923"/>
        <w:gridCol w:w="1786"/>
      </w:tblGrid>
      <w:tr w14:paraId="199CE8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964" w:hRule="atLeast"/>
        </w:trPr>
        <w:tc>
          <w:tcPr>
            <w:tcW w:w="3643" w:type="dxa"/>
            <w:tcBorders>
              <w:tl2br w:val="single" w:color="000000" w:sz="2" w:space="0"/>
            </w:tcBorders>
          </w:tcPr>
          <w:p w14:paraId="2ED54017">
            <w:pPr>
              <w:spacing w:before="91" w:line="231" w:lineRule="auto"/>
              <w:ind w:left="2189"/>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10"/>
                <w:highlight w:val="none"/>
              </w:rPr>
              <w:t>采购类别</w:t>
            </w:r>
          </w:p>
          <w:p w14:paraId="44436F86">
            <w:pPr>
              <w:spacing w:before="204" w:line="231" w:lineRule="auto"/>
              <w:ind w:left="633"/>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1"/>
                <w:highlight w:val="none"/>
              </w:rPr>
              <w:t>成交价</w:t>
            </w:r>
            <w:r>
              <w:rPr>
                <w:rFonts w:hint="eastAsia" w:asciiTheme="minorEastAsia" w:hAnsiTheme="minorEastAsia" w:eastAsiaTheme="minorEastAsia" w:cstheme="minorEastAsia"/>
                <w:color w:val="auto"/>
                <w:spacing w:val="67"/>
                <w:highlight w:val="none"/>
              </w:rPr>
              <w:t xml:space="preserve"> </w:t>
            </w:r>
            <w:r>
              <w:rPr>
                <w:rFonts w:hint="eastAsia" w:asciiTheme="minorEastAsia" w:hAnsiTheme="minorEastAsia" w:eastAsiaTheme="minorEastAsia" w:cstheme="minorEastAsia"/>
                <w:color w:val="auto"/>
                <w:spacing w:val="-1"/>
                <w:highlight w:val="none"/>
              </w:rPr>
              <w:t>(万)</w:t>
            </w:r>
          </w:p>
        </w:tc>
        <w:tc>
          <w:tcPr>
            <w:tcW w:w="2098" w:type="dxa"/>
          </w:tcPr>
          <w:p w14:paraId="024F4E73">
            <w:pPr>
              <w:spacing w:line="254" w:lineRule="auto"/>
              <w:rPr>
                <w:rFonts w:hint="eastAsia" w:asciiTheme="minorEastAsia" w:hAnsiTheme="minorEastAsia" w:eastAsiaTheme="minorEastAsia" w:cstheme="minorEastAsia"/>
                <w:color w:val="auto"/>
                <w:highlight w:val="none"/>
              </w:rPr>
            </w:pPr>
          </w:p>
          <w:p w14:paraId="3EFAE851">
            <w:pPr>
              <w:spacing w:before="71" w:line="229" w:lineRule="auto"/>
              <w:ind w:left="145"/>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bCs/>
                <w:color w:val="auto"/>
                <w:spacing w:val="11"/>
                <w:highlight w:val="none"/>
              </w:rPr>
              <w:t>货物取费标准</w:t>
            </w:r>
          </w:p>
        </w:tc>
        <w:tc>
          <w:tcPr>
            <w:tcW w:w="1923" w:type="dxa"/>
          </w:tcPr>
          <w:p w14:paraId="6A27E54D">
            <w:pPr>
              <w:spacing w:line="253" w:lineRule="auto"/>
              <w:rPr>
                <w:rFonts w:hint="eastAsia" w:asciiTheme="minorEastAsia" w:hAnsiTheme="minorEastAsia" w:eastAsiaTheme="minorEastAsia" w:cstheme="minorEastAsia"/>
                <w:color w:val="auto"/>
                <w:highlight w:val="none"/>
              </w:rPr>
            </w:pPr>
          </w:p>
          <w:p w14:paraId="5765C220">
            <w:pPr>
              <w:spacing w:before="71" w:line="231" w:lineRule="auto"/>
              <w:ind w:left="137"/>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11"/>
                <w:highlight w:val="none"/>
              </w:rPr>
              <w:t>服务取费标准</w:t>
            </w:r>
          </w:p>
        </w:tc>
        <w:tc>
          <w:tcPr>
            <w:tcW w:w="1786" w:type="dxa"/>
          </w:tcPr>
          <w:p w14:paraId="5FAF3BD5">
            <w:pPr>
              <w:spacing w:line="253" w:lineRule="auto"/>
              <w:rPr>
                <w:rFonts w:hint="eastAsia" w:asciiTheme="minorEastAsia" w:hAnsiTheme="minorEastAsia" w:eastAsiaTheme="minorEastAsia" w:cstheme="minorEastAsia"/>
                <w:color w:val="auto"/>
                <w:highlight w:val="none"/>
              </w:rPr>
            </w:pPr>
          </w:p>
          <w:p w14:paraId="5332E380">
            <w:pPr>
              <w:spacing w:before="71" w:line="231" w:lineRule="auto"/>
              <w:ind w:left="149"/>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12"/>
                <w:highlight w:val="none"/>
              </w:rPr>
              <w:t>工程取费标准</w:t>
            </w:r>
          </w:p>
        </w:tc>
      </w:tr>
      <w:tr w14:paraId="0331AC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3643" w:type="dxa"/>
          </w:tcPr>
          <w:p w14:paraId="002E6686">
            <w:pPr>
              <w:spacing w:before="69" w:line="214" w:lineRule="auto"/>
              <w:ind w:left="1664"/>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12"/>
                <w:highlight w:val="none"/>
              </w:rPr>
              <w:t>100</w:t>
            </w:r>
            <w:r>
              <w:rPr>
                <w:rFonts w:hint="eastAsia" w:asciiTheme="minorEastAsia" w:hAnsiTheme="minorEastAsia" w:eastAsiaTheme="minorEastAsia" w:cstheme="minorEastAsia"/>
                <w:color w:val="auto"/>
                <w:spacing w:val="34"/>
                <w:highlight w:val="none"/>
              </w:rPr>
              <w:t xml:space="preserve"> </w:t>
            </w:r>
            <w:r>
              <w:rPr>
                <w:rFonts w:hint="eastAsia" w:asciiTheme="minorEastAsia" w:hAnsiTheme="minorEastAsia" w:eastAsiaTheme="minorEastAsia" w:cstheme="minorEastAsia"/>
                <w:color w:val="auto"/>
                <w:spacing w:val="-12"/>
                <w:highlight w:val="none"/>
              </w:rPr>
              <w:t>以下</w:t>
            </w:r>
          </w:p>
        </w:tc>
        <w:tc>
          <w:tcPr>
            <w:tcW w:w="2098" w:type="dxa"/>
          </w:tcPr>
          <w:p w14:paraId="770B3E08">
            <w:pPr>
              <w:spacing w:before="69" w:line="214" w:lineRule="auto"/>
              <w:ind w:left="1096"/>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3"/>
                <w:highlight w:val="none"/>
              </w:rPr>
              <w:t>1.5%</w:t>
            </w:r>
          </w:p>
        </w:tc>
        <w:tc>
          <w:tcPr>
            <w:tcW w:w="1923" w:type="dxa"/>
          </w:tcPr>
          <w:p w14:paraId="02881995">
            <w:pPr>
              <w:spacing w:before="69" w:line="214" w:lineRule="auto"/>
              <w:ind w:left="1011"/>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3"/>
                <w:highlight w:val="none"/>
              </w:rPr>
              <w:t>1.5%</w:t>
            </w:r>
          </w:p>
        </w:tc>
        <w:tc>
          <w:tcPr>
            <w:tcW w:w="1786" w:type="dxa"/>
          </w:tcPr>
          <w:p w14:paraId="5122E834">
            <w:pPr>
              <w:spacing w:before="69" w:line="214" w:lineRule="auto"/>
              <w:ind w:left="936"/>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3"/>
                <w:highlight w:val="none"/>
              </w:rPr>
              <w:t>1.0%</w:t>
            </w:r>
          </w:p>
        </w:tc>
      </w:tr>
      <w:tr w14:paraId="06E9D4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0" w:hRule="atLeast"/>
        </w:trPr>
        <w:tc>
          <w:tcPr>
            <w:tcW w:w="3643" w:type="dxa"/>
          </w:tcPr>
          <w:p w14:paraId="202128B7">
            <w:pPr>
              <w:spacing w:before="155" w:line="180" w:lineRule="auto"/>
              <w:ind w:left="1693"/>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2"/>
                <w:highlight w:val="none"/>
              </w:rPr>
              <w:t>100-500</w:t>
            </w:r>
          </w:p>
        </w:tc>
        <w:tc>
          <w:tcPr>
            <w:tcW w:w="2098" w:type="dxa"/>
          </w:tcPr>
          <w:p w14:paraId="2DD175F0">
            <w:pPr>
              <w:spacing w:before="76" w:line="293" w:lineRule="exact"/>
              <w:ind w:left="1096"/>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3"/>
                <w:position w:val="1"/>
                <w:highlight w:val="none"/>
              </w:rPr>
              <w:t>1.1%</w:t>
            </w:r>
          </w:p>
        </w:tc>
        <w:tc>
          <w:tcPr>
            <w:tcW w:w="1923" w:type="dxa"/>
          </w:tcPr>
          <w:p w14:paraId="2F1A152E">
            <w:pPr>
              <w:spacing w:before="115" w:line="186" w:lineRule="auto"/>
              <w:ind w:left="9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3"/>
                <w:highlight w:val="none"/>
              </w:rPr>
              <w:t>0.8%</w:t>
            </w:r>
          </w:p>
        </w:tc>
        <w:tc>
          <w:tcPr>
            <w:tcW w:w="1786" w:type="dxa"/>
          </w:tcPr>
          <w:p w14:paraId="71270739">
            <w:pPr>
              <w:spacing w:before="115" w:line="186" w:lineRule="auto"/>
              <w:ind w:left="907"/>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3"/>
                <w:highlight w:val="none"/>
              </w:rPr>
              <w:t>0.7%</w:t>
            </w:r>
          </w:p>
        </w:tc>
      </w:tr>
    </w:tbl>
    <w:p w14:paraId="37228984">
      <w:pPr>
        <w:spacing w:before="40" w:line="219" w:lineRule="auto"/>
        <w:ind w:left="33"/>
        <w:rPr>
          <w:rFonts w:hint="eastAsia" w:ascii="宋体" w:hAnsi="宋体" w:eastAsia="宋体" w:cs="宋体"/>
          <w:color w:val="auto"/>
          <w:highlight w:val="none"/>
        </w:rPr>
      </w:pPr>
      <w:r>
        <w:rPr>
          <w:rFonts w:ascii="宋体" w:hAnsi="宋体" w:eastAsia="宋体" w:cs="宋体"/>
          <w:color w:val="auto"/>
          <w:spacing w:val="-8"/>
          <w:highlight w:val="none"/>
          <w14:textOutline w14:w="5130" w14:cap="flat" w14:cmpd="sng" w14:algn="ctr">
            <w14:solidFill>
              <w14:srgbClr w14:val="000000"/>
            </w14:solidFill>
            <w14:prstDash w14:val="solid"/>
            <w14:miter w14:val="0"/>
          </w14:textOutline>
        </w:rPr>
        <w:t>附件1：</w:t>
      </w:r>
    </w:p>
    <w:p w14:paraId="6176B32E">
      <w:pPr>
        <w:spacing w:before="172" w:line="220" w:lineRule="auto"/>
        <w:ind w:left="3587"/>
        <w:rPr>
          <w:rFonts w:hint="eastAsia" w:ascii="宋体" w:hAnsi="宋体" w:eastAsia="宋体" w:cs="宋体"/>
          <w:color w:val="auto"/>
          <w:highlight w:val="none"/>
        </w:rPr>
      </w:pPr>
      <w:bookmarkStart w:id="55" w:name="_Toc5799"/>
      <w:r>
        <w:rPr>
          <w:rFonts w:ascii="宋体" w:hAnsi="宋体" w:eastAsia="宋体" w:cs="宋体"/>
          <w:color w:val="auto"/>
          <w:spacing w:val="-3"/>
          <w:highlight w:val="none"/>
          <w14:textOutline w14:w="5130" w14:cap="flat" w14:cmpd="sng" w14:algn="ctr">
            <w14:solidFill>
              <w14:srgbClr w14:val="000000"/>
            </w14:solidFill>
            <w14:prstDash w14:val="solid"/>
            <w14:miter w14:val="0"/>
          </w14:textOutline>
        </w:rPr>
        <w:t>中小微企业划型标准</w:t>
      </w:r>
      <w:bookmarkEnd w:id="55"/>
    </w:p>
    <w:p w14:paraId="61DF0950">
      <w:pPr>
        <w:spacing w:line="14" w:lineRule="exact"/>
        <w:rPr>
          <w:color w:val="auto"/>
          <w:highlight w:val="none"/>
        </w:rPr>
      </w:pPr>
    </w:p>
    <w:tbl>
      <w:tblPr>
        <w:tblStyle w:val="19"/>
        <w:tblW w:w="9450" w:type="dxa"/>
        <w:tblInd w:w="14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05"/>
        <w:gridCol w:w="1558"/>
        <w:gridCol w:w="736"/>
        <w:gridCol w:w="2135"/>
        <w:gridCol w:w="1874"/>
        <w:gridCol w:w="1442"/>
      </w:tblGrid>
      <w:tr w14:paraId="6E4F67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1705" w:type="dxa"/>
          </w:tcPr>
          <w:p w14:paraId="5E1E71A4">
            <w:pPr>
              <w:spacing w:before="146" w:line="227" w:lineRule="auto"/>
              <w:ind w:left="114"/>
              <w:rPr>
                <w:rFonts w:hint="eastAsia" w:ascii="仿宋" w:hAnsi="仿宋" w:eastAsia="仿宋" w:cs="仿宋"/>
                <w:color w:val="auto"/>
                <w:sz w:val="17"/>
                <w:szCs w:val="17"/>
                <w:highlight w:val="none"/>
              </w:rPr>
            </w:pPr>
            <w:r>
              <w:rPr>
                <w:rFonts w:ascii="仿宋" w:hAnsi="仿宋" w:eastAsia="仿宋" w:cs="仿宋"/>
                <w:color w:val="auto"/>
                <w:spacing w:val="8"/>
                <w:sz w:val="17"/>
                <w:szCs w:val="17"/>
                <w:highlight w:val="none"/>
                <w14:textOutline w14:w="3289" w14:cap="flat" w14:cmpd="sng" w14:algn="ctr">
                  <w14:solidFill>
                    <w14:srgbClr w14:val="000000"/>
                  </w14:solidFill>
                  <w14:prstDash w14:val="solid"/>
                  <w14:miter w14:val="0"/>
                </w14:textOutline>
              </w:rPr>
              <w:t>行业名称</w:t>
            </w:r>
          </w:p>
        </w:tc>
        <w:tc>
          <w:tcPr>
            <w:tcW w:w="1558" w:type="dxa"/>
          </w:tcPr>
          <w:p w14:paraId="35EDAD7D">
            <w:pPr>
              <w:spacing w:before="146" w:line="227" w:lineRule="auto"/>
              <w:ind w:left="113"/>
              <w:rPr>
                <w:rFonts w:hint="eastAsia" w:ascii="仿宋" w:hAnsi="仿宋" w:eastAsia="仿宋" w:cs="仿宋"/>
                <w:color w:val="auto"/>
                <w:sz w:val="17"/>
                <w:szCs w:val="17"/>
                <w:highlight w:val="none"/>
              </w:rPr>
            </w:pPr>
            <w:r>
              <w:rPr>
                <w:rFonts w:ascii="仿宋" w:hAnsi="仿宋" w:eastAsia="仿宋" w:cs="仿宋"/>
                <w:color w:val="auto"/>
                <w:spacing w:val="8"/>
                <w:sz w:val="17"/>
                <w:szCs w:val="17"/>
                <w:highlight w:val="none"/>
                <w14:textOutline w14:w="3289" w14:cap="flat" w14:cmpd="sng" w14:algn="ctr">
                  <w14:solidFill>
                    <w14:srgbClr w14:val="000000"/>
                  </w14:solidFill>
                  <w14:prstDash w14:val="solid"/>
                  <w14:miter w14:val="0"/>
                </w14:textOutline>
              </w:rPr>
              <w:t>指标名称</w:t>
            </w:r>
          </w:p>
        </w:tc>
        <w:tc>
          <w:tcPr>
            <w:tcW w:w="736" w:type="dxa"/>
          </w:tcPr>
          <w:p w14:paraId="2D484DA7">
            <w:pPr>
              <w:spacing w:before="31" w:line="233" w:lineRule="exact"/>
              <w:ind w:left="115"/>
              <w:rPr>
                <w:rFonts w:hint="eastAsia" w:ascii="仿宋" w:hAnsi="仿宋" w:eastAsia="仿宋" w:cs="仿宋"/>
                <w:color w:val="auto"/>
                <w:sz w:val="17"/>
                <w:szCs w:val="17"/>
                <w:highlight w:val="none"/>
              </w:rPr>
            </w:pPr>
            <w:r>
              <w:rPr>
                <w:rFonts w:ascii="仿宋" w:hAnsi="仿宋" w:eastAsia="仿宋" w:cs="仿宋"/>
                <w:color w:val="auto"/>
                <w:spacing w:val="4"/>
                <w:position w:val="4"/>
                <w:sz w:val="17"/>
                <w:szCs w:val="17"/>
                <w:highlight w:val="none"/>
                <w14:textOutline w14:w="3289" w14:cap="flat" w14:cmpd="sng" w14:algn="ctr">
                  <w14:solidFill>
                    <w14:srgbClr w14:val="000000"/>
                  </w14:solidFill>
                  <w14:prstDash w14:val="solid"/>
                  <w14:miter w14:val="0"/>
                </w14:textOutline>
              </w:rPr>
              <w:t>计量</w:t>
            </w:r>
          </w:p>
          <w:p w14:paraId="4CBDB172">
            <w:pPr>
              <w:spacing w:line="217" w:lineRule="auto"/>
              <w:ind w:left="115"/>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14:textOutline w14:w="3289" w14:cap="flat" w14:cmpd="sng" w14:algn="ctr">
                  <w14:solidFill>
                    <w14:srgbClr w14:val="000000"/>
                  </w14:solidFill>
                  <w14:prstDash w14:val="solid"/>
                  <w14:miter w14:val="0"/>
                </w14:textOutline>
              </w:rPr>
              <w:t>单位</w:t>
            </w:r>
          </w:p>
        </w:tc>
        <w:tc>
          <w:tcPr>
            <w:tcW w:w="2135" w:type="dxa"/>
          </w:tcPr>
          <w:p w14:paraId="59B1BF07">
            <w:pPr>
              <w:spacing w:before="147" w:line="228" w:lineRule="auto"/>
              <w:ind w:left="132"/>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14:textOutline w14:w="3289" w14:cap="flat" w14:cmpd="sng" w14:algn="ctr">
                  <w14:solidFill>
                    <w14:srgbClr w14:val="000000"/>
                  </w14:solidFill>
                  <w14:prstDash w14:val="solid"/>
                  <w14:miter w14:val="0"/>
                </w14:textOutline>
              </w:rPr>
              <w:t>中型</w:t>
            </w:r>
          </w:p>
        </w:tc>
        <w:tc>
          <w:tcPr>
            <w:tcW w:w="1874" w:type="dxa"/>
          </w:tcPr>
          <w:p w14:paraId="36A9E891">
            <w:pPr>
              <w:spacing w:before="146" w:line="231" w:lineRule="auto"/>
              <w:ind w:left="114"/>
              <w:rPr>
                <w:rFonts w:hint="eastAsia" w:ascii="仿宋" w:hAnsi="仿宋" w:eastAsia="仿宋" w:cs="仿宋"/>
                <w:color w:val="auto"/>
                <w:sz w:val="17"/>
                <w:szCs w:val="17"/>
                <w:highlight w:val="none"/>
              </w:rPr>
            </w:pPr>
            <w:r>
              <w:rPr>
                <w:rFonts w:ascii="仿宋" w:hAnsi="仿宋" w:eastAsia="仿宋" w:cs="仿宋"/>
                <w:color w:val="auto"/>
                <w:spacing w:val="5"/>
                <w:sz w:val="17"/>
                <w:szCs w:val="17"/>
                <w:highlight w:val="none"/>
                <w14:textOutline w14:w="3289" w14:cap="flat" w14:cmpd="sng" w14:algn="ctr">
                  <w14:solidFill>
                    <w14:srgbClr w14:val="000000"/>
                  </w14:solidFill>
                  <w14:prstDash w14:val="solid"/>
                  <w14:miter w14:val="0"/>
                </w14:textOutline>
              </w:rPr>
              <w:t>小型</w:t>
            </w:r>
          </w:p>
        </w:tc>
        <w:tc>
          <w:tcPr>
            <w:tcW w:w="1442" w:type="dxa"/>
          </w:tcPr>
          <w:p w14:paraId="616AA49A">
            <w:pPr>
              <w:spacing w:before="147" w:line="229" w:lineRule="auto"/>
              <w:ind w:left="112"/>
              <w:rPr>
                <w:rFonts w:hint="eastAsia" w:ascii="仿宋" w:hAnsi="仿宋" w:eastAsia="仿宋" w:cs="仿宋"/>
                <w:color w:val="auto"/>
                <w:sz w:val="17"/>
                <w:szCs w:val="17"/>
                <w:highlight w:val="none"/>
              </w:rPr>
            </w:pPr>
            <w:r>
              <w:rPr>
                <w:rFonts w:ascii="仿宋" w:hAnsi="仿宋" w:eastAsia="仿宋" w:cs="仿宋"/>
                <w:color w:val="auto"/>
                <w:spacing w:val="7"/>
                <w:sz w:val="17"/>
                <w:szCs w:val="17"/>
                <w:highlight w:val="none"/>
                <w14:textOutline w14:w="3289" w14:cap="flat" w14:cmpd="sng" w14:algn="ctr">
                  <w14:solidFill>
                    <w14:srgbClr w14:val="000000"/>
                  </w14:solidFill>
                  <w14:prstDash w14:val="solid"/>
                  <w14:miter w14:val="0"/>
                </w14:textOutline>
              </w:rPr>
              <w:t>微型</w:t>
            </w:r>
          </w:p>
        </w:tc>
      </w:tr>
      <w:tr w14:paraId="02FB0E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9" w:hRule="atLeast"/>
        </w:trPr>
        <w:tc>
          <w:tcPr>
            <w:tcW w:w="1705" w:type="dxa"/>
          </w:tcPr>
          <w:p w14:paraId="2510DFA6">
            <w:pPr>
              <w:spacing w:before="27" w:line="219" w:lineRule="auto"/>
              <w:ind w:left="229"/>
              <w:rPr>
                <w:rFonts w:hint="eastAsia" w:ascii="仿宋" w:hAnsi="仿宋" w:eastAsia="仿宋" w:cs="仿宋"/>
                <w:color w:val="auto"/>
                <w:sz w:val="17"/>
                <w:szCs w:val="17"/>
                <w:highlight w:val="none"/>
              </w:rPr>
            </w:pPr>
            <w:r>
              <w:rPr>
                <w:rFonts w:ascii="仿宋" w:hAnsi="仿宋" w:eastAsia="仿宋" w:cs="仿宋"/>
                <w:color w:val="auto"/>
                <w:spacing w:val="9"/>
                <w:sz w:val="17"/>
                <w:szCs w:val="17"/>
                <w:highlight w:val="none"/>
                <w14:textOutline w14:w="3289" w14:cap="flat" w14:cmpd="sng" w14:algn="ctr">
                  <w14:solidFill>
                    <w14:srgbClr w14:val="000000"/>
                  </w14:solidFill>
                  <w14:prstDash w14:val="solid"/>
                  <w14:miter w14:val="0"/>
                </w14:textOutline>
              </w:rPr>
              <w:t>农、林、牧、渔</w:t>
            </w:r>
          </w:p>
        </w:tc>
        <w:tc>
          <w:tcPr>
            <w:tcW w:w="1558" w:type="dxa"/>
          </w:tcPr>
          <w:p w14:paraId="63A7E9E5">
            <w:pPr>
              <w:spacing w:before="27" w:line="219" w:lineRule="auto"/>
              <w:ind w:left="123"/>
              <w:rPr>
                <w:rFonts w:hint="eastAsia" w:ascii="仿宋" w:hAnsi="仿宋" w:eastAsia="仿宋" w:cs="仿宋"/>
                <w:color w:val="auto"/>
                <w:sz w:val="17"/>
                <w:szCs w:val="17"/>
                <w:highlight w:val="none"/>
              </w:rPr>
            </w:pPr>
            <w:r>
              <w:rPr>
                <w:rFonts w:ascii="仿宋" w:hAnsi="仿宋" w:eastAsia="仿宋" w:cs="仿宋"/>
                <w:color w:val="auto"/>
                <w:spacing w:val="5"/>
                <w:sz w:val="17"/>
                <w:szCs w:val="17"/>
                <w:highlight w:val="none"/>
              </w:rPr>
              <w:t>营业收入（Y）</w:t>
            </w:r>
          </w:p>
        </w:tc>
        <w:tc>
          <w:tcPr>
            <w:tcW w:w="736" w:type="dxa"/>
          </w:tcPr>
          <w:p w14:paraId="4DBC7A57">
            <w:pPr>
              <w:spacing w:before="27" w:line="219" w:lineRule="auto"/>
              <w:ind w:left="120"/>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万元</w:t>
            </w:r>
          </w:p>
        </w:tc>
        <w:tc>
          <w:tcPr>
            <w:tcW w:w="2135" w:type="dxa"/>
          </w:tcPr>
          <w:p w14:paraId="72CFA076">
            <w:pPr>
              <w:spacing w:before="27" w:line="219" w:lineRule="auto"/>
              <w:ind w:left="120"/>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500≤Y＜20000</w:t>
            </w:r>
          </w:p>
        </w:tc>
        <w:tc>
          <w:tcPr>
            <w:tcW w:w="1874" w:type="dxa"/>
          </w:tcPr>
          <w:p w14:paraId="6DBE1B5B">
            <w:pPr>
              <w:spacing w:before="27" w:line="219" w:lineRule="auto"/>
              <w:ind w:left="121"/>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50≤Y＜500</w:t>
            </w:r>
          </w:p>
        </w:tc>
        <w:tc>
          <w:tcPr>
            <w:tcW w:w="1442" w:type="dxa"/>
          </w:tcPr>
          <w:p w14:paraId="5C3FCD17">
            <w:pPr>
              <w:spacing w:before="27" w:line="219"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Y＜50</w:t>
            </w:r>
          </w:p>
        </w:tc>
      </w:tr>
      <w:tr w14:paraId="20E74F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restart"/>
            <w:tcBorders>
              <w:bottom w:val="nil"/>
            </w:tcBorders>
          </w:tcPr>
          <w:p w14:paraId="6044C910">
            <w:pPr>
              <w:spacing w:before="267" w:line="222" w:lineRule="auto"/>
              <w:ind w:left="680"/>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14:textOutline w14:w="3289" w14:cap="flat" w14:cmpd="sng" w14:algn="ctr">
                  <w14:solidFill>
                    <w14:srgbClr w14:val="000000"/>
                  </w14:solidFill>
                  <w14:prstDash w14:val="solid"/>
                  <w14:miter w14:val="0"/>
                </w14:textOutline>
              </w:rPr>
              <w:t>工业</w:t>
            </w:r>
          </w:p>
        </w:tc>
        <w:tc>
          <w:tcPr>
            <w:tcW w:w="1558" w:type="dxa"/>
          </w:tcPr>
          <w:p w14:paraId="0E8B89BC">
            <w:pPr>
              <w:spacing w:before="28" w:line="217" w:lineRule="auto"/>
              <w:ind w:left="115"/>
              <w:rPr>
                <w:rFonts w:hint="eastAsia" w:ascii="仿宋" w:hAnsi="仿宋" w:eastAsia="仿宋" w:cs="仿宋"/>
                <w:color w:val="auto"/>
                <w:sz w:val="17"/>
                <w:szCs w:val="17"/>
                <w:highlight w:val="none"/>
              </w:rPr>
            </w:pPr>
            <w:r>
              <w:rPr>
                <w:rFonts w:ascii="仿宋" w:hAnsi="仿宋" w:eastAsia="仿宋" w:cs="仿宋"/>
                <w:color w:val="auto"/>
                <w:spacing w:val="6"/>
                <w:sz w:val="17"/>
                <w:szCs w:val="17"/>
                <w:highlight w:val="none"/>
              </w:rPr>
              <w:t>从业人员（X）</w:t>
            </w:r>
          </w:p>
        </w:tc>
        <w:tc>
          <w:tcPr>
            <w:tcW w:w="736" w:type="dxa"/>
          </w:tcPr>
          <w:p w14:paraId="107A40F8">
            <w:pPr>
              <w:spacing w:before="28" w:line="217" w:lineRule="auto"/>
              <w:ind w:left="112"/>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人</w:t>
            </w:r>
          </w:p>
        </w:tc>
        <w:tc>
          <w:tcPr>
            <w:tcW w:w="2135" w:type="dxa"/>
          </w:tcPr>
          <w:p w14:paraId="220B3620">
            <w:pPr>
              <w:spacing w:before="28" w:line="217" w:lineRule="auto"/>
              <w:ind w:left="12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300≤X＜1000</w:t>
            </w:r>
          </w:p>
        </w:tc>
        <w:tc>
          <w:tcPr>
            <w:tcW w:w="1874" w:type="dxa"/>
          </w:tcPr>
          <w:p w14:paraId="397D8DA4">
            <w:pPr>
              <w:spacing w:before="28" w:line="217" w:lineRule="auto"/>
              <w:ind w:left="119"/>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20≤X＜300</w:t>
            </w:r>
          </w:p>
        </w:tc>
        <w:tc>
          <w:tcPr>
            <w:tcW w:w="1442" w:type="dxa"/>
          </w:tcPr>
          <w:p w14:paraId="507A1AFE">
            <w:pPr>
              <w:spacing w:before="28" w:line="217"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X＜20</w:t>
            </w:r>
          </w:p>
        </w:tc>
      </w:tr>
      <w:tr w14:paraId="478BB5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9" w:hRule="atLeast"/>
        </w:trPr>
        <w:tc>
          <w:tcPr>
            <w:tcW w:w="1705" w:type="dxa"/>
            <w:vMerge w:val="continue"/>
            <w:tcBorders>
              <w:top w:val="nil"/>
            </w:tcBorders>
          </w:tcPr>
          <w:p w14:paraId="259AEFA9">
            <w:pPr>
              <w:rPr>
                <w:color w:val="auto"/>
                <w:highlight w:val="none"/>
              </w:rPr>
            </w:pPr>
          </w:p>
        </w:tc>
        <w:tc>
          <w:tcPr>
            <w:tcW w:w="1558" w:type="dxa"/>
          </w:tcPr>
          <w:p w14:paraId="04FE4228">
            <w:pPr>
              <w:spacing w:before="27" w:line="219" w:lineRule="auto"/>
              <w:ind w:left="123"/>
              <w:rPr>
                <w:rFonts w:hint="eastAsia" w:ascii="仿宋" w:hAnsi="仿宋" w:eastAsia="仿宋" w:cs="仿宋"/>
                <w:color w:val="auto"/>
                <w:sz w:val="17"/>
                <w:szCs w:val="17"/>
                <w:highlight w:val="none"/>
              </w:rPr>
            </w:pPr>
            <w:r>
              <w:rPr>
                <w:rFonts w:ascii="仿宋" w:hAnsi="仿宋" w:eastAsia="仿宋" w:cs="仿宋"/>
                <w:color w:val="auto"/>
                <w:spacing w:val="5"/>
                <w:sz w:val="17"/>
                <w:szCs w:val="17"/>
                <w:highlight w:val="none"/>
              </w:rPr>
              <w:t>营业收入（Y）</w:t>
            </w:r>
          </w:p>
        </w:tc>
        <w:tc>
          <w:tcPr>
            <w:tcW w:w="736" w:type="dxa"/>
          </w:tcPr>
          <w:p w14:paraId="2AC26E2A">
            <w:pPr>
              <w:spacing w:before="27" w:line="219" w:lineRule="auto"/>
              <w:ind w:left="120"/>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万元</w:t>
            </w:r>
          </w:p>
        </w:tc>
        <w:tc>
          <w:tcPr>
            <w:tcW w:w="2135" w:type="dxa"/>
          </w:tcPr>
          <w:p w14:paraId="130AB8F7">
            <w:pPr>
              <w:spacing w:before="27" w:line="219" w:lineRule="auto"/>
              <w:ind w:left="118"/>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2000≤Y＜40000</w:t>
            </w:r>
          </w:p>
        </w:tc>
        <w:tc>
          <w:tcPr>
            <w:tcW w:w="1874" w:type="dxa"/>
          </w:tcPr>
          <w:p w14:paraId="6931CCE3">
            <w:pPr>
              <w:spacing w:before="27" w:line="219" w:lineRule="auto"/>
              <w:ind w:left="126"/>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300≤Y＜2000</w:t>
            </w:r>
          </w:p>
        </w:tc>
        <w:tc>
          <w:tcPr>
            <w:tcW w:w="1442" w:type="dxa"/>
          </w:tcPr>
          <w:p w14:paraId="763F9EFE">
            <w:pPr>
              <w:spacing w:before="27" w:line="219"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Y＜300</w:t>
            </w:r>
          </w:p>
        </w:tc>
      </w:tr>
      <w:tr w14:paraId="1E5015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restart"/>
            <w:tcBorders>
              <w:bottom w:val="nil"/>
            </w:tcBorders>
          </w:tcPr>
          <w:p w14:paraId="25DE8BA7">
            <w:pPr>
              <w:spacing w:before="268" w:line="220" w:lineRule="auto"/>
              <w:ind w:left="586"/>
              <w:rPr>
                <w:rFonts w:hint="eastAsia" w:ascii="仿宋" w:hAnsi="仿宋" w:eastAsia="仿宋" w:cs="仿宋"/>
                <w:color w:val="auto"/>
                <w:sz w:val="17"/>
                <w:szCs w:val="17"/>
                <w:highlight w:val="none"/>
              </w:rPr>
            </w:pPr>
            <w:r>
              <w:rPr>
                <w:rFonts w:ascii="仿宋" w:hAnsi="仿宋" w:eastAsia="仿宋" w:cs="仿宋"/>
                <w:color w:val="auto"/>
                <w:spacing w:val="8"/>
                <w:sz w:val="17"/>
                <w:szCs w:val="17"/>
                <w:highlight w:val="none"/>
                <w14:textOutline w14:w="3289" w14:cap="flat" w14:cmpd="sng" w14:algn="ctr">
                  <w14:solidFill>
                    <w14:srgbClr w14:val="000000"/>
                  </w14:solidFill>
                  <w14:prstDash w14:val="solid"/>
                  <w14:miter w14:val="0"/>
                </w14:textOutline>
              </w:rPr>
              <w:t>建筑业</w:t>
            </w:r>
          </w:p>
        </w:tc>
        <w:tc>
          <w:tcPr>
            <w:tcW w:w="1558" w:type="dxa"/>
          </w:tcPr>
          <w:p w14:paraId="6CCC72D1">
            <w:pPr>
              <w:spacing w:before="28" w:line="217" w:lineRule="auto"/>
              <w:ind w:left="123"/>
              <w:rPr>
                <w:rFonts w:hint="eastAsia" w:ascii="仿宋" w:hAnsi="仿宋" w:eastAsia="仿宋" w:cs="仿宋"/>
                <w:color w:val="auto"/>
                <w:sz w:val="17"/>
                <w:szCs w:val="17"/>
                <w:highlight w:val="none"/>
              </w:rPr>
            </w:pPr>
            <w:r>
              <w:rPr>
                <w:rFonts w:ascii="仿宋" w:hAnsi="仿宋" w:eastAsia="仿宋" w:cs="仿宋"/>
                <w:color w:val="auto"/>
                <w:spacing w:val="5"/>
                <w:sz w:val="17"/>
                <w:szCs w:val="17"/>
                <w:highlight w:val="none"/>
              </w:rPr>
              <w:t>营业收入（Y）</w:t>
            </w:r>
          </w:p>
        </w:tc>
        <w:tc>
          <w:tcPr>
            <w:tcW w:w="736" w:type="dxa"/>
          </w:tcPr>
          <w:p w14:paraId="32194573">
            <w:pPr>
              <w:spacing w:before="28" w:line="217" w:lineRule="auto"/>
              <w:ind w:left="120"/>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万元</w:t>
            </w:r>
          </w:p>
        </w:tc>
        <w:tc>
          <w:tcPr>
            <w:tcW w:w="2135" w:type="dxa"/>
          </w:tcPr>
          <w:p w14:paraId="065B7438">
            <w:pPr>
              <w:spacing w:before="28" w:line="217" w:lineRule="auto"/>
              <w:ind w:left="120"/>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6000≤Y＜80000</w:t>
            </w:r>
          </w:p>
        </w:tc>
        <w:tc>
          <w:tcPr>
            <w:tcW w:w="1874" w:type="dxa"/>
          </w:tcPr>
          <w:p w14:paraId="4694B528">
            <w:pPr>
              <w:spacing w:before="28" w:line="217" w:lineRule="auto"/>
              <w:ind w:left="126"/>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300≤Y＜6000</w:t>
            </w:r>
          </w:p>
        </w:tc>
        <w:tc>
          <w:tcPr>
            <w:tcW w:w="1442" w:type="dxa"/>
          </w:tcPr>
          <w:p w14:paraId="50CF0204">
            <w:pPr>
              <w:spacing w:before="28" w:line="217"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Y＜300</w:t>
            </w:r>
          </w:p>
        </w:tc>
      </w:tr>
      <w:tr w14:paraId="66ABE0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continue"/>
            <w:tcBorders>
              <w:top w:val="nil"/>
            </w:tcBorders>
          </w:tcPr>
          <w:p w14:paraId="749E1D41">
            <w:pPr>
              <w:rPr>
                <w:color w:val="auto"/>
                <w:highlight w:val="none"/>
              </w:rPr>
            </w:pPr>
          </w:p>
        </w:tc>
        <w:tc>
          <w:tcPr>
            <w:tcW w:w="1558" w:type="dxa"/>
          </w:tcPr>
          <w:p w14:paraId="4F5FA354">
            <w:pPr>
              <w:spacing w:before="27" w:line="218" w:lineRule="auto"/>
              <w:ind w:left="119"/>
              <w:rPr>
                <w:rFonts w:hint="eastAsia" w:ascii="仿宋" w:hAnsi="仿宋" w:eastAsia="仿宋" w:cs="仿宋"/>
                <w:color w:val="auto"/>
                <w:sz w:val="17"/>
                <w:szCs w:val="17"/>
                <w:highlight w:val="none"/>
              </w:rPr>
            </w:pPr>
            <w:r>
              <w:rPr>
                <w:rFonts w:ascii="仿宋" w:hAnsi="仿宋" w:eastAsia="仿宋" w:cs="仿宋"/>
                <w:color w:val="auto"/>
                <w:spacing w:val="6"/>
                <w:sz w:val="17"/>
                <w:szCs w:val="17"/>
                <w:highlight w:val="none"/>
              </w:rPr>
              <w:t>资产总额（Z）</w:t>
            </w:r>
          </w:p>
        </w:tc>
        <w:tc>
          <w:tcPr>
            <w:tcW w:w="736" w:type="dxa"/>
          </w:tcPr>
          <w:p w14:paraId="2447A807">
            <w:pPr>
              <w:spacing w:before="27" w:line="218" w:lineRule="auto"/>
              <w:ind w:left="120"/>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万元</w:t>
            </w:r>
          </w:p>
        </w:tc>
        <w:tc>
          <w:tcPr>
            <w:tcW w:w="2135" w:type="dxa"/>
          </w:tcPr>
          <w:p w14:paraId="5845BE71">
            <w:pPr>
              <w:spacing w:before="27" w:line="218" w:lineRule="auto"/>
              <w:ind w:left="120"/>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5000≤Z＜80000</w:t>
            </w:r>
          </w:p>
        </w:tc>
        <w:tc>
          <w:tcPr>
            <w:tcW w:w="1874" w:type="dxa"/>
          </w:tcPr>
          <w:p w14:paraId="2BD3686C">
            <w:pPr>
              <w:spacing w:before="27" w:line="218" w:lineRule="auto"/>
              <w:ind w:left="126"/>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300≤Z＜5000</w:t>
            </w:r>
          </w:p>
        </w:tc>
        <w:tc>
          <w:tcPr>
            <w:tcW w:w="1442" w:type="dxa"/>
          </w:tcPr>
          <w:p w14:paraId="0A4FD888">
            <w:pPr>
              <w:spacing w:before="27" w:line="218" w:lineRule="auto"/>
              <w:ind w:left="116"/>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Z＜300</w:t>
            </w:r>
          </w:p>
        </w:tc>
      </w:tr>
      <w:tr w14:paraId="22188B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restart"/>
            <w:tcBorders>
              <w:bottom w:val="nil"/>
            </w:tcBorders>
          </w:tcPr>
          <w:p w14:paraId="493199E4">
            <w:pPr>
              <w:spacing w:before="269" w:line="220" w:lineRule="auto"/>
              <w:ind w:left="593"/>
              <w:rPr>
                <w:rFonts w:hint="eastAsia" w:ascii="仿宋" w:hAnsi="仿宋" w:eastAsia="仿宋" w:cs="仿宋"/>
                <w:color w:val="auto"/>
                <w:sz w:val="17"/>
                <w:szCs w:val="17"/>
                <w:highlight w:val="none"/>
              </w:rPr>
            </w:pPr>
            <w:r>
              <w:rPr>
                <w:rFonts w:ascii="仿宋" w:hAnsi="仿宋" w:eastAsia="仿宋" w:cs="仿宋"/>
                <w:color w:val="auto"/>
                <w:spacing w:val="6"/>
                <w:sz w:val="17"/>
                <w:szCs w:val="17"/>
                <w:highlight w:val="none"/>
                <w14:textOutline w14:w="3289" w14:cap="flat" w14:cmpd="sng" w14:algn="ctr">
                  <w14:solidFill>
                    <w14:srgbClr w14:val="000000"/>
                  </w14:solidFill>
                  <w14:prstDash w14:val="solid"/>
                  <w14:miter w14:val="0"/>
                </w14:textOutline>
              </w:rPr>
              <w:t>批发业</w:t>
            </w:r>
          </w:p>
        </w:tc>
        <w:tc>
          <w:tcPr>
            <w:tcW w:w="1558" w:type="dxa"/>
          </w:tcPr>
          <w:p w14:paraId="097B7626">
            <w:pPr>
              <w:spacing w:before="27" w:line="218" w:lineRule="auto"/>
              <w:ind w:left="115"/>
              <w:rPr>
                <w:rFonts w:hint="eastAsia" w:ascii="仿宋" w:hAnsi="仿宋" w:eastAsia="仿宋" w:cs="仿宋"/>
                <w:color w:val="auto"/>
                <w:sz w:val="17"/>
                <w:szCs w:val="17"/>
                <w:highlight w:val="none"/>
              </w:rPr>
            </w:pPr>
            <w:r>
              <w:rPr>
                <w:rFonts w:ascii="仿宋" w:hAnsi="仿宋" w:eastAsia="仿宋" w:cs="仿宋"/>
                <w:color w:val="auto"/>
                <w:spacing w:val="6"/>
                <w:sz w:val="17"/>
                <w:szCs w:val="17"/>
                <w:highlight w:val="none"/>
              </w:rPr>
              <w:t>从业人员（X）</w:t>
            </w:r>
          </w:p>
        </w:tc>
        <w:tc>
          <w:tcPr>
            <w:tcW w:w="736" w:type="dxa"/>
          </w:tcPr>
          <w:p w14:paraId="343BD9A0">
            <w:pPr>
              <w:spacing w:before="27" w:line="218" w:lineRule="auto"/>
              <w:ind w:left="112"/>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人</w:t>
            </w:r>
          </w:p>
        </w:tc>
        <w:tc>
          <w:tcPr>
            <w:tcW w:w="2135" w:type="dxa"/>
          </w:tcPr>
          <w:p w14:paraId="5041208F">
            <w:pPr>
              <w:spacing w:before="27" w:line="218" w:lineRule="auto"/>
              <w:ind w:left="118"/>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20≤X＜200</w:t>
            </w:r>
          </w:p>
        </w:tc>
        <w:tc>
          <w:tcPr>
            <w:tcW w:w="1874" w:type="dxa"/>
          </w:tcPr>
          <w:p w14:paraId="7DB9CC02">
            <w:pPr>
              <w:spacing w:before="27" w:line="218" w:lineRule="auto"/>
              <w:ind w:left="121"/>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5≤X＜20</w:t>
            </w:r>
          </w:p>
        </w:tc>
        <w:tc>
          <w:tcPr>
            <w:tcW w:w="1442" w:type="dxa"/>
          </w:tcPr>
          <w:p w14:paraId="2F4D0C1C">
            <w:pPr>
              <w:spacing w:before="27" w:line="218"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X＜5</w:t>
            </w:r>
          </w:p>
        </w:tc>
      </w:tr>
      <w:tr w14:paraId="582A47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9" w:hRule="atLeast"/>
        </w:trPr>
        <w:tc>
          <w:tcPr>
            <w:tcW w:w="1705" w:type="dxa"/>
            <w:vMerge w:val="continue"/>
            <w:tcBorders>
              <w:top w:val="nil"/>
            </w:tcBorders>
          </w:tcPr>
          <w:p w14:paraId="169DFDE8">
            <w:pPr>
              <w:rPr>
                <w:color w:val="auto"/>
                <w:highlight w:val="none"/>
              </w:rPr>
            </w:pPr>
          </w:p>
        </w:tc>
        <w:tc>
          <w:tcPr>
            <w:tcW w:w="1558" w:type="dxa"/>
          </w:tcPr>
          <w:p w14:paraId="47213C0B">
            <w:pPr>
              <w:spacing w:before="28" w:line="218" w:lineRule="auto"/>
              <w:ind w:left="123"/>
              <w:rPr>
                <w:rFonts w:hint="eastAsia" w:ascii="仿宋" w:hAnsi="仿宋" w:eastAsia="仿宋" w:cs="仿宋"/>
                <w:color w:val="auto"/>
                <w:sz w:val="17"/>
                <w:szCs w:val="17"/>
                <w:highlight w:val="none"/>
              </w:rPr>
            </w:pPr>
            <w:r>
              <w:rPr>
                <w:rFonts w:ascii="仿宋" w:hAnsi="仿宋" w:eastAsia="仿宋" w:cs="仿宋"/>
                <w:color w:val="auto"/>
                <w:spacing w:val="5"/>
                <w:sz w:val="17"/>
                <w:szCs w:val="17"/>
                <w:highlight w:val="none"/>
              </w:rPr>
              <w:t>营业收入（Y）</w:t>
            </w:r>
          </w:p>
        </w:tc>
        <w:tc>
          <w:tcPr>
            <w:tcW w:w="736" w:type="dxa"/>
          </w:tcPr>
          <w:p w14:paraId="53D9A976">
            <w:pPr>
              <w:spacing w:before="28" w:line="218" w:lineRule="auto"/>
              <w:ind w:left="120"/>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万元</w:t>
            </w:r>
          </w:p>
        </w:tc>
        <w:tc>
          <w:tcPr>
            <w:tcW w:w="2135" w:type="dxa"/>
          </w:tcPr>
          <w:p w14:paraId="3434227C">
            <w:pPr>
              <w:spacing w:before="28" w:line="218" w:lineRule="auto"/>
              <w:ind w:left="120"/>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5000≤Y＜40000</w:t>
            </w:r>
          </w:p>
        </w:tc>
        <w:tc>
          <w:tcPr>
            <w:tcW w:w="1874" w:type="dxa"/>
          </w:tcPr>
          <w:p w14:paraId="1705566A">
            <w:pPr>
              <w:spacing w:before="28" w:line="218" w:lineRule="auto"/>
              <w:ind w:left="124"/>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1000≤Y＜5000</w:t>
            </w:r>
          </w:p>
        </w:tc>
        <w:tc>
          <w:tcPr>
            <w:tcW w:w="1442" w:type="dxa"/>
          </w:tcPr>
          <w:p w14:paraId="68D78726">
            <w:pPr>
              <w:spacing w:before="28" w:line="218" w:lineRule="auto"/>
              <w:ind w:left="115"/>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Y＜1000</w:t>
            </w:r>
          </w:p>
        </w:tc>
      </w:tr>
      <w:tr w14:paraId="39C018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restart"/>
            <w:tcBorders>
              <w:bottom w:val="nil"/>
            </w:tcBorders>
          </w:tcPr>
          <w:p w14:paraId="52467ECC">
            <w:pPr>
              <w:spacing w:before="269" w:line="219" w:lineRule="auto"/>
              <w:ind w:left="586"/>
              <w:rPr>
                <w:rFonts w:hint="eastAsia" w:ascii="仿宋" w:hAnsi="仿宋" w:eastAsia="仿宋" w:cs="仿宋"/>
                <w:color w:val="auto"/>
                <w:sz w:val="17"/>
                <w:szCs w:val="17"/>
                <w:highlight w:val="none"/>
              </w:rPr>
            </w:pPr>
            <w:r>
              <w:rPr>
                <w:rFonts w:ascii="仿宋" w:hAnsi="仿宋" w:eastAsia="仿宋" w:cs="仿宋"/>
                <w:color w:val="auto"/>
                <w:spacing w:val="8"/>
                <w:sz w:val="17"/>
                <w:szCs w:val="17"/>
                <w:highlight w:val="none"/>
                <w14:textOutline w14:w="3289" w14:cap="flat" w14:cmpd="sng" w14:algn="ctr">
                  <w14:solidFill>
                    <w14:srgbClr w14:val="000000"/>
                  </w14:solidFill>
                  <w14:prstDash w14:val="solid"/>
                  <w14:miter w14:val="0"/>
                </w14:textOutline>
              </w:rPr>
              <w:t>零售业</w:t>
            </w:r>
          </w:p>
        </w:tc>
        <w:tc>
          <w:tcPr>
            <w:tcW w:w="1558" w:type="dxa"/>
          </w:tcPr>
          <w:p w14:paraId="2EB3697F">
            <w:pPr>
              <w:spacing w:before="27" w:line="218" w:lineRule="auto"/>
              <w:ind w:left="115"/>
              <w:rPr>
                <w:rFonts w:hint="eastAsia" w:ascii="仿宋" w:hAnsi="仿宋" w:eastAsia="仿宋" w:cs="仿宋"/>
                <w:color w:val="auto"/>
                <w:sz w:val="17"/>
                <w:szCs w:val="17"/>
                <w:highlight w:val="none"/>
              </w:rPr>
            </w:pPr>
            <w:r>
              <w:rPr>
                <w:rFonts w:ascii="仿宋" w:hAnsi="仿宋" w:eastAsia="仿宋" w:cs="仿宋"/>
                <w:color w:val="auto"/>
                <w:spacing w:val="6"/>
                <w:sz w:val="17"/>
                <w:szCs w:val="17"/>
                <w:highlight w:val="none"/>
              </w:rPr>
              <w:t>从业人员（X）</w:t>
            </w:r>
          </w:p>
        </w:tc>
        <w:tc>
          <w:tcPr>
            <w:tcW w:w="736" w:type="dxa"/>
          </w:tcPr>
          <w:p w14:paraId="437E48E5">
            <w:pPr>
              <w:spacing w:before="27" w:line="218" w:lineRule="auto"/>
              <w:ind w:left="112"/>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人</w:t>
            </w:r>
          </w:p>
        </w:tc>
        <w:tc>
          <w:tcPr>
            <w:tcW w:w="2135" w:type="dxa"/>
          </w:tcPr>
          <w:p w14:paraId="0F7C4C41">
            <w:pPr>
              <w:spacing w:before="27" w:line="218" w:lineRule="auto"/>
              <w:ind w:left="120"/>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50≤X＜300</w:t>
            </w:r>
          </w:p>
        </w:tc>
        <w:tc>
          <w:tcPr>
            <w:tcW w:w="1874" w:type="dxa"/>
          </w:tcPr>
          <w:p w14:paraId="781C5524">
            <w:pPr>
              <w:spacing w:before="27" w:line="218" w:lineRule="auto"/>
              <w:ind w:left="124"/>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10≤X＜50</w:t>
            </w:r>
          </w:p>
        </w:tc>
        <w:tc>
          <w:tcPr>
            <w:tcW w:w="1442" w:type="dxa"/>
          </w:tcPr>
          <w:p w14:paraId="4119C32D">
            <w:pPr>
              <w:spacing w:before="27" w:line="218"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X＜10</w:t>
            </w:r>
          </w:p>
        </w:tc>
      </w:tr>
      <w:tr w14:paraId="0FBB0A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continue"/>
            <w:tcBorders>
              <w:top w:val="nil"/>
            </w:tcBorders>
          </w:tcPr>
          <w:p w14:paraId="3968FAAD">
            <w:pPr>
              <w:rPr>
                <w:color w:val="auto"/>
                <w:highlight w:val="none"/>
              </w:rPr>
            </w:pPr>
          </w:p>
        </w:tc>
        <w:tc>
          <w:tcPr>
            <w:tcW w:w="1558" w:type="dxa"/>
          </w:tcPr>
          <w:p w14:paraId="7E37DB86">
            <w:pPr>
              <w:spacing w:before="29" w:line="216" w:lineRule="auto"/>
              <w:ind w:left="123"/>
              <w:rPr>
                <w:rFonts w:hint="eastAsia" w:ascii="仿宋" w:hAnsi="仿宋" w:eastAsia="仿宋" w:cs="仿宋"/>
                <w:color w:val="auto"/>
                <w:sz w:val="17"/>
                <w:szCs w:val="17"/>
                <w:highlight w:val="none"/>
              </w:rPr>
            </w:pPr>
            <w:r>
              <w:rPr>
                <w:rFonts w:ascii="仿宋" w:hAnsi="仿宋" w:eastAsia="仿宋" w:cs="仿宋"/>
                <w:color w:val="auto"/>
                <w:spacing w:val="5"/>
                <w:sz w:val="17"/>
                <w:szCs w:val="17"/>
                <w:highlight w:val="none"/>
              </w:rPr>
              <w:t>营业收入（Y）</w:t>
            </w:r>
          </w:p>
        </w:tc>
        <w:tc>
          <w:tcPr>
            <w:tcW w:w="736" w:type="dxa"/>
          </w:tcPr>
          <w:p w14:paraId="5116467D">
            <w:pPr>
              <w:spacing w:before="29" w:line="216" w:lineRule="auto"/>
              <w:ind w:left="120"/>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万元</w:t>
            </w:r>
          </w:p>
        </w:tc>
        <w:tc>
          <w:tcPr>
            <w:tcW w:w="2135" w:type="dxa"/>
          </w:tcPr>
          <w:p w14:paraId="1A9FF087">
            <w:pPr>
              <w:spacing w:before="29" w:line="216" w:lineRule="auto"/>
              <w:ind w:left="120"/>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500≤Y＜20000</w:t>
            </w:r>
          </w:p>
        </w:tc>
        <w:tc>
          <w:tcPr>
            <w:tcW w:w="1874" w:type="dxa"/>
          </w:tcPr>
          <w:p w14:paraId="233D8AE0">
            <w:pPr>
              <w:spacing w:before="29" w:line="216" w:lineRule="auto"/>
              <w:ind w:left="124"/>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100≤Y＜500</w:t>
            </w:r>
          </w:p>
        </w:tc>
        <w:tc>
          <w:tcPr>
            <w:tcW w:w="1442" w:type="dxa"/>
          </w:tcPr>
          <w:p w14:paraId="4522F475">
            <w:pPr>
              <w:spacing w:before="29" w:line="216"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Y＜100</w:t>
            </w:r>
          </w:p>
        </w:tc>
      </w:tr>
      <w:tr w14:paraId="31ACFD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9" w:hRule="atLeast"/>
        </w:trPr>
        <w:tc>
          <w:tcPr>
            <w:tcW w:w="1705" w:type="dxa"/>
            <w:vMerge w:val="restart"/>
            <w:tcBorders>
              <w:bottom w:val="nil"/>
            </w:tcBorders>
          </w:tcPr>
          <w:p w14:paraId="6DFFF054">
            <w:pPr>
              <w:spacing w:before="270" w:line="219" w:lineRule="auto"/>
              <w:ind w:left="413"/>
              <w:rPr>
                <w:rFonts w:hint="eastAsia" w:ascii="仿宋" w:hAnsi="仿宋" w:eastAsia="仿宋" w:cs="仿宋"/>
                <w:color w:val="auto"/>
                <w:sz w:val="17"/>
                <w:szCs w:val="17"/>
                <w:highlight w:val="none"/>
              </w:rPr>
            </w:pPr>
            <w:r>
              <w:rPr>
                <w:rFonts w:ascii="仿宋" w:hAnsi="仿宋" w:eastAsia="仿宋" w:cs="仿宋"/>
                <w:color w:val="auto"/>
                <w:spacing w:val="7"/>
                <w:sz w:val="17"/>
                <w:szCs w:val="17"/>
                <w:highlight w:val="none"/>
                <w14:textOutline w14:w="3289" w14:cap="flat" w14:cmpd="sng" w14:algn="ctr">
                  <w14:solidFill>
                    <w14:srgbClr w14:val="000000"/>
                  </w14:solidFill>
                  <w14:prstDash w14:val="solid"/>
                  <w14:miter w14:val="0"/>
                </w14:textOutline>
              </w:rPr>
              <w:t>交通运输业</w:t>
            </w:r>
          </w:p>
        </w:tc>
        <w:tc>
          <w:tcPr>
            <w:tcW w:w="1558" w:type="dxa"/>
          </w:tcPr>
          <w:p w14:paraId="5B106578">
            <w:pPr>
              <w:spacing w:before="28" w:line="218" w:lineRule="auto"/>
              <w:ind w:left="115"/>
              <w:rPr>
                <w:rFonts w:hint="eastAsia" w:ascii="仿宋" w:hAnsi="仿宋" w:eastAsia="仿宋" w:cs="仿宋"/>
                <w:color w:val="auto"/>
                <w:sz w:val="17"/>
                <w:szCs w:val="17"/>
                <w:highlight w:val="none"/>
              </w:rPr>
            </w:pPr>
            <w:r>
              <w:rPr>
                <w:rFonts w:ascii="仿宋" w:hAnsi="仿宋" w:eastAsia="仿宋" w:cs="仿宋"/>
                <w:color w:val="auto"/>
                <w:spacing w:val="6"/>
                <w:sz w:val="17"/>
                <w:szCs w:val="17"/>
                <w:highlight w:val="none"/>
              </w:rPr>
              <w:t>从业人员（X）</w:t>
            </w:r>
          </w:p>
        </w:tc>
        <w:tc>
          <w:tcPr>
            <w:tcW w:w="736" w:type="dxa"/>
          </w:tcPr>
          <w:p w14:paraId="159F65B2">
            <w:pPr>
              <w:spacing w:before="28" w:line="218" w:lineRule="auto"/>
              <w:ind w:left="112"/>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人</w:t>
            </w:r>
          </w:p>
        </w:tc>
        <w:tc>
          <w:tcPr>
            <w:tcW w:w="2135" w:type="dxa"/>
          </w:tcPr>
          <w:p w14:paraId="48EE1B72">
            <w:pPr>
              <w:spacing w:before="28" w:line="218" w:lineRule="auto"/>
              <w:ind w:left="12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300≤X＜1000</w:t>
            </w:r>
          </w:p>
        </w:tc>
        <w:tc>
          <w:tcPr>
            <w:tcW w:w="1874" w:type="dxa"/>
          </w:tcPr>
          <w:p w14:paraId="5FF9F956">
            <w:pPr>
              <w:spacing w:before="28" w:line="218" w:lineRule="auto"/>
              <w:ind w:left="119"/>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20≤X＜300</w:t>
            </w:r>
          </w:p>
        </w:tc>
        <w:tc>
          <w:tcPr>
            <w:tcW w:w="1442" w:type="dxa"/>
          </w:tcPr>
          <w:p w14:paraId="1111B86B">
            <w:pPr>
              <w:spacing w:before="28" w:line="218"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X＜20</w:t>
            </w:r>
          </w:p>
        </w:tc>
      </w:tr>
      <w:tr w14:paraId="2E3192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continue"/>
            <w:tcBorders>
              <w:top w:val="nil"/>
            </w:tcBorders>
          </w:tcPr>
          <w:p w14:paraId="51BCCB40">
            <w:pPr>
              <w:rPr>
                <w:color w:val="auto"/>
                <w:highlight w:val="none"/>
              </w:rPr>
            </w:pPr>
          </w:p>
        </w:tc>
        <w:tc>
          <w:tcPr>
            <w:tcW w:w="1558" w:type="dxa"/>
          </w:tcPr>
          <w:p w14:paraId="7D26A7E1">
            <w:pPr>
              <w:spacing w:before="29" w:line="216" w:lineRule="auto"/>
              <w:ind w:left="123"/>
              <w:rPr>
                <w:rFonts w:hint="eastAsia" w:ascii="仿宋" w:hAnsi="仿宋" w:eastAsia="仿宋" w:cs="仿宋"/>
                <w:color w:val="auto"/>
                <w:sz w:val="17"/>
                <w:szCs w:val="17"/>
                <w:highlight w:val="none"/>
              </w:rPr>
            </w:pPr>
            <w:r>
              <w:rPr>
                <w:rFonts w:ascii="仿宋" w:hAnsi="仿宋" w:eastAsia="仿宋" w:cs="仿宋"/>
                <w:color w:val="auto"/>
                <w:spacing w:val="5"/>
                <w:sz w:val="17"/>
                <w:szCs w:val="17"/>
                <w:highlight w:val="none"/>
              </w:rPr>
              <w:t>营业收入（Y）</w:t>
            </w:r>
          </w:p>
        </w:tc>
        <w:tc>
          <w:tcPr>
            <w:tcW w:w="736" w:type="dxa"/>
          </w:tcPr>
          <w:p w14:paraId="4A960D49">
            <w:pPr>
              <w:spacing w:before="29" w:line="216" w:lineRule="auto"/>
              <w:ind w:left="120"/>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万元</w:t>
            </w:r>
          </w:p>
        </w:tc>
        <w:tc>
          <w:tcPr>
            <w:tcW w:w="2135" w:type="dxa"/>
          </w:tcPr>
          <w:p w14:paraId="1A5855F9">
            <w:pPr>
              <w:spacing w:before="29" w:line="216" w:lineRule="auto"/>
              <w:ind w:left="125"/>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3000≤Y＜30000</w:t>
            </w:r>
          </w:p>
        </w:tc>
        <w:tc>
          <w:tcPr>
            <w:tcW w:w="1874" w:type="dxa"/>
          </w:tcPr>
          <w:p w14:paraId="48C9665C">
            <w:pPr>
              <w:spacing w:before="29" w:line="216" w:lineRule="auto"/>
              <w:ind w:left="119"/>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200≤Y＜3000</w:t>
            </w:r>
          </w:p>
        </w:tc>
        <w:tc>
          <w:tcPr>
            <w:tcW w:w="1442" w:type="dxa"/>
          </w:tcPr>
          <w:p w14:paraId="3D1CEA14">
            <w:pPr>
              <w:spacing w:before="29" w:line="216"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Y＜200</w:t>
            </w:r>
          </w:p>
        </w:tc>
      </w:tr>
      <w:tr w14:paraId="552A4B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9" w:hRule="atLeast"/>
        </w:trPr>
        <w:tc>
          <w:tcPr>
            <w:tcW w:w="1705" w:type="dxa"/>
            <w:vMerge w:val="restart"/>
            <w:tcBorders>
              <w:bottom w:val="nil"/>
            </w:tcBorders>
          </w:tcPr>
          <w:p w14:paraId="6C8C5A64">
            <w:pPr>
              <w:spacing w:before="271" w:line="218" w:lineRule="auto"/>
              <w:ind w:left="586"/>
              <w:rPr>
                <w:rFonts w:hint="eastAsia" w:ascii="仿宋" w:hAnsi="仿宋" w:eastAsia="仿宋" w:cs="仿宋"/>
                <w:color w:val="auto"/>
                <w:sz w:val="17"/>
                <w:szCs w:val="17"/>
                <w:highlight w:val="none"/>
              </w:rPr>
            </w:pPr>
            <w:r>
              <w:rPr>
                <w:rFonts w:ascii="仿宋" w:hAnsi="仿宋" w:eastAsia="仿宋" w:cs="仿宋"/>
                <w:color w:val="auto"/>
                <w:spacing w:val="8"/>
                <w:sz w:val="17"/>
                <w:szCs w:val="17"/>
                <w:highlight w:val="none"/>
                <w14:textOutline w14:w="3289" w14:cap="flat" w14:cmpd="sng" w14:algn="ctr">
                  <w14:solidFill>
                    <w14:srgbClr w14:val="000000"/>
                  </w14:solidFill>
                  <w14:prstDash w14:val="solid"/>
                  <w14:miter w14:val="0"/>
                </w14:textOutline>
              </w:rPr>
              <w:t>仓储业</w:t>
            </w:r>
          </w:p>
        </w:tc>
        <w:tc>
          <w:tcPr>
            <w:tcW w:w="1558" w:type="dxa"/>
          </w:tcPr>
          <w:p w14:paraId="6D61C082">
            <w:pPr>
              <w:spacing w:before="28" w:line="218" w:lineRule="auto"/>
              <w:ind w:left="115"/>
              <w:rPr>
                <w:rFonts w:hint="eastAsia" w:ascii="仿宋" w:hAnsi="仿宋" w:eastAsia="仿宋" w:cs="仿宋"/>
                <w:color w:val="auto"/>
                <w:sz w:val="17"/>
                <w:szCs w:val="17"/>
                <w:highlight w:val="none"/>
              </w:rPr>
            </w:pPr>
            <w:r>
              <w:rPr>
                <w:rFonts w:ascii="仿宋" w:hAnsi="仿宋" w:eastAsia="仿宋" w:cs="仿宋"/>
                <w:color w:val="auto"/>
                <w:spacing w:val="6"/>
                <w:sz w:val="17"/>
                <w:szCs w:val="17"/>
                <w:highlight w:val="none"/>
              </w:rPr>
              <w:t>从业人员（X）</w:t>
            </w:r>
          </w:p>
        </w:tc>
        <w:tc>
          <w:tcPr>
            <w:tcW w:w="736" w:type="dxa"/>
          </w:tcPr>
          <w:p w14:paraId="4B394B90">
            <w:pPr>
              <w:spacing w:before="28" w:line="218" w:lineRule="auto"/>
              <w:ind w:left="112"/>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人</w:t>
            </w:r>
          </w:p>
        </w:tc>
        <w:tc>
          <w:tcPr>
            <w:tcW w:w="2135" w:type="dxa"/>
          </w:tcPr>
          <w:p w14:paraId="71D7ED2E">
            <w:pPr>
              <w:spacing w:before="28" w:line="218" w:lineRule="auto"/>
              <w:ind w:left="123"/>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100≤X＜200</w:t>
            </w:r>
          </w:p>
        </w:tc>
        <w:tc>
          <w:tcPr>
            <w:tcW w:w="1874" w:type="dxa"/>
          </w:tcPr>
          <w:p w14:paraId="3B8B88BE">
            <w:pPr>
              <w:spacing w:before="28" w:line="218" w:lineRule="auto"/>
              <w:ind w:left="119"/>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20≤X＜100</w:t>
            </w:r>
          </w:p>
        </w:tc>
        <w:tc>
          <w:tcPr>
            <w:tcW w:w="1442" w:type="dxa"/>
          </w:tcPr>
          <w:p w14:paraId="5486E2C5">
            <w:pPr>
              <w:spacing w:before="28" w:line="218"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X＜20</w:t>
            </w:r>
          </w:p>
        </w:tc>
      </w:tr>
      <w:tr w14:paraId="654470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continue"/>
            <w:tcBorders>
              <w:top w:val="nil"/>
            </w:tcBorders>
          </w:tcPr>
          <w:p w14:paraId="0805D601">
            <w:pPr>
              <w:rPr>
                <w:color w:val="auto"/>
                <w:highlight w:val="none"/>
              </w:rPr>
            </w:pPr>
          </w:p>
        </w:tc>
        <w:tc>
          <w:tcPr>
            <w:tcW w:w="1558" w:type="dxa"/>
          </w:tcPr>
          <w:p w14:paraId="3BD8D7A6">
            <w:pPr>
              <w:spacing w:before="27" w:line="218" w:lineRule="auto"/>
              <w:ind w:left="123"/>
              <w:rPr>
                <w:rFonts w:hint="eastAsia" w:ascii="仿宋" w:hAnsi="仿宋" w:eastAsia="仿宋" w:cs="仿宋"/>
                <w:color w:val="auto"/>
                <w:sz w:val="17"/>
                <w:szCs w:val="17"/>
                <w:highlight w:val="none"/>
              </w:rPr>
            </w:pPr>
            <w:r>
              <w:rPr>
                <w:rFonts w:ascii="仿宋" w:hAnsi="仿宋" w:eastAsia="仿宋" w:cs="仿宋"/>
                <w:color w:val="auto"/>
                <w:spacing w:val="5"/>
                <w:sz w:val="17"/>
                <w:szCs w:val="17"/>
                <w:highlight w:val="none"/>
              </w:rPr>
              <w:t>营业收入（Y）</w:t>
            </w:r>
          </w:p>
        </w:tc>
        <w:tc>
          <w:tcPr>
            <w:tcW w:w="736" w:type="dxa"/>
          </w:tcPr>
          <w:p w14:paraId="05EB4CDC">
            <w:pPr>
              <w:spacing w:before="27" w:line="218" w:lineRule="auto"/>
              <w:ind w:left="120"/>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万元</w:t>
            </w:r>
          </w:p>
        </w:tc>
        <w:tc>
          <w:tcPr>
            <w:tcW w:w="2135" w:type="dxa"/>
          </w:tcPr>
          <w:p w14:paraId="4DF90CCE">
            <w:pPr>
              <w:spacing w:before="27" w:line="218" w:lineRule="auto"/>
              <w:ind w:left="123"/>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1000≤Y＜30000</w:t>
            </w:r>
          </w:p>
        </w:tc>
        <w:tc>
          <w:tcPr>
            <w:tcW w:w="1874" w:type="dxa"/>
          </w:tcPr>
          <w:p w14:paraId="15E8F5DA">
            <w:pPr>
              <w:spacing w:before="27" w:line="218" w:lineRule="auto"/>
              <w:ind w:left="124"/>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100≤Y＜1000</w:t>
            </w:r>
          </w:p>
        </w:tc>
        <w:tc>
          <w:tcPr>
            <w:tcW w:w="1442" w:type="dxa"/>
          </w:tcPr>
          <w:p w14:paraId="0DF7EE48">
            <w:pPr>
              <w:spacing w:before="27" w:line="218"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Y＜100</w:t>
            </w:r>
          </w:p>
        </w:tc>
      </w:tr>
      <w:tr w14:paraId="6ECFFE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9" w:hRule="atLeast"/>
        </w:trPr>
        <w:tc>
          <w:tcPr>
            <w:tcW w:w="1705" w:type="dxa"/>
            <w:vMerge w:val="restart"/>
            <w:tcBorders>
              <w:bottom w:val="nil"/>
            </w:tcBorders>
          </w:tcPr>
          <w:p w14:paraId="766706A8">
            <w:pPr>
              <w:spacing w:before="271" w:line="218" w:lineRule="auto"/>
              <w:ind w:left="595"/>
              <w:rPr>
                <w:rFonts w:hint="eastAsia" w:ascii="仿宋" w:hAnsi="仿宋" w:eastAsia="仿宋" w:cs="仿宋"/>
                <w:color w:val="auto"/>
                <w:sz w:val="17"/>
                <w:szCs w:val="17"/>
                <w:highlight w:val="none"/>
              </w:rPr>
            </w:pPr>
            <w:r>
              <w:rPr>
                <w:rFonts w:ascii="仿宋" w:hAnsi="仿宋" w:eastAsia="仿宋" w:cs="仿宋"/>
                <w:color w:val="auto"/>
                <w:spacing w:val="5"/>
                <w:sz w:val="17"/>
                <w:szCs w:val="17"/>
                <w:highlight w:val="none"/>
                <w14:textOutline w14:w="3289" w14:cap="flat" w14:cmpd="sng" w14:algn="ctr">
                  <w14:solidFill>
                    <w14:srgbClr w14:val="000000"/>
                  </w14:solidFill>
                  <w14:prstDash w14:val="solid"/>
                  <w14:miter w14:val="0"/>
                </w14:textOutline>
              </w:rPr>
              <w:t>邮政业</w:t>
            </w:r>
          </w:p>
        </w:tc>
        <w:tc>
          <w:tcPr>
            <w:tcW w:w="1558" w:type="dxa"/>
          </w:tcPr>
          <w:p w14:paraId="3B65934E">
            <w:pPr>
              <w:spacing w:before="28" w:line="218" w:lineRule="auto"/>
              <w:ind w:left="115"/>
              <w:rPr>
                <w:rFonts w:hint="eastAsia" w:ascii="仿宋" w:hAnsi="仿宋" w:eastAsia="仿宋" w:cs="仿宋"/>
                <w:color w:val="auto"/>
                <w:sz w:val="17"/>
                <w:szCs w:val="17"/>
                <w:highlight w:val="none"/>
              </w:rPr>
            </w:pPr>
            <w:r>
              <w:rPr>
                <w:rFonts w:ascii="仿宋" w:hAnsi="仿宋" w:eastAsia="仿宋" w:cs="仿宋"/>
                <w:color w:val="auto"/>
                <w:spacing w:val="6"/>
                <w:sz w:val="17"/>
                <w:szCs w:val="17"/>
                <w:highlight w:val="none"/>
              </w:rPr>
              <w:t>从业人员（X）</w:t>
            </w:r>
          </w:p>
        </w:tc>
        <w:tc>
          <w:tcPr>
            <w:tcW w:w="736" w:type="dxa"/>
          </w:tcPr>
          <w:p w14:paraId="437A7E11">
            <w:pPr>
              <w:spacing w:before="28" w:line="218" w:lineRule="auto"/>
              <w:ind w:left="112"/>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人</w:t>
            </w:r>
          </w:p>
        </w:tc>
        <w:tc>
          <w:tcPr>
            <w:tcW w:w="2135" w:type="dxa"/>
          </w:tcPr>
          <w:p w14:paraId="197D8CA2">
            <w:pPr>
              <w:spacing w:before="28" w:line="218" w:lineRule="auto"/>
              <w:ind w:left="12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300≤X＜1000</w:t>
            </w:r>
          </w:p>
        </w:tc>
        <w:tc>
          <w:tcPr>
            <w:tcW w:w="1874" w:type="dxa"/>
          </w:tcPr>
          <w:p w14:paraId="6324FD82">
            <w:pPr>
              <w:spacing w:before="28" w:line="218" w:lineRule="auto"/>
              <w:ind w:left="119"/>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20≤X＜300</w:t>
            </w:r>
          </w:p>
        </w:tc>
        <w:tc>
          <w:tcPr>
            <w:tcW w:w="1442" w:type="dxa"/>
          </w:tcPr>
          <w:p w14:paraId="09E72B55">
            <w:pPr>
              <w:spacing w:before="28" w:line="218"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X＜20</w:t>
            </w:r>
          </w:p>
        </w:tc>
      </w:tr>
      <w:tr w14:paraId="0F1718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continue"/>
            <w:tcBorders>
              <w:top w:val="nil"/>
            </w:tcBorders>
          </w:tcPr>
          <w:p w14:paraId="0EF32DC0">
            <w:pPr>
              <w:rPr>
                <w:color w:val="auto"/>
                <w:highlight w:val="none"/>
              </w:rPr>
            </w:pPr>
          </w:p>
        </w:tc>
        <w:tc>
          <w:tcPr>
            <w:tcW w:w="1558" w:type="dxa"/>
          </w:tcPr>
          <w:p w14:paraId="13D2FB47">
            <w:pPr>
              <w:spacing w:before="27" w:line="218" w:lineRule="auto"/>
              <w:ind w:left="123"/>
              <w:rPr>
                <w:rFonts w:hint="eastAsia" w:ascii="仿宋" w:hAnsi="仿宋" w:eastAsia="仿宋" w:cs="仿宋"/>
                <w:color w:val="auto"/>
                <w:sz w:val="17"/>
                <w:szCs w:val="17"/>
                <w:highlight w:val="none"/>
              </w:rPr>
            </w:pPr>
            <w:r>
              <w:rPr>
                <w:rFonts w:ascii="仿宋" w:hAnsi="仿宋" w:eastAsia="仿宋" w:cs="仿宋"/>
                <w:color w:val="auto"/>
                <w:spacing w:val="5"/>
                <w:sz w:val="17"/>
                <w:szCs w:val="17"/>
                <w:highlight w:val="none"/>
              </w:rPr>
              <w:t>营业收入（Y）</w:t>
            </w:r>
          </w:p>
        </w:tc>
        <w:tc>
          <w:tcPr>
            <w:tcW w:w="736" w:type="dxa"/>
          </w:tcPr>
          <w:p w14:paraId="47D8B85F">
            <w:pPr>
              <w:spacing w:before="27" w:line="218" w:lineRule="auto"/>
              <w:ind w:left="120"/>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万元</w:t>
            </w:r>
          </w:p>
        </w:tc>
        <w:tc>
          <w:tcPr>
            <w:tcW w:w="2135" w:type="dxa"/>
          </w:tcPr>
          <w:p w14:paraId="5B67CD4D">
            <w:pPr>
              <w:spacing w:before="27" w:line="218" w:lineRule="auto"/>
              <w:ind w:left="118"/>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2000≤Y＜30000</w:t>
            </w:r>
          </w:p>
        </w:tc>
        <w:tc>
          <w:tcPr>
            <w:tcW w:w="1874" w:type="dxa"/>
          </w:tcPr>
          <w:p w14:paraId="163E30D0">
            <w:pPr>
              <w:spacing w:before="27" w:line="218" w:lineRule="auto"/>
              <w:ind w:left="124"/>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100≤Y＜2000</w:t>
            </w:r>
          </w:p>
        </w:tc>
        <w:tc>
          <w:tcPr>
            <w:tcW w:w="1442" w:type="dxa"/>
          </w:tcPr>
          <w:p w14:paraId="3C8A0AD0">
            <w:pPr>
              <w:spacing w:before="27" w:line="218"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Y＜100</w:t>
            </w:r>
          </w:p>
        </w:tc>
      </w:tr>
      <w:tr w14:paraId="588B25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restart"/>
            <w:tcBorders>
              <w:bottom w:val="nil"/>
            </w:tcBorders>
          </w:tcPr>
          <w:p w14:paraId="6138C34D">
            <w:pPr>
              <w:spacing w:before="271" w:line="217" w:lineRule="auto"/>
              <w:ind w:left="591"/>
              <w:rPr>
                <w:rFonts w:hint="eastAsia" w:ascii="仿宋" w:hAnsi="仿宋" w:eastAsia="仿宋" w:cs="仿宋"/>
                <w:color w:val="auto"/>
                <w:sz w:val="17"/>
                <w:szCs w:val="17"/>
                <w:highlight w:val="none"/>
              </w:rPr>
            </w:pPr>
            <w:r>
              <w:rPr>
                <w:rFonts w:ascii="仿宋" w:hAnsi="仿宋" w:eastAsia="仿宋" w:cs="仿宋"/>
                <w:color w:val="auto"/>
                <w:spacing w:val="7"/>
                <w:sz w:val="17"/>
                <w:szCs w:val="17"/>
                <w:highlight w:val="none"/>
                <w14:textOutline w14:w="3289" w14:cap="flat" w14:cmpd="sng" w14:algn="ctr">
                  <w14:solidFill>
                    <w14:srgbClr w14:val="000000"/>
                  </w14:solidFill>
                  <w14:prstDash w14:val="solid"/>
                  <w14:miter w14:val="0"/>
                </w14:textOutline>
              </w:rPr>
              <w:t>住宿业</w:t>
            </w:r>
          </w:p>
        </w:tc>
        <w:tc>
          <w:tcPr>
            <w:tcW w:w="1558" w:type="dxa"/>
          </w:tcPr>
          <w:p w14:paraId="0DA15964">
            <w:pPr>
              <w:spacing w:before="29" w:line="216" w:lineRule="auto"/>
              <w:ind w:left="115"/>
              <w:rPr>
                <w:rFonts w:hint="eastAsia" w:ascii="仿宋" w:hAnsi="仿宋" w:eastAsia="仿宋" w:cs="仿宋"/>
                <w:color w:val="auto"/>
                <w:sz w:val="17"/>
                <w:szCs w:val="17"/>
                <w:highlight w:val="none"/>
              </w:rPr>
            </w:pPr>
            <w:r>
              <w:rPr>
                <w:rFonts w:ascii="仿宋" w:hAnsi="仿宋" w:eastAsia="仿宋" w:cs="仿宋"/>
                <w:color w:val="auto"/>
                <w:spacing w:val="6"/>
                <w:sz w:val="17"/>
                <w:szCs w:val="17"/>
                <w:highlight w:val="none"/>
              </w:rPr>
              <w:t>从业人员（X）</w:t>
            </w:r>
          </w:p>
        </w:tc>
        <w:tc>
          <w:tcPr>
            <w:tcW w:w="736" w:type="dxa"/>
          </w:tcPr>
          <w:p w14:paraId="03981CF7">
            <w:pPr>
              <w:spacing w:before="29" w:line="216" w:lineRule="auto"/>
              <w:ind w:left="112"/>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人</w:t>
            </w:r>
          </w:p>
        </w:tc>
        <w:tc>
          <w:tcPr>
            <w:tcW w:w="2135" w:type="dxa"/>
          </w:tcPr>
          <w:p w14:paraId="7739CF6C">
            <w:pPr>
              <w:spacing w:before="29" w:line="216" w:lineRule="auto"/>
              <w:ind w:left="123"/>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100≤X＜300</w:t>
            </w:r>
          </w:p>
        </w:tc>
        <w:tc>
          <w:tcPr>
            <w:tcW w:w="1874" w:type="dxa"/>
          </w:tcPr>
          <w:p w14:paraId="2787B1E2">
            <w:pPr>
              <w:spacing w:before="29" w:line="216" w:lineRule="auto"/>
              <w:ind w:left="124"/>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10≤X＜100</w:t>
            </w:r>
          </w:p>
        </w:tc>
        <w:tc>
          <w:tcPr>
            <w:tcW w:w="1442" w:type="dxa"/>
          </w:tcPr>
          <w:p w14:paraId="298E8D07">
            <w:pPr>
              <w:spacing w:before="29" w:line="216"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X＜10</w:t>
            </w:r>
          </w:p>
        </w:tc>
      </w:tr>
      <w:tr w14:paraId="58389E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continue"/>
            <w:tcBorders>
              <w:top w:val="nil"/>
            </w:tcBorders>
          </w:tcPr>
          <w:p w14:paraId="63D1DB1C">
            <w:pPr>
              <w:rPr>
                <w:color w:val="auto"/>
                <w:highlight w:val="none"/>
              </w:rPr>
            </w:pPr>
          </w:p>
        </w:tc>
        <w:tc>
          <w:tcPr>
            <w:tcW w:w="1558" w:type="dxa"/>
          </w:tcPr>
          <w:p w14:paraId="0F572D5A">
            <w:pPr>
              <w:spacing w:before="28" w:line="217" w:lineRule="auto"/>
              <w:ind w:left="123"/>
              <w:rPr>
                <w:rFonts w:hint="eastAsia" w:ascii="仿宋" w:hAnsi="仿宋" w:eastAsia="仿宋" w:cs="仿宋"/>
                <w:color w:val="auto"/>
                <w:sz w:val="17"/>
                <w:szCs w:val="17"/>
                <w:highlight w:val="none"/>
              </w:rPr>
            </w:pPr>
            <w:r>
              <w:rPr>
                <w:rFonts w:ascii="仿宋" w:hAnsi="仿宋" w:eastAsia="仿宋" w:cs="仿宋"/>
                <w:color w:val="auto"/>
                <w:spacing w:val="5"/>
                <w:sz w:val="17"/>
                <w:szCs w:val="17"/>
                <w:highlight w:val="none"/>
              </w:rPr>
              <w:t>营业收入（Y）</w:t>
            </w:r>
          </w:p>
        </w:tc>
        <w:tc>
          <w:tcPr>
            <w:tcW w:w="736" w:type="dxa"/>
          </w:tcPr>
          <w:p w14:paraId="153EAD70">
            <w:pPr>
              <w:spacing w:before="28" w:line="217" w:lineRule="auto"/>
              <w:ind w:left="120"/>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万元</w:t>
            </w:r>
          </w:p>
        </w:tc>
        <w:tc>
          <w:tcPr>
            <w:tcW w:w="2135" w:type="dxa"/>
          </w:tcPr>
          <w:p w14:paraId="3C94690D">
            <w:pPr>
              <w:spacing w:before="28" w:line="217" w:lineRule="auto"/>
              <w:ind w:left="118"/>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2000≤Y＜10000</w:t>
            </w:r>
          </w:p>
        </w:tc>
        <w:tc>
          <w:tcPr>
            <w:tcW w:w="1874" w:type="dxa"/>
          </w:tcPr>
          <w:p w14:paraId="7FBFF186">
            <w:pPr>
              <w:spacing w:before="28" w:line="217" w:lineRule="auto"/>
              <w:ind w:left="124"/>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100≤Y＜2000</w:t>
            </w:r>
          </w:p>
        </w:tc>
        <w:tc>
          <w:tcPr>
            <w:tcW w:w="1442" w:type="dxa"/>
          </w:tcPr>
          <w:p w14:paraId="0DBC20AE">
            <w:pPr>
              <w:spacing w:before="28" w:line="217"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Y＜100</w:t>
            </w:r>
          </w:p>
        </w:tc>
      </w:tr>
      <w:tr w14:paraId="6D175D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restart"/>
            <w:tcBorders>
              <w:bottom w:val="nil"/>
            </w:tcBorders>
          </w:tcPr>
          <w:p w14:paraId="6C1405DF">
            <w:pPr>
              <w:spacing w:before="270" w:line="219" w:lineRule="auto"/>
              <w:ind w:left="586"/>
              <w:rPr>
                <w:rFonts w:hint="eastAsia" w:ascii="仿宋" w:hAnsi="仿宋" w:eastAsia="仿宋" w:cs="仿宋"/>
                <w:color w:val="auto"/>
                <w:sz w:val="17"/>
                <w:szCs w:val="17"/>
                <w:highlight w:val="none"/>
              </w:rPr>
            </w:pPr>
            <w:r>
              <w:rPr>
                <w:rFonts w:ascii="仿宋" w:hAnsi="仿宋" w:eastAsia="仿宋" w:cs="仿宋"/>
                <w:color w:val="auto"/>
                <w:spacing w:val="8"/>
                <w:sz w:val="17"/>
                <w:szCs w:val="17"/>
                <w:highlight w:val="none"/>
                <w14:textOutline w14:w="3289" w14:cap="flat" w14:cmpd="sng" w14:algn="ctr">
                  <w14:solidFill>
                    <w14:srgbClr w14:val="000000"/>
                  </w14:solidFill>
                  <w14:prstDash w14:val="solid"/>
                  <w14:miter w14:val="0"/>
                </w14:textOutline>
              </w:rPr>
              <w:t>餐饮业</w:t>
            </w:r>
          </w:p>
        </w:tc>
        <w:tc>
          <w:tcPr>
            <w:tcW w:w="1558" w:type="dxa"/>
          </w:tcPr>
          <w:p w14:paraId="5222E14F">
            <w:pPr>
              <w:spacing w:before="30" w:line="215" w:lineRule="auto"/>
              <w:ind w:left="115"/>
              <w:rPr>
                <w:rFonts w:hint="eastAsia" w:ascii="仿宋" w:hAnsi="仿宋" w:eastAsia="仿宋" w:cs="仿宋"/>
                <w:color w:val="auto"/>
                <w:sz w:val="17"/>
                <w:szCs w:val="17"/>
                <w:highlight w:val="none"/>
              </w:rPr>
            </w:pPr>
            <w:r>
              <w:rPr>
                <w:rFonts w:ascii="仿宋" w:hAnsi="仿宋" w:eastAsia="仿宋" w:cs="仿宋"/>
                <w:color w:val="auto"/>
                <w:spacing w:val="6"/>
                <w:sz w:val="17"/>
                <w:szCs w:val="17"/>
                <w:highlight w:val="none"/>
              </w:rPr>
              <w:t>从业人员（X）</w:t>
            </w:r>
          </w:p>
        </w:tc>
        <w:tc>
          <w:tcPr>
            <w:tcW w:w="736" w:type="dxa"/>
          </w:tcPr>
          <w:p w14:paraId="1818F2B8">
            <w:pPr>
              <w:spacing w:before="30" w:line="215" w:lineRule="auto"/>
              <w:ind w:left="112"/>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人</w:t>
            </w:r>
          </w:p>
        </w:tc>
        <w:tc>
          <w:tcPr>
            <w:tcW w:w="2135" w:type="dxa"/>
          </w:tcPr>
          <w:p w14:paraId="57B855BA">
            <w:pPr>
              <w:spacing w:before="30" w:line="215" w:lineRule="auto"/>
              <w:ind w:left="123"/>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100≤X＜300</w:t>
            </w:r>
          </w:p>
        </w:tc>
        <w:tc>
          <w:tcPr>
            <w:tcW w:w="1874" w:type="dxa"/>
          </w:tcPr>
          <w:p w14:paraId="0BECA467">
            <w:pPr>
              <w:spacing w:before="30" w:line="215" w:lineRule="auto"/>
              <w:ind w:left="124"/>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10≤X＜100</w:t>
            </w:r>
          </w:p>
        </w:tc>
        <w:tc>
          <w:tcPr>
            <w:tcW w:w="1442" w:type="dxa"/>
          </w:tcPr>
          <w:p w14:paraId="15D2668F">
            <w:pPr>
              <w:spacing w:before="30" w:line="215"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X＜10</w:t>
            </w:r>
          </w:p>
        </w:tc>
      </w:tr>
      <w:tr w14:paraId="10F02B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9" w:hRule="atLeast"/>
        </w:trPr>
        <w:tc>
          <w:tcPr>
            <w:tcW w:w="1705" w:type="dxa"/>
            <w:vMerge w:val="continue"/>
            <w:tcBorders>
              <w:top w:val="nil"/>
            </w:tcBorders>
          </w:tcPr>
          <w:p w14:paraId="30B5137B">
            <w:pPr>
              <w:rPr>
                <w:color w:val="auto"/>
                <w:highlight w:val="none"/>
              </w:rPr>
            </w:pPr>
          </w:p>
        </w:tc>
        <w:tc>
          <w:tcPr>
            <w:tcW w:w="1558" w:type="dxa"/>
          </w:tcPr>
          <w:p w14:paraId="0241AE33">
            <w:pPr>
              <w:spacing w:before="29" w:line="217" w:lineRule="auto"/>
              <w:ind w:left="123"/>
              <w:rPr>
                <w:rFonts w:hint="eastAsia" w:ascii="仿宋" w:hAnsi="仿宋" w:eastAsia="仿宋" w:cs="仿宋"/>
                <w:color w:val="auto"/>
                <w:sz w:val="17"/>
                <w:szCs w:val="17"/>
                <w:highlight w:val="none"/>
              </w:rPr>
            </w:pPr>
            <w:r>
              <w:rPr>
                <w:rFonts w:ascii="仿宋" w:hAnsi="仿宋" w:eastAsia="仿宋" w:cs="仿宋"/>
                <w:color w:val="auto"/>
                <w:spacing w:val="5"/>
                <w:sz w:val="17"/>
                <w:szCs w:val="17"/>
                <w:highlight w:val="none"/>
              </w:rPr>
              <w:t>营业收入（Y）</w:t>
            </w:r>
          </w:p>
        </w:tc>
        <w:tc>
          <w:tcPr>
            <w:tcW w:w="736" w:type="dxa"/>
          </w:tcPr>
          <w:p w14:paraId="64E8E048">
            <w:pPr>
              <w:spacing w:before="29" w:line="217" w:lineRule="auto"/>
              <w:ind w:left="120"/>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万元</w:t>
            </w:r>
          </w:p>
        </w:tc>
        <w:tc>
          <w:tcPr>
            <w:tcW w:w="2135" w:type="dxa"/>
          </w:tcPr>
          <w:p w14:paraId="38BD02C5">
            <w:pPr>
              <w:spacing w:before="29" w:line="217" w:lineRule="auto"/>
              <w:ind w:left="118"/>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2000≤Y＜10000</w:t>
            </w:r>
          </w:p>
        </w:tc>
        <w:tc>
          <w:tcPr>
            <w:tcW w:w="1874" w:type="dxa"/>
          </w:tcPr>
          <w:p w14:paraId="2530787E">
            <w:pPr>
              <w:spacing w:before="29" w:line="217" w:lineRule="auto"/>
              <w:ind w:left="124"/>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100≤Y＜2000</w:t>
            </w:r>
          </w:p>
        </w:tc>
        <w:tc>
          <w:tcPr>
            <w:tcW w:w="1442" w:type="dxa"/>
          </w:tcPr>
          <w:p w14:paraId="48388F39">
            <w:pPr>
              <w:spacing w:before="29" w:line="217"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Y＜100</w:t>
            </w:r>
          </w:p>
        </w:tc>
      </w:tr>
      <w:tr w14:paraId="529811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restart"/>
            <w:tcBorders>
              <w:bottom w:val="nil"/>
            </w:tcBorders>
          </w:tcPr>
          <w:p w14:paraId="5AD22F32">
            <w:pPr>
              <w:spacing w:before="270" w:line="219" w:lineRule="auto"/>
              <w:ind w:left="402"/>
              <w:rPr>
                <w:rFonts w:hint="eastAsia" w:ascii="仿宋" w:hAnsi="仿宋" w:eastAsia="仿宋" w:cs="仿宋"/>
                <w:color w:val="auto"/>
                <w:sz w:val="17"/>
                <w:szCs w:val="17"/>
                <w:highlight w:val="none"/>
              </w:rPr>
            </w:pPr>
            <w:r>
              <w:rPr>
                <w:rFonts w:ascii="仿宋" w:hAnsi="仿宋" w:eastAsia="仿宋" w:cs="仿宋"/>
                <w:color w:val="auto"/>
                <w:spacing w:val="10"/>
                <w:sz w:val="17"/>
                <w:szCs w:val="17"/>
                <w:highlight w:val="none"/>
                <w14:textOutline w14:w="3289" w14:cap="flat" w14:cmpd="sng" w14:algn="ctr">
                  <w14:solidFill>
                    <w14:srgbClr w14:val="000000"/>
                  </w14:solidFill>
                  <w14:prstDash w14:val="solid"/>
                  <w14:miter w14:val="0"/>
                </w14:textOutline>
              </w:rPr>
              <w:t>信息传输业</w:t>
            </w:r>
          </w:p>
        </w:tc>
        <w:tc>
          <w:tcPr>
            <w:tcW w:w="1558" w:type="dxa"/>
          </w:tcPr>
          <w:p w14:paraId="564F2E12">
            <w:pPr>
              <w:spacing w:before="28" w:line="217" w:lineRule="auto"/>
              <w:ind w:left="115"/>
              <w:rPr>
                <w:rFonts w:hint="eastAsia" w:ascii="仿宋" w:hAnsi="仿宋" w:eastAsia="仿宋" w:cs="仿宋"/>
                <w:color w:val="auto"/>
                <w:sz w:val="17"/>
                <w:szCs w:val="17"/>
                <w:highlight w:val="none"/>
              </w:rPr>
            </w:pPr>
            <w:r>
              <w:rPr>
                <w:rFonts w:ascii="仿宋" w:hAnsi="仿宋" w:eastAsia="仿宋" w:cs="仿宋"/>
                <w:color w:val="auto"/>
                <w:spacing w:val="6"/>
                <w:sz w:val="17"/>
                <w:szCs w:val="17"/>
                <w:highlight w:val="none"/>
              </w:rPr>
              <w:t>从业人员（X）</w:t>
            </w:r>
          </w:p>
        </w:tc>
        <w:tc>
          <w:tcPr>
            <w:tcW w:w="736" w:type="dxa"/>
          </w:tcPr>
          <w:p w14:paraId="7A8C421C">
            <w:pPr>
              <w:spacing w:before="28" w:line="217" w:lineRule="auto"/>
              <w:ind w:left="112"/>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人</w:t>
            </w:r>
          </w:p>
        </w:tc>
        <w:tc>
          <w:tcPr>
            <w:tcW w:w="2135" w:type="dxa"/>
          </w:tcPr>
          <w:p w14:paraId="1627DA10">
            <w:pPr>
              <w:spacing w:before="28" w:line="217" w:lineRule="auto"/>
              <w:ind w:left="123"/>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100≤X＜2000</w:t>
            </w:r>
          </w:p>
        </w:tc>
        <w:tc>
          <w:tcPr>
            <w:tcW w:w="1874" w:type="dxa"/>
          </w:tcPr>
          <w:p w14:paraId="422B4162">
            <w:pPr>
              <w:spacing w:before="28" w:line="217" w:lineRule="auto"/>
              <w:ind w:left="124"/>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10≤X＜100</w:t>
            </w:r>
          </w:p>
        </w:tc>
        <w:tc>
          <w:tcPr>
            <w:tcW w:w="1442" w:type="dxa"/>
          </w:tcPr>
          <w:p w14:paraId="0AECFABF">
            <w:pPr>
              <w:spacing w:before="28" w:line="217"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X＜10</w:t>
            </w:r>
          </w:p>
        </w:tc>
      </w:tr>
      <w:tr w14:paraId="766B8E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9" w:hRule="atLeast"/>
        </w:trPr>
        <w:tc>
          <w:tcPr>
            <w:tcW w:w="1705" w:type="dxa"/>
            <w:vMerge w:val="continue"/>
            <w:tcBorders>
              <w:top w:val="nil"/>
            </w:tcBorders>
          </w:tcPr>
          <w:p w14:paraId="023E0BEA">
            <w:pPr>
              <w:rPr>
                <w:color w:val="auto"/>
                <w:highlight w:val="none"/>
              </w:rPr>
            </w:pPr>
          </w:p>
        </w:tc>
        <w:tc>
          <w:tcPr>
            <w:tcW w:w="1558" w:type="dxa"/>
          </w:tcPr>
          <w:p w14:paraId="72BB2619">
            <w:pPr>
              <w:spacing w:before="29" w:line="217" w:lineRule="auto"/>
              <w:ind w:left="123"/>
              <w:rPr>
                <w:rFonts w:hint="eastAsia" w:ascii="仿宋" w:hAnsi="仿宋" w:eastAsia="仿宋" w:cs="仿宋"/>
                <w:color w:val="auto"/>
                <w:sz w:val="17"/>
                <w:szCs w:val="17"/>
                <w:highlight w:val="none"/>
              </w:rPr>
            </w:pPr>
            <w:r>
              <w:rPr>
                <w:rFonts w:ascii="仿宋" w:hAnsi="仿宋" w:eastAsia="仿宋" w:cs="仿宋"/>
                <w:color w:val="auto"/>
                <w:spacing w:val="5"/>
                <w:sz w:val="17"/>
                <w:szCs w:val="17"/>
                <w:highlight w:val="none"/>
              </w:rPr>
              <w:t>营业收入（Y）</w:t>
            </w:r>
          </w:p>
        </w:tc>
        <w:tc>
          <w:tcPr>
            <w:tcW w:w="736" w:type="dxa"/>
          </w:tcPr>
          <w:p w14:paraId="17FA2B10">
            <w:pPr>
              <w:spacing w:before="29" w:line="217" w:lineRule="auto"/>
              <w:ind w:left="120"/>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万元</w:t>
            </w:r>
          </w:p>
        </w:tc>
        <w:tc>
          <w:tcPr>
            <w:tcW w:w="2135" w:type="dxa"/>
          </w:tcPr>
          <w:p w14:paraId="51F3036E">
            <w:pPr>
              <w:spacing w:before="29" w:line="217" w:lineRule="auto"/>
              <w:ind w:left="123"/>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1000≤Y＜100000</w:t>
            </w:r>
          </w:p>
        </w:tc>
        <w:tc>
          <w:tcPr>
            <w:tcW w:w="1874" w:type="dxa"/>
          </w:tcPr>
          <w:p w14:paraId="5641999E">
            <w:pPr>
              <w:spacing w:before="29" w:line="217" w:lineRule="auto"/>
              <w:ind w:left="124"/>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100≤Y＜1000</w:t>
            </w:r>
          </w:p>
        </w:tc>
        <w:tc>
          <w:tcPr>
            <w:tcW w:w="1442" w:type="dxa"/>
          </w:tcPr>
          <w:p w14:paraId="4655CD02">
            <w:pPr>
              <w:spacing w:before="29" w:line="217"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Y＜100</w:t>
            </w:r>
          </w:p>
        </w:tc>
      </w:tr>
      <w:tr w14:paraId="32EC11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restart"/>
            <w:tcBorders>
              <w:bottom w:val="nil"/>
            </w:tcBorders>
          </w:tcPr>
          <w:p w14:paraId="0BC8C9E1">
            <w:pPr>
              <w:spacing w:before="38" w:line="235" w:lineRule="auto"/>
              <w:ind w:left="679" w:right="125" w:hanging="538"/>
              <w:rPr>
                <w:rFonts w:hint="eastAsia" w:ascii="仿宋" w:hAnsi="仿宋" w:eastAsia="仿宋" w:cs="仿宋"/>
                <w:color w:val="auto"/>
                <w:sz w:val="17"/>
                <w:szCs w:val="17"/>
                <w:highlight w:val="none"/>
                <w:lang w:eastAsia="zh-CN"/>
              </w:rPr>
            </w:pPr>
            <w:r>
              <w:rPr>
                <w:rFonts w:ascii="仿宋" w:hAnsi="仿宋" w:eastAsia="仿宋" w:cs="仿宋"/>
                <w:color w:val="auto"/>
                <w:spacing w:val="9"/>
                <w:sz w:val="17"/>
                <w:szCs w:val="17"/>
                <w:highlight w:val="none"/>
                <w:lang w:eastAsia="zh-CN"/>
                <w14:textOutline w14:w="3289" w14:cap="flat" w14:cmpd="sng" w14:algn="ctr">
                  <w14:solidFill>
                    <w14:srgbClr w14:val="000000"/>
                  </w14:solidFill>
                  <w14:prstDash w14:val="solid"/>
                  <w14:miter w14:val="0"/>
                </w14:textOutline>
              </w:rPr>
              <w:t>软件和信息技术服</w:t>
            </w:r>
            <w:r>
              <w:rPr>
                <w:rFonts w:ascii="仿宋" w:hAnsi="仿宋" w:eastAsia="仿宋" w:cs="仿宋"/>
                <w:color w:val="auto"/>
                <w:sz w:val="17"/>
                <w:szCs w:val="17"/>
                <w:highlight w:val="none"/>
                <w:lang w:eastAsia="zh-CN"/>
              </w:rPr>
              <w:t xml:space="preserve"> </w:t>
            </w:r>
            <w:r>
              <w:rPr>
                <w:rFonts w:ascii="仿宋" w:hAnsi="仿宋" w:eastAsia="仿宋" w:cs="仿宋"/>
                <w:color w:val="auto"/>
                <w:spacing w:val="4"/>
                <w:sz w:val="17"/>
                <w:szCs w:val="17"/>
                <w:highlight w:val="none"/>
                <w:lang w:eastAsia="zh-CN"/>
                <w14:textOutline w14:w="3289" w14:cap="flat" w14:cmpd="sng" w14:algn="ctr">
                  <w14:solidFill>
                    <w14:srgbClr w14:val="000000"/>
                  </w14:solidFill>
                  <w14:prstDash w14:val="solid"/>
                  <w14:miter w14:val="0"/>
                </w14:textOutline>
              </w:rPr>
              <w:t>务业</w:t>
            </w:r>
          </w:p>
        </w:tc>
        <w:tc>
          <w:tcPr>
            <w:tcW w:w="1558" w:type="dxa"/>
          </w:tcPr>
          <w:p w14:paraId="66A0E3E9">
            <w:pPr>
              <w:spacing w:before="28" w:line="217" w:lineRule="auto"/>
              <w:ind w:left="115"/>
              <w:rPr>
                <w:rFonts w:hint="eastAsia" w:ascii="仿宋" w:hAnsi="仿宋" w:eastAsia="仿宋" w:cs="仿宋"/>
                <w:color w:val="auto"/>
                <w:sz w:val="17"/>
                <w:szCs w:val="17"/>
                <w:highlight w:val="none"/>
              </w:rPr>
            </w:pPr>
            <w:r>
              <w:rPr>
                <w:rFonts w:ascii="仿宋" w:hAnsi="仿宋" w:eastAsia="仿宋" w:cs="仿宋"/>
                <w:color w:val="auto"/>
                <w:spacing w:val="6"/>
                <w:sz w:val="17"/>
                <w:szCs w:val="17"/>
                <w:highlight w:val="none"/>
              </w:rPr>
              <w:t>从业人员（X）</w:t>
            </w:r>
          </w:p>
        </w:tc>
        <w:tc>
          <w:tcPr>
            <w:tcW w:w="736" w:type="dxa"/>
          </w:tcPr>
          <w:p w14:paraId="341CBC13">
            <w:pPr>
              <w:spacing w:before="28" w:line="217" w:lineRule="auto"/>
              <w:ind w:left="112"/>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人</w:t>
            </w:r>
          </w:p>
        </w:tc>
        <w:tc>
          <w:tcPr>
            <w:tcW w:w="2135" w:type="dxa"/>
          </w:tcPr>
          <w:p w14:paraId="74F177E8">
            <w:pPr>
              <w:spacing w:before="28" w:line="217" w:lineRule="auto"/>
              <w:ind w:left="123"/>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100≤X＜300</w:t>
            </w:r>
          </w:p>
        </w:tc>
        <w:tc>
          <w:tcPr>
            <w:tcW w:w="1874" w:type="dxa"/>
          </w:tcPr>
          <w:p w14:paraId="3B847FE4">
            <w:pPr>
              <w:spacing w:before="28" w:line="217" w:lineRule="auto"/>
              <w:ind w:left="124"/>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10≤X＜100</w:t>
            </w:r>
          </w:p>
        </w:tc>
        <w:tc>
          <w:tcPr>
            <w:tcW w:w="1442" w:type="dxa"/>
          </w:tcPr>
          <w:p w14:paraId="3B58871A">
            <w:pPr>
              <w:spacing w:before="28" w:line="217"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X＜10</w:t>
            </w:r>
          </w:p>
        </w:tc>
      </w:tr>
      <w:tr w14:paraId="1CFCAF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continue"/>
            <w:tcBorders>
              <w:top w:val="nil"/>
            </w:tcBorders>
          </w:tcPr>
          <w:p w14:paraId="6D6BBA43">
            <w:pPr>
              <w:rPr>
                <w:color w:val="auto"/>
                <w:highlight w:val="none"/>
              </w:rPr>
            </w:pPr>
          </w:p>
        </w:tc>
        <w:tc>
          <w:tcPr>
            <w:tcW w:w="1558" w:type="dxa"/>
          </w:tcPr>
          <w:p w14:paraId="000C9CD7">
            <w:pPr>
              <w:spacing w:before="30" w:line="215" w:lineRule="auto"/>
              <w:ind w:left="123"/>
              <w:rPr>
                <w:rFonts w:hint="eastAsia" w:ascii="仿宋" w:hAnsi="仿宋" w:eastAsia="仿宋" w:cs="仿宋"/>
                <w:color w:val="auto"/>
                <w:sz w:val="17"/>
                <w:szCs w:val="17"/>
                <w:highlight w:val="none"/>
              </w:rPr>
            </w:pPr>
            <w:r>
              <w:rPr>
                <w:rFonts w:ascii="仿宋" w:hAnsi="仿宋" w:eastAsia="仿宋" w:cs="仿宋"/>
                <w:color w:val="auto"/>
                <w:spacing w:val="5"/>
                <w:sz w:val="17"/>
                <w:szCs w:val="17"/>
                <w:highlight w:val="none"/>
              </w:rPr>
              <w:t>营业收入（Y）</w:t>
            </w:r>
          </w:p>
        </w:tc>
        <w:tc>
          <w:tcPr>
            <w:tcW w:w="736" w:type="dxa"/>
          </w:tcPr>
          <w:p w14:paraId="15699B8A">
            <w:pPr>
              <w:spacing w:before="30" w:line="215" w:lineRule="auto"/>
              <w:ind w:left="120"/>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万元</w:t>
            </w:r>
          </w:p>
        </w:tc>
        <w:tc>
          <w:tcPr>
            <w:tcW w:w="2135" w:type="dxa"/>
          </w:tcPr>
          <w:p w14:paraId="2F83B01E">
            <w:pPr>
              <w:spacing w:before="30" w:line="215" w:lineRule="auto"/>
              <w:ind w:left="123"/>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1000≤Y＜10000</w:t>
            </w:r>
          </w:p>
        </w:tc>
        <w:tc>
          <w:tcPr>
            <w:tcW w:w="1874" w:type="dxa"/>
          </w:tcPr>
          <w:p w14:paraId="453556AE">
            <w:pPr>
              <w:spacing w:before="30" w:line="215" w:lineRule="auto"/>
              <w:ind w:left="121"/>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50≤Y＜1000</w:t>
            </w:r>
          </w:p>
        </w:tc>
        <w:tc>
          <w:tcPr>
            <w:tcW w:w="1442" w:type="dxa"/>
          </w:tcPr>
          <w:p w14:paraId="3008958D">
            <w:pPr>
              <w:spacing w:before="30" w:line="215"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Y＜50</w:t>
            </w:r>
          </w:p>
        </w:tc>
      </w:tr>
      <w:tr w14:paraId="511DF6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restart"/>
            <w:tcBorders>
              <w:bottom w:val="nil"/>
            </w:tcBorders>
          </w:tcPr>
          <w:p w14:paraId="247901AC">
            <w:pPr>
              <w:spacing w:before="271" w:line="217" w:lineRule="auto"/>
              <w:ind w:left="231"/>
              <w:rPr>
                <w:rFonts w:hint="eastAsia" w:ascii="仿宋" w:hAnsi="仿宋" w:eastAsia="仿宋" w:cs="仿宋"/>
                <w:color w:val="auto"/>
                <w:sz w:val="17"/>
                <w:szCs w:val="17"/>
                <w:highlight w:val="none"/>
              </w:rPr>
            </w:pPr>
            <w:r>
              <w:rPr>
                <w:rFonts w:ascii="仿宋" w:hAnsi="仿宋" w:eastAsia="仿宋" w:cs="仿宋"/>
                <w:color w:val="auto"/>
                <w:spacing w:val="9"/>
                <w:sz w:val="17"/>
                <w:szCs w:val="17"/>
                <w:highlight w:val="none"/>
                <w14:textOutline w14:w="3289" w14:cap="flat" w14:cmpd="sng" w14:algn="ctr">
                  <w14:solidFill>
                    <w14:srgbClr w14:val="000000"/>
                  </w14:solidFill>
                  <w14:prstDash w14:val="solid"/>
                  <w14:miter w14:val="0"/>
                </w14:textOutline>
              </w:rPr>
              <w:t>房地产开发经营</w:t>
            </w:r>
          </w:p>
        </w:tc>
        <w:tc>
          <w:tcPr>
            <w:tcW w:w="1558" w:type="dxa"/>
          </w:tcPr>
          <w:p w14:paraId="7B80D493">
            <w:pPr>
              <w:spacing w:before="29" w:line="216" w:lineRule="auto"/>
              <w:ind w:left="123"/>
              <w:rPr>
                <w:rFonts w:hint="eastAsia" w:ascii="仿宋" w:hAnsi="仿宋" w:eastAsia="仿宋" w:cs="仿宋"/>
                <w:color w:val="auto"/>
                <w:sz w:val="17"/>
                <w:szCs w:val="17"/>
                <w:highlight w:val="none"/>
              </w:rPr>
            </w:pPr>
            <w:r>
              <w:rPr>
                <w:rFonts w:ascii="仿宋" w:hAnsi="仿宋" w:eastAsia="仿宋" w:cs="仿宋"/>
                <w:color w:val="auto"/>
                <w:spacing w:val="5"/>
                <w:sz w:val="17"/>
                <w:szCs w:val="17"/>
                <w:highlight w:val="none"/>
              </w:rPr>
              <w:t>营业收入（Y）</w:t>
            </w:r>
          </w:p>
        </w:tc>
        <w:tc>
          <w:tcPr>
            <w:tcW w:w="736" w:type="dxa"/>
          </w:tcPr>
          <w:p w14:paraId="2E389A98">
            <w:pPr>
              <w:spacing w:before="29" w:line="216" w:lineRule="auto"/>
              <w:ind w:left="120"/>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万元</w:t>
            </w:r>
          </w:p>
        </w:tc>
        <w:tc>
          <w:tcPr>
            <w:tcW w:w="2135" w:type="dxa"/>
          </w:tcPr>
          <w:p w14:paraId="00D1E71F">
            <w:pPr>
              <w:spacing w:before="29" w:line="216" w:lineRule="auto"/>
              <w:ind w:left="123"/>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1000≤Y＜200000</w:t>
            </w:r>
          </w:p>
        </w:tc>
        <w:tc>
          <w:tcPr>
            <w:tcW w:w="1874" w:type="dxa"/>
          </w:tcPr>
          <w:p w14:paraId="01370476">
            <w:pPr>
              <w:spacing w:before="29" w:line="216" w:lineRule="auto"/>
              <w:ind w:left="124"/>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100≤X＜1000</w:t>
            </w:r>
          </w:p>
        </w:tc>
        <w:tc>
          <w:tcPr>
            <w:tcW w:w="1442" w:type="dxa"/>
          </w:tcPr>
          <w:p w14:paraId="65F29739">
            <w:pPr>
              <w:spacing w:before="29" w:line="216"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X＜100</w:t>
            </w:r>
          </w:p>
        </w:tc>
      </w:tr>
      <w:tr w14:paraId="0A5D70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continue"/>
            <w:tcBorders>
              <w:top w:val="nil"/>
            </w:tcBorders>
          </w:tcPr>
          <w:p w14:paraId="528B79A0">
            <w:pPr>
              <w:rPr>
                <w:color w:val="auto"/>
                <w:highlight w:val="none"/>
              </w:rPr>
            </w:pPr>
          </w:p>
        </w:tc>
        <w:tc>
          <w:tcPr>
            <w:tcW w:w="1558" w:type="dxa"/>
          </w:tcPr>
          <w:p w14:paraId="642A0C4E">
            <w:pPr>
              <w:spacing w:before="30" w:line="214" w:lineRule="auto"/>
              <w:ind w:left="119"/>
              <w:rPr>
                <w:rFonts w:hint="eastAsia" w:ascii="仿宋" w:hAnsi="仿宋" w:eastAsia="仿宋" w:cs="仿宋"/>
                <w:color w:val="auto"/>
                <w:sz w:val="17"/>
                <w:szCs w:val="17"/>
                <w:highlight w:val="none"/>
              </w:rPr>
            </w:pPr>
            <w:r>
              <w:rPr>
                <w:rFonts w:ascii="仿宋" w:hAnsi="仿宋" w:eastAsia="仿宋" w:cs="仿宋"/>
                <w:color w:val="auto"/>
                <w:spacing w:val="6"/>
                <w:sz w:val="17"/>
                <w:szCs w:val="17"/>
                <w:highlight w:val="none"/>
              </w:rPr>
              <w:t>资产总额（Z）</w:t>
            </w:r>
          </w:p>
        </w:tc>
        <w:tc>
          <w:tcPr>
            <w:tcW w:w="736" w:type="dxa"/>
          </w:tcPr>
          <w:p w14:paraId="5E2A3C71">
            <w:pPr>
              <w:spacing w:before="30" w:line="214" w:lineRule="auto"/>
              <w:ind w:left="120"/>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万元</w:t>
            </w:r>
          </w:p>
        </w:tc>
        <w:tc>
          <w:tcPr>
            <w:tcW w:w="2135" w:type="dxa"/>
          </w:tcPr>
          <w:p w14:paraId="3D03F5B6">
            <w:pPr>
              <w:spacing w:before="30" w:line="214" w:lineRule="auto"/>
              <w:ind w:left="120"/>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5000≤Z＜10000</w:t>
            </w:r>
          </w:p>
        </w:tc>
        <w:tc>
          <w:tcPr>
            <w:tcW w:w="1874" w:type="dxa"/>
          </w:tcPr>
          <w:p w14:paraId="6E67FBEF">
            <w:pPr>
              <w:spacing w:before="30" w:line="214" w:lineRule="auto"/>
              <w:ind w:left="119"/>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2000≤Y＜5000</w:t>
            </w:r>
          </w:p>
        </w:tc>
        <w:tc>
          <w:tcPr>
            <w:tcW w:w="1442" w:type="dxa"/>
          </w:tcPr>
          <w:p w14:paraId="496389E3">
            <w:pPr>
              <w:spacing w:before="30" w:line="214" w:lineRule="auto"/>
              <w:ind w:left="115"/>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Y＜2000</w:t>
            </w:r>
          </w:p>
        </w:tc>
      </w:tr>
      <w:tr w14:paraId="52D4ED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restart"/>
            <w:tcBorders>
              <w:bottom w:val="nil"/>
            </w:tcBorders>
          </w:tcPr>
          <w:p w14:paraId="7BF6A164">
            <w:pPr>
              <w:spacing w:before="152" w:line="227" w:lineRule="auto"/>
              <w:ind w:left="501"/>
              <w:rPr>
                <w:rFonts w:hint="eastAsia" w:ascii="仿宋" w:hAnsi="仿宋" w:eastAsia="仿宋" w:cs="仿宋"/>
                <w:color w:val="auto"/>
                <w:sz w:val="17"/>
                <w:szCs w:val="17"/>
                <w:highlight w:val="none"/>
              </w:rPr>
            </w:pPr>
            <w:r>
              <w:rPr>
                <w:rFonts w:ascii="仿宋" w:hAnsi="仿宋" w:eastAsia="仿宋" w:cs="仿宋"/>
                <w:color w:val="auto"/>
                <w:spacing w:val="7"/>
                <w:sz w:val="17"/>
                <w:szCs w:val="17"/>
                <w:highlight w:val="none"/>
                <w14:textOutline w14:w="3289" w14:cap="flat" w14:cmpd="sng" w14:algn="ctr">
                  <w14:solidFill>
                    <w14:srgbClr w14:val="000000"/>
                  </w14:solidFill>
                  <w14:prstDash w14:val="solid"/>
                  <w14:miter w14:val="0"/>
                </w14:textOutline>
              </w:rPr>
              <w:t>物业管理</w:t>
            </w:r>
          </w:p>
        </w:tc>
        <w:tc>
          <w:tcPr>
            <w:tcW w:w="1558" w:type="dxa"/>
          </w:tcPr>
          <w:p w14:paraId="7A743D67">
            <w:pPr>
              <w:spacing w:before="30" w:line="215" w:lineRule="auto"/>
              <w:ind w:left="115"/>
              <w:rPr>
                <w:rFonts w:hint="eastAsia" w:ascii="仿宋" w:hAnsi="仿宋" w:eastAsia="仿宋" w:cs="仿宋"/>
                <w:color w:val="auto"/>
                <w:sz w:val="17"/>
                <w:szCs w:val="17"/>
                <w:highlight w:val="none"/>
              </w:rPr>
            </w:pPr>
            <w:r>
              <w:rPr>
                <w:rFonts w:ascii="仿宋" w:hAnsi="仿宋" w:eastAsia="仿宋" w:cs="仿宋"/>
                <w:color w:val="auto"/>
                <w:spacing w:val="6"/>
                <w:sz w:val="17"/>
                <w:szCs w:val="17"/>
                <w:highlight w:val="none"/>
              </w:rPr>
              <w:t>从业人员（X）</w:t>
            </w:r>
          </w:p>
        </w:tc>
        <w:tc>
          <w:tcPr>
            <w:tcW w:w="736" w:type="dxa"/>
          </w:tcPr>
          <w:p w14:paraId="16B9C20B">
            <w:pPr>
              <w:spacing w:before="30" w:line="215" w:lineRule="auto"/>
              <w:ind w:left="112"/>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人</w:t>
            </w:r>
          </w:p>
        </w:tc>
        <w:tc>
          <w:tcPr>
            <w:tcW w:w="2135" w:type="dxa"/>
          </w:tcPr>
          <w:p w14:paraId="74F359B1">
            <w:pPr>
              <w:spacing w:before="30" w:line="215" w:lineRule="auto"/>
              <w:ind w:left="12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300≤X＜1000</w:t>
            </w:r>
          </w:p>
        </w:tc>
        <w:tc>
          <w:tcPr>
            <w:tcW w:w="1874" w:type="dxa"/>
          </w:tcPr>
          <w:p w14:paraId="360603E6">
            <w:pPr>
              <w:spacing w:before="30" w:line="215" w:lineRule="auto"/>
              <w:ind w:left="124"/>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100≤X＜300</w:t>
            </w:r>
          </w:p>
        </w:tc>
        <w:tc>
          <w:tcPr>
            <w:tcW w:w="1442" w:type="dxa"/>
          </w:tcPr>
          <w:p w14:paraId="73CE7E7B">
            <w:pPr>
              <w:spacing w:before="30" w:line="215"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X＜100</w:t>
            </w:r>
          </w:p>
        </w:tc>
      </w:tr>
      <w:tr w14:paraId="29FCD2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continue"/>
            <w:tcBorders>
              <w:top w:val="nil"/>
            </w:tcBorders>
          </w:tcPr>
          <w:p w14:paraId="164F9BBF">
            <w:pPr>
              <w:rPr>
                <w:color w:val="auto"/>
                <w:highlight w:val="none"/>
              </w:rPr>
            </w:pPr>
          </w:p>
        </w:tc>
        <w:tc>
          <w:tcPr>
            <w:tcW w:w="1558" w:type="dxa"/>
          </w:tcPr>
          <w:p w14:paraId="5739F800">
            <w:pPr>
              <w:spacing w:before="30" w:line="215" w:lineRule="auto"/>
              <w:ind w:left="123"/>
              <w:rPr>
                <w:rFonts w:hint="eastAsia" w:ascii="仿宋" w:hAnsi="仿宋" w:eastAsia="仿宋" w:cs="仿宋"/>
                <w:color w:val="auto"/>
                <w:sz w:val="17"/>
                <w:szCs w:val="17"/>
                <w:highlight w:val="none"/>
              </w:rPr>
            </w:pPr>
            <w:r>
              <w:rPr>
                <w:rFonts w:ascii="仿宋" w:hAnsi="仿宋" w:eastAsia="仿宋" w:cs="仿宋"/>
                <w:color w:val="auto"/>
                <w:spacing w:val="5"/>
                <w:sz w:val="17"/>
                <w:szCs w:val="17"/>
                <w:highlight w:val="none"/>
              </w:rPr>
              <w:t>营业收入（Y）</w:t>
            </w:r>
          </w:p>
        </w:tc>
        <w:tc>
          <w:tcPr>
            <w:tcW w:w="736" w:type="dxa"/>
          </w:tcPr>
          <w:p w14:paraId="2D4CCBB3">
            <w:pPr>
              <w:spacing w:before="30" w:line="215" w:lineRule="auto"/>
              <w:ind w:left="120"/>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万元</w:t>
            </w:r>
          </w:p>
        </w:tc>
        <w:tc>
          <w:tcPr>
            <w:tcW w:w="2135" w:type="dxa"/>
          </w:tcPr>
          <w:p w14:paraId="4A354075">
            <w:pPr>
              <w:spacing w:before="30" w:line="215" w:lineRule="auto"/>
              <w:ind w:left="123"/>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1000≤Y＜5000</w:t>
            </w:r>
          </w:p>
        </w:tc>
        <w:tc>
          <w:tcPr>
            <w:tcW w:w="1874" w:type="dxa"/>
          </w:tcPr>
          <w:p w14:paraId="042DFDC5">
            <w:pPr>
              <w:spacing w:before="30" w:line="215" w:lineRule="auto"/>
              <w:ind w:left="121"/>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500≤Y＜1000</w:t>
            </w:r>
          </w:p>
        </w:tc>
        <w:tc>
          <w:tcPr>
            <w:tcW w:w="1442" w:type="dxa"/>
          </w:tcPr>
          <w:p w14:paraId="1BF9F0DF">
            <w:pPr>
              <w:spacing w:before="30" w:line="215"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Y＜500</w:t>
            </w:r>
          </w:p>
        </w:tc>
      </w:tr>
      <w:tr w14:paraId="48356A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9" w:hRule="atLeast"/>
        </w:trPr>
        <w:tc>
          <w:tcPr>
            <w:tcW w:w="1705" w:type="dxa"/>
            <w:vMerge w:val="restart"/>
            <w:tcBorders>
              <w:bottom w:val="nil"/>
            </w:tcBorders>
          </w:tcPr>
          <w:p w14:paraId="7D91302A">
            <w:pPr>
              <w:spacing w:before="154" w:line="227" w:lineRule="auto"/>
              <w:ind w:left="140"/>
              <w:rPr>
                <w:rFonts w:hint="eastAsia" w:ascii="仿宋" w:hAnsi="仿宋" w:eastAsia="仿宋" w:cs="仿宋"/>
                <w:color w:val="auto"/>
                <w:sz w:val="17"/>
                <w:szCs w:val="17"/>
                <w:highlight w:val="none"/>
              </w:rPr>
            </w:pPr>
            <w:r>
              <w:rPr>
                <w:rFonts w:ascii="仿宋" w:hAnsi="仿宋" w:eastAsia="仿宋" w:cs="仿宋"/>
                <w:color w:val="auto"/>
                <w:spacing w:val="9"/>
                <w:sz w:val="17"/>
                <w:szCs w:val="17"/>
                <w:highlight w:val="none"/>
                <w14:textOutline w14:w="3289" w14:cap="flat" w14:cmpd="sng" w14:algn="ctr">
                  <w14:solidFill>
                    <w14:srgbClr w14:val="000000"/>
                  </w14:solidFill>
                  <w14:prstDash w14:val="solid"/>
                  <w14:miter w14:val="0"/>
                </w14:textOutline>
              </w:rPr>
              <w:t>租赁和商务服务业</w:t>
            </w:r>
          </w:p>
        </w:tc>
        <w:tc>
          <w:tcPr>
            <w:tcW w:w="1558" w:type="dxa"/>
          </w:tcPr>
          <w:p w14:paraId="68AC3463">
            <w:pPr>
              <w:spacing w:before="31" w:line="214" w:lineRule="auto"/>
              <w:ind w:left="115"/>
              <w:rPr>
                <w:rFonts w:hint="eastAsia" w:ascii="仿宋" w:hAnsi="仿宋" w:eastAsia="仿宋" w:cs="仿宋"/>
                <w:color w:val="auto"/>
                <w:sz w:val="17"/>
                <w:szCs w:val="17"/>
                <w:highlight w:val="none"/>
              </w:rPr>
            </w:pPr>
            <w:r>
              <w:rPr>
                <w:rFonts w:ascii="仿宋" w:hAnsi="仿宋" w:eastAsia="仿宋" w:cs="仿宋"/>
                <w:color w:val="auto"/>
                <w:spacing w:val="6"/>
                <w:sz w:val="17"/>
                <w:szCs w:val="17"/>
                <w:highlight w:val="none"/>
              </w:rPr>
              <w:t>从业人员（X）</w:t>
            </w:r>
          </w:p>
        </w:tc>
        <w:tc>
          <w:tcPr>
            <w:tcW w:w="736" w:type="dxa"/>
          </w:tcPr>
          <w:p w14:paraId="6D2C3974">
            <w:pPr>
              <w:spacing w:before="31" w:line="214" w:lineRule="auto"/>
              <w:ind w:left="112"/>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人</w:t>
            </w:r>
          </w:p>
        </w:tc>
        <w:tc>
          <w:tcPr>
            <w:tcW w:w="2135" w:type="dxa"/>
          </w:tcPr>
          <w:p w14:paraId="6EE22571">
            <w:pPr>
              <w:spacing w:before="31" w:line="214" w:lineRule="auto"/>
              <w:ind w:left="123"/>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100≤X＜300</w:t>
            </w:r>
          </w:p>
        </w:tc>
        <w:tc>
          <w:tcPr>
            <w:tcW w:w="1874" w:type="dxa"/>
          </w:tcPr>
          <w:p w14:paraId="2730C36F">
            <w:pPr>
              <w:spacing w:before="31" w:line="214" w:lineRule="auto"/>
              <w:ind w:left="124"/>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10≤X＜100</w:t>
            </w:r>
          </w:p>
        </w:tc>
        <w:tc>
          <w:tcPr>
            <w:tcW w:w="1442" w:type="dxa"/>
          </w:tcPr>
          <w:p w14:paraId="7B111D8E">
            <w:pPr>
              <w:spacing w:before="31" w:line="214"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X＜10</w:t>
            </w:r>
          </w:p>
        </w:tc>
      </w:tr>
      <w:tr w14:paraId="1D0248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 w:hRule="atLeast"/>
        </w:trPr>
        <w:tc>
          <w:tcPr>
            <w:tcW w:w="1705" w:type="dxa"/>
            <w:vMerge w:val="continue"/>
            <w:tcBorders>
              <w:top w:val="nil"/>
            </w:tcBorders>
          </w:tcPr>
          <w:p w14:paraId="7CFA0318">
            <w:pPr>
              <w:rPr>
                <w:color w:val="auto"/>
                <w:highlight w:val="none"/>
              </w:rPr>
            </w:pPr>
          </w:p>
        </w:tc>
        <w:tc>
          <w:tcPr>
            <w:tcW w:w="1558" w:type="dxa"/>
          </w:tcPr>
          <w:p w14:paraId="61D9F673">
            <w:pPr>
              <w:spacing w:before="30" w:line="215" w:lineRule="auto"/>
              <w:ind w:left="119"/>
              <w:rPr>
                <w:rFonts w:hint="eastAsia" w:ascii="仿宋" w:hAnsi="仿宋" w:eastAsia="仿宋" w:cs="仿宋"/>
                <w:color w:val="auto"/>
                <w:sz w:val="17"/>
                <w:szCs w:val="17"/>
                <w:highlight w:val="none"/>
              </w:rPr>
            </w:pPr>
            <w:r>
              <w:rPr>
                <w:rFonts w:ascii="仿宋" w:hAnsi="仿宋" w:eastAsia="仿宋" w:cs="仿宋"/>
                <w:color w:val="auto"/>
                <w:spacing w:val="6"/>
                <w:sz w:val="17"/>
                <w:szCs w:val="17"/>
                <w:highlight w:val="none"/>
              </w:rPr>
              <w:t>资产总额（Z）</w:t>
            </w:r>
          </w:p>
        </w:tc>
        <w:tc>
          <w:tcPr>
            <w:tcW w:w="736" w:type="dxa"/>
          </w:tcPr>
          <w:p w14:paraId="1F3232D5">
            <w:pPr>
              <w:spacing w:before="30" w:line="215" w:lineRule="auto"/>
              <w:ind w:left="120"/>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万元</w:t>
            </w:r>
          </w:p>
        </w:tc>
        <w:tc>
          <w:tcPr>
            <w:tcW w:w="2135" w:type="dxa"/>
          </w:tcPr>
          <w:p w14:paraId="6F9A4193">
            <w:pPr>
              <w:spacing w:before="30" w:line="215" w:lineRule="auto"/>
              <w:ind w:left="120"/>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8000≤Z＜120000</w:t>
            </w:r>
          </w:p>
        </w:tc>
        <w:tc>
          <w:tcPr>
            <w:tcW w:w="1874" w:type="dxa"/>
          </w:tcPr>
          <w:p w14:paraId="6E6FD78B">
            <w:pPr>
              <w:spacing w:before="30" w:line="215" w:lineRule="auto"/>
              <w:ind w:left="124"/>
              <w:rPr>
                <w:rFonts w:hint="eastAsia" w:ascii="仿宋" w:hAnsi="仿宋" w:eastAsia="仿宋" w:cs="仿宋"/>
                <w:color w:val="auto"/>
                <w:sz w:val="17"/>
                <w:szCs w:val="17"/>
                <w:highlight w:val="none"/>
              </w:rPr>
            </w:pPr>
            <w:r>
              <w:rPr>
                <w:rFonts w:ascii="仿宋" w:hAnsi="仿宋" w:eastAsia="仿宋" w:cs="仿宋"/>
                <w:color w:val="auto"/>
                <w:spacing w:val="4"/>
                <w:sz w:val="17"/>
                <w:szCs w:val="17"/>
                <w:highlight w:val="none"/>
              </w:rPr>
              <w:t>100≤Z＜8000</w:t>
            </w:r>
          </w:p>
        </w:tc>
        <w:tc>
          <w:tcPr>
            <w:tcW w:w="1442" w:type="dxa"/>
          </w:tcPr>
          <w:p w14:paraId="1A0B6A2D">
            <w:pPr>
              <w:spacing w:before="30" w:line="215"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Y＜100</w:t>
            </w:r>
          </w:p>
        </w:tc>
      </w:tr>
      <w:tr w14:paraId="724369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3" w:hRule="atLeast"/>
        </w:trPr>
        <w:tc>
          <w:tcPr>
            <w:tcW w:w="1705" w:type="dxa"/>
          </w:tcPr>
          <w:p w14:paraId="7D6F2D2A">
            <w:pPr>
              <w:spacing w:before="31" w:line="219" w:lineRule="auto"/>
              <w:ind w:left="227"/>
              <w:rPr>
                <w:rFonts w:hint="eastAsia" w:ascii="仿宋" w:hAnsi="仿宋" w:eastAsia="仿宋" w:cs="仿宋"/>
                <w:color w:val="auto"/>
                <w:sz w:val="17"/>
                <w:szCs w:val="17"/>
                <w:highlight w:val="none"/>
              </w:rPr>
            </w:pPr>
            <w:r>
              <w:rPr>
                <w:rFonts w:ascii="仿宋" w:hAnsi="仿宋" w:eastAsia="仿宋" w:cs="仿宋"/>
                <w:color w:val="auto"/>
                <w:spacing w:val="9"/>
                <w:sz w:val="17"/>
                <w:szCs w:val="17"/>
                <w:highlight w:val="none"/>
                <w14:textOutline w14:w="3289" w14:cap="flat" w14:cmpd="sng" w14:algn="ctr">
                  <w14:solidFill>
                    <w14:srgbClr w14:val="000000"/>
                  </w14:solidFill>
                  <w14:prstDash w14:val="solid"/>
                  <w14:miter w14:val="0"/>
                </w14:textOutline>
              </w:rPr>
              <w:t>其他未列明行业</w:t>
            </w:r>
          </w:p>
        </w:tc>
        <w:tc>
          <w:tcPr>
            <w:tcW w:w="1558" w:type="dxa"/>
          </w:tcPr>
          <w:p w14:paraId="0B98FF50">
            <w:pPr>
              <w:spacing w:before="31" w:line="219" w:lineRule="auto"/>
              <w:ind w:left="115"/>
              <w:rPr>
                <w:rFonts w:hint="eastAsia" w:ascii="仿宋" w:hAnsi="仿宋" w:eastAsia="仿宋" w:cs="仿宋"/>
                <w:color w:val="auto"/>
                <w:sz w:val="17"/>
                <w:szCs w:val="17"/>
                <w:highlight w:val="none"/>
              </w:rPr>
            </w:pPr>
            <w:r>
              <w:rPr>
                <w:rFonts w:ascii="仿宋" w:hAnsi="仿宋" w:eastAsia="仿宋" w:cs="仿宋"/>
                <w:color w:val="auto"/>
                <w:spacing w:val="6"/>
                <w:sz w:val="17"/>
                <w:szCs w:val="17"/>
                <w:highlight w:val="none"/>
              </w:rPr>
              <w:t>从业人员（X）</w:t>
            </w:r>
          </w:p>
        </w:tc>
        <w:tc>
          <w:tcPr>
            <w:tcW w:w="736" w:type="dxa"/>
          </w:tcPr>
          <w:p w14:paraId="0441BCFD">
            <w:pPr>
              <w:spacing w:before="31" w:line="219" w:lineRule="auto"/>
              <w:ind w:left="112"/>
              <w:rPr>
                <w:rFonts w:hint="eastAsia" w:ascii="仿宋" w:hAnsi="仿宋" w:eastAsia="仿宋" w:cs="仿宋"/>
                <w:color w:val="auto"/>
                <w:sz w:val="17"/>
                <w:szCs w:val="17"/>
                <w:highlight w:val="none"/>
              </w:rPr>
            </w:pPr>
            <w:r>
              <w:rPr>
                <w:rFonts w:ascii="仿宋" w:hAnsi="仿宋" w:eastAsia="仿宋" w:cs="仿宋"/>
                <w:color w:val="auto"/>
                <w:spacing w:val="1"/>
                <w:sz w:val="17"/>
                <w:szCs w:val="17"/>
                <w:highlight w:val="none"/>
              </w:rPr>
              <w:t>人</w:t>
            </w:r>
          </w:p>
        </w:tc>
        <w:tc>
          <w:tcPr>
            <w:tcW w:w="2135" w:type="dxa"/>
          </w:tcPr>
          <w:p w14:paraId="7EF4AD32">
            <w:pPr>
              <w:spacing w:before="31" w:line="219" w:lineRule="auto"/>
              <w:ind w:left="123"/>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100≤X＜300</w:t>
            </w:r>
          </w:p>
        </w:tc>
        <w:tc>
          <w:tcPr>
            <w:tcW w:w="1874" w:type="dxa"/>
          </w:tcPr>
          <w:p w14:paraId="343AEE38">
            <w:pPr>
              <w:spacing w:before="31" w:line="219" w:lineRule="auto"/>
              <w:ind w:left="124"/>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10≤X＜100</w:t>
            </w:r>
          </w:p>
        </w:tc>
        <w:tc>
          <w:tcPr>
            <w:tcW w:w="1442" w:type="dxa"/>
          </w:tcPr>
          <w:p w14:paraId="1832BFEE">
            <w:pPr>
              <w:spacing w:before="31" w:line="219" w:lineRule="auto"/>
              <w:ind w:left="115"/>
              <w:rPr>
                <w:rFonts w:hint="eastAsia" w:ascii="仿宋" w:hAnsi="仿宋" w:eastAsia="仿宋" w:cs="仿宋"/>
                <w:color w:val="auto"/>
                <w:sz w:val="17"/>
                <w:szCs w:val="17"/>
                <w:highlight w:val="none"/>
              </w:rPr>
            </w:pPr>
            <w:r>
              <w:rPr>
                <w:rFonts w:ascii="仿宋" w:hAnsi="仿宋" w:eastAsia="仿宋" w:cs="仿宋"/>
                <w:color w:val="auto"/>
                <w:spacing w:val="3"/>
                <w:sz w:val="17"/>
                <w:szCs w:val="17"/>
                <w:highlight w:val="none"/>
              </w:rPr>
              <w:t>X＜10</w:t>
            </w:r>
          </w:p>
        </w:tc>
      </w:tr>
    </w:tbl>
    <w:p w14:paraId="4BD10D38">
      <w:pPr>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lang w:eastAsia="zh-CN"/>
        </w:rPr>
        <w:t>说明：上述标准参照《关于印发中小企业划型标准规定的通知》（工信部联企业[2011]300号） ，大型、</w:t>
      </w:r>
    </w:p>
    <w:p w14:paraId="321AF87C">
      <w:pPr>
        <w:rPr>
          <w:color w:val="auto"/>
          <w:highlight w:val="none"/>
          <w:lang w:eastAsia="zh-CN"/>
        </w:rPr>
      </w:pPr>
      <w:r>
        <w:rPr>
          <w:rFonts w:hint="eastAsia" w:asciiTheme="minorEastAsia" w:hAnsiTheme="minorEastAsia" w:eastAsiaTheme="minorEastAsia" w:cstheme="minorEastAsia"/>
          <w:color w:val="auto"/>
          <w:highlight w:val="none"/>
          <w:lang w:eastAsia="zh-CN"/>
        </w:rPr>
        <w:t>中型和小型企业须同时满足所列指标的下限， 否则下划一档；微型企业只须满足所列指标中的一项即可</w:t>
      </w:r>
      <w:r>
        <w:rPr>
          <w:color w:val="auto"/>
          <w:highlight w:val="none"/>
        </w:rPr>
        <w:drawing>
          <wp:anchor distT="0" distB="0" distL="0" distR="0" simplePos="0" relativeHeight="251659264" behindDoc="0" locked="0" layoutInCell="0" allowOverlap="1">
            <wp:simplePos x="0" y="0"/>
            <wp:positionH relativeFrom="page">
              <wp:posOffset>643890</wp:posOffset>
            </wp:positionH>
            <wp:positionV relativeFrom="page">
              <wp:posOffset>720725</wp:posOffset>
            </wp:positionV>
            <wp:extent cx="6271260" cy="12065"/>
            <wp:effectExtent l="0" t="0" r="0" b="0"/>
            <wp:wrapNone/>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27"/>
                    <a:stretch>
                      <a:fillRect/>
                    </a:stretch>
                  </pic:blipFill>
                  <pic:spPr>
                    <a:xfrm>
                      <a:off x="0" y="0"/>
                      <a:ext cx="6271160" cy="12193"/>
                    </a:xfrm>
                    <a:prstGeom prst="rect">
                      <a:avLst/>
                    </a:prstGeom>
                  </pic:spPr>
                </pic:pic>
              </a:graphicData>
            </a:graphic>
          </wp:anchor>
        </w:drawing>
      </w:r>
      <w:r>
        <w:rPr>
          <w:rFonts w:hint="eastAsia" w:asciiTheme="minorEastAsia" w:hAnsiTheme="minorEastAsia" w:eastAsiaTheme="minorEastAsia" w:cstheme="minorEastAsia"/>
          <w:color w:val="auto"/>
          <w:highlight w:val="none"/>
          <w:lang w:eastAsia="zh-CN"/>
        </w:rPr>
        <w:t>。</w:t>
      </w:r>
    </w:p>
    <w:p w14:paraId="681602F3">
      <w:pPr>
        <w:pStyle w:val="9"/>
        <w:spacing w:line="279" w:lineRule="auto"/>
        <w:rPr>
          <w:color w:val="auto"/>
          <w:highlight w:val="none"/>
          <w:lang w:eastAsia="zh-CN"/>
        </w:rPr>
      </w:pPr>
    </w:p>
    <w:p w14:paraId="2C3043FF">
      <w:pPr>
        <w:pStyle w:val="3"/>
        <w:spacing w:before="110" w:line="240" w:lineRule="auto"/>
        <w:jc w:val="center"/>
        <w:rPr>
          <w:color w:val="auto"/>
          <w:highlight w:val="none"/>
          <w:lang w:eastAsia="zh-CN"/>
        </w:rPr>
      </w:pPr>
      <w:bookmarkStart w:id="56" w:name="bookmark8"/>
      <w:bookmarkEnd w:id="56"/>
      <w:bookmarkStart w:id="57" w:name="_Toc1940"/>
      <w:r>
        <w:rPr>
          <w:color w:val="auto"/>
          <w:highlight w:val="none"/>
          <w:lang w:eastAsia="zh-CN"/>
        </w:rPr>
        <w:t>第三章采购需求</w:t>
      </w:r>
      <w:bookmarkEnd w:id="57"/>
    </w:p>
    <w:p w14:paraId="098454C6">
      <w:pPr>
        <w:pStyle w:val="20"/>
        <w:snapToGrid w:val="0"/>
        <w:spacing w:line="360" w:lineRule="auto"/>
        <w:ind w:firstLine="482" w:firstLineChars="200"/>
        <w:jc w:val="both"/>
        <w:outlineLvl w:val="1"/>
        <w:rPr>
          <w:rFonts w:hint="eastAsia" w:asciiTheme="minorEastAsia" w:hAnsiTheme="minorEastAsia" w:eastAsiaTheme="minorEastAsia" w:cstheme="minorEastAsia"/>
          <w:b/>
          <w:bCs/>
          <w:color w:val="auto"/>
          <w:kern w:val="2"/>
          <w:sz w:val="24"/>
          <w:szCs w:val="24"/>
          <w:highlight w:val="none"/>
        </w:rPr>
      </w:pPr>
      <w:bookmarkStart w:id="58" w:name="_Toc24435"/>
      <w:r>
        <w:rPr>
          <w:rFonts w:hint="eastAsia" w:asciiTheme="minorEastAsia" w:hAnsiTheme="minorEastAsia" w:eastAsiaTheme="minorEastAsia" w:cstheme="minorEastAsia"/>
          <w:b/>
          <w:bCs/>
          <w:color w:val="auto"/>
          <w:kern w:val="2"/>
          <w:sz w:val="24"/>
          <w:szCs w:val="24"/>
          <w:highlight w:val="none"/>
        </w:rPr>
        <w:t>一、采购需求</w:t>
      </w:r>
      <w:bookmarkEnd w:id="58"/>
    </w:p>
    <w:p w14:paraId="2E6E9B27">
      <w:pPr>
        <w:pStyle w:val="20"/>
        <w:numPr>
          <w:ilvl w:val="255"/>
          <w:numId w:val="0"/>
        </w:numPr>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新疆出入境边防检查总站乌鲁木齐警犬训练基地购置153</w:t>
      </w:r>
      <w:r>
        <w:rPr>
          <w:rFonts w:hint="eastAsia" w:asciiTheme="minorEastAsia" w:hAnsiTheme="minorEastAsia" w:eastAsiaTheme="minorEastAsia" w:cstheme="minorEastAsia"/>
          <w:color w:val="auto"/>
          <w:spacing w:val="9"/>
          <w:sz w:val="24"/>
          <w:szCs w:val="24"/>
          <w:highlight w:val="none"/>
        </w:rPr>
        <w:t>头待</w:t>
      </w:r>
      <w:r>
        <w:rPr>
          <w:rFonts w:hint="eastAsia" w:asciiTheme="minorEastAsia" w:hAnsiTheme="minorEastAsia" w:eastAsiaTheme="minorEastAsia" w:cstheme="minorEastAsia"/>
          <w:color w:val="auto"/>
          <w:kern w:val="2"/>
          <w:sz w:val="24"/>
          <w:szCs w:val="24"/>
          <w:highlight w:val="none"/>
        </w:rPr>
        <w:t>训警犬，其中：总站乌鲁木齐警犬训练基地购置137</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待训警犬，为山东出入境边防检查总站9个边检站代采待训警犬16</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。具体品种及数量如下：</w:t>
      </w:r>
    </w:p>
    <w:p w14:paraId="545C940C">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（一）品种：东德牧羊犬；马里努阿犬；史宾格犬；新疆牧羊犬；拉布拉多犬。</w:t>
      </w:r>
    </w:p>
    <w:p w14:paraId="5E4FE9DC">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（二）年龄：</w:t>
      </w:r>
      <w:r>
        <w:rPr>
          <w:rFonts w:hint="eastAsia" w:asciiTheme="minorEastAsia" w:hAnsiTheme="minorEastAsia" w:eastAsiaTheme="minorEastAsia" w:cstheme="minorEastAsia"/>
          <w:color w:val="auto"/>
          <w:kern w:val="28"/>
          <w:sz w:val="24"/>
          <w:szCs w:val="24"/>
          <w:highlight w:val="none"/>
        </w:rPr>
        <w:t>8个月-20个月</w:t>
      </w:r>
      <w:r>
        <w:rPr>
          <w:rFonts w:hint="eastAsia" w:asciiTheme="minorEastAsia" w:hAnsiTheme="minorEastAsia" w:eastAsiaTheme="minorEastAsia" w:cstheme="minorEastAsia"/>
          <w:color w:val="auto"/>
          <w:sz w:val="24"/>
          <w:szCs w:val="24"/>
          <w:highlight w:val="none"/>
        </w:rPr>
        <w:t>。</w:t>
      </w:r>
    </w:p>
    <w:p w14:paraId="22F7B3C6">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（三）数量：153</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；其中乌鲁木齐警犬训练基地137</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；山东出入境边防检查总站9个边检站待采待训警犬16</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；分别为：东德牧羊犬75</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、马里努阿犬66</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、史宾格犬5</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、新疆牧羊犬2</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一公一母、拉布拉多犬5头。具体分配为：</w:t>
      </w:r>
    </w:p>
    <w:p w14:paraId="3F2ED4FF">
      <w:pPr>
        <w:rPr>
          <w:rFonts w:hint="eastAsia" w:asciiTheme="minorEastAsia" w:hAnsiTheme="minorEastAsia" w:eastAsiaTheme="minorEastAsia" w:cstheme="minorEastAsia"/>
          <w:color w:val="auto"/>
          <w:spacing w:val="-2"/>
          <w:sz w:val="24"/>
          <w:szCs w:val="24"/>
          <w:highlight w:val="none"/>
          <w:lang w:eastAsia="zh-CN"/>
          <w14:textOutline w14:w="5130" w14:cap="flat" w14:cmpd="sng" w14:algn="ctr">
            <w14:solidFill>
              <w14:srgbClr w14:val="000000"/>
            </w14:solidFill>
            <w14:prstDash w14:val="solid"/>
            <w14:miter w14:val="0"/>
          </w14:textOutline>
        </w:rPr>
      </w:pPr>
      <w:r>
        <w:rPr>
          <w:rFonts w:hint="eastAsia" w:asciiTheme="minorEastAsia" w:hAnsiTheme="minorEastAsia" w:eastAsiaTheme="minorEastAsia" w:cstheme="minorEastAsia"/>
          <w:color w:val="auto"/>
          <w:spacing w:val="-2"/>
          <w:sz w:val="24"/>
          <w:szCs w:val="24"/>
          <w:highlight w:val="none"/>
          <w:lang w:eastAsia="zh-CN"/>
          <w14:textOutline w14:w="5130" w14:cap="flat" w14:cmpd="sng" w14:algn="ctr">
            <w14:solidFill>
              <w14:srgbClr w14:val="000000"/>
            </w14:solidFill>
            <w14:prstDash w14:val="solid"/>
            <w14:miter w14:val="0"/>
          </w14:textOutline>
        </w:rPr>
        <w:t>（1）乌鲁木齐警犬训练基地</w:t>
      </w:r>
    </w:p>
    <w:p w14:paraId="1F5807A7">
      <w:pPr>
        <w:pStyle w:val="10"/>
        <w:rPr>
          <w:rFonts w:hint="eastAsia" w:asciiTheme="minorEastAsia" w:hAnsiTheme="minorEastAsia" w:eastAsiaTheme="minorEastAsia" w:cstheme="minorEastAsia"/>
          <w:color w:val="auto"/>
          <w:sz w:val="24"/>
          <w:szCs w:val="24"/>
          <w:highlight w:val="none"/>
        </w:rPr>
      </w:pPr>
    </w:p>
    <w:tbl>
      <w:tblPr>
        <w:tblStyle w:val="14"/>
        <w:tblW w:w="4994"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30" w:type="dxa"/>
          <w:bottom w:w="0" w:type="dxa"/>
          <w:right w:w="30" w:type="dxa"/>
        </w:tblCellMar>
      </w:tblPr>
      <w:tblGrid>
        <w:gridCol w:w="496"/>
        <w:gridCol w:w="1271"/>
        <w:gridCol w:w="1047"/>
        <w:gridCol w:w="1813"/>
        <w:gridCol w:w="840"/>
        <w:gridCol w:w="1457"/>
        <w:gridCol w:w="2573"/>
      </w:tblGrid>
      <w:tr w14:paraId="7E63B1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34" w:hRule="atLeast"/>
          <w:jc w:val="center"/>
        </w:trPr>
        <w:tc>
          <w:tcPr>
            <w:tcW w:w="261" w:type="pct"/>
            <w:vAlign w:val="center"/>
          </w:tcPr>
          <w:p w14:paraId="3A4662BA">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序号</w:t>
            </w:r>
          </w:p>
        </w:tc>
        <w:tc>
          <w:tcPr>
            <w:tcW w:w="669" w:type="pct"/>
            <w:vAlign w:val="center"/>
          </w:tcPr>
          <w:p w14:paraId="595CFDA0">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犬种</w:t>
            </w:r>
          </w:p>
        </w:tc>
        <w:tc>
          <w:tcPr>
            <w:tcW w:w="551" w:type="pct"/>
            <w:vAlign w:val="center"/>
          </w:tcPr>
          <w:p w14:paraId="6E8EEE8C">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性别</w:t>
            </w:r>
          </w:p>
        </w:tc>
        <w:tc>
          <w:tcPr>
            <w:tcW w:w="952" w:type="pct"/>
            <w:vAlign w:val="center"/>
          </w:tcPr>
          <w:p w14:paraId="246D3B69">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年龄</w:t>
            </w:r>
          </w:p>
        </w:tc>
        <w:tc>
          <w:tcPr>
            <w:tcW w:w="442" w:type="pct"/>
            <w:vAlign w:val="center"/>
          </w:tcPr>
          <w:p w14:paraId="2B8BA0C9">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数量</w:t>
            </w:r>
          </w:p>
        </w:tc>
        <w:tc>
          <w:tcPr>
            <w:tcW w:w="767" w:type="pct"/>
            <w:vAlign w:val="center"/>
          </w:tcPr>
          <w:p w14:paraId="7AD52F59">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单价限价</w:t>
            </w:r>
          </w:p>
        </w:tc>
        <w:tc>
          <w:tcPr>
            <w:tcW w:w="1354" w:type="pct"/>
            <w:vAlign w:val="center"/>
          </w:tcPr>
          <w:p w14:paraId="7E961040">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备注</w:t>
            </w:r>
          </w:p>
        </w:tc>
      </w:tr>
      <w:tr w14:paraId="35F295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34" w:hRule="atLeast"/>
          <w:jc w:val="center"/>
        </w:trPr>
        <w:tc>
          <w:tcPr>
            <w:tcW w:w="261" w:type="pct"/>
            <w:vAlign w:val="center"/>
          </w:tcPr>
          <w:p w14:paraId="7231FB4B">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1</w:t>
            </w:r>
          </w:p>
        </w:tc>
        <w:tc>
          <w:tcPr>
            <w:tcW w:w="669" w:type="pct"/>
            <w:vAlign w:val="center"/>
          </w:tcPr>
          <w:p w14:paraId="302B7020">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sz w:val="24"/>
                <w:szCs w:val="24"/>
                <w:highlight w:val="none"/>
                <w:lang w:eastAsia="zh-CN" w:bidi="ar"/>
              </w:rPr>
              <w:t>东德牧羊犬</w:t>
            </w:r>
          </w:p>
        </w:tc>
        <w:tc>
          <w:tcPr>
            <w:tcW w:w="551" w:type="pct"/>
            <w:vAlign w:val="center"/>
          </w:tcPr>
          <w:p w14:paraId="03441E98">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公犬</w:t>
            </w:r>
          </w:p>
        </w:tc>
        <w:tc>
          <w:tcPr>
            <w:tcW w:w="952" w:type="pct"/>
            <w:vAlign w:val="center"/>
          </w:tcPr>
          <w:p w14:paraId="42405D38">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8个月-20个月</w:t>
            </w:r>
          </w:p>
        </w:tc>
        <w:tc>
          <w:tcPr>
            <w:tcW w:w="442" w:type="pct"/>
            <w:vAlign w:val="center"/>
          </w:tcPr>
          <w:p w14:paraId="5F705DF2">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70头</w:t>
            </w:r>
          </w:p>
        </w:tc>
        <w:tc>
          <w:tcPr>
            <w:tcW w:w="767" w:type="pct"/>
            <w:vAlign w:val="center"/>
          </w:tcPr>
          <w:p w14:paraId="7388FB38">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10000元</w:t>
            </w:r>
          </w:p>
        </w:tc>
        <w:tc>
          <w:tcPr>
            <w:tcW w:w="1354" w:type="pct"/>
            <w:vAlign w:val="center"/>
          </w:tcPr>
          <w:p w14:paraId="50DE9FCA">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乌鲁木齐警犬训练基地</w:t>
            </w:r>
          </w:p>
        </w:tc>
      </w:tr>
      <w:tr w14:paraId="5432B3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34" w:hRule="atLeast"/>
          <w:jc w:val="center"/>
        </w:trPr>
        <w:tc>
          <w:tcPr>
            <w:tcW w:w="261" w:type="pct"/>
            <w:vAlign w:val="center"/>
          </w:tcPr>
          <w:p w14:paraId="63B65835">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2</w:t>
            </w:r>
          </w:p>
        </w:tc>
        <w:tc>
          <w:tcPr>
            <w:tcW w:w="669" w:type="pct"/>
            <w:vAlign w:val="center"/>
          </w:tcPr>
          <w:p w14:paraId="1C4024EA">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sz w:val="24"/>
                <w:szCs w:val="24"/>
                <w:highlight w:val="none"/>
                <w:lang w:eastAsia="zh-CN" w:bidi="ar"/>
              </w:rPr>
              <w:t>马里努阿犬</w:t>
            </w:r>
          </w:p>
        </w:tc>
        <w:tc>
          <w:tcPr>
            <w:tcW w:w="551" w:type="pct"/>
            <w:vAlign w:val="center"/>
          </w:tcPr>
          <w:p w14:paraId="70CCC02F">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公犬</w:t>
            </w:r>
          </w:p>
        </w:tc>
        <w:tc>
          <w:tcPr>
            <w:tcW w:w="952" w:type="pct"/>
            <w:vAlign w:val="center"/>
          </w:tcPr>
          <w:p w14:paraId="7C2B635F">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lang w:eastAsia="zh-CN"/>
              </w:rPr>
              <w:t>8</w:t>
            </w:r>
            <w:r>
              <w:rPr>
                <w:rFonts w:hint="eastAsia" w:asciiTheme="minorEastAsia" w:hAnsiTheme="minorEastAsia" w:eastAsiaTheme="minorEastAsia" w:cstheme="minorEastAsia"/>
                <w:color w:val="auto"/>
                <w:kern w:val="28"/>
                <w:sz w:val="24"/>
                <w:szCs w:val="24"/>
                <w:highlight w:val="none"/>
              </w:rPr>
              <w:t>个月-20个月</w:t>
            </w:r>
          </w:p>
        </w:tc>
        <w:tc>
          <w:tcPr>
            <w:tcW w:w="442" w:type="pct"/>
            <w:vAlign w:val="center"/>
          </w:tcPr>
          <w:p w14:paraId="238932A6">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60头</w:t>
            </w:r>
          </w:p>
        </w:tc>
        <w:tc>
          <w:tcPr>
            <w:tcW w:w="767" w:type="pct"/>
            <w:vAlign w:val="center"/>
          </w:tcPr>
          <w:p w14:paraId="501D2D83">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10000元</w:t>
            </w:r>
          </w:p>
        </w:tc>
        <w:tc>
          <w:tcPr>
            <w:tcW w:w="1354" w:type="pct"/>
            <w:vAlign w:val="center"/>
          </w:tcPr>
          <w:p w14:paraId="1DB07CF1">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乌鲁木齐警犬训练基地</w:t>
            </w:r>
          </w:p>
        </w:tc>
      </w:tr>
      <w:tr w14:paraId="1824B1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09" w:hRule="atLeast"/>
          <w:jc w:val="center"/>
        </w:trPr>
        <w:tc>
          <w:tcPr>
            <w:tcW w:w="261" w:type="pct"/>
            <w:vAlign w:val="center"/>
          </w:tcPr>
          <w:p w14:paraId="09259429">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3</w:t>
            </w:r>
          </w:p>
        </w:tc>
        <w:tc>
          <w:tcPr>
            <w:tcW w:w="669" w:type="pct"/>
            <w:vAlign w:val="center"/>
          </w:tcPr>
          <w:p w14:paraId="7861C6B3">
            <w:pPr>
              <w:tabs>
                <w:tab w:val="left" w:pos="840"/>
              </w:tabs>
              <w:jc w:val="center"/>
              <w:rPr>
                <w:rFonts w:hint="eastAsia" w:asciiTheme="minorEastAsia" w:hAnsiTheme="minorEastAsia" w:eastAsiaTheme="minorEastAsia" w:cstheme="minorEastAsia"/>
                <w:color w:val="auto"/>
                <w:sz w:val="24"/>
                <w:szCs w:val="24"/>
                <w:highlight w:val="none"/>
                <w:lang w:eastAsia="zh-CN" w:bidi="ar"/>
              </w:rPr>
            </w:pPr>
            <w:r>
              <w:rPr>
                <w:rFonts w:hint="eastAsia" w:asciiTheme="minorEastAsia" w:hAnsiTheme="minorEastAsia" w:eastAsiaTheme="minorEastAsia" w:cstheme="minorEastAsia"/>
                <w:color w:val="auto"/>
                <w:sz w:val="24"/>
                <w:szCs w:val="24"/>
                <w:highlight w:val="none"/>
                <w:lang w:eastAsia="zh-CN" w:bidi="ar"/>
              </w:rPr>
              <w:t>史宾格犬</w:t>
            </w:r>
          </w:p>
        </w:tc>
        <w:tc>
          <w:tcPr>
            <w:tcW w:w="551" w:type="pct"/>
            <w:vAlign w:val="center"/>
          </w:tcPr>
          <w:p w14:paraId="7A06D392">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公犬</w:t>
            </w:r>
          </w:p>
        </w:tc>
        <w:tc>
          <w:tcPr>
            <w:tcW w:w="952" w:type="pct"/>
            <w:vAlign w:val="center"/>
          </w:tcPr>
          <w:p w14:paraId="634C2B43">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8个月-20个月</w:t>
            </w:r>
          </w:p>
        </w:tc>
        <w:tc>
          <w:tcPr>
            <w:tcW w:w="442" w:type="pct"/>
            <w:vAlign w:val="center"/>
          </w:tcPr>
          <w:p w14:paraId="024C6D66">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5头</w:t>
            </w:r>
          </w:p>
        </w:tc>
        <w:tc>
          <w:tcPr>
            <w:tcW w:w="767" w:type="pct"/>
            <w:vAlign w:val="center"/>
          </w:tcPr>
          <w:p w14:paraId="6A1FEB0F">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10000元</w:t>
            </w:r>
          </w:p>
        </w:tc>
        <w:tc>
          <w:tcPr>
            <w:tcW w:w="1354" w:type="pct"/>
            <w:vAlign w:val="center"/>
          </w:tcPr>
          <w:p w14:paraId="1B6DF37D">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乌鲁木齐警犬训练基地</w:t>
            </w:r>
          </w:p>
        </w:tc>
      </w:tr>
      <w:tr w14:paraId="40267D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73" w:hRule="atLeast"/>
          <w:jc w:val="center"/>
        </w:trPr>
        <w:tc>
          <w:tcPr>
            <w:tcW w:w="261" w:type="pct"/>
            <w:vAlign w:val="center"/>
          </w:tcPr>
          <w:p w14:paraId="4EDB319A">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4</w:t>
            </w:r>
          </w:p>
        </w:tc>
        <w:tc>
          <w:tcPr>
            <w:tcW w:w="669" w:type="pct"/>
            <w:vAlign w:val="center"/>
          </w:tcPr>
          <w:p w14:paraId="3CB08545">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lang w:eastAsia="zh-CN"/>
              </w:rPr>
              <w:t>新疆牧羊犬</w:t>
            </w:r>
          </w:p>
        </w:tc>
        <w:tc>
          <w:tcPr>
            <w:tcW w:w="551" w:type="pct"/>
            <w:vAlign w:val="center"/>
          </w:tcPr>
          <w:p w14:paraId="3BBFF7DD">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1公、1母</w:t>
            </w:r>
          </w:p>
        </w:tc>
        <w:tc>
          <w:tcPr>
            <w:tcW w:w="952" w:type="pct"/>
            <w:vAlign w:val="center"/>
          </w:tcPr>
          <w:p w14:paraId="60369418">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8个月-20个月</w:t>
            </w:r>
          </w:p>
        </w:tc>
        <w:tc>
          <w:tcPr>
            <w:tcW w:w="442" w:type="pct"/>
            <w:vAlign w:val="center"/>
          </w:tcPr>
          <w:p w14:paraId="0629B90F">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2头</w:t>
            </w:r>
          </w:p>
        </w:tc>
        <w:tc>
          <w:tcPr>
            <w:tcW w:w="767" w:type="pct"/>
            <w:vAlign w:val="center"/>
          </w:tcPr>
          <w:p w14:paraId="4B4BD27F">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9000元</w:t>
            </w:r>
          </w:p>
        </w:tc>
        <w:tc>
          <w:tcPr>
            <w:tcW w:w="1354" w:type="pct"/>
            <w:vAlign w:val="center"/>
          </w:tcPr>
          <w:p w14:paraId="31D6B5E2">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乌鲁木齐警犬训练基地</w:t>
            </w:r>
          </w:p>
        </w:tc>
      </w:tr>
      <w:tr w14:paraId="19F5CD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34" w:hRule="atLeast"/>
          <w:jc w:val="center"/>
        </w:trPr>
        <w:tc>
          <w:tcPr>
            <w:tcW w:w="2435" w:type="pct"/>
            <w:gridSpan w:val="4"/>
            <w:vAlign w:val="center"/>
          </w:tcPr>
          <w:p w14:paraId="3272FB32">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合计</w:t>
            </w:r>
          </w:p>
        </w:tc>
        <w:tc>
          <w:tcPr>
            <w:tcW w:w="442" w:type="pct"/>
            <w:vAlign w:val="center"/>
          </w:tcPr>
          <w:p w14:paraId="02EA14B4">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137头</w:t>
            </w:r>
          </w:p>
        </w:tc>
        <w:tc>
          <w:tcPr>
            <w:tcW w:w="767" w:type="pct"/>
            <w:vAlign w:val="center"/>
          </w:tcPr>
          <w:p w14:paraId="464209CE">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p>
        </w:tc>
        <w:tc>
          <w:tcPr>
            <w:tcW w:w="1354" w:type="pct"/>
            <w:vAlign w:val="center"/>
          </w:tcPr>
          <w:p w14:paraId="1575C7F0">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p>
        </w:tc>
      </w:tr>
    </w:tbl>
    <w:p w14:paraId="6FA4FCB8">
      <w:pPr>
        <w:rPr>
          <w:rFonts w:hint="eastAsia" w:asciiTheme="minorEastAsia" w:hAnsiTheme="minorEastAsia" w:eastAsiaTheme="minorEastAsia" w:cstheme="minorEastAsia"/>
          <w:color w:val="auto"/>
          <w:spacing w:val="-2"/>
          <w:sz w:val="24"/>
          <w:szCs w:val="24"/>
          <w:highlight w:val="none"/>
          <w:lang w:eastAsia="zh-CN"/>
          <w14:textOutline w14:w="5130" w14:cap="flat" w14:cmpd="sng" w14:algn="ctr">
            <w14:solidFill>
              <w14:srgbClr w14:val="000000"/>
            </w14:solidFill>
            <w14:prstDash w14:val="solid"/>
            <w14:miter w14:val="0"/>
          </w14:textOutline>
        </w:rPr>
      </w:pPr>
    </w:p>
    <w:p w14:paraId="412FCE8D">
      <w:pPr>
        <w:rPr>
          <w:rFonts w:hint="eastAsia" w:asciiTheme="minorEastAsia" w:hAnsiTheme="minorEastAsia" w:eastAsiaTheme="minorEastAsia" w:cstheme="minorEastAsia"/>
          <w:color w:val="auto"/>
          <w:spacing w:val="-2"/>
          <w:sz w:val="24"/>
          <w:szCs w:val="24"/>
          <w:highlight w:val="none"/>
          <w:lang w:eastAsia="zh-CN"/>
          <w14:textOutline w14:w="5130" w14:cap="flat" w14:cmpd="sng" w14:algn="ctr">
            <w14:solidFill>
              <w14:srgbClr w14:val="000000"/>
            </w14:solidFill>
            <w14:prstDash w14:val="solid"/>
            <w14:miter w14:val="0"/>
          </w14:textOutline>
        </w:rPr>
      </w:pPr>
      <w:r>
        <w:rPr>
          <w:rFonts w:hint="eastAsia" w:asciiTheme="minorEastAsia" w:hAnsiTheme="minorEastAsia" w:eastAsiaTheme="minorEastAsia" w:cstheme="minorEastAsia"/>
          <w:color w:val="auto"/>
          <w:spacing w:val="-2"/>
          <w:sz w:val="24"/>
          <w:szCs w:val="24"/>
          <w:highlight w:val="none"/>
          <w:lang w:eastAsia="zh-CN"/>
          <w14:textOutline w14:w="5130" w14:cap="flat" w14:cmpd="sng" w14:algn="ctr">
            <w14:solidFill>
              <w14:srgbClr w14:val="000000"/>
            </w14:solidFill>
            <w14:prstDash w14:val="solid"/>
            <w14:miter w14:val="0"/>
          </w14:textOutline>
        </w:rPr>
        <w:t>（2）山东出入境边防检查总站</w:t>
      </w:r>
    </w:p>
    <w:tbl>
      <w:tblPr>
        <w:tblStyle w:val="14"/>
        <w:tblW w:w="4994"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
      <w:tblGrid>
        <w:gridCol w:w="341"/>
        <w:gridCol w:w="1332"/>
        <w:gridCol w:w="599"/>
        <w:gridCol w:w="1543"/>
        <w:gridCol w:w="628"/>
        <w:gridCol w:w="921"/>
        <w:gridCol w:w="4133"/>
      </w:tblGrid>
      <w:tr w14:paraId="407D4B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34" w:hRule="atLeast"/>
          <w:jc w:val="center"/>
        </w:trPr>
        <w:tc>
          <w:tcPr>
            <w:tcW w:w="179" w:type="pct"/>
            <w:vAlign w:val="center"/>
          </w:tcPr>
          <w:p w14:paraId="0586F998">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序号</w:t>
            </w:r>
          </w:p>
        </w:tc>
        <w:tc>
          <w:tcPr>
            <w:tcW w:w="701" w:type="pct"/>
            <w:vAlign w:val="center"/>
          </w:tcPr>
          <w:p w14:paraId="203671DB">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犬种</w:t>
            </w:r>
          </w:p>
        </w:tc>
        <w:tc>
          <w:tcPr>
            <w:tcW w:w="315" w:type="pct"/>
            <w:vAlign w:val="center"/>
          </w:tcPr>
          <w:p w14:paraId="230E9631">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性别</w:t>
            </w:r>
          </w:p>
        </w:tc>
        <w:tc>
          <w:tcPr>
            <w:tcW w:w="811" w:type="pct"/>
            <w:vAlign w:val="center"/>
          </w:tcPr>
          <w:p w14:paraId="2A3648B6">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年龄</w:t>
            </w:r>
          </w:p>
        </w:tc>
        <w:tc>
          <w:tcPr>
            <w:tcW w:w="330" w:type="pct"/>
            <w:vAlign w:val="center"/>
          </w:tcPr>
          <w:p w14:paraId="212CE525">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数量</w:t>
            </w:r>
          </w:p>
        </w:tc>
        <w:tc>
          <w:tcPr>
            <w:tcW w:w="485" w:type="pct"/>
            <w:vAlign w:val="center"/>
          </w:tcPr>
          <w:p w14:paraId="4799056F">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lang w:eastAsia="zh-CN"/>
              </w:rPr>
              <w:t>单价限价</w:t>
            </w:r>
          </w:p>
        </w:tc>
        <w:tc>
          <w:tcPr>
            <w:tcW w:w="2175" w:type="pct"/>
            <w:vAlign w:val="center"/>
          </w:tcPr>
          <w:p w14:paraId="4874941E">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备注</w:t>
            </w:r>
          </w:p>
        </w:tc>
      </w:tr>
      <w:tr w14:paraId="429BB4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34" w:hRule="atLeast"/>
          <w:jc w:val="center"/>
        </w:trPr>
        <w:tc>
          <w:tcPr>
            <w:tcW w:w="179" w:type="pct"/>
            <w:vAlign w:val="center"/>
          </w:tcPr>
          <w:p w14:paraId="44236FCE">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1</w:t>
            </w:r>
          </w:p>
        </w:tc>
        <w:tc>
          <w:tcPr>
            <w:tcW w:w="701" w:type="pct"/>
            <w:vAlign w:val="center"/>
          </w:tcPr>
          <w:p w14:paraId="27B6A8C9">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sz w:val="24"/>
                <w:szCs w:val="24"/>
                <w:highlight w:val="none"/>
                <w:lang w:eastAsia="zh-CN" w:bidi="ar"/>
              </w:rPr>
              <w:t>东德牧羊犬</w:t>
            </w:r>
          </w:p>
        </w:tc>
        <w:tc>
          <w:tcPr>
            <w:tcW w:w="315" w:type="pct"/>
            <w:vAlign w:val="center"/>
          </w:tcPr>
          <w:p w14:paraId="10D297F3">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公犬</w:t>
            </w:r>
          </w:p>
        </w:tc>
        <w:tc>
          <w:tcPr>
            <w:tcW w:w="811" w:type="pct"/>
            <w:vAlign w:val="center"/>
          </w:tcPr>
          <w:p w14:paraId="1B361250">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8个月-20个月</w:t>
            </w:r>
          </w:p>
        </w:tc>
        <w:tc>
          <w:tcPr>
            <w:tcW w:w="330" w:type="pct"/>
            <w:vAlign w:val="center"/>
          </w:tcPr>
          <w:p w14:paraId="408D4713">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5头</w:t>
            </w:r>
          </w:p>
        </w:tc>
        <w:tc>
          <w:tcPr>
            <w:tcW w:w="485" w:type="pct"/>
            <w:vAlign w:val="center"/>
          </w:tcPr>
          <w:p w14:paraId="0FE8D00E">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10000元</w:t>
            </w:r>
          </w:p>
        </w:tc>
        <w:tc>
          <w:tcPr>
            <w:tcW w:w="2175" w:type="pct"/>
            <w:vAlign w:val="center"/>
          </w:tcPr>
          <w:p w14:paraId="35495E01">
            <w:pPr>
              <w:tabs>
                <w:tab w:val="left" w:pos="840"/>
              </w:tabs>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烟台出入境边防检查站2头、日照出入境边防检查站1头、龙口出入境边防检查站2头</w:t>
            </w:r>
          </w:p>
        </w:tc>
      </w:tr>
      <w:tr w14:paraId="6F6306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34" w:hRule="atLeast"/>
          <w:jc w:val="center"/>
        </w:trPr>
        <w:tc>
          <w:tcPr>
            <w:tcW w:w="179" w:type="pct"/>
            <w:vAlign w:val="center"/>
          </w:tcPr>
          <w:p w14:paraId="3E89B4F7">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2</w:t>
            </w:r>
          </w:p>
        </w:tc>
        <w:tc>
          <w:tcPr>
            <w:tcW w:w="701" w:type="pct"/>
            <w:vAlign w:val="center"/>
          </w:tcPr>
          <w:p w14:paraId="0CD8D45A">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sz w:val="24"/>
                <w:szCs w:val="24"/>
                <w:highlight w:val="none"/>
                <w:lang w:eastAsia="zh-CN" w:bidi="ar"/>
              </w:rPr>
              <w:t>马里努阿犬</w:t>
            </w:r>
          </w:p>
        </w:tc>
        <w:tc>
          <w:tcPr>
            <w:tcW w:w="315" w:type="pct"/>
            <w:vAlign w:val="center"/>
          </w:tcPr>
          <w:p w14:paraId="4E893C7C">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公犬</w:t>
            </w:r>
          </w:p>
        </w:tc>
        <w:tc>
          <w:tcPr>
            <w:tcW w:w="811" w:type="pct"/>
            <w:vAlign w:val="center"/>
          </w:tcPr>
          <w:p w14:paraId="52C18368">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8个月-20个月</w:t>
            </w:r>
          </w:p>
        </w:tc>
        <w:tc>
          <w:tcPr>
            <w:tcW w:w="330" w:type="pct"/>
            <w:vAlign w:val="center"/>
          </w:tcPr>
          <w:p w14:paraId="29ED2B7F">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6头</w:t>
            </w:r>
          </w:p>
        </w:tc>
        <w:tc>
          <w:tcPr>
            <w:tcW w:w="485" w:type="pct"/>
            <w:vAlign w:val="center"/>
          </w:tcPr>
          <w:p w14:paraId="6C525BE0">
            <w:pPr>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10000元</w:t>
            </w:r>
          </w:p>
        </w:tc>
        <w:tc>
          <w:tcPr>
            <w:tcW w:w="2175" w:type="pct"/>
            <w:vAlign w:val="center"/>
          </w:tcPr>
          <w:p w14:paraId="6A0EB969">
            <w:pPr>
              <w:tabs>
                <w:tab w:val="left" w:pos="840"/>
              </w:tabs>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青岛出入境边防检查站1头、威海出入境边防检查站2头、石岛出入境边防检查站1头、潍坊出入境边防检查站2头</w:t>
            </w:r>
          </w:p>
        </w:tc>
      </w:tr>
      <w:tr w14:paraId="77306C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64" w:hRule="atLeast"/>
          <w:jc w:val="center"/>
        </w:trPr>
        <w:tc>
          <w:tcPr>
            <w:tcW w:w="179" w:type="pct"/>
            <w:vAlign w:val="center"/>
          </w:tcPr>
          <w:p w14:paraId="23E9C58B">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3</w:t>
            </w:r>
          </w:p>
        </w:tc>
        <w:tc>
          <w:tcPr>
            <w:tcW w:w="701" w:type="pct"/>
            <w:vAlign w:val="center"/>
          </w:tcPr>
          <w:p w14:paraId="250B10EF">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sz w:val="24"/>
                <w:szCs w:val="24"/>
                <w:highlight w:val="none"/>
                <w:lang w:eastAsia="zh-CN" w:bidi="ar"/>
              </w:rPr>
              <w:t>拉布拉多犬</w:t>
            </w:r>
          </w:p>
        </w:tc>
        <w:tc>
          <w:tcPr>
            <w:tcW w:w="315" w:type="pct"/>
            <w:vAlign w:val="center"/>
          </w:tcPr>
          <w:p w14:paraId="1A3023AC">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公犬</w:t>
            </w:r>
          </w:p>
        </w:tc>
        <w:tc>
          <w:tcPr>
            <w:tcW w:w="811" w:type="pct"/>
            <w:vAlign w:val="center"/>
          </w:tcPr>
          <w:p w14:paraId="37088A36">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8个月-20个月</w:t>
            </w:r>
          </w:p>
        </w:tc>
        <w:tc>
          <w:tcPr>
            <w:tcW w:w="330" w:type="pct"/>
            <w:vAlign w:val="center"/>
          </w:tcPr>
          <w:p w14:paraId="16B812A3">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5头</w:t>
            </w:r>
          </w:p>
        </w:tc>
        <w:tc>
          <w:tcPr>
            <w:tcW w:w="485" w:type="pct"/>
            <w:vAlign w:val="center"/>
          </w:tcPr>
          <w:p w14:paraId="477A1723">
            <w:pPr>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10000元</w:t>
            </w:r>
          </w:p>
        </w:tc>
        <w:tc>
          <w:tcPr>
            <w:tcW w:w="2175" w:type="pct"/>
            <w:vAlign w:val="center"/>
          </w:tcPr>
          <w:p w14:paraId="2BDFFDDF">
            <w:pPr>
              <w:tabs>
                <w:tab w:val="left" w:pos="840"/>
              </w:tabs>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青岛出入境边防检查站1头、董家口出入境边防检查站2头、蓬莱出入境边防检查站2头</w:t>
            </w:r>
          </w:p>
        </w:tc>
      </w:tr>
      <w:tr w14:paraId="30CEDE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64" w:hRule="atLeast"/>
          <w:jc w:val="center"/>
        </w:trPr>
        <w:tc>
          <w:tcPr>
            <w:tcW w:w="2007" w:type="pct"/>
            <w:gridSpan w:val="4"/>
            <w:vAlign w:val="center"/>
          </w:tcPr>
          <w:p w14:paraId="5A8666D4">
            <w:pPr>
              <w:tabs>
                <w:tab w:val="left" w:pos="840"/>
              </w:tabs>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合计</w:t>
            </w:r>
          </w:p>
        </w:tc>
        <w:tc>
          <w:tcPr>
            <w:tcW w:w="330" w:type="pct"/>
            <w:vAlign w:val="center"/>
          </w:tcPr>
          <w:p w14:paraId="1D74FC6E">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16头</w:t>
            </w:r>
          </w:p>
        </w:tc>
        <w:tc>
          <w:tcPr>
            <w:tcW w:w="485" w:type="pct"/>
            <w:vAlign w:val="center"/>
          </w:tcPr>
          <w:p w14:paraId="559A426D">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p>
        </w:tc>
        <w:tc>
          <w:tcPr>
            <w:tcW w:w="2175" w:type="pct"/>
            <w:vAlign w:val="center"/>
          </w:tcPr>
          <w:p w14:paraId="17484ADE">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p>
        </w:tc>
      </w:tr>
    </w:tbl>
    <w:p w14:paraId="2D019B51">
      <w:pPr>
        <w:pStyle w:val="20"/>
        <w:snapToGrid w:val="0"/>
        <w:spacing w:line="360" w:lineRule="auto"/>
        <w:ind w:firstLine="482" w:firstLineChars="200"/>
        <w:jc w:val="both"/>
        <w:outlineLvl w:val="1"/>
        <w:rPr>
          <w:rFonts w:hint="eastAsia" w:asciiTheme="minorEastAsia" w:hAnsiTheme="minorEastAsia" w:eastAsiaTheme="minorEastAsia" w:cstheme="minorEastAsia"/>
          <w:b/>
          <w:bCs/>
          <w:color w:val="auto"/>
          <w:kern w:val="2"/>
          <w:sz w:val="24"/>
          <w:szCs w:val="24"/>
          <w:highlight w:val="none"/>
        </w:rPr>
      </w:pPr>
      <w:bookmarkStart w:id="59" w:name="_Toc23314"/>
      <w:bookmarkStart w:id="60" w:name="_Hlk194935599"/>
      <w:r>
        <w:rPr>
          <w:rFonts w:hint="eastAsia" w:asciiTheme="minorEastAsia" w:hAnsiTheme="minorEastAsia" w:eastAsiaTheme="minorEastAsia" w:cstheme="minorEastAsia"/>
          <w:b/>
          <w:bCs/>
          <w:color w:val="auto"/>
          <w:kern w:val="2"/>
          <w:sz w:val="24"/>
          <w:szCs w:val="24"/>
          <w:highlight w:val="none"/>
        </w:rPr>
        <w:t>二、产品参数要求</w:t>
      </w:r>
      <w:bookmarkEnd w:id="59"/>
    </w:p>
    <w:p w14:paraId="6DD707E4">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sz w:val="24"/>
          <w:szCs w:val="24"/>
          <w:highlight w:val="none"/>
        </w:rPr>
      </w:pPr>
      <w:r>
        <w:rPr>
          <w:rFonts w:hint="eastAsia" w:asciiTheme="minorEastAsia" w:hAnsiTheme="minorEastAsia" w:eastAsiaTheme="minorEastAsia" w:cstheme="minorEastAsia"/>
          <w:b/>
          <w:bCs/>
          <w:color w:val="auto"/>
          <w:kern w:val="2"/>
          <w:sz w:val="24"/>
          <w:szCs w:val="24"/>
          <w:highlight w:val="none"/>
        </w:rPr>
        <w:t>序号1：东德国牧羊犬</w:t>
      </w:r>
    </w:p>
    <w:p w14:paraId="6CDDAEA8">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体格参数：体重≥30kg,体长≥65cm,体高≥60cm,胸围≥70cm,胸深≥28cm，肩高≥50cm，</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长≥23cm。</w:t>
      </w:r>
    </w:p>
    <w:p w14:paraId="3AD29E44">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 xml:space="preserve">年龄：8个月-20个月之间。 </w:t>
      </w:r>
    </w:p>
    <w:p w14:paraId="0BD99D6B">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毛色：黑色、黑褐色或狼灰色。</w:t>
      </w:r>
    </w:p>
    <w:p w14:paraId="3EAE71AC">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sz w:val="24"/>
          <w:szCs w:val="24"/>
          <w:highlight w:val="none"/>
        </w:rPr>
      </w:pPr>
      <w:r>
        <w:rPr>
          <w:rFonts w:hint="eastAsia" w:asciiTheme="minorEastAsia" w:hAnsiTheme="minorEastAsia" w:eastAsiaTheme="minorEastAsia" w:cstheme="minorEastAsia"/>
          <w:b/>
          <w:bCs/>
          <w:color w:val="auto"/>
          <w:kern w:val="2"/>
          <w:sz w:val="24"/>
          <w:szCs w:val="24"/>
          <w:highlight w:val="none"/>
        </w:rPr>
        <w:t>序号2：马里努阿犬</w:t>
      </w:r>
    </w:p>
    <w:p w14:paraId="13F9E935">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体格参数：体重≥18kg,体长≥55cm,体高≥54cm,胸围≥65cm,胸深≥25cm，肩高≥54cm，头长≥20cm。</w:t>
      </w:r>
    </w:p>
    <w:p w14:paraId="4EEEECF3">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年龄：8个月-20个月之间。</w:t>
      </w:r>
    </w:p>
    <w:p w14:paraId="62903DBC">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毛色：浅黄褐色至红褐色，毛尖为黑色。</w:t>
      </w:r>
    </w:p>
    <w:p w14:paraId="61C362F5">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sz w:val="24"/>
          <w:szCs w:val="24"/>
          <w:highlight w:val="none"/>
        </w:rPr>
      </w:pPr>
      <w:r>
        <w:rPr>
          <w:rFonts w:hint="eastAsia" w:asciiTheme="minorEastAsia" w:hAnsiTheme="minorEastAsia" w:eastAsiaTheme="minorEastAsia" w:cstheme="minorEastAsia"/>
          <w:b/>
          <w:bCs/>
          <w:color w:val="auto"/>
          <w:kern w:val="2"/>
          <w:sz w:val="24"/>
          <w:szCs w:val="24"/>
          <w:highlight w:val="none"/>
        </w:rPr>
        <w:t>序号3：史宾格犬</w:t>
      </w:r>
    </w:p>
    <w:p w14:paraId="665D88AD">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体格参数：体重≥15kg,体长≥46cm,体高≥42cm,胸围≥58cm,胸深≥20cm，肩高≥42cm，头长≥18cm。</w:t>
      </w:r>
    </w:p>
    <w:p w14:paraId="55BF7703">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年龄：8个月-20个月之间。</w:t>
      </w:r>
    </w:p>
    <w:p w14:paraId="04AC2584">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毛色：黑色、白色或棕色与白色相间。</w:t>
      </w:r>
    </w:p>
    <w:p w14:paraId="5C08C97C">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sz w:val="24"/>
          <w:szCs w:val="24"/>
          <w:highlight w:val="none"/>
        </w:rPr>
      </w:pPr>
      <w:r>
        <w:rPr>
          <w:rFonts w:hint="eastAsia" w:asciiTheme="minorEastAsia" w:hAnsiTheme="minorEastAsia" w:eastAsiaTheme="minorEastAsia" w:cstheme="minorEastAsia"/>
          <w:b/>
          <w:bCs/>
          <w:color w:val="auto"/>
          <w:kern w:val="2"/>
          <w:sz w:val="24"/>
          <w:szCs w:val="24"/>
          <w:highlight w:val="none"/>
        </w:rPr>
        <w:t>序号4：新疆牧羊犬（含公母）</w:t>
      </w:r>
    </w:p>
    <w:p w14:paraId="79E4C7A6">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体格参数：体重≥25kg,体长≥60cm,体高≥55cm,胸围≥70cm,胸深≥25cm，肩高≥55cm，头长≥22cm。</w:t>
      </w:r>
    </w:p>
    <w:p w14:paraId="33509F06">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年龄：8个月-20个月之间。</w:t>
      </w:r>
    </w:p>
    <w:p w14:paraId="0DD53348">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毛色：黑色、黑褐色或白色带黑斑。</w:t>
      </w:r>
    </w:p>
    <w:p w14:paraId="0B7BC175">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sz w:val="24"/>
          <w:szCs w:val="24"/>
          <w:highlight w:val="none"/>
        </w:rPr>
      </w:pPr>
      <w:r>
        <w:rPr>
          <w:rFonts w:hint="eastAsia" w:asciiTheme="minorEastAsia" w:hAnsiTheme="minorEastAsia" w:eastAsiaTheme="minorEastAsia" w:cstheme="minorEastAsia"/>
          <w:b/>
          <w:bCs/>
          <w:color w:val="auto"/>
          <w:kern w:val="2"/>
          <w:sz w:val="24"/>
          <w:szCs w:val="24"/>
          <w:highlight w:val="none"/>
        </w:rPr>
        <w:t>序号5：拉布拉多犬</w:t>
      </w:r>
    </w:p>
    <w:p w14:paraId="0384BF42">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体格参数：体重≥20kg,体长≥50cm,体高≥45cm,胸围≥55cm,胸深≥20cm，肩高≥45cm，头长≥18cm。</w:t>
      </w:r>
    </w:p>
    <w:p w14:paraId="330803B1">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年龄：8个月-20个月之间。</w:t>
      </w:r>
    </w:p>
    <w:p w14:paraId="7701F633">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毛色：黑色、黄色、巧克力色。</w:t>
      </w:r>
    </w:p>
    <w:bookmarkEnd w:id="60"/>
    <w:p w14:paraId="6846FCAF">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sz w:val="24"/>
          <w:szCs w:val="24"/>
          <w:highlight w:val="none"/>
        </w:rPr>
      </w:pPr>
      <w:r>
        <w:rPr>
          <w:rFonts w:hint="eastAsia" w:asciiTheme="minorEastAsia" w:hAnsiTheme="minorEastAsia" w:eastAsiaTheme="minorEastAsia" w:cstheme="minorEastAsia"/>
          <w:b/>
          <w:bCs/>
          <w:color w:val="auto"/>
          <w:kern w:val="2"/>
          <w:sz w:val="24"/>
          <w:szCs w:val="24"/>
          <w:highlight w:val="none"/>
        </w:rPr>
        <w:t>注：所有犬种的体型外貌、神经类型、感官机能、主要反应的选择一致。具体如下：</w:t>
      </w:r>
    </w:p>
    <w:p w14:paraId="6C58C4D5">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sz w:val="24"/>
          <w:szCs w:val="24"/>
          <w:highlight w:val="none"/>
        </w:rPr>
      </w:pPr>
      <w:r>
        <w:rPr>
          <w:rFonts w:hint="eastAsia" w:asciiTheme="minorEastAsia" w:hAnsiTheme="minorEastAsia" w:eastAsiaTheme="minorEastAsia" w:cstheme="minorEastAsia"/>
          <w:b/>
          <w:bCs/>
          <w:color w:val="auto"/>
          <w:kern w:val="2"/>
          <w:sz w:val="24"/>
          <w:szCs w:val="24"/>
          <w:highlight w:val="none"/>
        </w:rPr>
        <w:t>1.体型外貌：要求犬只体型中等，外观各部匀称、紧凑，肌肉发达，体质健壮，姿态端正。</w:t>
      </w:r>
    </w:p>
    <w:p w14:paraId="11C0AE1E">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sz w:val="24"/>
          <w:szCs w:val="24"/>
          <w:highlight w:val="none"/>
        </w:rPr>
      </w:pPr>
      <w:r>
        <w:rPr>
          <w:rFonts w:hint="eastAsia" w:asciiTheme="minorEastAsia" w:hAnsiTheme="minorEastAsia" w:eastAsiaTheme="minorEastAsia" w:cstheme="minorEastAsia"/>
          <w:b/>
          <w:bCs/>
          <w:color w:val="auto"/>
          <w:kern w:val="2"/>
          <w:sz w:val="24"/>
          <w:szCs w:val="24"/>
          <w:highlight w:val="none"/>
        </w:rPr>
        <w:t>2.神经类型：具备强而不均衡的兴奋型和强而均衡的灵活型神经类型。</w:t>
      </w:r>
    </w:p>
    <w:p w14:paraId="04EBD39D">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sz w:val="24"/>
          <w:szCs w:val="24"/>
          <w:highlight w:val="none"/>
        </w:rPr>
      </w:pPr>
      <w:r>
        <w:rPr>
          <w:rFonts w:hint="eastAsia" w:asciiTheme="minorEastAsia" w:hAnsiTheme="minorEastAsia" w:eastAsiaTheme="minorEastAsia" w:cstheme="minorEastAsia"/>
          <w:b/>
          <w:bCs/>
          <w:color w:val="auto"/>
          <w:kern w:val="2"/>
          <w:sz w:val="24"/>
          <w:szCs w:val="24"/>
          <w:highlight w:val="none"/>
        </w:rPr>
        <w:t>3.感官机能：犬只视觉和听觉良好，嗅觉灵敏，嗅认方式佳，牙齿齐全，雄性犬只具有双睾丸，无生理机能缺陷。</w:t>
      </w:r>
    </w:p>
    <w:p w14:paraId="62613108">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sz w:val="24"/>
          <w:szCs w:val="24"/>
          <w:highlight w:val="none"/>
        </w:rPr>
      </w:pPr>
      <w:r>
        <w:rPr>
          <w:rFonts w:hint="eastAsia" w:asciiTheme="minorEastAsia" w:hAnsiTheme="minorEastAsia" w:eastAsiaTheme="minorEastAsia" w:cstheme="minorEastAsia"/>
          <w:b/>
          <w:bCs/>
          <w:color w:val="auto"/>
          <w:kern w:val="2"/>
          <w:sz w:val="24"/>
          <w:szCs w:val="24"/>
          <w:highlight w:val="none"/>
        </w:rPr>
        <w:t>4.主要反应的选择：优先选择猎取反射积极、衔取欲强、主动防御反射和食物反应占优势的犬只。探求反应强且猎取反射退化的犬只不可作为待训警犬。</w:t>
      </w:r>
    </w:p>
    <w:p w14:paraId="1DA410FF">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sz w:val="24"/>
          <w:szCs w:val="24"/>
          <w:highlight w:val="none"/>
        </w:rPr>
      </w:pPr>
      <w:r>
        <w:rPr>
          <w:rFonts w:hint="eastAsia" w:asciiTheme="minorEastAsia" w:hAnsiTheme="minorEastAsia" w:eastAsiaTheme="minorEastAsia" w:cstheme="minorEastAsia"/>
          <w:b/>
          <w:bCs/>
          <w:color w:val="auto"/>
          <w:kern w:val="2"/>
          <w:sz w:val="24"/>
          <w:szCs w:val="24"/>
          <w:highlight w:val="none"/>
        </w:rPr>
        <w:t>5.允许的毛色变异范围应符合各犬种国际公认的标准。</w:t>
      </w:r>
    </w:p>
    <w:p w14:paraId="6F84FD4C">
      <w:pPr>
        <w:pStyle w:val="20"/>
        <w:snapToGrid w:val="0"/>
        <w:spacing w:line="360" w:lineRule="auto"/>
        <w:ind w:firstLine="482" w:firstLineChars="200"/>
        <w:jc w:val="both"/>
        <w:outlineLvl w:val="1"/>
        <w:rPr>
          <w:rFonts w:hint="eastAsia" w:asciiTheme="minorEastAsia" w:hAnsiTheme="minorEastAsia" w:eastAsiaTheme="minorEastAsia" w:cstheme="minorEastAsia"/>
          <w:b/>
          <w:bCs/>
          <w:color w:val="auto"/>
          <w:kern w:val="2"/>
          <w:sz w:val="24"/>
          <w:szCs w:val="24"/>
          <w:highlight w:val="none"/>
        </w:rPr>
      </w:pPr>
      <w:bookmarkStart w:id="61" w:name="_Toc32194"/>
      <w:bookmarkStart w:id="62" w:name="_Hlk194936498"/>
      <w:r>
        <w:rPr>
          <w:rFonts w:hint="eastAsia" w:asciiTheme="minorEastAsia" w:hAnsiTheme="minorEastAsia" w:eastAsiaTheme="minorEastAsia" w:cstheme="minorEastAsia"/>
          <w:b/>
          <w:bCs/>
          <w:color w:val="auto"/>
          <w:kern w:val="2"/>
          <w:sz w:val="24"/>
          <w:szCs w:val="24"/>
          <w:highlight w:val="none"/>
        </w:rPr>
        <w:t>三、</w:t>
      </w:r>
      <w:r>
        <w:rPr>
          <w:rFonts w:hint="eastAsia" w:asciiTheme="minorEastAsia" w:hAnsiTheme="minorEastAsia" w:eastAsiaTheme="minorEastAsia" w:cstheme="minorEastAsia"/>
          <w:b/>
          <w:bCs/>
          <w:color w:val="auto"/>
          <w:kern w:val="2"/>
          <w:sz w:val="24"/>
          <w:szCs w:val="24"/>
          <w:highlight w:val="none"/>
          <w:lang w:val="en-US" w:eastAsia="zh-CN"/>
        </w:rPr>
        <w:t>供货</w:t>
      </w:r>
      <w:r>
        <w:rPr>
          <w:rFonts w:hint="eastAsia" w:asciiTheme="minorEastAsia" w:hAnsiTheme="minorEastAsia" w:eastAsiaTheme="minorEastAsia" w:cstheme="minorEastAsia"/>
          <w:b/>
          <w:bCs/>
          <w:color w:val="auto"/>
          <w:kern w:val="2"/>
          <w:sz w:val="24"/>
          <w:szCs w:val="24"/>
          <w:highlight w:val="none"/>
        </w:rPr>
        <w:t>地点及方式</w:t>
      </w:r>
      <w:bookmarkEnd w:id="61"/>
    </w:p>
    <w:p w14:paraId="52F4BF37">
      <w:pPr>
        <w:pStyle w:val="20"/>
        <w:snapToGrid w:val="0"/>
        <w:spacing w:line="360" w:lineRule="auto"/>
        <w:ind w:firstLine="480" w:firstLineChars="200"/>
        <w:jc w:val="both"/>
        <w:outlineLvl w:val="2"/>
        <w:rPr>
          <w:rFonts w:hint="eastAsia" w:asciiTheme="minorEastAsia" w:hAnsiTheme="minorEastAsia" w:eastAsiaTheme="minorEastAsia" w:cstheme="minorEastAsia"/>
          <w:color w:val="auto"/>
          <w:kern w:val="2"/>
          <w:sz w:val="24"/>
          <w:szCs w:val="24"/>
          <w:highlight w:val="none"/>
        </w:rPr>
      </w:pPr>
      <w:bookmarkStart w:id="63" w:name="_Toc27121"/>
      <w:r>
        <w:rPr>
          <w:rFonts w:hint="eastAsia" w:asciiTheme="minorEastAsia" w:hAnsiTheme="minorEastAsia" w:eastAsiaTheme="minorEastAsia" w:cstheme="minorEastAsia"/>
          <w:color w:val="auto"/>
          <w:kern w:val="2"/>
          <w:sz w:val="24"/>
          <w:szCs w:val="24"/>
          <w:highlight w:val="none"/>
        </w:rPr>
        <w:t>（一）</w:t>
      </w:r>
      <w:r>
        <w:rPr>
          <w:rFonts w:hint="eastAsia" w:asciiTheme="minorEastAsia" w:hAnsiTheme="minorEastAsia" w:eastAsiaTheme="minorEastAsia" w:cstheme="minorEastAsia"/>
          <w:color w:val="auto"/>
          <w:kern w:val="2"/>
          <w:sz w:val="24"/>
          <w:szCs w:val="24"/>
          <w:highlight w:val="none"/>
          <w:lang w:val="en-US" w:eastAsia="zh-CN"/>
        </w:rPr>
        <w:t>供货</w:t>
      </w:r>
      <w:r>
        <w:rPr>
          <w:rFonts w:hint="eastAsia" w:asciiTheme="minorEastAsia" w:hAnsiTheme="minorEastAsia" w:eastAsiaTheme="minorEastAsia" w:cstheme="minorEastAsia"/>
          <w:color w:val="auto"/>
          <w:kern w:val="2"/>
          <w:sz w:val="24"/>
          <w:szCs w:val="24"/>
          <w:highlight w:val="none"/>
        </w:rPr>
        <w:t>地点</w:t>
      </w:r>
      <w:bookmarkEnd w:id="63"/>
    </w:p>
    <w:p w14:paraId="77063D00">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乌鲁木齐县水西沟镇南康大道乌鲁木齐警犬训练基地</w:t>
      </w:r>
    </w:p>
    <w:p w14:paraId="2F475AED">
      <w:pPr>
        <w:pStyle w:val="20"/>
        <w:snapToGrid w:val="0"/>
        <w:spacing w:line="360" w:lineRule="auto"/>
        <w:ind w:firstLine="480" w:firstLineChars="200"/>
        <w:jc w:val="both"/>
        <w:outlineLvl w:val="2"/>
        <w:rPr>
          <w:rFonts w:hint="eastAsia" w:asciiTheme="minorEastAsia" w:hAnsiTheme="minorEastAsia" w:eastAsiaTheme="minorEastAsia" w:cstheme="minorEastAsia"/>
          <w:color w:val="auto"/>
          <w:kern w:val="2"/>
          <w:sz w:val="24"/>
          <w:szCs w:val="24"/>
          <w:highlight w:val="none"/>
        </w:rPr>
      </w:pPr>
      <w:bookmarkStart w:id="64" w:name="_Toc13250"/>
      <w:r>
        <w:rPr>
          <w:rFonts w:hint="eastAsia" w:asciiTheme="minorEastAsia" w:hAnsiTheme="minorEastAsia" w:eastAsiaTheme="minorEastAsia" w:cstheme="minorEastAsia"/>
          <w:color w:val="auto"/>
          <w:kern w:val="2"/>
          <w:sz w:val="24"/>
          <w:szCs w:val="24"/>
          <w:highlight w:val="none"/>
        </w:rPr>
        <w:t>（二）</w:t>
      </w:r>
      <w:r>
        <w:rPr>
          <w:rFonts w:hint="eastAsia" w:asciiTheme="minorEastAsia" w:hAnsiTheme="minorEastAsia" w:eastAsiaTheme="minorEastAsia" w:cstheme="minorEastAsia"/>
          <w:color w:val="auto"/>
          <w:kern w:val="2"/>
          <w:sz w:val="24"/>
          <w:szCs w:val="24"/>
          <w:highlight w:val="none"/>
          <w:lang w:val="en-US" w:eastAsia="zh-CN"/>
        </w:rPr>
        <w:t>供货</w:t>
      </w:r>
      <w:r>
        <w:rPr>
          <w:rFonts w:hint="eastAsia" w:asciiTheme="minorEastAsia" w:hAnsiTheme="minorEastAsia" w:eastAsiaTheme="minorEastAsia" w:cstheme="minorEastAsia"/>
          <w:color w:val="auto"/>
          <w:kern w:val="2"/>
          <w:sz w:val="24"/>
          <w:szCs w:val="24"/>
          <w:highlight w:val="none"/>
        </w:rPr>
        <w:t>方式</w:t>
      </w:r>
      <w:bookmarkEnd w:id="64"/>
    </w:p>
    <w:p w14:paraId="180918B1">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bookmarkStart w:id="65" w:name="OLE_LINK1"/>
      <w:r>
        <w:rPr>
          <w:rFonts w:hint="eastAsia" w:asciiTheme="minorEastAsia" w:hAnsiTheme="minorEastAsia" w:eastAsiaTheme="minorEastAsia" w:cstheme="minorEastAsia"/>
          <w:color w:val="auto"/>
          <w:kern w:val="2"/>
          <w:sz w:val="24"/>
          <w:szCs w:val="24"/>
          <w:highlight w:val="none"/>
        </w:rPr>
        <w:t>分两批次进行供货</w:t>
      </w:r>
    </w:p>
    <w:p w14:paraId="423A3E01">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第一批76</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：包含乌鲁木齐警犬训练基地30</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马里努阿犬、25</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东德牧羊犬、5</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史宾格犬。</w:t>
      </w:r>
      <w:r>
        <w:rPr>
          <w:rFonts w:hint="eastAsia" w:asciiTheme="minorEastAsia" w:hAnsiTheme="minorEastAsia" w:eastAsiaTheme="minorEastAsia" w:cstheme="minorEastAsia"/>
          <w:color w:val="auto"/>
          <w:kern w:val="28"/>
          <w:sz w:val="24"/>
          <w:szCs w:val="24"/>
          <w:highlight w:val="none"/>
        </w:rPr>
        <w:t>年龄</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snapToGrid w:val="0"/>
          <w:color w:val="auto"/>
          <w:kern w:val="28"/>
          <w:sz w:val="24"/>
          <w:szCs w:val="24"/>
          <w:highlight w:val="none"/>
        </w:rPr>
        <w:t>8个月-20个月</w:t>
      </w:r>
      <w:r>
        <w:rPr>
          <w:rFonts w:hint="eastAsia" w:asciiTheme="minorEastAsia" w:hAnsiTheme="minorEastAsia" w:eastAsiaTheme="minorEastAsia" w:cstheme="minorEastAsia"/>
          <w:color w:val="auto"/>
          <w:kern w:val="28"/>
          <w:sz w:val="24"/>
          <w:szCs w:val="24"/>
          <w:highlight w:val="none"/>
        </w:rPr>
        <w:t>；</w:t>
      </w:r>
      <w:r>
        <w:rPr>
          <w:rFonts w:hint="eastAsia" w:asciiTheme="minorEastAsia" w:hAnsiTheme="minorEastAsia" w:eastAsiaTheme="minorEastAsia" w:cstheme="minorEastAsia"/>
          <w:color w:val="auto"/>
          <w:kern w:val="2"/>
          <w:sz w:val="24"/>
          <w:szCs w:val="24"/>
          <w:highlight w:val="none"/>
        </w:rPr>
        <w:t>山东出入境边防检查总站6</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马里努阿犬、5</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东德牧羊犬、5</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拉布拉多犬,</w:t>
      </w:r>
      <w:r>
        <w:rPr>
          <w:rFonts w:hint="eastAsia" w:asciiTheme="minorEastAsia" w:hAnsiTheme="minorEastAsia" w:eastAsiaTheme="minorEastAsia" w:cstheme="minorEastAsia"/>
          <w:color w:val="auto"/>
          <w:kern w:val="28"/>
          <w:sz w:val="24"/>
          <w:szCs w:val="24"/>
          <w:highlight w:val="none"/>
        </w:rPr>
        <w:t>年龄:</w:t>
      </w:r>
      <w:r>
        <w:rPr>
          <w:rFonts w:hint="eastAsia" w:asciiTheme="minorEastAsia" w:hAnsiTheme="minorEastAsia" w:eastAsiaTheme="minorEastAsia" w:cstheme="minorEastAsia"/>
          <w:snapToGrid w:val="0"/>
          <w:color w:val="auto"/>
          <w:kern w:val="28"/>
          <w:sz w:val="24"/>
          <w:szCs w:val="24"/>
          <w:highlight w:val="none"/>
        </w:rPr>
        <w:t>8个月-20个月</w:t>
      </w:r>
      <w:r>
        <w:rPr>
          <w:rFonts w:hint="eastAsia" w:asciiTheme="minorEastAsia" w:hAnsiTheme="minorEastAsia" w:eastAsiaTheme="minorEastAsia" w:cstheme="minorEastAsia"/>
          <w:color w:val="auto"/>
          <w:kern w:val="2"/>
          <w:sz w:val="24"/>
          <w:szCs w:val="24"/>
          <w:highlight w:val="none"/>
        </w:rPr>
        <w:t>。</w:t>
      </w:r>
    </w:p>
    <w:p w14:paraId="4168666F">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第二批77头：乌鲁木齐警犬训练基地30</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马里努阿犬、45</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东德牧羊犬、2</w:t>
      </w:r>
      <w:r>
        <w:rPr>
          <w:rFonts w:hint="eastAsia" w:asciiTheme="minorEastAsia" w:hAnsiTheme="minorEastAsia" w:eastAsiaTheme="minorEastAsia" w:cstheme="minorEastAsia"/>
          <w:color w:val="auto"/>
          <w:spacing w:val="9"/>
          <w:sz w:val="24"/>
          <w:szCs w:val="24"/>
          <w:highlight w:val="none"/>
        </w:rPr>
        <w:t>头</w:t>
      </w:r>
      <w:r>
        <w:rPr>
          <w:rFonts w:hint="eastAsia" w:asciiTheme="minorEastAsia" w:hAnsiTheme="minorEastAsia" w:eastAsiaTheme="minorEastAsia" w:cstheme="minorEastAsia"/>
          <w:color w:val="auto"/>
          <w:kern w:val="2"/>
          <w:sz w:val="24"/>
          <w:szCs w:val="24"/>
          <w:highlight w:val="none"/>
        </w:rPr>
        <w:t>新疆牧羊犬（一公一母）,</w:t>
      </w:r>
      <w:r>
        <w:rPr>
          <w:rFonts w:hint="eastAsia" w:asciiTheme="minorEastAsia" w:hAnsiTheme="minorEastAsia" w:eastAsiaTheme="minorEastAsia" w:cstheme="minorEastAsia"/>
          <w:color w:val="auto"/>
          <w:kern w:val="28"/>
          <w:sz w:val="24"/>
          <w:szCs w:val="24"/>
          <w:highlight w:val="none"/>
        </w:rPr>
        <w:t>年龄</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snapToGrid w:val="0"/>
          <w:color w:val="auto"/>
          <w:kern w:val="28"/>
          <w:sz w:val="24"/>
          <w:szCs w:val="24"/>
          <w:highlight w:val="none"/>
        </w:rPr>
        <w:t>8个月-20个月</w:t>
      </w:r>
      <w:r>
        <w:rPr>
          <w:rFonts w:hint="eastAsia" w:asciiTheme="minorEastAsia" w:hAnsiTheme="minorEastAsia" w:eastAsiaTheme="minorEastAsia" w:cstheme="minorEastAsia"/>
          <w:color w:val="auto"/>
          <w:kern w:val="2"/>
          <w:sz w:val="24"/>
          <w:szCs w:val="24"/>
          <w:highlight w:val="none"/>
        </w:rPr>
        <w:t>。</w:t>
      </w:r>
    </w:p>
    <w:p w14:paraId="0E594168">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需按照甲方供货要求，乙方送至甲方指定地点，货物送达</w:t>
      </w:r>
      <w:r>
        <w:rPr>
          <w:rFonts w:hint="eastAsia" w:asciiTheme="minorEastAsia" w:hAnsiTheme="minorEastAsia" w:eastAsiaTheme="minorEastAsia" w:cstheme="minorEastAsia"/>
          <w:color w:val="auto"/>
          <w:kern w:val="2"/>
          <w:sz w:val="24"/>
          <w:szCs w:val="24"/>
          <w:highlight w:val="none"/>
          <w:lang w:eastAsia="zh-CN"/>
        </w:rPr>
        <w:t>供货</w:t>
      </w:r>
      <w:r>
        <w:rPr>
          <w:rFonts w:hint="eastAsia" w:asciiTheme="minorEastAsia" w:hAnsiTheme="minorEastAsia" w:eastAsiaTheme="minorEastAsia" w:cstheme="minorEastAsia"/>
          <w:color w:val="auto"/>
          <w:kern w:val="2"/>
          <w:sz w:val="24"/>
          <w:szCs w:val="24"/>
          <w:highlight w:val="none"/>
        </w:rPr>
        <w:t>地点后由甲方负责验收，现场签收，签收前任何产生的费用均由乙方承担。</w:t>
      </w:r>
      <w:bookmarkEnd w:id="65"/>
    </w:p>
    <w:p w14:paraId="04D1E22A">
      <w:pPr>
        <w:pStyle w:val="20"/>
        <w:snapToGrid w:val="0"/>
        <w:spacing w:line="360" w:lineRule="auto"/>
        <w:ind w:firstLine="480" w:firstLineChars="200"/>
        <w:jc w:val="both"/>
        <w:outlineLvl w:val="2"/>
        <w:rPr>
          <w:rFonts w:hint="eastAsia" w:asciiTheme="minorEastAsia" w:hAnsiTheme="minorEastAsia" w:eastAsiaTheme="minorEastAsia" w:cstheme="minorEastAsia"/>
          <w:color w:val="auto"/>
          <w:kern w:val="2"/>
          <w:sz w:val="24"/>
          <w:szCs w:val="24"/>
          <w:highlight w:val="none"/>
        </w:rPr>
      </w:pPr>
      <w:bookmarkStart w:id="66" w:name="_Toc25760"/>
      <w:r>
        <w:rPr>
          <w:rFonts w:hint="eastAsia" w:asciiTheme="minorEastAsia" w:hAnsiTheme="minorEastAsia" w:eastAsiaTheme="minorEastAsia" w:cstheme="minorEastAsia"/>
          <w:color w:val="auto"/>
          <w:kern w:val="2"/>
          <w:sz w:val="24"/>
          <w:szCs w:val="24"/>
          <w:highlight w:val="none"/>
        </w:rPr>
        <w:t>（三）合同签订及履约保证金收取</w:t>
      </w:r>
      <w:bookmarkEnd w:id="66"/>
    </w:p>
    <w:p w14:paraId="1EB272EA">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1.此项目甲方包括新疆出入境边防检查总站及山东出入境边防检查总站所属9个边检站（烟台出入境边防检查站、日照出入境边防检查站、青岛出入境边防检查站、威海出入境边防检查站、石岛出入境边防检查站、龙口出入境边防检查站、董家口出入境边防检查站、蓬莱出入境边防检查站、潍坊出入境边防检查站），其中，新疆出入境边防检查总站作为甲方实施采购活动的主体，负责统筹合同签订、收取履约保函等工作。自成交通知书下达后7个日历日内，乙方需向甲方（新疆出入境边防检查总站）提供合同金额5%的履约保函（期限240个日历日）。</w:t>
      </w:r>
      <w:r>
        <w:rPr>
          <w:rFonts w:hint="eastAsia" w:asciiTheme="minorEastAsia" w:hAnsiTheme="minorEastAsia" w:eastAsiaTheme="minorEastAsia" w:cstheme="minorEastAsia"/>
          <w:color w:val="auto"/>
          <w:kern w:val="2"/>
          <w:sz w:val="24"/>
          <w:szCs w:val="24"/>
          <w:highlight w:val="none"/>
        </w:rPr>
        <w:tab/>
      </w:r>
    </w:p>
    <w:p w14:paraId="607386BB">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2.采取统采分签方式，其中，甲方含：新疆出入境边防检查总站及山东出入境边防检查总站所属9个边检站（烟台出入境边防检查站、日照出入境边防检查站、青岛出入境边防检查站、威海出入境边防检查站、石岛出入境边防检查站、龙口出入境边防检查站、董家口出入境边防检查站、蓬莱出入境边防检查站、潍坊出入境边防检查站）。乙方需与新疆出入境边防检查总站及山东出入境边防检查总站所属9个边检站共计10家单位分别签订合同。</w:t>
      </w:r>
    </w:p>
    <w:p w14:paraId="652AF1B3">
      <w:pPr>
        <w:pStyle w:val="20"/>
        <w:snapToGrid w:val="0"/>
        <w:spacing w:line="360" w:lineRule="auto"/>
        <w:ind w:firstLine="482" w:firstLineChars="200"/>
        <w:jc w:val="both"/>
        <w:outlineLvl w:val="1"/>
        <w:rPr>
          <w:rFonts w:hint="eastAsia" w:asciiTheme="minorEastAsia" w:hAnsiTheme="minorEastAsia" w:eastAsiaTheme="minorEastAsia" w:cstheme="minorEastAsia"/>
          <w:b/>
          <w:bCs/>
          <w:color w:val="auto"/>
          <w:kern w:val="2"/>
          <w:sz w:val="24"/>
          <w:szCs w:val="24"/>
          <w:highlight w:val="none"/>
        </w:rPr>
      </w:pPr>
      <w:bookmarkStart w:id="67" w:name="_Toc15043"/>
      <w:r>
        <w:rPr>
          <w:rFonts w:hint="eastAsia" w:asciiTheme="minorEastAsia" w:hAnsiTheme="minorEastAsia" w:eastAsiaTheme="minorEastAsia" w:cstheme="minorEastAsia"/>
          <w:b/>
          <w:bCs/>
          <w:color w:val="auto"/>
          <w:kern w:val="2"/>
          <w:sz w:val="24"/>
          <w:szCs w:val="24"/>
          <w:highlight w:val="none"/>
        </w:rPr>
        <w:t>四、</w:t>
      </w:r>
      <w:r>
        <w:rPr>
          <w:rFonts w:hint="eastAsia" w:asciiTheme="minorEastAsia" w:hAnsiTheme="minorEastAsia" w:eastAsiaTheme="minorEastAsia" w:cstheme="minorEastAsia"/>
          <w:b/>
          <w:bCs/>
          <w:color w:val="auto"/>
          <w:kern w:val="2"/>
          <w:sz w:val="24"/>
          <w:szCs w:val="24"/>
          <w:highlight w:val="none"/>
          <w:lang w:val="en-US" w:eastAsia="zh-CN"/>
        </w:rPr>
        <w:t>供货</w:t>
      </w:r>
      <w:r>
        <w:rPr>
          <w:rFonts w:hint="eastAsia" w:asciiTheme="minorEastAsia" w:hAnsiTheme="minorEastAsia" w:eastAsiaTheme="minorEastAsia" w:cstheme="minorEastAsia"/>
          <w:b/>
          <w:bCs/>
          <w:color w:val="auto"/>
          <w:kern w:val="2"/>
          <w:sz w:val="24"/>
          <w:szCs w:val="24"/>
          <w:highlight w:val="none"/>
        </w:rPr>
        <w:t>期限及要求</w:t>
      </w:r>
      <w:bookmarkEnd w:id="67"/>
    </w:p>
    <w:p w14:paraId="1C67ED3B">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合同签订后，乙方应按照甲方要求，分两批次进行供货，其中：</w:t>
      </w:r>
    </w:p>
    <w:p w14:paraId="15ED63AF">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第一批供货期限为合同签订之日起15个日历日供货验收完毕，第二批供货期限为自接到甲方函件通知之日起（收到函件当日不计算在内）15个日历日供货验收完毕。具体供货时间及要求为：</w:t>
      </w:r>
    </w:p>
    <w:p w14:paraId="02CA72E3">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（1）乙方按照 1:1.2的比例将待训警犬送达至乌鲁木齐市具备饲养管理条件的区域进行隔离7个日历日，送达时以函件形式通知甲方，隔离结束后由甲方组织人员对犬只进行测试选取，所供犬只均需提供血统证明（中国工作犬管理协会出具）并植入身份证明芯片（芯片需可扫并与血统证书信息相一致）。</w:t>
      </w:r>
    </w:p>
    <w:p w14:paraId="67C75E16">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2）甲方自收到函件后3个日历日内（收到函件当日不计算在内），由甲方（警犬训练基地）按照中国工作犬管理协会发布的《犬只挑选测试标准》（具体测试标准附采购文件后）对犬只进行逐一测试，评定为B级以上为合格（1、犬只挑选测试标准≥2项A,评定为A；犬只挑选测试标准＜2项A，评定为B；2、犬只挑选测试标准≥2项B,评定为B；犬只挑选测试标准＜2项C，评定为C;3、犬只挑选测试标准有一项评定为C，评定为C。</w:t>
      </w:r>
    </w:p>
    <w:p w14:paraId="517A6A32">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3）挑选出的犬只由乙方送至具有相关资质的动物医院进行全面体检。体检内容包括：体温检测，皮肤检查（真菌、螨虫等），耳道检查，心肺听诊（是否有不适合训练的心脏和肺部疾病），X线检查（检查脊椎、髋关节、肘关节以及骨骼是否有先天性关节变形，骨膜磨损严重或过薄，骨质疏松以及严重缺钙等），B超检查（心、肝、肺、脾、肾），细小病毒和犬瘟热检查，尿常规，血气检查，体温、脉搏、细小病毒、犬瘟热检测，以及对犬的体型骨骼、体态被毛、神经类型及衔取欲望，伍德氏灯皮肤病排查、五大淋巴结检查等。体检合格后，需出具详细的体检报告，并为犬只编制编号，建立一犬一档案。乙方对所有合格犬只完成体检和建档，以函件形式通知甲方，甲方在1个日历日内（收到函件当日不计算在内）对体检及建档情况进行核查核对，经甲（警犬训练基地组织人员）乙双方确认无误后，由乙方运送至甲方警犬训练基地指定地点。</w:t>
      </w:r>
    </w:p>
    <w:p w14:paraId="7CB335E3">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4）乙方需合理规划运输、隔离、体检、选取等时间，履约期间为15个日历日。供货完毕后，乙方需配合甲方度过犬只环境适应期，期间乙方需一次性供应犬只20个日历日的适应性犬粮，用于防止待训警犬更换环境或更换犬粮出现应激障碍、食欲不振等问题。乙方所供犬只需在甲方的监督下，完成三次驱虫（2次体内，1次体外）以及英特威四联苗的注射，并在15日历日后注射单狂犬疫苗1针。以上产生的所有费用均由乙方承担。</w:t>
      </w:r>
    </w:p>
    <w:p w14:paraId="52BC5805">
      <w:pPr>
        <w:pStyle w:val="20"/>
        <w:snapToGrid w:val="0"/>
        <w:spacing w:line="360" w:lineRule="auto"/>
        <w:ind w:firstLine="482" w:firstLineChars="200"/>
        <w:jc w:val="both"/>
        <w:outlineLvl w:val="1"/>
        <w:rPr>
          <w:rFonts w:hint="eastAsia" w:asciiTheme="minorEastAsia" w:hAnsiTheme="minorEastAsia" w:eastAsiaTheme="minorEastAsia" w:cstheme="minorEastAsia"/>
          <w:b/>
          <w:bCs/>
          <w:color w:val="auto"/>
          <w:kern w:val="2"/>
          <w:sz w:val="24"/>
          <w:szCs w:val="24"/>
          <w:highlight w:val="none"/>
        </w:rPr>
      </w:pPr>
      <w:bookmarkStart w:id="68" w:name="_Toc788"/>
      <w:r>
        <w:rPr>
          <w:rFonts w:hint="eastAsia" w:asciiTheme="minorEastAsia" w:hAnsiTheme="minorEastAsia" w:eastAsiaTheme="minorEastAsia" w:cstheme="minorEastAsia"/>
          <w:b/>
          <w:bCs/>
          <w:color w:val="auto"/>
          <w:kern w:val="2"/>
          <w:sz w:val="24"/>
          <w:szCs w:val="24"/>
          <w:highlight w:val="none"/>
        </w:rPr>
        <w:t>五、验收方式、验收标准及验收程序</w:t>
      </w:r>
      <w:bookmarkEnd w:id="68"/>
    </w:p>
    <w:p w14:paraId="01A8F2F8">
      <w:pPr>
        <w:pStyle w:val="20"/>
        <w:snapToGrid w:val="0"/>
        <w:spacing w:line="360" w:lineRule="auto"/>
        <w:ind w:firstLine="480" w:firstLineChars="200"/>
        <w:jc w:val="both"/>
        <w:outlineLvl w:val="2"/>
        <w:rPr>
          <w:rFonts w:hint="eastAsia" w:asciiTheme="minorEastAsia" w:hAnsiTheme="minorEastAsia" w:eastAsiaTheme="minorEastAsia" w:cstheme="minorEastAsia"/>
          <w:color w:val="auto"/>
          <w:kern w:val="2"/>
          <w:sz w:val="24"/>
          <w:szCs w:val="24"/>
          <w:highlight w:val="none"/>
        </w:rPr>
      </w:pPr>
      <w:bookmarkStart w:id="69" w:name="_Toc31523"/>
      <w:r>
        <w:rPr>
          <w:rFonts w:hint="eastAsia" w:asciiTheme="minorEastAsia" w:hAnsiTheme="minorEastAsia" w:eastAsiaTheme="minorEastAsia" w:cstheme="minorEastAsia"/>
          <w:color w:val="auto"/>
          <w:kern w:val="2"/>
          <w:sz w:val="24"/>
          <w:szCs w:val="24"/>
          <w:highlight w:val="none"/>
        </w:rPr>
        <w:t>1.履约验收方式：</w:t>
      </w:r>
      <w:bookmarkEnd w:id="69"/>
    </w:p>
    <w:p w14:paraId="64170A8B">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 xml:space="preserve">启用一般程序按供货批次开展验收，验收由乌鲁木齐警犬训练基地牵头，山东出入境边防检查总站，新疆总站督察队、法制处、后勤保障处采购组组成验收小组开展验收，期间对应合同约定要求实地核查核对待训警犬数量、品种、履约过程资料等内容。                                          </w:t>
      </w:r>
    </w:p>
    <w:p w14:paraId="29BA001B">
      <w:pPr>
        <w:pStyle w:val="20"/>
        <w:snapToGrid w:val="0"/>
        <w:spacing w:line="360" w:lineRule="auto"/>
        <w:ind w:firstLine="480" w:firstLineChars="200"/>
        <w:jc w:val="both"/>
        <w:outlineLvl w:val="2"/>
        <w:rPr>
          <w:rFonts w:hint="eastAsia" w:asciiTheme="minorEastAsia" w:hAnsiTheme="minorEastAsia" w:eastAsiaTheme="minorEastAsia" w:cstheme="minorEastAsia"/>
          <w:color w:val="auto"/>
          <w:kern w:val="2"/>
          <w:sz w:val="24"/>
          <w:szCs w:val="24"/>
          <w:highlight w:val="none"/>
        </w:rPr>
      </w:pPr>
      <w:bookmarkStart w:id="70" w:name="_Toc19555"/>
      <w:r>
        <w:rPr>
          <w:rFonts w:hint="eastAsia" w:asciiTheme="minorEastAsia" w:hAnsiTheme="minorEastAsia" w:eastAsiaTheme="minorEastAsia" w:cstheme="minorEastAsia"/>
          <w:color w:val="auto"/>
          <w:kern w:val="2"/>
          <w:sz w:val="24"/>
          <w:szCs w:val="24"/>
          <w:highlight w:val="none"/>
        </w:rPr>
        <w:t>2.履约验收程序及内容要求：</w:t>
      </w:r>
      <w:bookmarkEnd w:id="70"/>
    </w:p>
    <w:p w14:paraId="45E9A2D9">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（1）提交验收申请。按照甲方要求完成第一批、第二批供货并度过犬只环境适应期后，乙方向甲方提出验收申请，甲方应收到验收申请后7个日历日内由警犬训练基地组织验收小组开展验收。</w:t>
      </w:r>
    </w:p>
    <w:p w14:paraId="6ADC9DA0">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2）提供验收所需资料。乙方需准备齐全的验收资料，包括但不限于动物医院（具备动物诊疗许可证资质）合格的体检报告、档案、血统证书（中国工作犬管理协会出具）、犬只身份证明芯片（与血统证书信息相一致）、选犬记录、往来函件、供货履约时间说明或证明、适应期保障等相关资料。</w:t>
      </w:r>
    </w:p>
    <w:p w14:paraId="7C360DB6">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（3）开展验收。验收小组按照合同约定的内容对应乙方验收所供资料进行逐项核对开展项目验收。</w:t>
      </w:r>
    </w:p>
    <w:p w14:paraId="005B5E61">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（4）验收结束后，验收小组出具验收报告。验收小组成员根据验收情况明确验收意见，经甲乙双方确认后签字、盖章。</w:t>
      </w:r>
    </w:p>
    <w:p w14:paraId="6577E899">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（5）验收不合格的处理。履约验收不合格的，警犬训练基地向供应商发出整改通知书，明确整改时限和整改要求，整改结束后由乙方对接甲方验收组织主体重新验收。</w:t>
      </w:r>
    </w:p>
    <w:p w14:paraId="6757BAF1">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 xml:space="preserve">（6）验收档案收集及保存。履约验收完成后，由甲方警犬训练基地收集验收报告留存备查。   </w:t>
      </w:r>
    </w:p>
    <w:p w14:paraId="2339C825">
      <w:pPr>
        <w:pStyle w:val="20"/>
        <w:snapToGrid w:val="0"/>
        <w:spacing w:line="360" w:lineRule="auto"/>
        <w:ind w:firstLine="480" w:firstLineChars="200"/>
        <w:jc w:val="both"/>
        <w:outlineLvl w:val="2"/>
        <w:rPr>
          <w:rFonts w:hint="eastAsia" w:asciiTheme="minorEastAsia" w:hAnsiTheme="minorEastAsia" w:eastAsiaTheme="minorEastAsia" w:cstheme="minorEastAsia"/>
          <w:color w:val="auto"/>
          <w:kern w:val="2"/>
          <w:sz w:val="24"/>
          <w:szCs w:val="24"/>
          <w:highlight w:val="none"/>
        </w:rPr>
      </w:pPr>
      <w:bookmarkStart w:id="71" w:name="_Toc26376"/>
      <w:r>
        <w:rPr>
          <w:rFonts w:hint="eastAsia" w:asciiTheme="minorEastAsia" w:hAnsiTheme="minorEastAsia" w:eastAsiaTheme="minorEastAsia" w:cstheme="minorEastAsia"/>
          <w:color w:val="auto"/>
          <w:kern w:val="2"/>
          <w:sz w:val="24"/>
          <w:szCs w:val="24"/>
          <w:highlight w:val="none"/>
        </w:rPr>
        <w:t>3、验收合格标准：</w:t>
      </w:r>
      <w:bookmarkEnd w:id="71"/>
    </w:p>
    <w:p w14:paraId="09A92641">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待训警犬数量、品种等符合采购需求，动物医院（具备动物诊疗许可证资质）出具的体检报告、档案、选犬记录、往来函件、供货履约时间说明或证明、适应期保障等相关资料齐全且达到采购及响应要求视为验收合格。</w:t>
      </w:r>
    </w:p>
    <w:p w14:paraId="768C578B">
      <w:pPr>
        <w:pStyle w:val="20"/>
        <w:snapToGrid w:val="0"/>
        <w:spacing w:line="360" w:lineRule="auto"/>
        <w:ind w:firstLine="482" w:firstLineChars="200"/>
        <w:jc w:val="both"/>
        <w:outlineLvl w:val="1"/>
        <w:rPr>
          <w:rFonts w:hint="eastAsia" w:asciiTheme="minorEastAsia" w:hAnsiTheme="minorEastAsia" w:eastAsiaTheme="minorEastAsia" w:cstheme="minorEastAsia"/>
          <w:b/>
          <w:bCs/>
          <w:color w:val="auto"/>
          <w:kern w:val="2"/>
          <w:sz w:val="24"/>
          <w:szCs w:val="24"/>
          <w:highlight w:val="none"/>
        </w:rPr>
      </w:pPr>
      <w:bookmarkStart w:id="72" w:name="_Toc31711"/>
      <w:r>
        <w:rPr>
          <w:rFonts w:hint="eastAsia" w:asciiTheme="minorEastAsia" w:hAnsiTheme="minorEastAsia" w:eastAsiaTheme="minorEastAsia" w:cstheme="minorEastAsia"/>
          <w:b/>
          <w:bCs/>
          <w:color w:val="auto"/>
          <w:kern w:val="2"/>
          <w:sz w:val="24"/>
          <w:szCs w:val="24"/>
          <w:highlight w:val="none"/>
        </w:rPr>
        <w:t>六、付款方式</w:t>
      </w:r>
      <w:bookmarkEnd w:id="72"/>
    </w:p>
    <w:p w14:paraId="1C10EF27">
      <w:pPr>
        <w:widowControl w:val="0"/>
        <w:adjustRightInd/>
        <w:snapToGrid/>
        <w:spacing w:line="510" w:lineRule="exact"/>
        <w:ind w:firstLine="480" w:firstLineChars="200"/>
        <w:jc w:val="both"/>
        <w:textAlignment w:val="auto"/>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snapToGrid/>
          <w:color w:val="auto"/>
          <w:kern w:val="2"/>
          <w:sz w:val="24"/>
          <w:szCs w:val="24"/>
          <w:highlight w:val="none"/>
          <w:lang w:eastAsia="zh-CN"/>
        </w:rPr>
        <w:t>成交通知书下达后7日历日内，乙方向甲方提供成交价格5%的履约保函（期限240个日历日）。乙方按要求分批次进行供货履约，履约完毕并验收合格后，乙方按照合同约定价分批次提供对应金额发票后向甲方对应单位支付对应款项，甲方对应单位采用银行转账的方式，按批次支付对应款项。待全部供货履约完毕后，甲方配合乙方退还履约保函。若乙方未向甲方出具全额增值税普通发票，甲方有权推迟付款，由此造成的损失，由乙方自行承担。</w:t>
      </w:r>
    </w:p>
    <w:p w14:paraId="1DC6A577">
      <w:pPr>
        <w:pStyle w:val="20"/>
        <w:snapToGrid w:val="0"/>
        <w:spacing w:line="360" w:lineRule="auto"/>
        <w:ind w:firstLine="482" w:firstLineChars="200"/>
        <w:jc w:val="both"/>
        <w:outlineLvl w:val="1"/>
        <w:rPr>
          <w:rFonts w:hint="eastAsia" w:asciiTheme="minorEastAsia" w:hAnsiTheme="minorEastAsia" w:eastAsiaTheme="minorEastAsia" w:cstheme="minorEastAsia"/>
          <w:b/>
          <w:bCs/>
          <w:color w:val="auto"/>
          <w:kern w:val="2"/>
          <w:sz w:val="24"/>
          <w:szCs w:val="24"/>
          <w:highlight w:val="none"/>
        </w:rPr>
      </w:pPr>
      <w:bookmarkStart w:id="73" w:name="_Toc7990"/>
      <w:r>
        <w:rPr>
          <w:rFonts w:hint="eastAsia" w:asciiTheme="minorEastAsia" w:hAnsiTheme="minorEastAsia" w:eastAsiaTheme="minorEastAsia" w:cstheme="minorEastAsia"/>
          <w:b/>
          <w:bCs/>
          <w:color w:val="auto"/>
          <w:kern w:val="2"/>
          <w:sz w:val="24"/>
          <w:szCs w:val="24"/>
          <w:highlight w:val="none"/>
        </w:rPr>
        <w:t>七、质保</w:t>
      </w:r>
      <w:r>
        <w:rPr>
          <w:rFonts w:hint="eastAsia" w:asciiTheme="minorEastAsia" w:hAnsiTheme="minorEastAsia" w:eastAsiaTheme="minorEastAsia" w:cstheme="minorEastAsia"/>
          <w:b/>
          <w:bCs/>
          <w:color w:val="auto"/>
          <w:kern w:val="2"/>
          <w:sz w:val="24"/>
          <w:szCs w:val="24"/>
          <w:highlight w:val="none"/>
          <w:lang w:val="en-US" w:eastAsia="zh-CN"/>
        </w:rPr>
        <w:t>期</w:t>
      </w:r>
      <w:r>
        <w:rPr>
          <w:rFonts w:hint="eastAsia" w:asciiTheme="minorEastAsia" w:hAnsiTheme="minorEastAsia" w:eastAsiaTheme="minorEastAsia" w:cstheme="minorEastAsia"/>
          <w:b/>
          <w:bCs/>
          <w:color w:val="auto"/>
          <w:kern w:val="2"/>
          <w:sz w:val="24"/>
          <w:szCs w:val="24"/>
          <w:highlight w:val="none"/>
        </w:rPr>
        <w:t>及要求</w:t>
      </w:r>
      <w:bookmarkEnd w:id="73"/>
    </w:p>
    <w:p w14:paraId="034390DA">
      <w:pPr>
        <w:pStyle w:val="20"/>
        <w:snapToGrid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rPr>
        <w:t>（一）质保期。乙方对所售犬只售后质保期为每批次供应的待训警犬度过环境适应期止，即：乙方将待训警犬送达至甲方（警犬训练基地营区）指定地点之日起20个日历日。</w:t>
      </w:r>
    </w:p>
    <w:p w14:paraId="7FF492F6">
      <w:pPr>
        <w:pStyle w:val="20"/>
        <w:snapToGrid w:val="0"/>
        <w:spacing w:line="360" w:lineRule="auto"/>
        <w:ind w:firstLine="482" w:firstLineChars="200"/>
        <w:jc w:val="both"/>
        <w:outlineLvl w:val="1"/>
        <w:rPr>
          <w:rFonts w:hint="eastAsia" w:asciiTheme="minorEastAsia" w:hAnsiTheme="minorEastAsia" w:eastAsiaTheme="minorEastAsia" w:cstheme="minorEastAsia"/>
          <w:b/>
          <w:bCs/>
          <w:color w:val="auto"/>
          <w:kern w:val="2"/>
          <w:sz w:val="24"/>
          <w:szCs w:val="24"/>
          <w:highlight w:val="none"/>
        </w:rPr>
      </w:pPr>
      <w:bookmarkStart w:id="74" w:name="_Toc7945"/>
      <w:r>
        <w:rPr>
          <w:rFonts w:hint="eastAsia" w:asciiTheme="minorEastAsia" w:hAnsiTheme="minorEastAsia" w:eastAsiaTheme="minorEastAsia" w:cstheme="minorEastAsia"/>
          <w:b/>
          <w:bCs/>
          <w:color w:val="auto"/>
          <w:kern w:val="2"/>
          <w:sz w:val="24"/>
          <w:szCs w:val="24"/>
          <w:highlight w:val="none"/>
        </w:rPr>
        <w:t>八、售后服务标准要求</w:t>
      </w:r>
      <w:bookmarkEnd w:id="74"/>
    </w:p>
    <w:p w14:paraId="7EAB3953">
      <w:pPr>
        <w:pStyle w:val="9"/>
        <w:spacing w:line="360" w:lineRule="auto"/>
        <w:ind w:firstLine="480" w:firstLineChars="200"/>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（1）供应商应向甲方明确售后服务承诺，涵盖退换货政策、质保期限、专业培训等内容，使甲方清晰了解售后服务保障范围。</w:t>
      </w:r>
    </w:p>
    <w:p w14:paraId="59372462">
      <w:pPr>
        <w:pStyle w:val="9"/>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2）在甲方遇到紧急情况时，提供紧急救援服务，如犬只突发疾病、意外受伤等，确保犬只能够得到及时有效的救治。自待训警犬进场培训直至培训结束，乙方对所售犬只售后质保期内，若犬只出现任何恶性传染病或者死亡的情况，乙方应在3日内无偿予以更换同等价值品种犬只。若乙方未按时更换犬只，扣除合同价格的1%；累计超过7日，甲方有权终止合同，所产生的一切后果由乙方承担。如因不可抗力导致延误，乙方需及时通知甲方并提供证明，双方协商顺延或更换时间。</w:t>
      </w:r>
    </w:p>
    <w:p w14:paraId="7B71F4FF">
      <w:pPr>
        <w:pStyle w:val="9"/>
        <w:spacing w:line="360" w:lineRule="auto"/>
        <w:ind w:firstLine="480" w:firstLineChars="200"/>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3）饲养指导。乙方应委派具备专业知识及丰富经验的专人开展饲养指导，饲养指导人员需持有中华人民共和国人力资源和社会保障部颁发的（三级/高级技能）训犬师职业资格证书。自待训警犬进场之日起，于现场开展为期20个日历日的饲养管理指导工作。相关费用由乙方承担。在此期间，乙方所派人员需全面负责解决犬只因环境变化等因素引发的应激障碍问题，包括但不限于观察犬只行为状态、调整饲养环境以减轻犬只应激反应、制定并执行适宜的饮食与运动计划，确保犬只能够平稳度过适应期，达到健康、良好的待训状态。</w:t>
      </w:r>
    </w:p>
    <w:p w14:paraId="557BE1BB">
      <w:pPr>
        <w:pStyle w:val="9"/>
        <w:spacing w:line="360" w:lineRule="auto"/>
        <w:ind w:firstLine="480" w:firstLineChars="200"/>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4）防疫驱虫。乙方所供应的待训警犬，应在甲方监督在场的情况下，严格按照专业宠物医疗流程完成如下防疫与驱虫操作：进行三次驱虫工作，其中两次为体内驱虫，一次为体外驱虫。驱虫药物需选用经市场验证、品质可靠的产品。同时，需完成英特威四联苗的注射，以预防犬瘟热、犬细小病毒病、犬传染性肝炎和犬副流感等常见传染病。在完成英特威四联苗注射14个日历日后，乙方应为待训警犬注射单狂犬疫苗1针，以有效预防狂犬病。上述所有防疫与驱虫操作所产生的费用，包括但不限于药品采购费用、专业宠物医疗机构的诊疗服务费用等，均由乙方承担。在操作完成后，乙方应及时向甲方提供详细的防疫与驱虫记录，包括操作时间、使用药品品牌及规格、执行机构等信息，以供甲方留存与查验。</w:t>
      </w:r>
    </w:p>
    <w:p w14:paraId="2932988B">
      <w:pPr>
        <w:pStyle w:val="9"/>
        <w:spacing w:line="360" w:lineRule="auto"/>
        <w:ind w:firstLine="480" w:firstLineChars="200"/>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5）疾病处理。质保期内，若待训警犬出现普通疾病（普通疾病范畴界定为因日常饲养环境、常见病原体感染等引发的一般性病症，如感冒、轻度肠胃不适、体表寄生虫感染等，不包含因先天性遗传缺陷、烈性传染病以及甲方不当饲养等导致的疾病），乙方应无偿提供全面的医疗服务保障，包括但不限于诊断、治疗方案制定、药品供应及必要的护理指导。若待训警犬患病周期连续7个日历日仍无明显好转迹象（“无明显好转”以具备专业资质的兽医机构出具的诊断报告为判定依据），乙方需无偿为甲方更换一头在品种、年龄、健康状况、训练潜力等方面均与原待训警犬具有同等价值的犬只。更换过程中所产生的运输、检疫等相关费用，均由乙方承担。</w:t>
      </w:r>
    </w:p>
    <w:p w14:paraId="0D0179B3">
      <w:pPr>
        <w:pStyle w:val="9"/>
        <w:spacing w:line="360" w:lineRule="auto"/>
        <w:ind w:firstLine="480" w:firstLineChars="200"/>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6）疾病预防与应急处理预案：供应商应制定严格的饲养环境卫生标准，犬舍温度保持在18-25摄氏度，湿度控制在40%-60%，每日对犬舍进行清洁消毒，消毒方式采用符合国家动物防疫标准的消毒剂进行喷雾消毒和紫外线照射消毒。应急处理预案方面，供应商在接到犬只疾病报告后，兽医人员须在2小时内到达现场。对于一般性疾病，3天内制定并实施治疗方案；对于烈性传染病，1小时内启动隔离措施，按照国家动物疫病防控中心发布的相关疫病防控技术规范进行处理，并及时向甲方及当地动物防疫部门报告疫情。</w:t>
      </w:r>
    </w:p>
    <w:p w14:paraId="58B094F1">
      <w:pPr>
        <w:pStyle w:val="9"/>
        <w:spacing w:line="360" w:lineRule="auto"/>
        <w:ind w:firstLine="480" w:firstLineChars="200"/>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（7）乙方按月回访，了解甲方所购待训警犬训练进展、健康状况等信息，解答甲方在训练过程中遇到的问题，为甲方提供持续的技术支持和指导。</w:t>
      </w:r>
    </w:p>
    <w:p w14:paraId="413CD86B">
      <w:pPr>
        <w:pStyle w:val="9"/>
        <w:spacing w:line="360" w:lineRule="auto"/>
        <w:ind w:firstLine="480" w:firstLineChars="200"/>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（8）根据甲方培训计划情况，乙方需配合甲方完成所供待训警犬工作证的办理工作，工作犬证需由中国工作犬管理协会出具。</w:t>
      </w:r>
    </w:p>
    <w:p w14:paraId="001B9AB1">
      <w:pPr>
        <w:pStyle w:val="9"/>
        <w:spacing w:line="360" w:lineRule="auto"/>
        <w:ind w:firstLine="482" w:firstLineChars="200"/>
        <w:outlineLvl w:val="1"/>
        <w:rPr>
          <w:rFonts w:hint="eastAsia" w:asciiTheme="minorEastAsia" w:hAnsiTheme="minorEastAsia" w:eastAsiaTheme="minorEastAsia" w:cstheme="minorEastAsia"/>
          <w:b/>
          <w:bCs/>
          <w:color w:val="auto"/>
          <w:kern w:val="2"/>
          <w:sz w:val="24"/>
          <w:szCs w:val="24"/>
          <w:highlight w:val="none"/>
          <w:lang w:eastAsia="zh-CN"/>
        </w:rPr>
      </w:pPr>
      <w:bookmarkStart w:id="75" w:name="_Toc29623"/>
      <w:r>
        <w:rPr>
          <w:rFonts w:hint="eastAsia" w:asciiTheme="minorEastAsia" w:hAnsiTheme="minorEastAsia" w:eastAsiaTheme="minorEastAsia" w:cstheme="minorEastAsia"/>
          <w:b/>
          <w:bCs/>
          <w:color w:val="auto"/>
          <w:kern w:val="2"/>
          <w:sz w:val="24"/>
          <w:szCs w:val="24"/>
          <w:highlight w:val="none"/>
          <w:lang w:eastAsia="zh-CN"/>
        </w:rPr>
        <w:t>九、运输包装和运输要求</w:t>
      </w:r>
      <w:bookmarkEnd w:id="75"/>
    </w:p>
    <w:p w14:paraId="575D95F1">
      <w:pPr>
        <w:pStyle w:val="9"/>
        <w:spacing w:line="360" w:lineRule="auto"/>
        <w:ind w:firstLine="480" w:firstLineChars="200"/>
        <w:outlineLvl w:val="2"/>
        <w:rPr>
          <w:rFonts w:hint="eastAsia" w:asciiTheme="minorEastAsia" w:hAnsiTheme="minorEastAsia" w:eastAsiaTheme="minorEastAsia" w:cstheme="minorEastAsia"/>
          <w:color w:val="auto"/>
          <w:kern w:val="2"/>
          <w:sz w:val="24"/>
          <w:szCs w:val="24"/>
          <w:highlight w:val="none"/>
          <w:lang w:eastAsia="zh-CN"/>
        </w:rPr>
      </w:pPr>
      <w:bookmarkStart w:id="76" w:name="_Toc1066"/>
      <w:r>
        <w:rPr>
          <w:rFonts w:hint="eastAsia" w:asciiTheme="minorEastAsia" w:hAnsiTheme="minorEastAsia" w:eastAsiaTheme="minorEastAsia" w:cstheme="minorEastAsia"/>
          <w:color w:val="auto"/>
          <w:kern w:val="2"/>
          <w:sz w:val="24"/>
          <w:szCs w:val="24"/>
          <w:highlight w:val="none"/>
          <w:lang w:eastAsia="zh-CN"/>
        </w:rPr>
        <w:t>（一）运输箱的选择：</w:t>
      </w:r>
      <w:bookmarkEnd w:id="76"/>
    </w:p>
    <w:p w14:paraId="6832243A">
      <w:pPr>
        <w:pStyle w:val="9"/>
        <w:spacing w:line="360" w:lineRule="auto"/>
        <w:ind w:firstLine="480" w:firstLineChars="200"/>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应选用坚固耐用、透气性良好的材质制作运输箱，确保犬只在运输过程中的安全与舒适。运输箱尺寸要适当，为犬只提供足够的活动空间，避免运输过程中受伤或产生不必要的应激反应。箱内铺设柔软垫料，减少犬只颠簸与碰撞，同时设置固定绑带或栏杆，防止犬只跳跃或跌落。运输箱还应具备良好的通风性能，保证犬只运输过程中有充足的氧气供应。</w:t>
      </w:r>
    </w:p>
    <w:p w14:paraId="4E556B74">
      <w:pPr>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二）运输要求：包装必须与运输方式相适应，包装方式的确定及包装费用均由乙方负责；由于不适当的包装而造成犬只在运输过程中及经甲方验收合格前有任何损坏由乙方负责。运输费、保险费、装卸费均有乙方承担。</w:t>
      </w:r>
    </w:p>
    <w:p w14:paraId="6B406537">
      <w:pPr>
        <w:pStyle w:val="9"/>
        <w:spacing w:line="360" w:lineRule="auto"/>
        <w:rPr>
          <w:rFonts w:hint="eastAsia" w:asciiTheme="minorEastAsia" w:hAnsiTheme="minorEastAsia" w:eastAsiaTheme="minorEastAsia" w:cstheme="minorEastAsia"/>
          <w:color w:val="auto"/>
          <w:kern w:val="2"/>
          <w:sz w:val="24"/>
          <w:szCs w:val="24"/>
          <w:highlight w:val="none"/>
          <w:lang w:eastAsia="zh-CN"/>
        </w:rPr>
      </w:pPr>
    </w:p>
    <w:p w14:paraId="2049DE58">
      <w:pPr>
        <w:pStyle w:val="9"/>
        <w:spacing w:line="360" w:lineRule="auto"/>
        <w:rPr>
          <w:rFonts w:hint="eastAsia" w:asciiTheme="minorEastAsia" w:hAnsiTheme="minorEastAsia" w:eastAsiaTheme="minorEastAsia" w:cstheme="minorEastAsia"/>
          <w:color w:val="auto"/>
          <w:kern w:val="2"/>
          <w:sz w:val="24"/>
          <w:szCs w:val="24"/>
          <w:highlight w:val="none"/>
          <w:lang w:eastAsia="zh-CN"/>
        </w:rPr>
      </w:pPr>
    </w:p>
    <w:p w14:paraId="7200A5EB">
      <w:pPr>
        <w:pStyle w:val="9"/>
        <w:spacing w:line="360" w:lineRule="auto"/>
        <w:rPr>
          <w:rFonts w:hint="eastAsia" w:asciiTheme="minorEastAsia" w:hAnsiTheme="minorEastAsia" w:eastAsiaTheme="minorEastAsia" w:cstheme="minorEastAsia"/>
          <w:color w:val="auto"/>
          <w:kern w:val="2"/>
          <w:sz w:val="24"/>
          <w:szCs w:val="24"/>
          <w:highlight w:val="none"/>
          <w:lang w:eastAsia="zh-CN"/>
        </w:rPr>
      </w:pPr>
    </w:p>
    <w:p w14:paraId="37F55014">
      <w:pPr>
        <w:spacing w:line="360" w:lineRule="auto"/>
        <w:ind w:firstLine="480" w:firstLineChars="200"/>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br w:type="page"/>
      </w:r>
    </w:p>
    <w:p w14:paraId="5FCAA31F">
      <w:pPr>
        <w:spacing w:line="400" w:lineRule="exact"/>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附件：</w:t>
      </w:r>
    </w:p>
    <w:p w14:paraId="3107BC0E">
      <w:pPr>
        <w:pStyle w:val="4"/>
        <w:jc w:val="center"/>
        <w:rPr>
          <w:rFonts w:hint="eastAsia" w:asciiTheme="minorEastAsia" w:hAnsiTheme="minorEastAsia" w:eastAsiaTheme="minorEastAsia" w:cstheme="minorEastAsia"/>
          <w:color w:val="auto"/>
          <w:sz w:val="30"/>
          <w:szCs w:val="30"/>
          <w:highlight w:val="none"/>
          <w:lang w:eastAsia="zh-CN"/>
        </w:rPr>
      </w:pPr>
      <w:bookmarkStart w:id="77" w:name="_Toc18057"/>
      <w:r>
        <w:rPr>
          <w:rFonts w:hint="eastAsia" w:asciiTheme="minorEastAsia" w:hAnsiTheme="minorEastAsia" w:eastAsiaTheme="minorEastAsia" w:cstheme="minorEastAsia"/>
          <w:color w:val="auto"/>
          <w:sz w:val="30"/>
          <w:szCs w:val="30"/>
          <w:highlight w:val="none"/>
          <w:lang w:eastAsia="zh-CN"/>
        </w:rPr>
        <w:t>犬只挑选测试标准</w:t>
      </w:r>
      <w:bookmarkEnd w:id="77"/>
    </w:p>
    <w:p w14:paraId="6E20836F">
      <w:pPr>
        <w:kinsoku/>
        <w:autoSpaceDE/>
        <w:autoSpaceDN/>
        <w:adjustRightInd/>
        <w:snapToGrid/>
        <w:textAlignment w:val="auto"/>
        <w:rPr>
          <w:rFonts w:hint="eastAsia" w:asciiTheme="minorEastAsia" w:hAnsiTheme="minorEastAsia" w:eastAsiaTheme="minorEastAsia" w:cstheme="minorEastAsia"/>
          <w:color w:val="auto"/>
          <w:sz w:val="24"/>
          <w:szCs w:val="24"/>
          <w:highlight w:val="none"/>
          <w:lang w:eastAsia="zh-CN"/>
        </w:rPr>
      </w:pPr>
      <w:bookmarkStart w:id="78" w:name="_Toc1723"/>
      <w:r>
        <w:rPr>
          <w:rFonts w:hint="eastAsia" w:asciiTheme="minorEastAsia" w:hAnsiTheme="minorEastAsia" w:eastAsiaTheme="minorEastAsia" w:cstheme="minorEastAsia"/>
          <w:color w:val="auto"/>
          <w:sz w:val="24"/>
          <w:szCs w:val="24"/>
          <w:highlight w:val="none"/>
          <w:lang w:eastAsia="zh-CN"/>
        </w:rPr>
        <w:t>一、身体结构与健康状况（总分 30 分）</w:t>
      </w:r>
      <w:bookmarkEnd w:id="78"/>
    </w:p>
    <w:p w14:paraId="61FF5573">
      <w:pPr>
        <w:kinsoku/>
        <w:autoSpaceDE/>
        <w:autoSpaceDN/>
        <w:adjustRightInd/>
        <w:snapToGrid/>
        <w:textAlignment w:val="auto"/>
        <w:rPr>
          <w:rFonts w:hint="eastAsia" w:asciiTheme="minorEastAsia" w:hAnsiTheme="minorEastAsia" w:eastAsiaTheme="minorEastAsia" w:cstheme="minorEastAsia"/>
          <w:color w:val="auto"/>
          <w:sz w:val="24"/>
          <w:szCs w:val="24"/>
          <w:highlight w:val="none"/>
          <w:lang w:eastAsia="zh-CN"/>
        </w:rPr>
      </w:pPr>
      <w:bookmarkStart w:id="79" w:name="_Toc18665"/>
      <w:r>
        <w:rPr>
          <w:rFonts w:hint="eastAsia" w:asciiTheme="minorEastAsia" w:hAnsiTheme="minorEastAsia" w:eastAsiaTheme="minorEastAsia" w:cstheme="minorEastAsia"/>
          <w:color w:val="auto"/>
          <w:sz w:val="24"/>
          <w:szCs w:val="24"/>
          <w:highlight w:val="none"/>
          <w:lang w:eastAsia="zh-CN"/>
        </w:rPr>
        <w:t>（一）体型与骨骼结构（10 分）</w:t>
      </w:r>
      <w:bookmarkEnd w:id="79"/>
    </w:p>
    <w:p w14:paraId="7208515B">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1.比例协调</w:t>
      </w:r>
      <w:r>
        <w:rPr>
          <w:rFonts w:hint="eastAsia" w:asciiTheme="minorEastAsia" w:hAnsiTheme="minorEastAsia" w:eastAsiaTheme="minorEastAsia" w:cstheme="minorEastAsia"/>
          <w:color w:val="auto"/>
          <w:sz w:val="24"/>
          <w:szCs w:val="24"/>
          <w:highlight w:val="none"/>
        </w:rPr>
        <w:t>（4 分）：整体体型符合该犬种标准，身体各部分比例恰当，如体长与肩高比例合适。比例完美得 4 分，轻微不符得 2 - 3 分，严重不符得 1 分及以下。</w:t>
      </w:r>
    </w:p>
    <w:p w14:paraId="6F39D30F">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2.骨骼强壮</w:t>
      </w:r>
      <w:r>
        <w:rPr>
          <w:rFonts w:hint="eastAsia" w:asciiTheme="minorEastAsia" w:hAnsiTheme="minorEastAsia" w:eastAsiaTheme="minorEastAsia" w:cstheme="minorEastAsia"/>
          <w:color w:val="auto"/>
          <w:sz w:val="24"/>
          <w:szCs w:val="24"/>
          <w:highlight w:val="none"/>
        </w:rPr>
        <w:t>（4 分）：触摸四肢、脊椎等部位，骨骼粗壮坚实。骨骼强壮得 4 分，较细弱得 2 - 3 分，有明显骨骼问题得 1 分及以下。</w:t>
      </w:r>
    </w:p>
    <w:p w14:paraId="3775D9B5">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3.肌肉发育</w:t>
      </w:r>
      <w:r>
        <w:rPr>
          <w:rFonts w:hint="eastAsia" w:asciiTheme="minorEastAsia" w:hAnsiTheme="minorEastAsia" w:eastAsiaTheme="minorEastAsia" w:cstheme="minorEastAsia"/>
          <w:color w:val="auto"/>
          <w:sz w:val="24"/>
          <w:szCs w:val="24"/>
          <w:highlight w:val="none"/>
        </w:rPr>
        <w:t>（2 分）：肌肉饱满，用手按压有弹性。肌肉良好得 2 分，较瘦弱得 1 分。</w:t>
      </w:r>
    </w:p>
    <w:p w14:paraId="278A3D00">
      <w:pPr>
        <w:kinsoku/>
        <w:autoSpaceDE/>
        <w:autoSpaceDN/>
        <w:adjustRightInd/>
        <w:snapToGrid/>
        <w:textAlignment w:val="auto"/>
        <w:rPr>
          <w:rFonts w:hint="eastAsia" w:asciiTheme="minorEastAsia" w:hAnsiTheme="minorEastAsia" w:eastAsiaTheme="minorEastAsia" w:cstheme="minorEastAsia"/>
          <w:color w:val="auto"/>
          <w:sz w:val="24"/>
          <w:szCs w:val="24"/>
          <w:highlight w:val="none"/>
          <w:lang w:eastAsia="zh-CN"/>
        </w:rPr>
      </w:pPr>
      <w:bookmarkStart w:id="80" w:name="_Toc28671"/>
      <w:r>
        <w:rPr>
          <w:rFonts w:hint="eastAsia" w:asciiTheme="minorEastAsia" w:hAnsiTheme="minorEastAsia" w:eastAsiaTheme="minorEastAsia" w:cstheme="minorEastAsia"/>
          <w:color w:val="auto"/>
          <w:sz w:val="24"/>
          <w:szCs w:val="24"/>
          <w:highlight w:val="none"/>
          <w:lang w:eastAsia="zh-CN"/>
        </w:rPr>
        <w:t>（二）毛发与皮肤（8 分）</w:t>
      </w:r>
      <w:bookmarkEnd w:id="80"/>
    </w:p>
    <w:p w14:paraId="078147EE">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1.毛发质量</w:t>
      </w:r>
      <w:r>
        <w:rPr>
          <w:rFonts w:hint="eastAsia" w:asciiTheme="minorEastAsia" w:hAnsiTheme="minorEastAsia" w:eastAsiaTheme="minorEastAsia" w:cstheme="minorEastAsia"/>
          <w:color w:val="auto"/>
          <w:sz w:val="24"/>
          <w:szCs w:val="24"/>
          <w:highlight w:val="none"/>
        </w:rPr>
        <w:t>（4 分）：毛发顺滑、有光泽，无打结、干燥现象。毛发优质得 4 分，有少量问题得 2 - 3 分，毛发粗糙、大量打结得 1 分及以下。</w:t>
      </w:r>
    </w:p>
    <w:p w14:paraId="456BD159">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2.皮肤健康</w:t>
      </w:r>
      <w:r>
        <w:rPr>
          <w:rFonts w:hint="eastAsia" w:asciiTheme="minorEastAsia" w:hAnsiTheme="minorEastAsia" w:eastAsiaTheme="minorEastAsia" w:cstheme="minorEastAsia"/>
          <w:color w:val="auto"/>
          <w:sz w:val="24"/>
          <w:szCs w:val="24"/>
          <w:highlight w:val="none"/>
        </w:rPr>
        <w:t>（4 分）：皮肤无红斑、皮屑、寄生虫，触摸温暖且干燥。皮肤健康得 4 分，有轻微问题得 2 - 3 分，有明显皮肤病得 1 分及以下。</w:t>
      </w:r>
    </w:p>
    <w:p w14:paraId="5E44AC72">
      <w:pPr>
        <w:kinsoku/>
        <w:autoSpaceDE/>
        <w:autoSpaceDN/>
        <w:adjustRightInd/>
        <w:snapToGrid/>
        <w:textAlignment w:val="auto"/>
        <w:rPr>
          <w:rFonts w:hint="eastAsia" w:asciiTheme="minorEastAsia" w:hAnsiTheme="minorEastAsia" w:eastAsiaTheme="minorEastAsia" w:cstheme="minorEastAsia"/>
          <w:color w:val="auto"/>
          <w:sz w:val="24"/>
          <w:szCs w:val="24"/>
          <w:highlight w:val="none"/>
          <w:lang w:eastAsia="zh-CN"/>
        </w:rPr>
      </w:pPr>
      <w:bookmarkStart w:id="81" w:name="_Toc4103"/>
      <w:r>
        <w:rPr>
          <w:rFonts w:hint="eastAsia" w:asciiTheme="minorEastAsia" w:hAnsiTheme="minorEastAsia" w:eastAsiaTheme="minorEastAsia" w:cstheme="minorEastAsia"/>
          <w:color w:val="auto"/>
          <w:sz w:val="24"/>
          <w:szCs w:val="24"/>
          <w:highlight w:val="none"/>
          <w:lang w:eastAsia="zh-CN"/>
        </w:rPr>
        <w:t>（三）口腔与牙齿（6 分）</w:t>
      </w:r>
      <w:bookmarkEnd w:id="81"/>
    </w:p>
    <w:p w14:paraId="4EE8DD21">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1.口腔清洁</w:t>
      </w:r>
      <w:r>
        <w:rPr>
          <w:rFonts w:hint="eastAsia" w:asciiTheme="minorEastAsia" w:hAnsiTheme="minorEastAsia" w:eastAsiaTheme="minorEastAsia" w:cstheme="minorEastAsia"/>
          <w:color w:val="auto"/>
          <w:sz w:val="24"/>
          <w:szCs w:val="24"/>
          <w:highlight w:val="none"/>
        </w:rPr>
        <w:t>（3 分）：口腔无异味，牙龈呈粉红色，无红肿、出血。口腔清洁得 3 分，有轻微异味或牙龈问题得 1 - 2 分，口腔异味重、牙龈严重问题得 1 分及以下。</w:t>
      </w:r>
    </w:p>
    <w:p w14:paraId="0C17D241">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2.牙齿状况</w:t>
      </w:r>
      <w:r>
        <w:rPr>
          <w:rFonts w:hint="eastAsia" w:asciiTheme="minorEastAsia" w:hAnsiTheme="minorEastAsia" w:eastAsiaTheme="minorEastAsia" w:cstheme="minorEastAsia"/>
          <w:color w:val="auto"/>
          <w:sz w:val="24"/>
          <w:szCs w:val="24"/>
          <w:highlight w:val="none"/>
        </w:rPr>
        <w:t>（3 分）：牙齿整齐、无龋齿、牙结石。牙齿良好得 3 分，有少量问题得 1 - 2 分，牙齿损坏严重得 1 分及以下。</w:t>
      </w:r>
    </w:p>
    <w:p w14:paraId="4716FEC5">
      <w:pPr>
        <w:kinsoku/>
        <w:autoSpaceDE/>
        <w:autoSpaceDN/>
        <w:adjustRightInd/>
        <w:snapToGrid/>
        <w:textAlignment w:val="auto"/>
        <w:rPr>
          <w:rFonts w:hint="eastAsia" w:asciiTheme="minorEastAsia" w:hAnsiTheme="minorEastAsia" w:eastAsiaTheme="minorEastAsia" w:cstheme="minorEastAsia"/>
          <w:color w:val="auto"/>
          <w:sz w:val="24"/>
          <w:szCs w:val="24"/>
          <w:highlight w:val="none"/>
        </w:rPr>
      </w:pPr>
      <w:bookmarkStart w:id="82" w:name="_Toc5504"/>
      <w:r>
        <w:rPr>
          <w:rFonts w:hint="eastAsia" w:asciiTheme="minorEastAsia" w:hAnsiTheme="minorEastAsia" w:eastAsiaTheme="minorEastAsia" w:cstheme="minorEastAsia"/>
          <w:color w:val="auto"/>
          <w:sz w:val="24"/>
          <w:szCs w:val="24"/>
          <w:highlight w:val="none"/>
        </w:rPr>
        <w:t>（四）眼睛与耳朵（6 分）</w:t>
      </w:r>
      <w:bookmarkEnd w:id="82"/>
    </w:p>
    <w:p w14:paraId="4106194F">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1.眼睛明亮</w:t>
      </w:r>
      <w:r>
        <w:rPr>
          <w:rFonts w:hint="eastAsia" w:asciiTheme="minorEastAsia" w:hAnsiTheme="minorEastAsia" w:eastAsiaTheme="minorEastAsia" w:cstheme="minorEastAsia"/>
          <w:color w:val="auto"/>
          <w:sz w:val="24"/>
          <w:szCs w:val="24"/>
          <w:highlight w:val="none"/>
        </w:rPr>
        <w:t>（3 分）：眼睛清澈、明亮，无眼屎、流泪，眼球转动灵活。眼睛良好得 3 分，有少量眼屎或轻微炎症得 1 - 2 分，眼部问题严重得 1 分及以下。</w:t>
      </w:r>
    </w:p>
    <w:p w14:paraId="21AE3D69">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2.耳朵健康</w:t>
      </w:r>
      <w:r>
        <w:rPr>
          <w:rFonts w:hint="eastAsia" w:asciiTheme="minorEastAsia" w:hAnsiTheme="minorEastAsia" w:eastAsiaTheme="minorEastAsia" w:cstheme="minorEastAsia"/>
          <w:color w:val="auto"/>
          <w:sz w:val="24"/>
          <w:szCs w:val="24"/>
          <w:highlight w:val="none"/>
        </w:rPr>
        <w:t>（3 分）：耳朵干净，无异味、分泌物，耳道无红肿。耳朵健康得 3 分，有轻微问题得 1 - 2 分，耳部疾病明显得 1 分及以下。</w:t>
      </w:r>
    </w:p>
    <w:p w14:paraId="3B749272">
      <w:pPr>
        <w:kinsoku/>
        <w:autoSpaceDE/>
        <w:autoSpaceDN/>
        <w:adjustRightInd/>
        <w:snapToGrid/>
        <w:textAlignment w:val="auto"/>
        <w:rPr>
          <w:rFonts w:hint="eastAsia" w:asciiTheme="minorEastAsia" w:hAnsiTheme="minorEastAsia" w:eastAsiaTheme="minorEastAsia" w:cstheme="minorEastAsia"/>
          <w:color w:val="auto"/>
          <w:sz w:val="24"/>
          <w:szCs w:val="24"/>
          <w:highlight w:val="none"/>
          <w:lang w:eastAsia="zh-CN"/>
        </w:rPr>
      </w:pPr>
      <w:bookmarkStart w:id="83" w:name="_Toc9238"/>
      <w:r>
        <w:rPr>
          <w:rFonts w:hint="eastAsia" w:asciiTheme="minorEastAsia" w:hAnsiTheme="minorEastAsia" w:eastAsiaTheme="minorEastAsia" w:cstheme="minorEastAsia"/>
          <w:color w:val="auto"/>
          <w:sz w:val="24"/>
          <w:szCs w:val="24"/>
          <w:highlight w:val="none"/>
          <w:lang w:eastAsia="zh-CN"/>
        </w:rPr>
        <w:t>二、行为与性格测试（总分 40 分）</w:t>
      </w:r>
      <w:bookmarkEnd w:id="83"/>
    </w:p>
    <w:p w14:paraId="1CDB4778">
      <w:pPr>
        <w:kinsoku/>
        <w:autoSpaceDE/>
        <w:autoSpaceDN/>
        <w:adjustRightInd/>
        <w:snapToGrid/>
        <w:textAlignment w:val="auto"/>
        <w:rPr>
          <w:rFonts w:hint="eastAsia" w:asciiTheme="minorEastAsia" w:hAnsiTheme="minorEastAsia" w:eastAsiaTheme="minorEastAsia" w:cstheme="minorEastAsia"/>
          <w:color w:val="auto"/>
          <w:sz w:val="24"/>
          <w:szCs w:val="24"/>
          <w:highlight w:val="none"/>
          <w:lang w:eastAsia="zh-CN"/>
        </w:rPr>
      </w:pPr>
      <w:bookmarkStart w:id="84" w:name="_Toc27717"/>
      <w:r>
        <w:rPr>
          <w:rFonts w:hint="eastAsia" w:asciiTheme="minorEastAsia" w:hAnsiTheme="minorEastAsia" w:eastAsiaTheme="minorEastAsia" w:cstheme="minorEastAsia"/>
          <w:color w:val="auto"/>
          <w:sz w:val="24"/>
          <w:szCs w:val="24"/>
          <w:highlight w:val="none"/>
          <w:lang w:eastAsia="zh-CN"/>
        </w:rPr>
        <w:t>（一）社交性（12 分）</w:t>
      </w:r>
      <w:bookmarkEnd w:id="84"/>
    </w:p>
    <w:p w14:paraId="2BBE9B55">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1.对人的反应</w:t>
      </w:r>
      <w:r>
        <w:rPr>
          <w:rFonts w:hint="eastAsia" w:asciiTheme="minorEastAsia" w:hAnsiTheme="minorEastAsia" w:eastAsiaTheme="minorEastAsia" w:cstheme="minorEastAsia"/>
          <w:color w:val="auto"/>
          <w:sz w:val="24"/>
          <w:szCs w:val="24"/>
          <w:highlight w:val="none"/>
        </w:rPr>
        <w:t>（6 分）：主动接近人，表现友好，愿意与人互动玩耍。积极主动得 6 分，较温和被动得 3 - 5 分，惧怕或攻击性强得 1 - 2 分。</w:t>
      </w:r>
    </w:p>
    <w:p w14:paraId="619105B8">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2.对其他犬只的反应</w:t>
      </w:r>
      <w:r>
        <w:rPr>
          <w:rFonts w:hint="eastAsia" w:asciiTheme="minorEastAsia" w:hAnsiTheme="minorEastAsia" w:eastAsiaTheme="minorEastAsia" w:cstheme="minorEastAsia"/>
          <w:color w:val="auto"/>
          <w:sz w:val="24"/>
          <w:szCs w:val="24"/>
          <w:highlight w:val="none"/>
        </w:rPr>
        <w:t>（6 分）：在有其他犬只的环境中，表现平静，能友好相处或正常互动。社交良好得 6 分，有轻微紧张或不适应得 3 - 5 分，有攻击行为或过度胆小得 1 - 2 分。</w:t>
      </w:r>
    </w:p>
    <w:p w14:paraId="7041C12E">
      <w:pPr>
        <w:kinsoku/>
        <w:autoSpaceDE/>
        <w:autoSpaceDN/>
        <w:adjustRightInd/>
        <w:snapToGrid/>
        <w:textAlignment w:val="auto"/>
        <w:rPr>
          <w:rFonts w:hint="eastAsia" w:asciiTheme="minorEastAsia" w:hAnsiTheme="minorEastAsia" w:eastAsiaTheme="minorEastAsia" w:cstheme="minorEastAsia"/>
          <w:color w:val="auto"/>
          <w:sz w:val="24"/>
          <w:szCs w:val="24"/>
          <w:highlight w:val="none"/>
          <w:lang w:eastAsia="zh-CN"/>
        </w:rPr>
      </w:pPr>
      <w:bookmarkStart w:id="85" w:name="_Toc1300"/>
      <w:r>
        <w:rPr>
          <w:rFonts w:hint="eastAsia" w:asciiTheme="minorEastAsia" w:hAnsiTheme="minorEastAsia" w:eastAsiaTheme="minorEastAsia" w:cstheme="minorEastAsia"/>
          <w:color w:val="auto"/>
          <w:sz w:val="24"/>
          <w:szCs w:val="24"/>
          <w:highlight w:val="none"/>
          <w:lang w:eastAsia="zh-CN"/>
        </w:rPr>
        <w:t>（二）服从性（10 分）</w:t>
      </w:r>
      <w:bookmarkEnd w:id="85"/>
    </w:p>
    <w:p w14:paraId="588A78CC">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1.基本指令响应</w:t>
      </w:r>
      <w:r>
        <w:rPr>
          <w:rFonts w:hint="eastAsia" w:asciiTheme="minorEastAsia" w:hAnsiTheme="minorEastAsia" w:eastAsiaTheme="minorEastAsia" w:cstheme="minorEastAsia"/>
          <w:color w:val="auto"/>
          <w:sz w:val="24"/>
          <w:szCs w:val="24"/>
          <w:highlight w:val="none"/>
        </w:rPr>
        <w:t>（6 分）：对简单指令如 “坐下”“过来” 等，能在短时间内做出正确反应。响应迅速准确得 6 分，反应较慢或偶尔出错得 3 - 5 分，几乎不响应得 1 - 2 分。</w:t>
      </w:r>
    </w:p>
    <w:p w14:paraId="2EACD70F">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2.持续服从</w:t>
      </w:r>
      <w:r>
        <w:rPr>
          <w:rFonts w:hint="eastAsia" w:asciiTheme="minorEastAsia" w:hAnsiTheme="minorEastAsia" w:eastAsiaTheme="minorEastAsia" w:cstheme="minorEastAsia"/>
          <w:color w:val="auto"/>
          <w:sz w:val="24"/>
          <w:szCs w:val="24"/>
          <w:highlight w:val="none"/>
        </w:rPr>
        <w:t>（4 分）：在多次指令下达后，仍能保持服从，不随意改变行为。持续服从得 4 分，偶尔不服从得 2 - 3 分，经常不服从得 1 分及以下。</w:t>
      </w:r>
    </w:p>
    <w:p w14:paraId="2D7F8789">
      <w:pPr>
        <w:kinsoku/>
        <w:autoSpaceDE/>
        <w:autoSpaceDN/>
        <w:adjustRightInd/>
        <w:snapToGrid/>
        <w:textAlignment w:val="auto"/>
        <w:rPr>
          <w:rFonts w:hint="eastAsia" w:asciiTheme="minorEastAsia" w:hAnsiTheme="minorEastAsia" w:eastAsiaTheme="minorEastAsia" w:cstheme="minorEastAsia"/>
          <w:color w:val="auto"/>
          <w:sz w:val="24"/>
          <w:szCs w:val="24"/>
          <w:highlight w:val="none"/>
          <w:lang w:eastAsia="zh-CN"/>
        </w:rPr>
      </w:pPr>
      <w:bookmarkStart w:id="86" w:name="_Toc16131"/>
      <w:r>
        <w:rPr>
          <w:rFonts w:hint="eastAsia" w:asciiTheme="minorEastAsia" w:hAnsiTheme="minorEastAsia" w:eastAsiaTheme="minorEastAsia" w:cstheme="minorEastAsia"/>
          <w:color w:val="auto"/>
          <w:sz w:val="24"/>
          <w:szCs w:val="24"/>
          <w:highlight w:val="none"/>
          <w:lang w:eastAsia="zh-CN"/>
        </w:rPr>
        <w:t>（三）活力与冷静度（8 分）</w:t>
      </w:r>
      <w:bookmarkEnd w:id="86"/>
    </w:p>
    <w:p w14:paraId="5CF29ADD">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1.活力水平</w:t>
      </w:r>
      <w:r>
        <w:rPr>
          <w:rFonts w:hint="eastAsia" w:asciiTheme="minorEastAsia" w:hAnsiTheme="minorEastAsia" w:eastAsiaTheme="minorEastAsia" w:cstheme="minorEastAsia"/>
          <w:color w:val="auto"/>
          <w:sz w:val="24"/>
          <w:szCs w:val="24"/>
          <w:highlight w:val="none"/>
        </w:rPr>
        <w:t>（4 分）：日常活动中表现出适度活力，不过于亢奋或慵懒。活力适宜得 4 分，活力过高或过低得 2 - 3 分。</w:t>
      </w:r>
    </w:p>
    <w:p w14:paraId="2FBC2D73">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2.冷静度</w:t>
      </w:r>
      <w:r>
        <w:rPr>
          <w:rFonts w:hint="eastAsia" w:asciiTheme="minorEastAsia" w:hAnsiTheme="minorEastAsia" w:eastAsiaTheme="minorEastAsia" w:cstheme="minorEastAsia"/>
          <w:color w:val="auto"/>
          <w:sz w:val="24"/>
          <w:szCs w:val="24"/>
          <w:highlight w:val="none"/>
        </w:rPr>
        <w:t>（4 分）：在陌生环境或突发情况下，能保持相对冷静，不惊慌失措。冷静表现良好得 4 分，较容易紧张得 2 - 3 分，极度惊慌得 1 分及以下。</w:t>
      </w:r>
    </w:p>
    <w:p w14:paraId="0BFB04B7">
      <w:pPr>
        <w:kinsoku/>
        <w:autoSpaceDE/>
        <w:autoSpaceDN/>
        <w:adjustRightInd/>
        <w:snapToGrid/>
        <w:textAlignment w:val="auto"/>
        <w:rPr>
          <w:rFonts w:hint="eastAsia" w:asciiTheme="minorEastAsia" w:hAnsiTheme="minorEastAsia" w:eastAsiaTheme="minorEastAsia" w:cstheme="minorEastAsia"/>
          <w:color w:val="auto"/>
          <w:sz w:val="24"/>
          <w:szCs w:val="24"/>
          <w:highlight w:val="none"/>
        </w:rPr>
      </w:pPr>
      <w:bookmarkStart w:id="87" w:name="_Toc15053"/>
      <w:r>
        <w:rPr>
          <w:rFonts w:hint="eastAsia" w:asciiTheme="minorEastAsia" w:hAnsiTheme="minorEastAsia" w:eastAsiaTheme="minorEastAsia" w:cstheme="minorEastAsia"/>
          <w:color w:val="auto"/>
          <w:sz w:val="24"/>
          <w:szCs w:val="24"/>
          <w:highlight w:val="none"/>
        </w:rPr>
        <w:t>（四）好奇心与探索欲（10 分）</w:t>
      </w:r>
      <w:bookmarkEnd w:id="87"/>
    </w:p>
    <w:p w14:paraId="242C7533">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1.新环境探索</w:t>
      </w:r>
      <w:r>
        <w:rPr>
          <w:rFonts w:hint="eastAsia" w:asciiTheme="minorEastAsia" w:hAnsiTheme="minorEastAsia" w:eastAsiaTheme="minorEastAsia" w:cstheme="minorEastAsia"/>
          <w:color w:val="auto"/>
          <w:sz w:val="24"/>
          <w:szCs w:val="24"/>
          <w:highlight w:val="none"/>
        </w:rPr>
        <w:t>（5 分）：进入新环境后，积极探索周围，对新事物表现出兴趣。探索积极得 5 分，较被动得 3 - 4 分，惧怕新环境得 1 - 2 分。</w:t>
      </w:r>
    </w:p>
    <w:p w14:paraId="238C5243">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2.物品探究</w:t>
      </w:r>
      <w:r>
        <w:rPr>
          <w:rFonts w:hint="eastAsia" w:asciiTheme="minorEastAsia" w:hAnsiTheme="minorEastAsia" w:eastAsiaTheme="minorEastAsia" w:cstheme="minorEastAsia"/>
          <w:color w:val="auto"/>
          <w:sz w:val="24"/>
          <w:szCs w:val="24"/>
          <w:highlight w:val="none"/>
        </w:rPr>
        <w:t>（5 分）：对新物品（如玩具、食物等）主动嗅闻、查看。探究积极得 5 分，反应平淡得 3 - 4 分，完全无兴趣得 1 - 2 分。</w:t>
      </w:r>
    </w:p>
    <w:p w14:paraId="10546EED">
      <w:pPr>
        <w:kinsoku/>
        <w:autoSpaceDE/>
        <w:autoSpaceDN/>
        <w:adjustRightInd/>
        <w:snapToGrid/>
        <w:textAlignment w:val="auto"/>
        <w:rPr>
          <w:rFonts w:hint="eastAsia" w:asciiTheme="minorEastAsia" w:hAnsiTheme="minorEastAsia" w:eastAsiaTheme="minorEastAsia" w:cstheme="minorEastAsia"/>
          <w:color w:val="auto"/>
          <w:sz w:val="24"/>
          <w:szCs w:val="24"/>
          <w:highlight w:val="none"/>
          <w:lang w:eastAsia="zh-CN"/>
        </w:rPr>
      </w:pPr>
      <w:bookmarkStart w:id="88" w:name="_Toc26267"/>
      <w:r>
        <w:rPr>
          <w:rFonts w:hint="eastAsia" w:asciiTheme="minorEastAsia" w:hAnsiTheme="minorEastAsia" w:eastAsiaTheme="minorEastAsia" w:cstheme="minorEastAsia"/>
          <w:color w:val="auto"/>
          <w:sz w:val="24"/>
          <w:szCs w:val="24"/>
          <w:highlight w:val="none"/>
          <w:lang w:eastAsia="zh-CN"/>
        </w:rPr>
        <w:t>三、感官能力测试（总分 30 分）</w:t>
      </w:r>
      <w:bookmarkEnd w:id="88"/>
    </w:p>
    <w:p w14:paraId="12F5995C">
      <w:pPr>
        <w:kinsoku/>
        <w:autoSpaceDE/>
        <w:autoSpaceDN/>
        <w:adjustRightInd/>
        <w:snapToGrid/>
        <w:textAlignment w:val="auto"/>
        <w:rPr>
          <w:rFonts w:hint="eastAsia" w:asciiTheme="minorEastAsia" w:hAnsiTheme="minorEastAsia" w:eastAsiaTheme="minorEastAsia" w:cstheme="minorEastAsia"/>
          <w:color w:val="auto"/>
          <w:sz w:val="24"/>
          <w:szCs w:val="24"/>
          <w:highlight w:val="none"/>
          <w:lang w:eastAsia="zh-CN"/>
        </w:rPr>
      </w:pPr>
      <w:bookmarkStart w:id="89" w:name="_Toc29146"/>
      <w:r>
        <w:rPr>
          <w:rFonts w:hint="eastAsia" w:asciiTheme="minorEastAsia" w:hAnsiTheme="minorEastAsia" w:eastAsiaTheme="minorEastAsia" w:cstheme="minorEastAsia"/>
          <w:color w:val="auto"/>
          <w:sz w:val="24"/>
          <w:szCs w:val="24"/>
          <w:highlight w:val="none"/>
          <w:lang w:eastAsia="zh-CN"/>
        </w:rPr>
        <w:t>（一）听觉（10 分）</w:t>
      </w:r>
      <w:bookmarkEnd w:id="89"/>
    </w:p>
    <w:p w14:paraId="44FDDA92">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1.声音反应</w:t>
      </w:r>
      <w:r>
        <w:rPr>
          <w:rFonts w:hint="eastAsia" w:asciiTheme="minorEastAsia" w:hAnsiTheme="minorEastAsia" w:eastAsiaTheme="minorEastAsia" w:cstheme="minorEastAsia"/>
          <w:color w:val="auto"/>
          <w:sz w:val="24"/>
          <w:szCs w:val="24"/>
          <w:highlight w:val="none"/>
        </w:rPr>
        <w:t>（6 分）：对突发声音（如拍手、铃铛声等）能迅速做出反应，转头、竖耳等。反应灵敏得 6 分，反应稍慢得 3 - 5 分，反应迟钝得 1 - 2 分。</w:t>
      </w:r>
    </w:p>
    <w:p w14:paraId="42987579">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2.声音辨别</w:t>
      </w:r>
      <w:r>
        <w:rPr>
          <w:rFonts w:hint="eastAsia" w:asciiTheme="minorEastAsia" w:hAnsiTheme="minorEastAsia" w:eastAsiaTheme="minorEastAsia" w:cstheme="minorEastAsia"/>
          <w:color w:val="auto"/>
          <w:sz w:val="24"/>
          <w:szCs w:val="24"/>
          <w:highlight w:val="none"/>
        </w:rPr>
        <w:t>（4 分）：能区分不同频率、音色的声音，做出不同反应。辨别能力强得 4 分，有一定辨别能力得 2 - 3 分，辨别困难得 1 分及以下。</w:t>
      </w:r>
    </w:p>
    <w:p w14:paraId="6F5BFF17">
      <w:pPr>
        <w:kinsoku/>
        <w:autoSpaceDE/>
        <w:autoSpaceDN/>
        <w:adjustRightInd/>
        <w:snapToGrid/>
        <w:textAlignment w:val="auto"/>
        <w:rPr>
          <w:rFonts w:hint="eastAsia" w:asciiTheme="minorEastAsia" w:hAnsiTheme="minorEastAsia" w:eastAsiaTheme="minorEastAsia" w:cstheme="minorEastAsia"/>
          <w:color w:val="auto"/>
          <w:sz w:val="24"/>
          <w:szCs w:val="24"/>
          <w:highlight w:val="none"/>
          <w:lang w:eastAsia="zh-CN"/>
        </w:rPr>
      </w:pPr>
      <w:bookmarkStart w:id="90" w:name="_Toc8087"/>
      <w:r>
        <w:rPr>
          <w:rFonts w:hint="eastAsia" w:asciiTheme="minorEastAsia" w:hAnsiTheme="minorEastAsia" w:eastAsiaTheme="minorEastAsia" w:cstheme="minorEastAsia"/>
          <w:color w:val="auto"/>
          <w:sz w:val="24"/>
          <w:szCs w:val="24"/>
          <w:highlight w:val="none"/>
          <w:lang w:eastAsia="zh-CN"/>
        </w:rPr>
        <w:t>（二）视觉（10 分）</w:t>
      </w:r>
      <w:bookmarkEnd w:id="90"/>
    </w:p>
    <w:p w14:paraId="46BBB993">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1.物体追踪</w:t>
      </w:r>
      <w:r>
        <w:rPr>
          <w:rFonts w:hint="eastAsia" w:asciiTheme="minorEastAsia" w:hAnsiTheme="minorEastAsia" w:eastAsiaTheme="minorEastAsia" w:cstheme="minorEastAsia"/>
          <w:color w:val="auto"/>
          <w:sz w:val="24"/>
          <w:szCs w:val="24"/>
          <w:highlight w:val="none"/>
        </w:rPr>
        <w:t>（6 分）：能清晰追踪移动的物体，视线稳定。追踪能力良好得 6 分，追踪稍困难得 3 - 5 分，几乎无法追踪得 1 - 2 分。</w:t>
      </w:r>
    </w:p>
    <w:p w14:paraId="4E5C7257">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2.距离判断</w:t>
      </w:r>
      <w:r>
        <w:rPr>
          <w:rFonts w:hint="eastAsia" w:asciiTheme="minorEastAsia" w:hAnsiTheme="minorEastAsia" w:eastAsiaTheme="minorEastAsia" w:cstheme="minorEastAsia"/>
          <w:color w:val="auto"/>
          <w:sz w:val="24"/>
          <w:szCs w:val="24"/>
          <w:highlight w:val="none"/>
        </w:rPr>
        <w:t>（4 分）：在抓取远处物品等行为中，能准确判断距离。判断准确得 4 分，有偏差得 2 - 3 分，严重偏差得 1 分及以下。</w:t>
      </w:r>
    </w:p>
    <w:p w14:paraId="573A7FC2">
      <w:pPr>
        <w:kinsoku/>
        <w:autoSpaceDE/>
        <w:autoSpaceDN/>
        <w:adjustRightInd/>
        <w:snapToGrid/>
        <w:textAlignment w:val="auto"/>
        <w:rPr>
          <w:rFonts w:hint="eastAsia" w:asciiTheme="minorEastAsia" w:hAnsiTheme="minorEastAsia" w:eastAsiaTheme="minorEastAsia" w:cstheme="minorEastAsia"/>
          <w:color w:val="auto"/>
          <w:sz w:val="24"/>
          <w:szCs w:val="24"/>
          <w:highlight w:val="none"/>
          <w:lang w:eastAsia="zh-CN"/>
        </w:rPr>
      </w:pPr>
      <w:bookmarkStart w:id="91" w:name="_Toc30121"/>
      <w:r>
        <w:rPr>
          <w:rFonts w:hint="eastAsia" w:asciiTheme="minorEastAsia" w:hAnsiTheme="minorEastAsia" w:eastAsiaTheme="minorEastAsia" w:cstheme="minorEastAsia"/>
          <w:color w:val="auto"/>
          <w:sz w:val="24"/>
          <w:szCs w:val="24"/>
          <w:highlight w:val="none"/>
          <w:lang w:eastAsia="zh-CN"/>
        </w:rPr>
        <w:t>（三）嗅觉（10 分）</w:t>
      </w:r>
      <w:bookmarkEnd w:id="91"/>
    </w:p>
    <w:p w14:paraId="6DB4F3B2">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1.气味辨别</w:t>
      </w:r>
      <w:r>
        <w:rPr>
          <w:rFonts w:hint="eastAsia" w:asciiTheme="minorEastAsia" w:hAnsiTheme="minorEastAsia" w:eastAsiaTheme="minorEastAsia" w:cstheme="minorEastAsia"/>
          <w:color w:val="auto"/>
          <w:sz w:val="24"/>
          <w:szCs w:val="24"/>
          <w:highlight w:val="none"/>
        </w:rPr>
        <w:t>（6 分）：能快速辨别不同气味，如食物、玩具等对应的气味。辨别能力强得 6 分，辨别稍慢或有错误得 3 - 5 分，辨别困难得 1 - 2 分。</w:t>
      </w:r>
    </w:p>
    <w:p w14:paraId="24E008A9">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2.气味追踪</w:t>
      </w:r>
      <w:r>
        <w:rPr>
          <w:rFonts w:hint="eastAsia" w:asciiTheme="minorEastAsia" w:hAnsiTheme="minorEastAsia" w:eastAsiaTheme="minorEastAsia" w:cstheme="minorEastAsia"/>
          <w:color w:val="auto"/>
          <w:sz w:val="24"/>
          <w:szCs w:val="24"/>
          <w:highlight w:val="none"/>
        </w:rPr>
        <w:t>（4 分）：在简单的气味追踪任务中，能沿着气味源找到目标物品。追踪能力良好得 4 分，追踪困难得 1 - 3 分。</w:t>
      </w:r>
    </w:p>
    <w:p w14:paraId="55BA30CB">
      <w:pPr>
        <w:kinsoku/>
        <w:autoSpaceDE/>
        <w:autoSpaceDN/>
        <w:adjustRightInd/>
        <w:snapToGrid/>
        <w:spacing w:line="400" w:lineRule="exact"/>
        <w:jc w:val="center"/>
        <w:textAlignment w:val="auto"/>
        <w:rPr>
          <w:rFonts w:hint="eastAsia" w:asciiTheme="minorEastAsia" w:hAnsiTheme="minorEastAsia" w:eastAsiaTheme="minorEastAsia" w:cstheme="minorEastAsia"/>
          <w:color w:val="auto"/>
          <w:sz w:val="24"/>
          <w:szCs w:val="24"/>
          <w:highlight w:val="none"/>
          <w:lang w:eastAsia="zh-CN"/>
        </w:rPr>
      </w:pPr>
      <w:bookmarkStart w:id="92" w:name="_Toc11399"/>
      <w:r>
        <w:rPr>
          <w:rFonts w:hint="eastAsia" w:asciiTheme="minorEastAsia" w:hAnsiTheme="minorEastAsia" w:eastAsiaTheme="minorEastAsia" w:cstheme="minorEastAsia"/>
          <w:color w:val="auto"/>
          <w:sz w:val="24"/>
          <w:szCs w:val="24"/>
          <w:highlight w:val="none"/>
          <w:lang w:eastAsia="zh-CN"/>
        </w:rPr>
        <w:t>等级评定规则</w:t>
      </w:r>
      <w:bookmarkEnd w:id="92"/>
    </w:p>
    <w:p w14:paraId="464822A5">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A 级评定</w:t>
      </w:r>
      <w:r>
        <w:rPr>
          <w:rFonts w:hint="eastAsia" w:asciiTheme="minorEastAsia" w:hAnsiTheme="minorEastAsia" w:eastAsiaTheme="minorEastAsia" w:cstheme="minorEastAsia"/>
          <w:color w:val="auto"/>
          <w:sz w:val="24"/>
          <w:szCs w:val="24"/>
          <w:highlight w:val="none"/>
        </w:rPr>
        <w:t>：测试项目中≥2 项获得 A（单项得分达到该项总分 80% 及以上为 A）。</w:t>
      </w:r>
    </w:p>
    <w:p w14:paraId="56260FE6">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B 级评定</w:t>
      </w:r>
      <w:r>
        <w:rPr>
          <w:rFonts w:hint="eastAsia" w:asciiTheme="minorEastAsia" w:hAnsiTheme="minorEastAsia" w:eastAsiaTheme="minorEastAsia" w:cstheme="minorEastAsia"/>
          <w:color w:val="auto"/>
          <w:sz w:val="24"/>
          <w:szCs w:val="24"/>
          <w:highlight w:val="none"/>
        </w:rPr>
        <w:t>：测试项目中＜2 项 A，且≥2 项 B（单项得分达到该项总分 60% - 79% 为 B）。</w:t>
      </w:r>
    </w:p>
    <w:p w14:paraId="5B87F213">
      <w:pPr>
        <w:pStyle w:val="29"/>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C 级评定</w:t>
      </w:r>
      <w:r>
        <w:rPr>
          <w:rFonts w:hint="eastAsia" w:asciiTheme="minorEastAsia" w:hAnsiTheme="minorEastAsia" w:eastAsiaTheme="minorEastAsia" w:cstheme="minorEastAsia"/>
          <w:color w:val="auto"/>
          <w:sz w:val="24"/>
          <w:szCs w:val="24"/>
          <w:highlight w:val="none"/>
        </w:rPr>
        <w:t>：测试项目中＜2 项 C（单项得分低于该项总分 60% 为 C）；或有一项评定为 C。</w:t>
      </w:r>
    </w:p>
    <w:bookmarkEnd w:id="62"/>
    <w:p w14:paraId="2270EB8B">
      <w:pPr>
        <w:pStyle w:val="2"/>
        <w:spacing w:line="360" w:lineRule="auto"/>
        <w:ind w:firstLine="420" w:firstLineChars="200"/>
        <w:rPr>
          <w:color w:val="auto"/>
          <w:highlight w:val="none"/>
          <w:lang w:eastAsia="zh-CN"/>
        </w:rPr>
      </w:pPr>
    </w:p>
    <w:p w14:paraId="4F9EF051">
      <w:pPr>
        <w:pStyle w:val="9"/>
        <w:spacing w:line="360" w:lineRule="auto"/>
        <w:ind w:firstLine="420" w:firstLineChars="200"/>
        <w:rPr>
          <w:rFonts w:ascii="宋体" w:hAnsi="宋体"/>
          <w:color w:val="auto"/>
          <w:kern w:val="2"/>
          <w:highlight w:val="none"/>
          <w:lang w:eastAsia="zh-CN"/>
        </w:rPr>
      </w:pPr>
    </w:p>
    <w:p w14:paraId="77557ADD">
      <w:pPr>
        <w:rPr>
          <w:rFonts w:ascii="宋体" w:hAnsi="宋体"/>
          <w:color w:val="auto"/>
          <w:kern w:val="2"/>
          <w:highlight w:val="none"/>
          <w:lang w:eastAsia="zh-CN"/>
        </w:rPr>
      </w:pPr>
      <w:r>
        <w:rPr>
          <w:rFonts w:ascii="宋体" w:hAnsi="宋体"/>
          <w:color w:val="auto"/>
          <w:kern w:val="2"/>
          <w:highlight w:val="none"/>
          <w:lang w:eastAsia="zh-CN"/>
        </w:rPr>
        <w:br w:type="page"/>
      </w:r>
    </w:p>
    <w:p w14:paraId="079304F0">
      <w:pPr>
        <w:pStyle w:val="3"/>
        <w:spacing w:before="110" w:line="240" w:lineRule="auto"/>
        <w:jc w:val="center"/>
        <w:rPr>
          <w:color w:val="auto"/>
          <w:highlight w:val="none"/>
          <w:lang w:eastAsia="zh-CN"/>
        </w:rPr>
      </w:pPr>
      <w:bookmarkStart w:id="93" w:name="_Toc6109"/>
      <w:r>
        <w:rPr>
          <w:color w:val="auto"/>
          <w:highlight w:val="none"/>
          <w:lang w:eastAsia="zh-CN"/>
        </w:rPr>
        <w:t>第四章评审方法</w:t>
      </w:r>
      <w:bookmarkEnd w:id="93"/>
    </w:p>
    <w:p w14:paraId="456D21C4">
      <w:pPr>
        <w:spacing w:before="18" w:line="360" w:lineRule="auto"/>
        <w:ind w:left="4"/>
        <w:outlineLvl w:val="1"/>
        <w:rPr>
          <w:rFonts w:hint="eastAsia" w:asciiTheme="minorEastAsia" w:hAnsiTheme="minorEastAsia" w:eastAsiaTheme="minorEastAsia" w:cstheme="minorEastAsia"/>
          <w:color w:val="auto"/>
          <w:sz w:val="24"/>
          <w:szCs w:val="24"/>
          <w:highlight w:val="none"/>
          <w:lang w:eastAsia="zh-CN"/>
        </w:rPr>
      </w:pPr>
      <w:bookmarkStart w:id="94" w:name="_Toc13432"/>
      <w:r>
        <w:rPr>
          <w:rFonts w:hint="eastAsia" w:asciiTheme="minorEastAsia" w:hAnsiTheme="minorEastAsia" w:eastAsiaTheme="minorEastAsia" w:cstheme="minorEastAsia"/>
          <w:color w:val="auto"/>
          <w:spacing w:val="6"/>
          <w:sz w:val="24"/>
          <w:szCs w:val="24"/>
          <w:highlight w:val="none"/>
          <w:lang w:eastAsia="zh-CN"/>
          <w14:textOutline w14:w="4394" w14:cap="flat" w14:cmpd="sng" w14:algn="ctr">
            <w14:solidFill>
              <w14:srgbClr w14:val="000000"/>
            </w14:solidFill>
            <w14:prstDash w14:val="solid"/>
            <w14:miter w14:val="0"/>
          </w14:textOutline>
        </w:rPr>
        <w:t>一、评审</w:t>
      </w:r>
      <w:bookmarkEnd w:id="94"/>
    </w:p>
    <w:p w14:paraId="53536FA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1、谈判小组应当按评审标准对响应文件进行评审，并根据谈判</w:t>
      </w:r>
      <w:r>
        <w:rPr>
          <w:rFonts w:hint="eastAsia" w:asciiTheme="minorEastAsia" w:hAnsiTheme="minorEastAsia" w:eastAsiaTheme="minorEastAsia" w:cstheme="minorEastAsia"/>
          <w:color w:val="auto"/>
          <w:spacing w:val="8"/>
          <w:sz w:val="24"/>
          <w:szCs w:val="24"/>
          <w:highlight w:val="none"/>
          <w:lang w:eastAsia="zh-CN"/>
        </w:rPr>
        <w:t>文件规定的程序、评</w:t>
      </w:r>
      <w:r>
        <w:rPr>
          <w:rFonts w:hint="eastAsia" w:asciiTheme="minorEastAsia" w:hAnsiTheme="minorEastAsia" w:eastAsiaTheme="minorEastAsia" w:cstheme="minorEastAsia"/>
          <w:color w:val="auto"/>
          <w:spacing w:val="10"/>
          <w:sz w:val="24"/>
          <w:szCs w:val="24"/>
          <w:highlight w:val="none"/>
          <w:lang w:eastAsia="zh-CN"/>
        </w:rPr>
        <w:t>定成交的标准等事项与实质性响应谈判文件要求的供应商进行谈判。</w:t>
      </w:r>
      <w:r>
        <w:rPr>
          <w:rFonts w:hint="eastAsia" w:asciiTheme="minorEastAsia" w:hAnsiTheme="minorEastAsia" w:eastAsiaTheme="minorEastAsia" w:cstheme="minorEastAsia"/>
          <w:color w:val="auto"/>
          <w:spacing w:val="9"/>
          <w:sz w:val="24"/>
          <w:szCs w:val="24"/>
          <w:highlight w:val="none"/>
          <w:lang w:eastAsia="zh-CN"/>
        </w:rPr>
        <w:t>未实质性响应谈判文件</w:t>
      </w:r>
      <w:r>
        <w:rPr>
          <w:rFonts w:hint="eastAsia" w:asciiTheme="minorEastAsia" w:hAnsiTheme="minorEastAsia" w:eastAsiaTheme="minorEastAsia" w:cstheme="minorEastAsia"/>
          <w:color w:val="auto"/>
          <w:spacing w:val="10"/>
          <w:sz w:val="24"/>
          <w:szCs w:val="24"/>
          <w:highlight w:val="none"/>
          <w:lang w:eastAsia="zh-CN"/>
        </w:rPr>
        <w:t>或未通过</w:t>
      </w:r>
      <w:r>
        <w:rPr>
          <w:rFonts w:hint="eastAsia" w:asciiTheme="minorEastAsia" w:hAnsiTheme="minorEastAsia" w:eastAsiaTheme="minorEastAsia" w:cstheme="minorEastAsia"/>
          <w:color w:val="auto"/>
          <w:spacing w:val="9"/>
          <w:sz w:val="24"/>
          <w:szCs w:val="24"/>
          <w:highlight w:val="none"/>
          <w:lang w:eastAsia="zh-CN"/>
        </w:rPr>
        <w:t>评审标准的响应文件按无效处理，谈判小组应当告知有关</w:t>
      </w:r>
      <w:r>
        <w:rPr>
          <w:rFonts w:hint="eastAsia" w:asciiTheme="minorEastAsia" w:hAnsiTheme="minorEastAsia" w:eastAsiaTheme="minorEastAsia" w:cstheme="minorEastAsia"/>
          <w:color w:val="auto"/>
          <w:spacing w:val="8"/>
          <w:sz w:val="24"/>
          <w:szCs w:val="24"/>
          <w:highlight w:val="none"/>
          <w:lang w:eastAsia="zh-CN"/>
        </w:rPr>
        <w:t>供应商。</w:t>
      </w:r>
    </w:p>
    <w:p w14:paraId="384A049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2、谈判小组所有成员应当集中与单一供应商分别进行谈判，并给予所有参加谈判的供应商平等的谈判机会。</w:t>
      </w:r>
    </w:p>
    <w:p w14:paraId="48B0753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3、在谈判过程中，谈判小组可以根据谈判文件和谈判情况实质性变动采购需求中的技术、服务要求以及合同草案条款，但不得变动谈判文件中的其他内容。实质性变动的内容，须经采购人代表确认。</w:t>
      </w:r>
    </w:p>
    <w:p w14:paraId="0D78AA7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4、对谈判文件作出的实质性变动是谈判文件的有效组成部分，谈判小组应当及时以书面形式同时通知所有参加谈判的供应商。</w:t>
      </w:r>
    </w:p>
    <w:p w14:paraId="294A715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5、供应商应当按照谈判文件的变动情况和谈判小组的要求重新提交响应文件，并由其法定代表人或授权代表签字或者加盖公章。由授权代表签字的，应当附法定代表人授权书。供应商为自然人的，应当由本人签字并附身份证明。</w:t>
      </w:r>
    </w:p>
    <w:p w14:paraId="3270C73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6、谈判文件能够详细列明采购标的的技术、服务要求的，谈判结束后，谈判小组应当要求所有继续参加谈判的供应商在规定时间内提交最后报价，提交最后报价的供应商不得少于3家。</w:t>
      </w:r>
    </w:p>
    <w:p w14:paraId="5757AC6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Theme="minorEastAsia" w:hAnsiTheme="minorEastAsia" w:eastAsiaTheme="minorEastAsia" w:cstheme="minorEastAsia"/>
          <w:color w:val="auto"/>
          <w:spacing w:val="9"/>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7、谈判文件不能详细列明采购标的的技术、服务要求，需经谈判由供应商提供最终方案的，谈判结束后，谈判小组应当按照少数服从多数的原则投票推荐3家以上供应商的方案，并要求其在规定时间内提交最后报价。</w:t>
      </w:r>
    </w:p>
    <w:p w14:paraId="4932C85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Theme="minorEastAsia" w:hAnsiTheme="minorEastAsia" w:eastAsiaTheme="minorEastAsia" w:cstheme="minorEastAsia"/>
          <w:color w:val="auto"/>
          <w:spacing w:val="9"/>
          <w:sz w:val="24"/>
          <w:szCs w:val="24"/>
          <w:highlight w:val="none"/>
          <w:lang w:eastAsia="zh-CN"/>
        </w:rPr>
      </w:pPr>
      <w:bookmarkStart w:id="95" w:name="_Toc22400"/>
      <w:r>
        <w:rPr>
          <w:rFonts w:hint="eastAsia" w:asciiTheme="minorEastAsia" w:hAnsiTheme="minorEastAsia" w:eastAsiaTheme="minorEastAsia" w:cstheme="minorEastAsia"/>
          <w:color w:val="auto"/>
          <w:spacing w:val="9"/>
          <w:sz w:val="24"/>
          <w:szCs w:val="24"/>
          <w:highlight w:val="none"/>
          <w:lang w:eastAsia="zh-CN"/>
        </w:rPr>
        <w:t>8、最后报价是供应商响应文件的有效组成部分。</w:t>
      </w:r>
      <w:bookmarkEnd w:id="95"/>
    </w:p>
    <w:p w14:paraId="2D5DE245">
      <w:pPr>
        <w:spacing w:line="192" w:lineRule="auto"/>
        <w:rPr>
          <w:rFonts w:hint="eastAsia" w:asciiTheme="minorEastAsia" w:hAnsiTheme="minorEastAsia" w:eastAsiaTheme="minorEastAsia" w:cstheme="minorEastAsia"/>
          <w:color w:val="auto"/>
          <w:sz w:val="24"/>
          <w:szCs w:val="24"/>
          <w:highlight w:val="none"/>
          <w:lang w:eastAsia="zh-CN"/>
        </w:rPr>
        <w:sectPr>
          <w:headerReference r:id="rId8" w:type="default"/>
          <w:footerReference r:id="rId9" w:type="default"/>
          <w:pgSz w:w="11906" w:h="16838"/>
          <w:pgMar w:top="1116" w:right="1229" w:bottom="1369" w:left="1229" w:header="1097" w:footer="1201" w:gutter="0"/>
          <w:pgNumType w:fmt="decimal"/>
          <w:cols w:space="720" w:num="1"/>
        </w:sectPr>
      </w:pPr>
    </w:p>
    <w:p w14:paraId="7E9EDE16">
      <w:pPr>
        <w:pStyle w:val="9"/>
        <w:spacing w:line="242" w:lineRule="auto"/>
        <w:rPr>
          <w:color w:val="auto"/>
          <w:highlight w:val="none"/>
          <w:lang w:eastAsia="zh-CN"/>
        </w:rPr>
      </w:pPr>
    </w:p>
    <w:p w14:paraId="32110900">
      <w:pPr>
        <w:pStyle w:val="9"/>
        <w:spacing w:line="242" w:lineRule="auto"/>
        <w:rPr>
          <w:color w:val="auto"/>
          <w:highlight w:val="none"/>
          <w:lang w:eastAsia="zh-CN"/>
        </w:rPr>
      </w:pPr>
    </w:p>
    <w:p w14:paraId="4BB64F97">
      <w:pPr>
        <w:pStyle w:val="9"/>
        <w:spacing w:line="243" w:lineRule="auto"/>
        <w:rPr>
          <w:color w:val="auto"/>
          <w:highlight w:val="none"/>
          <w:lang w:eastAsia="zh-CN"/>
        </w:rPr>
      </w:pPr>
    </w:p>
    <w:p w14:paraId="3C7849F8">
      <w:pPr>
        <w:pStyle w:val="9"/>
        <w:spacing w:line="243" w:lineRule="auto"/>
        <w:rPr>
          <w:color w:val="auto"/>
          <w:highlight w:val="none"/>
          <w:lang w:eastAsia="zh-CN"/>
        </w:rPr>
      </w:pPr>
    </w:p>
    <w:p w14:paraId="515EF4F1">
      <w:pPr>
        <w:numPr>
          <w:ilvl w:val="0"/>
          <w:numId w:val="3"/>
        </w:numPr>
        <w:spacing w:before="98" w:line="193" w:lineRule="auto"/>
        <w:ind w:left="85"/>
        <w:outlineLvl w:val="1"/>
        <w:rPr>
          <w:rFonts w:hint="eastAsia" w:asciiTheme="majorEastAsia" w:hAnsiTheme="majorEastAsia" w:eastAsiaTheme="majorEastAsia" w:cstheme="majorEastAsia"/>
          <w:color w:val="auto"/>
          <w:spacing w:val="9"/>
          <w:sz w:val="28"/>
          <w:szCs w:val="28"/>
          <w:highlight w:val="none"/>
          <w14:textOutline w14:w="4394" w14:cap="flat" w14:cmpd="sng" w14:algn="ctr">
            <w14:solidFill>
              <w14:srgbClr w14:val="000000"/>
            </w14:solidFill>
            <w14:prstDash w14:val="solid"/>
            <w14:miter w14:val="0"/>
          </w14:textOutline>
        </w:rPr>
      </w:pPr>
      <w:bookmarkStart w:id="96" w:name="_Toc1488"/>
      <w:r>
        <w:rPr>
          <w:rFonts w:hint="eastAsia" w:asciiTheme="majorEastAsia" w:hAnsiTheme="majorEastAsia" w:eastAsiaTheme="majorEastAsia" w:cstheme="majorEastAsia"/>
          <w:color w:val="auto"/>
          <w:spacing w:val="9"/>
          <w:sz w:val="28"/>
          <w:szCs w:val="28"/>
          <w:highlight w:val="none"/>
          <w14:textOutline w14:w="4394" w14:cap="flat" w14:cmpd="sng" w14:algn="ctr">
            <w14:solidFill>
              <w14:srgbClr w14:val="000000"/>
            </w14:solidFill>
            <w14:prstDash w14:val="solid"/>
            <w14:miter w14:val="0"/>
          </w14:textOutline>
        </w:rPr>
        <w:t>评审标准</w:t>
      </w:r>
      <w:bookmarkEnd w:id="96"/>
    </w:p>
    <w:p w14:paraId="117F34B2">
      <w:pPr>
        <w:pStyle w:val="10"/>
        <w:ind w:left="0" w:firstLine="0"/>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资格审查</w:t>
      </w:r>
    </w:p>
    <w:tbl>
      <w:tblPr>
        <w:tblStyle w:val="1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8"/>
        <w:gridCol w:w="1548"/>
        <w:gridCol w:w="4057"/>
        <w:gridCol w:w="3455"/>
      </w:tblGrid>
      <w:tr w14:paraId="54D55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trPr>
        <w:tc>
          <w:tcPr>
            <w:tcW w:w="391" w:type="pct"/>
            <w:vAlign w:val="center"/>
          </w:tcPr>
          <w:p w14:paraId="1BCE0F2D">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序号</w:t>
            </w:r>
          </w:p>
        </w:tc>
        <w:tc>
          <w:tcPr>
            <w:tcW w:w="2850" w:type="pct"/>
            <w:gridSpan w:val="2"/>
            <w:vAlign w:val="center"/>
          </w:tcPr>
          <w:p w14:paraId="195E3940">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检查因素</w:t>
            </w:r>
          </w:p>
        </w:tc>
        <w:tc>
          <w:tcPr>
            <w:tcW w:w="1757" w:type="pct"/>
            <w:vAlign w:val="center"/>
          </w:tcPr>
          <w:p w14:paraId="56C6A8A8">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检查内容</w:t>
            </w:r>
          </w:p>
        </w:tc>
      </w:tr>
      <w:tr w14:paraId="0BA69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2" w:hRule="atLeast"/>
        </w:trPr>
        <w:tc>
          <w:tcPr>
            <w:tcW w:w="391" w:type="pct"/>
            <w:vMerge w:val="restart"/>
            <w:vAlign w:val="center"/>
          </w:tcPr>
          <w:p w14:paraId="65B2EFEB">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787" w:type="pct"/>
            <w:vMerge w:val="restart"/>
            <w:vAlign w:val="center"/>
          </w:tcPr>
          <w:p w14:paraId="67AAA740">
            <w:pPr>
              <w:spacing w:line="260" w:lineRule="exact"/>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color w:val="auto"/>
                <w:sz w:val="24"/>
                <w:szCs w:val="24"/>
                <w:highlight w:val="none"/>
                <w:lang w:val="zh-CN" w:eastAsia="zh-CN"/>
              </w:rPr>
              <w:t>《中华人民共和国政府采购法》第二十二条规定</w:t>
            </w:r>
          </w:p>
        </w:tc>
        <w:tc>
          <w:tcPr>
            <w:tcW w:w="2062" w:type="pct"/>
            <w:vAlign w:val="center"/>
          </w:tcPr>
          <w:p w14:paraId="1C7D1E51">
            <w:pPr>
              <w:spacing w:line="260" w:lineRule="exact"/>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color w:val="auto"/>
                <w:sz w:val="24"/>
                <w:szCs w:val="24"/>
                <w:highlight w:val="none"/>
                <w:lang w:val="zh-CN" w:eastAsia="zh-CN"/>
              </w:rPr>
              <w:t>具有独立承担民事责任的能力</w:t>
            </w:r>
          </w:p>
        </w:tc>
        <w:tc>
          <w:tcPr>
            <w:tcW w:w="1757" w:type="pct"/>
            <w:vAlign w:val="center"/>
          </w:tcPr>
          <w:p w14:paraId="3ED4A426">
            <w:pPr>
              <w:spacing w:line="260" w:lineRule="exact"/>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color w:val="auto"/>
                <w:sz w:val="24"/>
                <w:szCs w:val="24"/>
                <w:highlight w:val="none"/>
                <w:lang w:val="zh-CN" w:eastAsia="zh-CN"/>
              </w:rPr>
              <w:t>提供合法有效的法人营业执照</w:t>
            </w:r>
          </w:p>
        </w:tc>
      </w:tr>
      <w:tr w14:paraId="087CE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0" w:hRule="atLeast"/>
        </w:trPr>
        <w:tc>
          <w:tcPr>
            <w:tcW w:w="391" w:type="pct"/>
            <w:vMerge w:val="continue"/>
            <w:vAlign w:val="center"/>
          </w:tcPr>
          <w:p w14:paraId="1347936B">
            <w:pPr>
              <w:jc w:val="center"/>
              <w:rPr>
                <w:rFonts w:hint="eastAsia" w:asciiTheme="minorEastAsia" w:hAnsiTheme="minorEastAsia" w:eastAsiaTheme="minorEastAsia" w:cstheme="minorEastAsia"/>
                <w:color w:val="auto"/>
                <w:sz w:val="24"/>
                <w:szCs w:val="24"/>
                <w:highlight w:val="none"/>
                <w:lang w:eastAsia="zh-CN"/>
              </w:rPr>
            </w:pPr>
          </w:p>
        </w:tc>
        <w:tc>
          <w:tcPr>
            <w:tcW w:w="787" w:type="pct"/>
            <w:vMerge w:val="continue"/>
            <w:vAlign w:val="center"/>
          </w:tcPr>
          <w:p w14:paraId="07420D10">
            <w:pPr>
              <w:spacing w:line="260" w:lineRule="exact"/>
              <w:rPr>
                <w:rFonts w:hint="eastAsia" w:asciiTheme="minorEastAsia" w:hAnsiTheme="minorEastAsia" w:eastAsiaTheme="minorEastAsia" w:cstheme="minorEastAsia"/>
                <w:color w:val="auto"/>
                <w:sz w:val="24"/>
                <w:szCs w:val="24"/>
                <w:highlight w:val="none"/>
                <w:lang w:val="zh-CN" w:eastAsia="zh-CN"/>
              </w:rPr>
            </w:pPr>
          </w:p>
        </w:tc>
        <w:tc>
          <w:tcPr>
            <w:tcW w:w="2062" w:type="pct"/>
            <w:vAlign w:val="center"/>
          </w:tcPr>
          <w:p w14:paraId="782C4EE7">
            <w:pPr>
              <w:spacing w:line="260" w:lineRule="exact"/>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color w:val="auto"/>
                <w:sz w:val="24"/>
                <w:szCs w:val="24"/>
                <w:highlight w:val="none"/>
                <w:lang w:val="zh-CN" w:eastAsia="zh-CN"/>
              </w:rPr>
              <w:t>具有良好的商业信誉和健全的财务会计制度</w:t>
            </w:r>
          </w:p>
        </w:tc>
        <w:tc>
          <w:tcPr>
            <w:tcW w:w="1757" w:type="pct"/>
            <w:vAlign w:val="center"/>
          </w:tcPr>
          <w:p w14:paraId="1624581A">
            <w:pPr>
              <w:spacing w:line="260" w:lineRule="exact"/>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zh-CN" w:eastAsia="zh-CN"/>
              </w:rPr>
              <w:t>提供202</w:t>
            </w:r>
            <w:r>
              <w:rPr>
                <w:rFonts w:hint="eastAsia" w:asciiTheme="minorEastAsia" w:hAnsiTheme="minorEastAsia" w:eastAsiaTheme="minorEastAsia" w:cstheme="minorEastAsia"/>
                <w:color w:val="auto"/>
                <w:sz w:val="24"/>
                <w:szCs w:val="24"/>
                <w:highlight w:val="none"/>
                <w:lang w:eastAsia="zh-CN"/>
              </w:rPr>
              <w:t>3</w:t>
            </w:r>
            <w:r>
              <w:rPr>
                <w:rFonts w:hint="eastAsia" w:asciiTheme="minorEastAsia" w:hAnsiTheme="minorEastAsia" w:eastAsiaTheme="minorEastAsia" w:cstheme="minorEastAsia"/>
                <w:color w:val="auto"/>
                <w:sz w:val="24"/>
                <w:szCs w:val="24"/>
                <w:highlight w:val="none"/>
                <w:lang w:val="zh-CN" w:eastAsia="zh-CN"/>
              </w:rPr>
              <w:t>年或</w:t>
            </w:r>
            <w:r>
              <w:rPr>
                <w:rFonts w:hint="eastAsia" w:asciiTheme="minorEastAsia" w:hAnsiTheme="minorEastAsia" w:eastAsiaTheme="minorEastAsia" w:cstheme="minorEastAsia"/>
                <w:color w:val="auto"/>
                <w:sz w:val="24"/>
                <w:szCs w:val="24"/>
                <w:highlight w:val="none"/>
                <w:lang w:eastAsia="zh-CN"/>
              </w:rPr>
              <w:t>2024年</w:t>
            </w:r>
            <w:r>
              <w:rPr>
                <w:rFonts w:hint="eastAsia" w:asciiTheme="minorEastAsia" w:hAnsiTheme="minorEastAsia" w:eastAsiaTheme="minorEastAsia" w:cstheme="minorEastAsia"/>
                <w:color w:val="auto"/>
                <w:sz w:val="24"/>
                <w:szCs w:val="24"/>
                <w:highlight w:val="none"/>
                <w:lang w:val="zh-CN" w:eastAsia="zh-CN"/>
              </w:rPr>
              <w:t>度审计报告，成立不足一年的公司出具开户银行出具的资信证明</w:t>
            </w:r>
            <w:r>
              <w:rPr>
                <w:rFonts w:hint="eastAsia" w:asciiTheme="minorEastAsia" w:hAnsiTheme="minorEastAsia" w:eastAsiaTheme="minorEastAsia" w:cstheme="minorEastAsia"/>
                <w:color w:val="auto"/>
                <w:sz w:val="24"/>
                <w:szCs w:val="24"/>
                <w:highlight w:val="none"/>
                <w:lang w:eastAsia="zh-CN"/>
              </w:rPr>
              <w:t>或出具书面承诺函，</w:t>
            </w:r>
            <w:r>
              <w:rPr>
                <w:rFonts w:hint="eastAsia" w:asciiTheme="minorEastAsia" w:hAnsiTheme="minorEastAsia" w:eastAsiaTheme="minorEastAsia" w:cstheme="minorEastAsia"/>
                <w:color w:val="auto"/>
                <w:sz w:val="24"/>
                <w:szCs w:val="24"/>
                <w:highlight w:val="none"/>
                <w:lang w:val="zh-CN" w:eastAsia="zh-CN"/>
              </w:rPr>
              <w:t>自行提供。</w:t>
            </w:r>
          </w:p>
        </w:tc>
      </w:tr>
      <w:tr w14:paraId="3A64D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atLeast"/>
        </w:trPr>
        <w:tc>
          <w:tcPr>
            <w:tcW w:w="391" w:type="pct"/>
            <w:vMerge w:val="continue"/>
            <w:vAlign w:val="center"/>
          </w:tcPr>
          <w:p w14:paraId="2C2B8A6C">
            <w:pPr>
              <w:jc w:val="center"/>
              <w:rPr>
                <w:rFonts w:hint="eastAsia" w:asciiTheme="minorEastAsia" w:hAnsiTheme="minorEastAsia" w:eastAsiaTheme="minorEastAsia" w:cstheme="minorEastAsia"/>
                <w:color w:val="auto"/>
                <w:sz w:val="24"/>
                <w:szCs w:val="24"/>
                <w:highlight w:val="none"/>
                <w:lang w:eastAsia="zh-CN"/>
              </w:rPr>
            </w:pPr>
          </w:p>
        </w:tc>
        <w:tc>
          <w:tcPr>
            <w:tcW w:w="787" w:type="pct"/>
            <w:vMerge w:val="continue"/>
            <w:vAlign w:val="center"/>
          </w:tcPr>
          <w:p w14:paraId="329A39FB">
            <w:pPr>
              <w:spacing w:line="260" w:lineRule="exact"/>
              <w:rPr>
                <w:rFonts w:hint="eastAsia" w:asciiTheme="minorEastAsia" w:hAnsiTheme="minorEastAsia" w:eastAsiaTheme="minorEastAsia" w:cstheme="minorEastAsia"/>
                <w:color w:val="auto"/>
                <w:sz w:val="24"/>
                <w:szCs w:val="24"/>
                <w:highlight w:val="none"/>
                <w:lang w:val="zh-CN" w:eastAsia="zh-CN"/>
              </w:rPr>
            </w:pPr>
          </w:p>
        </w:tc>
        <w:tc>
          <w:tcPr>
            <w:tcW w:w="2062" w:type="pct"/>
            <w:vAlign w:val="center"/>
          </w:tcPr>
          <w:p w14:paraId="76F7E266">
            <w:pPr>
              <w:spacing w:line="260" w:lineRule="exact"/>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color w:val="auto"/>
                <w:sz w:val="24"/>
                <w:szCs w:val="24"/>
                <w:highlight w:val="none"/>
                <w:lang w:val="zh-CN" w:eastAsia="zh-CN"/>
              </w:rPr>
              <w:t>具有履行合同所必须的设备和专业技术能力</w:t>
            </w:r>
          </w:p>
        </w:tc>
        <w:tc>
          <w:tcPr>
            <w:tcW w:w="1757" w:type="pct"/>
            <w:vAlign w:val="center"/>
          </w:tcPr>
          <w:p w14:paraId="2F6E7868">
            <w:pPr>
              <w:spacing w:line="260" w:lineRule="exact"/>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color w:val="auto"/>
                <w:sz w:val="24"/>
                <w:szCs w:val="24"/>
                <w:highlight w:val="none"/>
                <w:lang w:val="zh-CN" w:eastAsia="zh-CN"/>
              </w:rPr>
              <w:t>根据项目需求提供履行合同所 必需的设备和专业技术能力的书面承诺函，按格式提供。</w:t>
            </w:r>
          </w:p>
        </w:tc>
      </w:tr>
      <w:tr w14:paraId="520E1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0" w:hRule="atLeast"/>
        </w:trPr>
        <w:tc>
          <w:tcPr>
            <w:tcW w:w="391" w:type="pct"/>
            <w:vMerge w:val="continue"/>
            <w:vAlign w:val="center"/>
          </w:tcPr>
          <w:p w14:paraId="630BC2E3">
            <w:pPr>
              <w:jc w:val="center"/>
              <w:rPr>
                <w:rFonts w:hint="eastAsia" w:asciiTheme="minorEastAsia" w:hAnsiTheme="minorEastAsia" w:eastAsiaTheme="minorEastAsia" w:cstheme="minorEastAsia"/>
                <w:color w:val="auto"/>
                <w:sz w:val="24"/>
                <w:szCs w:val="24"/>
                <w:highlight w:val="none"/>
                <w:lang w:eastAsia="zh-CN"/>
              </w:rPr>
            </w:pPr>
          </w:p>
        </w:tc>
        <w:tc>
          <w:tcPr>
            <w:tcW w:w="787" w:type="pct"/>
            <w:vMerge w:val="continue"/>
            <w:vAlign w:val="center"/>
          </w:tcPr>
          <w:p w14:paraId="5BA88544">
            <w:pPr>
              <w:spacing w:line="260" w:lineRule="exact"/>
              <w:rPr>
                <w:rFonts w:hint="eastAsia" w:asciiTheme="minorEastAsia" w:hAnsiTheme="minorEastAsia" w:eastAsiaTheme="minorEastAsia" w:cstheme="minorEastAsia"/>
                <w:color w:val="auto"/>
                <w:sz w:val="24"/>
                <w:szCs w:val="24"/>
                <w:highlight w:val="none"/>
                <w:lang w:val="zh-CN" w:eastAsia="zh-CN"/>
              </w:rPr>
            </w:pPr>
          </w:p>
        </w:tc>
        <w:tc>
          <w:tcPr>
            <w:tcW w:w="2062" w:type="pct"/>
            <w:vAlign w:val="center"/>
          </w:tcPr>
          <w:p w14:paraId="11A12436">
            <w:pPr>
              <w:spacing w:line="260" w:lineRule="exact"/>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color w:val="auto"/>
                <w:sz w:val="24"/>
                <w:szCs w:val="24"/>
                <w:highlight w:val="none"/>
                <w:lang w:val="zh-CN" w:eastAsia="zh-CN"/>
              </w:rPr>
              <w:t>有依法缴纳税收和社会保障金的良好记录</w:t>
            </w:r>
          </w:p>
        </w:tc>
        <w:tc>
          <w:tcPr>
            <w:tcW w:w="1757" w:type="pct"/>
            <w:vAlign w:val="center"/>
          </w:tcPr>
          <w:p w14:paraId="29E08B13">
            <w:pPr>
              <w:spacing w:line="260" w:lineRule="exact"/>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zh-CN" w:eastAsia="zh-CN"/>
              </w:rPr>
              <w:t>提供近三个月内任意一个月的依法缴纳税收和社会保障资金的证明</w:t>
            </w:r>
            <w:r>
              <w:rPr>
                <w:rFonts w:hint="eastAsia" w:asciiTheme="minorEastAsia" w:hAnsiTheme="minorEastAsia" w:eastAsiaTheme="minorEastAsia" w:cstheme="minorEastAsia"/>
                <w:color w:val="auto"/>
                <w:sz w:val="24"/>
                <w:szCs w:val="24"/>
                <w:highlight w:val="none"/>
                <w:lang w:eastAsia="zh-CN"/>
              </w:rPr>
              <w:t>或提供有依法缴纳税收和社会保障资金的良好记录的书面承诺函，自行提供</w:t>
            </w:r>
          </w:p>
        </w:tc>
      </w:tr>
      <w:tr w14:paraId="72551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391" w:type="pct"/>
            <w:vMerge w:val="continue"/>
            <w:vAlign w:val="center"/>
          </w:tcPr>
          <w:p w14:paraId="11CFCF5F">
            <w:pPr>
              <w:jc w:val="center"/>
              <w:rPr>
                <w:rFonts w:hint="eastAsia" w:asciiTheme="minorEastAsia" w:hAnsiTheme="minorEastAsia" w:eastAsiaTheme="minorEastAsia" w:cstheme="minorEastAsia"/>
                <w:color w:val="auto"/>
                <w:sz w:val="24"/>
                <w:szCs w:val="24"/>
                <w:highlight w:val="none"/>
                <w:lang w:eastAsia="zh-CN"/>
              </w:rPr>
            </w:pPr>
          </w:p>
        </w:tc>
        <w:tc>
          <w:tcPr>
            <w:tcW w:w="787" w:type="pct"/>
            <w:vMerge w:val="continue"/>
            <w:vAlign w:val="center"/>
          </w:tcPr>
          <w:p w14:paraId="128319E1">
            <w:pPr>
              <w:spacing w:line="260" w:lineRule="exact"/>
              <w:rPr>
                <w:rFonts w:hint="eastAsia" w:asciiTheme="minorEastAsia" w:hAnsiTheme="minorEastAsia" w:eastAsiaTheme="minorEastAsia" w:cstheme="minorEastAsia"/>
                <w:color w:val="auto"/>
                <w:sz w:val="24"/>
                <w:szCs w:val="24"/>
                <w:highlight w:val="none"/>
                <w:lang w:val="zh-CN" w:eastAsia="zh-CN"/>
              </w:rPr>
            </w:pPr>
          </w:p>
        </w:tc>
        <w:tc>
          <w:tcPr>
            <w:tcW w:w="2062" w:type="pct"/>
            <w:vAlign w:val="center"/>
          </w:tcPr>
          <w:p w14:paraId="0F115F22">
            <w:pPr>
              <w:spacing w:line="260" w:lineRule="exact"/>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color w:val="auto"/>
                <w:sz w:val="24"/>
                <w:szCs w:val="24"/>
                <w:highlight w:val="none"/>
                <w:lang w:val="zh-CN" w:eastAsia="zh-CN"/>
              </w:rPr>
              <w:t>参加政府采购活动近3年内，在经营活动中没有重大违法记录</w:t>
            </w:r>
          </w:p>
        </w:tc>
        <w:tc>
          <w:tcPr>
            <w:tcW w:w="1757" w:type="pct"/>
            <w:vAlign w:val="center"/>
          </w:tcPr>
          <w:p w14:paraId="251A96B8">
            <w:pPr>
              <w:spacing w:line="260" w:lineRule="exact"/>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color w:val="auto"/>
                <w:sz w:val="24"/>
                <w:szCs w:val="24"/>
                <w:highlight w:val="none"/>
                <w:lang w:val="zh-CN" w:eastAsia="zh-CN"/>
              </w:rPr>
              <w:t>提供参加本次政府采购活动前 3 年内在经营活动中没有重大违法记录的书面承诺函，按格式提供</w:t>
            </w:r>
          </w:p>
        </w:tc>
      </w:tr>
      <w:tr w14:paraId="62FBF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1" w:type="pct"/>
            <w:vMerge w:val="continue"/>
            <w:vAlign w:val="center"/>
          </w:tcPr>
          <w:p w14:paraId="7E09092C">
            <w:pPr>
              <w:jc w:val="center"/>
              <w:rPr>
                <w:rFonts w:hint="eastAsia" w:asciiTheme="minorEastAsia" w:hAnsiTheme="minorEastAsia" w:eastAsiaTheme="minorEastAsia" w:cstheme="minorEastAsia"/>
                <w:color w:val="auto"/>
                <w:sz w:val="24"/>
                <w:szCs w:val="24"/>
                <w:highlight w:val="none"/>
                <w:lang w:eastAsia="zh-CN"/>
              </w:rPr>
            </w:pPr>
          </w:p>
        </w:tc>
        <w:tc>
          <w:tcPr>
            <w:tcW w:w="787" w:type="pct"/>
            <w:vMerge w:val="continue"/>
            <w:vAlign w:val="center"/>
          </w:tcPr>
          <w:p w14:paraId="7BCC660E">
            <w:pPr>
              <w:spacing w:line="260" w:lineRule="exact"/>
              <w:rPr>
                <w:rFonts w:hint="eastAsia" w:asciiTheme="minorEastAsia" w:hAnsiTheme="minorEastAsia" w:eastAsiaTheme="minorEastAsia" w:cstheme="minorEastAsia"/>
                <w:color w:val="auto"/>
                <w:sz w:val="24"/>
                <w:szCs w:val="24"/>
                <w:highlight w:val="none"/>
                <w:lang w:val="zh-CN" w:eastAsia="zh-CN"/>
              </w:rPr>
            </w:pPr>
          </w:p>
        </w:tc>
        <w:tc>
          <w:tcPr>
            <w:tcW w:w="2062" w:type="pct"/>
            <w:vAlign w:val="center"/>
          </w:tcPr>
          <w:p w14:paraId="217F30A5">
            <w:pPr>
              <w:spacing w:line="260" w:lineRule="exact"/>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color w:val="auto"/>
                <w:sz w:val="24"/>
                <w:szCs w:val="24"/>
                <w:highlight w:val="none"/>
                <w:lang w:val="zh-CN" w:eastAsia="zh-CN"/>
              </w:rPr>
              <w:t>法律、行政法规规定的其他条件</w:t>
            </w:r>
          </w:p>
        </w:tc>
        <w:tc>
          <w:tcPr>
            <w:tcW w:w="1757" w:type="pct"/>
            <w:vAlign w:val="center"/>
          </w:tcPr>
          <w:p w14:paraId="60C40E16">
            <w:pPr>
              <w:spacing w:line="260" w:lineRule="exact"/>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zh-CN" w:eastAsia="zh-CN"/>
              </w:rPr>
              <w:t>符合法律、行政法规规定的其他条件</w:t>
            </w:r>
            <w:r>
              <w:rPr>
                <w:rFonts w:hint="eastAsia" w:asciiTheme="minorEastAsia" w:hAnsiTheme="minorEastAsia" w:eastAsiaTheme="minorEastAsia" w:cstheme="minorEastAsia"/>
                <w:color w:val="auto"/>
                <w:sz w:val="24"/>
                <w:szCs w:val="24"/>
                <w:highlight w:val="none"/>
                <w:lang w:eastAsia="zh-CN"/>
              </w:rPr>
              <w:t>承诺函，自行提供</w:t>
            </w:r>
          </w:p>
        </w:tc>
      </w:tr>
      <w:tr w14:paraId="6496B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91" w:type="pct"/>
            <w:vAlign w:val="center"/>
          </w:tcPr>
          <w:p w14:paraId="0560754F">
            <w:pPr>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w:t>
            </w:r>
          </w:p>
        </w:tc>
        <w:tc>
          <w:tcPr>
            <w:tcW w:w="787" w:type="pct"/>
            <w:vAlign w:val="center"/>
          </w:tcPr>
          <w:p w14:paraId="14BB5BBC">
            <w:pPr>
              <w:pStyle w:val="18"/>
              <w:spacing w:before="35" w:line="186" w:lineRule="auto"/>
              <w:ind w:left="129" w:right="138"/>
              <w:jc w:val="center"/>
              <w:rPr>
                <w:rFonts w:hint="eastAsia" w:asciiTheme="minorEastAsia" w:hAnsiTheme="minorEastAsia" w:eastAsiaTheme="minorEastAsia" w:cstheme="minorEastAsia"/>
                <w:color w:val="auto"/>
                <w:sz w:val="24"/>
                <w:szCs w:val="24"/>
                <w:highlight w:val="none"/>
                <w:lang w:eastAsia="zh-CN"/>
              </w:rPr>
            </w:pPr>
          </w:p>
          <w:p w14:paraId="0096CCB6">
            <w:pPr>
              <w:pStyle w:val="18"/>
              <w:spacing w:before="35" w:line="186" w:lineRule="auto"/>
              <w:ind w:left="129" w:right="138"/>
              <w:jc w:val="center"/>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eastAsia="zh-CN"/>
              </w:rPr>
              <w:t>供应商为中小企业</w:t>
            </w:r>
          </w:p>
          <w:p w14:paraId="39C1060A">
            <w:pPr>
              <w:jc w:val="center"/>
              <w:rPr>
                <w:rFonts w:hint="eastAsia" w:asciiTheme="minorEastAsia" w:hAnsiTheme="minorEastAsia" w:eastAsiaTheme="minorEastAsia" w:cstheme="minorEastAsia"/>
                <w:color w:val="auto"/>
                <w:sz w:val="24"/>
                <w:szCs w:val="24"/>
                <w:highlight w:val="none"/>
                <w:lang w:val="zh-CN"/>
              </w:rPr>
            </w:pPr>
          </w:p>
        </w:tc>
        <w:tc>
          <w:tcPr>
            <w:tcW w:w="3820" w:type="pct"/>
            <w:gridSpan w:val="2"/>
            <w:vAlign w:val="center"/>
          </w:tcPr>
          <w:p w14:paraId="12ABEEB6">
            <w:pPr>
              <w:spacing w:line="260" w:lineRule="exact"/>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color w:val="auto"/>
                <w:sz w:val="24"/>
                <w:szCs w:val="24"/>
                <w:highlight w:val="none"/>
                <w:lang w:eastAsia="zh-CN"/>
              </w:rPr>
              <w:t>需提供中小企业声明函，</w:t>
            </w:r>
            <w:r>
              <w:rPr>
                <w:rFonts w:hint="eastAsia" w:asciiTheme="minorEastAsia" w:hAnsiTheme="minorEastAsia" w:eastAsiaTheme="minorEastAsia" w:cstheme="minorEastAsia"/>
                <w:color w:val="auto"/>
                <w:sz w:val="24"/>
                <w:szCs w:val="24"/>
                <w:highlight w:val="none"/>
                <w:lang w:val="zh-CN" w:eastAsia="zh-CN"/>
              </w:rPr>
              <w:t>按格式提供；</w:t>
            </w:r>
          </w:p>
        </w:tc>
      </w:tr>
      <w:tr w14:paraId="4ADCC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0" w:hRule="atLeast"/>
        </w:trPr>
        <w:tc>
          <w:tcPr>
            <w:tcW w:w="391" w:type="pct"/>
            <w:vMerge w:val="restart"/>
            <w:vAlign w:val="center"/>
          </w:tcPr>
          <w:p w14:paraId="5C087F18">
            <w:pPr>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3</w:t>
            </w:r>
          </w:p>
        </w:tc>
        <w:tc>
          <w:tcPr>
            <w:tcW w:w="787" w:type="pct"/>
            <w:vMerge w:val="restart"/>
            <w:vAlign w:val="center"/>
          </w:tcPr>
          <w:p w14:paraId="56954E0C">
            <w:pPr>
              <w:spacing w:line="260" w:lineRule="exact"/>
              <w:jc w:val="center"/>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特定资格要求</w:t>
            </w:r>
          </w:p>
        </w:tc>
        <w:tc>
          <w:tcPr>
            <w:tcW w:w="3820" w:type="pct"/>
            <w:gridSpan w:val="2"/>
            <w:vAlign w:val="center"/>
          </w:tcPr>
          <w:p w14:paraId="0E865B33">
            <w:pPr>
              <w:spacing w:line="260" w:lineRule="exact"/>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color w:val="auto"/>
                <w:sz w:val="24"/>
                <w:szCs w:val="24"/>
                <w:highlight w:val="none"/>
                <w:lang w:val="zh-CN" w:eastAsia="zh-CN"/>
              </w:rPr>
              <w:t>企业诚信信息未被行业主管部门通报；</w:t>
            </w:r>
          </w:p>
        </w:tc>
      </w:tr>
      <w:tr w14:paraId="6CB3D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5" w:hRule="atLeast"/>
        </w:trPr>
        <w:tc>
          <w:tcPr>
            <w:tcW w:w="391" w:type="pct"/>
            <w:vMerge w:val="continue"/>
            <w:vAlign w:val="center"/>
          </w:tcPr>
          <w:p w14:paraId="7F35734B">
            <w:pPr>
              <w:jc w:val="center"/>
              <w:rPr>
                <w:rFonts w:hint="eastAsia" w:asciiTheme="minorEastAsia" w:hAnsiTheme="minorEastAsia" w:eastAsiaTheme="minorEastAsia" w:cstheme="minorEastAsia"/>
                <w:color w:val="auto"/>
                <w:sz w:val="24"/>
                <w:szCs w:val="24"/>
                <w:highlight w:val="none"/>
                <w:lang w:eastAsia="zh-CN"/>
              </w:rPr>
            </w:pPr>
          </w:p>
        </w:tc>
        <w:tc>
          <w:tcPr>
            <w:tcW w:w="787" w:type="pct"/>
            <w:vMerge w:val="continue"/>
            <w:vAlign w:val="center"/>
          </w:tcPr>
          <w:p w14:paraId="5472FE1E">
            <w:pPr>
              <w:spacing w:line="260" w:lineRule="exact"/>
              <w:rPr>
                <w:rFonts w:hint="eastAsia" w:asciiTheme="minorEastAsia" w:hAnsiTheme="minorEastAsia" w:eastAsiaTheme="minorEastAsia" w:cstheme="minorEastAsia"/>
                <w:color w:val="auto"/>
                <w:sz w:val="24"/>
                <w:szCs w:val="24"/>
                <w:highlight w:val="none"/>
                <w:lang w:val="zh-CN" w:eastAsia="zh-CN"/>
              </w:rPr>
            </w:pPr>
          </w:p>
        </w:tc>
        <w:tc>
          <w:tcPr>
            <w:tcW w:w="3820" w:type="pct"/>
            <w:gridSpan w:val="2"/>
            <w:vAlign w:val="center"/>
          </w:tcPr>
          <w:p w14:paraId="730D5E35">
            <w:pPr>
              <w:spacing w:line="260" w:lineRule="exact"/>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color w:val="auto"/>
                <w:sz w:val="24"/>
                <w:szCs w:val="24"/>
                <w:highlight w:val="none"/>
                <w:lang w:val="zh-CN" w:eastAsia="zh-CN"/>
              </w:rPr>
              <w:t>未在“信用中国”网站（www.creditchina.gov.cn）、中国政府采购网（www.ccgp.gov.cn）等渠道列入失信被执行人、重大税收违法案件当事人名单、政府采购严重违法失信行为记录名单；</w:t>
            </w:r>
          </w:p>
        </w:tc>
      </w:tr>
      <w:tr w14:paraId="437F2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5" w:hRule="atLeast"/>
        </w:trPr>
        <w:tc>
          <w:tcPr>
            <w:tcW w:w="391" w:type="pct"/>
            <w:vMerge w:val="continue"/>
            <w:vAlign w:val="center"/>
          </w:tcPr>
          <w:p w14:paraId="131EC976">
            <w:pPr>
              <w:jc w:val="center"/>
              <w:rPr>
                <w:rFonts w:hint="eastAsia" w:asciiTheme="minorEastAsia" w:hAnsiTheme="minorEastAsia" w:eastAsiaTheme="minorEastAsia" w:cstheme="minorEastAsia"/>
                <w:color w:val="auto"/>
                <w:sz w:val="24"/>
                <w:szCs w:val="24"/>
                <w:highlight w:val="none"/>
                <w:lang w:eastAsia="zh-CN"/>
              </w:rPr>
            </w:pPr>
          </w:p>
        </w:tc>
        <w:tc>
          <w:tcPr>
            <w:tcW w:w="787" w:type="pct"/>
            <w:vMerge w:val="continue"/>
            <w:vAlign w:val="center"/>
          </w:tcPr>
          <w:p w14:paraId="73391DB5">
            <w:pPr>
              <w:spacing w:line="260" w:lineRule="exact"/>
              <w:rPr>
                <w:rFonts w:hint="eastAsia" w:asciiTheme="minorEastAsia" w:hAnsiTheme="minorEastAsia" w:eastAsiaTheme="minorEastAsia" w:cstheme="minorEastAsia"/>
                <w:color w:val="auto"/>
                <w:sz w:val="24"/>
                <w:szCs w:val="24"/>
                <w:highlight w:val="none"/>
                <w:lang w:val="zh-CN" w:eastAsia="zh-CN"/>
              </w:rPr>
            </w:pPr>
          </w:p>
        </w:tc>
        <w:tc>
          <w:tcPr>
            <w:tcW w:w="3820" w:type="pct"/>
            <w:gridSpan w:val="2"/>
            <w:vAlign w:val="center"/>
          </w:tcPr>
          <w:p w14:paraId="6BC2C0D2">
            <w:pPr>
              <w:spacing w:line="260" w:lineRule="exact"/>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color w:val="auto"/>
                <w:sz w:val="24"/>
                <w:szCs w:val="24"/>
                <w:highlight w:val="none"/>
                <w:lang w:val="zh-CN" w:eastAsia="zh-CN"/>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提供投标声明函。</w:t>
            </w:r>
          </w:p>
        </w:tc>
      </w:tr>
      <w:tr w14:paraId="77C22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5" w:hRule="atLeast"/>
        </w:trPr>
        <w:tc>
          <w:tcPr>
            <w:tcW w:w="391" w:type="pct"/>
            <w:vMerge w:val="continue"/>
            <w:vAlign w:val="center"/>
          </w:tcPr>
          <w:p w14:paraId="320F9C34">
            <w:pPr>
              <w:jc w:val="center"/>
              <w:rPr>
                <w:rFonts w:hint="eastAsia" w:asciiTheme="minorEastAsia" w:hAnsiTheme="minorEastAsia" w:eastAsiaTheme="minorEastAsia" w:cstheme="minorEastAsia"/>
                <w:color w:val="auto"/>
                <w:sz w:val="24"/>
                <w:szCs w:val="24"/>
                <w:highlight w:val="none"/>
              </w:rPr>
            </w:pPr>
          </w:p>
        </w:tc>
        <w:tc>
          <w:tcPr>
            <w:tcW w:w="787" w:type="pct"/>
            <w:vMerge w:val="continue"/>
            <w:vAlign w:val="center"/>
          </w:tcPr>
          <w:p w14:paraId="553AF3B3">
            <w:pPr>
              <w:spacing w:line="260" w:lineRule="exact"/>
              <w:rPr>
                <w:rFonts w:hint="eastAsia" w:asciiTheme="minorEastAsia" w:hAnsiTheme="minorEastAsia" w:eastAsiaTheme="minorEastAsia" w:cstheme="minorEastAsia"/>
                <w:color w:val="auto"/>
                <w:sz w:val="24"/>
                <w:szCs w:val="24"/>
                <w:highlight w:val="none"/>
                <w:lang w:val="zh-CN"/>
              </w:rPr>
            </w:pPr>
          </w:p>
        </w:tc>
        <w:tc>
          <w:tcPr>
            <w:tcW w:w="3820" w:type="pct"/>
            <w:gridSpan w:val="2"/>
            <w:vAlign w:val="center"/>
          </w:tcPr>
          <w:p w14:paraId="0A594DC0">
            <w:pPr>
              <w:spacing w:line="260" w:lineRule="exact"/>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color w:val="auto"/>
                <w:sz w:val="24"/>
                <w:szCs w:val="24"/>
                <w:highlight w:val="none"/>
                <w:lang w:val="zh-CN" w:eastAsia="zh-CN"/>
              </w:rPr>
              <w:t>供应商需提供近三年内（2022年4月至今）类似业绩2个。其中，一份完整业绩证明材料包括：中标（成交）通知书、合同关键页复印件（或扫描件）加盖公章及开具的供货发票复印件，缺一项视为无效业绩，业绩证明材料需清晰可辨认、可查，否则视为无效业绩）。</w:t>
            </w:r>
          </w:p>
        </w:tc>
      </w:tr>
    </w:tbl>
    <w:p w14:paraId="4D9FA149">
      <w:pPr>
        <w:spacing w:line="116" w:lineRule="exact"/>
        <w:rPr>
          <w:color w:val="auto"/>
          <w:highlight w:val="none"/>
          <w:lang w:eastAsia="zh-CN"/>
        </w:rPr>
      </w:pPr>
    </w:p>
    <w:p w14:paraId="2521F4FF">
      <w:pPr>
        <w:pStyle w:val="9"/>
        <w:rPr>
          <w:color w:val="auto"/>
          <w:highlight w:val="none"/>
          <w:lang w:eastAsia="zh-CN"/>
        </w:rPr>
      </w:pPr>
    </w:p>
    <w:p w14:paraId="2B5B0475">
      <w:pPr>
        <w:rPr>
          <w:rFonts w:ascii="宋体" w:hAnsi="宋体" w:cs="宋体"/>
          <w:b/>
          <w:bCs/>
          <w:color w:val="auto"/>
          <w:sz w:val="36"/>
          <w:szCs w:val="36"/>
          <w:highlight w:val="none"/>
          <w:lang w:eastAsia="zh-CN"/>
        </w:rPr>
      </w:pPr>
      <w:r>
        <w:rPr>
          <w:color w:val="auto"/>
          <w:spacing w:val="5"/>
          <w:highlight w:val="none"/>
          <w:lang w:eastAsia="zh-CN"/>
          <w14:textOutline w14:w="4394" w14:cap="flat" w14:cmpd="sng" w14:algn="ctr">
            <w14:solidFill>
              <w14:srgbClr w14:val="000000"/>
            </w14:solidFill>
            <w14:prstDash w14:val="solid"/>
            <w14:miter w14:val="0"/>
          </w14:textOutline>
        </w:rPr>
        <w:t>注：</w:t>
      </w:r>
      <w:r>
        <w:rPr>
          <w:color w:val="auto"/>
          <w:spacing w:val="5"/>
          <w:highlight w:val="none"/>
          <w:lang w:eastAsia="zh-CN"/>
        </w:rPr>
        <w:t xml:space="preserve"> </w:t>
      </w:r>
      <w:r>
        <w:rPr>
          <w:color w:val="auto"/>
          <w:spacing w:val="5"/>
          <w:highlight w:val="none"/>
          <w:lang w:eastAsia="zh-CN"/>
          <w14:textOutline w14:w="4394" w14:cap="flat" w14:cmpd="sng" w14:algn="ctr">
            <w14:solidFill>
              <w14:srgbClr w14:val="000000"/>
            </w14:solidFill>
            <w14:prstDash w14:val="solid"/>
            <w14:miter w14:val="0"/>
          </w14:textOutline>
        </w:rPr>
        <w:t>以上检查内容必须全部符合检查标准，否则为无效</w:t>
      </w:r>
      <w:r>
        <w:rPr>
          <w:color w:val="auto"/>
          <w:spacing w:val="4"/>
          <w:highlight w:val="none"/>
          <w:lang w:eastAsia="zh-CN"/>
          <w14:textOutline w14:w="4394" w14:cap="flat" w14:cmpd="sng" w14:algn="ctr">
            <w14:solidFill>
              <w14:srgbClr w14:val="000000"/>
            </w14:solidFill>
            <w14:prstDash w14:val="solid"/>
            <w14:miter w14:val="0"/>
          </w14:textOutline>
        </w:rPr>
        <w:t>响应。</w:t>
      </w:r>
      <w:r>
        <w:rPr>
          <w:rFonts w:hint="eastAsia" w:ascii="宋体" w:hAnsi="宋体" w:cs="宋体"/>
          <w:b/>
          <w:bCs/>
          <w:color w:val="auto"/>
          <w:sz w:val="36"/>
          <w:szCs w:val="36"/>
          <w:highlight w:val="none"/>
          <w:lang w:eastAsia="zh-CN"/>
        </w:rPr>
        <w:br w:type="page"/>
      </w:r>
    </w:p>
    <w:p w14:paraId="30326E9A">
      <w:pPr>
        <w:spacing w:line="500" w:lineRule="exact"/>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符合性检查表</w:t>
      </w:r>
    </w:p>
    <w:tbl>
      <w:tblPr>
        <w:tblStyle w:val="19"/>
        <w:tblW w:w="959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32"/>
        <w:gridCol w:w="1832"/>
        <w:gridCol w:w="5934"/>
      </w:tblGrid>
      <w:tr w14:paraId="05BEFE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832" w:type="dxa"/>
          </w:tcPr>
          <w:p w14:paraId="23222D62">
            <w:pPr>
              <w:pStyle w:val="18"/>
              <w:spacing w:before="75" w:line="218" w:lineRule="auto"/>
              <w:ind w:left="74" w:right="75" w:firstLine="5"/>
              <w:jc w:val="center"/>
              <w:rPr>
                <w:rFonts w:hint="eastAsia" w:asciiTheme="minorEastAsia" w:hAnsiTheme="minorEastAsia" w:eastAsiaTheme="minorEastAsia" w:cstheme="minorEastAsia"/>
                <w:color w:val="auto"/>
                <w:spacing w:val="7"/>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序号</w:t>
            </w:r>
          </w:p>
        </w:tc>
        <w:tc>
          <w:tcPr>
            <w:tcW w:w="1832" w:type="dxa"/>
          </w:tcPr>
          <w:p w14:paraId="6CAB691F">
            <w:pPr>
              <w:pStyle w:val="18"/>
              <w:spacing w:before="75" w:line="218" w:lineRule="auto"/>
              <w:ind w:left="74" w:right="75" w:firstLine="5"/>
              <w:jc w:val="center"/>
              <w:rPr>
                <w:rFonts w:hint="eastAsia" w:asciiTheme="minorEastAsia" w:hAnsiTheme="minorEastAsia" w:eastAsiaTheme="minorEastAsia" w:cstheme="minorEastAsia"/>
                <w:color w:val="auto"/>
                <w:spacing w:val="7"/>
                <w:sz w:val="24"/>
                <w:szCs w:val="24"/>
                <w:highlight w:val="none"/>
              </w:rPr>
            </w:pPr>
            <w:r>
              <w:rPr>
                <w:rFonts w:hint="eastAsia" w:asciiTheme="minorEastAsia" w:hAnsiTheme="minorEastAsia" w:eastAsiaTheme="minorEastAsia" w:cstheme="minorEastAsia"/>
                <w:color w:val="auto"/>
                <w:sz w:val="24"/>
                <w:szCs w:val="24"/>
                <w:highlight w:val="none"/>
              </w:rPr>
              <w:t>检查因素</w:t>
            </w:r>
          </w:p>
        </w:tc>
        <w:tc>
          <w:tcPr>
            <w:tcW w:w="5934" w:type="dxa"/>
          </w:tcPr>
          <w:p w14:paraId="3845FDCC">
            <w:pPr>
              <w:pStyle w:val="18"/>
              <w:spacing w:before="89" w:line="211" w:lineRule="auto"/>
              <w:ind w:left="76" w:right="65" w:firstLine="18"/>
              <w:jc w:val="center"/>
              <w:rPr>
                <w:rFonts w:hint="eastAsia" w:asciiTheme="minorEastAsia" w:hAnsiTheme="minorEastAsia" w:eastAsiaTheme="minorEastAsia" w:cstheme="minorEastAsia"/>
                <w:color w:val="auto"/>
                <w:spacing w:val="19"/>
                <w:sz w:val="24"/>
                <w:szCs w:val="24"/>
                <w:highlight w:val="none"/>
              </w:rPr>
            </w:pPr>
            <w:r>
              <w:rPr>
                <w:rFonts w:hint="eastAsia" w:asciiTheme="minorEastAsia" w:hAnsiTheme="minorEastAsia" w:eastAsiaTheme="minorEastAsia" w:cstheme="minorEastAsia"/>
                <w:color w:val="auto"/>
                <w:sz w:val="24"/>
                <w:szCs w:val="24"/>
                <w:highlight w:val="none"/>
              </w:rPr>
              <w:t>检查内容</w:t>
            </w:r>
          </w:p>
        </w:tc>
      </w:tr>
      <w:tr w14:paraId="53BC46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85" w:hRule="atLeast"/>
        </w:trPr>
        <w:tc>
          <w:tcPr>
            <w:tcW w:w="1832" w:type="dxa"/>
            <w:vAlign w:val="center"/>
          </w:tcPr>
          <w:p w14:paraId="6D277994">
            <w:pPr>
              <w:pStyle w:val="18"/>
              <w:spacing w:before="75" w:line="218" w:lineRule="auto"/>
              <w:ind w:left="74" w:right="75" w:firstLine="5"/>
              <w:jc w:val="center"/>
              <w:rPr>
                <w:rFonts w:hint="eastAsia" w:asciiTheme="minorEastAsia" w:hAnsiTheme="minorEastAsia" w:eastAsiaTheme="minorEastAsia" w:cstheme="minorEastAsia"/>
                <w:color w:val="auto"/>
                <w:spacing w:val="7"/>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1</w:t>
            </w:r>
          </w:p>
        </w:tc>
        <w:tc>
          <w:tcPr>
            <w:tcW w:w="1832" w:type="dxa"/>
          </w:tcPr>
          <w:p w14:paraId="6116CA62">
            <w:pPr>
              <w:spacing w:line="328" w:lineRule="auto"/>
              <w:rPr>
                <w:rFonts w:hint="eastAsia" w:asciiTheme="minorEastAsia" w:hAnsiTheme="minorEastAsia" w:eastAsiaTheme="minorEastAsia" w:cstheme="minorEastAsia"/>
                <w:color w:val="auto"/>
                <w:sz w:val="24"/>
                <w:szCs w:val="24"/>
                <w:highlight w:val="none"/>
                <w:lang w:eastAsia="zh-CN"/>
              </w:rPr>
            </w:pPr>
          </w:p>
          <w:p w14:paraId="23C28899">
            <w:pPr>
              <w:spacing w:line="328" w:lineRule="auto"/>
              <w:rPr>
                <w:rFonts w:hint="eastAsia" w:asciiTheme="minorEastAsia" w:hAnsiTheme="minorEastAsia" w:eastAsiaTheme="minorEastAsia" w:cstheme="minorEastAsia"/>
                <w:color w:val="auto"/>
                <w:sz w:val="24"/>
                <w:szCs w:val="24"/>
                <w:highlight w:val="none"/>
                <w:lang w:eastAsia="zh-CN"/>
              </w:rPr>
            </w:pPr>
          </w:p>
          <w:p w14:paraId="6403919F">
            <w:pPr>
              <w:pStyle w:val="18"/>
              <w:spacing w:before="75" w:line="218" w:lineRule="auto"/>
              <w:ind w:left="74" w:right="75" w:firstLine="5"/>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商务技术响应文</w:t>
            </w:r>
            <w:r>
              <w:rPr>
                <w:rFonts w:hint="eastAsia" w:asciiTheme="minorEastAsia" w:hAnsiTheme="minorEastAsia" w:eastAsiaTheme="minorEastAsia" w:cstheme="minorEastAsia"/>
                <w:color w:val="auto"/>
                <w:spacing w:val="5"/>
                <w:sz w:val="24"/>
                <w:szCs w:val="24"/>
                <w:highlight w:val="none"/>
                <w:lang w:eastAsia="zh-CN"/>
              </w:rPr>
              <w:t xml:space="preserve"> </w:t>
            </w:r>
            <w:r>
              <w:rPr>
                <w:rFonts w:hint="eastAsia" w:asciiTheme="minorEastAsia" w:hAnsiTheme="minorEastAsia" w:eastAsiaTheme="minorEastAsia" w:cstheme="minorEastAsia"/>
                <w:color w:val="auto"/>
                <w:spacing w:val="7"/>
                <w:sz w:val="24"/>
                <w:szCs w:val="24"/>
                <w:highlight w:val="none"/>
                <w:lang w:eastAsia="zh-CN"/>
              </w:rPr>
              <w:t>件--商务资信</w:t>
            </w:r>
          </w:p>
        </w:tc>
        <w:tc>
          <w:tcPr>
            <w:tcW w:w="5934" w:type="dxa"/>
          </w:tcPr>
          <w:p w14:paraId="0A61869F">
            <w:pPr>
              <w:pStyle w:val="18"/>
              <w:numPr>
                <w:ilvl w:val="0"/>
                <w:numId w:val="4"/>
              </w:numPr>
              <w:spacing w:before="89" w:line="211" w:lineRule="auto"/>
              <w:ind w:left="76" w:right="65" w:firstLine="18"/>
              <w:jc w:val="both"/>
              <w:rPr>
                <w:rFonts w:hint="eastAsia" w:asciiTheme="minorEastAsia" w:hAnsiTheme="minorEastAsia" w:eastAsiaTheme="minorEastAsia" w:cstheme="minorEastAsia"/>
                <w:color w:val="auto"/>
                <w:spacing w:val="10"/>
                <w:sz w:val="24"/>
                <w:szCs w:val="24"/>
                <w:highlight w:val="none"/>
                <w:lang w:eastAsia="zh-CN"/>
              </w:rPr>
            </w:pPr>
            <w:r>
              <w:rPr>
                <w:rFonts w:hint="eastAsia" w:asciiTheme="minorEastAsia" w:hAnsiTheme="minorEastAsia" w:eastAsiaTheme="minorEastAsia" w:cstheme="minorEastAsia"/>
                <w:color w:val="auto"/>
                <w:spacing w:val="19"/>
                <w:sz w:val="24"/>
                <w:szCs w:val="24"/>
                <w:highlight w:val="none"/>
                <w:lang w:eastAsia="zh-CN"/>
              </w:rPr>
              <w:t>供应商名称是否与营业执照或事业单位法人证书一</w:t>
            </w:r>
            <w:r>
              <w:rPr>
                <w:rFonts w:hint="eastAsia" w:asciiTheme="minorEastAsia" w:hAnsiTheme="minorEastAsia" w:eastAsiaTheme="minorEastAsia" w:cstheme="minorEastAsia"/>
                <w:color w:val="auto"/>
                <w:spacing w:val="10"/>
                <w:sz w:val="24"/>
                <w:szCs w:val="24"/>
                <w:highlight w:val="none"/>
                <w:lang w:eastAsia="zh-CN"/>
              </w:rPr>
              <w:t>致；</w:t>
            </w:r>
          </w:p>
          <w:p w14:paraId="1659AE12">
            <w:pPr>
              <w:pStyle w:val="18"/>
              <w:numPr>
                <w:ilvl w:val="0"/>
                <w:numId w:val="4"/>
              </w:numPr>
              <w:spacing w:before="89" w:line="211" w:lineRule="auto"/>
              <w:ind w:left="76" w:right="65" w:firstLine="18"/>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0"/>
                <w:sz w:val="24"/>
                <w:szCs w:val="24"/>
                <w:highlight w:val="none"/>
                <w:lang w:eastAsia="zh-CN"/>
              </w:rPr>
              <w:t>供应商是否按谈判文件要求在规定区域加盖单位</w:t>
            </w:r>
            <w:r>
              <w:rPr>
                <w:rFonts w:hint="eastAsia" w:asciiTheme="minorEastAsia" w:hAnsiTheme="minorEastAsia" w:eastAsiaTheme="minorEastAsia" w:cstheme="minorEastAsia"/>
                <w:color w:val="auto"/>
                <w:spacing w:val="9"/>
                <w:sz w:val="24"/>
                <w:szCs w:val="24"/>
                <w:highlight w:val="none"/>
                <w:lang w:eastAsia="zh-CN"/>
              </w:rPr>
              <w:t xml:space="preserve"> </w:t>
            </w:r>
            <w:r>
              <w:rPr>
                <w:rFonts w:hint="eastAsia" w:asciiTheme="minorEastAsia" w:hAnsiTheme="minorEastAsia" w:eastAsiaTheme="minorEastAsia" w:cstheme="minorEastAsia"/>
                <w:color w:val="auto"/>
                <w:spacing w:val="10"/>
                <w:sz w:val="24"/>
                <w:szCs w:val="24"/>
                <w:highlight w:val="none"/>
                <w:lang w:eastAsia="zh-CN"/>
              </w:rPr>
              <w:t>公章和法定代表人签字或盖章；</w:t>
            </w:r>
          </w:p>
          <w:p w14:paraId="65B9B692">
            <w:pPr>
              <w:pStyle w:val="18"/>
              <w:numPr>
                <w:ilvl w:val="0"/>
                <w:numId w:val="4"/>
              </w:numPr>
              <w:spacing w:before="89" w:line="211" w:lineRule="auto"/>
              <w:ind w:left="76" w:right="65" w:firstLine="18"/>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0"/>
                <w:sz w:val="24"/>
                <w:szCs w:val="24"/>
                <w:highlight w:val="none"/>
                <w:lang w:eastAsia="zh-CN"/>
              </w:rPr>
              <w:t>供应商是否按照响应</w:t>
            </w:r>
            <w:r>
              <w:rPr>
                <w:rFonts w:hint="eastAsia" w:asciiTheme="minorEastAsia" w:hAnsiTheme="minorEastAsia" w:eastAsiaTheme="minorEastAsia" w:cstheme="minorEastAsia"/>
                <w:color w:val="auto"/>
                <w:spacing w:val="11"/>
                <w:sz w:val="24"/>
                <w:szCs w:val="24"/>
                <w:highlight w:val="none"/>
                <w:lang w:eastAsia="zh-CN"/>
              </w:rPr>
              <w:t xml:space="preserve"> </w:t>
            </w:r>
            <w:r>
              <w:rPr>
                <w:rFonts w:hint="eastAsia" w:asciiTheme="minorEastAsia" w:hAnsiTheme="minorEastAsia" w:eastAsiaTheme="minorEastAsia" w:cstheme="minorEastAsia"/>
                <w:color w:val="auto"/>
                <w:spacing w:val="10"/>
                <w:sz w:val="24"/>
                <w:szCs w:val="24"/>
                <w:highlight w:val="none"/>
                <w:lang w:eastAsia="zh-CN"/>
              </w:rPr>
              <w:t>文件格式要求填写且无缺项漏项情况；</w:t>
            </w:r>
          </w:p>
          <w:p w14:paraId="635F9B03">
            <w:pPr>
              <w:pStyle w:val="18"/>
              <w:numPr>
                <w:ilvl w:val="0"/>
                <w:numId w:val="4"/>
              </w:numPr>
              <w:spacing w:before="89" w:line="211" w:lineRule="auto"/>
              <w:ind w:left="76" w:right="65" w:firstLine="18"/>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0"/>
                <w:sz w:val="24"/>
                <w:szCs w:val="24"/>
                <w:highlight w:val="none"/>
                <w:lang w:eastAsia="zh-CN"/>
              </w:rPr>
              <w:t>供应商是否承</w:t>
            </w:r>
            <w:r>
              <w:rPr>
                <w:rFonts w:hint="eastAsia" w:asciiTheme="minorEastAsia" w:hAnsiTheme="minorEastAsia" w:eastAsiaTheme="minorEastAsia" w:cstheme="minorEastAsia"/>
                <w:color w:val="auto"/>
                <w:spacing w:val="11"/>
                <w:sz w:val="24"/>
                <w:szCs w:val="24"/>
                <w:highlight w:val="none"/>
                <w:lang w:eastAsia="zh-CN"/>
              </w:rPr>
              <w:t>诺了本谈判有效期为自首次递交响应文件截</w:t>
            </w:r>
            <w:r>
              <w:rPr>
                <w:rFonts w:hint="eastAsia" w:asciiTheme="minorEastAsia" w:hAnsiTheme="minorEastAsia" w:eastAsiaTheme="minorEastAsia" w:cstheme="minorEastAsia"/>
                <w:color w:val="auto"/>
                <w:spacing w:val="10"/>
                <w:sz w:val="24"/>
                <w:szCs w:val="24"/>
                <w:highlight w:val="none"/>
                <w:lang w:eastAsia="zh-CN"/>
              </w:rPr>
              <w:t>止时间起计</w:t>
            </w:r>
            <w:r>
              <w:rPr>
                <w:rFonts w:hint="eastAsia" w:asciiTheme="minorEastAsia" w:hAnsiTheme="minorEastAsia" w:eastAsiaTheme="minorEastAsia" w:cstheme="minorEastAsia"/>
                <w:color w:val="auto"/>
                <w:spacing w:val="9"/>
                <w:sz w:val="24"/>
                <w:szCs w:val="24"/>
                <w:highlight w:val="none"/>
                <w:lang w:eastAsia="zh-CN"/>
              </w:rPr>
              <w:t>算 90 个日历日；</w:t>
            </w:r>
          </w:p>
          <w:p w14:paraId="1E3274BE">
            <w:pPr>
              <w:pStyle w:val="18"/>
              <w:numPr>
                <w:ilvl w:val="0"/>
                <w:numId w:val="4"/>
              </w:numPr>
              <w:spacing w:before="89" w:line="211" w:lineRule="auto"/>
              <w:ind w:left="76" w:right="65" w:firstLine="18"/>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供应商响应文件未附有采购人不能</w:t>
            </w:r>
            <w:r>
              <w:rPr>
                <w:rFonts w:hint="eastAsia" w:asciiTheme="minorEastAsia" w:hAnsiTheme="minorEastAsia" w:eastAsiaTheme="minorEastAsia" w:cstheme="minorEastAsia"/>
                <w:color w:val="auto"/>
                <w:spacing w:val="6"/>
                <w:sz w:val="24"/>
                <w:szCs w:val="24"/>
                <w:highlight w:val="none"/>
                <w:lang w:eastAsia="zh-CN"/>
              </w:rPr>
              <w:t>接受或不符合谈判文件的商务要求。</w:t>
            </w:r>
          </w:p>
        </w:tc>
      </w:tr>
      <w:tr w14:paraId="192311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7" w:hRule="atLeast"/>
        </w:trPr>
        <w:tc>
          <w:tcPr>
            <w:tcW w:w="1832" w:type="dxa"/>
            <w:vAlign w:val="center"/>
          </w:tcPr>
          <w:p w14:paraId="120DE332">
            <w:pPr>
              <w:pStyle w:val="18"/>
              <w:spacing w:before="108" w:line="218" w:lineRule="auto"/>
              <w:ind w:left="74" w:right="75" w:firstLine="5"/>
              <w:jc w:val="center"/>
              <w:rPr>
                <w:rFonts w:hint="eastAsia" w:asciiTheme="minorEastAsia" w:hAnsiTheme="minorEastAsia" w:eastAsiaTheme="minorEastAsia" w:cstheme="minorEastAsia"/>
                <w:color w:val="auto"/>
                <w:spacing w:val="7"/>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2</w:t>
            </w:r>
          </w:p>
        </w:tc>
        <w:tc>
          <w:tcPr>
            <w:tcW w:w="1832" w:type="dxa"/>
          </w:tcPr>
          <w:p w14:paraId="5A9D6D9D">
            <w:pPr>
              <w:pStyle w:val="18"/>
              <w:spacing w:before="108" w:line="218" w:lineRule="auto"/>
              <w:ind w:left="74" w:right="75" w:firstLine="5"/>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商务技术响应文</w:t>
            </w:r>
            <w:r>
              <w:rPr>
                <w:rFonts w:hint="eastAsia" w:asciiTheme="minorEastAsia" w:hAnsiTheme="minorEastAsia" w:eastAsiaTheme="minorEastAsia" w:cstheme="minorEastAsia"/>
                <w:color w:val="auto"/>
                <w:spacing w:val="5"/>
                <w:sz w:val="24"/>
                <w:szCs w:val="24"/>
                <w:highlight w:val="none"/>
                <w:lang w:eastAsia="zh-CN"/>
              </w:rPr>
              <w:t xml:space="preserve"> </w:t>
            </w:r>
            <w:r>
              <w:rPr>
                <w:rFonts w:hint="eastAsia" w:asciiTheme="minorEastAsia" w:hAnsiTheme="minorEastAsia" w:eastAsiaTheme="minorEastAsia" w:cstheme="minorEastAsia"/>
                <w:color w:val="auto"/>
                <w:spacing w:val="6"/>
                <w:sz w:val="24"/>
                <w:szCs w:val="24"/>
                <w:highlight w:val="none"/>
                <w:lang w:eastAsia="zh-CN"/>
              </w:rPr>
              <w:t>件--技术</w:t>
            </w:r>
          </w:p>
        </w:tc>
        <w:tc>
          <w:tcPr>
            <w:tcW w:w="5934" w:type="dxa"/>
          </w:tcPr>
          <w:p w14:paraId="3CE318C9">
            <w:pPr>
              <w:pStyle w:val="18"/>
              <w:spacing w:before="108" w:line="218" w:lineRule="auto"/>
              <w:ind w:left="76" w:right="67"/>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0"/>
                <w:sz w:val="24"/>
                <w:szCs w:val="24"/>
                <w:highlight w:val="none"/>
                <w:lang w:eastAsia="zh-CN"/>
              </w:rPr>
              <w:t>供应商响应文件未附有采购人不能接受或不符合谈判文</w:t>
            </w:r>
            <w:r>
              <w:rPr>
                <w:rFonts w:hint="eastAsia" w:asciiTheme="minorEastAsia" w:hAnsiTheme="minorEastAsia" w:eastAsiaTheme="minorEastAsia" w:cstheme="minorEastAsia"/>
                <w:color w:val="auto"/>
                <w:spacing w:val="3"/>
                <w:sz w:val="24"/>
                <w:szCs w:val="24"/>
                <w:highlight w:val="none"/>
                <w:lang w:eastAsia="zh-CN"/>
              </w:rPr>
              <w:t>件的技术要求。</w:t>
            </w:r>
          </w:p>
        </w:tc>
      </w:tr>
      <w:tr w14:paraId="002295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2" w:hRule="atLeast"/>
        </w:trPr>
        <w:tc>
          <w:tcPr>
            <w:tcW w:w="1832" w:type="dxa"/>
            <w:vAlign w:val="center"/>
          </w:tcPr>
          <w:p w14:paraId="4282F579">
            <w:pPr>
              <w:pStyle w:val="18"/>
              <w:spacing w:before="142" w:line="226" w:lineRule="auto"/>
              <w:ind w:left="73"/>
              <w:jc w:val="center"/>
              <w:rPr>
                <w:rFonts w:hint="eastAsia" w:asciiTheme="minorEastAsia" w:hAnsiTheme="minorEastAsia" w:eastAsiaTheme="minorEastAsia" w:cstheme="minorEastAsia"/>
                <w:color w:val="auto"/>
                <w:spacing w:val="8"/>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3</w:t>
            </w:r>
          </w:p>
        </w:tc>
        <w:tc>
          <w:tcPr>
            <w:tcW w:w="1832" w:type="dxa"/>
          </w:tcPr>
          <w:p w14:paraId="7CAEC419">
            <w:pPr>
              <w:pStyle w:val="18"/>
              <w:spacing w:before="142" w:line="226" w:lineRule="auto"/>
              <w:ind w:left="73"/>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8"/>
                <w:sz w:val="24"/>
                <w:szCs w:val="24"/>
                <w:highlight w:val="none"/>
              </w:rPr>
              <w:t>报价响应文件</w:t>
            </w:r>
          </w:p>
        </w:tc>
        <w:tc>
          <w:tcPr>
            <w:tcW w:w="5934" w:type="dxa"/>
          </w:tcPr>
          <w:p w14:paraId="3BE5B08E">
            <w:pPr>
              <w:pStyle w:val="18"/>
              <w:spacing w:before="142" w:line="226" w:lineRule="auto"/>
              <w:ind w:left="8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未超过项目采购预算价及单价限价的。</w:t>
            </w:r>
          </w:p>
        </w:tc>
      </w:tr>
    </w:tbl>
    <w:p w14:paraId="3C09F4E9">
      <w:pPr>
        <w:rPr>
          <w:color w:val="auto"/>
          <w:highlight w:val="none"/>
          <w:lang w:eastAsia="zh-CN"/>
        </w:rPr>
        <w:sectPr>
          <w:headerReference r:id="rId10" w:type="default"/>
          <w:footerReference r:id="rId11" w:type="default"/>
          <w:pgSz w:w="11906" w:h="16838"/>
          <w:pgMar w:top="400" w:right="1147" w:bottom="1117" w:left="1147" w:header="0" w:footer="949" w:gutter="0"/>
          <w:pgNumType w:fmt="decimal"/>
          <w:cols w:space="720" w:num="1"/>
        </w:sectPr>
      </w:pPr>
      <w:r>
        <w:rPr>
          <w:color w:val="auto"/>
          <w:spacing w:val="5"/>
          <w:highlight w:val="none"/>
          <w:lang w:eastAsia="zh-CN"/>
          <w14:textOutline w14:w="4394" w14:cap="flat" w14:cmpd="sng" w14:algn="ctr">
            <w14:solidFill>
              <w14:srgbClr w14:val="000000"/>
            </w14:solidFill>
            <w14:prstDash w14:val="solid"/>
            <w14:miter w14:val="0"/>
          </w14:textOutline>
        </w:rPr>
        <w:t>注：</w:t>
      </w:r>
      <w:r>
        <w:rPr>
          <w:color w:val="auto"/>
          <w:spacing w:val="5"/>
          <w:highlight w:val="none"/>
          <w:lang w:eastAsia="zh-CN"/>
        </w:rPr>
        <w:t xml:space="preserve"> </w:t>
      </w:r>
      <w:r>
        <w:rPr>
          <w:color w:val="auto"/>
          <w:spacing w:val="5"/>
          <w:highlight w:val="none"/>
          <w:lang w:eastAsia="zh-CN"/>
          <w14:textOutline w14:w="4394" w14:cap="flat" w14:cmpd="sng" w14:algn="ctr">
            <w14:solidFill>
              <w14:srgbClr w14:val="000000"/>
            </w14:solidFill>
            <w14:prstDash w14:val="solid"/>
            <w14:miter w14:val="0"/>
          </w14:textOutline>
        </w:rPr>
        <w:t>以上检查内容必须全部符合检查标准，否则为无效</w:t>
      </w:r>
      <w:r>
        <w:rPr>
          <w:color w:val="auto"/>
          <w:spacing w:val="4"/>
          <w:highlight w:val="none"/>
          <w:lang w:eastAsia="zh-CN"/>
          <w14:textOutline w14:w="4394" w14:cap="flat" w14:cmpd="sng" w14:algn="ctr">
            <w14:solidFill>
              <w14:srgbClr w14:val="000000"/>
            </w14:solidFill>
            <w14:prstDash w14:val="solid"/>
            <w14:miter w14:val="0"/>
          </w14:textOutline>
        </w:rPr>
        <w:t>响应。</w:t>
      </w:r>
    </w:p>
    <w:p w14:paraId="0702AAE5">
      <w:pPr>
        <w:spacing w:before="150" w:line="190" w:lineRule="auto"/>
        <w:ind w:left="3190"/>
        <w:outlineLvl w:val="0"/>
        <w:rPr>
          <w:rFonts w:hint="eastAsia" w:ascii="微软雅黑" w:hAnsi="微软雅黑" w:eastAsia="微软雅黑" w:cs="微软雅黑"/>
          <w:color w:val="auto"/>
          <w:sz w:val="35"/>
          <w:szCs w:val="35"/>
          <w:highlight w:val="none"/>
          <w:lang w:eastAsia="zh-CN"/>
        </w:rPr>
      </w:pPr>
      <w:bookmarkStart w:id="97" w:name="_Toc28374"/>
      <w:bookmarkStart w:id="98" w:name="_Toc432684931"/>
      <w:bookmarkStart w:id="99" w:name="_Toc331685784"/>
      <w:r>
        <w:rPr>
          <w:rFonts w:ascii="宋体" w:hAnsi="宋体" w:eastAsia="宋体" w:cs="宋体"/>
          <w:color w:val="auto"/>
          <w:spacing w:val="9"/>
          <w:sz w:val="34"/>
          <w:szCs w:val="34"/>
          <w:highlight w:val="none"/>
          <w:lang w:eastAsia="zh-CN"/>
          <w14:textOutline w14:w="6400" w14:cap="flat" w14:cmpd="sng" w14:algn="ctr">
            <w14:solidFill>
              <w14:srgbClr w14:val="000000"/>
            </w14:solidFill>
            <w14:prstDash w14:val="solid"/>
            <w14:miter w14:val="0"/>
          </w14:textOutline>
        </w:rPr>
        <w:t>第五章</w:t>
      </w:r>
      <w:r>
        <w:rPr>
          <w:rFonts w:ascii="宋体" w:hAnsi="宋体" w:eastAsia="宋体" w:cs="宋体"/>
          <w:color w:val="auto"/>
          <w:spacing w:val="30"/>
          <w:sz w:val="34"/>
          <w:szCs w:val="34"/>
          <w:highlight w:val="none"/>
          <w:lang w:eastAsia="zh-CN"/>
        </w:rPr>
        <w:t xml:space="preserve"> </w:t>
      </w:r>
      <w:r>
        <w:rPr>
          <w:rFonts w:ascii="微软雅黑" w:hAnsi="微软雅黑" w:eastAsia="微软雅黑" w:cs="微软雅黑"/>
          <w:color w:val="auto"/>
          <w:spacing w:val="9"/>
          <w:sz w:val="35"/>
          <w:szCs w:val="35"/>
          <w:highlight w:val="none"/>
          <w:lang w:eastAsia="zh-CN"/>
          <w14:textOutline w14:w="6578" w14:cap="flat" w14:cmpd="sng" w14:algn="ctr">
            <w14:solidFill>
              <w14:srgbClr w14:val="000000"/>
            </w14:solidFill>
            <w14:prstDash w14:val="solid"/>
            <w14:miter w14:val="0"/>
          </w14:textOutline>
        </w:rPr>
        <w:t>合同</w:t>
      </w:r>
      <w:bookmarkEnd w:id="97"/>
    </w:p>
    <w:p w14:paraId="3EC3AF46">
      <w:pPr>
        <w:spacing w:line="560" w:lineRule="exact"/>
        <w:jc w:val="center"/>
        <w:outlineLvl w:val="1"/>
        <w:rPr>
          <w:b/>
          <w:color w:val="auto"/>
          <w:sz w:val="32"/>
          <w:highlight w:val="none"/>
          <w:u w:val="single"/>
          <w:lang w:eastAsia="zh-CN"/>
        </w:rPr>
      </w:pPr>
      <w:r>
        <w:rPr>
          <w:rFonts w:hint="eastAsia"/>
          <w:b/>
          <w:color w:val="auto"/>
          <w:sz w:val="32"/>
          <w:highlight w:val="none"/>
          <w:u w:val="single"/>
          <w:lang w:eastAsia="zh-CN"/>
        </w:rPr>
        <w:t>中华人民共和国新疆出入境边防检查总站乌鲁木齐警犬训练基地待训警犬采购项目</w:t>
      </w:r>
    </w:p>
    <w:p w14:paraId="1901A85F">
      <w:pPr>
        <w:spacing w:line="560" w:lineRule="exact"/>
        <w:jc w:val="center"/>
        <w:rPr>
          <w:b/>
          <w:color w:val="auto"/>
          <w:sz w:val="32"/>
          <w:highlight w:val="none"/>
          <w:lang w:eastAsia="zh-CN"/>
        </w:rPr>
      </w:pPr>
    </w:p>
    <w:p w14:paraId="71F93712">
      <w:pPr>
        <w:spacing w:line="360" w:lineRule="auto"/>
        <w:jc w:val="center"/>
        <w:rPr>
          <w:b/>
          <w:color w:val="auto"/>
          <w:sz w:val="44"/>
          <w:highlight w:val="none"/>
          <w:lang w:eastAsia="zh-CN"/>
        </w:rPr>
      </w:pPr>
    </w:p>
    <w:p w14:paraId="0E9DB01A">
      <w:pPr>
        <w:pStyle w:val="10"/>
        <w:rPr>
          <w:color w:val="auto"/>
          <w:highlight w:val="none"/>
          <w:lang w:eastAsia="zh-CN"/>
        </w:rPr>
      </w:pPr>
    </w:p>
    <w:p w14:paraId="2B4E7018">
      <w:pPr>
        <w:ind w:firstLine="3082" w:firstLineChars="700"/>
        <w:rPr>
          <w:b/>
          <w:color w:val="auto"/>
          <w:sz w:val="28"/>
          <w:highlight w:val="none"/>
          <w:lang w:eastAsia="zh-CN"/>
        </w:rPr>
      </w:pPr>
      <w:r>
        <w:rPr>
          <w:rFonts w:hint="eastAsia"/>
          <w:b/>
          <w:color w:val="auto"/>
          <w:sz w:val="44"/>
          <w:highlight w:val="none"/>
          <w:lang w:eastAsia="zh-CN"/>
        </w:rPr>
        <w:t>采购合同</w:t>
      </w:r>
    </w:p>
    <w:p w14:paraId="529BDCCE">
      <w:pPr>
        <w:rPr>
          <w:b/>
          <w:color w:val="auto"/>
          <w:sz w:val="28"/>
          <w:highlight w:val="none"/>
          <w:lang w:eastAsia="zh-CN"/>
        </w:rPr>
      </w:pPr>
    </w:p>
    <w:p w14:paraId="2D4C53D0">
      <w:pPr>
        <w:rPr>
          <w:b/>
          <w:color w:val="auto"/>
          <w:sz w:val="28"/>
          <w:highlight w:val="none"/>
          <w:lang w:eastAsia="zh-CN"/>
        </w:rPr>
      </w:pPr>
    </w:p>
    <w:p w14:paraId="2AF52201">
      <w:pPr>
        <w:pStyle w:val="10"/>
        <w:rPr>
          <w:b/>
          <w:color w:val="auto"/>
          <w:sz w:val="28"/>
          <w:highlight w:val="none"/>
          <w:lang w:eastAsia="zh-CN"/>
        </w:rPr>
      </w:pPr>
    </w:p>
    <w:p w14:paraId="0523B5D6">
      <w:pPr>
        <w:rPr>
          <w:b/>
          <w:color w:val="auto"/>
          <w:sz w:val="28"/>
          <w:highlight w:val="none"/>
          <w:lang w:eastAsia="zh-CN"/>
        </w:rPr>
      </w:pPr>
    </w:p>
    <w:p w14:paraId="0D7290F8">
      <w:pPr>
        <w:pStyle w:val="10"/>
        <w:rPr>
          <w:b/>
          <w:color w:val="auto"/>
          <w:sz w:val="28"/>
          <w:highlight w:val="none"/>
          <w:lang w:eastAsia="zh-CN"/>
        </w:rPr>
      </w:pPr>
    </w:p>
    <w:p w14:paraId="7E462AC8">
      <w:pPr>
        <w:rPr>
          <w:b/>
          <w:color w:val="auto"/>
          <w:sz w:val="28"/>
          <w:highlight w:val="none"/>
          <w:lang w:eastAsia="zh-CN"/>
        </w:rPr>
      </w:pPr>
    </w:p>
    <w:p w14:paraId="5320B240">
      <w:pPr>
        <w:pStyle w:val="10"/>
        <w:rPr>
          <w:b/>
          <w:color w:val="auto"/>
          <w:sz w:val="28"/>
          <w:highlight w:val="none"/>
          <w:lang w:eastAsia="zh-CN"/>
        </w:rPr>
      </w:pPr>
    </w:p>
    <w:p w14:paraId="373B792C">
      <w:pPr>
        <w:rPr>
          <w:b/>
          <w:color w:val="auto"/>
          <w:sz w:val="28"/>
          <w:highlight w:val="none"/>
          <w:lang w:eastAsia="zh-CN"/>
        </w:rPr>
      </w:pPr>
    </w:p>
    <w:p w14:paraId="50E218EE">
      <w:pPr>
        <w:pStyle w:val="10"/>
        <w:rPr>
          <w:b/>
          <w:color w:val="auto"/>
          <w:sz w:val="28"/>
          <w:highlight w:val="none"/>
          <w:lang w:eastAsia="zh-CN"/>
        </w:rPr>
      </w:pPr>
    </w:p>
    <w:p w14:paraId="1BF9DB8F">
      <w:pPr>
        <w:rPr>
          <w:b/>
          <w:color w:val="auto"/>
          <w:sz w:val="28"/>
          <w:highlight w:val="none"/>
          <w:lang w:eastAsia="zh-CN"/>
        </w:rPr>
      </w:pPr>
    </w:p>
    <w:p w14:paraId="6FC7D2EB">
      <w:pPr>
        <w:pStyle w:val="10"/>
        <w:rPr>
          <w:b/>
          <w:color w:val="auto"/>
          <w:sz w:val="28"/>
          <w:highlight w:val="none"/>
          <w:lang w:eastAsia="zh-CN"/>
        </w:rPr>
      </w:pPr>
    </w:p>
    <w:p w14:paraId="5307C057">
      <w:pPr>
        <w:rPr>
          <w:color w:val="auto"/>
          <w:highlight w:val="none"/>
          <w:lang w:eastAsia="zh-CN"/>
        </w:rPr>
      </w:pPr>
    </w:p>
    <w:p w14:paraId="5785E712">
      <w:pPr>
        <w:rPr>
          <w:b/>
          <w:color w:val="auto"/>
          <w:sz w:val="28"/>
          <w:highlight w:val="none"/>
          <w:lang w:eastAsia="zh-CN"/>
        </w:rPr>
      </w:pPr>
    </w:p>
    <w:p w14:paraId="18967417">
      <w:pPr>
        <w:rPr>
          <w:rFonts w:ascii="宋体" w:hAnsi="宋体" w:cs="宋体"/>
          <w:color w:val="auto"/>
          <w:sz w:val="32"/>
          <w:highlight w:val="none"/>
          <w:lang w:eastAsia="zh-CN"/>
        </w:rPr>
      </w:pPr>
    </w:p>
    <w:p w14:paraId="29223478">
      <w:pPr>
        <w:spacing w:line="360" w:lineRule="auto"/>
        <w:rPr>
          <w:rFonts w:hint="eastAsia" w:ascii="宋体" w:hAnsi="宋体" w:eastAsia="宋体" w:cs="宋体"/>
          <w:color w:val="auto"/>
          <w:sz w:val="28"/>
          <w:highlight w:val="none"/>
          <w:u w:val="single"/>
          <w:lang w:eastAsia="zh-CN"/>
        </w:rPr>
      </w:pPr>
      <w:r>
        <w:rPr>
          <w:rFonts w:hint="eastAsia" w:ascii="宋体" w:hAnsi="宋体" w:cs="宋体"/>
          <w:color w:val="auto"/>
          <w:sz w:val="28"/>
          <w:highlight w:val="none"/>
          <w:lang w:eastAsia="zh-CN"/>
        </w:rPr>
        <w:t>甲方：</w:t>
      </w:r>
      <w:r>
        <w:rPr>
          <w:rFonts w:hint="eastAsia" w:ascii="宋体" w:hAnsi="宋体" w:cs="宋体"/>
          <w:color w:val="auto"/>
          <w:sz w:val="28"/>
          <w:highlight w:val="none"/>
          <w:u w:val="single"/>
          <w:lang w:eastAsia="zh-CN"/>
        </w:rPr>
        <w:t>_</w:t>
      </w:r>
      <w:r>
        <w:rPr>
          <w:rFonts w:hint="eastAsia" w:ascii="宋体" w:hAnsi="宋体" w:eastAsia="宋体" w:cs="宋体"/>
          <w:color w:val="auto"/>
          <w:sz w:val="28"/>
          <w:highlight w:val="none"/>
          <w:u w:val="single"/>
          <w:lang w:eastAsia="zh-CN"/>
        </w:rPr>
        <w:t>中华人民共和国新疆出入境边防检查总站</w:t>
      </w:r>
    </w:p>
    <w:p w14:paraId="26095C26">
      <w:pPr>
        <w:spacing w:line="360" w:lineRule="auto"/>
        <w:ind w:firstLine="2100" w:firstLineChars="750"/>
        <w:rPr>
          <w:rFonts w:ascii="宋体" w:hAnsi="宋体" w:cs="宋体"/>
          <w:color w:val="auto"/>
          <w:sz w:val="28"/>
          <w:highlight w:val="none"/>
          <w:lang w:eastAsia="zh-CN"/>
        </w:rPr>
      </w:pPr>
    </w:p>
    <w:p w14:paraId="6943A3B1">
      <w:pPr>
        <w:spacing w:line="360" w:lineRule="auto"/>
        <w:ind w:firstLine="2100" w:firstLineChars="750"/>
        <w:rPr>
          <w:rFonts w:ascii="宋体" w:hAnsi="宋体" w:cs="宋体"/>
          <w:color w:val="auto"/>
          <w:sz w:val="28"/>
          <w:highlight w:val="none"/>
          <w:lang w:eastAsia="zh-CN"/>
        </w:rPr>
      </w:pPr>
    </w:p>
    <w:p w14:paraId="03A0BB40">
      <w:pPr>
        <w:spacing w:line="360" w:lineRule="auto"/>
        <w:rPr>
          <w:rFonts w:hint="eastAsia" w:ascii="宋体" w:hAnsi="宋体" w:eastAsia="宋体" w:cs="宋体"/>
          <w:color w:val="auto"/>
          <w:sz w:val="28"/>
          <w:highlight w:val="none"/>
          <w:u w:val="single"/>
          <w:lang w:eastAsia="zh-CN"/>
        </w:rPr>
      </w:pPr>
      <w:r>
        <w:rPr>
          <w:rFonts w:hint="eastAsia" w:ascii="宋体" w:hAnsi="宋体" w:cs="宋体"/>
          <w:color w:val="auto"/>
          <w:sz w:val="28"/>
          <w:highlight w:val="none"/>
          <w:lang w:eastAsia="zh-CN"/>
        </w:rPr>
        <w:t>乙方：</w:t>
      </w:r>
      <w:r>
        <w:rPr>
          <w:rFonts w:hint="eastAsia" w:ascii="宋体" w:hAnsi="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val="en-US" w:eastAsia="zh-CN"/>
        </w:rPr>
        <w:t xml:space="preserve">             </w:t>
      </w:r>
      <w:r>
        <w:rPr>
          <w:rFonts w:hint="eastAsia" w:ascii="宋体" w:hAnsi="宋体" w:eastAsia="宋体" w:cs="宋体"/>
          <w:color w:val="auto"/>
          <w:sz w:val="28"/>
          <w:highlight w:val="none"/>
          <w:u w:val="single"/>
          <w:lang w:eastAsia="zh-CN"/>
        </w:rPr>
        <w:t xml:space="preserve">      </w:t>
      </w:r>
    </w:p>
    <w:p w14:paraId="034D445A">
      <w:pPr>
        <w:pStyle w:val="21"/>
        <w:ind w:firstLine="440"/>
        <w:rPr>
          <w:rFonts w:hAnsi="宋体" w:cs="宋体"/>
          <w:color w:val="auto"/>
          <w:highlight w:val="none"/>
          <w:lang w:eastAsia="zh-CN"/>
        </w:rPr>
      </w:pPr>
    </w:p>
    <w:p w14:paraId="19AE88F6">
      <w:pPr>
        <w:rPr>
          <w:color w:val="auto"/>
          <w:highlight w:val="none"/>
          <w:lang w:eastAsia="zh-CN"/>
        </w:rPr>
      </w:pPr>
    </w:p>
    <w:p w14:paraId="10E71B66">
      <w:pPr>
        <w:rPr>
          <w:rFonts w:ascii="宋体" w:hAnsi="宋体" w:cs="宋体"/>
          <w:color w:val="auto"/>
          <w:sz w:val="28"/>
          <w:highlight w:val="none"/>
          <w:u w:val="single"/>
          <w:lang w:eastAsia="zh-CN"/>
        </w:rPr>
      </w:pPr>
    </w:p>
    <w:p w14:paraId="37BF73C7">
      <w:pPr>
        <w:jc w:val="center"/>
        <w:rPr>
          <w:rFonts w:ascii="宋体" w:hAnsi="宋体" w:cs="宋体"/>
          <w:color w:val="auto"/>
          <w:sz w:val="28"/>
          <w:highlight w:val="none"/>
          <w:lang w:eastAsia="zh-CN"/>
        </w:rPr>
      </w:pPr>
      <w:r>
        <w:rPr>
          <w:rFonts w:hint="eastAsia" w:ascii="宋体" w:hAnsi="宋体" w:cs="宋体"/>
          <w:color w:val="auto"/>
          <w:sz w:val="28"/>
          <w:highlight w:val="none"/>
          <w:lang w:eastAsia="zh-CN"/>
        </w:rPr>
        <w:t>202</w:t>
      </w:r>
      <w:r>
        <w:rPr>
          <w:rFonts w:hint="eastAsia" w:ascii="宋体" w:hAnsi="宋体" w:eastAsia="宋体" w:cs="宋体"/>
          <w:color w:val="auto"/>
          <w:sz w:val="28"/>
          <w:highlight w:val="none"/>
          <w:lang w:eastAsia="zh-CN"/>
        </w:rPr>
        <w:t>5</w:t>
      </w:r>
      <w:r>
        <w:rPr>
          <w:rFonts w:hint="eastAsia" w:ascii="宋体" w:hAnsi="宋体" w:cs="宋体"/>
          <w:color w:val="auto"/>
          <w:sz w:val="28"/>
          <w:highlight w:val="none"/>
          <w:lang w:eastAsia="zh-CN"/>
        </w:rPr>
        <w:t>年  月  日</w:t>
      </w:r>
    </w:p>
    <w:p w14:paraId="354DABE8">
      <w:pPr>
        <w:bidi w:val="0"/>
        <w:rPr>
          <w:rFonts w:hint="eastAsia"/>
          <w:color w:val="auto"/>
          <w:highlight w:val="none"/>
          <w:lang w:eastAsia="zh-CN"/>
        </w:rPr>
      </w:pPr>
    </w:p>
    <w:p w14:paraId="23710BC3">
      <w:pPr>
        <w:jc w:val="center"/>
        <w:rPr>
          <w:color w:val="auto"/>
          <w:kern w:val="28"/>
          <w:highlight w:val="none"/>
          <w:lang w:eastAsia="zh-CN"/>
        </w:rPr>
      </w:pPr>
      <w:r>
        <w:rPr>
          <w:rFonts w:hint="eastAsia"/>
          <w:b/>
          <w:color w:val="auto"/>
          <w:sz w:val="28"/>
          <w:highlight w:val="none"/>
          <w:lang w:eastAsia="zh-CN"/>
        </w:rPr>
        <w:br w:type="page"/>
      </w:r>
      <w:r>
        <w:rPr>
          <w:rFonts w:hint="eastAsia"/>
          <w:b/>
          <w:color w:val="auto"/>
          <w:sz w:val="28"/>
          <w:highlight w:val="none"/>
          <w:lang w:eastAsia="zh-CN"/>
        </w:rPr>
        <w:t>采购合同</w:t>
      </w:r>
      <w:bookmarkEnd w:id="98"/>
    </w:p>
    <w:p w14:paraId="0BD8EDEA">
      <w:pPr>
        <w:tabs>
          <w:tab w:val="left" w:pos="840"/>
        </w:tabs>
        <w:spacing w:line="360" w:lineRule="auto"/>
        <w:rPr>
          <w:rFonts w:hint="eastAsia" w:asciiTheme="minorEastAsia" w:hAnsiTheme="minorEastAsia" w:eastAsiaTheme="minorEastAsia" w:cstheme="minorEastAsia"/>
          <w:color w:val="auto"/>
          <w:kern w:val="28"/>
          <w:sz w:val="24"/>
          <w:szCs w:val="24"/>
          <w:highlight w:val="none"/>
          <w:u w:val="single"/>
          <w:lang w:eastAsia="zh-CN"/>
        </w:rPr>
      </w:pPr>
      <w:r>
        <w:rPr>
          <w:rFonts w:hint="eastAsia" w:asciiTheme="minorEastAsia" w:hAnsiTheme="minorEastAsia" w:eastAsiaTheme="minorEastAsia" w:cstheme="minorEastAsia"/>
          <w:color w:val="auto"/>
          <w:kern w:val="28"/>
          <w:sz w:val="24"/>
          <w:szCs w:val="24"/>
          <w:highlight w:val="none"/>
          <w:lang w:eastAsia="zh-CN"/>
        </w:rPr>
        <w:t>甲方：</w:t>
      </w:r>
      <w:r>
        <w:rPr>
          <w:rFonts w:hint="eastAsia" w:asciiTheme="minorEastAsia" w:hAnsiTheme="minorEastAsia" w:eastAsiaTheme="minorEastAsia" w:cstheme="minorEastAsia"/>
          <w:color w:val="auto"/>
          <w:kern w:val="28"/>
          <w:sz w:val="24"/>
          <w:szCs w:val="24"/>
          <w:highlight w:val="none"/>
          <w:u w:val="single"/>
          <w:lang w:eastAsia="zh-CN"/>
        </w:rPr>
        <w:t>中华人民共和国新疆出入境边防检查总站</w:t>
      </w:r>
    </w:p>
    <w:p w14:paraId="291285E6">
      <w:pPr>
        <w:tabs>
          <w:tab w:val="left" w:pos="840"/>
        </w:tabs>
        <w:spacing w:line="360" w:lineRule="auto"/>
        <w:rPr>
          <w:rFonts w:hint="eastAsia" w:asciiTheme="minorEastAsia" w:hAnsiTheme="minorEastAsia" w:eastAsiaTheme="minorEastAsia" w:cstheme="minorEastAsia"/>
          <w:color w:val="auto"/>
          <w:kern w:val="28"/>
          <w:sz w:val="24"/>
          <w:szCs w:val="24"/>
          <w:highlight w:val="none"/>
          <w:u w:val="single"/>
          <w:lang w:eastAsia="zh-CN"/>
        </w:rPr>
      </w:pPr>
      <w:r>
        <w:rPr>
          <w:rFonts w:hint="eastAsia" w:asciiTheme="minorEastAsia" w:hAnsiTheme="minorEastAsia" w:eastAsiaTheme="minorEastAsia" w:cstheme="minorEastAsia"/>
          <w:color w:val="auto"/>
          <w:kern w:val="28"/>
          <w:sz w:val="24"/>
          <w:szCs w:val="24"/>
          <w:highlight w:val="none"/>
          <w:lang w:eastAsia="zh-CN"/>
        </w:rPr>
        <w:t>乙方：</w:t>
      </w:r>
    </w:p>
    <w:p w14:paraId="76C772AA">
      <w:pPr>
        <w:tabs>
          <w:tab w:val="left" w:pos="840"/>
        </w:tabs>
        <w:spacing w:line="360" w:lineRule="auto"/>
        <w:ind w:firstLine="480" w:firstLineChars="200"/>
        <w:rPr>
          <w:rFonts w:hint="eastAsia" w:asciiTheme="minorEastAsia" w:hAnsiTheme="minorEastAsia" w:eastAsiaTheme="minorEastAsia" w:cstheme="minorEastAsia"/>
          <w:color w:val="auto"/>
          <w:kern w:val="28"/>
          <w:sz w:val="24"/>
          <w:szCs w:val="24"/>
          <w:highlight w:val="none"/>
          <w:u w:val="single"/>
          <w:lang w:eastAsia="zh-CN"/>
        </w:rPr>
      </w:pPr>
      <w:r>
        <w:rPr>
          <w:rFonts w:hint="eastAsia" w:asciiTheme="minorEastAsia" w:hAnsiTheme="minorEastAsia" w:eastAsiaTheme="minorEastAsia" w:cstheme="minorEastAsia"/>
          <w:color w:val="auto"/>
          <w:kern w:val="28"/>
          <w:sz w:val="24"/>
          <w:szCs w:val="24"/>
          <w:highlight w:val="none"/>
          <w:u w:val="single"/>
          <w:lang w:eastAsia="zh-CN"/>
        </w:rPr>
        <w:t xml:space="preserve">鉴于： </w:t>
      </w:r>
    </w:p>
    <w:p w14:paraId="5219CE0E">
      <w:pPr>
        <w:tabs>
          <w:tab w:val="left" w:pos="840"/>
        </w:tabs>
        <w:spacing w:line="360" w:lineRule="auto"/>
        <w:ind w:firstLine="480" w:firstLineChars="200"/>
        <w:rPr>
          <w:rFonts w:hint="eastAsia" w:asciiTheme="minorEastAsia" w:hAnsiTheme="minorEastAsia" w:eastAsiaTheme="minorEastAsia" w:cstheme="minorEastAsia"/>
          <w:color w:val="auto"/>
          <w:kern w:val="28"/>
          <w:sz w:val="24"/>
          <w:szCs w:val="24"/>
          <w:highlight w:val="none"/>
          <w:u w:val="single"/>
          <w:lang w:eastAsia="zh-CN"/>
        </w:rPr>
      </w:pPr>
      <w:r>
        <w:rPr>
          <w:rFonts w:hint="eastAsia" w:asciiTheme="minorEastAsia" w:hAnsiTheme="minorEastAsia" w:eastAsiaTheme="minorEastAsia" w:cstheme="minorEastAsia"/>
          <w:color w:val="auto"/>
          <w:kern w:val="28"/>
          <w:sz w:val="24"/>
          <w:szCs w:val="24"/>
          <w:highlight w:val="none"/>
          <w:u w:val="single"/>
          <w:lang w:eastAsia="zh-CN"/>
        </w:rPr>
        <w:t>　　本合同双方当事人（1）均为依照中华人民共和国法律成立并有效存续的独立法人，（2）并且已经获得签署本合同的相应授权，（3）具备履行本合同所必须的资质和条件。</w:t>
      </w:r>
    </w:p>
    <w:p w14:paraId="6C0DE39C">
      <w:pPr>
        <w:tabs>
          <w:tab w:val="left" w:pos="840"/>
        </w:tabs>
        <w:spacing w:line="360" w:lineRule="auto"/>
        <w:ind w:firstLine="480" w:firstLineChars="200"/>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u w:val="single"/>
          <w:lang w:eastAsia="zh-CN"/>
        </w:rPr>
        <w:t>中华人民共和国新疆出入境边防检查总站</w:t>
      </w:r>
      <w:r>
        <w:rPr>
          <w:rFonts w:hint="eastAsia" w:asciiTheme="minorEastAsia" w:hAnsiTheme="minorEastAsia" w:eastAsiaTheme="minorEastAsia" w:cstheme="minorEastAsia"/>
          <w:color w:val="auto"/>
          <w:kern w:val="28"/>
          <w:sz w:val="24"/>
          <w:szCs w:val="24"/>
          <w:highlight w:val="none"/>
          <w:lang w:eastAsia="zh-CN"/>
        </w:rPr>
        <w:t>（以下简称甲方）与（以下简称乙方）就</w:t>
      </w:r>
      <w:r>
        <w:rPr>
          <w:rFonts w:hint="eastAsia" w:asciiTheme="minorEastAsia" w:hAnsiTheme="minorEastAsia" w:eastAsiaTheme="minorEastAsia" w:cstheme="minorEastAsia"/>
          <w:color w:val="auto"/>
          <w:kern w:val="28"/>
          <w:sz w:val="24"/>
          <w:szCs w:val="24"/>
          <w:highlight w:val="none"/>
          <w:u w:val="single"/>
          <w:lang w:eastAsia="zh-CN"/>
        </w:rPr>
        <w:t>采购项目</w:t>
      </w:r>
      <w:r>
        <w:rPr>
          <w:rFonts w:hint="eastAsia" w:asciiTheme="minorEastAsia" w:hAnsiTheme="minorEastAsia" w:eastAsiaTheme="minorEastAsia" w:cstheme="minorEastAsia"/>
          <w:color w:val="auto"/>
          <w:kern w:val="28"/>
          <w:sz w:val="24"/>
          <w:szCs w:val="24"/>
          <w:highlight w:val="none"/>
          <w:lang w:eastAsia="zh-CN"/>
        </w:rPr>
        <w:t>，经双方协商一致，签定本合同，共同遵守如下条款：</w:t>
      </w:r>
    </w:p>
    <w:p w14:paraId="259B1305">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rPr>
      </w:pPr>
      <w:bookmarkStart w:id="100" w:name="_Toc25821"/>
      <w:bookmarkStart w:id="101" w:name="_Toc427666520"/>
      <w:bookmarkStart w:id="102" w:name="_Toc27898"/>
      <w:bookmarkStart w:id="103" w:name="_Toc479943851"/>
      <w:bookmarkStart w:id="104" w:name="_Toc480316113"/>
      <w:bookmarkStart w:id="105" w:name="_Toc432684932"/>
      <w:r>
        <w:rPr>
          <w:rFonts w:hint="eastAsia" w:asciiTheme="minorEastAsia" w:hAnsiTheme="minorEastAsia" w:eastAsiaTheme="minorEastAsia" w:cstheme="minorEastAsia"/>
          <w:color w:val="auto"/>
          <w:sz w:val="24"/>
          <w:szCs w:val="24"/>
          <w:highlight w:val="none"/>
        </w:rPr>
        <w:t>一、总则</w:t>
      </w:r>
      <w:bookmarkEnd w:id="100"/>
      <w:bookmarkEnd w:id="101"/>
      <w:bookmarkEnd w:id="102"/>
      <w:bookmarkEnd w:id="103"/>
      <w:bookmarkEnd w:id="104"/>
      <w:bookmarkEnd w:id="105"/>
    </w:p>
    <w:p w14:paraId="0AE7A229">
      <w:pPr>
        <w:numPr>
          <w:ilvl w:val="0"/>
          <w:numId w:val="5"/>
        </w:numPr>
        <w:tabs>
          <w:tab w:val="left" w:pos="425"/>
        </w:tabs>
        <w:spacing w:line="360" w:lineRule="auto"/>
        <w:ind w:left="0"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本合同双方必</w:t>
      </w:r>
      <w:bookmarkStart w:id="106" w:name="_Toc345147197"/>
      <w:bookmarkStart w:id="107" w:name="_Toc399165008"/>
      <w:r>
        <w:rPr>
          <w:rFonts w:hint="eastAsia" w:asciiTheme="minorEastAsia" w:hAnsiTheme="minorEastAsia" w:eastAsiaTheme="minorEastAsia" w:cstheme="minorEastAsia"/>
          <w:color w:val="auto"/>
          <w:sz w:val="24"/>
          <w:szCs w:val="24"/>
          <w:highlight w:val="none"/>
          <w:lang w:eastAsia="zh-CN"/>
        </w:rPr>
        <w:t>须遵</w:t>
      </w:r>
      <w:bookmarkEnd w:id="106"/>
      <w:bookmarkEnd w:id="107"/>
      <w:r>
        <w:rPr>
          <w:rFonts w:hint="eastAsia" w:asciiTheme="minorEastAsia" w:hAnsiTheme="minorEastAsia" w:eastAsiaTheme="minorEastAsia" w:cstheme="minorEastAsia"/>
          <w:color w:val="auto"/>
          <w:sz w:val="24"/>
          <w:szCs w:val="24"/>
          <w:highlight w:val="none"/>
          <w:lang w:eastAsia="zh-CN"/>
        </w:rPr>
        <w:t>守《中华人民共和国民法典》及《中华人民共和国政府招标法》，并各自履行应负的全部义务。</w:t>
      </w:r>
    </w:p>
    <w:p w14:paraId="3C21E2CE">
      <w:pPr>
        <w:numPr>
          <w:ilvl w:val="0"/>
          <w:numId w:val="5"/>
        </w:numPr>
        <w:tabs>
          <w:tab w:val="left" w:pos="425"/>
        </w:tabs>
        <w:spacing w:line="360" w:lineRule="auto"/>
        <w:ind w:left="0" w:firstLine="480" w:firstLineChars="200"/>
        <w:outlineLvl w:val="2"/>
        <w:rPr>
          <w:rFonts w:hint="eastAsia" w:asciiTheme="minorEastAsia" w:hAnsiTheme="minorEastAsia" w:eastAsiaTheme="minorEastAsia" w:cstheme="minorEastAsia"/>
          <w:color w:val="auto"/>
          <w:sz w:val="24"/>
          <w:szCs w:val="24"/>
          <w:highlight w:val="none"/>
          <w:lang w:eastAsia="zh-CN"/>
        </w:rPr>
      </w:pPr>
      <w:bookmarkStart w:id="108" w:name="_Toc20008"/>
      <w:r>
        <w:rPr>
          <w:rFonts w:hint="eastAsia" w:asciiTheme="minorEastAsia" w:hAnsiTheme="minorEastAsia" w:eastAsiaTheme="minorEastAsia" w:cstheme="minorEastAsia"/>
          <w:color w:val="auto"/>
          <w:sz w:val="24"/>
          <w:szCs w:val="24"/>
          <w:highlight w:val="none"/>
          <w:lang w:eastAsia="zh-CN"/>
        </w:rPr>
        <w:t>下列文件组成本合同的文件及作为解释的先后顺序：</w:t>
      </w:r>
      <w:bookmarkEnd w:id="108"/>
    </w:p>
    <w:p w14:paraId="1116AFEC">
      <w:pPr>
        <w:numPr>
          <w:ilvl w:val="1"/>
          <w:numId w:val="5"/>
        </w:numPr>
        <w:tabs>
          <w:tab w:val="left" w:pos="425"/>
        </w:tabs>
        <w:spacing w:line="360" w:lineRule="auto"/>
        <w:ind w:left="0"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u w:val="single"/>
          <w:lang w:eastAsia="zh-CN"/>
        </w:rPr>
        <w:t>中华人民共和国新疆出入境边防检查总站乌鲁木齐警犬训练基地待训警犬采购项目</w:t>
      </w:r>
      <w:r>
        <w:rPr>
          <w:rFonts w:hint="eastAsia" w:asciiTheme="minorEastAsia" w:hAnsiTheme="minorEastAsia" w:eastAsiaTheme="minorEastAsia" w:cstheme="minorEastAsia"/>
          <w:color w:val="auto"/>
          <w:sz w:val="24"/>
          <w:szCs w:val="24"/>
          <w:highlight w:val="none"/>
          <w:lang w:eastAsia="zh-CN"/>
        </w:rPr>
        <w:t>（招标编号：          ）的招标文件及招标答疑会议纪要（如有）；</w:t>
      </w:r>
    </w:p>
    <w:p w14:paraId="6D4635FD">
      <w:pPr>
        <w:numPr>
          <w:ilvl w:val="1"/>
          <w:numId w:val="5"/>
        </w:numPr>
        <w:tabs>
          <w:tab w:val="left" w:pos="425"/>
        </w:tabs>
        <w:spacing w:line="360" w:lineRule="auto"/>
        <w:ind w:left="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本项目的成交通知书；</w:t>
      </w:r>
    </w:p>
    <w:p w14:paraId="3F2C9756">
      <w:pPr>
        <w:numPr>
          <w:ilvl w:val="1"/>
          <w:numId w:val="5"/>
        </w:numPr>
        <w:tabs>
          <w:tab w:val="left" w:pos="425"/>
        </w:tabs>
        <w:spacing w:line="360" w:lineRule="auto"/>
        <w:ind w:left="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本合同及其附件；</w:t>
      </w:r>
    </w:p>
    <w:p w14:paraId="2E34DC8A">
      <w:pPr>
        <w:numPr>
          <w:ilvl w:val="1"/>
          <w:numId w:val="5"/>
        </w:numPr>
        <w:tabs>
          <w:tab w:val="left" w:pos="425"/>
        </w:tabs>
        <w:spacing w:line="360" w:lineRule="auto"/>
        <w:ind w:left="0"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乙方(中标人)的响应文件及其附件；</w:t>
      </w:r>
    </w:p>
    <w:p w14:paraId="107E1812">
      <w:pPr>
        <w:numPr>
          <w:ilvl w:val="1"/>
          <w:numId w:val="5"/>
        </w:numPr>
        <w:tabs>
          <w:tab w:val="left" w:pos="425"/>
        </w:tabs>
        <w:spacing w:line="360" w:lineRule="auto"/>
        <w:ind w:left="0"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 xml:space="preserve">行业标准、规范及有关技术文件等。 </w:t>
      </w:r>
    </w:p>
    <w:p w14:paraId="2637C0AD">
      <w:pPr>
        <w:numPr>
          <w:ilvl w:val="0"/>
          <w:numId w:val="5"/>
        </w:numPr>
        <w:tabs>
          <w:tab w:val="left" w:pos="425"/>
        </w:tabs>
        <w:spacing w:line="360" w:lineRule="auto"/>
        <w:ind w:left="0"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乙方保证全部按照合同条款的规定向甲方提供优质的产品和服务。</w:t>
      </w:r>
    </w:p>
    <w:p w14:paraId="57253FCC">
      <w:pPr>
        <w:numPr>
          <w:ilvl w:val="0"/>
          <w:numId w:val="5"/>
        </w:numPr>
        <w:tabs>
          <w:tab w:val="left" w:pos="425"/>
        </w:tabs>
        <w:spacing w:line="360" w:lineRule="auto"/>
        <w:ind w:left="0"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甲方保证按照合同条款规定的时间和方式付给乙方到期应付的价款。</w:t>
      </w:r>
    </w:p>
    <w:p w14:paraId="7512CA17">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lang w:eastAsia="zh-CN"/>
        </w:rPr>
      </w:pPr>
      <w:bookmarkStart w:id="109" w:name="_Toc432684933"/>
      <w:bookmarkStart w:id="110" w:name="_Toc479943852"/>
      <w:bookmarkStart w:id="111" w:name="_Toc8967"/>
      <w:bookmarkStart w:id="112" w:name="_Toc427666521"/>
      <w:bookmarkStart w:id="113" w:name="_Toc26558"/>
      <w:bookmarkStart w:id="114" w:name="_Toc480316114"/>
      <w:r>
        <w:rPr>
          <w:rFonts w:hint="eastAsia" w:asciiTheme="minorEastAsia" w:hAnsiTheme="minorEastAsia" w:eastAsiaTheme="minorEastAsia" w:cstheme="minorEastAsia"/>
          <w:color w:val="auto"/>
          <w:sz w:val="24"/>
          <w:szCs w:val="24"/>
          <w:highlight w:val="none"/>
          <w:lang w:eastAsia="zh-CN"/>
        </w:rPr>
        <w:t>二、定义</w:t>
      </w:r>
      <w:bookmarkEnd w:id="109"/>
      <w:bookmarkEnd w:id="110"/>
      <w:bookmarkEnd w:id="111"/>
      <w:bookmarkEnd w:id="112"/>
      <w:bookmarkEnd w:id="113"/>
      <w:bookmarkEnd w:id="114"/>
    </w:p>
    <w:p w14:paraId="7582F7BD">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本合同下列术</w:t>
      </w:r>
      <w:bookmarkStart w:id="115" w:name="_Toc399165009"/>
      <w:r>
        <w:rPr>
          <w:rFonts w:hint="eastAsia" w:asciiTheme="minorEastAsia" w:hAnsiTheme="minorEastAsia" w:eastAsiaTheme="minorEastAsia" w:cstheme="minorEastAsia"/>
          <w:color w:val="auto"/>
          <w:sz w:val="24"/>
          <w:szCs w:val="24"/>
          <w:highlight w:val="none"/>
          <w:lang w:eastAsia="zh-CN"/>
        </w:rPr>
        <w:t>语应</w:t>
      </w:r>
      <w:bookmarkEnd w:id="115"/>
      <w:r>
        <w:rPr>
          <w:rFonts w:hint="eastAsia" w:asciiTheme="minorEastAsia" w:hAnsiTheme="minorEastAsia" w:eastAsiaTheme="minorEastAsia" w:cstheme="minorEastAsia"/>
          <w:color w:val="auto"/>
          <w:sz w:val="24"/>
          <w:szCs w:val="24"/>
          <w:highlight w:val="none"/>
          <w:lang w:eastAsia="zh-CN"/>
        </w:rPr>
        <w:t>解释为：</w:t>
      </w:r>
    </w:p>
    <w:p w14:paraId="61C057EC">
      <w:pPr>
        <w:numPr>
          <w:ilvl w:val="0"/>
          <w:numId w:val="6"/>
        </w:numPr>
        <w:tabs>
          <w:tab w:val="left" w:pos="425"/>
        </w:tabs>
        <w:spacing w:line="360" w:lineRule="auto"/>
        <w:outlineLvl w:val="2"/>
        <w:rPr>
          <w:rFonts w:hint="eastAsia" w:asciiTheme="minorEastAsia" w:hAnsiTheme="minorEastAsia" w:eastAsiaTheme="minorEastAsia" w:cstheme="minorEastAsia"/>
          <w:color w:val="auto"/>
          <w:sz w:val="24"/>
          <w:szCs w:val="24"/>
          <w:highlight w:val="none"/>
        </w:rPr>
      </w:pPr>
      <w:bookmarkStart w:id="116" w:name="_Toc8113"/>
      <w:r>
        <w:rPr>
          <w:rFonts w:hint="eastAsia" w:asciiTheme="minorEastAsia" w:hAnsiTheme="minorEastAsia" w:eastAsiaTheme="minorEastAsia" w:cstheme="minorEastAsia"/>
          <w:color w:val="auto"/>
          <w:sz w:val="24"/>
          <w:szCs w:val="24"/>
          <w:highlight w:val="none"/>
        </w:rPr>
        <w:t>合同要素</w:t>
      </w:r>
      <w:bookmarkEnd w:id="116"/>
    </w:p>
    <w:p w14:paraId="4A546E1D">
      <w:pPr>
        <w:numPr>
          <w:ilvl w:val="1"/>
          <w:numId w:val="6"/>
        </w:numPr>
        <w:tabs>
          <w:tab w:val="left" w:pos="425"/>
        </w:tabs>
        <w:spacing w:line="360" w:lineRule="auto"/>
        <w:ind w:left="851" w:hanging="426"/>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“合同”系指甲乙双方签署的、合同格式中载明的甲乙双方所达成的协议，包括所有的附件、附录和上述文件所提到的构成合同的所有文件，并按本合同第一条“总则”第2款的先后顺序解释。</w:t>
      </w:r>
    </w:p>
    <w:p w14:paraId="089F64C2">
      <w:pPr>
        <w:numPr>
          <w:ilvl w:val="1"/>
          <w:numId w:val="6"/>
        </w:numPr>
        <w:tabs>
          <w:tab w:val="left" w:pos="425"/>
        </w:tabs>
        <w:spacing w:line="360" w:lineRule="auto"/>
        <w:ind w:left="851" w:hanging="426"/>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“合同价格”系指根据合同规定乙方在正确地完全履行合同义务后甲方应支付给乙方的价格。</w:t>
      </w:r>
    </w:p>
    <w:p w14:paraId="6017A668">
      <w:pPr>
        <w:numPr>
          <w:ilvl w:val="1"/>
          <w:numId w:val="6"/>
        </w:numPr>
        <w:tabs>
          <w:tab w:val="left" w:pos="425"/>
        </w:tabs>
        <w:spacing w:line="360" w:lineRule="auto"/>
        <w:ind w:left="851" w:hanging="426"/>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“合同条款”系指本合同条款。</w:t>
      </w:r>
    </w:p>
    <w:p w14:paraId="6F18B9A9">
      <w:pPr>
        <w:numPr>
          <w:ilvl w:val="1"/>
          <w:numId w:val="6"/>
        </w:numPr>
        <w:tabs>
          <w:tab w:val="left" w:pos="425"/>
        </w:tabs>
        <w:spacing w:line="360" w:lineRule="auto"/>
        <w:ind w:left="851" w:hanging="426"/>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“技术需求”指的是招标文件中第五章的技术需求。</w:t>
      </w:r>
    </w:p>
    <w:p w14:paraId="53727482">
      <w:pPr>
        <w:numPr>
          <w:ilvl w:val="0"/>
          <w:numId w:val="6"/>
        </w:numPr>
        <w:tabs>
          <w:tab w:val="left" w:pos="425"/>
        </w:tabs>
        <w:spacing w:line="360" w:lineRule="auto"/>
        <w:outlineLvl w:val="2"/>
        <w:rPr>
          <w:rFonts w:hint="eastAsia" w:asciiTheme="minorEastAsia" w:hAnsiTheme="minorEastAsia" w:eastAsiaTheme="minorEastAsia" w:cstheme="minorEastAsia"/>
          <w:color w:val="auto"/>
          <w:sz w:val="24"/>
          <w:szCs w:val="24"/>
          <w:highlight w:val="none"/>
        </w:rPr>
      </w:pPr>
      <w:bookmarkStart w:id="117" w:name="_Toc21006"/>
      <w:r>
        <w:rPr>
          <w:rFonts w:hint="eastAsia" w:asciiTheme="minorEastAsia" w:hAnsiTheme="minorEastAsia" w:eastAsiaTheme="minorEastAsia" w:cstheme="minorEastAsia"/>
          <w:color w:val="auto"/>
          <w:sz w:val="24"/>
          <w:szCs w:val="24"/>
          <w:highlight w:val="none"/>
        </w:rPr>
        <w:t>实体</w:t>
      </w:r>
      <w:bookmarkEnd w:id="117"/>
    </w:p>
    <w:p w14:paraId="6A23D8B9">
      <w:pPr>
        <w:numPr>
          <w:ilvl w:val="1"/>
          <w:numId w:val="6"/>
        </w:numPr>
        <w:tabs>
          <w:tab w:val="left" w:pos="425"/>
        </w:tabs>
        <w:spacing w:line="360" w:lineRule="auto"/>
        <w:ind w:left="851" w:hanging="426"/>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“甲方”系指在合同中指明的购买货物和服务的单位。</w:t>
      </w:r>
    </w:p>
    <w:p w14:paraId="053DC654">
      <w:pPr>
        <w:numPr>
          <w:ilvl w:val="1"/>
          <w:numId w:val="6"/>
        </w:numPr>
        <w:tabs>
          <w:tab w:val="left" w:pos="425"/>
        </w:tabs>
        <w:spacing w:line="360" w:lineRule="auto"/>
        <w:ind w:left="851" w:hanging="426"/>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“乙方”系指在合同中指明的提供本合同项下货物和服务的公司或实体。</w:t>
      </w:r>
    </w:p>
    <w:p w14:paraId="7EAFE9BF">
      <w:pPr>
        <w:numPr>
          <w:ilvl w:val="1"/>
          <w:numId w:val="6"/>
        </w:numPr>
        <w:tabs>
          <w:tab w:val="left" w:pos="425"/>
        </w:tabs>
        <w:spacing w:line="360" w:lineRule="auto"/>
        <w:ind w:left="851" w:hanging="426"/>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“最终用户”系指在合同中指明的、授权甲方采购合同项下货物和服务的委托单位。</w:t>
      </w:r>
    </w:p>
    <w:p w14:paraId="6A0D87A2">
      <w:pPr>
        <w:numPr>
          <w:ilvl w:val="0"/>
          <w:numId w:val="6"/>
        </w:numPr>
        <w:tabs>
          <w:tab w:val="left" w:pos="425"/>
        </w:tabs>
        <w:spacing w:line="360" w:lineRule="auto"/>
        <w:outlineLvl w:val="2"/>
        <w:rPr>
          <w:rFonts w:hint="eastAsia" w:asciiTheme="minorEastAsia" w:hAnsiTheme="minorEastAsia" w:eastAsiaTheme="minorEastAsia" w:cstheme="minorEastAsia"/>
          <w:color w:val="auto"/>
          <w:sz w:val="24"/>
          <w:szCs w:val="24"/>
          <w:highlight w:val="none"/>
        </w:rPr>
      </w:pPr>
      <w:bookmarkStart w:id="118" w:name="_Toc26153"/>
      <w:r>
        <w:rPr>
          <w:rFonts w:hint="eastAsia" w:asciiTheme="minorEastAsia" w:hAnsiTheme="minorEastAsia" w:eastAsiaTheme="minorEastAsia" w:cstheme="minorEastAsia"/>
          <w:color w:val="auto"/>
          <w:sz w:val="24"/>
          <w:szCs w:val="24"/>
          <w:highlight w:val="none"/>
        </w:rPr>
        <w:t>事项</w:t>
      </w:r>
      <w:bookmarkEnd w:id="118"/>
    </w:p>
    <w:p w14:paraId="52A4E0C3">
      <w:pPr>
        <w:numPr>
          <w:ilvl w:val="1"/>
          <w:numId w:val="6"/>
        </w:numPr>
        <w:tabs>
          <w:tab w:val="left" w:pos="425"/>
        </w:tabs>
        <w:spacing w:line="360" w:lineRule="auto"/>
        <w:ind w:left="851" w:hanging="426"/>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“货物”系指乙方根据合同规定须向甲方提供的一切产品和／或其它材料。详见本合同第三条“合同标的”。</w:t>
      </w:r>
    </w:p>
    <w:p w14:paraId="3050B665">
      <w:pPr>
        <w:numPr>
          <w:ilvl w:val="1"/>
          <w:numId w:val="6"/>
        </w:numPr>
        <w:tabs>
          <w:tab w:val="left" w:pos="425"/>
        </w:tabs>
        <w:spacing w:line="360" w:lineRule="auto"/>
        <w:ind w:left="851" w:hanging="426"/>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“服务”系指根据合同规定，乙方应提供的技术、管理和其它服务，包括但不限于：安装、调试、检测、验收及技术服务等。详见本合同第三条“合同标的”。</w:t>
      </w:r>
    </w:p>
    <w:p w14:paraId="0EE4F1C6">
      <w:pPr>
        <w:numPr>
          <w:ilvl w:val="1"/>
          <w:numId w:val="6"/>
        </w:numPr>
        <w:tabs>
          <w:tab w:val="left" w:pos="425"/>
        </w:tabs>
        <w:spacing w:line="360" w:lineRule="auto"/>
        <w:ind w:left="851" w:hanging="426"/>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“资料”指乙方在合同项下，根据合同规定须向甲方提供的所有文件。</w:t>
      </w:r>
    </w:p>
    <w:p w14:paraId="63CE0C26">
      <w:pPr>
        <w:numPr>
          <w:ilvl w:val="0"/>
          <w:numId w:val="6"/>
        </w:numPr>
        <w:tabs>
          <w:tab w:val="left" w:pos="425"/>
        </w:tabs>
        <w:spacing w:line="360" w:lineRule="auto"/>
        <w:outlineLvl w:val="2"/>
        <w:rPr>
          <w:rFonts w:hint="eastAsia" w:asciiTheme="minorEastAsia" w:hAnsiTheme="minorEastAsia" w:eastAsiaTheme="minorEastAsia" w:cstheme="minorEastAsia"/>
          <w:color w:val="auto"/>
          <w:sz w:val="24"/>
          <w:szCs w:val="24"/>
          <w:highlight w:val="none"/>
        </w:rPr>
      </w:pPr>
      <w:bookmarkStart w:id="119" w:name="_Toc4017"/>
      <w:r>
        <w:rPr>
          <w:rFonts w:hint="eastAsia" w:asciiTheme="minorEastAsia" w:hAnsiTheme="minorEastAsia" w:eastAsiaTheme="minorEastAsia" w:cstheme="minorEastAsia"/>
          <w:color w:val="auto"/>
          <w:sz w:val="24"/>
          <w:szCs w:val="24"/>
          <w:highlight w:val="none"/>
        </w:rPr>
        <w:t>活动</w:t>
      </w:r>
      <w:bookmarkEnd w:id="119"/>
    </w:p>
    <w:p w14:paraId="480C0323">
      <w:pPr>
        <w:numPr>
          <w:ilvl w:val="1"/>
          <w:numId w:val="6"/>
        </w:numPr>
        <w:tabs>
          <w:tab w:val="left" w:pos="425"/>
        </w:tabs>
        <w:spacing w:line="360" w:lineRule="auto"/>
        <w:ind w:left="851" w:hanging="426"/>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“供货”是指乙方按照合同规定，向甲方提供货物。</w:t>
      </w:r>
    </w:p>
    <w:p w14:paraId="11CDB2AF">
      <w:pPr>
        <w:numPr>
          <w:ilvl w:val="1"/>
          <w:numId w:val="6"/>
        </w:numPr>
        <w:tabs>
          <w:tab w:val="left" w:pos="425"/>
        </w:tabs>
        <w:spacing w:line="360" w:lineRule="auto"/>
        <w:ind w:left="851" w:hanging="426"/>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 xml:space="preserve"> “验收”是指所有合同项下所供货物在检测中达到合同规定的技术标准后，甲方予以接受。</w:t>
      </w:r>
    </w:p>
    <w:p w14:paraId="089F6C24">
      <w:pPr>
        <w:numPr>
          <w:ilvl w:val="0"/>
          <w:numId w:val="6"/>
        </w:numPr>
        <w:tabs>
          <w:tab w:val="left" w:pos="425"/>
        </w:tabs>
        <w:spacing w:line="360" w:lineRule="auto"/>
        <w:outlineLvl w:val="2"/>
        <w:rPr>
          <w:rFonts w:hint="eastAsia" w:asciiTheme="minorEastAsia" w:hAnsiTheme="minorEastAsia" w:eastAsiaTheme="minorEastAsia" w:cstheme="minorEastAsia"/>
          <w:color w:val="auto"/>
          <w:sz w:val="24"/>
          <w:szCs w:val="24"/>
          <w:highlight w:val="none"/>
        </w:rPr>
      </w:pPr>
      <w:bookmarkStart w:id="120" w:name="_Toc27461"/>
      <w:r>
        <w:rPr>
          <w:rFonts w:hint="eastAsia" w:asciiTheme="minorEastAsia" w:hAnsiTheme="minorEastAsia" w:eastAsiaTheme="minorEastAsia" w:cstheme="minorEastAsia"/>
          <w:color w:val="auto"/>
          <w:sz w:val="24"/>
          <w:szCs w:val="24"/>
          <w:highlight w:val="none"/>
        </w:rPr>
        <w:t>地点和时间</w:t>
      </w:r>
      <w:bookmarkEnd w:id="120"/>
    </w:p>
    <w:p w14:paraId="5B2EFAC4">
      <w:pPr>
        <w:numPr>
          <w:ilvl w:val="1"/>
          <w:numId w:val="6"/>
        </w:numPr>
        <w:tabs>
          <w:tab w:val="left" w:pos="425"/>
        </w:tabs>
        <w:spacing w:line="360" w:lineRule="auto"/>
        <w:ind w:left="851" w:hanging="426"/>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“供货地点”指的是本合同第六条“供货”中标明的货物交付场所。</w:t>
      </w:r>
    </w:p>
    <w:p w14:paraId="70D0B93E">
      <w:pPr>
        <w:numPr>
          <w:ilvl w:val="1"/>
          <w:numId w:val="6"/>
        </w:numPr>
        <w:tabs>
          <w:tab w:val="left" w:pos="425"/>
        </w:tabs>
        <w:spacing w:line="360" w:lineRule="auto"/>
        <w:ind w:left="851" w:hanging="426"/>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“质量保证期“是指自合同验收之日起一定时间内，乙方保证所供货物符合合同规定的质量、规格、设计等要求，并负责消除存在的任何缺陷。详见本合同第十五条“质量保证期及售后服务”。</w:t>
      </w:r>
    </w:p>
    <w:p w14:paraId="4534073C">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rPr>
      </w:pPr>
      <w:bookmarkStart w:id="121" w:name="_Toc427666522"/>
      <w:bookmarkStart w:id="122" w:name="_Toc480316115"/>
      <w:bookmarkStart w:id="123" w:name="_Toc432684934"/>
      <w:bookmarkStart w:id="124" w:name="_Toc29427"/>
      <w:bookmarkStart w:id="125" w:name="_Toc479943853"/>
      <w:bookmarkStart w:id="126" w:name="_Toc29720"/>
      <w:r>
        <w:rPr>
          <w:rFonts w:hint="eastAsia" w:asciiTheme="minorEastAsia" w:hAnsiTheme="minorEastAsia" w:eastAsiaTheme="minorEastAsia" w:cstheme="minorEastAsia"/>
          <w:color w:val="auto"/>
          <w:sz w:val="24"/>
          <w:szCs w:val="24"/>
          <w:highlight w:val="none"/>
        </w:rPr>
        <w:t>三、合同标的</w:t>
      </w:r>
      <w:bookmarkEnd w:id="121"/>
      <w:bookmarkEnd w:id="122"/>
      <w:bookmarkEnd w:id="123"/>
      <w:bookmarkEnd w:id="124"/>
      <w:bookmarkEnd w:id="125"/>
      <w:bookmarkEnd w:id="126"/>
    </w:p>
    <w:p w14:paraId="0C531E07">
      <w:pPr>
        <w:numPr>
          <w:ilvl w:val="0"/>
          <w:numId w:val="7"/>
        </w:numPr>
        <w:tabs>
          <w:tab w:val="left" w:pos="425"/>
        </w:tabs>
        <w:spacing w:line="360" w:lineRule="auto"/>
        <w:ind w:left="158" w:leftChars="75"/>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本合同标</w:t>
      </w:r>
      <w:bookmarkStart w:id="127" w:name="_Toc399165010"/>
      <w:r>
        <w:rPr>
          <w:rFonts w:hint="eastAsia" w:asciiTheme="minorEastAsia" w:hAnsiTheme="minorEastAsia" w:eastAsiaTheme="minorEastAsia" w:cstheme="minorEastAsia"/>
          <w:color w:val="auto"/>
          <w:sz w:val="24"/>
          <w:szCs w:val="24"/>
          <w:highlight w:val="none"/>
          <w:lang w:eastAsia="zh-CN"/>
        </w:rPr>
        <w:t>的为</w:t>
      </w:r>
      <w:bookmarkEnd w:id="127"/>
      <w:r>
        <w:rPr>
          <w:rFonts w:hint="eastAsia" w:asciiTheme="minorEastAsia" w:hAnsiTheme="minorEastAsia" w:eastAsiaTheme="minorEastAsia" w:cstheme="minorEastAsia"/>
          <w:color w:val="auto"/>
          <w:kern w:val="28"/>
          <w:sz w:val="24"/>
          <w:szCs w:val="24"/>
          <w:highlight w:val="none"/>
          <w:u w:val="single"/>
          <w:lang w:eastAsia="zh-CN"/>
        </w:rPr>
        <w:t>中华人民共和国新疆出入境边防检查总站乌鲁木齐警犬训练基地待训警犬采购项目</w:t>
      </w:r>
      <w:r>
        <w:rPr>
          <w:rFonts w:hint="eastAsia" w:asciiTheme="minorEastAsia" w:hAnsiTheme="minorEastAsia" w:eastAsiaTheme="minorEastAsia" w:cstheme="minorEastAsia"/>
          <w:color w:val="auto"/>
          <w:sz w:val="24"/>
          <w:szCs w:val="24"/>
          <w:highlight w:val="none"/>
          <w:lang w:eastAsia="zh-CN"/>
        </w:rPr>
        <w:t>，本合同价格为固定价。合同总价以货到甲方指定供货地点的全部费用为标准，包括货物及货物本身已缴纳或应缴纳的全部增值税、营业税、销售税和其他税费，货物交付至甲方指定</w:t>
      </w:r>
      <w:r>
        <w:rPr>
          <w:rFonts w:hint="eastAsia" w:asciiTheme="minorEastAsia" w:hAnsiTheme="minorEastAsia" w:eastAsiaTheme="minorEastAsia" w:cstheme="minorEastAsia"/>
          <w:color w:val="auto"/>
          <w:sz w:val="24"/>
          <w:szCs w:val="24"/>
          <w:highlight w:val="none"/>
          <w:lang w:val="en-US" w:eastAsia="zh-CN"/>
        </w:rPr>
        <w:t>供货</w:t>
      </w:r>
      <w:r>
        <w:rPr>
          <w:rFonts w:hint="eastAsia" w:asciiTheme="minorEastAsia" w:hAnsiTheme="minorEastAsia" w:eastAsiaTheme="minorEastAsia" w:cstheme="minorEastAsia"/>
          <w:color w:val="auto"/>
          <w:sz w:val="24"/>
          <w:szCs w:val="24"/>
          <w:highlight w:val="none"/>
          <w:lang w:eastAsia="zh-CN"/>
        </w:rPr>
        <w:t>地点的运输费、保险费和伴随货物交运的有关费用以及与货物有关的培训及技术服务等所有费用。</w:t>
      </w:r>
    </w:p>
    <w:p w14:paraId="594DB747">
      <w:pPr>
        <w:numPr>
          <w:ilvl w:val="0"/>
          <w:numId w:val="7"/>
        </w:numPr>
        <w:tabs>
          <w:tab w:val="left" w:pos="425"/>
        </w:tabs>
        <w:spacing w:line="360" w:lineRule="auto"/>
        <w:ind w:left="158" w:leftChars="75"/>
        <w:outlineLvl w:val="2"/>
        <w:rPr>
          <w:rFonts w:hint="eastAsia" w:asciiTheme="minorEastAsia" w:hAnsiTheme="minorEastAsia" w:eastAsiaTheme="minorEastAsia" w:cstheme="minorEastAsia"/>
          <w:color w:val="auto"/>
          <w:sz w:val="24"/>
          <w:szCs w:val="24"/>
          <w:highlight w:val="none"/>
          <w:lang w:eastAsia="zh-CN"/>
        </w:rPr>
      </w:pPr>
      <w:bookmarkStart w:id="128" w:name="_Toc25557"/>
      <w:r>
        <w:rPr>
          <w:rFonts w:hint="eastAsia" w:asciiTheme="minorEastAsia" w:hAnsiTheme="minorEastAsia" w:eastAsiaTheme="minorEastAsia" w:cstheme="minorEastAsia"/>
          <w:color w:val="auto"/>
          <w:sz w:val="24"/>
          <w:szCs w:val="24"/>
          <w:highlight w:val="none"/>
          <w:lang w:eastAsia="zh-CN"/>
        </w:rPr>
        <w:t>供货货物名称、规格型号、单位、数量及金额：（人民币元）</w:t>
      </w:r>
      <w:bookmarkEnd w:id="128"/>
    </w:p>
    <w:tbl>
      <w:tblPr>
        <w:tblStyle w:val="14"/>
        <w:tblW w:w="913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
      <w:tblGrid>
        <w:gridCol w:w="1043"/>
        <w:gridCol w:w="1966"/>
        <w:gridCol w:w="1203"/>
        <w:gridCol w:w="1805"/>
        <w:gridCol w:w="1041"/>
        <w:gridCol w:w="1041"/>
        <w:gridCol w:w="1036"/>
      </w:tblGrid>
      <w:tr w14:paraId="1EAD6D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34" w:hRule="atLeast"/>
          <w:jc w:val="center"/>
        </w:trPr>
        <w:tc>
          <w:tcPr>
            <w:tcW w:w="1043" w:type="dxa"/>
            <w:vAlign w:val="center"/>
          </w:tcPr>
          <w:p w14:paraId="4E4A575D">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序号</w:t>
            </w:r>
          </w:p>
        </w:tc>
        <w:tc>
          <w:tcPr>
            <w:tcW w:w="1966" w:type="dxa"/>
            <w:vAlign w:val="center"/>
          </w:tcPr>
          <w:p w14:paraId="7A217457">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犬种</w:t>
            </w:r>
          </w:p>
        </w:tc>
        <w:tc>
          <w:tcPr>
            <w:tcW w:w="1203" w:type="dxa"/>
            <w:vAlign w:val="center"/>
          </w:tcPr>
          <w:p w14:paraId="22705AFB">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性别</w:t>
            </w:r>
          </w:p>
        </w:tc>
        <w:tc>
          <w:tcPr>
            <w:tcW w:w="1805" w:type="dxa"/>
            <w:vAlign w:val="center"/>
          </w:tcPr>
          <w:p w14:paraId="5BD14987">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年龄</w:t>
            </w:r>
          </w:p>
        </w:tc>
        <w:tc>
          <w:tcPr>
            <w:tcW w:w="1041" w:type="dxa"/>
            <w:vAlign w:val="center"/>
          </w:tcPr>
          <w:p w14:paraId="2572E9D5">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单价</w:t>
            </w:r>
          </w:p>
        </w:tc>
        <w:tc>
          <w:tcPr>
            <w:tcW w:w="1041" w:type="dxa"/>
            <w:vAlign w:val="center"/>
          </w:tcPr>
          <w:p w14:paraId="27C0B1E6">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数量</w:t>
            </w:r>
          </w:p>
        </w:tc>
        <w:tc>
          <w:tcPr>
            <w:tcW w:w="1036" w:type="dxa"/>
            <w:vAlign w:val="center"/>
          </w:tcPr>
          <w:p w14:paraId="4B836189">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总价</w:t>
            </w:r>
          </w:p>
        </w:tc>
      </w:tr>
      <w:tr w14:paraId="759CD2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34" w:hRule="atLeast"/>
          <w:jc w:val="center"/>
        </w:trPr>
        <w:tc>
          <w:tcPr>
            <w:tcW w:w="1043" w:type="dxa"/>
            <w:vAlign w:val="center"/>
          </w:tcPr>
          <w:p w14:paraId="2095199A">
            <w:pPr>
              <w:tabs>
                <w:tab w:val="left" w:pos="840"/>
              </w:tabs>
              <w:jc w:val="center"/>
              <w:rPr>
                <w:rFonts w:hint="eastAsia" w:asciiTheme="minorEastAsia" w:hAnsiTheme="minorEastAsia" w:eastAsiaTheme="minorEastAsia" w:cstheme="minorEastAsia"/>
                <w:color w:val="auto"/>
                <w:kern w:val="28"/>
                <w:sz w:val="24"/>
                <w:szCs w:val="24"/>
                <w:highlight w:val="none"/>
                <w:lang w:val="en-US" w:eastAsia="zh-CN"/>
              </w:rPr>
            </w:pPr>
            <w:r>
              <w:rPr>
                <w:rFonts w:hint="eastAsia" w:asciiTheme="minorEastAsia" w:hAnsiTheme="minorEastAsia" w:eastAsiaTheme="minorEastAsia" w:cstheme="minorEastAsia"/>
                <w:color w:val="auto"/>
                <w:kern w:val="28"/>
                <w:sz w:val="24"/>
                <w:szCs w:val="24"/>
                <w:highlight w:val="none"/>
                <w:lang w:val="en-US" w:eastAsia="zh-CN"/>
              </w:rPr>
              <w:t>1</w:t>
            </w:r>
          </w:p>
        </w:tc>
        <w:tc>
          <w:tcPr>
            <w:tcW w:w="1966" w:type="dxa"/>
            <w:vAlign w:val="center"/>
          </w:tcPr>
          <w:p w14:paraId="659021C0">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东德牧羊犬</w:t>
            </w:r>
          </w:p>
        </w:tc>
        <w:tc>
          <w:tcPr>
            <w:tcW w:w="1203" w:type="dxa"/>
            <w:vAlign w:val="center"/>
          </w:tcPr>
          <w:p w14:paraId="437308D8">
            <w:pPr>
              <w:tabs>
                <w:tab w:val="left" w:pos="840"/>
              </w:tabs>
              <w:jc w:val="center"/>
              <w:rPr>
                <w:rFonts w:hint="eastAsia" w:asciiTheme="minorEastAsia" w:hAnsiTheme="minorEastAsia" w:eastAsiaTheme="minorEastAsia" w:cstheme="minorEastAsia"/>
                <w:color w:val="auto"/>
                <w:kern w:val="28"/>
                <w:sz w:val="24"/>
                <w:szCs w:val="24"/>
                <w:highlight w:val="none"/>
                <w:lang w:val="en-US" w:eastAsia="zh-CN"/>
              </w:rPr>
            </w:pPr>
            <w:r>
              <w:rPr>
                <w:rFonts w:hint="eastAsia" w:asciiTheme="minorEastAsia" w:hAnsiTheme="minorEastAsia" w:eastAsiaTheme="minorEastAsia" w:cstheme="minorEastAsia"/>
                <w:color w:val="auto"/>
                <w:kern w:val="28"/>
                <w:sz w:val="24"/>
                <w:szCs w:val="24"/>
                <w:highlight w:val="none"/>
                <w:lang w:val="en-US" w:eastAsia="zh-CN"/>
              </w:rPr>
              <w:t>公</w:t>
            </w:r>
          </w:p>
        </w:tc>
        <w:tc>
          <w:tcPr>
            <w:tcW w:w="1805" w:type="dxa"/>
            <w:vAlign w:val="center"/>
          </w:tcPr>
          <w:p w14:paraId="2485D73A">
            <w:pPr>
              <w:jc w:val="center"/>
              <w:rPr>
                <w:rFonts w:hint="eastAsia" w:asciiTheme="minorEastAsia" w:hAnsiTheme="minorEastAsia" w:eastAsiaTheme="minorEastAsia" w:cstheme="minorEastAsia"/>
                <w:color w:val="auto"/>
                <w:kern w:val="28"/>
                <w:sz w:val="24"/>
                <w:szCs w:val="24"/>
                <w:highlight w:val="none"/>
              </w:rPr>
            </w:pPr>
            <w:r>
              <w:rPr>
                <w:rFonts w:ascii="宋体" w:hAnsi="宋体" w:cs="宋体"/>
                <w:color w:val="auto"/>
                <w:kern w:val="28"/>
                <w:highlight w:val="none"/>
              </w:rPr>
              <w:t>8个月-20个月</w:t>
            </w:r>
          </w:p>
        </w:tc>
        <w:tc>
          <w:tcPr>
            <w:tcW w:w="1041" w:type="dxa"/>
            <w:vAlign w:val="center"/>
          </w:tcPr>
          <w:p w14:paraId="56D60FF5">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1041" w:type="dxa"/>
            <w:vAlign w:val="center"/>
          </w:tcPr>
          <w:p w14:paraId="481D0454">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75头</w:t>
            </w:r>
          </w:p>
        </w:tc>
        <w:tc>
          <w:tcPr>
            <w:tcW w:w="1036" w:type="dxa"/>
            <w:vAlign w:val="center"/>
          </w:tcPr>
          <w:p w14:paraId="5110E8A2">
            <w:pPr>
              <w:tabs>
                <w:tab w:val="left" w:pos="840"/>
              </w:tabs>
              <w:jc w:val="center"/>
              <w:rPr>
                <w:rFonts w:hint="eastAsia" w:asciiTheme="minorEastAsia" w:hAnsiTheme="minorEastAsia" w:eastAsiaTheme="minorEastAsia" w:cstheme="minorEastAsia"/>
                <w:color w:val="auto"/>
                <w:kern w:val="28"/>
                <w:sz w:val="24"/>
                <w:szCs w:val="24"/>
                <w:highlight w:val="none"/>
              </w:rPr>
            </w:pPr>
          </w:p>
        </w:tc>
      </w:tr>
      <w:tr w14:paraId="2CE1FA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34" w:hRule="atLeast"/>
          <w:jc w:val="center"/>
        </w:trPr>
        <w:tc>
          <w:tcPr>
            <w:tcW w:w="1043" w:type="dxa"/>
            <w:vAlign w:val="center"/>
          </w:tcPr>
          <w:p w14:paraId="3FAD7203">
            <w:pPr>
              <w:tabs>
                <w:tab w:val="left" w:pos="840"/>
              </w:tabs>
              <w:jc w:val="center"/>
              <w:rPr>
                <w:rFonts w:hint="eastAsia" w:asciiTheme="minorEastAsia" w:hAnsiTheme="minorEastAsia" w:eastAsiaTheme="minorEastAsia" w:cstheme="minorEastAsia"/>
                <w:color w:val="auto"/>
                <w:kern w:val="28"/>
                <w:sz w:val="24"/>
                <w:szCs w:val="24"/>
                <w:highlight w:val="none"/>
                <w:lang w:val="en-US" w:eastAsia="zh-CN"/>
              </w:rPr>
            </w:pPr>
            <w:r>
              <w:rPr>
                <w:rFonts w:hint="eastAsia" w:asciiTheme="minorEastAsia" w:hAnsiTheme="minorEastAsia" w:eastAsiaTheme="minorEastAsia" w:cstheme="minorEastAsia"/>
                <w:color w:val="auto"/>
                <w:kern w:val="28"/>
                <w:sz w:val="24"/>
                <w:szCs w:val="24"/>
                <w:highlight w:val="none"/>
                <w:lang w:val="en-US" w:eastAsia="zh-CN"/>
              </w:rPr>
              <w:t>2</w:t>
            </w:r>
          </w:p>
        </w:tc>
        <w:tc>
          <w:tcPr>
            <w:tcW w:w="1966" w:type="dxa"/>
            <w:vAlign w:val="center"/>
          </w:tcPr>
          <w:p w14:paraId="4F689F5E">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马里努阿犬</w:t>
            </w:r>
          </w:p>
        </w:tc>
        <w:tc>
          <w:tcPr>
            <w:tcW w:w="1203" w:type="dxa"/>
            <w:vAlign w:val="center"/>
          </w:tcPr>
          <w:p w14:paraId="33D5610B">
            <w:pPr>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lang w:val="en-US" w:eastAsia="zh-CN"/>
              </w:rPr>
              <w:t>公</w:t>
            </w:r>
          </w:p>
        </w:tc>
        <w:tc>
          <w:tcPr>
            <w:tcW w:w="1805" w:type="dxa"/>
            <w:vAlign w:val="center"/>
          </w:tcPr>
          <w:p w14:paraId="26255FD1">
            <w:pPr>
              <w:jc w:val="center"/>
              <w:rPr>
                <w:rFonts w:hint="eastAsia" w:asciiTheme="minorEastAsia" w:hAnsiTheme="minorEastAsia" w:eastAsiaTheme="minorEastAsia" w:cstheme="minorEastAsia"/>
                <w:color w:val="auto"/>
                <w:kern w:val="28"/>
                <w:sz w:val="24"/>
                <w:szCs w:val="24"/>
                <w:highlight w:val="none"/>
              </w:rPr>
            </w:pPr>
            <w:r>
              <w:rPr>
                <w:rFonts w:ascii="宋体" w:hAnsi="宋体" w:cs="宋体"/>
                <w:color w:val="auto"/>
                <w:kern w:val="28"/>
                <w:highlight w:val="none"/>
              </w:rPr>
              <w:t>8个月-20个月</w:t>
            </w:r>
          </w:p>
        </w:tc>
        <w:tc>
          <w:tcPr>
            <w:tcW w:w="1041" w:type="dxa"/>
            <w:vAlign w:val="center"/>
          </w:tcPr>
          <w:p w14:paraId="2ED002BC">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1041" w:type="dxa"/>
            <w:vAlign w:val="center"/>
          </w:tcPr>
          <w:p w14:paraId="267EEFFA">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66头</w:t>
            </w:r>
          </w:p>
        </w:tc>
        <w:tc>
          <w:tcPr>
            <w:tcW w:w="1036" w:type="dxa"/>
            <w:vAlign w:val="center"/>
          </w:tcPr>
          <w:p w14:paraId="4EF1E5BD">
            <w:pPr>
              <w:tabs>
                <w:tab w:val="left" w:pos="840"/>
              </w:tabs>
              <w:jc w:val="center"/>
              <w:rPr>
                <w:rFonts w:hint="eastAsia" w:asciiTheme="minorEastAsia" w:hAnsiTheme="minorEastAsia" w:eastAsiaTheme="minorEastAsia" w:cstheme="minorEastAsia"/>
                <w:color w:val="auto"/>
                <w:kern w:val="28"/>
                <w:sz w:val="24"/>
                <w:szCs w:val="24"/>
                <w:highlight w:val="none"/>
              </w:rPr>
            </w:pPr>
          </w:p>
        </w:tc>
      </w:tr>
      <w:tr w14:paraId="348788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34" w:hRule="atLeast"/>
          <w:jc w:val="center"/>
        </w:trPr>
        <w:tc>
          <w:tcPr>
            <w:tcW w:w="1043" w:type="dxa"/>
            <w:vAlign w:val="center"/>
          </w:tcPr>
          <w:p w14:paraId="4C3A9023">
            <w:pPr>
              <w:tabs>
                <w:tab w:val="left" w:pos="840"/>
              </w:tabs>
              <w:jc w:val="center"/>
              <w:rPr>
                <w:rFonts w:hint="eastAsia" w:asciiTheme="minorEastAsia" w:hAnsiTheme="minorEastAsia" w:eastAsiaTheme="minorEastAsia" w:cstheme="minorEastAsia"/>
                <w:color w:val="auto"/>
                <w:kern w:val="28"/>
                <w:sz w:val="24"/>
                <w:szCs w:val="24"/>
                <w:highlight w:val="none"/>
                <w:lang w:val="en-US" w:eastAsia="zh-CN"/>
              </w:rPr>
            </w:pPr>
            <w:r>
              <w:rPr>
                <w:rFonts w:hint="eastAsia" w:asciiTheme="minorEastAsia" w:hAnsiTheme="minorEastAsia" w:eastAsiaTheme="minorEastAsia" w:cstheme="minorEastAsia"/>
                <w:color w:val="auto"/>
                <w:kern w:val="28"/>
                <w:sz w:val="24"/>
                <w:szCs w:val="24"/>
                <w:highlight w:val="none"/>
                <w:lang w:val="en-US" w:eastAsia="zh-CN"/>
              </w:rPr>
              <w:t>3</w:t>
            </w:r>
          </w:p>
        </w:tc>
        <w:tc>
          <w:tcPr>
            <w:tcW w:w="1966" w:type="dxa"/>
            <w:vAlign w:val="center"/>
          </w:tcPr>
          <w:p w14:paraId="16B2EDC0">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史宾格犬</w:t>
            </w:r>
          </w:p>
        </w:tc>
        <w:tc>
          <w:tcPr>
            <w:tcW w:w="1203" w:type="dxa"/>
            <w:vAlign w:val="center"/>
          </w:tcPr>
          <w:p w14:paraId="7B969188">
            <w:pPr>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lang w:val="en-US" w:eastAsia="zh-CN"/>
              </w:rPr>
              <w:t>公</w:t>
            </w:r>
          </w:p>
        </w:tc>
        <w:tc>
          <w:tcPr>
            <w:tcW w:w="1805" w:type="dxa"/>
            <w:vAlign w:val="center"/>
          </w:tcPr>
          <w:p w14:paraId="6B75DD9D">
            <w:pPr>
              <w:jc w:val="center"/>
              <w:rPr>
                <w:rFonts w:hint="eastAsia" w:asciiTheme="minorEastAsia" w:hAnsiTheme="minorEastAsia" w:eastAsiaTheme="minorEastAsia" w:cstheme="minorEastAsia"/>
                <w:color w:val="auto"/>
                <w:kern w:val="28"/>
                <w:sz w:val="24"/>
                <w:szCs w:val="24"/>
                <w:highlight w:val="none"/>
              </w:rPr>
            </w:pPr>
            <w:r>
              <w:rPr>
                <w:rFonts w:ascii="宋体" w:hAnsi="宋体" w:cs="宋体"/>
                <w:color w:val="auto"/>
                <w:kern w:val="28"/>
                <w:highlight w:val="none"/>
              </w:rPr>
              <w:t>8个月-20个月</w:t>
            </w:r>
          </w:p>
        </w:tc>
        <w:tc>
          <w:tcPr>
            <w:tcW w:w="1041" w:type="dxa"/>
            <w:vAlign w:val="center"/>
          </w:tcPr>
          <w:p w14:paraId="1ABFC09F">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1041" w:type="dxa"/>
            <w:vAlign w:val="center"/>
          </w:tcPr>
          <w:p w14:paraId="7E3DAFDD">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5头</w:t>
            </w:r>
          </w:p>
        </w:tc>
        <w:tc>
          <w:tcPr>
            <w:tcW w:w="1036" w:type="dxa"/>
            <w:vAlign w:val="center"/>
          </w:tcPr>
          <w:p w14:paraId="3E6FF349">
            <w:pPr>
              <w:tabs>
                <w:tab w:val="left" w:pos="840"/>
              </w:tabs>
              <w:jc w:val="center"/>
              <w:rPr>
                <w:rFonts w:hint="eastAsia" w:asciiTheme="minorEastAsia" w:hAnsiTheme="minorEastAsia" w:eastAsiaTheme="minorEastAsia" w:cstheme="minorEastAsia"/>
                <w:color w:val="auto"/>
                <w:kern w:val="28"/>
                <w:sz w:val="24"/>
                <w:szCs w:val="24"/>
                <w:highlight w:val="none"/>
              </w:rPr>
            </w:pPr>
          </w:p>
        </w:tc>
      </w:tr>
      <w:tr w14:paraId="197C23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34" w:hRule="atLeast"/>
          <w:jc w:val="center"/>
        </w:trPr>
        <w:tc>
          <w:tcPr>
            <w:tcW w:w="1043" w:type="dxa"/>
            <w:vAlign w:val="center"/>
          </w:tcPr>
          <w:p w14:paraId="09D869FA">
            <w:pPr>
              <w:tabs>
                <w:tab w:val="left" w:pos="840"/>
              </w:tabs>
              <w:jc w:val="center"/>
              <w:rPr>
                <w:rFonts w:hint="eastAsia" w:asciiTheme="minorEastAsia" w:hAnsiTheme="minorEastAsia" w:eastAsiaTheme="minorEastAsia" w:cstheme="minorEastAsia"/>
                <w:color w:val="auto"/>
                <w:kern w:val="28"/>
                <w:sz w:val="24"/>
                <w:szCs w:val="24"/>
                <w:highlight w:val="none"/>
                <w:lang w:val="en-US" w:eastAsia="zh-CN"/>
              </w:rPr>
            </w:pPr>
            <w:r>
              <w:rPr>
                <w:rFonts w:hint="eastAsia" w:asciiTheme="minorEastAsia" w:hAnsiTheme="minorEastAsia" w:eastAsiaTheme="minorEastAsia" w:cstheme="minorEastAsia"/>
                <w:color w:val="auto"/>
                <w:kern w:val="28"/>
                <w:sz w:val="24"/>
                <w:szCs w:val="24"/>
                <w:highlight w:val="none"/>
                <w:lang w:val="en-US" w:eastAsia="zh-CN"/>
              </w:rPr>
              <w:t>4</w:t>
            </w:r>
          </w:p>
        </w:tc>
        <w:tc>
          <w:tcPr>
            <w:tcW w:w="1966" w:type="dxa"/>
            <w:vAlign w:val="center"/>
          </w:tcPr>
          <w:p w14:paraId="1495EB51">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新疆牧羊犬</w:t>
            </w:r>
          </w:p>
        </w:tc>
        <w:tc>
          <w:tcPr>
            <w:tcW w:w="1203" w:type="dxa"/>
            <w:vAlign w:val="center"/>
          </w:tcPr>
          <w:p w14:paraId="1B7B0BA2">
            <w:pPr>
              <w:jc w:val="center"/>
              <w:rPr>
                <w:rFonts w:hint="default" w:asciiTheme="minorEastAsia" w:hAnsiTheme="minorEastAsia" w:eastAsiaTheme="minorEastAsia" w:cstheme="minorEastAsia"/>
                <w:color w:val="auto"/>
                <w:kern w:val="28"/>
                <w:sz w:val="24"/>
                <w:szCs w:val="24"/>
                <w:highlight w:val="none"/>
                <w:lang w:val="en-US"/>
              </w:rPr>
            </w:pPr>
            <w:r>
              <w:rPr>
                <w:rFonts w:hint="eastAsia" w:asciiTheme="minorEastAsia" w:hAnsiTheme="minorEastAsia" w:eastAsiaTheme="minorEastAsia" w:cstheme="minorEastAsia"/>
                <w:color w:val="auto"/>
                <w:kern w:val="28"/>
                <w:sz w:val="24"/>
                <w:szCs w:val="24"/>
                <w:highlight w:val="none"/>
                <w:lang w:val="en-US" w:eastAsia="zh-CN"/>
              </w:rPr>
              <w:t>1公、1母</w:t>
            </w:r>
          </w:p>
        </w:tc>
        <w:tc>
          <w:tcPr>
            <w:tcW w:w="1805" w:type="dxa"/>
            <w:vAlign w:val="center"/>
          </w:tcPr>
          <w:p w14:paraId="1863253A">
            <w:pPr>
              <w:jc w:val="center"/>
              <w:rPr>
                <w:rFonts w:hint="eastAsia" w:asciiTheme="minorEastAsia" w:hAnsiTheme="minorEastAsia" w:eastAsiaTheme="minorEastAsia" w:cstheme="minorEastAsia"/>
                <w:color w:val="auto"/>
                <w:kern w:val="28"/>
                <w:sz w:val="24"/>
                <w:szCs w:val="24"/>
                <w:highlight w:val="none"/>
              </w:rPr>
            </w:pPr>
            <w:r>
              <w:rPr>
                <w:rFonts w:ascii="宋体" w:hAnsi="宋体" w:cs="宋体"/>
                <w:color w:val="auto"/>
                <w:kern w:val="28"/>
                <w:highlight w:val="none"/>
              </w:rPr>
              <w:t>8个月-20个月</w:t>
            </w:r>
          </w:p>
        </w:tc>
        <w:tc>
          <w:tcPr>
            <w:tcW w:w="1041" w:type="dxa"/>
            <w:vAlign w:val="center"/>
          </w:tcPr>
          <w:p w14:paraId="53A45AAE">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1041" w:type="dxa"/>
            <w:vAlign w:val="center"/>
          </w:tcPr>
          <w:p w14:paraId="04552E3E">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2头</w:t>
            </w:r>
          </w:p>
        </w:tc>
        <w:tc>
          <w:tcPr>
            <w:tcW w:w="1036" w:type="dxa"/>
            <w:vAlign w:val="center"/>
          </w:tcPr>
          <w:p w14:paraId="260EFE74">
            <w:pPr>
              <w:tabs>
                <w:tab w:val="left" w:pos="840"/>
              </w:tabs>
              <w:jc w:val="center"/>
              <w:rPr>
                <w:rFonts w:hint="eastAsia" w:asciiTheme="minorEastAsia" w:hAnsiTheme="minorEastAsia" w:eastAsiaTheme="minorEastAsia" w:cstheme="minorEastAsia"/>
                <w:color w:val="auto"/>
                <w:kern w:val="28"/>
                <w:sz w:val="24"/>
                <w:szCs w:val="24"/>
                <w:highlight w:val="none"/>
              </w:rPr>
            </w:pPr>
          </w:p>
        </w:tc>
      </w:tr>
      <w:tr w14:paraId="187C5A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34" w:hRule="atLeast"/>
          <w:jc w:val="center"/>
        </w:trPr>
        <w:tc>
          <w:tcPr>
            <w:tcW w:w="1043" w:type="dxa"/>
            <w:vAlign w:val="center"/>
          </w:tcPr>
          <w:p w14:paraId="239D621D">
            <w:pPr>
              <w:tabs>
                <w:tab w:val="left" w:pos="840"/>
              </w:tabs>
              <w:jc w:val="center"/>
              <w:rPr>
                <w:rFonts w:hint="eastAsia" w:asciiTheme="minorEastAsia" w:hAnsiTheme="minorEastAsia" w:eastAsiaTheme="minorEastAsia" w:cstheme="minorEastAsia"/>
                <w:color w:val="auto"/>
                <w:kern w:val="28"/>
                <w:sz w:val="24"/>
                <w:szCs w:val="24"/>
                <w:highlight w:val="none"/>
                <w:lang w:val="en-US" w:eastAsia="zh-CN"/>
              </w:rPr>
            </w:pPr>
            <w:r>
              <w:rPr>
                <w:rFonts w:hint="eastAsia" w:asciiTheme="minorEastAsia" w:hAnsiTheme="minorEastAsia" w:eastAsiaTheme="minorEastAsia" w:cstheme="minorEastAsia"/>
                <w:color w:val="auto"/>
                <w:kern w:val="28"/>
                <w:sz w:val="24"/>
                <w:szCs w:val="24"/>
                <w:highlight w:val="none"/>
                <w:lang w:val="en-US" w:eastAsia="zh-CN"/>
              </w:rPr>
              <w:t>5</w:t>
            </w:r>
          </w:p>
        </w:tc>
        <w:tc>
          <w:tcPr>
            <w:tcW w:w="1966" w:type="dxa"/>
            <w:vAlign w:val="center"/>
          </w:tcPr>
          <w:p w14:paraId="26F70842">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拉布拉多犬</w:t>
            </w:r>
          </w:p>
        </w:tc>
        <w:tc>
          <w:tcPr>
            <w:tcW w:w="1203" w:type="dxa"/>
            <w:vAlign w:val="center"/>
          </w:tcPr>
          <w:p w14:paraId="7CDB91C7">
            <w:pPr>
              <w:tabs>
                <w:tab w:val="left" w:pos="840"/>
              </w:tabs>
              <w:jc w:val="center"/>
              <w:rPr>
                <w:rFonts w:hint="eastAsia" w:asciiTheme="minorEastAsia" w:hAnsiTheme="minorEastAsia" w:eastAsiaTheme="minorEastAsia" w:cstheme="minorEastAsia"/>
                <w:color w:val="auto"/>
                <w:kern w:val="28"/>
                <w:sz w:val="24"/>
                <w:szCs w:val="24"/>
                <w:highlight w:val="none"/>
                <w:lang w:val="en-US" w:eastAsia="zh-CN"/>
              </w:rPr>
            </w:pPr>
            <w:r>
              <w:rPr>
                <w:rFonts w:hint="eastAsia" w:asciiTheme="minorEastAsia" w:hAnsiTheme="minorEastAsia" w:eastAsiaTheme="minorEastAsia" w:cstheme="minorEastAsia"/>
                <w:color w:val="auto"/>
                <w:kern w:val="28"/>
                <w:sz w:val="24"/>
                <w:szCs w:val="24"/>
                <w:highlight w:val="none"/>
                <w:lang w:val="en-US" w:eastAsia="zh-CN"/>
              </w:rPr>
              <w:t>公</w:t>
            </w:r>
          </w:p>
        </w:tc>
        <w:tc>
          <w:tcPr>
            <w:tcW w:w="1805" w:type="dxa"/>
            <w:vAlign w:val="center"/>
          </w:tcPr>
          <w:p w14:paraId="3ED8599C">
            <w:pPr>
              <w:jc w:val="center"/>
              <w:rPr>
                <w:rFonts w:hint="eastAsia" w:asciiTheme="minorEastAsia" w:hAnsiTheme="minorEastAsia" w:eastAsiaTheme="minorEastAsia" w:cstheme="minorEastAsia"/>
                <w:color w:val="auto"/>
                <w:kern w:val="28"/>
                <w:sz w:val="24"/>
                <w:szCs w:val="24"/>
                <w:highlight w:val="none"/>
              </w:rPr>
            </w:pPr>
            <w:r>
              <w:rPr>
                <w:rFonts w:ascii="宋体" w:hAnsi="宋体" w:cs="宋体"/>
                <w:color w:val="auto"/>
                <w:kern w:val="28"/>
                <w:highlight w:val="none"/>
              </w:rPr>
              <w:t>8个月-20个月</w:t>
            </w:r>
          </w:p>
        </w:tc>
        <w:tc>
          <w:tcPr>
            <w:tcW w:w="1041" w:type="dxa"/>
            <w:vAlign w:val="center"/>
          </w:tcPr>
          <w:p w14:paraId="5DF65250">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1041" w:type="dxa"/>
            <w:vAlign w:val="center"/>
          </w:tcPr>
          <w:p w14:paraId="669A8C36">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5头</w:t>
            </w:r>
          </w:p>
        </w:tc>
        <w:tc>
          <w:tcPr>
            <w:tcW w:w="1036" w:type="dxa"/>
            <w:vAlign w:val="center"/>
          </w:tcPr>
          <w:p w14:paraId="39A65F2B">
            <w:pPr>
              <w:tabs>
                <w:tab w:val="left" w:pos="840"/>
              </w:tabs>
              <w:jc w:val="center"/>
              <w:rPr>
                <w:rFonts w:hint="eastAsia" w:asciiTheme="minorEastAsia" w:hAnsiTheme="minorEastAsia" w:eastAsiaTheme="minorEastAsia" w:cstheme="minorEastAsia"/>
                <w:color w:val="auto"/>
                <w:kern w:val="28"/>
                <w:sz w:val="24"/>
                <w:szCs w:val="24"/>
                <w:highlight w:val="none"/>
              </w:rPr>
            </w:pPr>
          </w:p>
        </w:tc>
      </w:tr>
      <w:tr w14:paraId="769CF0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52" w:hRule="atLeast"/>
          <w:jc w:val="center"/>
        </w:trPr>
        <w:tc>
          <w:tcPr>
            <w:tcW w:w="9135" w:type="dxa"/>
            <w:gridSpan w:val="7"/>
            <w:vAlign w:val="center"/>
          </w:tcPr>
          <w:p w14:paraId="45197E07">
            <w:pP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 xml:space="preserve">大写（人民币）： </w:t>
            </w:r>
          </w:p>
        </w:tc>
      </w:tr>
      <w:tr w14:paraId="00E309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52" w:hRule="atLeast"/>
          <w:jc w:val="center"/>
        </w:trPr>
        <w:tc>
          <w:tcPr>
            <w:tcW w:w="9135" w:type="dxa"/>
            <w:gridSpan w:val="7"/>
            <w:vAlign w:val="center"/>
          </w:tcPr>
          <w:p w14:paraId="52B1B820">
            <w:pPr>
              <w:rPr>
                <w:rFonts w:hint="eastAsia"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eastAsia="zh-CN"/>
              </w:rPr>
              <w:t>备注：</w:t>
            </w:r>
            <w:r>
              <w:rPr>
                <w:rFonts w:hint="eastAsia" w:asciiTheme="minorEastAsia" w:hAnsiTheme="minorEastAsia" w:eastAsiaTheme="minorEastAsia" w:cstheme="minorEastAsia"/>
                <w:color w:val="auto"/>
                <w:sz w:val="24"/>
                <w:szCs w:val="24"/>
                <w:highlight w:val="none"/>
                <w:lang w:eastAsia="zh-CN"/>
              </w:rPr>
              <w:t>所有货款以人民币进行结算，该价格中包括但不仅限于货款、运输、装卸、保险、税金、货到就位，以及售后、存储、调换、隔离观察、犬只体检、疫苗接种等一切税金和费用，甲方不承担任何费用。详见本合同附件：报价清单（包括：报价明细表、报价一览表）。</w:t>
            </w:r>
          </w:p>
        </w:tc>
      </w:tr>
    </w:tbl>
    <w:p w14:paraId="5D4ADD74">
      <w:pPr>
        <w:pStyle w:val="23"/>
        <w:spacing w:line="360" w:lineRule="auto"/>
        <w:ind w:firstLine="0" w:firstLineChars="0"/>
        <w:rPr>
          <w:rFonts w:hint="eastAsia"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eastAsia="zh-CN"/>
        </w:rPr>
        <w:t>具体的供货范围、技术要求详见招标文件、响应文件的技术部分及合同附件。</w:t>
      </w:r>
    </w:p>
    <w:p w14:paraId="3DA34ED0">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rPr>
      </w:pPr>
      <w:bookmarkStart w:id="129" w:name="_Toc480316116"/>
      <w:bookmarkStart w:id="130" w:name="_Toc8553"/>
      <w:bookmarkStart w:id="131" w:name="_Toc432684935"/>
      <w:bookmarkStart w:id="132" w:name="_Toc13276"/>
      <w:bookmarkStart w:id="133" w:name="_Toc479943854"/>
      <w:bookmarkStart w:id="134" w:name="_Toc427666523"/>
      <w:r>
        <w:rPr>
          <w:rFonts w:hint="eastAsia" w:asciiTheme="minorEastAsia" w:hAnsiTheme="minorEastAsia" w:eastAsiaTheme="minorEastAsia" w:cstheme="minorEastAsia"/>
          <w:color w:val="auto"/>
          <w:sz w:val="24"/>
          <w:szCs w:val="24"/>
          <w:highlight w:val="none"/>
        </w:rPr>
        <w:t>四、货物标准</w:t>
      </w:r>
      <w:bookmarkEnd w:id="129"/>
      <w:bookmarkEnd w:id="130"/>
      <w:bookmarkEnd w:id="131"/>
      <w:bookmarkEnd w:id="132"/>
      <w:bookmarkEnd w:id="133"/>
      <w:bookmarkEnd w:id="134"/>
    </w:p>
    <w:p w14:paraId="3C2AD172">
      <w:pPr>
        <w:numPr>
          <w:ilvl w:val="0"/>
          <w:numId w:val="8"/>
        </w:numPr>
        <w:tabs>
          <w:tab w:val="left" w:pos="425"/>
        </w:tabs>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货</w:t>
      </w:r>
      <w:bookmarkStart w:id="135" w:name="_Toc345147200"/>
      <w:bookmarkStart w:id="136" w:name="_Toc399165011"/>
      <w:r>
        <w:rPr>
          <w:rFonts w:hint="eastAsia" w:asciiTheme="minorEastAsia" w:hAnsiTheme="minorEastAsia" w:eastAsiaTheme="minorEastAsia" w:cstheme="minorEastAsia"/>
          <w:color w:val="auto"/>
          <w:sz w:val="24"/>
          <w:szCs w:val="24"/>
          <w:highlight w:val="none"/>
          <w:lang w:eastAsia="zh-CN"/>
        </w:rPr>
        <w:t>物为</w:t>
      </w:r>
      <w:bookmarkEnd w:id="135"/>
      <w:bookmarkEnd w:id="136"/>
      <w:r>
        <w:rPr>
          <w:rFonts w:hint="eastAsia" w:asciiTheme="minorEastAsia" w:hAnsiTheme="minorEastAsia" w:eastAsiaTheme="minorEastAsia" w:cstheme="minorEastAsia"/>
          <w:color w:val="auto"/>
          <w:sz w:val="24"/>
          <w:szCs w:val="24"/>
          <w:highlight w:val="none"/>
          <w:lang w:eastAsia="zh-CN"/>
        </w:rPr>
        <w:t xml:space="preserve">达到警用待训犬使用标准的 </w:t>
      </w:r>
      <w:r>
        <w:rPr>
          <w:rFonts w:hint="eastAsia" w:asciiTheme="minorEastAsia" w:hAnsiTheme="minorEastAsia" w:eastAsiaTheme="minorEastAsia" w:cstheme="minorEastAsia"/>
          <w:color w:val="auto"/>
          <w:sz w:val="24"/>
          <w:szCs w:val="24"/>
          <w:highlight w:val="none"/>
          <w:u w:val="single"/>
          <w:lang w:eastAsia="zh-CN"/>
        </w:rPr>
        <w:t xml:space="preserve">          犬 </w:t>
      </w:r>
      <w:r>
        <w:rPr>
          <w:rFonts w:hint="eastAsia" w:asciiTheme="minorEastAsia" w:hAnsiTheme="minorEastAsia" w:eastAsiaTheme="minorEastAsia" w:cstheme="minorEastAsia"/>
          <w:color w:val="auto"/>
          <w:sz w:val="24"/>
          <w:szCs w:val="24"/>
          <w:highlight w:val="none"/>
          <w:lang w:eastAsia="zh-CN"/>
        </w:rPr>
        <w:t>。</w:t>
      </w:r>
    </w:p>
    <w:p w14:paraId="7B819542">
      <w:pPr>
        <w:numPr>
          <w:ilvl w:val="0"/>
          <w:numId w:val="8"/>
        </w:numPr>
        <w:tabs>
          <w:tab w:val="left" w:pos="425"/>
        </w:tabs>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标准:本合同所指的货物及服务应符合合同附件的技术规格所述的标准：如果没有提及适用标准，则应符合中华人民共和国国家标准或行业标准。这些标准必须是有关机构发布的最新版本的标准。</w:t>
      </w:r>
    </w:p>
    <w:p w14:paraId="0A3F5111">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rPr>
      </w:pPr>
      <w:bookmarkStart w:id="137" w:name="_Toc2391"/>
      <w:bookmarkStart w:id="138" w:name="_Toc479943855"/>
      <w:bookmarkStart w:id="139" w:name="_Toc480316117"/>
      <w:bookmarkStart w:id="140" w:name="_Toc427666524"/>
      <w:bookmarkStart w:id="141" w:name="_Toc27763"/>
      <w:bookmarkStart w:id="142" w:name="_Toc432684936"/>
      <w:r>
        <w:rPr>
          <w:rFonts w:hint="eastAsia" w:asciiTheme="minorEastAsia" w:hAnsiTheme="minorEastAsia" w:eastAsiaTheme="minorEastAsia" w:cstheme="minorEastAsia"/>
          <w:color w:val="auto"/>
          <w:sz w:val="24"/>
          <w:szCs w:val="24"/>
          <w:highlight w:val="none"/>
        </w:rPr>
        <w:t>五、保密条款</w:t>
      </w:r>
      <w:bookmarkEnd w:id="137"/>
      <w:bookmarkEnd w:id="138"/>
      <w:bookmarkEnd w:id="139"/>
      <w:bookmarkEnd w:id="140"/>
      <w:bookmarkEnd w:id="141"/>
      <w:bookmarkEnd w:id="142"/>
    </w:p>
    <w:p w14:paraId="6026C2F8">
      <w:pPr>
        <w:numPr>
          <w:ilvl w:val="0"/>
          <w:numId w:val="9"/>
        </w:numPr>
        <w:tabs>
          <w:tab w:val="left" w:pos="425"/>
        </w:tabs>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对于在合同履行过程中所获得或了解的商业秘密，任何一方应承担保密义务。未经对方事先的书面许可，任何一方不得利用或披露这些信息。</w:t>
      </w:r>
    </w:p>
    <w:p w14:paraId="0B7B2DE9">
      <w:pPr>
        <w:pStyle w:val="8"/>
        <w:rPr>
          <w:rFonts w:hint="eastAsia" w:asciiTheme="minorEastAsia" w:hAnsiTheme="minorEastAsia" w:eastAsiaTheme="minorEastAsia" w:cstheme="minorEastAsia"/>
          <w:color w:val="auto"/>
          <w:sz w:val="24"/>
          <w:szCs w:val="24"/>
          <w:highlight w:val="none"/>
          <w:lang w:eastAsia="zh-CN"/>
        </w:rPr>
      </w:pPr>
      <w:bookmarkStart w:id="143" w:name="_Toc22172"/>
      <w:r>
        <w:rPr>
          <w:rFonts w:hint="eastAsia" w:asciiTheme="minorEastAsia" w:hAnsiTheme="minorEastAsia" w:eastAsiaTheme="minorEastAsia" w:cstheme="minorEastAsia"/>
          <w:color w:val="auto"/>
          <w:sz w:val="24"/>
          <w:szCs w:val="24"/>
          <w:highlight w:val="none"/>
          <w:lang w:eastAsia="zh-CN"/>
        </w:rPr>
        <w:t>2. 乙方违反保密协议的具体违约责任，包括但不限于：违约金条款，甲方有权解除合同等</w:t>
      </w:r>
      <w:bookmarkEnd w:id="143"/>
      <w:r>
        <w:rPr>
          <w:rFonts w:hint="eastAsia" w:asciiTheme="minorEastAsia" w:hAnsiTheme="minorEastAsia" w:eastAsiaTheme="minorEastAsia" w:cstheme="minorEastAsia"/>
          <w:color w:val="auto"/>
          <w:sz w:val="24"/>
          <w:szCs w:val="24"/>
          <w:highlight w:val="none"/>
          <w:lang w:eastAsia="zh-CN"/>
        </w:rPr>
        <w:t>。</w:t>
      </w:r>
    </w:p>
    <w:p w14:paraId="3713F639">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lang w:eastAsia="zh-CN"/>
        </w:rPr>
      </w:pPr>
      <w:bookmarkStart w:id="144" w:name="_Toc479943856"/>
      <w:bookmarkStart w:id="145" w:name="_Toc19870"/>
      <w:bookmarkStart w:id="146" w:name="_Toc480316118"/>
      <w:bookmarkStart w:id="147" w:name="_Toc427666525"/>
      <w:bookmarkStart w:id="148" w:name="_Toc432684937"/>
      <w:bookmarkStart w:id="149" w:name="_Toc29315"/>
      <w:r>
        <w:rPr>
          <w:rFonts w:hint="eastAsia" w:asciiTheme="minorEastAsia" w:hAnsiTheme="minorEastAsia" w:eastAsiaTheme="minorEastAsia" w:cstheme="minorEastAsia"/>
          <w:color w:val="auto"/>
          <w:sz w:val="24"/>
          <w:szCs w:val="24"/>
          <w:highlight w:val="none"/>
          <w:lang w:eastAsia="zh-CN"/>
        </w:rPr>
        <w:t>六、付款方式、期限</w:t>
      </w:r>
      <w:bookmarkEnd w:id="144"/>
      <w:bookmarkEnd w:id="145"/>
      <w:bookmarkEnd w:id="146"/>
      <w:bookmarkEnd w:id="147"/>
      <w:bookmarkEnd w:id="148"/>
      <w:r>
        <w:rPr>
          <w:rFonts w:hint="eastAsia" w:asciiTheme="minorEastAsia" w:hAnsiTheme="minorEastAsia" w:eastAsiaTheme="minorEastAsia" w:cstheme="minorEastAsia"/>
          <w:color w:val="auto"/>
          <w:sz w:val="24"/>
          <w:szCs w:val="24"/>
          <w:highlight w:val="none"/>
          <w:lang w:eastAsia="zh-CN"/>
        </w:rPr>
        <w:t>及验收标准</w:t>
      </w:r>
      <w:bookmarkEnd w:id="149"/>
    </w:p>
    <w:p w14:paraId="499F2719">
      <w:pPr>
        <w:tabs>
          <w:tab w:val="left" w:pos="425"/>
        </w:tabs>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付款方式：成交通知书下达后7日历日内，乙方向甲方提供成交价格5%的履约保函（期限240个日历日）。乙方按要求分批次进行供货履约，履约完毕并验收合格后，乙方按照合同约定价分批次提供对应金额发票后向甲方对应单位支付对应款项，甲方对应单位采用银行转账的方式，按批次支付对应款项。待全部供货履约完毕后，甲方配合乙方退还履约保函。若乙方未向甲方出具全额增值税普通发票，甲方有权推迟付款，由此造成的损失，由乙方自行承担。</w:t>
      </w:r>
    </w:p>
    <w:p w14:paraId="0B7F21E4">
      <w:pPr>
        <w:tabs>
          <w:tab w:val="left" w:pos="425"/>
        </w:tabs>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 xml:space="preserve">2.乙方具备上述付款条件后向甲方申请货款时，先将相关结算资料提交甲方。乙方需要提供以下付款单据： </w:t>
      </w:r>
    </w:p>
    <w:p w14:paraId="3358CE64">
      <w:pPr>
        <w:spacing w:line="360" w:lineRule="auto"/>
        <w:ind w:firstLine="480" w:firstLineChars="200"/>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2.1 甲方签署的到货验收合格证明正本一份；</w:t>
      </w:r>
    </w:p>
    <w:p w14:paraId="60370B1B">
      <w:pPr>
        <w:spacing w:line="360" w:lineRule="auto"/>
        <w:ind w:left="426"/>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2.2与申请货款等值的税务发票正本一份；</w:t>
      </w:r>
    </w:p>
    <w:p w14:paraId="497F40EB">
      <w:p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3.乙方申请付款时，发票必须由乙方提供，不得将货运等发票直接提供给甲方。</w:t>
      </w:r>
    </w:p>
    <w:p w14:paraId="7B359777">
      <w:p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4.本合同项目下合同价款由使用单位负责支付。</w:t>
      </w:r>
    </w:p>
    <w:p w14:paraId="5C78E899">
      <w:pPr>
        <w:pStyle w:val="20"/>
        <w:snapToGrid w:val="0"/>
        <w:spacing w:line="360" w:lineRule="auto"/>
        <w:jc w:val="both"/>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5.验收标准：</w:t>
      </w:r>
    </w:p>
    <w:p w14:paraId="5E93873C">
      <w:pPr>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待训警犬数量、品种等符合采购需求，动物医院（具备动物诊疗许可证资质）出具的体检报告、档案、选犬记录、往来函件、供货履约时间说明或证明、适应期保障等相关资料齐全且达到采购及响应要求视为验收合格。</w:t>
      </w:r>
    </w:p>
    <w:p w14:paraId="03B9AFDF">
      <w:pPr>
        <w:numPr>
          <w:ilvl w:val="0"/>
          <w:numId w:val="6"/>
        </w:num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供货地点：乌鲁木齐县水西沟镇南康大道乌鲁木齐警犬训练基地</w:t>
      </w:r>
    </w:p>
    <w:p w14:paraId="1156BD1A">
      <w:pPr>
        <w:numPr>
          <w:ilvl w:val="0"/>
          <w:numId w:val="6"/>
        </w:num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供货期及要求：</w:t>
      </w:r>
    </w:p>
    <w:p w14:paraId="54FDBD27">
      <w:pPr>
        <w:pStyle w:val="4"/>
        <w:pBdr>
          <w:bottom w:val="single" w:color="622423" w:sz="4" w:space="1"/>
        </w:pBdr>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eastAsia="zh-CN"/>
        </w:rPr>
      </w:pPr>
      <w:bookmarkStart w:id="150" w:name="_Toc432684939"/>
      <w:bookmarkStart w:id="151" w:name="_Toc1245"/>
      <w:bookmarkStart w:id="152" w:name="_Toc427666527"/>
      <w:bookmarkStart w:id="153" w:name="_Toc3356"/>
      <w:bookmarkStart w:id="154" w:name="_Toc480316120"/>
      <w:bookmarkStart w:id="155" w:name="_Toc479943858"/>
      <w:r>
        <w:rPr>
          <w:rFonts w:hint="eastAsia" w:asciiTheme="minorEastAsia" w:hAnsiTheme="minorEastAsia" w:eastAsiaTheme="minorEastAsia" w:cstheme="minorEastAsia"/>
          <w:color w:val="auto"/>
          <w:kern w:val="2"/>
          <w:sz w:val="24"/>
          <w:szCs w:val="24"/>
          <w:highlight w:val="none"/>
          <w:lang w:eastAsia="zh-CN"/>
        </w:rPr>
        <w:t>合同签订后，乙方应按照甲方要求，分两批次进行供货，其中：</w:t>
      </w:r>
    </w:p>
    <w:p w14:paraId="5B6B6B51">
      <w:pPr>
        <w:pStyle w:val="4"/>
        <w:pBdr>
          <w:bottom w:val="single" w:color="622423" w:sz="4" w:space="1"/>
        </w:pBdr>
        <w:spacing w:line="360" w:lineRule="auto"/>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第一批供货期限为合同签订之日起15个日历日供货验收完毕，第二批供货期限为自接到甲方函件通知之日起（收到函件当日不计算在内）15个日历日供货验收完毕。具体供货时间及要求为：</w:t>
      </w:r>
    </w:p>
    <w:p w14:paraId="02DA4DF3">
      <w:pPr>
        <w:pStyle w:val="4"/>
        <w:pBdr>
          <w:bottom w:val="single" w:color="622423" w:sz="4" w:space="1"/>
        </w:pBdr>
        <w:spacing w:line="360" w:lineRule="auto"/>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（1）乙方按照 1:1.2的比例将待训警犬送达至乌鲁木齐市具备饲养管理条件的区域进行隔离7个日历日，送达时以函件形式通知甲方，隔离结束后由甲方组织人员对犬只进行测试选取，所供犬只均需提供血统证明（中国工作犬管理协会出具）并植入身份证明芯片（芯片需可扫并与血统证书信息相一致）。</w:t>
      </w:r>
    </w:p>
    <w:p w14:paraId="5583471D">
      <w:pPr>
        <w:pStyle w:val="4"/>
        <w:pBdr>
          <w:bottom w:val="single" w:color="622423" w:sz="4" w:space="1"/>
        </w:pBdr>
        <w:spacing w:line="360" w:lineRule="auto"/>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2）甲方自收到函件后3个日历日内（收到函件当日不计算在内），由甲方（警犬训练基地）按照中国工作犬管理协会发布的《犬只挑选测试标准》（具体测试标准附采购文件后）对犬只进行逐一测试，评定为B级以上为合格（1、犬只挑选测试标准≥2项A,评定为A；犬只挑选测试标准＜2项A，评定为B；2、犬只挑选测试标准≥2项B,评定为B；犬只挑选测试标准＜2项C，评定为C;3、犬只挑选测试标准有一项评定为C，评定为C。</w:t>
      </w:r>
    </w:p>
    <w:p w14:paraId="18CAAF99">
      <w:pPr>
        <w:pStyle w:val="4"/>
        <w:pBdr>
          <w:bottom w:val="single" w:color="622423" w:sz="4" w:space="1"/>
        </w:pBdr>
        <w:spacing w:line="360" w:lineRule="auto"/>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3）挑选出的犬只由乙方送至具有相关资质的动物医院进行全面体检。体检内容包括：体温检测，皮肤检查（真菌、螨虫等），耳道检查，心肺听诊（是否有不适合训练的心脏和肺部疾病），X线检查（检查脊椎、髋关节、肘关节以及骨骼是否有先天性关节变形，骨膜磨损严重或过薄，骨质疏松以及严重缺钙等），B超检查（心、肝、肺、脾、肾），细小病毒和犬瘟热检查，尿常规，血气检查，体温、脉搏、细小病毒、犬瘟热检测，以及对犬的体型骨骼、体态被毛、神经类型及衔取欲望，伍德氏灯皮肤病排查、五大淋巴结检查等。体检合格后，需出具详细的体检报告，并为犬只编制编号，建立一犬一档案。乙方对所有合格犬只完成体检和建档，以函件形式通知甲方，甲方在1个日历日内（收到函件当日不计算在内）对体检及建档情况进行核查核对，经甲（警犬训练基地组织人员）乙双方确认无误后，由乙方运送至甲方警犬训练基地指定地点。</w:t>
      </w:r>
    </w:p>
    <w:p w14:paraId="6B0B949B">
      <w:pPr>
        <w:pStyle w:val="4"/>
        <w:pBdr>
          <w:bottom w:val="single" w:color="622423" w:sz="4" w:space="1"/>
        </w:pBdr>
        <w:spacing w:line="360" w:lineRule="auto"/>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4）乙方需合理规划运输、隔离、体检、选取等时间，履约期间为15个日历日。供货完毕后，乙方需配合甲方度过犬只环境适应期，期间乙方需一次性供应犬只20个日历日的适应性犬粮，用于防止待训警犬更换环境或更换犬粮出现应激障碍、食欲不振等问题。乙方所供犬只需在甲方的监督下，完成三次驱虫（2次体内，1次体外）以及英特威四联苗的注射，并在15日历日后注射单狂犬疫苗1针。以上产生的所有费用均由乙方承担。</w:t>
      </w:r>
    </w:p>
    <w:p w14:paraId="2B51C7AC">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八、装运和运输</w:t>
      </w:r>
      <w:bookmarkEnd w:id="150"/>
      <w:bookmarkEnd w:id="151"/>
      <w:bookmarkEnd w:id="152"/>
      <w:bookmarkEnd w:id="153"/>
      <w:bookmarkEnd w:id="154"/>
      <w:bookmarkEnd w:id="155"/>
    </w:p>
    <w:p w14:paraId="1CA296AF">
      <w:pPr>
        <w:pStyle w:val="9"/>
        <w:spacing w:line="360" w:lineRule="auto"/>
        <w:ind w:firstLine="480" w:firstLineChars="200"/>
        <w:outlineLvl w:val="2"/>
        <w:rPr>
          <w:rFonts w:hint="eastAsia" w:asciiTheme="minorEastAsia" w:hAnsiTheme="minorEastAsia" w:eastAsiaTheme="minorEastAsia" w:cstheme="minorEastAsia"/>
          <w:color w:val="auto"/>
          <w:kern w:val="2"/>
          <w:sz w:val="24"/>
          <w:szCs w:val="24"/>
          <w:highlight w:val="none"/>
          <w:lang w:eastAsia="zh-CN"/>
        </w:rPr>
      </w:pPr>
      <w:bookmarkStart w:id="156" w:name="_Toc14870"/>
      <w:r>
        <w:rPr>
          <w:rFonts w:hint="eastAsia" w:asciiTheme="minorEastAsia" w:hAnsiTheme="minorEastAsia" w:eastAsiaTheme="minorEastAsia" w:cstheme="minorEastAsia"/>
          <w:color w:val="auto"/>
          <w:kern w:val="2"/>
          <w:sz w:val="24"/>
          <w:szCs w:val="24"/>
          <w:highlight w:val="none"/>
          <w:lang w:eastAsia="zh-CN"/>
        </w:rPr>
        <w:t>（一）运输箱的选择：</w:t>
      </w:r>
    </w:p>
    <w:p w14:paraId="3296D9F4">
      <w:pPr>
        <w:pStyle w:val="9"/>
        <w:spacing w:line="360" w:lineRule="auto"/>
        <w:ind w:firstLine="480" w:firstLineChars="200"/>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应选用坚固耐用、透气性良好的材质制作运输箱，确保犬只在运输过程中的安全与舒适。运输箱尺寸要适当，为犬只提供足够的活动空间，避免运输过程中受伤或产生不必要的应激反应。箱内铺设柔软垫料，减少犬只颠簸与碰撞，同时设置固定绑带或栏杆，防止犬只跳跃或跌落。运输箱还应具备良好的通风性能，保证犬只运输过程中有充足的氧气供应。</w:t>
      </w:r>
    </w:p>
    <w:p w14:paraId="2763686A">
      <w:pPr>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二）运输要求：包装必须与运输方式相适应，包装方式的确定及包装费用均由乙方负责；由于不适当的包装而造成犬只在运输过程中及经甲方验收合格前有任何损坏由乙方负责。运输费、保险费、装卸费均有乙方承担。</w:t>
      </w:r>
    </w:p>
    <w:bookmarkEnd w:id="156"/>
    <w:p w14:paraId="406F9636">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lang w:eastAsia="zh-CN"/>
        </w:rPr>
      </w:pPr>
      <w:bookmarkStart w:id="157" w:name="_Toc4101"/>
      <w:r>
        <w:rPr>
          <w:rFonts w:hint="eastAsia" w:asciiTheme="minorEastAsia" w:hAnsiTheme="minorEastAsia" w:eastAsiaTheme="minorEastAsia" w:cstheme="minorEastAsia"/>
          <w:color w:val="auto"/>
          <w:sz w:val="24"/>
          <w:szCs w:val="24"/>
          <w:highlight w:val="none"/>
          <w:lang w:eastAsia="zh-CN"/>
        </w:rPr>
        <w:t>九、产品要求</w:t>
      </w:r>
      <w:bookmarkEnd w:id="157"/>
    </w:p>
    <w:p w14:paraId="62E77849">
      <w:pPr>
        <w:pStyle w:val="20"/>
        <w:snapToGrid w:val="0"/>
        <w:spacing w:line="360" w:lineRule="auto"/>
        <w:ind w:firstLine="482" w:firstLineChars="200"/>
        <w:jc w:val="both"/>
        <w:outlineLvl w:val="1"/>
        <w:rPr>
          <w:rFonts w:hint="eastAsia" w:asciiTheme="minorEastAsia" w:hAnsiTheme="minorEastAsia" w:eastAsiaTheme="minorEastAsia" w:cstheme="minorEastAsia"/>
          <w:b/>
          <w:bCs/>
          <w:color w:val="auto"/>
          <w:kern w:val="2"/>
          <w:highlight w:val="none"/>
        </w:rPr>
      </w:pPr>
      <w:bookmarkStart w:id="158" w:name="_Toc427666531"/>
      <w:bookmarkStart w:id="159" w:name="_Toc31175"/>
      <w:bookmarkStart w:id="160" w:name="_Toc480316124"/>
      <w:bookmarkStart w:id="161" w:name="_Toc432684943"/>
      <w:bookmarkStart w:id="162" w:name="_Toc12410"/>
      <w:bookmarkStart w:id="163" w:name="_Toc479943862"/>
      <w:r>
        <w:rPr>
          <w:rFonts w:hint="eastAsia" w:asciiTheme="minorEastAsia" w:hAnsiTheme="minorEastAsia" w:eastAsiaTheme="minorEastAsia" w:cstheme="minorEastAsia"/>
          <w:b/>
          <w:bCs/>
          <w:color w:val="auto"/>
          <w:kern w:val="2"/>
          <w:highlight w:val="none"/>
        </w:rPr>
        <w:t>二、产品参数要求</w:t>
      </w:r>
    </w:p>
    <w:p w14:paraId="4DD9884B">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highlight w:val="none"/>
        </w:rPr>
      </w:pPr>
      <w:r>
        <w:rPr>
          <w:rFonts w:hint="eastAsia" w:asciiTheme="minorEastAsia" w:hAnsiTheme="minorEastAsia" w:eastAsiaTheme="minorEastAsia" w:cstheme="minorEastAsia"/>
          <w:b/>
          <w:bCs/>
          <w:color w:val="auto"/>
          <w:kern w:val="2"/>
          <w:highlight w:val="none"/>
        </w:rPr>
        <w:t>序号1：东德国牧羊犬</w:t>
      </w:r>
    </w:p>
    <w:p w14:paraId="0792E88C">
      <w:pPr>
        <w:pStyle w:val="20"/>
        <w:snapToGrid w:val="0"/>
        <w:spacing w:line="360" w:lineRule="auto"/>
        <w:ind w:firstLine="480" w:firstLineChars="200"/>
        <w:jc w:val="both"/>
        <w:rPr>
          <w:rFonts w:hint="eastAsia" w:asciiTheme="minorEastAsia" w:hAnsiTheme="minorEastAsia" w:eastAsiaTheme="minorEastAsia" w:cstheme="minorEastAsia"/>
          <w:color w:val="auto"/>
          <w:kern w:val="2"/>
          <w:highlight w:val="none"/>
        </w:rPr>
      </w:pPr>
      <w:r>
        <w:rPr>
          <w:rFonts w:hint="eastAsia" w:asciiTheme="minorEastAsia" w:hAnsiTheme="minorEastAsia" w:eastAsiaTheme="minorEastAsia" w:cstheme="minorEastAsia"/>
          <w:color w:val="auto"/>
          <w:kern w:val="2"/>
          <w:highlight w:val="none"/>
        </w:rPr>
        <w:t>体格参数：体重≥30kg,体长≥65cm,体高≥60cm,胸围≥70cm,胸深≥28cm，肩高≥50cm，</w:t>
      </w:r>
      <w:r>
        <w:rPr>
          <w:rFonts w:hint="eastAsia" w:asciiTheme="minorEastAsia" w:hAnsiTheme="minorEastAsia" w:eastAsiaTheme="minorEastAsia" w:cstheme="minorEastAsia"/>
          <w:color w:val="auto"/>
          <w:spacing w:val="9"/>
          <w:highlight w:val="none"/>
        </w:rPr>
        <w:t>头</w:t>
      </w:r>
      <w:r>
        <w:rPr>
          <w:rFonts w:hint="eastAsia" w:asciiTheme="minorEastAsia" w:hAnsiTheme="minorEastAsia" w:eastAsiaTheme="minorEastAsia" w:cstheme="minorEastAsia"/>
          <w:color w:val="auto"/>
          <w:kern w:val="2"/>
          <w:highlight w:val="none"/>
        </w:rPr>
        <w:t>长≥23cm。</w:t>
      </w:r>
    </w:p>
    <w:p w14:paraId="1EC4DA20">
      <w:pPr>
        <w:pStyle w:val="20"/>
        <w:snapToGrid w:val="0"/>
        <w:spacing w:line="360" w:lineRule="auto"/>
        <w:ind w:firstLine="480" w:firstLineChars="200"/>
        <w:jc w:val="both"/>
        <w:rPr>
          <w:rFonts w:hint="eastAsia" w:asciiTheme="minorEastAsia" w:hAnsiTheme="minorEastAsia" w:eastAsiaTheme="minorEastAsia" w:cstheme="minorEastAsia"/>
          <w:color w:val="auto"/>
          <w:kern w:val="2"/>
          <w:highlight w:val="none"/>
        </w:rPr>
      </w:pPr>
      <w:r>
        <w:rPr>
          <w:rFonts w:hint="eastAsia" w:asciiTheme="minorEastAsia" w:hAnsiTheme="minorEastAsia" w:eastAsiaTheme="minorEastAsia" w:cstheme="minorEastAsia"/>
          <w:color w:val="auto"/>
          <w:kern w:val="2"/>
          <w:highlight w:val="none"/>
        </w:rPr>
        <w:t xml:space="preserve">年龄：8个月-20个月之间。 </w:t>
      </w:r>
    </w:p>
    <w:p w14:paraId="38F6340A">
      <w:pPr>
        <w:pStyle w:val="20"/>
        <w:snapToGrid w:val="0"/>
        <w:spacing w:line="360" w:lineRule="auto"/>
        <w:ind w:firstLine="480" w:firstLineChars="200"/>
        <w:jc w:val="both"/>
        <w:rPr>
          <w:rFonts w:hint="eastAsia" w:asciiTheme="minorEastAsia" w:hAnsiTheme="minorEastAsia" w:eastAsiaTheme="minorEastAsia" w:cstheme="minorEastAsia"/>
          <w:color w:val="auto"/>
          <w:kern w:val="2"/>
          <w:highlight w:val="none"/>
        </w:rPr>
      </w:pPr>
      <w:r>
        <w:rPr>
          <w:rFonts w:hint="eastAsia" w:asciiTheme="minorEastAsia" w:hAnsiTheme="minorEastAsia" w:eastAsiaTheme="minorEastAsia" w:cstheme="minorEastAsia"/>
          <w:color w:val="auto"/>
          <w:kern w:val="2"/>
          <w:highlight w:val="none"/>
        </w:rPr>
        <w:t>毛色：黑色、黑褐色或狼灰色。</w:t>
      </w:r>
    </w:p>
    <w:p w14:paraId="202F3698">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highlight w:val="none"/>
        </w:rPr>
      </w:pPr>
      <w:r>
        <w:rPr>
          <w:rFonts w:hint="eastAsia" w:asciiTheme="minorEastAsia" w:hAnsiTheme="minorEastAsia" w:eastAsiaTheme="minorEastAsia" w:cstheme="minorEastAsia"/>
          <w:b/>
          <w:bCs/>
          <w:color w:val="auto"/>
          <w:kern w:val="2"/>
          <w:highlight w:val="none"/>
        </w:rPr>
        <w:t>序号2：马里努阿犬</w:t>
      </w:r>
    </w:p>
    <w:p w14:paraId="4C1DB4FA">
      <w:pPr>
        <w:pStyle w:val="20"/>
        <w:snapToGrid w:val="0"/>
        <w:spacing w:line="360" w:lineRule="auto"/>
        <w:ind w:firstLine="480" w:firstLineChars="200"/>
        <w:jc w:val="both"/>
        <w:rPr>
          <w:rFonts w:hint="eastAsia" w:asciiTheme="minorEastAsia" w:hAnsiTheme="minorEastAsia" w:eastAsiaTheme="minorEastAsia" w:cstheme="minorEastAsia"/>
          <w:color w:val="auto"/>
          <w:kern w:val="2"/>
          <w:highlight w:val="none"/>
        </w:rPr>
      </w:pPr>
      <w:r>
        <w:rPr>
          <w:rFonts w:hint="eastAsia" w:asciiTheme="minorEastAsia" w:hAnsiTheme="minorEastAsia" w:eastAsiaTheme="minorEastAsia" w:cstheme="minorEastAsia"/>
          <w:color w:val="auto"/>
          <w:kern w:val="2"/>
          <w:highlight w:val="none"/>
        </w:rPr>
        <w:t>体格参数：体重≥18kg,体长≥55cm,体高≥54cm,胸围≥65cm,胸深≥25cm，肩高≥54cm，头长≥20cm。</w:t>
      </w:r>
    </w:p>
    <w:p w14:paraId="712294E0">
      <w:pPr>
        <w:pStyle w:val="20"/>
        <w:snapToGrid w:val="0"/>
        <w:spacing w:line="360" w:lineRule="auto"/>
        <w:ind w:firstLine="480" w:firstLineChars="200"/>
        <w:jc w:val="both"/>
        <w:rPr>
          <w:rFonts w:hint="eastAsia" w:asciiTheme="minorEastAsia" w:hAnsiTheme="minorEastAsia" w:eastAsiaTheme="minorEastAsia" w:cstheme="minorEastAsia"/>
          <w:color w:val="auto"/>
          <w:kern w:val="2"/>
          <w:highlight w:val="none"/>
        </w:rPr>
      </w:pPr>
      <w:r>
        <w:rPr>
          <w:rFonts w:hint="eastAsia" w:asciiTheme="minorEastAsia" w:hAnsiTheme="minorEastAsia" w:eastAsiaTheme="minorEastAsia" w:cstheme="minorEastAsia"/>
          <w:color w:val="auto"/>
          <w:kern w:val="2"/>
          <w:highlight w:val="none"/>
        </w:rPr>
        <w:t>年龄：8个月-20个月之间。</w:t>
      </w:r>
    </w:p>
    <w:p w14:paraId="18C67A71">
      <w:pPr>
        <w:pStyle w:val="20"/>
        <w:snapToGrid w:val="0"/>
        <w:spacing w:line="360" w:lineRule="auto"/>
        <w:ind w:firstLine="480" w:firstLineChars="200"/>
        <w:jc w:val="both"/>
        <w:rPr>
          <w:rFonts w:hint="eastAsia" w:asciiTheme="minorEastAsia" w:hAnsiTheme="minorEastAsia" w:eastAsiaTheme="minorEastAsia" w:cstheme="minorEastAsia"/>
          <w:color w:val="auto"/>
          <w:kern w:val="2"/>
          <w:highlight w:val="none"/>
        </w:rPr>
      </w:pPr>
      <w:r>
        <w:rPr>
          <w:rFonts w:hint="eastAsia" w:asciiTheme="minorEastAsia" w:hAnsiTheme="minorEastAsia" w:eastAsiaTheme="minorEastAsia" w:cstheme="minorEastAsia"/>
          <w:color w:val="auto"/>
          <w:kern w:val="2"/>
          <w:highlight w:val="none"/>
        </w:rPr>
        <w:t>毛色：浅黄褐色至红褐色，毛尖为黑色。</w:t>
      </w:r>
    </w:p>
    <w:p w14:paraId="4386F950">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highlight w:val="none"/>
        </w:rPr>
      </w:pPr>
      <w:r>
        <w:rPr>
          <w:rFonts w:hint="eastAsia" w:asciiTheme="minorEastAsia" w:hAnsiTheme="minorEastAsia" w:eastAsiaTheme="minorEastAsia" w:cstheme="minorEastAsia"/>
          <w:b/>
          <w:bCs/>
          <w:color w:val="auto"/>
          <w:kern w:val="2"/>
          <w:highlight w:val="none"/>
        </w:rPr>
        <w:t>序号3：史宾格犬</w:t>
      </w:r>
    </w:p>
    <w:p w14:paraId="3AEF2618">
      <w:pPr>
        <w:pStyle w:val="20"/>
        <w:snapToGrid w:val="0"/>
        <w:spacing w:line="360" w:lineRule="auto"/>
        <w:ind w:firstLine="480" w:firstLineChars="200"/>
        <w:jc w:val="both"/>
        <w:rPr>
          <w:rFonts w:hint="eastAsia" w:asciiTheme="minorEastAsia" w:hAnsiTheme="minorEastAsia" w:eastAsiaTheme="minorEastAsia" w:cstheme="minorEastAsia"/>
          <w:color w:val="auto"/>
          <w:kern w:val="2"/>
          <w:highlight w:val="none"/>
        </w:rPr>
      </w:pPr>
      <w:r>
        <w:rPr>
          <w:rFonts w:hint="eastAsia" w:asciiTheme="minorEastAsia" w:hAnsiTheme="minorEastAsia" w:eastAsiaTheme="minorEastAsia" w:cstheme="minorEastAsia"/>
          <w:color w:val="auto"/>
          <w:kern w:val="2"/>
          <w:highlight w:val="none"/>
        </w:rPr>
        <w:t>体格参数：体重≥15kg,体长≥46cm,体高≥42cm,胸围≥58cm,胸深≥20cm，肩高≥42cm，头长≥18cm。</w:t>
      </w:r>
    </w:p>
    <w:p w14:paraId="7C43518E">
      <w:pPr>
        <w:pStyle w:val="20"/>
        <w:snapToGrid w:val="0"/>
        <w:spacing w:line="360" w:lineRule="auto"/>
        <w:ind w:firstLine="480" w:firstLineChars="200"/>
        <w:jc w:val="both"/>
        <w:rPr>
          <w:rFonts w:hint="eastAsia" w:asciiTheme="minorEastAsia" w:hAnsiTheme="minorEastAsia" w:eastAsiaTheme="minorEastAsia" w:cstheme="minorEastAsia"/>
          <w:color w:val="auto"/>
          <w:kern w:val="2"/>
          <w:highlight w:val="none"/>
        </w:rPr>
      </w:pPr>
      <w:r>
        <w:rPr>
          <w:rFonts w:hint="eastAsia" w:asciiTheme="minorEastAsia" w:hAnsiTheme="minorEastAsia" w:eastAsiaTheme="minorEastAsia" w:cstheme="minorEastAsia"/>
          <w:color w:val="auto"/>
          <w:kern w:val="2"/>
          <w:highlight w:val="none"/>
        </w:rPr>
        <w:t>年龄：8个月-20个月之间。</w:t>
      </w:r>
    </w:p>
    <w:p w14:paraId="281F0AA9">
      <w:pPr>
        <w:pStyle w:val="20"/>
        <w:snapToGrid w:val="0"/>
        <w:spacing w:line="360" w:lineRule="auto"/>
        <w:ind w:firstLine="480" w:firstLineChars="200"/>
        <w:jc w:val="both"/>
        <w:rPr>
          <w:rFonts w:hint="eastAsia" w:asciiTheme="minorEastAsia" w:hAnsiTheme="minorEastAsia" w:eastAsiaTheme="minorEastAsia" w:cstheme="minorEastAsia"/>
          <w:color w:val="auto"/>
          <w:kern w:val="2"/>
          <w:highlight w:val="none"/>
        </w:rPr>
      </w:pPr>
      <w:r>
        <w:rPr>
          <w:rFonts w:hint="eastAsia" w:asciiTheme="minorEastAsia" w:hAnsiTheme="minorEastAsia" w:eastAsiaTheme="minorEastAsia" w:cstheme="minorEastAsia"/>
          <w:color w:val="auto"/>
          <w:kern w:val="2"/>
          <w:highlight w:val="none"/>
        </w:rPr>
        <w:t>毛色：黑色、白色或棕色与白色相间。</w:t>
      </w:r>
    </w:p>
    <w:p w14:paraId="77C32DDD">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highlight w:val="none"/>
        </w:rPr>
      </w:pPr>
      <w:r>
        <w:rPr>
          <w:rFonts w:hint="eastAsia" w:asciiTheme="minorEastAsia" w:hAnsiTheme="minorEastAsia" w:eastAsiaTheme="minorEastAsia" w:cstheme="minorEastAsia"/>
          <w:b/>
          <w:bCs/>
          <w:color w:val="auto"/>
          <w:kern w:val="2"/>
          <w:highlight w:val="none"/>
        </w:rPr>
        <w:t>序号4：新疆牧羊犬（含公母）</w:t>
      </w:r>
    </w:p>
    <w:p w14:paraId="5826D598">
      <w:pPr>
        <w:pStyle w:val="20"/>
        <w:snapToGrid w:val="0"/>
        <w:spacing w:line="360" w:lineRule="auto"/>
        <w:ind w:firstLine="480" w:firstLineChars="200"/>
        <w:jc w:val="both"/>
        <w:rPr>
          <w:rFonts w:hint="eastAsia" w:asciiTheme="minorEastAsia" w:hAnsiTheme="minorEastAsia" w:eastAsiaTheme="minorEastAsia" w:cstheme="minorEastAsia"/>
          <w:color w:val="auto"/>
          <w:kern w:val="2"/>
          <w:highlight w:val="none"/>
        </w:rPr>
      </w:pPr>
      <w:r>
        <w:rPr>
          <w:rFonts w:hint="eastAsia" w:asciiTheme="minorEastAsia" w:hAnsiTheme="minorEastAsia" w:eastAsiaTheme="minorEastAsia" w:cstheme="minorEastAsia"/>
          <w:color w:val="auto"/>
          <w:kern w:val="2"/>
          <w:highlight w:val="none"/>
        </w:rPr>
        <w:t>体格参数：体重≥25kg,体长≥60cm,体高≥55cm,胸围≥70cm,胸深≥25cm，肩高≥55cm，头长≥22cm。</w:t>
      </w:r>
    </w:p>
    <w:p w14:paraId="14690B5E">
      <w:pPr>
        <w:pStyle w:val="20"/>
        <w:snapToGrid w:val="0"/>
        <w:spacing w:line="360" w:lineRule="auto"/>
        <w:ind w:firstLine="480" w:firstLineChars="200"/>
        <w:jc w:val="both"/>
        <w:rPr>
          <w:rFonts w:hint="eastAsia" w:asciiTheme="minorEastAsia" w:hAnsiTheme="minorEastAsia" w:eastAsiaTheme="minorEastAsia" w:cstheme="minorEastAsia"/>
          <w:color w:val="auto"/>
          <w:kern w:val="2"/>
          <w:highlight w:val="none"/>
        </w:rPr>
      </w:pPr>
      <w:r>
        <w:rPr>
          <w:rFonts w:hint="eastAsia" w:asciiTheme="minorEastAsia" w:hAnsiTheme="minorEastAsia" w:eastAsiaTheme="minorEastAsia" w:cstheme="minorEastAsia"/>
          <w:color w:val="auto"/>
          <w:kern w:val="2"/>
          <w:highlight w:val="none"/>
        </w:rPr>
        <w:t>年龄：8个月-20个月之间。</w:t>
      </w:r>
    </w:p>
    <w:p w14:paraId="6ACAB039">
      <w:pPr>
        <w:pStyle w:val="20"/>
        <w:snapToGrid w:val="0"/>
        <w:spacing w:line="360" w:lineRule="auto"/>
        <w:ind w:firstLine="480" w:firstLineChars="200"/>
        <w:jc w:val="both"/>
        <w:rPr>
          <w:rFonts w:hint="eastAsia" w:asciiTheme="minorEastAsia" w:hAnsiTheme="minorEastAsia" w:eastAsiaTheme="minorEastAsia" w:cstheme="minorEastAsia"/>
          <w:color w:val="auto"/>
          <w:kern w:val="2"/>
          <w:highlight w:val="none"/>
        </w:rPr>
      </w:pPr>
      <w:r>
        <w:rPr>
          <w:rFonts w:hint="eastAsia" w:asciiTheme="minorEastAsia" w:hAnsiTheme="minorEastAsia" w:eastAsiaTheme="minorEastAsia" w:cstheme="minorEastAsia"/>
          <w:color w:val="auto"/>
          <w:kern w:val="2"/>
          <w:highlight w:val="none"/>
        </w:rPr>
        <w:t>毛色：黑色、黑褐色或白色带黑斑。</w:t>
      </w:r>
    </w:p>
    <w:p w14:paraId="01D23495">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highlight w:val="none"/>
        </w:rPr>
      </w:pPr>
      <w:r>
        <w:rPr>
          <w:rFonts w:hint="eastAsia" w:asciiTheme="minorEastAsia" w:hAnsiTheme="minorEastAsia" w:eastAsiaTheme="minorEastAsia" w:cstheme="minorEastAsia"/>
          <w:b/>
          <w:bCs/>
          <w:color w:val="auto"/>
          <w:kern w:val="2"/>
          <w:highlight w:val="none"/>
        </w:rPr>
        <w:t>序号5：拉布拉多犬</w:t>
      </w:r>
    </w:p>
    <w:p w14:paraId="5B6C9531">
      <w:pPr>
        <w:pStyle w:val="20"/>
        <w:snapToGrid w:val="0"/>
        <w:spacing w:line="360" w:lineRule="auto"/>
        <w:ind w:firstLine="480" w:firstLineChars="200"/>
        <w:jc w:val="both"/>
        <w:rPr>
          <w:rFonts w:hint="eastAsia" w:asciiTheme="minorEastAsia" w:hAnsiTheme="minorEastAsia" w:eastAsiaTheme="minorEastAsia" w:cstheme="minorEastAsia"/>
          <w:color w:val="auto"/>
          <w:kern w:val="2"/>
          <w:highlight w:val="none"/>
        </w:rPr>
      </w:pPr>
      <w:r>
        <w:rPr>
          <w:rFonts w:hint="eastAsia" w:asciiTheme="minorEastAsia" w:hAnsiTheme="minorEastAsia" w:eastAsiaTheme="minorEastAsia" w:cstheme="minorEastAsia"/>
          <w:color w:val="auto"/>
          <w:kern w:val="2"/>
          <w:highlight w:val="none"/>
        </w:rPr>
        <w:t>体格参数：体重≥20kg,体长≥50cm,体高≥45cm,胸围≥55cm,胸深≥20cm，肩高≥45cm，头长≥18cm。</w:t>
      </w:r>
    </w:p>
    <w:p w14:paraId="603A8F25">
      <w:pPr>
        <w:pStyle w:val="20"/>
        <w:snapToGrid w:val="0"/>
        <w:spacing w:line="360" w:lineRule="auto"/>
        <w:ind w:firstLine="480" w:firstLineChars="200"/>
        <w:jc w:val="both"/>
        <w:rPr>
          <w:rFonts w:hint="eastAsia" w:asciiTheme="minorEastAsia" w:hAnsiTheme="minorEastAsia" w:eastAsiaTheme="minorEastAsia" w:cstheme="minorEastAsia"/>
          <w:color w:val="auto"/>
          <w:kern w:val="2"/>
          <w:highlight w:val="none"/>
        </w:rPr>
      </w:pPr>
      <w:r>
        <w:rPr>
          <w:rFonts w:hint="eastAsia" w:asciiTheme="minorEastAsia" w:hAnsiTheme="minorEastAsia" w:eastAsiaTheme="minorEastAsia" w:cstheme="minorEastAsia"/>
          <w:color w:val="auto"/>
          <w:kern w:val="2"/>
          <w:highlight w:val="none"/>
        </w:rPr>
        <w:t>年龄：8个月-20个月之间。</w:t>
      </w:r>
    </w:p>
    <w:p w14:paraId="7F3EE4B6">
      <w:pPr>
        <w:pStyle w:val="20"/>
        <w:snapToGrid w:val="0"/>
        <w:spacing w:line="360" w:lineRule="auto"/>
        <w:ind w:firstLine="480" w:firstLineChars="200"/>
        <w:jc w:val="both"/>
        <w:rPr>
          <w:rFonts w:hint="eastAsia" w:asciiTheme="minorEastAsia" w:hAnsiTheme="minorEastAsia" w:eastAsiaTheme="minorEastAsia" w:cstheme="minorEastAsia"/>
          <w:color w:val="auto"/>
          <w:kern w:val="2"/>
          <w:highlight w:val="none"/>
        </w:rPr>
      </w:pPr>
      <w:r>
        <w:rPr>
          <w:rFonts w:hint="eastAsia" w:asciiTheme="minorEastAsia" w:hAnsiTheme="minorEastAsia" w:eastAsiaTheme="minorEastAsia" w:cstheme="minorEastAsia"/>
          <w:color w:val="auto"/>
          <w:kern w:val="2"/>
          <w:highlight w:val="none"/>
        </w:rPr>
        <w:t>毛色：黑色、黄色、巧克力色。</w:t>
      </w:r>
    </w:p>
    <w:p w14:paraId="23373E8D">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highlight w:val="none"/>
        </w:rPr>
      </w:pPr>
      <w:r>
        <w:rPr>
          <w:rFonts w:hint="eastAsia" w:asciiTheme="minorEastAsia" w:hAnsiTheme="minorEastAsia" w:eastAsiaTheme="minorEastAsia" w:cstheme="minorEastAsia"/>
          <w:b/>
          <w:bCs/>
          <w:color w:val="auto"/>
          <w:kern w:val="2"/>
          <w:highlight w:val="none"/>
        </w:rPr>
        <w:t>注：所有犬种的体型外貌、神经类型、感官机能、主要反应的选择一致。具体如下：</w:t>
      </w:r>
    </w:p>
    <w:p w14:paraId="40D1D62D">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highlight w:val="none"/>
        </w:rPr>
      </w:pPr>
      <w:r>
        <w:rPr>
          <w:rFonts w:hint="eastAsia" w:asciiTheme="minorEastAsia" w:hAnsiTheme="minorEastAsia" w:eastAsiaTheme="minorEastAsia" w:cstheme="minorEastAsia"/>
          <w:b/>
          <w:bCs/>
          <w:color w:val="auto"/>
          <w:kern w:val="2"/>
          <w:highlight w:val="none"/>
        </w:rPr>
        <w:t>1.体型外貌：要求犬只体型中等，外观各部匀称、紧凑，肌肉发达，体质健壮，姿态端正。</w:t>
      </w:r>
    </w:p>
    <w:p w14:paraId="68A4CB7B">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highlight w:val="none"/>
        </w:rPr>
      </w:pPr>
      <w:r>
        <w:rPr>
          <w:rFonts w:hint="eastAsia" w:asciiTheme="minorEastAsia" w:hAnsiTheme="minorEastAsia" w:eastAsiaTheme="minorEastAsia" w:cstheme="minorEastAsia"/>
          <w:b/>
          <w:bCs/>
          <w:color w:val="auto"/>
          <w:kern w:val="2"/>
          <w:highlight w:val="none"/>
        </w:rPr>
        <w:t>2.神经类型：具备强而不均衡的兴奋型和强而均衡的灵活型神经类型。</w:t>
      </w:r>
    </w:p>
    <w:p w14:paraId="255FF2C8">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highlight w:val="none"/>
        </w:rPr>
      </w:pPr>
      <w:r>
        <w:rPr>
          <w:rFonts w:hint="eastAsia" w:asciiTheme="minorEastAsia" w:hAnsiTheme="minorEastAsia" w:eastAsiaTheme="minorEastAsia" w:cstheme="minorEastAsia"/>
          <w:b/>
          <w:bCs/>
          <w:color w:val="auto"/>
          <w:kern w:val="2"/>
          <w:highlight w:val="none"/>
        </w:rPr>
        <w:t>3.感官机能：犬只视觉和听觉良好，嗅觉灵敏，嗅认方式佳，牙齿齐全，雄性犬只具有双睾丸，无生理机能缺陷。</w:t>
      </w:r>
    </w:p>
    <w:p w14:paraId="4FB4AEFC">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highlight w:val="none"/>
        </w:rPr>
      </w:pPr>
      <w:r>
        <w:rPr>
          <w:rFonts w:hint="eastAsia" w:asciiTheme="minorEastAsia" w:hAnsiTheme="minorEastAsia" w:eastAsiaTheme="minorEastAsia" w:cstheme="minorEastAsia"/>
          <w:b/>
          <w:bCs/>
          <w:color w:val="auto"/>
          <w:kern w:val="2"/>
          <w:highlight w:val="none"/>
        </w:rPr>
        <w:t>4.主要反应的选择：优先选择猎取反射积极、衔取欲强、主动防御反射和食物反应占优势的犬只。探求反应强且猎取反射退化的犬只不可作为待训警犬。</w:t>
      </w:r>
    </w:p>
    <w:p w14:paraId="2067694C">
      <w:pPr>
        <w:pStyle w:val="20"/>
        <w:snapToGrid w:val="0"/>
        <w:spacing w:line="360" w:lineRule="auto"/>
        <w:ind w:firstLine="482" w:firstLineChars="200"/>
        <w:jc w:val="both"/>
        <w:rPr>
          <w:rFonts w:hint="eastAsia" w:asciiTheme="minorEastAsia" w:hAnsiTheme="minorEastAsia" w:eastAsiaTheme="minorEastAsia" w:cstheme="minorEastAsia"/>
          <w:b/>
          <w:bCs/>
          <w:color w:val="auto"/>
          <w:kern w:val="2"/>
          <w:highlight w:val="none"/>
        </w:rPr>
      </w:pPr>
      <w:r>
        <w:rPr>
          <w:rFonts w:hint="eastAsia" w:asciiTheme="minorEastAsia" w:hAnsiTheme="minorEastAsia" w:eastAsiaTheme="minorEastAsia" w:cstheme="minorEastAsia"/>
          <w:b/>
          <w:bCs/>
          <w:color w:val="auto"/>
          <w:kern w:val="2"/>
          <w:highlight w:val="none"/>
        </w:rPr>
        <w:t>5.允许的毛色变异范围应符合各犬种国际公认的标准。</w:t>
      </w:r>
    </w:p>
    <w:p w14:paraId="03B557C4">
      <w:pPr>
        <w:pStyle w:val="4"/>
        <w:pBdr>
          <w:bottom w:val="single" w:color="622423" w:sz="4" w:space="0"/>
        </w:pBdr>
        <w:spacing w:line="360" w:lineRule="auto"/>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十、履约保证金</w:t>
      </w:r>
      <w:bookmarkEnd w:id="158"/>
      <w:bookmarkEnd w:id="159"/>
      <w:bookmarkEnd w:id="160"/>
      <w:bookmarkEnd w:id="161"/>
      <w:bookmarkEnd w:id="162"/>
      <w:bookmarkEnd w:id="163"/>
    </w:p>
    <w:p w14:paraId="2B4B562F">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履约保函为元，大写：元。履约保函缴纳后，后期如乙方无故不履行合同，采用履约保函的，乙方应当按照履约保函金额向甲方支付违约金，甲方有权向乙方、履约保函出具行主张权利。</w:t>
      </w:r>
    </w:p>
    <w:p w14:paraId="1876DF1A">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lang w:eastAsia="zh-CN"/>
        </w:rPr>
      </w:pPr>
      <w:bookmarkStart w:id="164" w:name="_Toc29119"/>
      <w:r>
        <w:rPr>
          <w:rFonts w:hint="eastAsia" w:asciiTheme="minorEastAsia" w:hAnsiTheme="minorEastAsia" w:eastAsiaTheme="minorEastAsia" w:cstheme="minorEastAsia"/>
          <w:color w:val="auto"/>
          <w:sz w:val="24"/>
          <w:szCs w:val="24"/>
          <w:highlight w:val="none"/>
          <w:lang w:eastAsia="zh-CN"/>
        </w:rPr>
        <w:t>十一、第三方责任</w:t>
      </w:r>
      <w:bookmarkEnd w:id="164"/>
    </w:p>
    <w:p w14:paraId="4CE7F7C6">
      <w:pPr>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乙方与</w:t>
      </w:r>
      <w:bookmarkStart w:id="165" w:name="_Toc399165018"/>
      <w:r>
        <w:rPr>
          <w:rFonts w:hint="eastAsia" w:asciiTheme="minorEastAsia" w:hAnsiTheme="minorEastAsia" w:eastAsiaTheme="minorEastAsia" w:cstheme="minorEastAsia"/>
          <w:color w:val="auto"/>
          <w:sz w:val="24"/>
          <w:szCs w:val="24"/>
          <w:highlight w:val="none"/>
          <w:lang w:eastAsia="zh-CN"/>
        </w:rPr>
        <w:t>其代理之相</w:t>
      </w:r>
      <w:bookmarkEnd w:id="165"/>
      <w:r>
        <w:rPr>
          <w:rFonts w:hint="eastAsia" w:asciiTheme="minorEastAsia" w:hAnsiTheme="minorEastAsia" w:eastAsiaTheme="minorEastAsia" w:cstheme="minorEastAsia"/>
          <w:color w:val="auto"/>
          <w:sz w:val="24"/>
          <w:szCs w:val="24"/>
          <w:highlight w:val="none"/>
          <w:lang w:eastAsia="zh-CN"/>
        </w:rPr>
        <w:t>互关系、相关责任义务等均由乙方与代理商自行协商约定，但在与本合同相关的任何情形下，乙方与其任何一家代理商二者之间的约定仅属于其内部分担权利义务及其内部约定分担对外责任的办法，乙方与该代理商二者对甲方、最终用户、相关第三方则应承担连带责任，而乙方依据合同原所承担的对甲方、最终用户及第三方的责任均并不因此被减免。</w:t>
      </w:r>
    </w:p>
    <w:p w14:paraId="751E30A7">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lang w:eastAsia="zh-CN"/>
        </w:rPr>
      </w:pPr>
      <w:bookmarkStart w:id="166" w:name="_Toc479943866"/>
      <w:bookmarkStart w:id="167" w:name="_Toc8752"/>
      <w:bookmarkStart w:id="168" w:name="_Toc480316128"/>
      <w:bookmarkStart w:id="169" w:name="_Toc432684947"/>
      <w:bookmarkStart w:id="170" w:name="_Toc7697"/>
      <w:bookmarkStart w:id="171" w:name="_Toc427666535"/>
      <w:r>
        <w:rPr>
          <w:rFonts w:hint="eastAsia" w:asciiTheme="minorEastAsia" w:hAnsiTheme="minorEastAsia" w:eastAsiaTheme="minorEastAsia" w:cstheme="minorEastAsia"/>
          <w:color w:val="auto"/>
          <w:sz w:val="24"/>
          <w:szCs w:val="24"/>
          <w:highlight w:val="none"/>
          <w:lang w:eastAsia="zh-CN"/>
        </w:rPr>
        <w:t>十二、体检和测试</w:t>
      </w:r>
      <w:bookmarkEnd w:id="166"/>
      <w:bookmarkEnd w:id="167"/>
      <w:bookmarkEnd w:id="168"/>
      <w:bookmarkEnd w:id="169"/>
      <w:bookmarkEnd w:id="170"/>
      <w:bookmarkEnd w:id="171"/>
    </w:p>
    <w:p w14:paraId="365B0749">
      <w:pPr>
        <w:spacing w:line="360" w:lineRule="auto"/>
        <w:jc w:val="both"/>
        <w:rPr>
          <w:rFonts w:hint="eastAsia" w:asciiTheme="minorEastAsia" w:hAnsiTheme="minorEastAsia" w:eastAsiaTheme="minorEastAsia" w:cstheme="minorEastAsia"/>
          <w:color w:val="auto"/>
          <w:sz w:val="24"/>
          <w:szCs w:val="24"/>
          <w:highlight w:val="none"/>
          <w:lang w:eastAsia="zh-CN"/>
        </w:rPr>
      </w:pPr>
      <w:bookmarkStart w:id="172" w:name="_Toc480316129"/>
      <w:bookmarkStart w:id="173" w:name="_Toc1223"/>
      <w:bookmarkStart w:id="174" w:name="_Toc479943867"/>
      <w:bookmarkStart w:id="175" w:name="_Toc427666536"/>
      <w:bookmarkStart w:id="176" w:name="_Toc432684948"/>
      <w:r>
        <w:rPr>
          <w:rFonts w:hint="eastAsia" w:asciiTheme="minorEastAsia" w:hAnsiTheme="minorEastAsia" w:eastAsiaTheme="minorEastAsia" w:cstheme="minorEastAsia"/>
          <w:color w:val="auto"/>
          <w:sz w:val="24"/>
          <w:szCs w:val="24"/>
          <w:highlight w:val="none"/>
          <w:lang w:eastAsia="zh-CN"/>
        </w:rPr>
        <w:t>1、挑选出的犬只由乙方送至具有相关资质的动物医院进行全面体检。体检内容包括：体温检测，皮肤检查（真菌、螨虫等），耳道检查，心肺听诊（是否有不适合训练的心脏和肺部疾病），X线检查（检查脊椎、髋关节、肘关节以及骨骼是否有先天性关节变形，骨膜磨损严重或过薄，骨质疏松以及严重缺钙等），B超检查（心、肝、肺、脾、肾），细小病毒和犬瘟热检查，尿常规，血气检查，体温、脉搏、细小病毒、犬瘟热检测，以及对犬的体型骨骼、体态被毛、神经类型及衔取欲望，伍德氏灯皮肤病排查、五大淋巴结检查等。体检合格后，需出具详细的体检报告，并为犬只编制编号，建立一犬一档案。乙方对所有合格犬只完成体检和建档，以函件形式通知甲方，甲方在1个日历日内（收到函件当日不计算在内）对体检及建档情况进行核查核对，经甲（警犬训练基地组织人员）乙双方确认无误后，由乙方运送至甲方警犬训练基地指定地点。</w:t>
      </w:r>
    </w:p>
    <w:p w14:paraId="23D03F55">
      <w:p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甲方自收到函件后3个日历日内（收到函件当日不计算在内），由甲方（警犬训练基地）按照中国工作犬管理协会发布的《犬只挑选测试标准》（具体测试标准附采购文件后）对犬只进行逐一测试，评定为B级以上为合格（1、犬只挑选测试标准≥2项A,评定为A；犬只挑选测试标准＜2项A，评定为B；2、犬只挑选测试标准≥2项B,评定为B；犬只挑选测试标准＜2项C，评定为C;3、犬只挑选测试标准有一项评定为C，评定为C。</w:t>
      </w:r>
    </w:p>
    <w:p w14:paraId="10921C8F">
      <w:pPr>
        <w:rPr>
          <w:rFonts w:hint="eastAsia" w:asciiTheme="minorEastAsia" w:hAnsiTheme="minorEastAsia" w:eastAsiaTheme="minorEastAsia" w:cstheme="minorEastAsia"/>
          <w:color w:val="auto"/>
          <w:sz w:val="24"/>
          <w:szCs w:val="24"/>
          <w:highlight w:val="none"/>
        </w:rPr>
      </w:pPr>
      <w:bookmarkStart w:id="177" w:name="_Toc153"/>
      <w:r>
        <w:rPr>
          <w:rFonts w:hint="eastAsia" w:asciiTheme="minorEastAsia" w:hAnsiTheme="minorEastAsia" w:eastAsiaTheme="minorEastAsia" w:cstheme="minorEastAsia"/>
          <w:color w:val="auto"/>
          <w:sz w:val="24"/>
          <w:szCs w:val="24"/>
          <w:highlight w:val="none"/>
        </w:rPr>
        <w:br w:type="page"/>
      </w:r>
    </w:p>
    <w:p w14:paraId="6EE72FD9">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十三、合同管理</w:t>
      </w:r>
      <w:bookmarkEnd w:id="172"/>
      <w:bookmarkEnd w:id="173"/>
      <w:bookmarkEnd w:id="174"/>
      <w:bookmarkEnd w:id="175"/>
      <w:bookmarkEnd w:id="176"/>
      <w:bookmarkEnd w:id="177"/>
    </w:p>
    <w:p w14:paraId="42B7E61D">
      <w:pPr>
        <w:numPr>
          <w:ilvl w:val="0"/>
          <w:numId w:val="10"/>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为便于管</w:t>
      </w:r>
      <w:bookmarkStart w:id="178" w:name="_Toc399165021"/>
      <w:r>
        <w:rPr>
          <w:rFonts w:hint="eastAsia" w:asciiTheme="minorEastAsia" w:hAnsiTheme="minorEastAsia" w:eastAsiaTheme="minorEastAsia" w:cstheme="minorEastAsia"/>
          <w:color w:val="auto"/>
          <w:sz w:val="24"/>
          <w:szCs w:val="24"/>
          <w:highlight w:val="none"/>
          <w:lang w:eastAsia="zh-CN"/>
        </w:rPr>
        <w:t>理，甲方</w:t>
      </w:r>
      <w:bookmarkEnd w:id="178"/>
      <w:r>
        <w:rPr>
          <w:rFonts w:hint="eastAsia" w:asciiTheme="minorEastAsia" w:hAnsiTheme="minorEastAsia" w:eastAsiaTheme="minorEastAsia" w:cstheme="minorEastAsia"/>
          <w:color w:val="auto"/>
          <w:sz w:val="24"/>
          <w:szCs w:val="24"/>
          <w:highlight w:val="none"/>
          <w:lang w:eastAsia="zh-CN"/>
        </w:rPr>
        <w:t>和乙方在合同执行期间的联络，应通过指定的项目负责人进行。</w:t>
      </w:r>
    </w:p>
    <w:p w14:paraId="0E2F5439">
      <w:pP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甲方项目负责人：                               电话：</w:t>
      </w:r>
    </w:p>
    <w:p w14:paraId="7D2F8F1A">
      <w:pP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乙方项目负责人：                               电话：</w:t>
      </w:r>
    </w:p>
    <w:p w14:paraId="1A4DE7FE">
      <w:pPr>
        <w:numPr>
          <w:ilvl w:val="0"/>
          <w:numId w:val="10"/>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整个检验验收期间，乙方应接受甲方的统一管理和必要的监督检查。</w:t>
      </w:r>
    </w:p>
    <w:p w14:paraId="7CC296C0">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lang w:eastAsia="zh-CN"/>
        </w:rPr>
      </w:pPr>
      <w:bookmarkStart w:id="179" w:name="_Toc427666537"/>
      <w:bookmarkStart w:id="180" w:name="_Toc432684949"/>
      <w:bookmarkStart w:id="181" w:name="_Toc479943868"/>
      <w:bookmarkStart w:id="182" w:name="_Toc30200"/>
      <w:bookmarkStart w:id="183" w:name="_Toc480316130"/>
      <w:bookmarkStart w:id="184" w:name="_Toc17853"/>
      <w:r>
        <w:rPr>
          <w:rFonts w:hint="eastAsia" w:asciiTheme="minorEastAsia" w:hAnsiTheme="minorEastAsia" w:eastAsiaTheme="minorEastAsia" w:cstheme="minorEastAsia"/>
          <w:color w:val="auto"/>
          <w:sz w:val="24"/>
          <w:szCs w:val="24"/>
          <w:highlight w:val="none"/>
          <w:lang w:eastAsia="zh-CN"/>
        </w:rPr>
        <w:t>十四、质量保证期及售后服</w:t>
      </w:r>
      <w:bookmarkStart w:id="185" w:name="_Toc399165022"/>
      <w:r>
        <w:rPr>
          <w:rFonts w:hint="eastAsia" w:asciiTheme="minorEastAsia" w:hAnsiTheme="minorEastAsia" w:eastAsiaTheme="minorEastAsia" w:cstheme="minorEastAsia"/>
          <w:color w:val="auto"/>
          <w:sz w:val="24"/>
          <w:szCs w:val="24"/>
          <w:highlight w:val="none"/>
          <w:lang w:eastAsia="zh-CN"/>
        </w:rPr>
        <w:t>务</w:t>
      </w:r>
      <w:bookmarkEnd w:id="179"/>
      <w:bookmarkEnd w:id="180"/>
      <w:bookmarkEnd w:id="181"/>
      <w:bookmarkEnd w:id="182"/>
      <w:bookmarkEnd w:id="183"/>
      <w:bookmarkEnd w:id="184"/>
    </w:p>
    <w:bookmarkEnd w:id="185"/>
    <w:p w14:paraId="0FA95133">
      <w:pPr>
        <w:pStyle w:val="21"/>
        <w:spacing w:line="360" w:lineRule="auto"/>
        <w:ind w:left="425" w:hanging="425"/>
        <w:rPr>
          <w:rFonts w:hint="eastAsia" w:asciiTheme="minorEastAsia" w:hAnsiTheme="minorEastAsia" w:eastAsiaTheme="minorEastAsia" w:cstheme="minorEastAsia"/>
          <w:color w:val="auto"/>
          <w:szCs w:val="24"/>
          <w:highlight w:val="none"/>
          <w:lang w:eastAsia="zh-CN"/>
        </w:rPr>
      </w:pPr>
      <w:bookmarkStart w:id="186" w:name="_Toc1194"/>
      <w:r>
        <w:rPr>
          <w:rFonts w:hint="eastAsia" w:asciiTheme="minorEastAsia" w:hAnsiTheme="minorEastAsia" w:eastAsiaTheme="minorEastAsia" w:cstheme="minorEastAsia"/>
          <w:color w:val="auto"/>
          <w:szCs w:val="24"/>
          <w:highlight w:val="none"/>
          <w:lang w:eastAsia="zh-CN"/>
        </w:rPr>
        <w:t>（一）质保期。乙方对所售犬只售后质保期为每批次供应的待训警犬度过环境适应期止，即：乙方将待训警犬送达至甲方（警犬训练基地营区）指定地点之日起20个日历日。</w:t>
      </w:r>
    </w:p>
    <w:p w14:paraId="1A7B13BF">
      <w:pPr>
        <w:pStyle w:val="21"/>
        <w:spacing w:line="360" w:lineRule="auto"/>
        <w:ind w:left="425" w:hanging="425"/>
        <w:rPr>
          <w:rFonts w:hint="eastAsia" w:asciiTheme="minorEastAsia" w:hAnsiTheme="minorEastAsia" w:eastAsiaTheme="minorEastAsia" w:cstheme="minorEastAsia"/>
          <w:color w:val="auto"/>
          <w:szCs w:val="24"/>
          <w:highlight w:val="none"/>
          <w:lang w:eastAsia="zh-CN"/>
        </w:rPr>
      </w:pPr>
      <w:r>
        <w:rPr>
          <w:rFonts w:hint="eastAsia" w:asciiTheme="minorEastAsia" w:hAnsiTheme="minorEastAsia" w:eastAsiaTheme="minorEastAsia" w:cstheme="minorEastAsia"/>
          <w:color w:val="auto"/>
          <w:szCs w:val="24"/>
          <w:highlight w:val="none"/>
          <w:lang w:eastAsia="zh-CN"/>
        </w:rPr>
        <w:t>（二）售后服务标准要求</w:t>
      </w:r>
    </w:p>
    <w:p w14:paraId="717B777B">
      <w:pPr>
        <w:pStyle w:val="21"/>
        <w:spacing w:line="360" w:lineRule="auto"/>
        <w:ind w:left="425" w:hanging="425"/>
        <w:rPr>
          <w:rFonts w:hint="eastAsia" w:asciiTheme="minorEastAsia" w:hAnsiTheme="minorEastAsia" w:eastAsiaTheme="minorEastAsia" w:cstheme="minorEastAsia"/>
          <w:color w:val="auto"/>
          <w:szCs w:val="24"/>
          <w:highlight w:val="none"/>
          <w:lang w:eastAsia="zh-CN"/>
        </w:rPr>
      </w:pPr>
      <w:r>
        <w:rPr>
          <w:rFonts w:hint="eastAsia" w:asciiTheme="minorEastAsia" w:hAnsiTheme="minorEastAsia" w:eastAsiaTheme="minorEastAsia" w:cstheme="minorEastAsia"/>
          <w:color w:val="auto"/>
          <w:szCs w:val="24"/>
          <w:highlight w:val="none"/>
          <w:lang w:eastAsia="zh-CN"/>
        </w:rPr>
        <w:t>（1）供应商应向甲方明确售后服务承诺，涵盖退换货政策、质保期限、专业培训等内容，使甲方清晰了解售后服务保障范围。</w:t>
      </w:r>
    </w:p>
    <w:p w14:paraId="280134D9">
      <w:pPr>
        <w:pStyle w:val="21"/>
        <w:spacing w:line="360" w:lineRule="auto"/>
        <w:ind w:left="425" w:hanging="425"/>
        <w:rPr>
          <w:rFonts w:hint="eastAsia" w:asciiTheme="minorEastAsia" w:hAnsiTheme="minorEastAsia" w:eastAsiaTheme="minorEastAsia" w:cstheme="minorEastAsia"/>
          <w:color w:val="auto"/>
          <w:szCs w:val="24"/>
          <w:highlight w:val="none"/>
          <w:lang w:eastAsia="zh-CN"/>
        </w:rPr>
      </w:pPr>
      <w:r>
        <w:rPr>
          <w:rFonts w:hint="eastAsia" w:asciiTheme="minorEastAsia" w:hAnsiTheme="minorEastAsia" w:eastAsiaTheme="minorEastAsia" w:cstheme="minorEastAsia"/>
          <w:color w:val="auto"/>
          <w:szCs w:val="24"/>
          <w:highlight w:val="none"/>
          <w:lang w:eastAsia="zh-CN"/>
        </w:rPr>
        <w:t>（2）在甲方遇到紧急情况时，提供紧急救援服务，如犬只突发疾病、意外受伤等，确保犬只能够得到及时有效的救治。自待训警犬进场培训直至培训结束，乙方对所售犬只售后质保期内，若犬只出现任何恶性传染病或者死亡的情况，乙方应在上述情况出现之日起3日内无偿予以更换同等价值品种犬只。若乙方未按时更换犬只，乙方向甲方支付合同价格的1%违约金；累计超过7个日历日，甲方有权终止合同，乙方应向甲方支付违约金</w:t>
      </w:r>
      <w:r>
        <w:rPr>
          <w:rFonts w:hint="eastAsia" w:asciiTheme="minorEastAsia" w:hAnsiTheme="minorEastAsia" w:eastAsiaTheme="minorEastAsia" w:cstheme="minorEastAsia"/>
          <w:color w:val="auto"/>
          <w:szCs w:val="24"/>
          <w:highlight w:val="none"/>
          <w:u w:val="single"/>
          <w:lang w:eastAsia="zh-CN"/>
        </w:rPr>
        <w:t xml:space="preserve">   </w:t>
      </w:r>
      <w:r>
        <w:rPr>
          <w:rFonts w:hint="eastAsia" w:asciiTheme="minorEastAsia" w:hAnsiTheme="minorEastAsia" w:eastAsiaTheme="minorEastAsia" w:cstheme="minorEastAsia"/>
          <w:color w:val="auto"/>
          <w:szCs w:val="24"/>
          <w:highlight w:val="none"/>
          <w:lang w:eastAsia="zh-CN"/>
        </w:rPr>
        <w:t>元，所产生的一切后果由乙方承担。如因不可抗力导致延误，乙方需及时通知甲方并提供证明，双方协商一致后顺延或更换时间。</w:t>
      </w:r>
    </w:p>
    <w:p w14:paraId="4939F520">
      <w:pPr>
        <w:pStyle w:val="21"/>
        <w:spacing w:line="360" w:lineRule="auto"/>
        <w:ind w:left="425" w:hanging="425"/>
        <w:rPr>
          <w:rFonts w:hint="eastAsia" w:asciiTheme="minorEastAsia" w:hAnsiTheme="minorEastAsia" w:eastAsiaTheme="minorEastAsia" w:cstheme="minorEastAsia"/>
          <w:color w:val="auto"/>
          <w:szCs w:val="24"/>
          <w:highlight w:val="none"/>
          <w:lang w:eastAsia="zh-CN"/>
        </w:rPr>
      </w:pPr>
      <w:r>
        <w:rPr>
          <w:rFonts w:hint="eastAsia" w:asciiTheme="minorEastAsia" w:hAnsiTheme="minorEastAsia" w:eastAsiaTheme="minorEastAsia" w:cstheme="minorEastAsia"/>
          <w:color w:val="auto"/>
          <w:szCs w:val="24"/>
          <w:highlight w:val="none"/>
          <w:lang w:eastAsia="zh-CN"/>
        </w:rPr>
        <w:t>（3）饲养指导。乙方应委派具备专业知识及丰富经验的专人开展饲养指导，饲养指导人员需持有中华人民共和国人力资源和社会保障部颁发的（三级/高级技能）训犬师职业资格证书。自待训警犬进场之日起，于现场开展为期20个日历日的饲养管理指导工作。相关费用由乙方承担。在此期间，乙方所派人员需全面负责解决犬只因环境变化等因素引发的应激障碍问题，包括但不限于观察犬只行为状态、调整饲养环境以减轻犬只应激反应、制定并执行适宜的饮食与运动计划，确保犬只能够平稳度过适应期，达到健康、良好的待训状态。</w:t>
      </w:r>
    </w:p>
    <w:p w14:paraId="51C04C54">
      <w:pPr>
        <w:pStyle w:val="21"/>
        <w:spacing w:line="360" w:lineRule="auto"/>
        <w:ind w:left="425" w:hanging="425"/>
        <w:rPr>
          <w:rFonts w:hint="eastAsia" w:asciiTheme="minorEastAsia" w:hAnsiTheme="minorEastAsia" w:eastAsiaTheme="minorEastAsia" w:cstheme="minorEastAsia"/>
          <w:color w:val="auto"/>
          <w:szCs w:val="24"/>
          <w:highlight w:val="none"/>
          <w:lang w:eastAsia="zh-CN"/>
        </w:rPr>
      </w:pPr>
      <w:r>
        <w:rPr>
          <w:rFonts w:hint="eastAsia" w:asciiTheme="minorEastAsia" w:hAnsiTheme="minorEastAsia" w:eastAsiaTheme="minorEastAsia" w:cstheme="minorEastAsia"/>
          <w:color w:val="auto"/>
          <w:szCs w:val="24"/>
          <w:highlight w:val="none"/>
          <w:lang w:eastAsia="zh-CN"/>
        </w:rPr>
        <w:t>（4）防疫驱虫。乙方所供应的待训警犬，应在甲方监督在场的情况下，严格按照专业宠物医疗流程完成如下防疫与驱虫操作：进行三次驱虫工作，其中两次为体内驱虫，一次为体外驱虫。驱虫药物需选用经市场验证、品质可靠的产品。同时，需完成英特威四联苗的注射，以预防犬瘟热、犬细小病毒病、犬传染性肝炎和犬副流感等常见传染病。在完成英特威四联苗注射14个日历日后，乙方应为待训警犬注射单狂犬疫苗1针，以有效预防狂犬病。上述所有防疫与驱虫操作所产生的费用，包括但不限于药品采购费用、专业宠物医疗机构的诊疗服务费用等，均由乙方承担。在操作完成后，乙方应及时向甲方提供详细的防疫与驱虫记录，包括操作时间、使用药品品牌及规格、执行机构等信息，以供甲方留存与查验。</w:t>
      </w:r>
    </w:p>
    <w:p w14:paraId="533F46E1">
      <w:pPr>
        <w:pStyle w:val="21"/>
        <w:spacing w:line="360" w:lineRule="auto"/>
        <w:ind w:left="425" w:hanging="425"/>
        <w:rPr>
          <w:rFonts w:hint="eastAsia" w:asciiTheme="minorEastAsia" w:hAnsiTheme="minorEastAsia" w:eastAsiaTheme="minorEastAsia" w:cstheme="minorEastAsia"/>
          <w:color w:val="auto"/>
          <w:szCs w:val="24"/>
          <w:highlight w:val="none"/>
          <w:lang w:eastAsia="zh-CN"/>
        </w:rPr>
      </w:pPr>
      <w:r>
        <w:rPr>
          <w:rFonts w:hint="eastAsia" w:asciiTheme="minorEastAsia" w:hAnsiTheme="minorEastAsia" w:eastAsiaTheme="minorEastAsia" w:cstheme="minorEastAsia"/>
          <w:color w:val="auto"/>
          <w:szCs w:val="24"/>
          <w:highlight w:val="none"/>
          <w:lang w:eastAsia="zh-CN"/>
        </w:rPr>
        <w:t>（5）疾病处理。质保期内，若待训警犬出现普通疾病（普通疾病范畴界定为因日常饲养环境、常见病原体感染等引发的一般性病症，如感冒、轻度肠胃不适、体表寄生虫感染等，不包含因先天性遗传缺陷、烈性传染病以及甲方不当饲养等导致的疾病），乙方应无偿提供全面的医疗服务保障，包括但不限于诊断、治疗方案制定、药品供应及必要的护理指导。若待训警犬患病周期连续7个日历日仍无明显好转迹象（“无明显好转”以具备专业资质的兽医机构出具的诊断报告为判定依据），乙方需无偿为甲方更换一只在品种、年龄、健康状况、训练潜力等方面均与原待训警犬具有同等价值的犬只。更换过程中所产生的运输、检疫等相关费用，均由乙方承担。</w:t>
      </w:r>
    </w:p>
    <w:p w14:paraId="40221492">
      <w:pPr>
        <w:pStyle w:val="21"/>
        <w:spacing w:line="360" w:lineRule="auto"/>
        <w:ind w:left="425" w:hanging="425"/>
        <w:rPr>
          <w:rFonts w:hint="eastAsia" w:asciiTheme="minorEastAsia" w:hAnsiTheme="minorEastAsia" w:eastAsiaTheme="minorEastAsia" w:cstheme="minorEastAsia"/>
          <w:color w:val="auto"/>
          <w:szCs w:val="24"/>
          <w:highlight w:val="none"/>
          <w:lang w:eastAsia="zh-CN"/>
        </w:rPr>
      </w:pPr>
      <w:r>
        <w:rPr>
          <w:rFonts w:hint="eastAsia" w:asciiTheme="minorEastAsia" w:hAnsiTheme="minorEastAsia" w:eastAsiaTheme="minorEastAsia" w:cstheme="minorEastAsia"/>
          <w:color w:val="auto"/>
          <w:szCs w:val="24"/>
          <w:highlight w:val="none"/>
          <w:lang w:eastAsia="zh-CN"/>
        </w:rPr>
        <w:t>（6）疾病预防与应急处理预案：供应商应制定严格的饲养环境卫生标准，犬舍温度保持在18-25摄氏度，湿度控制在40%-60%，每日对犬舍进行清洁消毒，消毒方式采用符合国家动物防疫标准的消毒剂进行喷雾消毒和紫外线照射消毒。应急处理预案方面，供应商在接到犬只疾病报告后，兽医人员须在2小时内到达现场。对于一般性疾病，3天内制定并实施治疗方案；对于烈性传染病，1小时内启动隔离措施，按照国家动物疫病防控中心发布的相关疫病防控技术规范进行处理，并及时向甲方及当地动物防疫部门报告疫情。</w:t>
      </w:r>
    </w:p>
    <w:p w14:paraId="74D7D180">
      <w:pPr>
        <w:pStyle w:val="21"/>
        <w:spacing w:line="360" w:lineRule="auto"/>
        <w:ind w:left="425" w:hanging="425"/>
        <w:rPr>
          <w:rFonts w:hint="eastAsia" w:asciiTheme="minorEastAsia" w:hAnsiTheme="minorEastAsia" w:eastAsiaTheme="minorEastAsia" w:cstheme="minorEastAsia"/>
          <w:color w:val="auto"/>
          <w:szCs w:val="24"/>
          <w:highlight w:val="none"/>
          <w:lang w:eastAsia="zh-CN"/>
        </w:rPr>
      </w:pPr>
      <w:r>
        <w:rPr>
          <w:rFonts w:hint="eastAsia" w:asciiTheme="minorEastAsia" w:hAnsiTheme="minorEastAsia" w:eastAsiaTheme="minorEastAsia" w:cstheme="minorEastAsia"/>
          <w:color w:val="auto"/>
          <w:szCs w:val="24"/>
          <w:highlight w:val="none"/>
          <w:lang w:eastAsia="zh-CN"/>
        </w:rPr>
        <w:t>（7）乙方需每月初回访购买待训警犬的甲方，了解犬只训练进展、健康状况等信息，解答甲方在训练过程中遇到的问题，为甲方提供持续的技术支持和指导。</w:t>
      </w:r>
    </w:p>
    <w:p w14:paraId="1B7E37BB">
      <w:pPr>
        <w:pStyle w:val="21"/>
        <w:spacing w:line="360" w:lineRule="auto"/>
        <w:ind w:left="425" w:hanging="425"/>
        <w:rPr>
          <w:rFonts w:hint="eastAsia" w:asciiTheme="minorEastAsia" w:hAnsiTheme="minorEastAsia" w:eastAsiaTheme="minorEastAsia" w:cstheme="minorEastAsia"/>
          <w:color w:val="auto"/>
          <w:szCs w:val="24"/>
          <w:highlight w:val="none"/>
          <w:lang w:eastAsia="zh-CN"/>
        </w:rPr>
      </w:pPr>
      <w:r>
        <w:rPr>
          <w:rFonts w:hint="eastAsia" w:asciiTheme="minorEastAsia" w:hAnsiTheme="minorEastAsia" w:eastAsiaTheme="minorEastAsia" w:cstheme="minorEastAsia"/>
          <w:color w:val="auto"/>
          <w:szCs w:val="24"/>
          <w:highlight w:val="none"/>
          <w:lang w:eastAsia="zh-CN"/>
        </w:rPr>
        <w:t>（8）根据甲方培训计划情况，乙方需配合甲方完成所供待训警犬工作证的办理工作，工作犬证需由中国工作犬管理协会出具。</w:t>
      </w:r>
    </w:p>
    <w:bookmarkEnd w:id="186"/>
    <w:p w14:paraId="3226BC00">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rPr>
      </w:pPr>
      <w:bookmarkStart w:id="187" w:name="_Toc432684951"/>
      <w:bookmarkStart w:id="188" w:name="_Toc427666539"/>
      <w:bookmarkStart w:id="189" w:name="_Toc16110"/>
      <w:bookmarkStart w:id="190" w:name="_Toc480316132"/>
      <w:bookmarkStart w:id="191" w:name="_Toc31511"/>
      <w:bookmarkStart w:id="192" w:name="_Toc479943870"/>
      <w:r>
        <w:rPr>
          <w:rFonts w:hint="eastAsia" w:asciiTheme="minorEastAsia" w:hAnsiTheme="minorEastAsia" w:eastAsiaTheme="minorEastAsia" w:cstheme="minorEastAsia"/>
          <w:color w:val="auto"/>
          <w:sz w:val="24"/>
          <w:szCs w:val="24"/>
          <w:highlight w:val="none"/>
        </w:rPr>
        <w:t>十五、不可抗力</w:t>
      </w:r>
      <w:bookmarkEnd w:id="187"/>
      <w:bookmarkEnd w:id="188"/>
      <w:bookmarkEnd w:id="189"/>
      <w:bookmarkEnd w:id="190"/>
      <w:bookmarkEnd w:id="191"/>
      <w:bookmarkEnd w:id="192"/>
    </w:p>
    <w:p w14:paraId="2E556216">
      <w:pPr>
        <w:numPr>
          <w:ilvl w:val="0"/>
          <w:numId w:val="11"/>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如果任何</w:t>
      </w:r>
      <w:bookmarkStart w:id="193" w:name="_Toc399165024"/>
      <w:r>
        <w:rPr>
          <w:rFonts w:hint="eastAsia" w:asciiTheme="minorEastAsia" w:hAnsiTheme="minorEastAsia" w:eastAsiaTheme="minorEastAsia" w:cstheme="minorEastAsia"/>
          <w:color w:val="auto"/>
          <w:sz w:val="24"/>
          <w:szCs w:val="24"/>
          <w:highlight w:val="none"/>
          <w:lang w:eastAsia="zh-CN"/>
        </w:rPr>
        <w:t>一方当事</w:t>
      </w:r>
      <w:bookmarkEnd w:id="193"/>
      <w:r>
        <w:rPr>
          <w:rFonts w:hint="eastAsia" w:asciiTheme="minorEastAsia" w:hAnsiTheme="minorEastAsia" w:eastAsiaTheme="minorEastAsia" w:cstheme="minorEastAsia"/>
          <w:color w:val="auto"/>
          <w:sz w:val="24"/>
          <w:szCs w:val="24"/>
          <w:highlight w:val="none"/>
          <w:lang w:eastAsia="zh-CN"/>
        </w:rPr>
        <w:t>人受诸如战争、严重的火灾、台风、地震、洪水以及其他不能预见、不能避免且不能克服的事件的影响而无法履行合同项下的任何义务，受影响的一方当事人应将此类事件的发生以传真方式通知另一方当事人并应在不可抗力事件发生后10天内以航空挂号信将有关当局或机构出具的证明文件提交给另一方当事人。</w:t>
      </w:r>
    </w:p>
    <w:p w14:paraId="4840584F">
      <w:pPr>
        <w:numPr>
          <w:ilvl w:val="0"/>
          <w:numId w:val="11"/>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由于不可抗力的原因造成乙方不能按合同规定供货时，乙方应立即以本条第1款方式通告甲方，证明事故的存在。在不可抗力事件发生后，双方应努力寻求采取合理的方案履行不受不可抗力影响的其他事项。如人力不可抗拒因素继续存在，致使在合同规定的供货期后三十天内仍不能供货，甲方则有权解除合同，这时，买卖双方均不互提出索赔。甲方不承担终止合同的责任，也不可没收履约保证金。</w:t>
      </w:r>
    </w:p>
    <w:p w14:paraId="59E15973">
      <w:pPr>
        <w:pStyle w:val="2"/>
        <w:rPr>
          <w:rFonts w:hint="eastAsia" w:asciiTheme="minorEastAsia" w:hAnsiTheme="minorEastAsia" w:eastAsiaTheme="minorEastAsia" w:cstheme="minorEastAsia"/>
          <w:color w:val="auto"/>
          <w:sz w:val="24"/>
          <w:szCs w:val="24"/>
          <w:highlight w:val="none"/>
          <w:lang w:eastAsia="zh-CN"/>
        </w:rPr>
      </w:pPr>
      <w:bookmarkStart w:id="194" w:name="_Toc9077"/>
      <w:r>
        <w:rPr>
          <w:rFonts w:hint="eastAsia" w:asciiTheme="minorEastAsia" w:hAnsiTheme="minorEastAsia" w:eastAsiaTheme="minorEastAsia" w:cstheme="minorEastAsia"/>
          <w:color w:val="auto"/>
          <w:sz w:val="24"/>
          <w:szCs w:val="24"/>
          <w:highlight w:val="none"/>
          <w:lang w:eastAsia="zh-CN"/>
        </w:rPr>
        <w:t>3.不可抗力发生在迟延履行期间的，不免除乙方的责任。</w:t>
      </w:r>
      <w:bookmarkEnd w:id="194"/>
    </w:p>
    <w:p w14:paraId="000A1AC1">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lang w:eastAsia="zh-CN"/>
        </w:rPr>
      </w:pPr>
      <w:bookmarkStart w:id="195" w:name="_Toc28119"/>
      <w:bookmarkStart w:id="196" w:name="_Toc427666540"/>
      <w:bookmarkStart w:id="197" w:name="_Toc432684952"/>
      <w:bookmarkStart w:id="198" w:name="_Toc479943871"/>
      <w:bookmarkStart w:id="199" w:name="_Toc480316133"/>
      <w:bookmarkStart w:id="200" w:name="_Toc12949"/>
      <w:r>
        <w:rPr>
          <w:rFonts w:hint="eastAsia" w:asciiTheme="minorEastAsia" w:hAnsiTheme="minorEastAsia" w:eastAsiaTheme="minorEastAsia" w:cstheme="minorEastAsia"/>
          <w:color w:val="auto"/>
          <w:sz w:val="24"/>
          <w:szCs w:val="24"/>
          <w:highlight w:val="none"/>
          <w:lang w:eastAsia="zh-CN"/>
        </w:rPr>
        <w:t>十六、违约条款</w:t>
      </w:r>
      <w:bookmarkEnd w:id="195"/>
      <w:bookmarkEnd w:id="196"/>
      <w:bookmarkEnd w:id="197"/>
      <w:bookmarkEnd w:id="198"/>
      <w:bookmarkEnd w:id="199"/>
      <w:bookmarkEnd w:id="200"/>
    </w:p>
    <w:p w14:paraId="4ACE52EF">
      <w:p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乙方所交待训犬品种、质量等不符合规定的，如果甲方同意利用，应当按质论价，如果甲方不同意利用的，应根据待训犬的具体情况，由乙方负责包换，并承担调换或退货而支付的一切费用。乙方不能按照甲方要求调换的，按不能供货处理。</w:t>
      </w:r>
    </w:p>
    <w:p w14:paraId="14A5C056">
      <w:p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除不可抗力原因外，如因乙方的原因造成项目延期，或者逾期履行、完成任何一项义务的，每延误一日，乙方向甲方按合同总额的1%支付违约金，不足一天按一天计算，直至供货或提供服务为止，误期支付的违约金最高限额为合同总额的20%。造成项目延期   日或逾期履行、完成任何一项义务超过    日时，甲方有权解除合同。乙方应当向甲方返还甲方已支付的全部款项。同时，乙方应按本合同总价的  %向甲方支付违约金并承担因此给乙方带来的全部损失。</w:t>
      </w:r>
    </w:p>
    <w:p w14:paraId="221A30D7">
      <w:p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3.乙方保证，于本合同签订时及履行过程中持续具备开展本合同项下工作所必须的一切合法有效的主体资格、业务资质。否则，甲方有权解除本合同，并追究乙方相应违约责任。</w:t>
      </w:r>
    </w:p>
    <w:p w14:paraId="7BEC4AD2">
      <w:p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4.乙方保证，严格按照国家法律法规规定、各专业规范要求以及本合同约定开展工作。如发现乙方未能按时、按质、按量提供服务的，甲方有权提出限期整改的要求，整改期届满而整改仍未能通过的，甲方有权解除本合同，并要求乙方承担相应违约责任，并应按照合同总额的20%向甲方支付违约金。</w:t>
      </w:r>
    </w:p>
    <w:p w14:paraId="68A7F5AB">
      <w:p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5.乙方保证，为开展本合同项下工作所配备的服务代表等全部人员均为正式在册人员、均具备开展工作的合法资质，而不得使用挂靠队伍。乙方应对人员在工作中的安全负责，如发生人员安全事故，乙方负责处理并承担全部责任。</w:t>
      </w:r>
    </w:p>
    <w:p w14:paraId="11256A58">
      <w:pPr>
        <w:spacing w:line="360" w:lineRule="auto"/>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 乙方保证，独立完成本合同项下工作，不得分包、转包任何工作。否则，甲方有权解除本合同，并要求乙方承担相应违约责任，并应按照合同总额的20%向甲方支付违约金。</w:t>
      </w:r>
    </w:p>
    <w:p w14:paraId="511FC76C">
      <w:pPr>
        <w:spacing w:line="360" w:lineRule="auto"/>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7.乙方未按合同及相关附件约定的日期、方案、人员、内容等条款履行合同的，每违约1次或1日，应向甲方支付合同总价款1%的违约金；如本合同期限内违约行为累计超过3次或累计违约超过10日的，甲方可单方解除合同并要求乙方退还全部已付合同费用。</w:t>
      </w:r>
    </w:p>
    <w:p w14:paraId="76B6A08C">
      <w:pPr>
        <w:spacing w:line="360" w:lineRule="auto"/>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8.如因甲方自身原因造成乙方供货期延误，经双方确认后供货期相应顺延，双方互不承担违约责任。</w:t>
      </w:r>
    </w:p>
    <w:p w14:paraId="2820D659">
      <w:pPr>
        <w:spacing w:line="360" w:lineRule="auto"/>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9.质量保证期内，如果待训犬的数量、质量与合同不符，或证实待训犬是有缺陷的，包括潜在的缺陷或达不到训练使用要求等，乙方在收到通知后3日内免费更换有缺陷的待训犬。如果乙方在收到通知后7日内没有弥补缺陷，甲方可采取必要的补救措施，由此产生的费用由乙方承担。</w:t>
      </w:r>
    </w:p>
    <w:p w14:paraId="72DFCFDA">
      <w:p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10.如因乙方差误造成工作出现问题，乙方应立即负责采取补救措施予以解决，并赔偿由此给甲方造成的一切损失，同时甲方有权拒绝支付这部分费用，已经支付的乙方应当立即返还，返还时按照同期中国人民银行贷款利率计付利息，并按照总额的10%向甲方支付违约金。</w:t>
      </w:r>
    </w:p>
    <w:p w14:paraId="6433488F">
      <w:p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11.本合同中对于甲方付款和乙方交付使用有先决条件的约定，按约定执行。</w:t>
      </w:r>
    </w:p>
    <w:p w14:paraId="6E4021A5">
      <w:p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12.乙方应按本合同约定履行义务，若乙方违约，甲方有权单方解除合同，给甲方造成损失的，乙方需向甲方承担赔偿责任，其承担范围包括但不限于：违约金、直接损失、间接损失，甲方因此受到的处罚以及因此受到的损失，甲方因此向第三方承担的违约责任、赔偿责任、实现债权的全部费用，还包括但不限于诉讼费、保全费、诉责险费、鉴定费、律师费、差旅费、公证费、仲裁费、公告费、执行费、拍卖费、担保费、住宿费等费用）。</w:t>
      </w:r>
    </w:p>
    <w:p w14:paraId="24ADE15A">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rPr>
      </w:pPr>
      <w:bookmarkStart w:id="201" w:name="_Toc432684953"/>
      <w:bookmarkStart w:id="202" w:name="_Toc479943872"/>
      <w:bookmarkStart w:id="203" w:name="_Toc480316134"/>
      <w:bookmarkStart w:id="204" w:name="_Toc6518"/>
      <w:bookmarkStart w:id="205" w:name="_Toc427666541"/>
      <w:bookmarkStart w:id="206" w:name="_Toc20720"/>
      <w:r>
        <w:rPr>
          <w:rFonts w:hint="eastAsia" w:asciiTheme="minorEastAsia" w:hAnsiTheme="minorEastAsia" w:eastAsiaTheme="minorEastAsia" w:cstheme="minorEastAsia"/>
          <w:color w:val="auto"/>
          <w:sz w:val="24"/>
          <w:szCs w:val="24"/>
          <w:highlight w:val="none"/>
        </w:rPr>
        <w:t>十七、产权与风险转移</w:t>
      </w:r>
      <w:bookmarkEnd w:id="201"/>
      <w:bookmarkEnd w:id="202"/>
      <w:bookmarkEnd w:id="203"/>
      <w:bookmarkEnd w:id="204"/>
      <w:bookmarkEnd w:id="205"/>
      <w:bookmarkEnd w:id="206"/>
    </w:p>
    <w:p w14:paraId="4C0AF893">
      <w:pPr>
        <w:numPr>
          <w:ilvl w:val="0"/>
          <w:numId w:val="12"/>
        </w:numPr>
        <w:spacing w:line="360" w:lineRule="auto"/>
        <w:jc w:val="both"/>
        <w:rPr>
          <w:rFonts w:hint="eastAsia" w:asciiTheme="minorEastAsia" w:hAnsiTheme="minorEastAsia" w:eastAsiaTheme="minorEastAsia" w:cstheme="minorEastAsia"/>
          <w:color w:val="auto"/>
          <w:sz w:val="24"/>
          <w:szCs w:val="24"/>
          <w:highlight w:val="none"/>
          <w:lang w:eastAsia="zh-CN"/>
        </w:rPr>
      </w:pPr>
      <w:bookmarkStart w:id="207" w:name="_Toc399165026"/>
      <w:r>
        <w:rPr>
          <w:rFonts w:hint="eastAsia" w:asciiTheme="minorEastAsia" w:hAnsiTheme="minorEastAsia" w:eastAsiaTheme="minorEastAsia" w:cstheme="minorEastAsia"/>
          <w:color w:val="auto"/>
          <w:sz w:val="24"/>
          <w:szCs w:val="24"/>
          <w:highlight w:val="none"/>
          <w:lang w:eastAsia="zh-CN"/>
        </w:rPr>
        <w:t>待训犬的产权自到货</w:t>
      </w:r>
      <w:bookmarkEnd w:id="207"/>
      <w:r>
        <w:rPr>
          <w:rFonts w:hint="eastAsia" w:asciiTheme="minorEastAsia" w:hAnsiTheme="minorEastAsia" w:eastAsiaTheme="minorEastAsia" w:cstheme="minorEastAsia"/>
          <w:color w:val="auto"/>
          <w:sz w:val="24"/>
          <w:szCs w:val="24"/>
          <w:highlight w:val="none"/>
          <w:lang w:eastAsia="zh-CN"/>
        </w:rPr>
        <w:t>验收合格之日起由乙方转移至甲方。</w:t>
      </w:r>
    </w:p>
    <w:p w14:paraId="76084779">
      <w:pPr>
        <w:numPr>
          <w:ilvl w:val="0"/>
          <w:numId w:val="12"/>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待训犬损坏、灭失的风险在产权转移的同时由乙方转移至甲方。</w:t>
      </w:r>
    </w:p>
    <w:p w14:paraId="68BEB097">
      <w:pPr>
        <w:numPr>
          <w:ilvl w:val="0"/>
          <w:numId w:val="12"/>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在拒收情况下，或者解除合同时，待训犬毁损、灭失的风险由乙方承担。</w:t>
      </w:r>
    </w:p>
    <w:p w14:paraId="44BA690D">
      <w:pPr>
        <w:numPr>
          <w:ilvl w:val="0"/>
          <w:numId w:val="12"/>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产权和风险的转移，不影响因乙方不按约定履行义务时，甲方要求其承担违约责任的权利。</w:t>
      </w:r>
    </w:p>
    <w:p w14:paraId="02B549CF">
      <w:pPr>
        <w:numPr>
          <w:ilvl w:val="0"/>
          <w:numId w:val="12"/>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乙方交由承运人运输的在途货物，毁损、灭失的风险由乙方承担。</w:t>
      </w:r>
      <w:r>
        <w:rPr>
          <w:rFonts w:hint="eastAsia" w:asciiTheme="minorEastAsia" w:hAnsiTheme="minorEastAsia" w:eastAsiaTheme="minorEastAsia" w:cstheme="minorEastAsia"/>
          <w:color w:val="auto"/>
          <w:sz w:val="24"/>
          <w:szCs w:val="24"/>
          <w:highlight w:val="none"/>
          <w:lang w:eastAsia="zh-CN"/>
        </w:rPr>
        <w:tab/>
      </w:r>
    </w:p>
    <w:p w14:paraId="27095C5D">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lang w:eastAsia="zh-CN"/>
        </w:rPr>
      </w:pPr>
      <w:bookmarkStart w:id="208" w:name="_Toc427666542"/>
      <w:bookmarkStart w:id="209" w:name="_Toc31452"/>
      <w:bookmarkStart w:id="210" w:name="_Toc18501"/>
      <w:bookmarkStart w:id="211" w:name="_Toc432684954"/>
      <w:bookmarkStart w:id="212" w:name="_Toc480316135"/>
      <w:bookmarkStart w:id="213" w:name="_Toc479943873"/>
      <w:r>
        <w:rPr>
          <w:rFonts w:hint="eastAsia" w:asciiTheme="minorEastAsia" w:hAnsiTheme="minorEastAsia" w:eastAsiaTheme="minorEastAsia" w:cstheme="minorEastAsia"/>
          <w:color w:val="auto"/>
          <w:sz w:val="24"/>
          <w:szCs w:val="24"/>
          <w:highlight w:val="none"/>
          <w:lang w:eastAsia="zh-CN"/>
        </w:rPr>
        <w:t>十八、合同变更</w:t>
      </w:r>
      <w:bookmarkEnd w:id="208"/>
      <w:bookmarkEnd w:id="209"/>
      <w:bookmarkEnd w:id="210"/>
      <w:bookmarkEnd w:id="211"/>
      <w:bookmarkEnd w:id="212"/>
      <w:bookmarkEnd w:id="213"/>
    </w:p>
    <w:p w14:paraId="6366F3C7">
      <w:pPr>
        <w:spacing w:line="360" w:lineRule="auto"/>
        <w:ind w:left="425" w:hanging="42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1.乙方根据</w:t>
      </w:r>
      <w:bookmarkStart w:id="214" w:name="_Toc399165027"/>
      <w:r>
        <w:rPr>
          <w:rFonts w:hint="eastAsia" w:asciiTheme="minorEastAsia" w:hAnsiTheme="minorEastAsia" w:eastAsiaTheme="minorEastAsia" w:cstheme="minorEastAsia"/>
          <w:color w:val="auto"/>
          <w:sz w:val="24"/>
          <w:szCs w:val="24"/>
          <w:highlight w:val="none"/>
          <w:lang w:eastAsia="zh-CN"/>
        </w:rPr>
        <w:t>现场实际</w:t>
      </w:r>
      <w:bookmarkEnd w:id="214"/>
      <w:r>
        <w:rPr>
          <w:rFonts w:hint="eastAsia" w:asciiTheme="minorEastAsia" w:hAnsiTheme="minorEastAsia" w:eastAsiaTheme="minorEastAsia" w:cstheme="minorEastAsia"/>
          <w:color w:val="auto"/>
          <w:sz w:val="24"/>
          <w:szCs w:val="24"/>
          <w:highlight w:val="none"/>
          <w:lang w:eastAsia="zh-CN"/>
        </w:rPr>
        <w:t>情况，确实需变更原合同约定的货物，乙方应预先提出变更清单对照表及其变更的理由和证椐，经甲方确认后实施（双方法定代表人或授权代表签署并盖章的文件作为合同附件）。</w:t>
      </w:r>
    </w:p>
    <w:p w14:paraId="7DC371BA">
      <w:pPr>
        <w:spacing w:line="360" w:lineRule="auto"/>
        <w:ind w:left="425" w:hanging="42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2.无论乙方提供的货物是按原合同的要求或根据现场实际情况变更后的货物，乙方都不能免除对货物应承担的责任。</w:t>
      </w:r>
    </w:p>
    <w:p w14:paraId="787B4A38">
      <w:pPr>
        <w:spacing w:line="360" w:lineRule="auto"/>
        <w:ind w:left="425" w:hanging="42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3.因甲方的原因变更合同货物的，甲方应书面通知乙方，双方协商后签署有关变更文件。</w:t>
      </w:r>
    </w:p>
    <w:p w14:paraId="4C0E252F">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lang w:eastAsia="zh-CN"/>
        </w:rPr>
      </w:pPr>
      <w:bookmarkStart w:id="215" w:name="_Toc22201"/>
      <w:bookmarkStart w:id="216" w:name="_Toc30115"/>
      <w:bookmarkStart w:id="217" w:name="_Toc427666543"/>
      <w:bookmarkStart w:id="218" w:name="_Toc480316136"/>
      <w:bookmarkStart w:id="219" w:name="_Toc479943874"/>
      <w:bookmarkStart w:id="220" w:name="_Toc432684955"/>
      <w:r>
        <w:rPr>
          <w:rFonts w:hint="eastAsia" w:asciiTheme="minorEastAsia" w:hAnsiTheme="minorEastAsia" w:eastAsiaTheme="minorEastAsia" w:cstheme="minorEastAsia"/>
          <w:color w:val="auto"/>
          <w:sz w:val="24"/>
          <w:szCs w:val="24"/>
          <w:highlight w:val="none"/>
          <w:lang w:eastAsia="zh-CN"/>
        </w:rPr>
        <w:t>十九、违约终止合同</w:t>
      </w:r>
      <w:bookmarkEnd w:id="215"/>
      <w:bookmarkEnd w:id="216"/>
      <w:bookmarkEnd w:id="217"/>
      <w:bookmarkEnd w:id="218"/>
      <w:bookmarkEnd w:id="219"/>
      <w:bookmarkEnd w:id="220"/>
    </w:p>
    <w:p w14:paraId="4A49ED70">
      <w:pPr>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除本合同另有规定外，乙方未经甲方同意单方面终止本合同，则应按照本合同总金额的30%向甲方支付违约金。</w:t>
      </w:r>
    </w:p>
    <w:p w14:paraId="0F457EB3">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lang w:eastAsia="zh-CN"/>
        </w:rPr>
      </w:pPr>
      <w:bookmarkStart w:id="221" w:name="_Toc480316137"/>
      <w:bookmarkStart w:id="222" w:name="_Toc479943875"/>
      <w:bookmarkStart w:id="223" w:name="_Toc19241"/>
      <w:bookmarkStart w:id="224" w:name="_Toc1306"/>
      <w:bookmarkStart w:id="225" w:name="_Toc427666544"/>
      <w:bookmarkStart w:id="226" w:name="_Toc432684956"/>
      <w:r>
        <w:rPr>
          <w:rFonts w:hint="eastAsia" w:asciiTheme="minorEastAsia" w:hAnsiTheme="minorEastAsia" w:eastAsiaTheme="minorEastAsia" w:cstheme="minorEastAsia"/>
          <w:color w:val="auto"/>
          <w:sz w:val="24"/>
          <w:szCs w:val="24"/>
          <w:highlight w:val="none"/>
          <w:lang w:eastAsia="zh-CN"/>
        </w:rPr>
        <w:t>二十、争端的解决和法律适</w:t>
      </w:r>
      <w:bookmarkStart w:id="227" w:name="_Toc399165028"/>
      <w:r>
        <w:rPr>
          <w:rFonts w:hint="eastAsia" w:asciiTheme="minorEastAsia" w:hAnsiTheme="minorEastAsia" w:eastAsiaTheme="minorEastAsia" w:cstheme="minorEastAsia"/>
          <w:color w:val="auto"/>
          <w:sz w:val="24"/>
          <w:szCs w:val="24"/>
          <w:highlight w:val="none"/>
          <w:lang w:eastAsia="zh-CN"/>
        </w:rPr>
        <w:t>用</w:t>
      </w:r>
      <w:bookmarkEnd w:id="221"/>
      <w:bookmarkEnd w:id="222"/>
      <w:bookmarkEnd w:id="223"/>
      <w:bookmarkEnd w:id="224"/>
      <w:bookmarkEnd w:id="225"/>
      <w:bookmarkEnd w:id="226"/>
    </w:p>
    <w:p w14:paraId="1D2AED59">
      <w:pPr>
        <w:numPr>
          <w:ilvl w:val="0"/>
          <w:numId w:val="13"/>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合同实施或与合同</w:t>
      </w:r>
      <w:bookmarkEnd w:id="227"/>
      <w:r>
        <w:rPr>
          <w:rFonts w:hint="eastAsia" w:asciiTheme="minorEastAsia" w:hAnsiTheme="minorEastAsia" w:eastAsiaTheme="minorEastAsia" w:cstheme="minorEastAsia"/>
          <w:color w:val="auto"/>
          <w:sz w:val="24"/>
          <w:szCs w:val="24"/>
          <w:highlight w:val="none"/>
          <w:lang w:eastAsia="zh-CN"/>
        </w:rPr>
        <w:t>有关的一切争端应通过双方友好协商解决。如果友好协商开始后还不能解决，任何一方都可向甲方所在地有管辖权的人民法院提起诉讼解决。</w:t>
      </w:r>
    </w:p>
    <w:p w14:paraId="0B05F27F">
      <w:pPr>
        <w:numPr>
          <w:ilvl w:val="0"/>
          <w:numId w:val="13"/>
        </w:numPr>
        <w:spacing w:line="360" w:lineRule="auto"/>
        <w:jc w:val="both"/>
        <w:rPr>
          <w:rFonts w:hint="eastAsia" w:asciiTheme="minorEastAsia" w:hAnsiTheme="minorEastAsia" w:eastAsiaTheme="minorEastAsia" w:cstheme="minorEastAsia"/>
          <w:color w:val="auto"/>
          <w:sz w:val="24"/>
          <w:szCs w:val="24"/>
          <w:highlight w:val="none"/>
          <w:lang w:eastAsia="zh-CN"/>
        </w:rPr>
      </w:pPr>
      <w:bookmarkStart w:id="228" w:name="_Toc23293"/>
      <w:r>
        <w:rPr>
          <w:rFonts w:hint="eastAsia" w:asciiTheme="minorEastAsia" w:hAnsiTheme="minorEastAsia" w:eastAsiaTheme="minorEastAsia" w:cstheme="minorEastAsia"/>
          <w:color w:val="auto"/>
          <w:sz w:val="24"/>
          <w:szCs w:val="24"/>
          <w:highlight w:val="none"/>
          <w:lang w:eastAsia="zh-CN"/>
        </w:rPr>
        <w:t>本合同应按照中华人民共和国现行法律进行解释。</w:t>
      </w:r>
      <w:bookmarkEnd w:id="228"/>
    </w:p>
    <w:p w14:paraId="22E4DDB8">
      <w:pPr>
        <w:numPr>
          <w:ilvl w:val="0"/>
          <w:numId w:val="13"/>
        </w:numPr>
        <w:spacing w:line="360" w:lineRule="auto"/>
        <w:ind w:left="0" w:firstLine="0"/>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若双方同意，如果双方之间的纠纷以诉讼方式解决的，人民法院可以按照本合同“通知”条款约定的双方地址、联系人、电子邮箱号码完成民事审判中的所有送达程序，双方均无异议。</w:t>
      </w:r>
    </w:p>
    <w:p w14:paraId="2E744616">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rPr>
      </w:pPr>
      <w:bookmarkStart w:id="229" w:name="_Toc479943876"/>
      <w:bookmarkStart w:id="230" w:name="_Toc432684957"/>
      <w:bookmarkStart w:id="231" w:name="_Toc427666545"/>
      <w:bookmarkStart w:id="232" w:name="_Toc32036"/>
      <w:bookmarkStart w:id="233" w:name="_Toc480316138"/>
      <w:bookmarkStart w:id="234" w:name="_Toc363"/>
      <w:r>
        <w:rPr>
          <w:rFonts w:hint="eastAsia" w:asciiTheme="minorEastAsia" w:hAnsiTheme="minorEastAsia" w:eastAsiaTheme="minorEastAsia" w:cstheme="minorEastAsia"/>
          <w:color w:val="auto"/>
          <w:sz w:val="24"/>
          <w:szCs w:val="24"/>
          <w:highlight w:val="none"/>
        </w:rPr>
        <w:t>二十一、通知</w:t>
      </w:r>
      <w:bookmarkEnd w:id="229"/>
      <w:bookmarkEnd w:id="230"/>
      <w:bookmarkEnd w:id="231"/>
      <w:bookmarkEnd w:id="232"/>
      <w:bookmarkEnd w:id="233"/>
      <w:bookmarkEnd w:id="234"/>
    </w:p>
    <w:p w14:paraId="0154372D">
      <w:pPr>
        <w:numPr>
          <w:ilvl w:val="0"/>
          <w:numId w:val="14"/>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本合同一方给</w:t>
      </w:r>
      <w:bookmarkStart w:id="235" w:name="_Toc399165029"/>
      <w:r>
        <w:rPr>
          <w:rFonts w:hint="eastAsia" w:asciiTheme="minorEastAsia" w:hAnsiTheme="minorEastAsia" w:eastAsiaTheme="minorEastAsia" w:cstheme="minorEastAsia"/>
          <w:color w:val="auto"/>
          <w:sz w:val="24"/>
          <w:szCs w:val="24"/>
          <w:highlight w:val="none"/>
          <w:lang w:eastAsia="zh-CN"/>
        </w:rPr>
        <w:t>对方</w:t>
      </w:r>
      <w:bookmarkEnd w:id="235"/>
      <w:r>
        <w:rPr>
          <w:rFonts w:hint="eastAsia" w:asciiTheme="minorEastAsia" w:hAnsiTheme="minorEastAsia" w:eastAsiaTheme="minorEastAsia" w:cstheme="minorEastAsia"/>
          <w:color w:val="auto"/>
          <w:sz w:val="24"/>
          <w:szCs w:val="24"/>
          <w:highlight w:val="none"/>
          <w:lang w:eastAsia="zh-CN"/>
        </w:rPr>
        <w:t>的通知应用书面形式送达合同中规定的对方的地址，电传或传真要经对方的书面确认。</w:t>
      </w:r>
    </w:p>
    <w:p w14:paraId="31D80138">
      <w:pPr>
        <w:numPr>
          <w:ilvl w:val="0"/>
          <w:numId w:val="14"/>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通知以送到日期或通知书的生效日期为生效日期，两者中以较晚的一个日期为准。</w:t>
      </w:r>
    </w:p>
    <w:p w14:paraId="266773FA">
      <w:pPr>
        <w:numPr>
          <w:ilvl w:val="0"/>
          <w:numId w:val="14"/>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一方向他方在本协议中标明的地址发送的通知、函件，以查无此人或收件人拒绝接收为由被退回的，视为已送达。一方变更通讯地址，应在变更事由发生后3日内以书面方式通知对方。因变更地址的一方未按协议约定及时通知他方地址变更事项而导致通知无法送达的，视为已送达。</w:t>
      </w:r>
    </w:p>
    <w:p w14:paraId="3769D3A0">
      <w:p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甲方指定的联系人为：         ，联系电话：   电子邮箱号码：</w:t>
      </w:r>
    </w:p>
    <w:p w14:paraId="59079137">
      <w:p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乙方指定的联系人为：         ，联系电话：   电子邮箱号码：</w:t>
      </w:r>
    </w:p>
    <w:p w14:paraId="6B10A669">
      <w:pPr>
        <w:spacing w:line="360" w:lineRule="auto"/>
        <w:ind w:firstLine="480" w:firstLineChars="200"/>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上述双方指定的联系人如需更换，应在更换后3日内以书面方式通知对方。</w:t>
      </w:r>
    </w:p>
    <w:p w14:paraId="14545EDA">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rPr>
      </w:pPr>
      <w:bookmarkStart w:id="236" w:name="_Toc432684958"/>
      <w:bookmarkStart w:id="237" w:name="_Toc14095"/>
      <w:bookmarkStart w:id="238" w:name="_Toc480316139"/>
      <w:bookmarkStart w:id="239" w:name="_Toc11583"/>
      <w:bookmarkStart w:id="240" w:name="_Toc427666546"/>
      <w:bookmarkStart w:id="241" w:name="_Toc479943877"/>
      <w:r>
        <w:rPr>
          <w:rFonts w:hint="eastAsia" w:asciiTheme="minorEastAsia" w:hAnsiTheme="minorEastAsia" w:eastAsiaTheme="minorEastAsia" w:cstheme="minorEastAsia"/>
          <w:color w:val="auto"/>
          <w:sz w:val="24"/>
          <w:szCs w:val="24"/>
          <w:highlight w:val="none"/>
        </w:rPr>
        <w:t>二十二、税和关税</w:t>
      </w:r>
      <w:bookmarkEnd w:id="236"/>
      <w:bookmarkEnd w:id="237"/>
      <w:bookmarkEnd w:id="238"/>
      <w:bookmarkEnd w:id="239"/>
      <w:bookmarkEnd w:id="240"/>
      <w:bookmarkEnd w:id="241"/>
    </w:p>
    <w:p w14:paraId="5192BBDF">
      <w:pPr>
        <w:numPr>
          <w:ilvl w:val="0"/>
          <w:numId w:val="15"/>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中国政府</w:t>
      </w:r>
      <w:bookmarkStart w:id="242" w:name="_Toc399165030"/>
      <w:r>
        <w:rPr>
          <w:rFonts w:hint="eastAsia" w:asciiTheme="minorEastAsia" w:hAnsiTheme="minorEastAsia" w:eastAsiaTheme="minorEastAsia" w:cstheme="minorEastAsia"/>
          <w:color w:val="auto"/>
          <w:sz w:val="24"/>
          <w:szCs w:val="24"/>
          <w:highlight w:val="none"/>
          <w:lang w:eastAsia="zh-CN"/>
        </w:rPr>
        <w:t>根据现行</w:t>
      </w:r>
      <w:bookmarkEnd w:id="242"/>
      <w:r>
        <w:rPr>
          <w:rFonts w:hint="eastAsia" w:asciiTheme="minorEastAsia" w:hAnsiTheme="minorEastAsia" w:eastAsiaTheme="minorEastAsia" w:cstheme="minorEastAsia"/>
          <w:color w:val="auto"/>
          <w:sz w:val="24"/>
          <w:szCs w:val="24"/>
          <w:highlight w:val="none"/>
          <w:lang w:eastAsia="zh-CN"/>
        </w:rPr>
        <w:t>税法对甲方征收的与本合同有关的一切税费均应由甲方负担。</w:t>
      </w:r>
    </w:p>
    <w:p w14:paraId="3C8D2A99">
      <w:pPr>
        <w:numPr>
          <w:ilvl w:val="0"/>
          <w:numId w:val="15"/>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中国政府根据现行的税法规定对乙方或其雇员征收的与本合同有关的一切税费（包括但不限于乙方为制造本合同项下的设备和部件的进口关税、所有货物的国内增值税）均应由乙方负担。</w:t>
      </w:r>
    </w:p>
    <w:p w14:paraId="61A65E40">
      <w:pPr>
        <w:numPr>
          <w:ilvl w:val="0"/>
          <w:numId w:val="15"/>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在中国境外发生的与本合同执行有关的一切税费均应由乙方负担。</w:t>
      </w:r>
    </w:p>
    <w:p w14:paraId="771F0578">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rPr>
      </w:pPr>
      <w:bookmarkStart w:id="243" w:name="_Toc30668"/>
      <w:bookmarkStart w:id="244" w:name="_Toc12027"/>
      <w:bookmarkStart w:id="245" w:name="_Toc432684959"/>
      <w:bookmarkStart w:id="246" w:name="_Toc480316140"/>
      <w:bookmarkStart w:id="247" w:name="_Toc427666547"/>
      <w:bookmarkStart w:id="248" w:name="_Toc479943878"/>
      <w:r>
        <w:rPr>
          <w:rFonts w:hint="eastAsia" w:asciiTheme="minorEastAsia" w:hAnsiTheme="minorEastAsia" w:eastAsiaTheme="minorEastAsia" w:cstheme="minorEastAsia"/>
          <w:color w:val="auto"/>
          <w:sz w:val="24"/>
          <w:szCs w:val="24"/>
          <w:highlight w:val="none"/>
        </w:rPr>
        <w:t>二十三、合同生效</w:t>
      </w:r>
      <w:bookmarkEnd w:id="243"/>
      <w:bookmarkEnd w:id="244"/>
      <w:bookmarkEnd w:id="245"/>
      <w:bookmarkEnd w:id="246"/>
      <w:bookmarkEnd w:id="247"/>
      <w:bookmarkEnd w:id="248"/>
    </w:p>
    <w:p w14:paraId="73333DEE">
      <w:pPr>
        <w:numPr>
          <w:ilvl w:val="0"/>
          <w:numId w:val="1"/>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合同经双</w:t>
      </w:r>
      <w:bookmarkStart w:id="249" w:name="_Toc399165031"/>
      <w:r>
        <w:rPr>
          <w:rFonts w:hint="eastAsia" w:asciiTheme="minorEastAsia" w:hAnsiTheme="minorEastAsia" w:eastAsiaTheme="minorEastAsia" w:cstheme="minorEastAsia"/>
          <w:color w:val="auto"/>
          <w:sz w:val="24"/>
          <w:szCs w:val="24"/>
          <w:highlight w:val="none"/>
          <w:lang w:eastAsia="zh-CN"/>
        </w:rPr>
        <w:t>方授权代</w:t>
      </w:r>
      <w:bookmarkEnd w:id="249"/>
      <w:r>
        <w:rPr>
          <w:rFonts w:hint="eastAsia" w:asciiTheme="minorEastAsia" w:hAnsiTheme="minorEastAsia" w:eastAsiaTheme="minorEastAsia" w:cstheme="minorEastAsia"/>
          <w:color w:val="auto"/>
          <w:sz w:val="24"/>
          <w:szCs w:val="24"/>
          <w:highlight w:val="none"/>
          <w:lang w:eastAsia="zh-CN"/>
        </w:rPr>
        <w:t>表签字盖章；</w:t>
      </w:r>
    </w:p>
    <w:p w14:paraId="502273B2">
      <w:pPr>
        <w:numPr>
          <w:ilvl w:val="0"/>
          <w:numId w:val="1"/>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满足上述第1条，以实现的日期为准本合同即时生效。</w:t>
      </w:r>
    </w:p>
    <w:p w14:paraId="287579D1">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rPr>
      </w:pPr>
      <w:bookmarkStart w:id="250" w:name="_Toc480316141"/>
      <w:bookmarkStart w:id="251" w:name="_Toc432684960"/>
      <w:bookmarkStart w:id="252" w:name="_Toc479943879"/>
      <w:bookmarkStart w:id="253" w:name="_Toc427666548"/>
      <w:bookmarkStart w:id="254" w:name="_Toc1806"/>
      <w:bookmarkStart w:id="255" w:name="_Toc15173"/>
      <w:r>
        <w:rPr>
          <w:rFonts w:hint="eastAsia" w:asciiTheme="minorEastAsia" w:hAnsiTheme="minorEastAsia" w:eastAsiaTheme="minorEastAsia" w:cstheme="minorEastAsia"/>
          <w:color w:val="auto"/>
          <w:sz w:val="24"/>
          <w:szCs w:val="24"/>
          <w:highlight w:val="none"/>
        </w:rPr>
        <w:t>二十四、其它</w:t>
      </w:r>
      <w:bookmarkEnd w:id="250"/>
      <w:bookmarkEnd w:id="251"/>
      <w:bookmarkEnd w:id="252"/>
      <w:bookmarkEnd w:id="253"/>
      <w:bookmarkEnd w:id="254"/>
      <w:bookmarkEnd w:id="255"/>
    </w:p>
    <w:p w14:paraId="19ABD642">
      <w:pPr>
        <w:numPr>
          <w:ilvl w:val="0"/>
          <w:numId w:val="16"/>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合同之所有附</w:t>
      </w:r>
      <w:bookmarkStart w:id="256" w:name="_Toc399165032"/>
      <w:r>
        <w:rPr>
          <w:rFonts w:hint="eastAsia" w:asciiTheme="minorEastAsia" w:hAnsiTheme="minorEastAsia" w:eastAsiaTheme="minorEastAsia" w:cstheme="minorEastAsia"/>
          <w:color w:val="auto"/>
          <w:sz w:val="24"/>
          <w:szCs w:val="24"/>
          <w:highlight w:val="none"/>
          <w:lang w:eastAsia="zh-CN"/>
        </w:rPr>
        <w:t>件均</w:t>
      </w:r>
      <w:bookmarkEnd w:id="256"/>
      <w:r>
        <w:rPr>
          <w:rFonts w:hint="eastAsia" w:asciiTheme="minorEastAsia" w:hAnsiTheme="minorEastAsia" w:eastAsiaTheme="minorEastAsia" w:cstheme="minorEastAsia"/>
          <w:color w:val="auto"/>
          <w:sz w:val="24"/>
          <w:szCs w:val="24"/>
          <w:highlight w:val="none"/>
          <w:lang w:eastAsia="zh-CN"/>
        </w:rPr>
        <w:t>为合同的有效组成部分，与本合同具有同样法律效力。</w:t>
      </w:r>
    </w:p>
    <w:p w14:paraId="7032A940">
      <w:pPr>
        <w:numPr>
          <w:ilvl w:val="0"/>
          <w:numId w:val="16"/>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在执行本合同的过程中，所有经买卖双方由法定代表人、授权代表签署确认并经双方加盖印章的文件（包括会议纪要、补充协议、往来信函）即成为本合同的有效组成部分，其生效日期为双方签字盖章或确认之日期。除非有特别说明，本合同所有有效组成部分中相矛盾的条款以生效日期较后的条款为准。</w:t>
      </w:r>
    </w:p>
    <w:p w14:paraId="2A23272D">
      <w:pPr>
        <w:numPr>
          <w:ilvl w:val="0"/>
          <w:numId w:val="16"/>
        </w:numPr>
        <w:spacing w:line="36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除甲方事先书面同意外，乙方不得部分或全部转让其应履行的合同项下的义务。</w:t>
      </w:r>
    </w:p>
    <w:p w14:paraId="51E2B8D5">
      <w:pPr>
        <w:numPr>
          <w:ilvl w:val="0"/>
          <w:numId w:val="16"/>
        </w:numPr>
        <w:spacing w:line="360" w:lineRule="auto"/>
        <w:jc w:val="both"/>
        <w:rPr>
          <w:rFonts w:hint="eastAsia" w:asciiTheme="minorEastAsia" w:hAnsiTheme="minorEastAsia" w:eastAsiaTheme="minorEastAsia" w:cstheme="minorEastAsia"/>
          <w:color w:val="auto"/>
          <w:sz w:val="24"/>
          <w:szCs w:val="24"/>
          <w:highlight w:val="none"/>
          <w:lang w:eastAsia="zh-CN"/>
        </w:rPr>
      </w:pPr>
      <w:bookmarkStart w:id="257" w:name="_Toc8125"/>
      <w:r>
        <w:rPr>
          <w:rFonts w:hint="eastAsia" w:asciiTheme="minorEastAsia" w:hAnsiTheme="minorEastAsia" w:eastAsiaTheme="minorEastAsia" w:cstheme="minorEastAsia"/>
          <w:color w:val="auto"/>
          <w:sz w:val="24"/>
          <w:szCs w:val="24"/>
          <w:highlight w:val="none"/>
          <w:lang w:eastAsia="zh-CN"/>
        </w:rPr>
        <w:t>本合同一式捌份，甲方执陆份，乙方执贰份。</w:t>
      </w:r>
      <w:bookmarkEnd w:id="257"/>
    </w:p>
    <w:p w14:paraId="0587A264">
      <w:pPr>
        <w:pStyle w:val="4"/>
        <w:pBdr>
          <w:bottom w:val="single" w:color="622423" w:sz="4" w:space="1"/>
        </w:pBdr>
        <w:spacing w:line="360" w:lineRule="auto"/>
        <w:jc w:val="center"/>
        <w:rPr>
          <w:rFonts w:hint="eastAsia" w:asciiTheme="minorEastAsia" w:hAnsiTheme="minorEastAsia" w:eastAsiaTheme="minorEastAsia" w:cstheme="minorEastAsia"/>
          <w:color w:val="auto"/>
          <w:sz w:val="24"/>
          <w:szCs w:val="24"/>
          <w:highlight w:val="none"/>
          <w:lang w:eastAsia="zh-CN"/>
        </w:rPr>
      </w:pPr>
      <w:bookmarkStart w:id="258" w:name="_Toc479943880"/>
      <w:bookmarkStart w:id="259" w:name="_Toc27826"/>
      <w:bookmarkStart w:id="260" w:name="_Toc480316142"/>
      <w:bookmarkStart w:id="261" w:name="_Toc26079"/>
      <w:r>
        <w:rPr>
          <w:rFonts w:hint="eastAsia" w:asciiTheme="minorEastAsia" w:hAnsiTheme="minorEastAsia" w:eastAsiaTheme="minorEastAsia" w:cstheme="minorEastAsia"/>
          <w:color w:val="auto"/>
          <w:sz w:val="24"/>
          <w:szCs w:val="24"/>
          <w:highlight w:val="none"/>
          <w:lang w:eastAsia="zh-CN"/>
        </w:rPr>
        <w:t>二十五、合同附件</w:t>
      </w:r>
      <w:bookmarkEnd w:id="258"/>
      <w:bookmarkEnd w:id="259"/>
      <w:bookmarkEnd w:id="260"/>
      <w:bookmarkEnd w:id="261"/>
    </w:p>
    <w:p w14:paraId="3220973B">
      <w:pPr>
        <w:spacing w:line="360" w:lineRule="auto"/>
        <w:rPr>
          <w:rFonts w:hint="eastAsia" w:asciiTheme="minorEastAsia" w:hAnsiTheme="minorEastAsia" w:eastAsiaTheme="minorEastAsia" w:cstheme="minorEastAsia"/>
          <w:color w:val="auto"/>
          <w:sz w:val="24"/>
          <w:szCs w:val="24"/>
          <w:highlight w:val="none"/>
          <w:lang w:eastAsia="zh-CN"/>
        </w:rPr>
      </w:pPr>
      <w:bookmarkStart w:id="262" w:name="_Toc30797"/>
      <w:r>
        <w:rPr>
          <w:rFonts w:hint="eastAsia" w:asciiTheme="minorEastAsia" w:hAnsiTheme="minorEastAsia" w:eastAsiaTheme="minorEastAsia" w:cstheme="minorEastAsia"/>
          <w:color w:val="auto"/>
          <w:sz w:val="24"/>
          <w:szCs w:val="24"/>
          <w:highlight w:val="none"/>
          <w:lang w:eastAsia="zh-CN"/>
        </w:rPr>
        <w:t>附件一、最终报价一览表</w:t>
      </w:r>
      <w:bookmarkEnd w:id="262"/>
    </w:p>
    <w:p w14:paraId="5B740859">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附件二、投标报价明细表</w:t>
      </w:r>
    </w:p>
    <w:p w14:paraId="5581E6CB">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附件三、产品售后服务承诺书技术参数及其他</w:t>
      </w:r>
    </w:p>
    <w:p w14:paraId="7EECD709">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附件四、质量保证函格式</w:t>
      </w:r>
    </w:p>
    <w:tbl>
      <w:tblPr>
        <w:tblStyle w:val="14"/>
        <w:tblW w:w="0" w:type="auto"/>
        <w:jc w:val="center"/>
        <w:tblLayout w:type="fixed"/>
        <w:tblCellMar>
          <w:top w:w="0" w:type="dxa"/>
          <w:left w:w="108" w:type="dxa"/>
          <w:bottom w:w="0" w:type="dxa"/>
          <w:right w:w="108" w:type="dxa"/>
        </w:tblCellMar>
      </w:tblPr>
      <w:tblGrid>
        <w:gridCol w:w="5221"/>
        <w:gridCol w:w="4709"/>
      </w:tblGrid>
      <w:tr w14:paraId="269B0C65">
        <w:tblPrEx>
          <w:tblCellMar>
            <w:top w:w="0" w:type="dxa"/>
            <w:left w:w="108" w:type="dxa"/>
            <w:bottom w:w="0" w:type="dxa"/>
            <w:right w:w="108" w:type="dxa"/>
          </w:tblCellMar>
        </w:tblPrEx>
        <w:trPr>
          <w:trHeight w:val="404" w:hRule="atLeast"/>
          <w:jc w:val="center"/>
        </w:trPr>
        <w:tc>
          <w:tcPr>
            <w:tcW w:w="5221" w:type="dxa"/>
          </w:tcPr>
          <w:p w14:paraId="1C56D345">
            <w:pPr>
              <w:tabs>
                <w:tab w:val="left" w:pos="720"/>
              </w:tabs>
              <w:rPr>
                <w:rFonts w:hint="eastAsia" w:asciiTheme="minorEastAsia" w:hAnsiTheme="minorEastAsia" w:eastAsiaTheme="minorEastAsia" w:cstheme="minorEastAsia"/>
                <w:color w:val="auto"/>
                <w:sz w:val="24"/>
                <w:szCs w:val="24"/>
                <w:highlight w:val="none"/>
                <w:shd w:val="clear" w:color="auto" w:fill="FFFFFF"/>
                <w:lang w:eastAsia="zh-CN"/>
              </w:rPr>
            </w:pPr>
            <w:r>
              <w:rPr>
                <w:rFonts w:hint="eastAsia" w:asciiTheme="minorEastAsia" w:hAnsiTheme="minorEastAsia" w:eastAsiaTheme="minorEastAsia" w:cstheme="minorEastAsia"/>
                <w:color w:val="auto"/>
                <w:sz w:val="24"/>
                <w:szCs w:val="24"/>
                <w:highlight w:val="none"/>
                <w:shd w:val="clear" w:color="auto" w:fill="FFFFFF"/>
                <w:lang w:eastAsia="zh-CN"/>
              </w:rPr>
              <w:t>甲方（盖章）：</w:t>
            </w:r>
            <w:r>
              <w:rPr>
                <w:rFonts w:hint="eastAsia" w:asciiTheme="minorEastAsia" w:hAnsiTheme="minorEastAsia" w:eastAsiaTheme="minorEastAsia" w:cstheme="minorEastAsia"/>
                <w:color w:val="auto"/>
                <w:sz w:val="24"/>
                <w:szCs w:val="24"/>
                <w:highlight w:val="none"/>
                <w:lang w:eastAsia="zh-CN"/>
              </w:rPr>
              <w:t>中华人民共和国中华人民共和国新疆出入境边防检查总站</w:t>
            </w:r>
          </w:p>
        </w:tc>
        <w:tc>
          <w:tcPr>
            <w:tcW w:w="4709" w:type="dxa"/>
          </w:tcPr>
          <w:p w14:paraId="5902281D">
            <w:pPr>
              <w:spacing w:line="400" w:lineRule="exact"/>
              <w:ind w:left="1560" w:hanging="1560" w:hangingChars="650"/>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rPr>
              <w:t xml:space="preserve">乙方（盖章）：                                            </w:t>
            </w:r>
          </w:p>
        </w:tc>
      </w:tr>
      <w:tr w14:paraId="2566628B">
        <w:tblPrEx>
          <w:tblCellMar>
            <w:top w:w="0" w:type="dxa"/>
            <w:left w:w="108" w:type="dxa"/>
            <w:bottom w:w="0" w:type="dxa"/>
            <w:right w:w="108" w:type="dxa"/>
          </w:tblCellMar>
        </w:tblPrEx>
        <w:trPr>
          <w:trHeight w:val="745" w:hRule="atLeast"/>
          <w:jc w:val="center"/>
        </w:trPr>
        <w:tc>
          <w:tcPr>
            <w:tcW w:w="5221" w:type="dxa"/>
            <w:vAlign w:val="center"/>
          </w:tcPr>
          <w:p w14:paraId="3BF88860">
            <w:pPr>
              <w:spacing w:line="400" w:lineRule="exact"/>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rPr>
              <w:t xml:space="preserve">法定代表人： </w:t>
            </w:r>
          </w:p>
        </w:tc>
        <w:tc>
          <w:tcPr>
            <w:tcW w:w="4709" w:type="dxa"/>
            <w:vAlign w:val="center"/>
          </w:tcPr>
          <w:p w14:paraId="26443EE4">
            <w:pPr>
              <w:spacing w:line="400" w:lineRule="exact"/>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rPr>
              <w:t>法定代表人：</w:t>
            </w:r>
          </w:p>
        </w:tc>
      </w:tr>
      <w:tr w14:paraId="5582D443">
        <w:tblPrEx>
          <w:tblCellMar>
            <w:top w:w="0" w:type="dxa"/>
            <w:left w:w="108" w:type="dxa"/>
            <w:bottom w:w="0" w:type="dxa"/>
            <w:right w:w="108" w:type="dxa"/>
          </w:tblCellMar>
        </w:tblPrEx>
        <w:trPr>
          <w:trHeight w:val="939" w:hRule="atLeast"/>
          <w:jc w:val="center"/>
        </w:trPr>
        <w:tc>
          <w:tcPr>
            <w:tcW w:w="5221" w:type="dxa"/>
            <w:vAlign w:val="center"/>
          </w:tcPr>
          <w:p w14:paraId="0EC4688D">
            <w:pPr>
              <w:spacing w:line="400" w:lineRule="exact"/>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rPr>
              <w:t>甲方代表（签字）：</w:t>
            </w:r>
          </w:p>
        </w:tc>
        <w:tc>
          <w:tcPr>
            <w:tcW w:w="4709" w:type="dxa"/>
            <w:vAlign w:val="center"/>
          </w:tcPr>
          <w:p w14:paraId="465274DB">
            <w:pPr>
              <w:spacing w:line="400" w:lineRule="exact"/>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rPr>
              <w:t>乙方代表（签字）：</w:t>
            </w:r>
          </w:p>
        </w:tc>
      </w:tr>
      <w:tr w14:paraId="6C1F2E0E">
        <w:tblPrEx>
          <w:tblCellMar>
            <w:top w:w="0" w:type="dxa"/>
            <w:left w:w="108" w:type="dxa"/>
            <w:bottom w:w="0" w:type="dxa"/>
            <w:right w:w="108" w:type="dxa"/>
          </w:tblCellMar>
        </w:tblPrEx>
        <w:trPr>
          <w:trHeight w:val="794" w:hRule="atLeast"/>
          <w:jc w:val="center"/>
        </w:trPr>
        <w:tc>
          <w:tcPr>
            <w:tcW w:w="5221" w:type="dxa"/>
            <w:vAlign w:val="center"/>
          </w:tcPr>
          <w:p w14:paraId="2E04FF27">
            <w:pPr>
              <w:spacing w:line="400" w:lineRule="exact"/>
              <w:rPr>
                <w:rFonts w:hint="eastAsia" w:asciiTheme="minorEastAsia" w:hAnsiTheme="minorEastAsia" w:eastAsiaTheme="minorEastAsia" w:cstheme="minorEastAsia"/>
                <w:color w:val="auto"/>
                <w:sz w:val="24"/>
                <w:szCs w:val="24"/>
                <w:highlight w:val="none"/>
                <w:shd w:val="clear" w:color="auto" w:fill="FFFFFF"/>
                <w:lang w:eastAsia="zh-CN"/>
              </w:rPr>
            </w:pPr>
            <w:r>
              <w:rPr>
                <w:rFonts w:hint="eastAsia" w:asciiTheme="minorEastAsia" w:hAnsiTheme="minorEastAsia" w:eastAsiaTheme="minorEastAsia" w:cstheme="minorEastAsia"/>
                <w:color w:val="auto"/>
                <w:sz w:val="24"/>
                <w:szCs w:val="24"/>
                <w:highlight w:val="none"/>
                <w:shd w:val="clear" w:color="auto" w:fill="FFFFFF"/>
                <w:lang w:eastAsia="zh-CN"/>
              </w:rPr>
              <w:t>地址：</w:t>
            </w:r>
            <w:r>
              <w:rPr>
                <w:rFonts w:hint="eastAsia" w:asciiTheme="minorEastAsia" w:hAnsiTheme="minorEastAsia" w:eastAsiaTheme="minorEastAsia" w:cstheme="minorEastAsia"/>
                <w:color w:val="auto"/>
                <w:sz w:val="24"/>
                <w:szCs w:val="24"/>
                <w:highlight w:val="none"/>
                <w:lang w:eastAsia="zh-CN"/>
              </w:rPr>
              <w:t>乌鲁木齐团结路1551号（中华人民共和国新疆出入境边防检查总站）</w:t>
            </w:r>
          </w:p>
        </w:tc>
        <w:tc>
          <w:tcPr>
            <w:tcW w:w="4709" w:type="dxa"/>
            <w:vAlign w:val="center"/>
          </w:tcPr>
          <w:p w14:paraId="52F9340C">
            <w:pPr>
              <w:spacing w:line="400" w:lineRule="exact"/>
              <w:ind w:left="660" w:hanging="660" w:hangingChars="275"/>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rPr>
              <w:t>地址：</w:t>
            </w:r>
          </w:p>
        </w:tc>
      </w:tr>
      <w:tr w14:paraId="1916C8CC">
        <w:tblPrEx>
          <w:tblCellMar>
            <w:top w:w="0" w:type="dxa"/>
            <w:left w:w="108" w:type="dxa"/>
            <w:bottom w:w="0" w:type="dxa"/>
            <w:right w:w="108" w:type="dxa"/>
          </w:tblCellMar>
        </w:tblPrEx>
        <w:trPr>
          <w:trHeight w:val="717" w:hRule="atLeast"/>
          <w:jc w:val="center"/>
        </w:trPr>
        <w:tc>
          <w:tcPr>
            <w:tcW w:w="5221" w:type="dxa"/>
            <w:vAlign w:val="center"/>
          </w:tcPr>
          <w:p w14:paraId="1BC2823F">
            <w:pPr>
              <w:spacing w:line="400" w:lineRule="exact"/>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rPr>
              <w:t>电话：</w:t>
            </w:r>
            <w:r>
              <w:rPr>
                <w:rFonts w:hint="eastAsia" w:asciiTheme="minorEastAsia" w:hAnsiTheme="minorEastAsia" w:eastAsiaTheme="minorEastAsia" w:cstheme="minorEastAsia"/>
                <w:color w:val="auto"/>
                <w:sz w:val="24"/>
                <w:szCs w:val="24"/>
                <w:highlight w:val="none"/>
              </w:rPr>
              <w:t>0991-8512158</w:t>
            </w:r>
          </w:p>
        </w:tc>
        <w:tc>
          <w:tcPr>
            <w:tcW w:w="4709" w:type="dxa"/>
            <w:vAlign w:val="center"/>
          </w:tcPr>
          <w:p w14:paraId="760EAA12">
            <w:pPr>
              <w:spacing w:line="400" w:lineRule="exact"/>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rPr>
              <w:t xml:space="preserve">电话： </w:t>
            </w:r>
          </w:p>
        </w:tc>
      </w:tr>
      <w:tr w14:paraId="4013ECF5">
        <w:tblPrEx>
          <w:tblCellMar>
            <w:top w:w="0" w:type="dxa"/>
            <w:left w:w="108" w:type="dxa"/>
            <w:bottom w:w="0" w:type="dxa"/>
            <w:right w:w="108" w:type="dxa"/>
          </w:tblCellMar>
        </w:tblPrEx>
        <w:trPr>
          <w:trHeight w:val="569" w:hRule="atLeast"/>
          <w:jc w:val="center"/>
        </w:trPr>
        <w:tc>
          <w:tcPr>
            <w:tcW w:w="5221" w:type="dxa"/>
            <w:vAlign w:val="center"/>
          </w:tcPr>
          <w:p w14:paraId="1CC9F545">
            <w:pPr>
              <w:spacing w:line="400" w:lineRule="exact"/>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rPr>
              <w:t>传真：</w:t>
            </w:r>
          </w:p>
        </w:tc>
        <w:tc>
          <w:tcPr>
            <w:tcW w:w="4709" w:type="dxa"/>
            <w:vAlign w:val="center"/>
          </w:tcPr>
          <w:p w14:paraId="67A76CCA">
            <w:pPr>
              <w:spacing w:line="400" w:lineRule="exact"/>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rPr>
              <w:t>传真：</w:t>
            </w:r>
          </w:p>
        </w:tc>
      </w:tr>
      <w:tr w14:paraId="17DAF38A">
        <w:tblPrEx>
          <w:tblCellMar>
            <w:top w:w="0" w:type="dxa"/>
            <w:left w:w="108" w:type="dxa"/>
            <w:bottom w:w="0" w:type="dxa"/>
            <w:right w:w="108" w:type="dxa"/>
          </w:tblCellMar>
        </w:tblPrEx>
        <w:trPr>
          <w:trHeight w:val="674" w:hRule="atLeast"/>
          <w:jc w:val="center"/>
        </w:trPr>
        <w:tc>
          <w:tcPr>
            <w:tcW w:w="5221" w:type="dxa"/>
            <w:vAlign w:val="center"/>
          </w:tcPr>
          <w:p w14:paraId="12A5BB33">
            <w:pPr>
              <w:spacing w:line="400" w:lineRule="exact"/>
              <w:rPr>
                <w:rFonts w:hint="eastAsia" w:asciiTheme="minorEastAsia" w:hAnsiTheme="minorEastAsia" w:eastAsiaTheme="minorEastAsia" w:cstheme="minorEastAsia"/>
                <w:color w:val="auto"/>
                <w:sz w:val="24"/>
                <w:szCs w:val="24"/>
                <w:highlight w:val="none"/>
                <w:shd w:val="clear" w:color="auto" w:fill="FFFFFF"/>
                <w:lang w:eastAsia="zh-CN"/>
              </w:rPr>
            </w:pPr>
            <w:r>
              <w:rPr>
                <w:rFonts w:hint="eastAsia" w:asciiTheme="minorEastAsia" w:hAnsiTheme="minorEastAsia" w:eastAsiaTheme="minorEastAsia" w:cstheme="minorEastAsia"/>
                <w:color w:val="auto"/>
                <w:sz w:val="24"/>
                <w:szCs w:val="24"/>
                <w:highlight w:val="none"/>
                <w:shd w:val="clear" w:color="auto" w:fill="FFFFFF"/>
                <w:lang w:eastAsia="zh-CN"/>
              </w:rPr>
              <w:t>开户银行：</w:t>
            </w:r>
            <w:r>
              <w:rPr>
                <w:rFonts w:hint="eastAsia" w:asciiTheme="minorEastAsia" w:hAnsiTheme="minorEastAsia" w:eastAsiaTheme="minorEastAsia" w:cstheme="minorEastAsia"/>
                <w:color w:val="auto"/>
                <w:sz w:val="24"/>
                <w:szCs w:val="24"/>
                <w:highlight w:val="none"/>
                <w:lang w:eastAsia="zh-CN"/>
              </w:rPr>
              <w:t>中国工商银行乌鲁木齐钱塘江路支行</w:t>
            </w:r>
          </w:p>
        </w:tc>
        <w:tc>
          <w:tcPr>
            <w:tcW w:w="4709" w:type="dxa"/>
            <w:vAlign w:val="center"/>
          </w:tcPr>
          <w:p w14:paraId="630A65AB">
            <w:pPr>
              <w:spacing w:line="400" w:lineRule="exact"/>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rPr>
              <w:t>开户银行：</w:t>
            </w:r>
          </w:p>
        </w:tc>
      </w:tr>
      <w:tr w14:paraId="13ED0318">
        <w:tblPrEx>
          <w:tblCellMar>
            <w:top w:w="0" w:type="dxa"/>
            <w:left w:w="108" w:type="dxa"/>
            <w:bottom w:w="0" w:type="dxa"/>
            <w:right w:w="108" w:type="dxa"/>
          </w:tblCellMar>
        </w:tblPrEx>
        <w:trPr>
          <w:trHeight w:val="675" w:hRule="atLeast"/>
          <w:jc w:val="center"/>
        </w:trPr>
        <w:tc>
          <w:tcPr>
            <w:tcW w:w="5221" w:type="dxa"/>
            <w:vAlign w:val="center"/>
          </w:tcPr>
          <w:p w14:paraId="51BB8703">
            <w:pPr>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rPr>
              <w:t>账    号：</w:t>
            </w:r>
            <w:r>
              <w:rPr>
                <w:rFonts w:hint="eastAsia" w:asciiTheme="minorEastAsia" w:hAnsiTheme="minorEastAsia" w:eastAsiaTheme="minorEastAsia" w:cstheme="minorEastAsia"/>
                <w:color w:val="auto"/>
                <w:sz w:val="24"/>
                <w:szCs w:val="24"/>
                <w:highlight w:val="none"/>
              </w:rPr>
              <w:t>3002013409200099469</w:t>
            </w:r>
          </w:p>
        </w:tc>
        <w:tc>
          <w:tcPr>
            <w:tcW w:w="4709" w:type="dxa"/>
            <w:vAlign w:val="center"/>
          </w:tcPr>
          <w:p w14:paraId="4A9ED281">
            <w:pPr>
              <w:spacing w:line="400" w:lineRule="exact"/>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rPr>
              <w:t>账    号：</w:t>
            </w:r>
          </w:p>
        </w:tc>
      </w:tr>
      <w:tr w14:paraId="1177EC18">
        <w:tblPrEx>
          <w:tblCellMar>
            <w:top w:w="0" w:type="dxa"/>
            <w:left w:w="108" w:type="dxa"/>
            <w:bottom w:w="0" w:type="dxa"/>
            <w:right w:w="108" w:type="dxa"/>
          </w:tblCellMar>
        </w:tblPrEx>
        <w:trPr>
          <w:trHeight w:val="1025" w:hRule="atLeast"/>
          <w:jc w:val="center"/>
        </w:trPr>
        <w:tc>
          <w:tcPr>
            <w:tcW w:w="5221" w:type="dxa"/>
            <w:vAlign w:val="center"/>
          </w:tcPr>
          <w:p w14:paraId="0EE0E1DF">
            <w:pPr>
              <w:spacing w:line="400" w:lineRule="exact"/>
              <w:rPr>
                <w:rFonts w:hint="eastAsia" w:asciiTheme="minorEastAsia" w:hAnsiTheme="minorEastAsia" w:eastAsiaTheme="minorEastAsia" w:cstheme="minorEastAsia"/>
                <w:color w:val="auto"/>
                <w:sz w:val="24"/>
                <w:szCs w:val="24"/>
                <w:highlight w:val="none"/>
                <w:shd w:val="clear" w:color="auto" w:fill="FFFFFF"/>
                <w:lang w:eastAsia="zh-CN"/>
              </w:rPr>
            </w:pPr>
            <w:r>
              <w:rPr>
                <w:rFonts w:hint="eastAsia" w:asciiTheme="minorEastAsia" w:hAnsiTheme="minorEastAsia" w:eastAsiaTheme="minorEastAsia" w:cstheme="minorEastAsia"/>
                <w:color w:val="auto"/>
                <w:sz w:val="24"/>
                <w:szCs w:val="24"/>
                <w:highlight w:val="none"/>
                <w:shd w:val="clear" w:color="auto" w:fill="FFFFFF"/>
                <w:lang w:eastAsia="zh-CN"/>
              </w:rPr>
              <w:t>合同订立地点：乌鲁木齐团结路1551号（中华人民共和国新疆出入境边防检查总站）</w:t>
            </w:r>
          </w:p>
        </w:tc>
        <w:tc>
          <w:tcPr>
            <w:tcW w:w="4709" w:type="dxa"/>
            <w:vAlign w:val="center"/>
          </w:tcPr>
          <w:p w14:paraId="0A6BC0E4">
            <w:pPr>
              <w:spacing w:line="400" w:lineRule="exact"/>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rPr>
              <w:t>合同订立地点：</w:t>
            </w:r>
          </w:p>
        </w:tc>
      </w:tr>
      <w:tr w14:paraId="2FA9BE9B">
        <w:tblPrEx>
          <w:tblCellMar>
            <w:top w:w="0" w:type="dxa"/>
            <w:left w:w="108" w:type="dxa"/>
            <w:bottom w:w="0" w:type="dxa"/>
            <w:right w:w="108" w:type="dxa"/>
          </w:tblCellMar>
        </w:tblPrEx>
        <w:trPr>
          <w:trHeight w:val="452" w:hRule="atLeast"/>
          <w:jc w:val="center"/>
        </w:trPr>
        <w:tc>
          <w:tcPr>
            <w:tcW w:w="5221" w:type="dxa"/>
            <w:vAlign w:val="center"/>
          </w:tcPr>
          <w:p w14:paraId="0A5BA66E">
            <w:pPr>
              <w:spacing w:line="400" w:lineRule="exact"/>
              <w:rPr>
                <w:rFonts w:hint="eastAsia" w:asciiTheme="minorEastAsia" w:hAnsiTheme="minorEastAsia" w:eastAsiaTheme="minorEastAsia" w:cstheme="minorEastAsia"/>
                <w:color w:val="auto"/>
                <w:sz w:val="24"/>
                <w:szCs w:val="24"/>
                <w:highlight w:val="none"/>
                <w:shd w:val="clear" w:color="auto" w:fill="FFFFFF"/>
                <w:lang w:eastAsia="zh-CN"/>
              </w:rPr>
            </w:pPr>
            <w:r>
              <w:rPr>
                <w:rFonts w:hint="eastAsia" w:asciiTheme="minorEastAsia" w:hAnsiTheme="minorEastAsia" w:eastAsiaTheme="minorEastAsia" w:cstheme="minorEastAsia"/>
                <w:color w:val="auto"/>
                <w:sz w:val="24"/>
                <w:szCs w:val="24"/>
                <w:highlight w:val="none"/>
                <w:shd w:val="clear" w:color="auto" w:fill="FFFFFF"/>
                <w:lang w:eastAsia="zh-CN"/>
              </w:rPr>
              <w:t>合同签订日期：  年  月   日</w:t>
            </w:r>
          </w:p>
        </w:tc>
        <w:tc>
          <w:tcPr>
            <w:tcW w:w="4709" w:type="dxa"/>
            <w:vAlign w:val="center"/>
          </w:tcPr>
          <w:p w14:paraId="409F6CEB">
            <w:pPr>
              <w:spacing w:line="400" w:lineRule="exact"/>
              <w:rPr>
                <w:rFonts w:hint="eastAsia" w:asciiTheme="minorEastAsia" w:hAnsiTheme="minorEastAsia" w:eastAsiaTheme="minorEastAsia" w:cstheme="minorEastAsia"/>
                <w:color w:val="auto"/>
                <w:sz w:val="24"/>
                <w:szCs w:val="24"/>
                <w:highlight w:val="none"/>
                <w:shd w:val="clear" w:color="auto" w:fill="FFFFFF"/>
                <w:lang w:eastAsia="zh-CN"/>
              </w:rPr>
            </w:pPr>
            <w:r>
              <w:rPr>
                <w:rFonts w:hint="eastAsia" w:asciiTheme="minorEastAsia" w:hAnsiTheme="minorEastAsia" w:eastAsiaTheme="minorEastAsia" w:cstheme="minorEastAsia"/>
                <w:color w:val="auto"/>
                <w:sz w:val="24"/>
                <w:szCs w:val="24"/>
                <w:highlight w:val="none"/>
                <w:shd w:val="clear" w:color="auto" w:fill="FFFFFF"/>
                <w:lang w:eastAsia="zh-CN"/>
              </w:rPr>
              <w:t>合同签订日期：    年  月   日</w:t>
            </w:r>
          </w:p>
        </w:tc>
      </w:tr>
      <w:bookmarkEnd w:id="99"/>
    </w:tbl>
    <w:p w14:paraId="1A9AE30B">
      <w:pPr>
        <w:pStyle w:val="9"/>
        <w:spacing w:line="317" w:lineRule="auto"/>
        <w:rPr>
          <w:color w:val="auto"/>
          <w:highlight w:val="none"/>
          <w:lang w:eastAsia="zh-CN"/>
        </w:rPr>
      </w:pPr>
    </w:p>
    <w:p w14:paraId="6FB318BE">
      <w:pPr>
        <w:pStyle w:val="9"/>
        <w:spacing w:line="317" w:lineRule="auto"/>
        <w:rPr>
          <w:color w:val="auto"/>
          <w:highlight w:val="none"/>
          <w:lang w:eastAsia="zh-CN"/>
        </w:rPr>
      </w:pPr>
    </w:p>
    <w:p w14:paraId="7996681C">
      <w:pPr>
        <w:rPr>
          <w:color w:val="auto"/>
          <w:highlight w:val="none"/>
          <w:lang w:eastAsia="zh-CN"/>
        </w:rPr>
      </w:pPr>
      <w:r>
        <w:rPr>
          <w:color w:val="auto"/>
          <w:highlight w:val="none"/>
          <w:lang w:eastAsia="zh-CN"/>
        </w:rPr>
        <w:br w:type="page"/>
      </w:r>
    </w:p>
    <w:p w14:paraId="182C0BB9">
      <w:pPr>
        <w:pStyle w:val="9"/>
        <w:spacing w:line="318" w:lineRule="auto"/>
        <w:rPr>
          <w:color w:val="auto"/>
          <w:highlight w:val="none"/>
          <w:lang w:eastAsia="zh-CN"/>
        </w:rPr>
      </w:pPr>
    </w:p>
    <w:p w14:paraId="38010F59">
      <w:pPr>
        <w:spacing w:before="110" w:line="224" w:lineRule="auto"/>
        <w:jc w:val="center"/>
        <w:outlineLvl w:val="0"/>
        <w:rPr>
          <w:rFonts w:hint="eastAsia" w:ascii="宋体" w:hAnsi="宋体" w:eastAsia="宋体" w:cs="宋体"/>
          <w:color w:val="auto"/>
          <w:sz w:val="34"/>
          <w:szCs w:val="34"/>
          <w:highlight w:val="none"/>
          <w:lang w:eastAsia="zh-CN"/>
        </w:rPr>
      </w:pPr>
      <w:bookmarkStart w:id="263" w:name="_Toc5171"/>
      <w:r>
        <w:rPr>
          <w:rFonts w:ascii="宋体" w:hAnsi="宋体" w:eastAsia="宋体" w:cs="宋体"/>
          <w:color w:val="auto"/>
          <w:spacing w:val="13"/>
          <w:sz w:val="34"/>
          <w:szCs w:val="34"/>
          <w:highlight w:val="none"/>
          <w:lang w:eastAsia="zh-CN"/>
        </w:rPr>
        <w:t>第六章</w:t>
      </w:r>
      <w:r>
        <w:rPr>
          <w:rFonts w:ascii="宋体" w:hAnsi="宋体" w:eastAsia="宋体" w:cs="宋体"/>
          <w:color w:val="auto"/>
          <w:spacing w:val="39"/>
          <w:sz w:val="34"/>
          <w:szCs w:val="34"/>
          <w:highlight w:val="none"/>
          <w:lang w:eastAsia="zh-CN"/>
        </w:rPr>
        <w:t xml:space="preserve">  </w:t>
      </w:r>
      <w:r>
        <w:rPr>
          <w:rFonts w:ascii="宋体" w:hAnsi="宋体" w:eastAsia="宋体" w:cs="宋体"/>
          <w:color w:val="auto"/>
          <w:spacing w:val="13"/>
          <w:sz w:val="34"/>
          <w:szCs w:val="34"/>
          <w:highlight w:val="none"/>
          <w:lang w:eastAsia="zh-CN"/>
        </w:rPr>
        <w:t>响应文件格式</w:t>
      </w:r>
      <w:bookmarkEnd w:id="263"/>
    </w:p>
    <w:p w14:paraId="1A26A5F7">
      <w:pPr>
        <w:pStyle w:val="9"/>
        <w:spacing w:line="249" w:lineRule="auto"/>
        <w:rPr>
          <w:color w:val="auto"/>
          <w:highlight w:val="none"/>
          <w:lang w:eastAsia="zh-CN"/>
        </w:rPr>
      </w:pPr>
    </w:p>
    <w:p w14:paraId="5F502EAF">
      <w:pPr>
        <w:pStyle w:val="9"/>
        <w:spacing w:line="249" w:lineRule="auto"/>
        <w:rPr>
          <w:color w:val="auto"/>
          <w:highlight w:val="none"/>
          <w:lang w:eastAsia="zh-CN"/>
        </w:rPr>
      </w:pPr>
    </w:p>
    <w:p w14:paraId="1BA1E767">
      <w:pPr>
        <w:pStyle w:val="9"/>
        <w:spacing w:line="249" w:lineRule="auto"/>
        <w:rPr>
          <w:color w:val="auto"/>
          <w:highlight w:val="none"/>
          <w:lang w:eastAsia="zh-CN"/>
        </w:rPr>
      </w:pPr>
    </w:p>
    <w:p w14:paraId="59BBF14E">
      <w:pPr>
        <w:pStyle w:val="9"/>
        <w:spacing w:line="250" w:lineRule="auto"/>
        <w:rPr>
          <w:color w:val="auto"/>
          <w:highlight w:val="none"/>
          <w:lang w:eastAsia="zh-CN"/>
        </w:rPr>
      </w:pPr>
    </w:p>
    <w:p w14:paraId="17121609">
      <w:pPr>
        <w:pStyle w:val="9"/>
        <w:spacing w:line="250" w:lineRule="auto"/>
        <w:rPr>
          <w:color w:val="auto"/>
          <w:highlight w:val="none"/>
          <w:lang w:eastAsia="zh-CN"/>
        </w:rPr>
      </w:pPr>
    </w:p>
    <w:p w14:paraId="2B977D97">
      <w:pPr>
        <w:spacing w:before="101" w:line="225" w:lineRule="auto"/>
        <w:ind w:left="9"/>
        <w:jc w:val="center"/>
        <w:outlineLvl w:val="9"/>
        <w:rPr>
          <w:rFonts w:hint="eastAsia" w:ascii="宋体" w:hAnsi="宋体" w:eastAsia="宋体" w:cs="宋体"/>
          <w:color w:val="auto"/>
          <w:sz w:val="31"/>
          <w:szCs w:val="31"/>
          <w:highlight w:val="none"/>
          <w:lang w:eastAsia="zh-CN"/>
        </w:rPr>
      </w:pPr>
      <w:bookmarkStart w:id="264" w:name="_Toc476"/>
      <w:r>
        <w:rPr>
          <w:rFonts w:ascii="宋体" w:hAnsi="宋体" w:eastAsia="宋体" w:cs="宋体"/>
          <w:color w:val="auto"/>
          <w:spacing w:val="6"/>
          <w:sz w:val="31"/>
          <w:szCs w:val="31"/>
          <w:highlight w:val="none"/>
          <w:lang w:eastAsia="zh-CN"/>
          <w14:textOutline w14:w="5829" w14:cap="flat" w14:cmpd="sng" w14:algn="ctr">
            <w14:solidFill>
              <w14:srgbClr w14:val="000000"/>
            </w14:solidFill>
            <w14:prstDash w14:val="solid"/>
            <w14:miter w14:val="0"/>
          </w14:textOutline>
        </w:rPr>
        <w:t>响应文件封面</w:t>
      </w:r>
      <w:bookmarkEnd w:id="264"/>
    </w:p>
    <w:p w14:paraId="1BEE0C49">
      <w:pPr>
        <w:pStyle w:val="9"/>
        <w:spacing w:line="264" w:lineRule="auto"/>
        <w:jc w:val="center"/>
        <w:outlineLvl w:val="9"/>
        <w:rPr>
          <w:color w:val="auto"/>
          <w:highlight w:val="none"/>
          <w:lang w:eastAsia="zh-CN"/>
        </w:rPr>
      </w:pPr>
    </w:p>
    <w:p w14:paraId="0C2B8C79">
      <w:pPr>
        <w:pStyle w:val="9"/>
        <w:spacing w:line="264" w:lineRule="auto"/>
        <w:jc w:val="center"/>
        <w:outlineLvl w:val="9"/>
        <w:rPr>
          <w:color w:val="auto"/>
          <w:highlight w:val="none"/>
          <w:lang w:eastAsia="zh-CN"/>
        </w:rPr>
      </w:pPr>
    </w:p>
    <w:p w14:paraId="5A243D0A">
      <w:pPr>
        <w:pStyle w:val="9"/>
        <w:spacing w:line="264" w:lineRule="auto"/>
        <w:jc w:val="center"/>
        <w:outlineLvl w:val="9"/>
        <w:rPr>
          <w:color w:val="auto"/>
          <w:highlight w:val="none"/>
          <w:lang w:eastAsia="zh-CN"/>
        </w:rPr>
      </w:pPr>
    </w:p>
    <w:p w14:paraId="44A429A3">
      <w:pPr>
        <w:spacing w:before="91" w:line="221" w:lineRule="auto"/>
        <w:jc w:val="center"/>
        <w:outlineLvl w:val="9"/>
        <w:rPr>
          <w:rFonts w:hint="eastAsia" w:ascii="宋体" w:hAnsi="宋体" w:eastAsia="宋体" w:cs="宋体"/>
          <w:color w:val="auto"/>
          <w:sz w:val="28"/>
          <w:szCs w:val="28"/>
          <w:highlight w:val="none"/>
          <w:lang w:eastAsia="zh-CN"/>
        </w:rPr>
      </w:pPr>
      <w:r>
        <w:rPr>
          <w:rFonts w:ascii="宋体" w:hAnsi="宋体" w:eastAsia="宋体" w:cs="宋体"/>
          <w:color w:val="auto"/>
          <w:spacing w:val="-3"/>
          <w:sz w:val="28"/>
          <w:szCs w:val="28"/>
          <w:highlight w:val="none"/>
          <w:lang w:eastAsia="zh-CN"/>
        </w:rPr>
        <w:t>（项目名称）</w:t>
      </w:r>
    </w:p>
    <w:p w14:paraId="43D848AB">
      <w:pPr>
        <w:pStyle w:val="9"/>
        <w:spacing w:line="272" w:lineRule="auto"/>
        <w:jc w:val="center"/>
        <w:outlineLvl w:val="9"/>
        <w:rPr>
          <w:color w:val="auto"/>
          <w:highlight w:val="none"/>
          <w:lang w:eastAsia="zh-CN"/>
        </w:rPr>
      </w:pPr>
    </w:p>
    <w:p w14:paraId="75841E00">
      <w:pPr>
        <w:pStyle w:val="9"/>
        <w:spacing w:line="272" w:lineRule="auto"/>
        <w:jc w:val="center"/>
        <w:outlineLvl w:val="9"/>
        <w:rPr>
          <w:color w:val="auto"/>
          <w:highlight w:val="none"/>
          <w:lang w:eastAsia="zh-CN"/>
        </w:rPr>
      </w:pPr>
    </w:p>
    <w:p w14:paraId="323DFE57">
      <w:pPr>
        <w:pStyle w:val="9"/>
        <w:spacing w:line="273" w:lineRule="auto"/>
        <w:jc w:val="center"/>
        <w:outlineLvl w:val="9"/>
        <w:rPr>
          <w:color w:val="auto"/>
          <w:highlight w:val="none"/>
          <w:lang w:eastAsia="zh-CN"/>
        </w:rPr>
      </w:pPr>
    </w:p>
    <w:p w14:paraId="57E52AA9">
      <w:pPr>
        <w:spacing w:before="91" w:line="220" w:lineRule="auto"/>
        <w:jc w:val="center"/>
        <w:outlineLvl w:val="9"/>
        <w:rPr>
          <w:rFonts w:hint="eastAsia" w:ascii="宋体" w:hAnsi="宋体" w:eastAsia="宋体" w:cs="宋体"/>
          <w:color w:val="auto"/>
          <w:sz w:val="28"/>
          <w:szCs w:val="28"/>
          <w:highlight w:val="none"/>
          <w:lang w:eastAsia="zh-CN"/>
        </w:rPr>
      </w:pPr>
      <w:r>
        <w:rPr>
          <w:rFonts w:ascii="宋体" w:hAnsi="宋体" w:eastAsia="宋体" w:cs="宋体"/>
          <w:color w:val="auto"/>
          <w:spacing w:val="-3"/>
          <w:sz w:val="28"/>
          <w:szCs w:val="28"/>
          <w:highlight w:val="none"/>
          <w:lang w:eastAsia="zh-CN"/>
        </w:rPr>
        <w:t>（项目编号）</w:t>
      </w:r>
    </w:p>
    <w:p w14:paraId="7AE59B46">
      <w:pPr>
        <w:pStyle w:val="9"/>
        <w:spacing w:line="257" w:lineRule="auto"/>
        <w:outlineLvl w:val="9"/>
        <w:rPr>
          <w:color w:val="auto"/>
          <w:highlight w:val="none"/>
          <w:lang w:eastAsia="zh-CN"/>
        </w:rPr>
      </w:pPr>
    </w:p>
    <w:p w14:paraId="2BBB9EE4">
      <w:pPr>
        <w:pStyle w:val="9"/>
        <w:spacing w:line="258" w:lineRule="auto"/>
        <w:rPr>
          <w:color w:val="auto"/>
          <w:highlight w:val="none"/>
          <w:lang w:eastAsia="zh-CN"/>
        </w:rPr>
      </w:pPr>
    </w:p>
    <w:p w14:paraId="1CD1AD2A">
      <w:pPr>
        <w:pStyle w:val="9"/>
        <w:spacing w:line="258" w:lineRule="auto"/>
        <w:rPr>
          <w:color w:val="auto"/>
          <w:highlight w:val="none"/>
          <w:lang w:eastAsia="zh-CN"/>
        </w:rPr>
      </w:pPr>
    </w:p>
    <w:p w14:paraId="284D03CB">
      <w:pPr>
        <w:pStyle w:val="9"/>
        <w:spacing w:line="258" w:lineRule="auto"/>
        <w:rPr>
          <w:color w:val="auto"/>
          <w:highlight w:val="none"/>
          <w:lang w:eastAsia="zh-CN"/>
        </w:rPr>
      </w:pPr>
    </w:p>
    <w:p w14:paraId="5CFC87EB">
      <w:pPr>
        <w:pStyle w:val="9"/>
        <w:spacing w:line="258" w:lineRule="auto"/>
        <w:rPr>
          <w:color w:val="auto"/>
          <w:highlight w:val="none"/>
          <w:lang w:eastAsia="zh-CN"/>
        </w:rPr>
      </w:pPr>
    </w:p>
    <w:p w14:paraId="07AD5B03">
      <w:pPr>
        <w:pStyle w:val="9"/>
        <w:spacing w:line="258" w:lineRule="auto"/>
        <w:rPr>
          <w:color w:val="auto"/>
          <w:highlight w:val="none"/>
          <w:lang w:eastAsia="zh-CN"/>
        </w:rPr>
      </w:pPr>
    </w:p>
    <w:p w14:paraId="5094FD6A">
      <w:pPr>
        <w:spacing w:before="230" w:line="222" w:lineRule="auto"/>
        <w:jc w:val="center"/>
        <w:outlineLvl w:val="9"/>
        <w:rPr>
          <w:rFonts w:hint="eastAsia" w:ascii="宋体" w:hAnsi="宋体" w:eastAsia="宋体" w:cs="宋体"/>
          <w:color w:val="auto"/>
          <w:sz w:val="71"/>
          <w:szCs w:val="71"/>
          <w:highlight w:val="none"/>
          <w:lang w:eastAsia="zh-CN"/>
        </w:rPr>
      </w:pPr>
      <w:bookmarkStart w:id="265" w:name="_Toc1026"/>
      <w:r>
        <w:rPr>
          <w:rFonts w:ascii="宋体" w:hAnsi="宋体" w:eastAsia="宋体" w:cs="宋体"/>
          <w:color w:val="auto"/>
          <w:spacing w:val="-4"/>
          <w:sz w:val="71"/>
          <w:szCs w:val="71"/>
          <w:highlight w:val="none"/>
          <w:lang w:eastAsia="zh-CN"/>
          <w14:textOutline w14:w="13169" w14:cap="flat" w14:cmpd="sng" w14:algn="ctr">
            <w14:solidFill>
              <w14:srgbClr w14:val="000000"/>
            </w14:solidFill>
            <w14:prstDash w14:val="solid"/>
            <w14:miter w14:val="0"/>
          </w14:textOutline>
        </w:rPr>
        <w:t>响应文件</w:t>
      </w:r>
      <w:bookmarkEnd w:id="265"/>
    </w:p>
    <w:p w14:paraId="63BA3E2A">
      <w:pPr>
        <w:pStyle w:val="9"/>
        <w:spacing w:line="264" w:lineRule="auto"/>
        <w:rPr>
          <w:color w:val="auto"/>
          <w:highlight w:val="none"/>
          <w:lang w:eastAsia="zh-CN"/>
        </w:rPr>
      </w:pPr>
    </w:p>
    <w:p w14:paraId="5AD75449">
      <w:pPr>
        <w:pStyle w:val="9"/>
        <w:spacing w:line="264" w:lineRule="auto"/>
        <w:rPr>
          <w:color w:val="auto"/>
          <w:highlight w:val="none"/>
          <w:lang w:eastAsia="zh-CN"/>
        </w:rPr>
      </w:pPr>
    </w:p>
    <w:p w14:paraId="6656A5C7">
      <w:pPr>
        <w:pStyle w:val="9"/>
        <w:spacing w:line="264" w:lineRule="auto"/>
        <w:rPr>
          <w:color w:val="auto"/>
          <w:highlight w:val="none"/>
          <w:lang w:eastAsia="zh-CN"/>
        </w:rPr>
      </w:pPr>
    </w:p>
    <w:p w14:paraId="3A4A6E33">
      <w:pPr>
        <w:pStyle w:val="9"/>
        <w:spacing w:line="264" w:lineRule="auto"/>
        <w:rPr>
          <w:color w:val="auto"/>
          <w:highlight w:val="none"/>
          <w:lang w:eastAsia="zh-CN"/>
        </w:rPr>
      </w:pPr>
    </w:p>
    <w:p w14:paraId="7573644B">
      <w:pPr>
        <w:pStyle w:val="9"/>
        <w:spacing w:line="264" w:lineRule="auto"/>
        <w:rPr>
          <w:color w:val="auto"/>
          <w:highlight w:val="none"/>
          <w:lang w:eastAsia="zh-CN"/>
        </w:rPr>
      </w:pPr>
    </w:p>
    <w:p w14:paraId="180C1995">
      <w:pPr>
        <w:pStyle w:val="9"/>
        <w:spacing w:line="264" w:lineRule="auto"/>
        <w:rPr>
          <w:color w:val="auto"/>
          <w:highlight w:val="none"/>
          <w:lang w:eastAsia="zh-CN"/>
        </w:rPr>
      </w:pPr>
    </w:p>
    <w:p w14:paraId="55B84714">
      <w:pPr>
        <w:pStyle w:val="9"/>
        <w:spacing w:line="265" w:lineRule="auto"/>
        <w:rPr>
          <w:color w:val="auto"/>
          <w:highlight w:val="none"/>
          <w:lang w:eastAsia="zh-CN"/>
        </w:rPr>
      </w:pPr>
    </w:p>
    <w:p w14:paraId="7C76190A">
      <w:pPr>
        <w:pStyle w:val="9"/>
        <w:spacing w:line="265" w:lineRule="auto"/>
        <w:rPr>
          <w:color w:val="auto"/>
          <w:highlight w:val="none"/>
          <w:lang w:eastAsia="zh-CN"/>
        </w:rPr>
      </w:pPr>
    </w:p>
    <w:p w14:paraId="3A43FFCD">
      <w:pPr>
        <w:pStyle w:val="9"/>
        <w:spacing w:line="265" w:lineRule="auto"/>
        <w:rPr>
          <w:color w:val="auto"/>
          <w:highlight w:val="none"/>
          <w:lang w:eastAsia="zh-CN"/>
        </w:rPr>
      </w:pPr>
    </w:p>
    <w:p w14:paraId="3B363A7B">
      <w:pPr>
        <w:spacing w:before="92" w:line="219" w:lineRule="auto"/>
        <w:ind w:left="1393"/>
        <w:rPr>
          <w:rFonts w:hint="eastAsia" w:ascii="宋体" w:hAnsi="宋体" w:eastAsia="宋体" w:cs="宋体"/>
          <w:color w:val="auto"/>
          <w:sz w:val="28"/>
          <w:szCs w:val="28"/>
          <w:highlight w:val="none"/>
          <w:lang w:eastAsia="zh-CN"/>
        </w:rPr>
      </w:pPr>
      <w:r>
        <w:rPr>
          <w:rFonts w:ascii="宋体" w:hAnsi="宋体" w:eastAsia="宋体" w:cs="宋体"/>
          <w:color w:val="auto"/>
          <w:sz w:val="28"/>
          <w:szCs w:val="28"/>
          <w:highlight w:val="none"/>
          <w:lang w:eastAsia="zh-CN"/>
        </w:rPr>
        <w:t>供应商名称</w:t>
      </w:r>
      <w:r>
        <w:rPr>
          <w:rFonts w:ascii="宋体" w:hAnsi="宋体" w:eastAsia="宋体" w:cs="宋体"/>
          <w:color w:val="auto"/>
          <w:spacing w:val="-5"/>
          <w:sz w:val="28"/>
          <w:szCs w:val="28"/>
          <w:highlight w:val="none"/>
          <w:lang w:eastAsia="zh-CN"/>
        </w:rPr>
        <w:t>：（</w:t>
      </w:r>
      <w:r>
        <w:rPr>
          <w:rFonts w:ascii="宋体" w:hAnsi="宋体" w:eastAsia="宋体" w:cs="宋体"/>
          <w:color w:val="auto"/>
          <w:sz w:val="28"/>
          <w:szCs w:val="28"/>
          <w:highlight w:val="none"/>
          <w:lang w:eastAsia="zh-CN"/>
        </w:rPr>
        <w:t>电子公章）</w:t>
      </w:r>
    </w:p>
    <w:p w14:paraId="18A1DB69">
      <w:pPr>
        <w:spacing w:before="292" w:line="219" w:lineRule="auto"/>
        <w:ind w:left="1394"/>
        <w:rPr>
          <w:rFonts w:hint="eastAsia" w:ascii="宋体" w:hAnsi="宋体" w:eastAsia="宋体" w:cs="宋体"/>
          <w:color w:val="auto"/>
          <w:sz w:val="28"/>
          <w:szCs w:val="28"/>
          <w:highlight w:val="none"/>
          <w:lang w:eastAsia="zh-CN"/>
        </w:rPr>
      </w:pPr>
      <w:r>
        <w:rPr>
          <w:rFonts w:ascii="宋体" w:hAnsi="宋体" w:eastAsia="宋体" w:cs="宋体"/>
          <w:color w:val="auto"/>
          <w:spacing w:val="-1"/>
          <w:sz w:val="28"/>
          <w:szCs w:val="28"/>
          <w:highlight w:val="none"/>
          <w:lang w:eastAsia="zh-CN"/>
        </w:rPr>
        <w:t>法定代表人</w:t>
      </w:r>
      <w:r>
        <w:rPr>
          <w:rFonts w:ascii="宋体" w:hAnsi="宋体" w:eastAsia="宋体" w:cs="宋体"/>
          <w:color w:val="auto"/>
          <w:spacing w:val="-4"/>
          <w:sz w:val="28"/>
          <w:szCs w:val="28"/>
          <w:highlight w:val="none"/>
          <w:lang w:eastAsia="zh-CN"/>
        </w:rPr>
        <w:t>：（</w:t>
      </w:r>
      <w:r>
        <w:rPr>
          <w:rFonts w:ascii="宋体" w:hAnsi="宋体" w:eastAsia="宋体" w:cs="宋体"/>
          <w:color w:val="auto"/>
          <w:spacing w:val="-1"/>
          <w:sz w:val="28"/>
          <w:szCs w:val="28"/>
          <w:highlight w:val="none"/>
          <w:lang w:eastAsia="zh-CN"/>
        </w:rPr>
        <w:t>签字或盖章）</w:t>
      </w:r>
    </w:p>
    <w:p w14:paraId="106A6957">
      <w:pPr>
        <w:spacing w:before="162" w:line="182" w:lineRule="auto"/>
        <w:ind w:left="1437"/>
        <w:rPr>
          <w:rFonts w:hint="eastAsia" w:ascii="微软雅黑" w:hAnsi="微软雅黑" w:eastAsia="微软雅黑" w:cs="微软雅黑"/>
          <w:color w:val="auto"/>
          <w:sz w:val="28"/>
          <w:szCs w:val="28"/>
          <w:highlight w:val="none"/>
          <w:lang w:eastAsia="zh-CN"/>
        </w:rPr>
      </w:pPr>
      <w:r>
        <w:rPr>
          <w:rFonts w:ascii="微软雅黑" w:hAnsi="微软雅黑" w:eastAsia="微软雅黑" w:cs="微软雅黑"/>
          <w:color w:val="auto"/>
          <w:spacing w:val="-26"/>
          <w:sz w:val="28"/>
          <w:szCs w:val="28"/>
          <w:highlight w:val="none"/>
          <w:lang w:eastAsia="zh-CN"/>
        </w:rPr>
        <w:t>日</w:t>
      </w:r>
      <w:r>
        <w:rPr>
          <w:rFonts w:ascii="微软雅黑" w:hAnsi="微软雅黑" w:eastAsia="微软雅黑" w:cs="微软雅黑"/>
          <w:color w:val="auto"/>
          <w:spacing w:val="2"/>
          <w:sz w:val="28"/>
          <w:szCs w:val="28"/>
          <w:highlight w:val="none"/>
          <w:lang w:eastAsia="zh-CN"/>
        </w:rPr>
        <w:t xml:space="preserve">          </w:t>
      </w:r>
      <w:r>
        <w:rPr>
          <w:rFonts w:ascii="微软雅黑" w:hAnsi="微软雅黑" w:eastAsia="微软雅黑" w:cs="微软雅黑"/>
          <w:color w:val="auto"/>
          <w:spacing w:val="-26"/>
          <w:sz w:val="28"/>
          <w:szCs w:val="28"/>
          <w:highlight w:val="none"/>
          <w:lang w:eastAsia="zh-CN"/>
        </w:rPr>
        <w:t>期</w:t>
      </w:r>
      <w:r>
        <w:rPr>
          <w:rFonts w:ascii="微软雅黑" w:hAnsi="微软雅黑" w:eastAsia="微软雅黑" w:cs="微软雅黑"/>
          <w:color w:val="auto"/>
          <w:spacing w:val="2"/>
          <w:sz w:val="28"/>
          <w:szCs w:val="28"/>
          <w:highlight w:val="none"/>
          <w:lang w:eastAsia="zh-CN"/>
        </w:rPr>
        <w:t>：</w:t>
      </w:r>
      <w:r>
        <w:rPr>
          <w:rFonts w:ascii="微软雅黑" w:hAnsi="微软雅黑" w:eastAsia="微软雅黑" w:cs="微软雅黑"/>
          <w:color w:val="auto"/>
          <w:spacing w:val="68"/>
          <w:sz w:val="28"/>
          <w:szCs w:val="28"/>
          <w:highlight w:val="none"/>
          <w:lang w:eastAsia="zh-CN"/>
        </w:rPr>
        <w:t xml:space="preserve"> </w:t>
      </w:r>
      <w:r>
        <w:rPr>
          <w:rFonts w:ascii="微软雅黑" w:hAnsi="微软雅黑" w:eastAsia="微软雅黑" w:cs="微软雅黑"/>
          <w:color w:val="auto"/>
          <w:spacing w:val="2"/>
          <w:sz w:val="28"/>
          <w:szCs w:val="28"/>
          <w:highlight w:val="none"/>
          <w:lang w:eastAsia="zh-CN"/>
        </w:rPr>
        <w:t>（</w:t>
      </w:r>
      <w:r>
        <w:rPr>
          <w:rFonts w:ascii="微软雅黑" w:hAnsi="微软雅黑" w:eastAsia="微软雅黑" w:cs="微软雅黑"/>
          <w:color w:val="auto"/>
          <w:spacing w:val="-26"/>
          <w:sz w:val="28"/>
          <w:szCs w:val="28"/>
          <w:highlight w:val="none"/>
          <w:lang w:eastAsia="zh-CN"/>
        </w:rPr>
        <w:t>年</w:t>
      </w:r>
      <w:r>
        <w:rPr>
          <w:rFonts w:ascii="宋体" w:hAnsi="宋体" w:eastAsia="宋体" w:cs="宋体"/>
          <w:color w:val="auto"/>
          <w:spacing w:val="-26"/>
          <w:sz w:val="28"/>
          <w:szCs w:val="28"/>
          <w:highlight w:val="none"/>
          <w:lang w:eastAsia="zh-CN"/>
        </w:rPr>
        <w:t>/</w:t>
      </w:r>
      <w:r>
        <w:rPr>
          <w:rFonts w:ascii="微软雅黑" w:hAnsi="微软雅黑" w:eastAsia="微软雅黑" w:cs="微软雅黑"/>
          <w:color w:val="auto"/>
          <w:spacing w:val="-26"/>
          <w:sz w:val="28"/>
          <w:szCs w:val="28"/>
          <w:highlight w:val="none"/>
          <w:lang w:eastAsia="zh-CN"/>
        </w:rPr>
        <w:t>月</w:t>
      </w:r>
      <w:r>
        <w:rPr>
          <w:rFonts w:ascii="宋体" w:hAnsi="宋体" w:eastAsia="宋体" w:cs="宋体"/>
          <w:color w:val="auto"/>
          <w:spacing w:val="-26"/>
          <w:sz w:val="28"/>
          <w:szCs w:val="28"/>
          <w:highlight w:val="none"/>
          <w:lang w:eastAsia="zh-CN"/>
        </w:rPr>
        <w:t>/</w:t>
      </w:r>
      <w:r>
        <w:rPr>
          <w:rFonts w:ascii="微软雅黑" w:hAnsi="微软雅黑" w:eastAsia="微软雅黑" w:cs="微软雅黑"/>
          <w:color w:val="auto"/>
          <w:spacing w:val="-26"/>
          <w:sz w:val="28"/>
          <w:szCs w:val="28"/>
          <w:highlight w:val="none"/>
          <w:lang w:eastAsia="zh-CN"/>
        </w:rPr>
        <w:t>日）</w:t>
      </w:r>
    </w:p>
    <w:p w14:paraId="6BE8A86B">
      <w:pPr>
        <w:spacing w:line="182" w:lineRule="auto"/>
        <w:rPr>
          <w:rFonts w:hint="eastAsia" w:ascii="微软雅黑" w:hAnsi="微软雅黑" w:eastAsia="微软雅黑" w:cs="微软雅黑"/>
          <w:color w:val="auto"/>
          <w:sz w:val="28"/>
          <w:szCs w:val="28"/>
          <w:highlight w:val="none"/>
          <w:lang w:eastAsia="zh-CN"/>
        </w:rPr>
        <w:sectPr>
          <w:footerReference r:id="rId12" w:type="default"/>
          <w:pgSz w:w="11906" w:h="16838"/>
          <w:pgMar w:top="1440" w:right="1800" w:bottom="1440" w:left="1800" w:header="0" w:footer="949" w:gutter="0"/>
          <w:pgNumType w:fmt="decimal"/>
          <w:cols w:space="720" w:num="1"/>
        </w:sectPr>
      </w:pPr>
    </w:p>
    <w:p w14:paraId="3DC66CC6">
      <w:pPr>
        <w:pStyle w:val="9"/>
        <w:spacing w:line="249" w:lineRule="auto"/>
        <w:rPr>
          <w:color w:val="auto"/>
          <w:highlight w:val="none"/>
          <w:lang w:eastAsia="zh-CN"/>
        </w:rPr>
      </w:pPr>
    </w:p>
    <w:p w14:paraId="787C399A">
      <w:pPr>
        <w:spacing w:before="75" w:line="230" w:lineRule="auto"/>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23"/>
          <w:sz w:val="24"/>
          <w:szCs w:val="24"/>
          <w:highlight w:val="none"/>
          <w:lang w:eastAsia="zh-CN"/>
        </w:rPr>
        <w:t>目</w:t>
      </w:r>
      <w:r>
        <w:rPr>
          <w:rFonts w:hint="eastAsia" w:asciiTheme="minorEastAsia" w:hAnsiTheme="minorEastAsia" w:eastAsiaTheme="minorEastAsia" w:cstheme="minorEastAsia"/>
          <w:color w:val="auto"/>
          <w:spacing w:val="7"/>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录</w:t>
      </w:r>
    </w:p>
    <w:p w14:paraId="0158907A">
      <w:pPr>
        <w:pStyle w:val="9"/>
        <w:spacing w:line="240" w:lineRule="auto"/>
        <w:rPr>
          <w:rFonts w:hint="eastAsia" w:asciiTheme="minorEastAsia" w:hAnsiTheme="minorEastAsia" w:eastAsiaTheme="minorEastAsia" w:cstheme="minorEastAsia"/>
          <w:color w:val="auto"/>
          <w:sz w:val="24"/>
          <w:szCs w:val="24"/>
          <w:highlight w:val="none"/>
          <w:lang w:eastAsia="zh-CN"/>
        </w:rPr>
      </w:pPr>
    </w:p>
    <w:p w14:paraId="4E491185">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outlineLvl w:val="9"/>
        <w:rPr>
          <w:rFonts w:hint="eastAsia" w:asciiTheme="minorEastAsia" w:hAnsiTheme="minorEastAsia" w:eastAsiaTheme="minorEastAsia" w:cstheme="minorEastAsia"/>
          <w:color w:val="auto"/>
          <w:sz w:val="24"/>
          <w:szCs w:val="24"/>
          <w:highlight w:val="none"/>
          <w:lang w:eastAsia="zh-CN"/>
        </w:rPr>
      </w:pPr>
      <w:bookmarkStart w:id="266" w:name="_Toc11931"/>
      <w:r>
        <w:rPr>
          <w:rFonts w:hint="eastAsia" w:asciiTheme="minorEastAsia" w:hAnsiTheme="minorEastAsia" w:eastAsiaTheme="minorEastAsia" w:cstheme="minorEastAsia"/>
          <w:color w:val="auto"/>
          <w:spacing w:val="7"/>
          <w:sz w:val="24"/>
          <w:szCs w:val="24"/>
          <w:highlight w:val="none"/>
          <w:lang w:eastAsia="zh-CN"/>
        </w:rPr>
        <w:t>一、资格响应文件</w:t>
      </w:r>
      <w:bookmarkEnd w:id="266"/>
    </w:p>
    <w:p w14:paraId="5D75006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textAlignment w:val="baseline"/>
        <w:outlineLvl w:val="9"/>
        <w:rPr>
          <w:rFonts w:hint="eastAsia" w:asciiTheme="minorEastAsia" w:hAnsiTheme="minorEastAsia" w:eastAsiaTheme="minorEastAsia" w:cstheme="minorEastAsia"/>
          <w:color w:val="auto"/>
          <w:spacing w:val="7"/>
          <w:sz w:val="24"/>
          <w:szCs w:val="24"/>
          <w:highlight w:val="none"/>
          <w:lang w:eastAsia="zh-CN"/>
        </w:rPr>
      </w:pPr>
      <w:r>
        <w:rPr>
          <w:rFonts w:hint="eastAsia" w:asciiTheme="minorEastAsia" w:hAnsiTheme="minorEastAsia" w:eastAsiaTheme="minorEastAsia" w:cstheme="minorEastAsia"/>
          <w:snapToGrid w:val="0"/>
          <w:color w:val="auto"/>
          <w:spacing w:val="7"/>
          <w:sz w:val="24"/>
          <w:szCs w:val="24"/>
          <w:highlight w:val="none"/>
          <w:lang w:val="en-US" w:eastAsia="zh-CN" w:bidi="ar-SA"/>
        </w:rPr>
        <w:t>（一）</w:t>
      </w:r>
      <w:r>
        <w:rPr>
          <w:rFonts w:hint="eastAsia" w:asciiTheme="minorEastAsia" w:hAnsiTheme="minorEastAsia" w:eastAsiaTheme="minorEastAsia" w:cstheme="minorEastAsia"/>
          <w:color w:val="auto"/>
          <w:spacing w:val="7"/>
          <w:sz w:val="24"/>
          <w:szCs w:val="24"/>
          <w:highlight w:val="none"/>
          <w:lang w:eastAsia="zh-CN"/>
        </w:rPr>
        <w:t>《中华人民共和国政府采购法》第二十二条应当具备的条件</w:t>
      </w:r>
    </w:p>
    <w:p w14:paraId="4CEBECB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textAlignment w:val="baseline"/>
        <w:outlineLvl w:val="9"/>
        <w:rPr>
          <w:rFonts w:hint="eastAsia" w:asciiTheme="minorEastAsia" w:hAnsiTheme="minorEastAsia" w:eastAsiaTheme="minorEastAsia" w:cstheme="minorEastAsia"/>
          <w:color w:val="auto"/>
          <w:spacing w:val="7"/>
          <w:sz w:val="24"/>
          <w:szCs w:val="24"/>
          <w:highlight w:val="none"/>
          <w:lang w:eastAsia="zh-CN"/>
        </w:rPr>
      </w:pPr>
      <w:r>
        <w:rPr>
          <w:rFonts w:hint="eastAsia" w:asciiTheme="minorEastAsia" w:hAnsiTheme="minorEastAsia" w:eastAsiaTheme="minorEastAsia" w:cstheme="minorEastAsia"/>
          <w:snapToGrid w:val="0"/>
          <w:color w:val="auto"/>
          <w:spacing w:val="7"/>
          <w:sz w:val="24"/>
          <w:szCs w:val="24"/>
          <w:highlight w:val="none"/>
          <w:lang w:val="en-US" w:eastAsia="zh-CN" w:bidi="ar-SA"/>
        </w:rPr>
        <w:t>（二）</w:t>
      </w:r>
      <w:r>
        <w:rPr>
          <w:rFonts w:hint="eastAsia" w:asciiTheme="minorEastAsia" w:hAnsiTheme="minorEastAsia" w:eastAsiaTheme="minorEastAsia" w:cstheme="minorEastAsia"/>
          <w:color w:val="auto"/>
          <w:spacing w:val="7"/>
          <w:sz w:val="24"/>
          <w:szCs w:val="24"/>
          <w:highlight w:val="none"/>
          <w:lang w:eastAsia="zh-CN"/>
        </w:rPr>
        <w:t>不参与围标串标承诺书</w:t>
      </w:r>
    </w:p>
    <w:p w14:paraId="100FDB7C">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outlineLvl w:val="9"/>
        <w:rPr>
          <w:rFonts w:hint="eastAsia" w:asciiTheme="minorEastAsia" w:hAnsiTheme="minorEastAsia" w:eastAsiaTheme="minorEastAsia" w:cstheme="minorEastAsia"/>
          <w:color w:val="auto"/>
          <w:spacing w:val="7"/>
          <w:sz w:val="24"/>
          <w:szCs w:val="24"/>
          <w:highlight w:val="none"/>
          <w:lang w:eastAsia="zh-CN"/>
        </w:rPr>
      </w:pPr>
      <w:bookmarkStart w:id="267" w:name="_Toc9314"/>
      <w:r>
        <w:rPr>
          <w:rFonts w:hint="eastAsia" w:asciiTheme="minorEastAsia" w:hAnsiTheme="minorEastAsia" w:eastAsiaTheme="minorEastAsia" w:cstheme="minorEastAsia"/>
          <w:color w:val="auto"/>
          <w:spacing w:val="8"/>
          <w:sz w:val="24"/>
          <w:szCs w:val="24"/>
          <w:highlight w:val="none"/>
          <w:lang w:eastAsia="zh-CN"/>
        </w:rPr>
        <w:t>二、报价响应文件</w:t>
      </w:r>
      <w:bookmarkEnd w:id="267"/>
    </w:p>
    <w:p w14:paraId="10CBB700">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outlineLvl w:val="9"/>
        <w:rPr>
          <w:rFonts w:hint="eastAsia" w:asciiTheme="minorEastAsia" w:hAnsiTheme="minorEastAsia" w:eastAsiaTheme="minorEastAsia" w:cstheme="minorEastAsia"/>
          <w:color w:val="auto"/>
          <w:spacing w:val="9"/>
          <w:sz w:val="24"/>
          <w:szCs w:val="24"/>
          <w:highlight w:val="none"/>
        </w:rPr>
      </w:pPr>
      <w:r>
        <w:rPr>
          <w:rFonts w:hint="eastAsia" w:asciiTheme="minorEastAsia" w:hAnsiTheme="minorEastAsia" w:eastAsiaTheme="minorEastAsia" w:cstheme="minorEastAsia"/>
          <w:color w:val="auto"/>
          <w:spacing w:val="7"/>
          <w:sz w:val="24"/>
          <w:szCs w:val="24"/>
          <w:highlight w:val="none"/>
          <w:lang w:eastAsia="zh-CN"/>
        </w:rPr>
        <w:t>报价一览表（首次报价）</w:t>
      </w:r>
      <w:bookmarkStart w:id="268" w:name="_Toc2121"/>
    </w:p>
    <w:p w14:paraId="221126CC">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9"/>
          <w:sz w:val="24"/>
          <w:szCs w:val="24"/>
          <w:highlight w:val="none"/>
        </w:rPr>
        <w:t>三、商务技术响应文件</w:t>
      </w:r>
      <w:bookmarkEnd w:id="268"/>
    </w:p>
    <w:p w14:paraId="24FEE3F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textAlignment w:val="baseline"/>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snapToGrid w:val="0"/>
          <w:color w:val="auto"/>
          <w:sz w:val="24"/>
          <w:szCs w:val="24"/>
          <w:highlight w:val="none"/>
          <w:lang w:val="en-US" w:eastAsia="en-US" w:bidi="ar-SA"/>
        </w:rPr>
        <w:t>（</w:t>
      </w:r>
      <w:r>
        <w:rPr>
          <w:rFonts w:hint="eastAsia" w:asciiTheme="minorEastAsia" w:hAnsiTheme="minorEastAsia" w:eastAsiaTheme="minorEastAsia" w:cstheme="minorEastAsia"/>
          <w:snapToGrid w:val="0"/>
          <w:color w:val="auto"/>
          <w:sz w:val="24"/>
          <w:szCs w:val="24"/>
          <w:highlight w:val="none"/>
          <w:lang w:val="en-US" w:eastAsia="zh-CN" w:bidi="ar-SA"/>
        </w:rPr>
        <w:t>一</w:t>
      </w:r>
      <w:r>
        <w:rPr>
          <w:rFonts w:hint="eastAsia" w:asciiTheme="minorEastAsia" w:hAnsiTheme="minorEastAsia" w:eastAsiaTheme="minorEastAsia" w:cstheme="minorEastAsia"/>
          <w:snapToGrid w:val="0"/>
          <w:color w:val="auto"/>
          <w:sz w:val="24"/>
          <w:szCs w:val="24"/>
          <w:highlight w:val="none"/>
          <w:lang w:val="en-US" w:eastAsia="en-US" w:bidi="ar-SA"/>
        </w:rPr>
        <w:t>）</w:t>
      </w:r>
      <w:r>
        <w:rPr>
          <w:rFonts w:hint="eastAsia" w:asciiTheme="minorEastAsia" w:hAnsiTheme="minorEastAsia" w:eastAsiaTheme="minorEastAsia" w:cstheme="minorEastAsia"/>
          <w:color w:val="auto"/>
          <w:spacing w:val="7"/>
          <w:sz w:val="24"/>
          <w:szCs w:val="24"/>
          <w:highlight w:val="none"/>
        </w:rPr>
        <w:t>谈判响应函</w:t>
      </w:r>
    </w:p>
    <w:p w14:paraId="698CE65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textAlignment w:val="baseline"/>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snapToGrid w:val="0"/>
          <w:color w:val="auto"/>
          <w:sz w:val="24"/>
          <w:szCs w:val="24"/>
          <w:highlight w:val="none"/>
          <w:lang w:val="en-US" w:eastAsia="en-US" w:bidi="ar-SA"/>
        </w:rPr>
        <w:t>（</w:t>
      </w:r>
      <w:r>
        <w:rPr>
          <w:rFonts w:hint="eastAsia" w:asciiTheme="minorEastAsia" w:hAnsiTheme="minorEastAsia" w:eastAsiaTheme="minorEastAsia" w:cstheme="minorEastAsia"/>
          <w:snapToGrid w:val="0"/>
          <w:color w:val="auto"/>
          <w:sz w:val="24"/>
          <w:szCs w:val="24"/>
          <w:highlight w:val="none"/>
          <w:lang w:val="en-US" w:eastAsia="zh-CN" w:bidi="ar-SA"/>
        </w:rPr>
        <w:t>二</w:t>
      </w:r>
      <w:r>
        <w:rPr>
          <w:rFonts w:hint="eastAsia" w:asciiTheme="minorEastAsia" w:hAnsiTheme="minorEastAsia" w:eastAsiaTheme="minorEastAsia" w:cstheme="minorEastAsia"/>
          <w:snapToGrid w:val="0"/>
          <w:color w:val="auto"/>
          <w:sz w:val="24"/>
          <w:szCs w:val="24"/>
          <w:highlight w:val="none"/>
          <w:lang w:val="en-US" w:eastAsia="en-US" w:bidi="ar-SA"/>
        </w:rPr>
        <w:t>）</w:t>
      </w:r>
      <w:r>
        <w:rPr>
          <w:rFonts w:hint="eastAsia" w:asciiTheme="minorEastAsia" w:hAnsiTheme="minorEastAsia" w:eastAsiaTheme="minorEastAsia" w:cstheme="minorEastAsia"/>
          <w:color w:val="auto"/>
          <w:spacing w:val="7"/>
          <w:sz w:val="24"/>
          <w:szCs w:val="24"/>
          <w:highlight w:val="none"/>
        </w:rPr>
        <w:t>法定授权人委托书</w:t>
      </w:r>
    </w:p>
    <w:p w14:paraId="6A22414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textAlignment w:val="baseline"/>
        <w:outlineLvl w:val="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snapToGrid w:val="0"/>
          <w:color w:val="auto"/>
          <w:sz w:val="24"/>
          <w:szCs w:val="24"/>
          <w:highlight w:val="none"/>
          <w:lang w:val="en-US" w:eastAsia="zh-CN" w:bidi="ar-SA"/>
        </w:rPr>
        <w:t>（三）</w:t>
      </w:r>
      <w:r>
        <w:rPr>
          <w:rFonts w:hint="eastAsia" w:asciiTheme="minorEastAsia" w:hAnsiTheme="minorEastAsia" w:eastAsiaTheme="minorEastAsia" w:cstheme="minorEastAsia"/>
          <w:color w:val="auto"/>
          <w:spacing w:val="7"/>
          <w:sz w:val="24"/>
          <w:szCs w:val="24"/>
          <w:highlight w:val="none"/>
          <w:lang w:eastAsia="zh-CN"/>
        </w:rPr>
        <w:t>拟派本项目负责人及主要人员情况表</w:t>
      </w:r>
    </w:p>
    <w:p w14:paraId="6F8AD62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textAlignment w:val="baseline"/>
        <w:outlineLvl w:val="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snapToGrid w:val="0"/>
          <w:color w:val="auto"/>
          <w:sz w:val="24"/>
          <w:szCs w:val="24"/>
          <w:highlight w:val="none"/>
          <w:lang w:val="en-US" w:eastAsia="zh-CN" w:bidi="ar-SA"/>
        </w:rPr>
        <w:t>（四）</w:t>
      </w:r>
      <w:r>
        <w:rPr>
          <w:rFonts w:hint="eastAsia" w:asciiTheme="minorEastAsia" w:hAnsiTheme="minorEastAsia" w:eastAsiaTheme="minorEastAsia" w:cstheme="minorEastAsia"/>
          <w:color w:val="auto"/>
          <w:spacing w:val="7"/>
          <w:sz w:val="24"/>
          <w:szCs w:val="24"/>
          <w:highlight w:val="none"/>
          <w:lang w:eastAsia="zh-CN"/>
        </w:rPr>
        <w:t>商务和技术偏差表</w:t>
      </w:r>
    </w:p>
    <w:p w14:paraId="205B05F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textAlignment w:val="baseline"/>
        <w:outlineLvl w:val="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snapToGrid w:val="0"/>
          <w:color w:val="auto"/>
          <w:sz w:val="24"/>
          <w:szCs w:val="24"/>
          <w:highlight w:val="none"/>
          <w:lang w:val="en-US" w:eastAsia="zh-CN" w:bidi="ar-SA"/>
        </w:rPr>
        <w:t>（五）</w:t>
      </w:r>
      <w:r>
        <w:rPr>
          <w:rFonts w:hint="eastAsia" w:asciiTheme="minorEastAsia" w:hAnsiTheme="minorEastAsia" w:eastAsiaTheme="minorEastAsia" w:cstheme="minorEastAsia"/>
          <w:color w:val="auto"/>
          <w:spacing w:val="7"/>
          <w:sz w:val="24"/>
          <w:szCs w:val="24"/>
          <w:highlight w:val="none"/>
          <w:lang w:eastAsia="zh-CN"/>
        </w:rPr>
        <w:t>投标产品技术性能指标的详细描述</w:t>
      </w:r>
    </w:p>
    <w:p w14:paraId="55E4779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textAlignment w:val="baseline"/>
        <w:outlineLvl w:val="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snapToGrid w:val="0"/>
          <w:color w:val="auto"/>
          <w:sz w:val="24"/>
          <w:szCs w:val="24"/>
          <w:highlight w:val="none"/>
          <w:lang w:val="en-US" w:eastAsia="zh-CN" w:bidi="ar-SA"/>
        </w:rPr>
        <w:t>（六）</w:t>
      </w:r>
      <w:r>
        <w:rPr>
          <w:rFonts w:hint="eastAsia" w:asciiTheme="minorEastAsia" w:hAnsiTheme="minorEastAsia" w:eastAsiaTheme="minorEastAsia" w:cstheme="minorEastAsia"/>
          <w:color w:val="auto"/>
          <w:spacing w:val="7"/>
          <w:sz w:val="24"/>
          <w:szCs w:val="24"/>
          <w:highlight w:val="none"/>
          <w:lang w:eastAsia="zh-CN"/>
        </w:rPr>
        <w:t>技术服务和质保期售后服务计划</w:t>
      </w:r>
    </w:p>
    <w:p w14:paraId="3261BB53">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outlineLvl w:val="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w:t>
      </w:r>
      <w:r>
        <w:rPr>
          <w:rFonts w:hint="eastAsia" w:asciiTheme="minorEastAsia" w:hAnsiTheme="minorEastAsia" w:eastAsiaTheme="minorEastAsia" w:cstheme="minorEastAsia"/>
          <w:color w:val="auto"/>
          <w:spacing w:val="7"/>
          <w:sz w:val="24"/>
          <w:szCs w:val="24"/>
          <w:highlight w:val="none"/>
          <w:lang w:val="en-US" w:eastAsia="zh-CN"/>
        </w:rPr>
        <w:t>七</w:t>
      </w:r>
      <w:r>
        <w:rPr>
          <w:rFonts w:hint="eastAsia" w:asciiTheme="minorEastAsia" w:hAnsiTheme="minorEastAsia" w:eastAsiaTheme="minorEastAsia" w:cstheme="minorEastAsia"/>
          <w:color w:val="auto"/>
          <w:spacing w:val="7"/>
          <w:sz w:val="24"/>
          <w:szCs w:val="24"/>
          <w:highlight w:val="none"/>
          <w:lang w:eastAsia="zh-CN"/>
        </w:rPr>
        <w:t>）供应商认为需要提供的其他资料</w:t>
      </w:r>
    </w:p>
    <w:p w14:paraId="53D6674B">
      <w:pPr>
        <w:keepNext w:val="0"/>
        <w:keepLines w:val="0"/>
        <w:pageBreakBefore w:val="0"/>
        <w:widowControl/>
        <w:kinsoku w:val="0"/>
        <w:wordWrap/>
        <w:overflowPunct/>
        <w:topLinePunct w:val="0"/>
        <w:autoSpaceDE w:val="0"/>
        <w:autoSpaceDN w:val="0"/>
        <w:bidi w:val="0"/>
        <w:adjustRightInd w:val="0"/>
        <w:snapToGrid w:val="0"/>
        <w:spacing w:line="0" w:lineRule="atLeast"/>
        <w:ind w:left="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2"/>
          <w:position w:val="1"/>
          <w:sz w:val="24"/>
          <w:szCs w:val="24"/>
          <w:highlight w:val="none"/>
          <w:lang w:eastAsia="zh-CN"/>
        </w:rPr>
        <w:t>...</w:t>
      </w:r>
    </w:p>
    <w:p w14:paraId="5C8F3655">
      <w:pPr>
        <w:keepNext w:val="0"/>
        <w:keepLines w:val="0"/>
        <w:pageBreakBefore w:val="0"/>
        <w:widowControl/>
        <w:kinsoku w:val="0"/>
        <w:wordWrap/>
        <w:overflowPunct/>
        <w:topLinePunct w:val="0"/>
        <w:autoSpaceDE w:val="0"/>
        <w:autoSpaceDN w:val="0"/>
        <w:bidi w:val="0"/>
        <w:adjustRightInd w:val="0"/>
        <w:snapToGrid w:val="0"/>
        <w:spacing w:line="0" w:lineRule="atLeast"/>
        <w:ind w:left="0"/>
        <w:textAlignment w:val="baseline"/>
        <w:rPr>
          <w:rFonts w:hint="eastAsia" w:ascii="宋体" w:hAnsi="宋体" w:eastAsia="宋体" w:cs="宋体"/>
          <w:color w:val="auto"/>
          <w:sz w:val="23"/>
          <w:szCs w:val="23"/>
          <w:highlight w:val="none"/>
          <w:lang w:eastAsia="zh-CN"/>
        </w:rPr>
        <w:sectPr>
          <w:footerReference r:id="rId13" w:type="default"/>
          <w:pgSz w:w="11906" w:h="16838"/>
          <w:pgMar w:top="1440" w:right="1800" w:bottom="1440" w:left="1800" w:header="0" w:footer="949" w:gutter="0"/>
          <w:pgNumType w:fmt="decimal"/>
          <w:cols w:space="720" w:num="1"/>
        </w:sectPr>
      </w:pPr>
    </w:p>
    <w:p w14:paraId="303C730C">
      <w:pPr>
        <w:pStyle w:val="9"/>
        <w:spacing w:line="271" w:lineRule="auto"/>
        <w:rPr>
          <w:color w:val="auto"/>
          <w:highlight w:val="none"/>
          <w:lang w:eastAsia="zh-CN"/>
        </w:rPr>
      </w:pPr>
    </w:p>
    <w:p w14:paraId="3A9B8BA0">
      <w:pPr>
        <w:spacing w:before="101" w:line="225" w:lineRule="auto"/>
        <w:outlineLvl w:val="1"/>
        <w:rPr>
          <w:rFonts w:hint="eastAsia" w:ascii="宋体" w:hAnsi="宋体" w:eastAsia="宋体" w:cs="宋体"/>
          <w:color w:val="auto"/>
          <w:sz w:val="28"/>
          <w:szCs w:val="28"/>
          <w:highlight w:val="none"/>
          <w:lang w:eastAsia="zh-CN"/>
        </w:rPr>
      </w:pPr>
      <w:bookmarkStart w:id="269" w:name="_Toc23308"/>
      <w:r>
        <w:rPr>
          <w:rFonts w:ascii="宋体" w:hAnsi="宋体" w:eastAsia="宋体" w:cs="宋体"/>
          <w:color w:val="auto"/>
          <w:spacing w:val="7"/>
          <w:sz w:val="28"/>
          <w:szCs w:val="28"/>
          <w:highlight w:val="none"/>
          <w:lang w:eastAsia="zh-CN"/>
          <w14:textOutline w14:w="5829" w14:cap="flat" w14:cmpd="sng" w14:algn="ctr">
            <w14:solidFill>
              <w14:srgbClr w14:val="000000"/>
            </w14:solidFill>
            <w14:prstDash w14:val="solid"/>
            <w14:miter w14:val="0"/>
          </w14:textOutline>
        </w:rPr>
        <w:t>一、资格响应文件</w:t>
      </w:r>
      <w:bookmarkEnd w:id="269"/>
    </w:p>
    <w:p w14:paraId="707E7385">
      <w:pPr>
        <w:spacing w:line="225" w:lineRule="auto"/>
        <w:rPr>
          <w:rFonts w:hint="eastAsia" w:ascii="宋体" w:hAnsi="宋体" w:eastAsia="宋体" w:cs="宋体"/>
          <w:color w:val="auto"/>
          <w:sz w:val="31"/>
          <w:szCs w:val="31"/>
          <w:highlight w:val="none"/>
          <w:lang w:eastAsia="zh-CN"/>
        </w:rPr>
        <w:sectPr>
          <w:footerReference r:id="rId14" w:type="default"/>
          <w:pgSz w:w="11906" w:h="16838"/>
          <w:pgMar w:top="1440" w:right="1800" w:bottom="1440" w:left="1800" w:header="0" w:footer="949" w:gutter="0"/>
          <w:pgNumType w:fmt="decimal"/>
          <w:cols w:space="720" w:num="1"/>
        </w:sectPr>
      </w:pPr>
    </w:p>
    <w:p w14:paraId="42D2F729">
      <w:pPr>
        <w:pStyle w:val="9"/>
        <w:spacing w:line="271" w:lineRule="auto"/>
        <w:rPr>
          <w:color w:val="auto"/>
          <w:highlight w:val="none"/>
          <w:lang w:eastAsia="zh-CN"/>
        </w:rPr>
      </w:pPr>
    </w:p>
    <w:p w14:paraId="1ED0B581">
      <w:pPr>
        <w:spacing w:before="101" w:line="224" w:lineRule="auto"/>
        <w:ind w:left="21"/>
        <w:outlineLvl w:val="2"/>
        <w:rPr>
          <w:rFonts w:hint="eastAsia" w:asciiTheme="majorEastAsia" w:hAnsiTheme="majorEastAsia" w:eastAsiaTheme="majorEastAsia" w:cstheme="majorEastAsia"/>
          <w:color w:val="auto"/>
          <w:sz w:val="28"/>
          <w:szCs w:val="28"/>
          <w:highlight w:val="none"/>
          <w:lang w:eastAsia="zh-CN"/>
        </w:rPr>
      </w:pPr>
      <w:bookmarkStart w:id="270" w:name="_Toc15567"/>
      <w:r>
        <w:rPr>
          <w:rFonts w:hint="eastAsia" w:asciiTheme="majorEastAsia" w:hAnsiTheme="majorEastAsia" w:eastAsiaTheme="majorEastAsia" w:cstheme="majorEastAsia"/>
          <w:color w:val="auto"/>
          <w:spacing w:val="9"/>
          <w:sz w:val="28"/>
          <w:szCs w:val="28"/>
          <w:highlight w:val="none"/>
          <w:lang w:eastAsia="zh-CN"/>
          <w14:textOutline w14:w="5130" w14:cap="flat" w14:cmpd="sng" w14:algn="ctr">
            <w14:solidFill>
              <w14:srgbClr w14:val="000000"/>
            </w14:solidFill>
            <w14:prstDash w14:val="solid"/>
            <w14:miter w14:val="0"/>
          </w14:textOutline>
        </w:rPr>
        <w:t>（一）</w:t>
      </w:r>
      <w:r>
        <w:rPr>
          <w:rFonts w:hint="eastAsia" w:asciiTheme="majorEastAsia" w:hAnsiTheme="majorEastAsia" w:eastAsiaTheme="majorEastAsia" w:cstheme="majorEastAsia"/>
          <w:color w:val="auto"/>
          <w:spacing w:val="9"/>
          <w:sz w:val="28"/>
          <w:szCs w:val="28"/>
          <w:highlight w:val="none"/>
          <w:lang w:eastAsia="zh-CN"/>
          <w14:textOutline w14:w="5829" w14:cap="flat" w14:cmpd="sng" w14:algn="ctr">
            <w14:solidFill>
              <w14:srgbClr w14:val="000000"/>
            </w14:solidFill>
            <w14:prstDash w14:val="solid"/>
            <w14:miter w14:val="0"/>
          </w14:textOutline>
        </w:rPr>
        <w:t>《中华人民共和国政府采购法》第二十二条应当</w:t>
      </w:r>
      <w:r>
        <w:rPr>
          <w:rFonts w:hint="eastAsia" w:asciiTheme="majorEastAsia" w:hAnsiTheme="majorEastAsia" w:eastAsiaTheme="majorEastAsia" w:cstheme="majorEastAsia"/>
          <w:color w:val="auto"/>
          <w:spacing w:val="8"/>
          <w:sz w:val="28"/>
          <w:szCs w:val="28"/>
          <w:highlight w:val="none"/>
          <w:lang w:eastAsia="zh-CN"/>
          <w14:textOutline w14:w="5829" w14:cap="flat" w14:cmpd="sng" w14:algn="ctr">
            <w14:solidFill>
              <w14:srgbClr w14:val="000000"/>
            </w14:solidFill>
            <w14:prstDash w14:val="solid"/>
            <w14:miter w14:val="0"/>
          </w14:textOutline>
        </w:rPr>
        <w:t>具备的条件</w:t>
      </w:r>
      <w:bookmarkEnd w:id="270"/>
    </w:p>
    <w:p w14:paraId="47BE870C">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520" w:firstLineChars="200"/>
        <w:textAlignment w:val="baseline"/>
        <w:rPr>
          <w:rFonts w:hint="eastAsia" w:asciiTheme="minorEastAsia" w:hAnsiTheme="minorEastAsia" w:eastAsiaTheme="minorEastAsia" w:cstheme="minorEastAsia"/>
          <w:b w:val="0"/>
          <w:bCs w:val="0"/>
          <w:color w:val="auto"/>
          <w:sz w:val="24"/>
          <w:szCs w:val="24"/>
          <w:highlight w:val="none"/>
          <w:lang w:eastAsia="zh-CN"/>
        </w:rPr>
      </w:pPr>
      <w:r>
        <w:rPr>
          <w:rFonts w:hint="eastAsia" w:asciiTheme="minorEastAsia" w:hAnsiTheme="minorEastAsia" w:eastAsiaTheme="minorEastAsia" w:cstheme="minorEastAsia"/>
          <w:color w:val="auto"/>
          <w:spacing w:val="10"/>
          <w:sz w:val="24"/>
          <w:szCs w:val="24"/>
          <w:highlight w:val="none"/>
          <w:lang w:eastAsia="zh-CN"/>
        </w:rPr>
        <w:t>（1）具有独立承担民事责任的能力（提供合法</w:t>
      </w:r>
      <w:r>
        <w:rPr>
          <w:rFonts w:hint="eastAsia" w:asciiTheme="minorEastAsia" w:hAnsiTheme="minorEastAsia" w:eastAsiaTheme="minorEastAsia" w:cstheme="minorEastAsia"/>
          <w:b w:val="0"/>
          <w:bCs w:val="0"/>
          <w:color w:val="auto"/>
          <w:spacing w:val="10"/>
          <w:sz w:val="24"/>
          <w:szCs w:val="24"/>
          <w:highlight w:val="none"/>
          <w:lang w:eastAsia="zh-CN"/>
        </w:rPr>
        <w:t>有</w:t>
      </w:r>
      <w:r>
        <w:rPr>
          <w:rFonts w:hint="eastAsia" w:asciiTheme="minorEastAsia" w:hAnsiTheme="minorEastAsia" w:eastAsiaTheme="minorEastAsia" w:cstheme="minorEastAsia"/>
          <w:b w:val="0"/>
          <w:bCs w:val="0"/>
          <w:color w:val="auto"/>
          <w:spacing w:val="9"/>
          <w:sz w:val="24"/>
          <w:szCs w:val="24"/>
          <w:highlight w:val="none"/>
          <w:lang w:eastAsia="zh-CN"/>
        </w:rPr>
        <w:t>效的</w:t>
      </w:r>
      <w:r>
        <w:rPr>
          <w:rFonts w:hint="eastAsia" w:asciiTheme="minorEastAsia" w:hAnsiTheme="minorEastAsia" w:eastAsiaTheme="minorEastAsia" w:cstheme="minorEastAsia"/>
          <w:b w:val="0"/>
          <w:bCs w:val="0"/>
          <w:color w:val="auto"/>
          <w:spacing w:val="9"/>
          <w:sz w:val="24"/>
          <w:szCs w:val="24"/>
          <w:highlight w:val="none"/>
          <w:lang w:val="en-US" w:eastAsia="zh-CN"/>
        </w:rPr>
        <w:t>法人营业执照</w:t>
      </w:r>
      <w:r>
        <w:rPr>
          <w:rFonts w:hint="eastAsia" w:asciiTheme="minorEastAsia" w:hAnsiTheme="minorEastAsia" w:eastAsiaTheme="minorEastAsia" w:cstheme="minorEastAsia"/>
          <w:color w:val="auto"/>
          <w:spacing w:val="10"/>
          <w:sz w:val="24"/>
          <w:szCs w:val="24"/>
          <w:highlight w:val="none"/>
          <w:lang w:eastAsia="zh-CN"/>
        </w:rPr>
        <w:t>或事业单位法人证书</w:t>
      </w:r>
      <w:r>
        <w:rPr>
          <w:rFonts w:hint="eastAsia" w:asciiTheme="minorEastAsia" w:hAnsiTheme="minorEastAsia" w:eastAsiaTheme="minorEastAsia" w:cstheme="minorEastAsia"/>
          <w:b w:val="0"/>
          <w:bCs w:val="0"/>
          <w:color w:val="auto"/>
          <w:spacing w:val="-1"/>
          <w:sz w:val="24"/>
          <w:szCs w:val="24"/>
          <w:highlight w:val="none"/>
          <w:shd w:val="clear" w:color="auto" w:fill="FFFFFF" w:themeFill="background1"/>
          <w:lang w:eastAsia="zh-CN"/>
        </w:rPr>
        <w:t>）</w:t>
      </w:r>
      <w:r>
        <w:rPr>
          <w:rFonts w:hint="eastAsia" w:asciiTheme="minorEastAsia" w:hAnsiTheme="minorEastAsia" w:eastAsiaTheme="minorEastAsia" w:cstheme="minorEastAsia"/>
          <w:b w:val="0"/>
          <w:bCs w:val="0"/>
          <w:color w:val="auto"/>
          <w:spacing w:val="-1"/>
          <w:sz w:val="24"/>
          <w:szCs w:val="24"/>
          <w:highlight w:val="none"/>
          <w:lang w:eastAsia="zh-CN"/>
        </w:rPr>
        <w:t>；</w:t>
      </w:r>
    </w:p>
    <w:p w14:paraId="21E49A8E">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516" w:firstLineChars="20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（2）具有良好的商业信誉和健全的财务会计制度（</w:t>
      </w:r>
      <w:r>
        <w:rPr>
          <w:rFonts w:hint="eastAsia" w:asciiTheme="minorEastAsia" w:hAnsiTheme="minorEastAsia" w:eastAsiaTheme="minorEastAsia" w:cstheme="minorEastAsia"/>
          <w:color w:val="auto"/>
          <w:spacing w:val="8"/>
          <w:sz w:val="24"/>
          <w:szCs w:val="24"/>
          <w:highlight w:val="none"/>
          <w:lang w:eastAsia="zh-CN"/>
        </w:rPr>
        <w:t>提供2023年或2024年度审计报告或财务报表，成立不足一年的公司出具开户银行出具的资信证明，或出具书面承诺函，自行提供；</w:t>
      </w:r>
      <w:r>
        <w:rPr>
          <w:rFonts w:hint="eastAsia" w:asciiTheme="minorEastAsia" w:hAnsiTheme="minorEastAsia" w:eastAsiaTheme="minorEastAsia" w:cstheme="minorEastAsia"/>
          <w:color w:val="auto"/>
          <w:spacing w:val="13"/>
          <w:sz w:val="24"/>
          <w:szCs w:val="24"/>
          <w:highlight w:val="none"/>
          <w:lang w:eastAsia="zh-CN"/>
        </w:rPr>
        <w:t>）；</w:t>
      </w:r>
    </w:p>
    <w:p w14:paraId="2E960C57">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516" w:firstLineChars="20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（3）具有履行合同所必需的设备和专业技术能力（根据项目需求提供</w:t>
      </w:r>
      <w:r>
        <w:rPr>
          <w:rFonts w:hint="eastAsia" w:asciiTheme="minorEastAsia" w:hAnsiTheme="minorEastAsia" w:eastAsiaTheme="minorEastAsia" w:cstheme="minorEastAsia"/>
          <w:color w:val="auto"/>
          <w:spacing w:val="9"/>
          <w:sz w:val="24"/>
          <w:szCs w:val="24"/>
          <w:highlight w:val="none"/>
          <w:u w:val="single"/>
          <w:lang w:eastAsia="zh-CN"/>
        </w:rPr>
        <w:t>履行合同所必</w:t>
      </w:r>
      <w:r>
        <w:rPr>
          <w:rFonts w:hint="eastAsia" w:asciiTheme="minorEastAsia" w:hAnsiTheme="minorEastAsia" w:eastAsiaTheme="minorEastAsia" w:cstheme="minorEastAsia"/>
          <w:color w:val="auto"/>
          <w:spacing w:val="7"/>
          <w:sz w:val="24"/>
          <w:szCs w:val="24"/>
          <w:highlight w:val="none"/>
          <w:u w:val="single"/>
          <w:lang w:eastAsia="zh-CN"/>
        </w:rPr>
        <w:t>需的设备和专业技术能力的书面承诺函</w:t>
      </w:r>
      <w:r>
        <w:rPr>
          <w:rFonts w:hint="eastAsia" w:asciiTheme="minorEastAsia" w:hAnsiTheme="minorEastAsia" w:eastAsiaTheme="minorEastAsia" w:cstheme="minorEastAsia"/>
          <w:color w:val="auto"/>
          <w:spacing w:val="7"/>
          <w:sz w:val="24"/>
          <w:szCs w:val="24"/>
          <w:highlight w:val="none"/>
          <w:lang w:eastAsia="zh-CN"/>
        </w:rPr>
        <w:t>，按格式提供</w:t>
      </w:r>
      <w:r>
        <w:rPr>
          <w:rFonts w:hint="eastAsia" w:asciiTheme="minorEastAsia" w:hAnsiTheme="minorEastAsia" w:eastAsiaTheme="minorEastAsia" w:cstheme="minorEastAsia"/>
          <w:color w:val="auto"/>
          <w:spacing w:val="2"/>
          <w:sz w:val="24"/>
          <w:szCs w:val="24"/>
          <w:highlight w:val="none"/>
          <w:lang w:eastAsia="zh-CN"/>
        </w:rPr>
        <w:t>）；</w:t>
      </w:r>
    </w:p>
    <w:p w14:paraId="7F3ACFDD">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516" w:firstLineChars="20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（4）有依法缴纳税收和社会保障资金的良好记录（提供参加本次政府采购活动前近</w:t>
      </w:r>
      <w:r>
        <w:rPr>
          <w:rFonts w:hint="eastAsia" w:asciiTheme="minorEastAsia" w:hAnsiTheme="minorEastAsia" w:eastAsiaTheme="minorEastAsia" w:cstheme="minorEastAsia"/>
          <w:color w:val="auto"/>
          <w:sz w:val="24"/>
          <w:szCs w:val="24"/>
          <w:highlight w:val="none"/>
          <w:lang w:eastAsia="zh-CN"/>
        </w:rPr>
        <w:t>三个月</w:t>
      </w:r>
      <w:r>
        <w:rPr>
          <w:rFonts w:hint="eastAsia" w:asciiTheme="minorEastAsia" w:hAnsiTheme="minorEastAsia" w:eastAsiaTheme="minorEastAsia" w:cstheme="minorEastAsia"/>
          <w:color w:val="auto"/>
          <w:spacing w:val="10"/>
          <w:sz w:val="24"/>
          <w:szCs w:val="24"/>
          <w:highlight w:val="none"/>
          <w:lang w:eastAsia="zh-CN"/>
        </w:rPr>
        <w:t>内任意一个月的</w:t>
      </w:r>
      <w:r>
        <w:rPr>
          <w:rFonts w:hint="eastAsia" w:asciiTheme="minorEastAsia" w:hAnsiTheme="minorEastAsia" w:eastAsiaTheme="minorEastAsia" w:cstheme="minorEastAsia"/>
          <w:color w:val="auto"/>
          <w:spacing w:val="10"/>
          <w:sz w:val="24"/>
          <w:szCs w:val="24"/>
          <w:highlight w:val="none"/>
          <w:u w:val="single"/>
          <w:lang w:eastAsia="zh-CN"/>
        </w:rPr>
        <w:t>依法缴纳税收</w:t>
      </w:r>
      <w:r>
        <w:rPr>
          <w:rFonts w:hint="eastAsia" w:asciiTheme="minorEastAsia" w:hAnsiTheme="minorEastAsia" w:eastAsiaTheme="minorEastAsia" w:cstheme="minorEastAsia"/>
          <w:color w:val="auto"/>
          <w:spacing w:val="10"/>
          <w:sz w:val="24"/>
          <w:szCs w:val="24"/>
          <w:highlight w:val="none"/>
          <w:lang w:eastAsia="zh-CN"/>
        </w:rPr>
        <w:t>和</w:t>
      </w:r>
      <w:r>
        <w:rPr>
          <w:rFonts w:hint="eastAsia" w:asciiTheme="minorEastAsia" w:hAnsiTheme="minorEastAsia" w:eastAsiaTheme="minorEastAsia" w:cstheme="minorEastAsia"/>
          <w:color w:val="auto"/>
          <w:spacing w:val="10"/>
          <w:sz w:val="24"/>
          <w:szCs w:val="24"/>
          <w:highlight w:val="none"/>
          <w:u w:val="single"/>
          <w:lang w:eastAsia="zh-CN"/>
        </w:rPr>
        <w:t>社会保障资金</w:t>
      </w:r>
      <w:r>
        <w:rPr>
          <w:rFonts w:hint="eastAsia" w:asciiTheme="minorEastAsia" w:hAnsiTheme="minorEastAsia" w:eastAsiaTheme="minorEastAsia" w:cstheme="minorEastAsia"/>
          <w:color w:val="auto"/>
          <w:spacing w:val="10"/>
          <w:sz w:val="24"/>
          <w:szCs w:val="24"/>
          <w:highlight w:val="none"/>
          <w:lang w:eastAsia="zh-CN"/>
        </w:rPr>
        <w:t>的相</w:t>
      </w:r>
      <w:r>
        <w:rPr>
          <w:rFonts w:hint="eastAsia" w:asciiTheme="minorEastAsia" w:hAnsiTheme="minorEastAsia" w:eastAsiaTheme="minorEastAsia" w:cstheme="minorEastAsia"/>
          <w:color w:val="auto"/>
          <w:spacing w:val="9"/>
          <w:sz w:val="24"/>
          <w:szCs w:val="24"/>
          <w:highlight w:val="none"/>
          <w:lang w:eastAsia="zh-CN"/>
        </w:rPr>
        <w:t>关材料或</w:t>
      </w:r>
      <w:r>
        <w:rPr>
          <w:rFonts w:hint="eastAsia" w:asciiTheme="minorEastAsia" w:hAnsiTheme="minorEastAsia" w:eastAsiaTheme="minorEastAsia" w:cstheme="minorEastAsia"/>
          <w:color w:val="auto"/>
          <w:spacing w:val="9"/>
          <w:sz w:val="24"/>
          <w:szCs w:val="24"/>
          <w:highlight w:val="none"/>
          <w:u w:val="single"/>
          <w:lang w:eastAsia="zh-CN"/>
        </w:rPr>
        <w:t>提供有依法缴纳税收和社</w:t>
      </w:r>
      <w:r>
        <w:rPr>
          <w:rFonts w:hint="eastAsia" w:asciiTheme="minorEastAsia" w:hAnsiTheme="minorEastAsia" w:eastAsiaTheme="minorEastAsia" w:cstheme="minorEastAsia"/>
          <w:color w:val="auto"/>
          <w:spacing w:val="7"/>
          <w:sz w:val="24"/>
          <w:szCs w:val="24"/>
          <w:highlight w:val="none"/>
          <w:u w:val="single"/>
          <w:lang w:eastAsia="zh-CN"/>
        </w:rPr>
        <w:t>会保障资金的良好记录的书面承诺函</w:t>
      </w:r>
      <w:r>
        <w:rPr>
          <w:rFonts w:hint="eastAsia" w:asciiTheme="minorEastAsia" w:hAnsiTheme="minorEastAsia" w:eastAsiaTheme="minorEastAsia" w:cstheme="minorEastAsia"/>
          <w:color w:val="auto"/>
          <w:spacing w:val="7"/>
          <w:sz w:val="24"/>
          <w:szCs w:val="24"/>
          <w:highlight w:val="none"/>
          <w:lang w:eastAsia="zh-CN"/>
        </w:rPr>
        <w:t>，自行提供）；</w:t>
      </w:r>
    </w:p>
    <w:p w14:paraId="2A176266">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516" w:firstLineChars="20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9"/>
          <w:sz w:val="24"/>
          <w:szCs w:val="24"/>
          <w:highlight w:val="none"/>
          <w:lang w:eastAsia="zh-CN"/>
        </w:rPr>
        <w:t>（5）参加政府采购活动前三年内，在经营活动中没有重大违法记录（提供</w:t>
      </w:r>
      <w:r>
        <w:rPr>
          <w:rFonts w:hint="eastAsia" w:asciiTheme="minorEastAsia" w:hAnsiTheme="minorEastAsia" w:eastAsiaTheme="minorEastAsia" w:cstheme="minorEastAsia"/>
          <w:color w:val="auto"/>
          <w:spacing w:val="9"/>
          <w:sz w:val="24"/>
          <w:szCs w:val="24"/>
          <w:highlight w:val="none"/>
          <w:u w:val="single"/>
          <w:lang w:eastAsia="zh-CN"/>
        </w:rPr>
        <w:t>参加本次</w:t>
      </w:r>
      <w:r>
        <w:rPr>
          <w:rFonts w:hint="eastAsia" w:asciiTheme="minorEastAsia" w:hAnsiTheme="minorEastAsia" w:eastAsiaTheme="minorEastAsia" w:cstheme="minorEastAsia"/>
          <w:color w:val="auto"/>
          <w:spacing w:val="8"/>
          <w:sz w:val="24"/>
          <w:szCs w:val="24"/>
          <w:highlight w:val="none"/>
          <w:u w:val="single"/>
          <w:lang w:eastAsia="zh-CN"/>
        </w:rPr>
        <w:t>政府采购活动前 3 年内在经营活动中没有重大违法记录的书面承诺函</w:t>
      </w:r>
      <w:r>
        <w:rPr>
          <w:rFonts w:hint="eastAsia" w:asciiTheme="minorEastAsia" w:hAnsiTheme="minorEastAsia" w:eastAsiaTheme="minorEastAsia" w:cstheme="minorEastAsia"/>
          <w:color w:val="auto"/>
          <w:spacing w:val="8"/>
          <w:sz w:val="24"/>
          <w:szCs w:val="24"/>
          <w:highlight w:val="none"/>
          <w:lang w:eastAsia="zh-CN"/>
        </w:rPr>
        <w:t>，按格式提供</w:t>
      </w:r>
      <w:r>
        <w:rPr>
          <w:rFonts w:hint="eastAsia" w:asciiTheme="minorEastAsia" w:hAnsiTheme="minorEastAsia" w:eastAsiaTheme="minorEastAsia" w:cstheme="minorEastAsia"/>
          <w:color w:val="auto"/>
          <w:spacing w:val="5"/>
          <w:sz w:val="24"/>
          <w:szCs w:val="24"/>
          <w:highlight w:val="none"/>
          <w:lang w:eastAsia="zh-CN"/>
        </w:rPr>
        <w:t>）；</w:t>
      </w:r>
    </w:p>
    <w:p w14:paraId="50C5AE82">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92" w:firstLineChars="200"/>
        <w:textAlignment w:val="baseline"/>
        <w:rPr>
          <w:rFonts w:hint="eastAsia" w:asciiTheme="minorEastAsia" w:hAnsiTheme="minorEastAsia" w:eastAsiaTheme="minorEastAsia" w:cstheme="minorEastAsia"/>
          <w:color w:val="auto"/>
          <w:spacing w:val="4"/>
          <w:sz w:val="24"/>
          <w:szCs w:val="24"/>
          <w:highlight w:val="none"/>
          <w:lang w:eastAsia="zh-CN"/>
        </w:rPr>
      </w:pPr>
      <w:r>
        <w:rPr>
          <w:rFonts w:hint="eastAsia" w:asciiTheme="minorEastAsia" w:hAnsiTheme="minorEastAsia" w:eastAsiaTheme="minorEastAsia" w:cstheme="minorEastAsia"/>
          <w:color w:val="auto"/>
          <w:spacing w:val="3"/>
          <w:sz w:val="24"/>
          <w:szCs w:val="24"/>
          <w:highlight w:val="none"/>
          <w:lang w:eastAsia="zh-CN"/>
        </w:rPr>
        <w:t>（6）法律、行政法规规定的其他条件。（</w:t>
      </w:r>
      <w:r>
        <w:rPr>
          <w:rFonts w:hint="eastAsia" w:asciiTheme="minorEastAsia" w:hAnsiTheme="minorEastAsia" w:eastAsiaTheme="minorEastAsia" w:cstheme="minorEastAsia"/>
          <w:color w:val="auto"/>
          <w:sz w:val="24"/>
          <w:szCs w:val="24"/>
          <w:highlight w:val="none"/>
          <w:lang w:eastAsia="zh-CN"/>
        </w:rPr>
        <w:t>符合</w:t>
      </w:r>
      <w:r>
        <w:rPr>
          <w:rFonts w:hint="eastAsia" w:asciiTheme="minorEastAsia" w:hAnsiTheme="minorEastAsia" w:eastAsiaTheme="minorEastAsia" w:cstheme="minorEastAsia"/>
          <w:color w:val="auto"/>
          <w:sz w:val="24"/>
          <w:szCs w:val="24"/>
          <w:highlight w:val="none"/>
          <w:lang w:val="zh-CN" w:eastAsia="zh-CN"/>
        </w:rPr>
        <w:t>法律、行政法规规定的其他条件</w:t>
      </w:r>
      <w:r>
        <w:rPr>
          <w:rFonts w:hint="eastAsia" w:asciiTheme="minorEastAsia" w:hAnsiTheme="minorEastAsia" w:eastAsiaTheme="minorEastAsia" w:cstheme="minorEastAsia"/>
          <w:color w:val="auto"/>
          <w:sz w:val="24"/>
          <w:szCs w:val="24"/>
          <w:highlight w:val="none"/>
          <w:lang w:eastAsia="zh-CN"/>
        </w:rPr>
        <w:t>承诺函，自行提供</w:t>
      </w:r>
      <w:r>
        <w:rPr>
          <w:rFonts w:hint="eastAsia" w:asciiTheme="minorEastAsia" w:hAnsiTheme="minorEastAsia" w:eastAsiaTheme="minorEastAsia" w:cstheme="minorEastAsia"/>
          <w:color w:val="auto"/>
          <w:spacing w:val="3"/>
          <w:sz w:val="24"/>
          <w:szCs w:val="24"/>
          <w:highlight w:val="none"/>
          <w:lang w:eastAsia="zh-CN"/>
        </w:rPr>
        <w:t>）</w:t>
      </w:r>
      <w:r>
        <w:rPr>
          <w:rFonts w:hint="eastAsia" w:asciiTheme="minorEastAsia" w:hAnsiTheme="minorEastAsia" w:eastAsiaTheme="minorEastAsia" w:cstheme="minorEastAsia"/>
          <w:color w:val="auto"/>
          <w:spacing w:val="58"/>
          <w:sz w:val="24"/>
          <w:szCs w:val="24"/>
          <w:highlight w:val="none"/>
          <w:lang w:eastAsia="zh-CN"/>
        </w:rPr>
        <w:t>；</w:t>
      </w:r>
    </w:p>
    <w:p w14:paraId="4827C49C">
      <w:pPr>
        <w:pStyle w:val="2"/>
        <w:keepNext w:val="0"/>
        <w:keepLines w:val="0"/>
        <w:pageBreakBefore w:val="0"/>
        <w:widowControl/>
        <w:kinsoku w:val="0"/>
        <w:wordWrap/>
        <w:overflowPunct/>
        <w:topLinePunct w:val="0"/>
        <w:autoSpaceDE w:val="0"/>
        <w:autoSpaceDN w:val="0"/>
        <w:bidi w:val="0"/>
        <w:adjustRightInd w:val="0"/>
        <w:snapToGrid w:val="0"/>
        <w:spacing w:after="0" w:line="360" w:lineRule="auto"/>
        <w:ind w:left="0" w:firstLine="496" w:firstLineChars="200"/>
        <w:textAlignment w:val="baseline"/>
        <w:rPr>
          <w:rFonts w:hint="eastAsia" w:asciiTheme="minorEastAsia" w:hAnsiTheme="minorEastAsia" w:eastAsiaTheme="minorEastAsia" w:cstheme="minorEastAsia"/>
          <w:color w:val="auto"/>
          <w:spacing w:val="4"/>
          <w:sz w:val="24"/>
          <w:szCs w:val="24"/>
          <w:highlight w:val="none"/>
          <w:lang w:eastAsia="zh-CN"/>
        </w:rPr>
      </w:pPr>
      <w:r>
        <w:rPr>
          <w:rFonts w:hint="eastAsia" w:asciiTheme="minorEastAsia" w:hAnsiTheme="minorEastAsia" w:eastAsiaTheme="minorEastAsia" w:cstheme="minorEastAsia"/>
          <w:color w:val="auto"/>
          <w:spacing w:val="4"/>
          <w:sz w:val="24"/>
          <w:szCs w:val="24"/>
          <w:highlight w:val="none"/>
          <w:lang w:eastAsia="zh-CN"/>
        </w:rPr>
        <w:t>（7）供应商为中小企业；（需提供中小企业声明函，按格式提供。）；</w:t>
      </w:r>
    </w:p>
    <w:p w14:paraId="0E4EF975">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96" w:firstLineChars="20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4"/>
          <w:sz w:val="24"/>
          <w:szCs w:val="24"/>
          <w:highlight w:val="none"/>
          <w:lang w:eastAsia="zh-CN"/>
        </w:rPr>
        <w:t>（8）</w:t>
      </w:r>
      <w:r>
        <w:rPr>
          <w:rFonts w:hint="eastAsia" w:asciiTheme="minorEastAsia" w:hAnsiTheme="minorEastAsia" w:eastAsiaTheme="minorEastAsia" w:cstheme="minorEastAsia"/>
          <w:color w:val="auto"/>
          <w:sz w:val="24"/>
          <w:szCs w:val="24"/>
          <w:highlight w:val="none"/>
          <w:lang w:eastAsia="zh-CN"/>
        </w:rPr>
        <w:t>企业诚信信息未被行业主管部门通报；（提供网页截图等证明材料或承诺函）；</w:t>
      </w:r>
    </w:p>
    <w:p w14:paraId="07375E56">
      <w:pPr>
        <w:pStyle w:val="2"/>
        <w:keepNext w:val="0"/>
        <w:keepLines w:val="0"/>
        <w:pageBreakBefore w:val="0"/>
        <w:widowControl/>
        <w:kinsoku w:val="0"/>
        <w:wordWrap/>
        <w:overflowPunct/>
        <w:topLinePunct w:val="0"/>
        <w:autoSpaceDE w:val="0"/>
        <w:autoSpaceDN w:val="0"/>
        <w:bidi w:val="0"/>
        <w:adjustRightInd w:val="0"/>
        <w:snapToGrid w:val="0"/>
        <w:spacing w:after="0" w:line="360" w:lineRule="auto"/>
        <w:ind w:left="0" w:firstLine="480" w:firstLineChars="20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（9）未在“信用中国”网站（www.creditchina.gov.cn）、中国政府采购网（www.ccgp.gov.cn）等渠道列入失信被执行人、重大税收违法案件当事人名单、政府采购严重违法失信行为记录名单；（提供网页截图）；</w:t>
      </w:r>
    </w:p>
    <w:p w14:paraId="6E8751C3">
      <w:pPr>
        <w:pStyle w:val="2"/>
        <w:keepNext w:val="0"/>
        <w:keepLines w:val="0"/>
        <w:pageBreakBefore w:val="0"/>
        <w:widowControl/>
        <w:kinsoku w:val="0"/>
        <w:wordWrap/>
        <w:overflowPunct/>
        <w:topLinePunct w:val="0"/>
        <w:autoSpaceDE w:val="0"/>
        <w:autoSpaceDN w:val="0"/>
        <w:bidi w:val="0"/>
        <w:adjustRightInd w:val="0"/>
        <w:snapToGrid w:val="0"/>
        <w:spacing w:after="0" w:line="360" w:lineRule="auto"/>
        <w:ind w:left="0" w:firstLine="480" w:firstLineChars="20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10）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提供书面承诺函，自行提供）。</w:t>
      </w:r>
    </w:p>
    <w:p w14:paraId="7EA464DE">
      <w:pPr>
        <w:spacing w:line="226" w:lineRule="auto"/>
        <w:rPr>
          <w:rFonts w:hint="eastAsia" w:ascii="宋体" w:hAnsi="宋体" w:eastAsia="宋体" w:cs="宋体"/>
          <w:color w:val="auto"/>
          <w:sz w:val="24"/>
          <w:szCs w:val="24"/>
          <w:highlight w:val="none"/>
          <w:lang w:eastAsia="zh-CN"/>
        </w:rPr>
      </w:pPr>
    </w:p>
    <w:p w14:paraId="31A5B5EC">
      <w:pPr>
        <w:pStyle w:val="2"/>
        <w:rPr>
          <w:rFonts w:hint="eastAsia" w:ascii="宋体" w:hAnsi="宋体" w:eastAsia="宋体" w:cs="宋体"/>
          <w:color w:val="auto"/>
          <w:sz w:val="24"/>
          <w:szCs w:val="24"/>
          <w:highlight w:val="none"/>
          <w:lang w:eastAsia="zh-CN"/>
        </w:rPr>
        <w:sectPr>
          <w:footerReference r:id="rId15" w:type="default"/>
          <w:pgSz w:w="11906" w:h="16838"/>
          <w:pgMar w:top="1440" w:right="1800" w:bottom="1440" w:left="1800" w:header="0" w:footer="949" w:gutter="0"/>
          <w:pgNumType w:fmt="decimal"/>
          <w:cols w:space="720" w:num="1"/>
        </w:sectPr>
      </w:pPr>
    </w:p>
    <w:p w14:paraId="4616CC13">
      <w:pPr>
        <w:spacing w:before="75" w:line="227" w:lineRule="auto"/>
        <w:jc w:val="center"/>
        <w:rPr>
          <w:rFonts w:hint="eastAsia" w:asciiTheme="minorEastAsia" w:hAnsiTheme="minorEastAsia" w:eastAsiaTheme="minorEastAsia" w:cstheme="minorEastAsia"/>
          <w:color w:val="auto"/>
          <w:spacing w:val="9"/>
          <w:sz w:val="24"/>
          <w:szCs w:val="24"/>
          <w:highlight w:val="none"/>
          <w:lang w:eastAsia="zh-CN"/>
          <w14:textOutline w14:w="4394" w14:cap="flat" w14:cmpd="sng" w14:algn="ctr">
            <w14:solidFill>
              <w14:srgbClr w14:val="000000"/>
            </w14:solidFill>
            <w14:prstDash w14:val="solid"/>
            <w14:miter w14:val="0"/>
          </w14:textOutline>
        </w:rPr>
      </w:pPr>
      <w:r>
        <w:rPr>
          <w:rFonts w:hint="eastAsia" w:asciiTheme="minorEastAsia" w:hAnsiTheme="minorEastAsia" w:eastAsiaTheme="minorEastAsia" w:cstheme="minorEastAsia"/>
          <w:color w:val="auto"/>
          <w:spacing w:val="9"/>
          <w:sz w:val="24"/>
          <w:szCs w:val="24"/>
          <w:highlight w:val="none"/>
          <w:lang w:eastAsia="zh-CN"/>
          <w14:textOutline w14:w="4394" w14:cap="flat" w14:cmpd="sng" w14:algn="ctr">
            <w14:solidFill>
              <w14:srgbClr w14:val="000000"/>
            </w14:solidFill>
            <w14:prstDash w14:val="solid"/>
            <w14:miter w14:val="0"/>
          </w14:textOutline>
        </w:rPr>
        <w:t>履行合同所必需的设备和专业技术能力的书面承诺函（格式）</w:t>
      </w:r>
    </w:p>
    <w:p w14:paraId="2D817F9C">
      <w:pPr>
        <w:pStyle w:val="2"/>
        <w:rPr>
          <w:rFonts w:hint="eastAsia"/>
          <w:color w:val="auto"/>
          <w:highlight w:val="none"/>
          <w:lang w:eastAsia="zh-CN"/>
        </w:rPr>
      </w:pPr>
    </w:p>
    <w:p w14:paraId="72AE4600">
      <w:pPr>
        <w:spacing w:before="255" w:line="333" w:lineRule="auto"/>
        <w:ind w:firstLine="528"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2"/>
          <w:sz w:val="24"/>
          <w:szCs w:val="24"/>
          <w:highlight w:val="none"/>
          <w:lang w:eastAsia="zh-CN"/>
        </w:rPr>
        <w:t>我单位完全理解</w:t>
      </w:r>
      <w:r>
        <w:rPr>
          <w:rFonts w:hint="eastAsia" w:asciiTheme="minorEastAsia" w:hAnsiTheme="minorEastAsia" w:eastAsiaTheme="minorEastAsia" w:cstheme="minorEastAsia"/>
          <w:color w:val="auto"/>
          <w:spacing w:val="12"/>
          <w:sz w:val="24"/>
          <w:szCs w:val="24"/>
          <w:highlight w:val="none"/>
          <w:u w:val="single"/>
          <w:lang w:eastAsia="zh-CN"/>
        </w:rPr>
        <w:t>（项目名称）</w:t>
      </w:r>
      <w:r>
        <w:rPr>
          <w:rFonts w:hint="eastAsia" w:asciiTheme="minorEastAsia" w:hAnsiTheme="minorEastAsia" w:eastAsiaTheme="minorEastAsia" w:cstheme="minorEastAsia"/>
          <w:color w:val="auto"/>
          <w:spacing w:val="12"/>
          <w:sz w:val="24"/>
          <w:szCs w:val="24"/>
          <w:highlight w:val="none"/>
          <w:lang w:eastAsia="zh-CN"/>
        </w:rPr>
        <w:t>的技术要求，商务条款及其他内容，并承诺具有</w:t>
      </w:r>
      <w:r>
        <w:rPr>
          <w:rFonts w:hint="eastAsia" w:asciiTheme="minorEastAsia" w:hAnsiTheme="minorEastAsia" w:eastAsiaTheme="minorEastAsia" w:cstheme="minorEastAsia"/>
          <w:color w:val="auto"/>
          <w:spacing w:val="11"/>
          <w:sz w:val="24"/>
          <w:szCs w:val="24"/>
          <w:highlight w:val="none"/>
          <w:lang w:eastAsia="zh-CN"/>
        </w:rPr>
        <w:t>履行该</w:t>
      </w:r>
      <w:r>
        <w:rPr>
          <w:rFonts w:hint="eastAsia" w:asciiTheme="minorEastAsia" w:hAnsiTheme="minorEastAsia" w:eastAsiaTheme="minorEastAsia" w:cstheme="minorEastAsia"/>
          <w:color w:val="auto"/>
          <w:spacing w:val="8"/>
          <w:sz w:val="24"/>
          <w:szCs w:val="24"/>
          <w:highlight w:val="none"/>
          <w:lang w:eastAsia="zh-CN"/>
        </w:rPr>
        <w:t>项目合同所必需的设备和专业技术能力。</w:t>
      </w:r>
    </w:p>
    <w:p w14:paraId="616B6337">
      <w:pPr>
        <w:spacing w:before="251" w:line="227" w:lineRule="auto"/>
        <w:ind w:left="478"/>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我单位对上述承诺的真实性负责。如有虚假将依法承担相应法律责任。</w:t>
      </w:r>
    </w:p>
    <w:p w14:paraId="7A12E61E">
      <w:pPr>
        <w:pStyle w:val="9"/>
        <w:spacing w:line="288" w:lineRule="auto"/>
        <w:rPr>
          <w:rFonts w:hint="eastAsia" w:asciiTheme="minorEastAsia" w:hAnsiTheme="minorEastAsia" w:eastAsiaTheme="minorEastAsia" w:cstheme="minorEastAsia"/>
          <w:color w:val="auto"/>
          <w:sz w:val="24"/>
          <w:szCs w:val="24"/>
          <w:highlight w:val="none"/>
          <w:lang w:eastAsia="zh-CN"/>
        </w:rPr>
      </w:pPr>
    </w:p>
    <w:p w14:paraId="35A9D83D">
      <w:pPr>
        <w:spacing w:before="75" w:line="227" w:lineRule="auto"/>
        <w:ind w:left="835"/>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5"/>
          <w:sz w:val="24"/>
          <w:szCs w:val="24"/>
          <w:highlight w:val="none"/>
          <w:lang w:eastAsia="zh-CN"/>
        </w:rPr>
        <w:t>谈判供应商名称（电子公章）：</w:t>
      </w:r>
    </w:p>
    <w:p w14:paraId="050FB9EE">
      <w:pPr>
        <w:spacing w:before="159" w:line="439" w:lineRule="exact"/>
        <w:ind w:left="835"/>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6"/>
          <w:position w:val="15"/>
          <w:sz w:val="24"/>
          <w:szCs w:val="24"/>
          <w:highlight w:val="none"/>
          <w:lang w:eastAsia="zh-CN"/>
        </w:rPr>
        <w:t>谈判供应商法定代表人（电子签名或盖章</w:t>
      </w:r>
      <w:r>
        <w:rPr>
          <w:rFonts w:hint="eastAsia" w:asciiTheme="minorEastAsia" w:hAnsiTheme="minorEastAsia" w:eastAsiaTheme="minorEastAsia" w:cstheme="minorEastAsia"/>
          <w:color w:val="auto"/>
          <w:spacing w:val="11"/>
          <w:position w:val="15"/>
          <w:sz w:val="24"/>
          <w:szCs w:val="24"/>
          <w:highlight w:val="none"/>
          <w:lang w:eastAsia="zh-CN"/>
        </w:rPr>
        <w:t>）：</w:t>
      </w:r>
    </w:p>
    <w:p w14:paraId="56872C90">
      <w:pPr>
        <w:spacing w:before="1" w:line="227" w:lineRule="auto"/>
        <w:ind w:left="877"/>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23"/>
          <w:sz w:val="24"/>
          <w:szCs w:val="24"/>
          <w:highlight w:val="none"/>
          <w:lang w:eastAsia="zh-CN"/>
        </w:rPr>
        <w:t>日期：</w:t>
      </w:r>
      <w:r>
        <w:rPr>
          <w:rFonts w:hint="eastAsia" w:asciiTheme="minorEastAsia" w:hAnsiTheme="minorEastAsia" w:eastAsiaTheme="minorEastAsia" w:cstheme="minorEastAsia"/>
          <w:color w:val="auto"/>
          <w:spacing w:val="5"/>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年</w:t>
      </w:r>
      <w:r>
        <w:rPr>
          <w:rFonts w:hint="eastAsia" w:asciiTheme="minorEastAsia" w:hAnsiTheme="minorEastAsia" w:eastAsiaTheme="minorEastAsia" w:cstheme="minorEastAsia"/>
          <w:color w:val="auto"/>
          <w:spacing w:val="21"/>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月</w:t>
      </w:r>
      <w:r>
        <w:rPr>
          <w:rFonts w:hint="eastAsia" w:asciiTheme="minorEastAsia" w:hAnsiTheme="minorEastAsia" w:eastAsiaTheme="minorEastAsia" w:cstheme="minorEastAsia"/>
          <w:color w:val="auto"/>
          <w:spacing w:val="55"/>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日</w:t>
      </w:r>
    </w:p>
    <w:p w14:paraId="7AD5CE33">
      <w:pPr>
        <w:pStyle w:val="9"/>
        <w:spacing w:line="241" w:lineRule="auto"/>
        <w:rPr>
          <w:color w:val="auto"/>
          <w:highlight w:val="none"/>
          <w:lang w:eastAsia="zh-CN"/>
        </w:rPr>
      </w:pPr>
    </w:p>
    <w:p w14:paraId="7EFDB602">
      <w:pPr>
        <w:pStyle w:val="9"/>
        <w:spacing w:line="241" w:lineRule="auto"/>
        <w:rPr>
          <w:color w:val="auto"/>
          <w:highlight w:val="none"/>
          <w:lang w:eastAsia="zh-CN"/>
        </w:rPr>
      </w:pPr>
    </w:p>
    <w:p w14:paraId="4120850B">
      <w:pPr>
        <w:pStyle w:val="9"/>
        <w:spacing w:line="241" w:lineRule="auto"/>
        <w:rPr>
          <w:color w:val="auto"/>
          <w:highlight w:val="none"/>
          <w:lang w:eastAsia="zh-CN"/>
        </w:rPr>
      </w:pPr>
    </w:p>
    <w:p w14:paraId="21ABF0D0">
      <w:pPr>
        <w:pStyle w:val="9"/>
        <w:spacing w:line="241" w:lineRule="auto"/>
        <w:rPr>
          <w:color w:val="auto"/>
          <w:highlight w:val="none"/>
          <w:lang w:eastAsia="zh-CN"/>
        </w:rPr>
      </w:pPr>
    </w:p>
    <w:p w14:paraId="3ECEEC51">
      <w:pPr>
        <w:pStyle w:val="9"/>
        <w:spacing w:line="241" w:lineRule="auto"/>
        <w:rPr>
          <w:color w:val="auto"/>
          <w:highlight w:val="none"/>
          <w:lang w:eastAsia="zh-CN"/>
        </w:rPr>
      </w:pPr>
    </w:p>
    <w:p w14:paraId="36BCA401">
      <w:pPr>
        <w:pStyle w:val="9"/>
        <w:spacing w:line="241" w:lineRule="auto"/>
        <w:rPr>
          <w:color w:val="auto"/>
          <w:highlight w:val="none"/>
          <w:lang w:eastAsia="zh-CN"/>
        </w:rPr>
      </w:pPr>
    </w:p>
    <w:p w14:paraId="66F2CA23">
      <w:pPr>
        <w:pStyle w:val="9"/>
        <w:spacing w:line="241" w:lineRule="auto"/>
        <w:rPr>
          <w:color w:val="auto"/>
          <w:highlight w:val="none"/>
          <w:lang w:eastAsia="zh-CN"/>
        </w:rPr>
      </w:pPr>
    </w:p>
    <w:p w14:paraId="64669FFE">
      <w:pPr>
        <w:pStyle w:val="9"/>
        <w:spacing w:line="241" w:lineRule="auto"/>
        <w:rPr>
          <w:color w:val="auto"/>
          <w:highlight w:val="none"/>
          <w:lang w:eastAsia="zh-CN"/>
        </w:rPr>
      </w:pPr>
    </w:p>
    <w:p w14:paraId="48CFC2DC">
      <w:pPr>
        <w:pStyle w:val="9"/>
        <w:spacing w:line="241" w:lineRule="auto"/>
        <w:rPr>
          <w:color w:val="auto"/>
          <w:highlight w:val="none"/>
          <w:lang w:eastAsia="zh-CN"/>
        </w:rPr>
      </w:pPr>
    </w:p>
    <w:p w14:paraId="162AF284">
      <w:pPr>
        <w:pStyle w:val="9"/>
        <w:spacing w:line="241" w:lineRule="auto"/>
        <w:rPr>
          <w:color w:val="auto"/>
          <w:highlight w:val="none"/>
          <w:lang w:eastAsia="zh-CN"/>
        </w:rPr>
      </w:pPr>
    </w:p>
    <w:p w14:paraId="59EA5515">
      <w:pPr>
        <w:pStyle w:val="9"/>
        <w:spacing w:line="241" w:lineRule="auto"/>
        <w:rPr>
          <w:color w:val="auto"/>
          <w:highlight w:val="none"/>
          <w:lang w:eastAsia="zh-CN"/>
        </w:rPr>
      </w:pPr>
    </w:p>
    <w:p w14:paraId="72A42CC6">
      <w:pPr>
        <w:pStyle w:val="9"/>
        <w:spacing w:line="241" w:lineRule="auto"/>
        <w:rPr>
          <w:color w:val="auto"/>
          <w:highlight w:val="none"/>
          <w:lang w:eastAsia="zh-CN"/>
        </w:rPr>
      </w:pPr>
    </w:p>
    <w:p w14:paraId="5E70CFCF">
      <w:pPr>
        <w:pStyle w:val="9"/>
        <w:spacing w:line="241" w:lineRule="auto"/>
        <w:rPr>
          <w:color w:val="auto"/>
          <w:highlight w:val="none"/>
          <w:lang w:eastAsia="zh-CN"/>
        </w:rPr>
      </w:pPr>
    </w:p>
    <w:p w14:paraId="20CF0370">
      <w:pPr>
        <w:pStyle w:val="9"/>
        <w:spacing w:line="241" w:lineRule="auto"/>
        <w:rPr>
          <w:color w:val="auto"/>
          <w:highlight w:val="none"/>
          <w:lang w:eastAsia="zh-CN"/>
        </w:rPr>
      </w:pPr>
    </w:p>
    <w:p w14:paraId="64B012A7">
      <w:pPr>
        <w:pStyle w:val="9"/>
        <w:spacing w:line="241" w:lineRule="auto"/>
        <w:rPr>
          <w:color w:val="auto"/>
          <w:highlight w:val="none"/>
          <w:lang w:eastAsia="zh-CN"/>
        </w:rPr>
      </w:pPr>
    </w:p>
    <w:p w14:paraId="1D69085B">
      <w:pPr>
        <w:pStyle w:val="9"/>
        <w:spacing w:line="241" w:lineRule="auto"/>
        <w:rPr>
          <w:color w:val="auto"/>
          <w:highlight w:val="none"/>
          <w:lang w:eastAsia="zh-CN"/>
        </w:rPr>
      </w:pPr>
    </w:p>
    <w:p w14:paraId="29B64D8B">
      <w:pPr>
        <w:pStyle w:val="9"/>
        <w:spacing w:line="241" w:lineRule="auto"/>
        <w:rPr>
          <w:color w:val="auto"/>
          <w:highlight w:val="none"/>
          <w:lang w:eastAsia="zh-CN"/>
        </w:rPr>
      </w:pPr>
    </w:p>
    <w:p w14:paraId="1D913478">
      <w:pPr>
        <w:pStyle w:val="9"/>
        <w:spacing w:line="241" w:lineRule="auto"/>
        <w:rPr>
          <w:color w:val="auto"/>
          <w:highlight w:val="none"/>
          <w:lang w:eastAsia="zh-CN"/>
        </w:rPr>
      </w:pPr>
    </w:p>
    <w:p w14:paraId="389753BA">
      <w:pPr>
        <w:pStyle w:val="9"/>
        <w:spacing w:line="241" w:lineRule="auto"/>
        <w:rPr>
          <w:color w:val="auto"/>
          <w:highlight w:val="none"/>
          <w:lang w:eastAsia="zh-CN"/>
        </w:rPr>
      </w:pPr>
    </w:p>
    <w:p w14:paraId="0116CC41">
      <w:pPr>
        <w:pStyle w:val="9"/>
        <w:spacing w:line="241" w:lineRule="auto"/>
        <w:rPr>
          <w:color w:val="auto"/>
          <w:highlight w:val="none"/>
          <w:lang w:eastAsia="zh-CN"/>
        </w:rPr>
      </w:pPr>
    </w:p>
    <w:p w14:paraId="0917F901">
      <w:pPr>
        <w:pStyle w:val="9"/>
        <w:spacing w:line="241" w:lineRule="auto"/>
        <w:rPr>
          <w:color w:val="auto"/>
          <w:highlight w:val="none"/>
          <w:lang w:eastAsia="zh-CN"/>
        </w:rPr>
      </w:pPr>
    </w:p>
    <w:p w14:paraId="4A7CC1CB">
      <w:pPr>
        <w:pStyle w:val="9"/>
        <w:spacing w:line="241" w:lineRule="auto"/>
        <w:rPr>
          <w:color w:val="auto"/>
          <w:highlight w:val="none"/>
          <w:lang w:eastAsia="zh-CN"/>
        </w:rPr>
      </w:pPr>
    </w:p>
    <w:p w14:paraId="75553DDC">
      <w:pPr>
        <w:pStyle w:val="9"/>
        <w:spacing w:line="241" w:lineRule="auto"/>
        <w:rPr>
          <w:color w:val="auto"/>
          <w:highlight w:val="none"/>
          <w:lang w:eastAsia="zh-CN"/>
        </w:rPr>
      </w:pPr>
    </w:p>
    <w:p w14:paraId="1F9C2A00">
      <w:pPr>
        <w:pStyle w:val="9"/>
        <w:spacing w:line="241" w:lineRule="auto"/>
        <w:rPr>
          <w:color w:val="auto"/>
          <w:highlight w:val="none"/>
          <w:lang w:eastAsia="zh-CN"/>
        </w:rPr>
      </w:pPr>
    </w:p>
    <w:p w14:paraId="3A02BE31">
      <w:pPr>
        <w:pStyle w:val="9"/>
        <w:spacing w:line="241" w:lineRule="auto"/>
        <w:rPr>
          <w:color w:val="auto"/>
          <w:highlight w:val="none"/>
          <w:lang w:eastAsia="zh-CN"/>
        </w:rPr>
      </w:pPr>
    </w:p>
    <w:p w14:paraId="614AAA39">
      <w:pPr>
        <w:pStyle w:val="9"/>
        <w:spacing w:line="241" w:lineRule="auto"/>
        <w:rPr>
          <w:color w:val="auto"/>
          <w:highlight w:val="none"/>
          <w:lang w:eastAsia="zh-CN"/>
        </w:rPr>
      </w:pPr>
    </w:p>
    <w:p w14:paraId="273311E9">
      <w:pPr>
        <w:pStyle w:val="9"/>
        <w:spacing w:line="241" w:lineRule="auto"/>
        <w:rPr>
          <w:color w:val="auto"/>
          <w:highlight w:val="none"/>
          <w:lang w:eastAsia="zh-CN"/>
        </w:rPr>
      </w:pPr>
    </w:p>
    <w:p w14:paraId="2E088FA7">
      <w:pPr>
        <w:pStyle w:val="9"/>
        <w:spacing w:line="241" w:lineRule="auto"/>
        <w:rPr>
          <w:color w:val="auto"/>
          <w:highlight w:val="none"/>
          <w:lang w:eastAsia="zh-CN"/>
        </w:rPr>
      </w:pPr>
    </w:p>
    <w:p w14:paraId="4B2AF31A">
      <w:pPr>
        <w:pStyle w:val="9"/>
        <w:spacing w:line="241" w:lineRule="auto"/>
        <w:rPr>
          <w:color w:val="auto"/>
          <w:highlight w:val="none"/>
          <w:lang w:eastAsia="zh-CN"/>
        </w:rPr>
      </w:pPr>
    </w:p>
    <w:p w14:paraId="52BC1974">
      <w:pPr>
        <w:pStyle w:val="9"/>
        <w:spacing w:line="241" w:lineRule="auto"/>
        <w:rPr>
          <w:color w:val="auto"/>
          <w:highlight w:val="none"/>
          <w:lang w:eastAsia="zh-CN"/>
        </w:rPr>
      </w:pPr>
    </w:p>
    <w:p w14:paraId="17C57B73">
      <w:pPr>
        <w:pStyle w:val="9"/>
        <w:spacing w:line="241" w:lineRule="auto"/>
        <w:rPr>
          <w:color w:val="auto"/>
          <w:highlight w:val="none"/>
          <w:lang w:eastAsia="zh-CN"/>
        </w:rPr>
      </w:pPr>
    </w:p>
    <w:p w14:paraId="17897DB4">
      <w:pPr>
        <w:pStyle w:val="9"/>
        <w:spacing w:line="241" w:lineRule="auto"/>
        <w:rPr>
          <w:color w:val="auto"/>
          <w:highlight w:val="none"/>
          <w:lang w:eastAsia="zh-CN"/>
        </w:rPr>
      </w:pPr>
    </w:p>
    <w:p w14:paraId="48AC1BD2">
      <w:pPr>
        <w:pStyle w:val="9"/>
        <w:spacing w:line="241" w:lineRule="auto"/>
        <w:rPr>
          <w:color w:val="auto"/>
          <w:highlight w:val="none"/>
          <w:lang w:eastAsia="zh-CN"/>
        </w:rPr>
      </w:pPr>
    </w:p>
    <w:p w14:paraId="36389835">
      <w:pPr>
        <w:pStyle w:val="9"/>
        <w:spacing w:line="241" w:lineRule="auto"/>
        <w:rPr>
          <w:color w:val="auto"/>
          <w:highlight w:val="none"/>
          <w:lang w:eastAsia="zh-CN"/>
        </w:rPr>
      </w:pPr>
    </w:p>
    <w:p w14:paraId="319F6EDD">
      <w:pPr>
        <w:pStyle w:val="9"/>
        <w:spacing w:line="241" w:lineRule="auto"/>
        <w:rPr>
          <w:color w:val="auto"/>
          <w:highlight w:val="none"/>
          <w:lang w:eastAsia="zh-CN"/>
        </w:rPr>
      </w:pPr>
    </w:p>
    <w:p w14:paraId="6137DD26">
      <w:pPr>
        <w:pStyle w:val="9"/>
        <w:spacing w:line="241" w:lineRule="auto"/>
        <w:rPr>
          <w:color w:val="auto"/>
          <w:highlight w:val="none"/>
          <w:lang w:eastAsia="zh-CN"/>
        </w:rPr>
      </w:pPr>
    </w:p>
    <w:p w14:paraId="18F95DD5">
      <w:pPr>
        <w:pStyle w:val="9"/>
        <w:spacing w:line="241" w:lineRule="auto"/>
        <w:rPr>
          <w:color w:val="auto"/>
          <w:highlight w:val="none"/>
          <w:lang w:eastAsia="zh-CN"/>
        </w:rPr>
      </w:pPr>
    </w:p>
    <w:p w14:paraId="5B8495B0">
      <w:pPr>
        <w:pStyle w:val="9"/>
        <w:spacing w:line="241" w:lineRule="auto"/>
        <w:rPr>
          <w:color w:val="auto"/>
          <w:highlight w:val="none"/>
          <w:lang w:eastAsia="zh-CN"/>
        </w:rPr>
      </w:pPr>
    </w:p>
    <w:p w14:paraId="28BAAF0E">
      <w:pPr>
        <w:pStyle w:val="9"/>
        <w:spacing w:line="241" w:lineRule="auto"/>
        <w:rPr>
          <w:color w:val="auto"/>
          <w:highlight w:val="none"/>
          <w:lang w:eastAsia="zh-CN"/>
        </w:rPr>
      </w:pPr>
    </w:p>
    <w:p w14:paraId="341B52BE">
      <w:pPr>
        <w:pStyle w:val="9"/>
        <w:spacing w:line="241" w:lineRule="auto"/>
        <w:rPr>
          <w:color w:val="auto"/>
          <w:highlight w:val="none"/>
          <w:lang w:eastAsia="zh-CN"/>
        </w:rPr>
      </w:pPr>
    </w:p>
    <w:p w14:paraId="4646D49B">
      <w:pPr>
        <w:pStyle w:val="9"/>
        <w:spacing w:line="241" w:lineRule="auto"/>
        <w:rPr>
          <w:color w:val="auto"/>
          <w:highlight w:val="none"/>
          <w:lang w:eastAsia="zh-CN"/>
        </w:rPr>
      </w:pPr>
    </w:p>
    <w:p w14:paraId="29DDF7AE">
      <w:pPr>
        <w:pStyle w:val="9"/>
        <w:spacing w:line="241" w:lineRule="auto"/>
        <w:rPr>
          <w:color w:val="auto"/>
          <w:highlight w:val="none"/>
          <w:lang w:eastAsia="zh-CN"/>
        </w:rPr>
      </w:pPr>
    </w:p>
    <w:p w14:paraId="59DB720C">
      <w:pPr>
        <w:pStyle w:val="9"/>
        <w:spacing w:line="242" w:lineRule="auto"/>
        <w:rPr>
          <w:color w:val="auto"/>
          <w:highlight w:val="none"/>
          <w:lang w:eastAsia="zh-CN"/>
        </w:rPr>
      </w:pPr>
    </w:p>
    <w:p w14:paraId="7FCA74C2">
      <w:pPr>
        <w:pStyle w:val="9"/>
        <w:spacing w:line="242" w:lineRule="auto"/>
        <w:jc w:val="center"/>
        <w:rPr>
          <w:color w:val="auto"/>
          <w:highlight w:val="none"/>
          <w:lang w:eastAsia="zh-CN"/>
        </w:rPr>
      </w:pPr>
    </w:p>
    <w:p w14:paraId="77F137AD">
      <w:pPr>
        <w:spacing w:before="75" w:line="227" w:lineRule="auto"/>
        <w:ind w:left="238"/>
        <w:jc w:val="center"/>
        <w:outlineLvl w:val="9"/>
        <w:rPr>
          <w:rFonts w:hint="eastAsia" w:ascii="宋体" w:hAnsi="宋体" w:eastAsia="宋体" w:cs="宋体"/>
          <w:color w:val="auto"/>
          <w:sz w:val="24"/>
          <w:szCs w:val="24"/>
          <w:highlight w:val="none"/>
          <w:lang w:eastAsia="zh-CN"/>
        </w:rPr>
      </w:pPr>
      <w:bookmarkStart w:id="271" w:name="_Toc18704"/>
      <w:r>
        <w:rPr>
          <w:rFonts w:ascii="宋体" w:hAnsi="宋体" w:eastAsia="宋体" w:cs="宋体"/>
          <w:color w:val="auto"/>
          <w:spacing w:val="10"/>
          <w:sz w:val="24"/>
          <w:szCs w:val="24"/>
          <w:highlight w:val="none"/>
          <w:lang w:eastAsia="zh-CN"/>
          <w14:textOutline w14:w="4394" w14:cap="flat" w14:cmpd="sng" w14:algn="ctr">
            <w14:solidFill>
              <w14:srgbClr w14:val="000000"/>
            </w14:solidFill>
            <w14:prstDash w14:val="solid"/>
            <w14:miter w14:val="0"/>
          </w14:textOutline>
        </w:rPr>
        <w:t>参加本次政府采购活动前3年内在经营活动中没有重大违法记录的书面承诺函（</w:t>
      </w:r>
      <w:r>
        <w:rPr>
          <w:rFonts w:ascii="宋体" w:hAnsi="宋体" w:eastAsia="宋体" w:cs="宋体"/>
          <w:color w:val="auto"/>
          <w:spacing w:val="9"/>
          <w:sz w:val="24"/>
          <w:szCs w:val="24"/>
          <w:highlight w:val="none"/>
          <w:lang w:eastAsia="zh-CN"/>
          <w14:textOutline w14:w="4394" w14:cap="flat" w14:cmpd="sng" w14:algn="ctr">
            <w14:solidFill>
              <w14:srgbClr w14:val="000000"/>
            </w14:solidFill>
            <w14:prstDash w14:val="solid"/>
            <w14:miter w14:val="0"/>
          </w14:textOutline>
        </w:rPr>
        <w:t>格式）</w:t>
      </w:r>
      <w:bookmarkEnd w:id="271"/>
    </w:p>
    <w:p w14:paraId="2E3D91C1">
      <w:pPr>
        <w:spacing w:before="251" w:line="227" w:lineRule="auto"/>
        <w:ind w:left="478" w:firstLine="512" w:firstLineChars="200"/>
        <w:rPr>
          <w:rFonts w:hint="eastAsia" w:ascii="宋体" w:hAnsi="宋体" w:eastAsia="宋体" w:cs="宋体"/>
          <w:color w:val="auto"/>
          <w:spacing w:val="8"/>
          <w:sz w:val="24"/>
          <w:szCs w:val="24"/>
          <w:highlight w:val="none"/>
          <w:lang w:eastAsia="zh-CN"/>
        </w:rPr>
      </w:pPr>
      <w:r>
        <w:rPr>
          <w:rFonts w:ascii="宋体" w:hAnsi="宋体" w:eastAsia="宋体" w:cs="宋体"/>
          <w:color w:val="auto"/>
          <w:spacing w:val="8"/>
          <w:sz w:val="24"/>
          <w:szCs w:val="24"/>
          <w:highlight w:val="none"/>
          <w:lang w:eastAsia="zh-CN"/>
        </w:rPr>
        <w:t>我单位承诺在参加本次 （项目名称） 投标前三年内，无以下行为：重大违法行为；商业贿赂行为；政府采购法《第七十七条》，列入不良行为记录名单的各种行 为；如有上述行为</w:t>
      </w:r>
      <w:r>
        <w:rPr>
          <w:rFonts w:hint="eastAsia" w:ascii="宋体" w:hAnsi="宋体" w:eastAsia="宋体" w:cs="宋体"/>
          <w:color w:val="auto"/>
          <w:spacing w:val="8"/>
          <w:sz w:val="24"/>
          <w:szCs w:val="24"/>
          <w:highlight w:val="none"/>
          <w:lang w:eastAsia="zh-CN"/>
        </w:rPr>
        <w:t>，</w:t>
      </w:r>
      <w:r>
        <w:rPr>
          <w:rFonts w:ascii="宋体" w:hAnsi="宋体" w:eastAsia="宋体" w:cs="宋体"/>
          <w:color w:val="auto"/>
          <w:spacing w:val="8"/>
          <w:sz w:val="24"/>
          <w:szCs w:val="24"/>
          <w:highlight w:val="none"/>
          <w:lang w:eastAsia="zh-CN"/>
        </w:rPr>
        <w:t>我公司及项目参与人员自愿放弃本次项目的投标、报价资格，若为预中标、成交人，也自愿放弃中标、成交资格。</w:t>
      </w:r>
    </w:p>
    <w:p w14:paraId="7F85F546">
      <w:pPr>
        <w:spacing w:before="251" w:line="227" w:lineRule="auto"/>
        <w:rPr>
          <w:rFonts w:hint="eastAsia" w:ascii="宋体" w:hAnsi="宋体" w:eastAsia="宋体" w:cs="宋体"/>
          <w:color w:val="auto"/>
          <w:spacing w:val="8"/>
          <w:sz w:val="24"/>
          <w:szCs w:val="24"/>
          <w:highlight w:val="none"/>
          <w:lang w:eastAsia="zh-CN"/>
        </w:rPr>
      </w:pPr>
    </w:p>
    <w:p w14:paraId="0494824A">
      <w:pPr>
        <w:pStyle w:val="9"/>
        <w:spacing w:line="266" w:lineRule="auto"/>
        <w:rPr>
          <w:color w:val="auto"/>
          <w:sz w:val="24"/>
          <w:szCs w:val="24"/>
          <w:highlight w:val="none"/>
          <w:lang w:eastAsia="zh-CN"/>
        </w:rPr>
      </w:pPr>
    </w:p>
    <w:p w14:paraId="11A442B2">
      <w:pPr>
        <w:spacing w:before="75" w:line="227" w:lineRule="auto"/>
        <w:ind w:left="835"/>
        <w:rPr>
          <w:rFonts w:hint="eastAsia"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谈判供应商名称（电子公章）：</w:t>
      </w:r>
    </w:p>
    <w:p w14:paraId="029F77E3">
      <w:pPr>
        <w:spacing w:before="157" w:line="439" w:lineRule="exact"/>
        <w:ind w:left="835"/>
        <w:rPr>
          <w:rFonts w:hint="eastAsia" w:ascii="宋体" w:hAnsi="宋体" w:eastAsia="宋体" w:cs="宋体"/>
          <w:color w:val="auto"/>
          <w:sz w:val="24"/>
          <w:szCs w:val="24"/>
          <w:highlight w:val="none"/>
          <w:lang w:eastAsia="zh-CN"/>
        </w:rPr>
      </w:pPr>
      <w:r>
        <w:rPr>
          <w:rFonts w:ascii="宋体" w:hAnsi="宋体" w:eastAsia="宋体" w:cs="宋体"/>
          <w:color w:val="auto"/>
          <w:spacing w:val="6"/>
          <w:position w:val="15"/>
          <w:sz w:val="24"/>
          <w:szCs w:val="24"/>
          <w:highlight w:val="none"/>
          <w:lang w:eastAsia="zh-CN"/>
        </w:rPr>
        <w:t>谈判供应商法定代表人（电子签名或盖章</w:t>
      </w:r>
      <w:r>
        <w:rPr>
          <w:rFonts w:ascii="宋体" w:hAnsi="宋体" w:eastAsia="宋体" w:cs="宋体"/>
          <w:color w:val="auto"/>
          <w:spacing w:val="11"/>
          <w:position w:val="15"/>
          <w:sz w:val="24"/>
          <w:szCs w:val="24"/>
          <w:highlight w:val="none"/>
          <w:lang w:eastAsia="zh-CN"/>
        </w:rPr>
        <w:t>）：</w:t>
      </w:r>
    </w:p>
    <w:p w14:paraId="5DA3E5EE">
      <w:pPr>
        <w:spacing w:line="227" w:lineRule="auto"/>
        <w:ind w:left="877"/>
        <w:rPr>
          <w:rFonts w:hint="eastAsia" w:ascii="宋体" w:hAnsi="宋体" w:eastAsia="宋体" w:cs="宋体"/>
          <w:color w:val="auto"/>
          <w:sz w:val="24"/>
          <w:szCs w:val="24"/>
          <w:highlight w:val="none"/>
          <w:lang w:eastAsia="zh-CN"/>
        </w:rPr>
      </w:pPr>
      <w:r>
        <w:rPr>
          <w:rFonts w:ascii="宋体" w:hAnsi="宋体" w:eastAsia="宋体" w:cs="宋体"/>
          <w:color w:val="auto"/>
          <w:spacing w:val="-23"/>
          <w:sz w:val="24"/>
          <w:szCs w:val="24"/>
          <w:highlight w:val="none"/>
          <w:lang w:eastAsia="zh-CN"/>
        </w:rPr>
        <w:t>日期：</w:t>
      </w:r>
      <w:r>
        <w:rPr>
          <w:rFonts w:ascii="宋体" w:hAnsi="宋体" w:eastAsia="宋体" w:cs="宋体"/>
          <w:color w:val="auto"/>
          <w:spacing w:val="5"/>
          <w:sz w:val="24"/>
          <w:szCs w:val="24"/>
          <w:highlight w:val="none"/>
          <w:lang w:eastAsia="zh-CN"/>
        </w:rPr>
        <w:t xml:space="preserve">  </w:t>
      </w:r>
      <w:r>
        <w:rPr>
          <w:rFonts w:ascii="宋体" w:hAnsi="宋体" w:eastAsia="宋体" w:cs="宋体"/>
          <w:color w:val="auto"/>
          <w:spacing w:val="-23"/>
          <w:sz w:val="24"/>
          <w:szCs w:val="24"/>
          <w:highlight w:val="none"/>
          <w:lang w:eastAsia="zh-CN"/>
        </w:rPr>
        <w:t>年</w:t>
      </w:r>
      <w:r>
        <w:rPr>
          <w:rFonts w:ascii="宋体" w:hAnsi="宋体" w:eastAsia="宋体" w:cs="宋体"/>
          <w:color w:val="auto"/>
          <w:spacing w:val="21"/>
          <w:sz w:val="24"/>
          <w:szCs w:val="24"/>
          <w:highlight w:val="none"/>
          <w:lang w:eastAsia="zh-CN"/>
        </w:rPr>
        <w:t xml:space="preserve"> </w:t>
      </w:r>
      <w:r>
        <w:rPr>
          <w:rFonts w:ascii="宋体" w:hAnsi="宋体" w:eastAsia="宋体" w:cs="宋体"/>
          <w:color w:val="auto"/>
          <w:spacing w:val="-23"/>
          <w:sz w:val="24"/>
          <w:szCs w:val="24"/>
          <w:highlight w:val="none"/>
          <w:lang w:eastAsia="zh-CN"/>
        </w:rPr>
        <w:t>月</w:t>
      </w:r>
      <w:r>
        <w:rPr>
          <w:rFonts w:ascii="宋体" w:hAnsi="宋体" w:eastAsia="宋体" w:cs="宋体"/>
          <w:color w:val="auto"/>
          <w:spacing w:val="55"/>
          <w:sz w:val="24"/>
          <w:szCs w:val="24"/>
          <w:highlight w:val="none"/>
          <w:lang w:eastAsia="zh-CN"/>
        </w:rPr>
        <w:t xml:space="preserve"> </w:t>
      </w:r>
      <w:r>
        <w:rPr>
          <w:rFonts w:ascii="宋体" w:hAnsi="宋体" w:eastAsia="宋体" w:cs="宋体"/>
          <w:color w:val="auto"/>
          <w:spacing w:val="-23"/>
          <w:sz w:val="24"/>
          <w:szCs w:val="24"/>
          <w:highlight w:val="none"/>
          <w:lang w:eastAsia="zh-CN"/>
        </w:rPr>
        <w:t>日</w:t>
      </w:r>
    </w:p>
    <w:p w14:paraId="6B57ED5B">
      <w:pPr>
        <w:spacing w:line="227" w:lineRule="auto"/>
        <w:rPr>
          <w:rFonts w:hint="eastAsia" w:ascii="宋体" w:hAnsi="宋体" w:eastAsia="宋体" w:cs="宋体"/>
          <w:color w:val="auto"/>
          <w:sz w:val="24"/>
          <w:szCs w:val="24"/>
          <w:highlight w:val="none"/>
          <w:lang w:eastAsia="zh-CN"/>
        </w:rPr>
        <w:sectPr>
          <w:footerReference r:id="rId16" w:type="default"/>
          <w:pgSz w:w="11906" w:h="16838"/>
          <w:pgMar w:top="1440" w:right="1800" w:bottom="1440" w:left="1800" w:header="0" w:footer="949" w:gutter="0"/>
          <w:pgNumType w:fmt="decimal"/>
          <w:cols w:space="720" w:num="1"/>
        </w:sectPr>
      </w:pPr>
    </w:p>
    <w:p w14:paraId="6C6963E9">
      <w:pPr>
        <w:pStyle w:val="9"/>
        <w:spacing w:line="243" w:lineRule="auto"/>
        <w:rPr>
          <w:color w:val="auto"/>
          <w:highlight w:val="none"/>
          <w:lang w:eastAsia="zh-CN"/>
        </w:rPr>
      </w:pPr>
    </w:p>
    <w:p w14:paraId="6D625882">
      <w:pPr>
        <w:spacing w:before="91" w:line="219" w:lineRule="auto"/>
        <w:jc w:val="center"/>
        <w:outlineLvl w:val="2"/>
        <w:rPr>
          <w:rFonts w:hint="eastAsia" w:asciiTheme="minorEastAsia" w:hAnsiTheme="minorEastAsia" w:eastAsiaTheme="minorEastAsia" w:cstheme="minorEastAsia"/>
          <w:color w:val="auto"/>
          <w:sz w:val="24"/>
          <w:szCs w:val="24"/>
          <w:highlight w:val="none"/>
          <w:lang w:eastAsia="zh-CN"/>
        </w:rPr>
      </w:pPr>
      <w:bookmarkStart w:id="272" w:name="_Toc4251"/>
      <w:r>
        <w:rPr>
          <w:rFonts w:hint="eastAsia" w:asciiTheme="minorEastAsia" w:hAnsiTheme="minorEastAsia" w:eastAsiaTheme="minorEastAsia" w:cstheme="minorEastAsia"/>
          <w:color w:val="auto"/>
          <w:spacing w:val="-11"/>
          <w:sz w:val="24"/>
          <w:szCs w:val="24"/>
          <w:highlight w:val="none"/>
          <w:lang w:eastAsia="zh-CN"/>
          <w14:textOutline w14:w="5130" w14:cap="flat" w14:cmpd="sng" w14:algn="ctr">
            <w14:solidFill>
              <w14:srgbClr w14:val="000000"/>
            </w14:solidFill>
            <w14:prstDash w14:val="solid"/>
            <w14:miter w14:val="0"/>
          </w14:textOutline>
        </w:rPr>
        <w:t>（二）</w:t>
      </w:r>
      <w:r>
        <w:rPr>
          <w:rFonts w:hint="eastAsia" w:asciiTheme="minorEastAsia" w:hAnsiTheme="minorEastAsia" w:eastAsiaTheme="minorEastAsia" w:cstheme="minorEastAsia"/>
          <w:color w:val="auto"/>
          <w:spacing w:val="-11"/>
          <w:sz w:val="24"/>
          <w:szCs w:val="24"/>
          <w:highlight w:val="none"/>
          <w:lang w:eastAsia="zh-CN"/>
        </w:rPr>
        <w:t xml:space="preserve"> </w:t>
      </w:r>
      <w:r>
        <w:rPr>
          <w:rFonts w:hint="eastAsia" w:asciiTheme="minorEastAsia" w:hAnsiTheme="minorEastAsia" w:eastAsiaTheme="minorEastAsia" w:cstheme="minorEastAsia"/>
          <w:color w:val="auto"/>
          <w:spacing w:val="-11"/>
          <w:sz w:val="24"/>
          <w:szCs w:val="24"/>
          <w:highlight w:val="none"/>
          <w:lang w:eastAsia="zh-CN"/>
          <w14:textOutline w14:w="5130" w14:cap="flat" w14:cmpd="sng" w14:algn="ctr">
            <w14:solidFill>
              <w14:srgbClr w14:val="000000"/>
            </w14:solidFill>
            <w14:prstDash w14:val="solid"/>
            <w14:miter w14:val="0"/>
          </w14:textOutline>
        </w:rPr>
        <w:t>不参与围标串标承诺书</w:t>
      </w:r>
      <w:bookmarkEnd w:id="272"/>
    </w:p>
    <w:p w14:paraId="0EB4E59D">
      <w:pPr>
        <w:pStyle w:val="9"/>
        <w:spacing w:line="267" w:lineRule="auto"/>
        <w:rPr>
          <w:rFonts w:hint="eastAsia" w:asciiTheme="minorEastAsia" w:hAnsiTheme="minorEastAsia" w:eastAsiaTheme="minorEastAsia" w:cstheme="minorEastAsia"/>
          <w:color w:val="auto"/>
          <w:sz w:val="24"/>
          <w:szCs w:val="24"/>
          <w:highlight w:val="none"/>
          <w:lang w:eastAsia="zh-CN"/>
        </w:rPr>
      </w:pPr>
    </w:p>
    <w:p w14:paraId="34E429E9">
      <w:pPr>
        <w:spacing w:before="75" w:line="514" w:lineRule="auto"/>
        <w:ind w:firstLine="250" w:firstLineChars="1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5"/>
          <w:sz w:val="24"/>
          <w:szCs w:val="24"/>
          <w:highlight w:val="none"/>
          <w:lang w:eastAsia="zh-CN"/>
        </w:rPr>
        <w:t>本人作为</w:t>
      </w:r>
      <w:r>
        <w:rPr>
          <w:rFonts w:hint="eastAsia" w:asciiTheme="minorEastAsia" w:hAnsiTheme="minorEastAsia" w:eastAsiaTheme="minorEastAsia" w:cstheme="minorEastAsia"/>
          <w:color w:val="auto"/>
          <w:spacing w:val="5"/>
          <w:sz w:val="24"/>
          <w:szCs w:val="24"/>
          <w:highlight w:val="none"/>
          <w:u w:val="single"/>
          <w:lang w:eastAsia="zh-CN"/>
        </w:rPr>
        <w:t>（单位名称）</w:t>
      </w:r>
      <w:r>
        <w:rPr>
          <w:rFonts w:hint="eastAsia" w:asciiTheme="minorEastAsia" w:hAnsiTheme="minorEastAsia" w:eastAsiaTheme="minorEastAsia" w:cstheme="minorEastAsia"/>
          <w:color w:val="auto"/>
          <w:spacing w:val="2"/>
          <w:sz w:val="24"/>
          <w:szCs w:val="24"/>
          <w:highlight w:val="none"/>
          <w:u w:val="single"/>
          <w:lang w:eastAsia="zh-CN"/>
        </w:rPr>
        <w:t xml:space="preserve">                     </w:t>
      </w:r>
      <w:r>
        <w:rPr>
          <w:rFonts w:hint="eastAsia" w:asciiTheme="minorEastAsia" w:hAnsiTheme="minorEastAsia" w:eastAsiaTheme="minorEastAsia" w:cstheme="minorEastAsia"/>
          <w:color w:val="auto"/>
          <w:spacing w:val="-83"/>
          <w:sz w:val="24"/>
          <w:szCs w:val="24"/>
          <w:highlight w:val="none"/>
          <w:lang w:eastAsia="zh-CN"/>
        </w:rPr>
        <w:t xml:space="preserve"> </w:t>
      </w:r>
      <w:r>
        <w:rPr>
          <w:rFonts w:hint="eastAsia" w:asciiTheme="minorEastAsia" w:hAnsiTheme="minorEastAsia" w:eastAsiaTheme="minorEastAsia" w:cstheme="minorEastAsia"/>
          <w:color w:val="auto"/>
          <w:spacing w:val="5"/>
          <w:sz w:val="24"/>
          <w:szCs w:val="24"/>
          <w:highlight w:val="none"/>
          <w:lang w:eastAsia="zh-CN"/>
        </w:rPr>
        <w:t>的法人， 清楚知晓我公司本项目投标活</w:t>
      </w:r>
      <w:r>
        <w:rPr>
          <w:rFonts w:hint="eastAsia" w:asciiTheme="minorEastAsia" w:hAnsiTheme="minorEastAsia" w:eastAsiaTheme="minorEastAsia" w:cstheme="minorEastAsia"/>
          <w:color w:val="auto"/>
          <w:spacing w:val="4"/>
          <w:sz w:val="24"/>
          <w:szCs w:val="24"/>
          <w:highlight w:val="none"/>
          <w:lang w:eastAsia="zh-CN"/>
        </w:rPr>
        <w:t>动，对以下事项作出承诺：</w:t>
      </w:r>
    </w:p>
    <w:p w14:paraId="15DB681C">
      <w:pPr>
        <w:spacing w:line="0" w:lineRule="atLeast"/>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8"/>
          <w:position w:val="31"/>
          <w:sz w:val="24"/>
          <w:szCs w:val="24"/>
          <w:highlight w:val="none"/>
          <w:lang w:eastAsia="zh-CN"/>
        </w:rPr>
        <w:t>一、我单位遵循公开、公平、公正、诚实守信的原则，依法依规参与本项目竞标。</w:t>
      </w:r>
    </w:p>
    <w:p w14:paraId="2677D9E3">
      <w:pPr>
        <w:spacing w:line="0" w:lineRule="atLeast"/>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二、我单位在本项目招标投标活动中，未参与</w:t>
      </w:r>
      <w:r>
        <w:rPr>
          <w:rFonts w:hint="eastAsia" w:asciiTheme="minorEastAsia" w:hAnsiTheme="minorEastAsia" w:eastAsiaTheme="minorEastAsia" w:cstheme="minorEastAsia"/>
          <w:color w:val="auto"/>
          <w:spacing w:val="7"/>
          <w:sz w:val="24"/>
          <w:szCs w:val="24"/>
          <w:highlight w:val="none"/>
          <w:lang w:eastAsia="zh-CN"/>
        </w:rPr>
        <w:t>围标串标。</w:t>
      </w:r>
    </w:p>
    <w:p w14:paraId="0D002693">
      <w:pPr>
        <w:pStyle w:val="9"/>
        <w:spacing w:line="0" w:lineRule="atLeast"/>
        <w:rPr>
          <w:rFonts w:hint="eastAsia" w:asciiTheme="minorEastAsia" w:hAnsiTheme="minorEastAsia" w:eastAsiaTheme="minorEastAsia" w:cstheme="minorEastAsia"/>
          <w:color w:val="auto"/>
          <w:sz w:val="24"/>
          <w:szCs w:val="24"/>
          <w:highlight w:val="none"/>
          <w:lang w:eastAsia="zh-CN"/>
        </w:rPr>
      </w:pPr>
    </w:p>
    <w:p w14:paraId="353C1BEC">
      <w:pPr>
        <w:spacing w:line="0" w:lineRule="atLeast"/>
        <w:rPr>
          <w:rFonts w:hint="eastAsia" w:asciiTheme="minorEastAsia" w:hAnsiTheme="minorEastAsia" w:eastAsiaTheme="minorEastAsia" w:cstheme="minorEastAsia"/>
          <w:color w:val="auto"/>
          <w:spacing w:val="8"/>
          <w:position w:val="31"/>
          <w:sz w:val="24"/>
          <w:szCs w:val="24"/>
          <w:highlight w:val="none"/>
          <w:lang w:eastAsia="zh-CN"/>
        </w:rPr>
      </w:pPr>
      <w:r>
        <w:rPr>
          <w:rFonts w:hint="eastAsia" w:asciiTheme="minorEastAsia" w:hAnsiTheme="minorEastAsia" w:eastAsiaTheme="minorEastAsia" w:cstheme="minorEastAsia"/>
          <w:color w:val="auto"/>
          <w:spacing w:val="8"/>
          <w:position w:val="31"/>
          <w:sz w:val="24"/>
          <w:szCs w:val="24"/>
          <w:highlight w:val="none"/>
          <w:lang w:eastAsia="zh-CN"/>
        </w:rPr>
        <w:t>三、我单位如被查实在本项目招标投标活动中存在围标串标的，递交投标文件行为作为实施串通投标违法行为的关键环节，本人承担直接责任人员法律责任，接受相应行政处罚和失信惩戒。</w:t>
      </w:r>
    </w:p>
    <w:p w14:paraId="5B1E0EB9">
      <w:pPr>
        <w:spacing w:line="0" w:lineRule="atLeast"/>
        <w:jc w:val="right"/>
        <w:rPr>
          <w:rFonts w:hint="eastAsia" w:asciiTheme="minorEastAsia" w:hAnsiTheme="minorEastAsia" w:eastAsiaTheme="minorEastAsia" w:cstheme="minorEastAsia"/>
          <w:color w:val="auto"/>
          <w:spacing w:val="8"/>
          <w:position w:val="31"/>
          <w:sz w:val="24"/>
          <w:szCs w:val="24"/>
          <w:highlight w:val="none"/>
          <w:lang w:eastAsia="zh-CN"/>
        </w:rPr>
      </w:pPr>
    </w:p>
    <w:p w14:paraId="5A3E695E">
      <w:pPr>
        <w:spacing w:line="0" w:lineRule="atLeast"/>
        <w:jc w:val="right"/>
        <w:rPr>
          <w:rFonts w:hint="eastAsia" w:asciiTheme="minorEastAsia" w:hAnsiTheme="minorEastAsia" w:eastAsiaTheme="minorEastAsia" w:cstheme="minorEastAsia"/>
          <w:color w:val="auto"/>
          <w:spacing w:val="8"/>
          <w:position w:val="31"/>
          <w:sz w:val="24"/>
          <w:szCs w:val="24"/>
          <w:highlight w:val="none"/>
          <w:lang w:eastAsia="zh-CN"/>
        </w:rPr>
      </w:pPr>
      <w:r>
        <w:rPr>
          <w:rFonts w:hint="eastAsia" w:asciiTheme="minorEastAsia" w:hAnsiTheme="minorEastAsia" w:eastAsiaTheme="minorEastAsia" w:cstheme="minorEastAsia"/>
          <w:color w:val="auto"/>
          <w:spacing w:val="8"/>
          <w:position w:val="31"/>
          <w:sz w:val="24"/>
          <w:szCs w:val="24"/>
          <w:highlight w:val="none"/>
          <w:lang w:eastAsia="zh-CN"/>
        </w:rPr>
        <w:t>谈判供应商名称（电子公章）：</w:t>
      </w:r>
    </w:p>
    <w:p w14:paraId="19BCEEB1">
      <w:pPr>
        <w:spacing w:line="0" w:lineRule="atLeast"/>
        <w:jc w:val="right"/>
        <w:rPr>
          <w:rFonts w:hint="eastAsia" w:asciiTheme="minorEastAsia" w:hAnsiTheme="minorEastAsia" w:eastAsiaTheme="minorEastAsia" w:cstheme="minorEastAsia"/>
          <w:color w:val="auto"/>
          <w:spacing w:val="8"/>
          <w:position w:val="31"/>
          <w:sz w:val="24"/>
          <w:szCs w:val="24"/>
          <w:highlight w:val="none"/>
          <w:lang w:eastAsia="zh-CN"/>
        </w:rPr>
      </w:pPr>
      <w:r>
        <w:rPr>
          <w:rFonts w:hint="eastAsia" w:asciiTheme="minorEastAsia" w:hAnsiTheme="minorEastAsia" w:eastAsiaTheme="minorEastAsia" w:cstheme="minorEastAsia"/>
          <w:color w:val="auto"/>
          <w:spacing w:val="8"/>
          <w:position w:val="31"/>
          <w:sz w:val="24"/>
          <w:szCs w:val="24"/>
          <w:highlight w:val="none"/>
          <w:lang w:eastAsia="zh-CN"/>
        </w:rPr>
        <w:t>谈判供应商法定代表人（电子签名或盖章）：</w:t>
      </w:r>
    </w:p>
    <w:p w14:paraId="2C792C74">
      <w:pPr>
        <w:spacing w:line="227" w:lineRule="auto"/>
        <w:ind w:left="880"/>
        <w:jc w:val="right"/>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23"/>
          <w:sz w:val="24"/>
          <w:szCs w:val="24"/>
          <w:highlight w:val="none"/>
          <w:lang w:eastAsia="zh-CN"/>
        </w:rPr>
        <w:t>日期 ：</w:t>
      </w:r>
      <w:r>
        <w:rPr>
          <w:rFonts w:hint="eastAsia" w:asciiTheme="minorEastAsia" w:hAnsiTheme="minorEastAsia" w:eastAsiaTheme="minorEastAsia" w:cstheme="minorEastAsia"/>
          <w:color w:val="auto"/>
          <w:spacing w:val="5"/>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年</w:t>
      </w:r>
      <w:r>
        <w:rPr>
          <w:rFonts w:hint="eastAsia" w:asciiTheme="minorEastAsia" w:hAnsiTheme="minorEastAsia" w:eastAsiaTheme="minorEastAsia" w:cstheme="minorEastAsia"/>
          <w:color w:val="auto"/>
          <w:spacing w:val="21"/>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月</w:t>
      </w:r>
      <w:r>
        <w:rPr>
          <w:rFonts w:hint="eastAsia" w:asciiTheme="minorEastAsia" w:hAnsiTheme="minorEastAsia" w:eastAsiaTheme="minorEastAsia" w:cstheme="minorEastAsia"/>
          <w:color w:val="auto"/>
          <w:spacing w:val="55"/>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日</w:t>
      </w:r>
    </w:p>
    <w:p w14:paraId="3A889F7F">
      <w:pPr>
        <w:spacing w:line="227" w:lineRule="auto"/>
        <w:jc w:val="right"/>
        <w:rPr>
          <w:rFonts w:hint="eastAsia" w:asciiTheme="minorEastAsia" w:hAnsiTheme="minorEastAsia" w:eastAsiaTheme="minorEastAsia" w:cstheme="minorEastAsia"/>
          <w:color w:val="auto"/>
          <w:sz w:val="24"/>
          <w:szCs w:val="24"/>
          <w:highlight w:val="none"/>
          <w:lang w:eastAsia="zh-CN"/>
        </w:rPr>
        <w:sectPr>
          <w:headerReference r:id="rId17" w:type="default"/>
          <w:footerReference r:id="rId18" w:type="default"/>
          <w:pgSz w:w="11906" w:h="16838"/>
          <w:pgMar w:top="1440" w:right="1800" w:bottom="1440" w:left="1800" w:header="0" w:footer="949" w:gutter="0"/>
          <w:pgNumType w:fmt="decimal"/>
          <w:cols w:space="720" w:num="1"/>
        </w:sectPr>
      </w:pPr>
    </w:p>
    <w:p w14:paraId="703FFB60">
      <w:pPr>
        <w:bidi w:val="0"/>
        <w:rPr>
          <w:color w:val="auto"/>
          <w:highlight w:val="none"/>
          <w:lang w:eastAsia="zh-CN"/>
        </w:rPr>
      </w:pPr>
    </w:p>
    <w:p w14:paraId="478AA54A">
      <w:pPr>
        <w:bidi w:val="0"/>
        <w:rPr>
          <w:color w:val="auto"/>
          <w:highlight w:val="none"/>
          <w:lang w:eastAsia="zh-CN"/>
        </w:rPr>
      </w:pPr>
    </w:p>
    <w:p w14:paraId="7F3DDB42">
      <w:pPr>
        <w:spacing w:before="101" w:line="223" w:lineRule="auto"/>
        <w:outlineLvl w:val="1"/>
        <w:rPr>
          <w:rFonts w:hint="eastAsia" w:ascii="宋体" w:hAnsi="宋体" w:eastAsia="宋体" w:cs="宋体"/>
          <w:color w:val="auto"/>
          <w:sz w:val="31"/>
          <w:szCs w:val="31"/>
          <w:highlight w:val="none"/>
          <w:lang w:eastAsia="zh-CN"/>
        </w:rPr>
      </w:pPr>
      <w:bookmarkStart w:id="273" w:name="_Toc12865"/>
      <w:r>
        <w:rPr>
          <w:rFonts w:ascii="宋体" w:hAnsi="宋体" w:eastAsia="宋体" w:cs="宋体"/>
          <w:color w:val="auto"/>
          <w:spacing w:val="8"/>
          <w:sz w:val="31"/>
          <w:szCs w:val="31"/>
          <w:highlight w:val="none"/>
          <w:lang w:eastAsia="zh-CN"/>
          <w14:textOutline w14:w="5829" w14:cap="flat" w14:cmpd="sng" w14:algn="ctr">
            <w14:solidFill>
              <w14:srgbClr w14:val="000000"/>
            </w14:solidFill>
            <w14:prstDash w14:val="solid"/>
            <w14:miter w14:val="0"/>
          </w14:textOutline>
        </w:rPr>
        <w:t>二、报价响应文件</w:t>
      </w:r>
      <w:bookmarkEnd w:id="273"/>
    </w:p>
    <w:p w14:paraId="453B5193">
      <w:pPr>
        <w:spacing w:line="223" w:lineRule="auto"/>
        <w:rPr>
          <w:rFonts w:hint="eastAsia" w:ascii="宋体" w:hAnsi="宋体" w:eastAsia="宋体" w:cs="宋体"/>
          <w:color w:val="auto"/>
          <w:sz w:val="31"/>
          <w:szCs w:val="31"/>
          <w:highlight w:val="none"/>
          <w:lang w:eastAsia="zh-CN"/>
        </w:rPr>
        <w:sectPr>
          <w:footerReference r:id="rId19" w:type="default"/>
          <w:pgSz w:w="11906" w:h="16838"/>
          <w:pgMar w:top="1440" w:right="1800" w:bottom="1440" w:left="1800" w:header="0" w:footer="949" w:gutter="0"/>
          <w:pgNumType w:fmt="decimal"/>
          <w:cols w:space="720" w:num="1"/>
        </w:sectPr>
      </w:pPr>
    </w:p>
    <w:p w14:paraId="0D9DB840">
      <w:pPr>
        <w:spacing w:before="91" w:line="219" w:lineRule="auto"/>
        <w:jc w:val="center"/>
        <w:outlineLvl w:val="2"/>
        <w:rPr>
          <w:rFonts w:hint="eastAsia" w:ascii="宋体" w:hAnsi="宋体" w:eastAsia="宋体" w:cs="宋体"/>
          <w:color w:val="auto"/>
          <w:sz w:val="28"/>
          <w:szCs w:val="28"/>
          <w:highlight w:val="none"/>
          <w:lang w:eastAsia="zh-CN"/>
        </w:rPr>
      </w:pPr>
      <w:bookmarkStart w:id="274" w:name="_Toc27883"/>
      <w:r>
        <w:rPr>
          <w:rFonts w:ascii="宋体" w:hAnsi="宋体" w:eastAsia="宋体" w:cs="宋体"/>
          <w:color w:val="auto"/>
          <w:spacing w:val="-2"/>
          <w:sz w:val="28"/>
          <w:szCs w:val="28"/>
          <w:highlight w:val="none"/>
          <w:lang w:eastAsia="zh-CN"/>
          <w14:textOutline w14:w="5130" w14:cap="flat" w14:cmpd="sng" w14:algn="ctr">
            <w14:solidFill>
              <w14:srgbClr w14:val="000000"/>
            </w14:solidFill>
            <w14:prstDash w14:val="solid"/>
            <w14:miter w14:val="0"/>
          </w14:textOutline>
        </w:rPr>
        <w:t>报价一览表（首次报价）</w:t>
      </w:r>
      <w:bookmarkEnd w:id="274"/>
    </w:p>
    <w:p w14:paraId="5848DBF8">
      <w:pPr>
        <w:spacing w:before="315" w:line="499" w:lineRule="exact"/>
        <w:ind w:left="11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3"/>
          <w:position w:val="20"/>
          <w:sz w:val="24"/>
          <w:szCs w:val="24"/>
          <w:highlight w:val="none"/>
          <w:lang w:eastAsia="zh-CN"/>
        </w:rPr>
        <w:t>采购项目编号:</w:t>
      </w:r>
    </w:p>
    <w:p w14:paraId="0663D882">
      <w:pPr>
        <w:spacing w:before="1" w:line="226" w:lineRule="auto"/>
        <w:ind w:left="11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3"/>
          <w:sz w:val="24"/>
          <w:szCs w:val="24"/>
          <w:highlight w:val="none"/>
          <w:lang w:eastAsia="zh-CN"/>
        </w:rPr>
        <w:t>采购项目名称:</w:t>
      </w:r>
    </w:p>
    <w:p w14:paraId="3B19A698">
      <w:pPr>
        <w:spacing w:line="24" w:lineRule="exact"/>
        <w:rPr>
          <w:rFonts w:hint="eastAsia" w:asciiTheme="minorEastAsia" w:hAnsiTheme="minorEastAsia" w:eastAsiaTheme="minorEastAsia" w:cstheme="minorEastAsia"/>
          <w:color w:val="auto"/>
          <w:sz w:val="24"/>
          <w:szCs w:val="24"/>
          <w:highlight w:val="none"/>
          <w:lang w:eastAsia="zh-CN"/>
        </w:rPr>
      </w:pPr>
    </w:p>
    <w:tbl>
      <w:tblPr>
        <w:tblStyle w:val="14"/>
        <w:tblpPr w:leftFromText="180" w:rightFromText="180" w:vertAnchor="text" w:horzAnchor="page" w:tblpXSpec="center" w:tblpY="140"/>
        <w:tblOverlap w:val="never"/>
        <w:tblW w:w="49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63"/>
        <w:gridCol w:w="6649"/>
      </w:tblGrid>
      <w:tr w14:paraId="1921A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 w:hRule="atLeast"/>
          <w:jc w:val="center"/>
        </w:trPr>
        <w:tc>
          <w:tcPr>
            <w:tcW w:w="1094" w:type="pct"/>
          </w:tcPr>
          <w:p w14:paraId="21024058">
            <w:pPr>
              <w:jc w:val="center"/>
              <w:rPr>
                <w:rFonts w:hint="eastAsia" w:asciiTheme="minorEastAsia" w:hAnsiTheme="minorEastAsia" w:eastAsiaTheme="minorEastAsia" w:cstheme="minorEastAsia"/>
                <w:b/>
                <w:bCs/>
                <w:color w:val="auto"/>
                <w:sz w:val="24"/>
                <w:szCs w:val="24"/>
                <w:highlight w:val="none"/>
                <w:lang w:eastAsia="zh-CN"/>
              </w:rPr>
            </w:pPr>
            <w:bookmarkStart w:id="275" w:name="_Toc77002978"/>
            <w:bookmarkStart w:id="276" w:name="_Toc75898098"/>
            <w:bookmarkStart w:id="277" w:name="_Toc7849"/>
            <w:bookmarkStart w:id="278" w:name="_Toc75899827"/>
          </w:p>
          <w:p w14:paraId="7C3951F5">
            <w:pPr>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供应商名称</w:t>
            </w:r>
          </w:p>
        </w:tc>
        <w:tc>
          <w:tcPr>
            <w:tcW w:w="3905" w:type="pct"/>
          </w:tcPr>
          <w:p w14:paraId="271D79CD">
            <w:pPr>
              <w:jc w:val="center"/>
              <w:rPr>
                <w:rFonts w:hint="eastAsia" w:asciiTheme="minorEastAsia" w:hAnsiTheme="minorEastAsia" w:eastAsiaTheme="minorEastAsia" w:cstheme="minorEastAsia"/>
                <w:b/>
                <w:bCs/>
                <w:color w:val="auto"/>
                <w:sz w:val="24"/>
                <w:szCs w:val="24"/>
                <w:highlight w:val="none"/>
              </w:rPr>
            </w:pPr>
          </w:p>
        </w:tc>
      </w:tr>
      <w:tr w14:paraId="79D1A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6" w:hRule="atLeast"/>
          <w:jc w:val="center"/>
        </w:trPr>
        <w:tc>
          <w:tcPr>
            <w:tcW w:w="1094" w:type="pct"/>
          </w:tcPr>
          <w:p w14:paraId="711C2AD6">
            <w:pPr>
              <w:jc w:val="center"/>
              <w:rPr>
                <w:rFonts w:hint="eastAsia" w:asciiTheme="minorEastAsia" w:hAnsiTheme="minorEastAsia" w:eastAsiaTheme="minorEastAsia" w:cstheme="minorEastAsia"/>
                <w:b/>
                <w:bCs/>
                <w:color w:val="auto"/>
                <w:sz w:val="24"/>
                <w:szCs w:val="24"/>
                <w:highlight w:val="none"/>
              </w:rPr>
            </w:pPr>
          </w:p>
          <w:p w14:paraId="194FBB5E">
            <w:pPr>
              <w:jc w:val="center"/>
              <w:rPr>
                <w:rFonts w:hint="eastAsia" w:asciiTheme="minorEastAsia" w:hAnsiTheme="minorEastAsia" w:eastAsiaTheme="minorEastAsia" w:cstheme="minorEastAsia"/>
                <w:b/>
                <w:bCs/>
                <w:color w:val="auto"/>
                <w:sz w:val="24"/>
                <w:szCs w:val="24"/>
                <w:highlight w:val="none"/>
              </w:rPr>
            </w:pPr>
          </w:p>
          <w:p w14:paraId="0B7D8F94">
            <w:pPr>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投标报价（元）</w:t>
            </w:r>
            <w:bookmarkEnd w:id="275"/>
            <w:bookmarkEnd w:id="276"/>
            <w:bookmarkEnd w:id="277"/>
            <w:bookmarkEnd w:id="278"/>
          </w:p>
        </w:tc>
        <w:tc>
          <w:tcPr>
            <w:tcW w:w="3905" w:type="pct"/>
          </w:tcPr>
          <w:p w14:paraId="59367E2C">
            <w:pPr>
              <w:jc w:val="center"/>
              <w:rPr>
                <w:rFonts w:hint="eastAsia" w:asciiTheme="minorEastAsia" w:hAnsiTheme="minorEastAsia" w:eastAsiaTheme="minorEastAsia" w:cstheme="minorEastAsia"/>
                <w:b/>
                <w:bCs/>
                <w:color w:val="auto"/>
                <w:sz w:val="24"/>
                <w:szCs w:val="24"/>
                <w:highlight w:val="none"/>
                <w:lang w:eastAsia="zh-CN"/>
              </w:rPr>
            </w:pPr>
            <w:bookmarkStart w:id="279" w:name="_Toc77002979"/>
            <w:bookmarkStart w:id="280" w:name="_Toc75899828"/>
            <w:bookmarkStart w:id="281" w:name="_Toc10983"/>
            <w:bookmarkStart w:id="282" w:name="_Toc75898099"/>
          </w:p>
          <w:p w14:paraId="2A8EC5F1">
            <w:pPr>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eastAsia="zh-CN"/>
              </w:rPr>
              <w:t>小写：          元；</w:t>
            </w:r>
          </w:p>
          <w:p w14:paraId="2005F6D5">
            <w:pPr>
              <w:pStyle w:val="12"/>
              <w:rPr>
                <w:rFonts w:hint="eastAsia" w:asciiTheme="minorEastAsia" w:hAnsiTheme="minorEastAsia" w:eastAsiaTheme="minorEastAsia" w:cstheme="minorEastAsia"/>
                <w:color w:val="auto"/>
                <w:sz w:val="24"/>
                <w:szCs w:val="24"/>
                <w:highlight w:val="none"/>
                <w:lang w:eastAsia="zh-CN"/>
              </w:rPr>
            </w:pPr>
          </w:p>
          <w:p w14:paraId="3EBE5BD4">
            <w:pPr>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eastAsia="zh-CN"/>
              </w:rPr>
              <w:t>大写：          元</w:t>
            </w:r>
            <w:bookmarkEnd w:id="279"/>
            <w:bookmarkEnd w:id="280"/>
            <w:bookmarkEnd w:id="281"/>
            <w:bookmarkEnd w:id="282"/>
            <w:r>
              <w:rPr>
                <w:rFonts w:hint="eastAsia" w:asciiTheme="minorEastAsia" w:hAnsiTheme="minorEastAsia" w:eastAsiaTheme="minorEastAsia" w:cstheme="minorEastAsia"/>
                <w:b/>
                <w:bCs/>
                <w:color w:val="auto"/>
                <w:sz w:val="24"/>
                <w:szCs w:val="24"/>
                <w:highlight w:val="none"/>
                <w:lang w:eastAsia="zh-CN"/>
              </w:rPr>
              <w:t>；</w:t>
            </w:r>
          </w:p>
        </w:tc>
      </w:tr>
      <w:tr w14:paraId="1E6BB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4" w:hRule="atLeast"/>
          <w:jc w:val="center"/>
        </w:trPr>
        <w:tc>
          <w:tcPr>
            <w:tcW w:w="1094" w:type="pct"/>
            <w:vAlign w:val="center"/>
          </w:tcPr>
          <w:p w14:paraId="1491520D">
            <w:pPr>
              <w:jc w:val="center"/>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eastAsia="zh-CN"/>
              </w:rPr>
              <w:t>合同履约期限</w:t>
            </w:r>
          </w:p>
        </w:tc>
        <w:tc>
          <w:tcPr>
            <w:tcW w:w="3905" w:type="pct"/>
            <w:vAlign w:val="center"/>
          </w:tcPr>
          <w:p w14:paraId="0A8AEB47">
            <w:pPr>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eastAsia="zh-CN"/>
              </w:rPr>
              <w:t>乙方需按甲方供货要求分两批供货，第一批 76 头警犬（包含乌鲁木齐警犬训练基地30头马里努阿犬、25头东德牧羊犬、5头史宾格犬，8个月-20个月；山东出入境边防检查总站6头马里努阿犬、5头东德牧羊犬、5头拉布拉多犬,均为8个月-20个月。）于合同签订后 15个日历日内送至合同约定供货地点；第二批 77 头（乌鲁木齐警犬训练基地30头马里努阿犬、45头东德牧羊犬、2头新疆牧羊犬（一公一母）,年龄段为：8个月-20个月）接甲方通知后15个日历日内合同约定供货地点，乙方承担全部货运费用。</w:t>
            </w:r>
          </w:p>
        </w:tc>
      </w:tr>
      <w:tr w14:paraId="6D3E6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4" w:hRule="atLeast"/>
          <w:jc w:val="center"/>
        </w:trPr>
        <w:tc>
          <w:tcPr>
            <w:tcW w:w="1094" w:type="pct"/>
            <w:vAlign w:val="center"/>
          </w:tcPr>
          <w:p w14:paraId="7A6E3459">
            <w:pPr>
              <w:jc w:val="center"/>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eastAsia="zh-CN"/>
              </w:rPr>
              <w:t>供货地点</w:t>
            </w:r>
          </w:p>
        </w:tc>
        <w:tc>
          <w:tcPr>
            <w:tcW w:w="3905" w:type="pct"/>
            <w:vAlign w:val="center"/>
          </w:tcPr>
          <w:p w14:paraId="6F7C3040">
            <w:pPr>
              <w:rPr>
                <w:rFonts w:hint="eastAsia" w:asciiTheme="minorEastAsia" w:hAnsiTheme="minorEastAsia" w:eastAsiaTheme="minorEastAsia" w:cstheme="minorEastAsia"/>
                <w:color w:val="auto"/>
                <w:spacing w:val="13"/>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eastAsia="zh-CN"/>
              </w:rPr>
              <w:t>乌鲁木齐县水西沟镇南康大道乌鲁木齐警犬训练基地。</w:t>
            </w:r>
          </w:p>
        </w:tc>
      </w:tr>
      <w:tr w14:paraId="6F4E3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jc w:val="center"/>
        </w:trPr>
        <w:tc>
          <w:tcPr>
            <w:tcW w:w="1094" w:type="pct"/>
            <w:vAlign w:val="center"/>
          </w:tcPr>
          <w:p w14:paraId="3D3BE062">
            <w:pPr>
              <w:jc w:val="center"/>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eastAsia="zh-CN"/>
              </w:rPr>
              <w:t>投标保证金是否缴纳</w:t>
            </w:r>
          </w:p>
        </w:tc>
        <w:tc>
          <w:tcPr>
            <w:tcW w:w="3905" w:type="pct"/>
            <w:vAlign w:val="center"/>
          </w:tcPr>
          <w:p w14:paraId="3A2B2B3A">
            <w:pPr>
              <w:jc w:val="center"/>
              <w:rPr>
                <w:rFonts w:hint="eastAsia" w:asciiTheme="minorEastAsia" w:hAnsiTheme="minorEastAsia" w:eastAsiaTheme="minorEastAsia" w:cstheme="minorEastAsia"/>
                <w:b/>
                <w:bCs/>
                <w:color w:val="auto"/>
                <w:sz w:val="24"/>
                <w:szCs w:val="24"/>
                <w:highlight w:val="none"/>
              </w:rPr>
            </w:pPr>
          </w:p>
        </w:tc>
      </w:tr>
      <w:tr w14:paraId="10C89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1094" w:type="pct"/>
            <w:vAlign w:val="center"/>
          </w:tcPr>
          <w:p w14:paraId="44366AE5">
            <w:pPr>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备  注</w:t>
            </w:r>
          </w:p>
        </w:tc>
        <w:tc>
          <w:tcPr>
            <w:tcW w:w="3905" w:type="pct"/>
            <w:vAlign w:val="center"/>
          </w:tcPr>
          <w:p w14:paraId="7856D2E4">
            <w:pPr>
              <w:jc w:val="center"/>
              <w:rPr>
                <w:rFonts w:hint="eastAsia" w:asciiTheme="minorEastAsia" w:hAnsiTheme="minorEastAsia" w:eastAsiaTheme="minorEastAsia" w:cstheme="minorEastAsia"/>
                <w:b/>
                <w:bCs/>
                <w:color w:val="auto"/>
                <w:sz w:val="24"/>
                <w:szCs w:val="24"/>
                <w:highlight w:val="none"/>
              </w:rPr>
            </w:pPr>
          </w:p>
        </w:tc>
      </w:tr>
    </w:tbl>
    <w:p w14:paraId="66B00F4D">
      <w:pPr>
        <w:pStyle w:val="9"/>
        <w:spacing w:line="458" w:lineRule="auto"/>
        <w:rPr>
          <w:rFonts w:hint="eastAsia" w:asciiTheme="minorEastAsia" w:hAnsiTheme="minorEastAsia" w:eastAsiaTheme="minorEastAsia" w:cstheme="minorEastAsia"/>
          <w:color w:val="auto"/>
          <w:sz w:val="24"/>
          <w:szCs w:val="24"/>
          <w:highlight w:val="none"/>
        </w:rPr>
      </w:pPr>
    </w:p>
    <w:p w14:paraId="13EC64F7">
      <w:pPr>
        <w:pStyle w:val="9"/>
        <w:spacing w:line="259" w:lineRule="auto"/>
        <w:ind w:left="464" w:hanging="484" w:hangingChars="200"/>
        <w:rPr>
          <w:rFonts w:hint="eastAsia" w:asciiTheme="minorEastAsia" w:hAnsiTheme="minorEastAsia" w:eastAsiaTheme="minorEastAsia" w:cstheme="minorEastAsia"/>
          <w:color w:val="auto"/>
          <w:spacing w:val="1"/>
          <w:position w:val="5"/>
          <w:sz w:val="24"/>
          <w:szCs w:val="24"/>
          <w:highlight w:val="none"/>
          <w:lang w:eastAsia="zh-CN"/>
        </w:rPr>
      </w:pPr>
      <w:r>
        <w:rPr>
          <w:rFonts w:hint="eastAsia" w:asciiTheme="minorEastAsia" w:hAnsiTheme="minorEastAsia" w:eastAsiaTheme="minorEastAsia" w:cstheme="minorEastAsia"/>
          <w:color w:val="auto"/>
          <w:spacing w:val="1"/>
          <w:position w:val="5"/>
          <w:sz w:val="24"/>
          <w:szCs w:val="24"/>
          <w:highlight w:val="none"/>
          <w:lang w:eastAsia="zh-CN"/>
        </w:rPr>
        <w:t xml:space="preserve">注：1、报价一经涂改，应在涂改处加盖单位公章或者由法定代表人或其委托代理人签字或盖章，否则其投标作无效标处理。  </w:t>
      </w:r>
    </w:p>
    <w:p w14:paraId="35030550">
      <w:pPr>
        <w:pStyle w:val="9"/>
        <w:spacing w:line="259" w:lineRule="auto"/>
        <w:rPr>
          <w:rFonts w:hint="eastAsia" w:asciiTheme="minorEastAsia" w:hAnsiTheme="minorEastAsia" w:eastAsiaTheme="minorEastAsia" w:cstheme="minorEastAsia"/>
          <w:color w:val="auto"/>
          <w:spacing w:val="1"/>
          <w:position w:val="5"/>
          <w:sz w:val="24"/>
          <w:szCs w:val="24"/>
          <w:highlight w:val="none"/>
          <w:lang w:eastAsia="zh-CN"/>
        </w:rPr>
      </w:pPr>
      <w:r>
        <w:rPr>
          <w:rFonts w:hint="eastAsia" w:asciiTheme="minorEastAsia" w:hAnsiTheme="minorEastAsia" w:eastAsiaTheme="minorEastAsia" w:cstheme="minorEastAsia"/>
          <w:color w:val="auto"/>
          <w:spacing w:val="1"/>
          <w:position w:val="5"/>
          <w:sz w:val="24"/>
          <w:szCs w:val="24"/>
          <w:highlight w:val="none"/>
          <w:lang w:eastAsia="zh-CN"/>
        </w:rPr>
        <w:t xml:space="preserve">   </w:t>
      </w:r>
      <w:r>
        <w:rPr>
          <w:rFonts w:hint="eastAsia" w:asciiTheme="minorEastAsia" w:hAnsiTheme="minorEastAsia" w:eastAsiaTheme="minorEastAsia" w:cstheme="minorEastAsia"/>
          <w:color w:val="auto"/>
          <w:spacing w:val="1"/>
          <w:position w:val="5"/>
          <w:sz w:val="24"/>
          <w:szCs w:val="24"/>
          <w:highlight w:val="none"/>
          <w:lang w:val="en-US" w:eastAsia="zh-CN"/>
        </w:rPr>
        <w:t xml:space="preserve"> </w:t>
      </w:r>
      <w:r>
        <w:rPr>
          <w:rFonts w:hint="eastAsia" w:asciiTheme="minorEastAsia" w:hAnsiTheme="minorEastAsia" w:eastAsiaTheme="minorEastAsia" w:cstheme="minorEastAsia"/>
          <w:color w:val="auto"/>
          <w:spacing w:val="1"/>
          <w:position w:val="5"/>
          <w:sz w:val="24"/>
          <w:szCs w:val="24"/>
          <w:highlight w:val="none"/>
          <w:lang w:eastAsia="zh-CN"/>
        </w:rPr>
        <w:t xml:space="preserve">2、报价包括项目实施所需的保费、管理费、利润、税费及其他一切费用。  </w:t>
      </w:r>
    </w:p>
    <w:p w14:paraId="442BBDFD">
      <w:pPr>
        <w:pStyle w:val="9"/>
        <w:spacing w:line="259" w:lineRule="auto"/>
        <w:rPr>
          <w:rFonts w:hint="eastAsia" w:asciiTheme="minorEastAsia" w:hAnsiTheme="minorEastAsia" w:eastAsiaTheme="minorEastAsia" w:cstheme="minorEastAsia"/>
          <w:color w:val="auto"/>
          <w:spacing w:val="1"/>
          <w:position w:val="5"/>
          <w:sz w:val="24"/>
          <w:szCs w:val="24"/>
          <w:highlight w:val="none"/>
          <w:lang w:eastAsia="zh-CN"/>
        </w:rPr>
      </w:pPr>
      <w:r>
        <w:rPr>
          <w:rFonts w:hint="eastAsia" w:asciiTheme="minorEastAsia" w:hAnsiTheme="minorEastAsia" w:eastAsiaTheme="minorEastAsia" w:cstheme="minorEastAsia"/>
          <w:color w:val="auto"/>
          <w:spacing w:val="1"/>
          <w:position w:val="5"/>
          <w:sz w:val="24"/>
          <w:szCs w:val="24"/>
          <w:highlight w:val="none"/>
          <w:lang w:eastAsia="zh-CN"/>
        </w:rPr>
        <w:t xml:space="preserve">   </w:t>
      </w:r>
      <w:r>
        <w:rPr>
          <w:rFonts w:hint="eastAsia" w:asciiTheme="minorEastAsia" w:hAnsiTheme="minorEastAsia" w:eastAsiaTheme="minorEastAsia" w:cstheme="minorEastAsia"/>
          <w:color w:val="auto"/>
          <w:spacing w:val="1"/>
          <w:position w:val="5"/>
          <w:sz w:val="24"/>
          <w:szCs w:val="24"/>
          <w:highlight w:val="none"/>
          <w:lang w:val="en-US" w:eastAsia="zh-CN"/>
        </w:rPr>
        <w:t xml:space="preserve"> </w:t>
      </w:r>
      <w:r>
        <w:rPr>
          <w:rFonts w:hint="eastAsia" w:asciiTheme="minorEastAsia" w:hAnsiTheme="minorEastAsia" w:eastAsiaTheme="minorEastAsia" w:cstheme="minorEastAsia"/>
          <w:color w:val="auto"/>
          <w:spacing w:val="1"/>
          <w:position w:val="5"/>
          <w:sz w:val="24"/>
          <w:szCs w:val="24"/>
          <w:highlight w:val="none"/>
          <w:lang w:eastAsia="zh-CN"/>
        </w:rPr>
        <w:t>3、</w:t>
      </w:r>
      <w:r>
        <w:rPr>
          <w:rFonts w:hint="eastAsia" w:asciiTheme="minorEastAsia" w:hAnsiTheme="minorEastAsia" w:eastAsiaTheme="minorEastAsia" w:cstheme="minorEastAsia"/>
          <w:b/>
          <w:bCs/>
          <w:color w:val="auto"/>
          <w:spacing w:val="1"/>
          <w:position w:val="5"/>
          <w:sz w:val="24"/>
          <w:szCs w:val="24"/>
          <w:highlight w:val="none"/>
          <w:lang w:eastAsia="zh-CN"/>
        </w:rPr>
        <w:t>本表后须附详细的投标报价明细表，投标报价明细表中金额和开标一览表金额一致</w:t>
      </w:r>
      <w:r>
        <w:rPr>
          <w:rFonts w:hint="eastAsia" w:asciiTheme="minorEastAsia" w:hAnsiTheme="minorEastAsia" w:eastAsiaTheme="minorEastAsia" w:cstheme="minorEastAsia"/>
          <w:color w:val="auto"/>
          <w:spacing w:val="1"/>
          <w:position w:val="5"/>
          <w:sz w:val="24"/>
          <w:szCs w:val="24"/>
          <w:highlight w:val="none"/>
          <w:lang w:eastAsia="zh-CN"/>
        </w:rPr>
        <w:t>。</w:t>
      </w:r>
    </w:p>
    <w:p w14:paraId="61A5B703">
      <w:pPr>
        <w:pStyle w:val="9"/>
        <w:spacing w:line="260" w:lineRule="auto"/>
        <w:rPr>
          <w:rFonts w:hint="eastAsia" w:asciiTheme="minorEastAsia" w:hAnsiTheme="minorEastAsia" w:eastAsiaTheme="minorEastAsia" w:cstheme="minorEastAsia"/>
          <w:color w:val="auto"/>
          <w:sz w:val="24"/>
          <w:szCs w:val="24"/>
          <w:highlight w:val="none"/>
          <w:lang w:eastAsia="zh-CN"/>
        </w:rPr>
      </w:pPr>
    </w:p>
    <w:p w14:paraId="40907648">
      <w:pPr>
        <w:spacing w:before="75" w:line="227" w:lineRule="auto"/>
        <w:ind w:left="95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5"/>
          <w:sz w:val="24"/>
          <w:szCs w:val="24"/>
          <w:highlight w:val="none"/>
          <w:lang w:eastAsia="zh-CN"/>
        </w:rPr>
        <w:t>谈判供应商名称（电子公章）：</w:t>
      </w:r>
    </w:p>
    <w:p w14:paraId="2AF5EDFA">
      <w:pPr>
        <w:spacing w:before="157" w:line="439" w:lineRule="exact"/>
        <w:ind w:left="95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6"/>
          <w:position w:val="15"/>
          <w:sz w:val="24"/>
          <w:szCs w:val="24"/>
          <w:highlight w:val="none"/>
          <w:lang w:eastAsia="zh-CN"/>
        </w:rPr>
        <w:t>谈判供应商法定代表人（电子签名或盖章</w:t>
      </w:r>
      <w:r>
        <w:rPr>
          <w:rFonts w:hint="eastAsia" w:asciiTheme="minorEastAsia" w:hAnsiTheme="minorEastAsia" w:eastAsiaTheme="minorEastAsia" w:cstheme="minorEastAsia"/>
          <w:color w:val="auto"/>
          <w:spacing w:val="11"/>
          <w:position w:val="15"/>
          <w:sz w:val="24"/>
          <w:szCs w:val="24"/>
          <w:highlight w:val="none"/>
          <w:lang w:eastAsia="zh-CN"/>
        </w:rPr>
        <w:t>）：</w:t>
      </w:r>
    </w:p>
    <w:p w14:paraId="683D73E7">
      <w:pPr>
        <w:spacing w:line="227" w:lineRule="auto"/>
        <w:ind w:left="1002"/>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23"/>
          <w:sz w:val="24"/>
          <w:szCs w:val="24"/>
          <w:highlight w:val="none"/>
          <w:lang w:eastAsia="zh-CN"/>
        </w:rPr>
        <w:t>日期：</w:t>
      </w:r>
      <w:r>
        <w:rPr>
          <w:rFonts w:hint="eastAsia" w:asciiTheme="minorEastAsia" w:hAnsiTheme="minorEastAsia" w:eastAsiaTheme="minorEastAsia" w:cstheme="minorEastAsia"/>
          <w:color w:val="auto"/>
          <w:spacing w:val="5"/>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年</w:t>
      </w:r>
      <w:r>
        <w:rPr>
          <w:rFonts w:hint="eastAsia" w:asciiTheme="minorEastAsia" w:hAnsiTheme="minorEastAsia" w:eastAsiaTheme="minorEastAsia" w:cstheme="minorEastAsia"/>
          <w:color w:val="auto"/>
          <w:spacing w:val="21"/>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月</w:t>
      </w:r>
      <w:r>
        <w:rPr>
          <w:rFonts w:hint="eastAsia" w:asciiTheme="minorEastAsia" w:hAnsiTheme="minorEastAsia" w:eastAsiaTheme="minorEastAsia" w:cstheme="minorEastAsia"/>
          <w:color w:val="auto"/>
          <w:spacing w:val="55"/>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日</w:t>
      </w:r>
    </w:p>
    <w:p w14:paraId="244E4182">
      <w:pPr>
        <w:rPr>
          <w:rFonts w:hint="eastAsia" w:ascii="宋体" w:hAnsi="宋体" w:eastAsia="宋体" w:cs="宋体"/>
          <w:color w:val="auto"/>
          <w:sz w:val="23"/>
          <w:szCs w:val="23"/>
          <w:highlight w:val="none"/>
          <w:lang w:eastAsia="zh-CN"/>
        </w:rPr>
      </w:pPr>
    </w:p>
    <w:p w14:paraId="2F9008F3">
      <w:pPr>
        <w:rPr>
          <w:rFonts w:hint="eastAsia" w:ascii="宋体" w:hAnsi="宋体" w:eastAsia="宋体" w:cs="宋体"/>
          <w:color w:val="auto"/>
          <w:sz w:val="23"/>
          <w:szCs w:val="23"/>
          <w:highlight w:val="none"/>
          <w:lang w:eastAsia="zh-CN"/>
        </w:rPr>
      </w:pPr>
    </w:p>
    <w:p w14:paraId="080C396C">
      <w:pPr>
        <w:rPr>
          <w:rFonts w:hint="eastAsia" w:ascii="宋体" w:hAnsi="宋体" w:eastAsia="宋体" w:cs="宋体"/>
          <w:color w:val="auto"/>
          <w:spacing w:val="-2"/>
          <w:sz w:val="28"/>
          <w:szCs w:val="28"/>
          <w:highlight w:val="none"/>
          <w:lang w:eastAsia="zh-CN"/>
          <w14:textOutline w14:w="5130" w14:cap="flat" w14:cmpd="sng" w14:algn="ctr">
            <w14:solidFill>
              <w14:srgbClr w14:val="000000"/>
            </w14:solidFill>
            <w14:prstDash w14:val="solid"/>
            <w14:miter w14:val="0"/>
          </w14:textOutline>
        </w:rPr>
      </w:pPr>
      <w:r>
        <w:rPr>
          <w:rFonts w:hint="eastAsia" w:ascii="宋体" w:hAnsi="宋体" w:eastAsia="宋体" w:cs="宋体"/>
          <w:color w:val="auto"/>
          <w:spacing w:val="-2"/>
          <w:sz w:val="28"/>
          <w:szCs w:val="28"/>
          <w:highlight w:val="none"/>
          <w:lang w:eastAsia="zh-CN"/>
          <w14:textOutline w14:w="5130" w14:cap="flat" w14:cmpd="sng" w14:algn="ctr">
            <w14:solidFill>
              <w14:srgbClr w14:val="000000"/>
            </w14:solidFill>
            <w14:prstDash w14:val="solid"/>
            <w14:miter w14:val="0"/>
          </w14:textOutline>
        </w:rPr>
        <w:br w:type="page"/>
      </w:r>
    </w:p>
    <w:p w14:paraId="1888E013">
      <w:pPr>
        <w:spacing w:before="91" w:line="219" w:lineRule="auto"/>
        <w:ind w:left="3297"/>
        <w:rPr>
          <w:rFonts w:hint="eastAsia" w:ascii="宋体" w:hAnsi="宋体" w:eastAsia="宋体" w:cs="宋体"/>
          <w:color w:val="auto"/>
          <w:spacing w:val="-2"/>
          <w:sz w:val="28"/>
          <w:szCs w:val="28"/>
          <w:highlight w:val="none"/>
          <w:lang w:eastAsia="zh-CN"/>
          <w14:textOutline w14:w="5130" w14:cap="flat" w14:cmpd="sng" w14:algn="ctr">
            <w14:solidFill>
              <w14:srgbClr w14:val="000000"/>
            </w14:solidFill>
            <w14:prstDash w14:val="solid"/>
            <w14:miter w14:val="0"/>
          </w14:textOutline>
        </w:rPr>
      </w:pPr>
      <w:r>
        <w:rPr>
          <w:rFonts w:hint="eastAsia" w:ascii="宋体" w:hAnsi="宋体" w:eastAsia="宋体" w:cs="宋体"/>
          <w:color w:val="auto"/>
          <w:spacing w:val="-2"/>
          <w:sz w:val="28"/>
          <w:szCs w:val="28"/>
          <w:highlight w:val="none"/>
          <w:lang w:eastAsia="zh-CN"/>
          <w14:textOutline w14:w="5130" w14:cap="flat" w14:cmpd="sng" w14:algn="ctr">
            <w14:solidFill>
              <w14:srgbClr w14:val="000000"/>
            </w14:solidFill>
            <w14:prstDash w14:val="solid"/>
            <w14:miter w14:val="0"/>
          </w14:textOutline>
        </w:rPr>
        <w:t>投标报价明细表</w:t>
      </w:r>
    </w:p>
    <w:p w14:paraId="41192E5E">
      <w:pPr>
        <w:pStyle w:val="10"/>
        <w:rPr>
          <w:rFonts w:hint="eastAsia" w:ascii="宋体" w:hAnsi="宋体" w:eastAsia="宋体" w:cs="宋体"/>
          <w:color w:val="auto"/>
          <w:spacing w:val="-2"/>
          <w:sz w:val="28"/>
          <w:szCs w:val="28"/>
          <w:highlight w:val="none"/>
          <w:lang w:eastAsia="zh-CN"/>
          <w14:textOutline w14:w="5130" w14:cap="flat" w14:cmpd="sng" w14:algn="ctr">
            <w14:solidFill>
              <w14:srgbClr w14:val="000000"/>
            </w14:solidFill>
            <w14:prstDash w14:val="solid"/>
            <w14:miter w14:val="0"/>
          </w14:textOutline>
        </w:rPr>
      </w:pPr>
    </w:p>
    <w:p w14:paraId="52C5E23D">
      <w:pP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2"/>
          <w:sz w:val="24"/>
          <w:szCs w:val="24"/>
          <w:highlight w:val="none"/>
          <w:lang w:eastAsia="zh-CN"/>
          <w14:textOutline w14:w="5130" w14:cap="flat" w14:cmpd="sng" w14:algn="ctr">
            <w14:solidFill>
              <w14:srgbClr w14:val="000000"/>
            </w14:solidFill>
            <w14:prstDash w14:val="solid"/>
            <w14:miter w14:val="0"/>
          </w14:textOutline>
        </w:rPr>
        <w:t>一、乌鲁木齐警犬训练基地</w:t>
      </w:r>
    </w:p>
    <w:tbl>
      <w:tblPr>
        <w:tblStyle w:val="14"/>
        <w:tblW w:w="5564"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
      <w:tblGrid>
        <w:gridCol w:w="480"/>
        <w:gridCol w:w="1067"/>
        <w:gridCol w:w="974"/>
        <w:gridCol w:w="1119"/>
        <w:gridCol w:w="1004"/>
        <w:gridCol w:w="652"/>
        <w:gridCol w:w="713"/>
        <w:gridCol w:w="1461"/>
        <w:gridCol w:w="1840"/>
      </w:tblGrid>
      <w:tr w14:paraId="18ECE6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638" w:hRule="atLeast"/>
          <w:jc w:val="center"/>
        </w:trPr>
        <w:tc>
          <w:tcPr>
            <w:tcW w:w="257" w:type="pct"/>
            <w:vAlign w:val="center"/>
          </w:tcPr>
          <w:p w14:paraId="559932CC">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序号</w:t>
            </w:r>
          </w:p>
        </w:tc>
        <w:tc>
          <w:tcPr>
            <w:tcW w:w="573" w:type="pct"/>
            <w:vAlign w:val="center"/>
          </w:tcPr>
          <w:p w14:paraId="38306E80">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犬种</w:t>
            </w:r>
          </w:p>
        </w:tc>
        <w:tc>
          <w:tcPr>
            <w:tcW w:w="523" w:type="pct"/>
            <w:vAlign w:val="center"/>
          </w:tcPr>
          <w:p w14:paraId="670ED289">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性别</w:t>
            </w:r>
          </w:p>
        </w:tc>
        <w:tc>
          <w:tcPr>
            <w:tcW w:w="600" w:type="pct"/>
            <w:vAlign w:val="center"/>
          </w:tcPr>
          <w:p w14:paraId="2EDFFD39">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rPr>
              <w:t>年龄</w:t>
            </w:r>
            <w:r>
              <w:rPr>
                <w:rFonts w:hint="eastAsia" w:asciiTheme="minorEastAsia" w:hAnsiTheme="minorEastAsia" w:eastAsiaTheme="minorEastAsia" w:cstheme="minorEastAsia"/>
                <w:color w:val="auto"/>
                <w:kern w:val="28"/>
                <w:sz w:val="24"/>
                <w:szCs w:val="24"/>
                <w:highlight w:val="none"/>
                <w:lang w:eastAsia="zh-CN"/>
              </w:rPr>
              <w:t>段</w:t>
            </w:r>
          </w:p>
        </w:tc>
        <w:tc>
          <w:tcPr>
            <w:tcW w:w="539" w:type="pct"/>
            <w:vAlign w:val="center"/>
          </w:tcPr>
          <w:p w14:paraId="7AACEF35">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单价</w:t>
            </w:r>
          </w:p>
        </w:tc>
        <w:tc>
          <w:tcPr>
            <w:tcW w:w="350" w:type="pct"/>
            <w:vAlign w:val="center"/>
          </w:tcPr>
          <w:p w14:paraId="3B5DDDBE">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数量</w:t>
            </w:r>
          </w:p>
        </w:tc>
        <w:tc>
          <w:tcPr>
            <w:tcW w:w="382" w:type="pct"/>
            <w:vAlign w:val="center"/>
          </w:tcPr>
          <w:p w14:paraId="709AAC57">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rPr>
              <w:t>总价</w:t>
            </w:r>
            <w:r>
              <w:rPr>
                <w:rFonts w:hint="eastAsia" w:asciiTheme="minorEastAsia" w:hAnsiTheme="minorEastAsia" w:eastAsiaTheme="minorEastAsia" w:cstheme="minorEastAsia"/>
                <w:color w:val="auto"/>
                <w:kern w:val="28"/>
                <w:sz w:val="24"/>
                <w:szCs w:val="24"/>
                <w:highlight w:val="none"/>
                <w:lang w:eastAsia="zh-CN"/>
              </w:rPr>
              <w:t>（元）</w:t>
            </w:r>
          </w:p>
        </w:tc>
        <w:tc>
          <w:tcPr>
            <w:tcW w:w="784" w:type="pct"/>
            <w:vAlign w:val="center"/>
          </w:tcPr>
          <w:p w14:paraId="2043B495">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单价限价</w:t>
            </w:r>
          </w:p>
        </w:tc>
        <w:tc>
          <w:tcPr>
            <w:tcW w:w="988" w:type="pct"/>
            <w:vAlign w:val="center"/>
          </w:tcPr>
          <w:p w14:paraId="36315FAD">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备注</w:t>
            </w:r>
          </w:p>
        </w:tc>
      </w:tr>
      <w:tr w14:paraId="3CF2A4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681" w:hRule="atLeast"/>
          <w:jc w:val="center"/>
        </w:trPr>
        <w:tc>
          <w:tcPr>
            <w:tcW w:w="257" w:type="pct"/>
            <w:vAlign w:val="center"/>
          </w:tcPr>
          <w:p w14:paraId="5C690FD3">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1</w:t>
            </w:r>
          </w:p>
        </w:tc>
        <w:tc>
          <w:tcPr>
            <w:tcW w:w="573" w:type="pct"/>
            <w:vAlign w:val="center"/>
          </w:tcPr>
          <w:p w14:paraId="27033B79">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sz w:val="24"/>
                <w:szCs w:val="24"/>
                <w:highlight w:val="none"/>
                <w:lang w:eastAsia="zh-CN" w:bidi="ar"/>
              </w:rPr>
              <w:t>东德牧羊犬</w:t>
            </w:r>
          </w:p>
        </w:tc>
        <w:tc>
          <w:tcPr>
            <w:tcW w:w="523" w:type="pct"/>
            <w:vAlign w:val="center"/>
          </w:tcPr>
          <w:p w14:paraId="728F3CB6">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公犬</w:t>
            </w:r>
          </w:p>
        </w:tc>
        <w:tc>
          <w:tcPr>
            <w:tcW w:w="600" w:type="pct"/>
            <w:vAlign w:val="center"/>
          </w:tcPr>
          <w:p w14:paraId="679C4769">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8个月-20个月之间</w:t>
            </w:r>
          </w:p>
        </w:tc>
        <w:tc>
          <w:tcPr>
            <w:tcW w:w="539" w:type="pct"/>
            <w:vAlign w:val="center"/>
          </w:tcPr>
          <w:p w14:paraId="6DAB5027">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350" w:type="pct"/>
            <w:vAlign w:val="center"/>
          </w:tcPr>
          <w:p w14:paraId="2097AB2D">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70</w:t>
            </w:r>
            <w:r>
              <w:rPr>
                <w:rFonts w:hint="eastAsia" w:asciiTheme="minorEastAsia" w:hAnsiTheme="minorEastAsia" w:eastAsiaTheme="minorEastAsia" w:cstheme="minorEastAsia"/>
                <w:color w:val="auto"/>
                <w:spacing w:val="9"/>
                <w:sz w:val="24"/>
                <w:szCs w:val="24"/>
                <w:highlight w:val="none"/>
                <w:lang w:eastAsia="zh-CN"/>
              </w:rPr>
              <w:t>头</w:t>
            </w:r>
          </w:p>
        </w:tc>
        <w:tc>
          <w:tcPr>
            <w:tcW w:w="382" w:type="pct"/>
            <w:vAlign w:val="center"/>
          </w:tcPr>
          <w:p w14:paraId="755BEA8E">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784" w:type="pct"/>
            <w:vAlign w:val="center"/>
          </w:tcPr>
          <w:p w14:paraId="6D58FE76">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lang w:eastAsia="zh-CN"/>
              </w:rPr>
              <w:t>10000元</w:t>
            </w:r>
          </w:p>
        </w:tc>
        <w:tc>
          <w:tcPr>
            <w:tcW w:w="988" w:type="pct"/>
            <w:vAlign w:val="center"/>
          </w:tcPr>
          <w:p w14:paraId="020C8706">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lang w:eastAsia="zh-CN"/>
              </w:rPr>
              <w:t>乌鲁木齐警犬训练基地</w:t>
            </w:r>
          </w:p>
        </w:tc>
      </w:tr>
      <w:tr w14:paraId="749A72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681" w:hRule="atLeast"/>
          <w:jc w:val="center"/>
        </w:trPr>
        <w:tc>
          <w:tcPr>
            <w:tcW w:w="257" w:type="pct"/>
            <w:vAlign w:val="center"/>
          </w:tcPr>
          <w:p w14:paraId="3E56305B">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2</w:t>
            </w:r>
          </w:p>
        </w:tc>
        <w:tc>
          <w:tcPr>
            <w:tcW w:w="573" w:type="pct"/>
            <w:vAlign w:val="center"/>
          </w:tcPr>
          <w:p w14:paraId="44C4C555">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sz w:val="24"/>
                <w:szCs w:val="24"/>
                <w:highlight w:val="none"/>
                <w:lang w:eastAsia="zh-CN" w:bidi="ar"/>
              </w:rPr>
              <w:t>马里努阿犬</w:t>
            </w:r>
          </w:p>
        </w:tc>
        <w:tc>
          <w:tcPr>
            <w:tcW w:w="523" w:type="pct"/>
            <w:vAlign w:val="center"/>
          </w:tcPr>
          <w:p w14:paraId="3326A0F7">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公犬</w:t>
            </w:r>
          </w:p>
        </w:tc>
        <w:tc>
          <w:tcPr>
            <w:tcW w:w="600" w:type="pct"/>
            <w:vAlign w:val="center"/>
          </w:tcPr>
          <w:p w14:paraId="1B4233FE">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8个月-20个月之间</w:t>
            </w:r>
          </w:p>
        </w:tc>
        <w:tc>
          <w:tcPr>
            <w:tcW w:w="539" w:type="pct"/>
            <w:vAlign w:val="center"/>
          </w:tcPr>
          <w:p w14:paraId="414D5884">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350" w:type="pct"/>
            <w:vAlign w:val="center"/>
          </w:tcPr>
          <w:p w14:paraId="491C9402">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60</w:t>
            </w:r>
            <w:r>
              <w:rPr>
                <w:rFonts w:hint="eastAsia" w:asciiTheme="minorEastAsia" w:hAnsiTheme="minorEastAsia" w:eastAsiaTheme="minorEastAsia" w:cstheme="minorEastAsia"/>
                <w:color w:val="auto"/>
                <w:spacing w:val="9"/>
                <w:sz w:val="24"/>
                <w:szCs w:val="24"/>
                <w:highlight w:val="none"/>
                <w:lang w:eastAsia="zh-CN"/>
              </w:rPr>
              <w:t>头</w:t>
            </w:r>
          </w:p>
        </w:tc>
        <w:tc>
          <w:tcPr>
            <w:tcW w:w="382" w:type="pct"/>
            <w:vAlign w:val="center"/>
          </w:tcPr>
          <w:p w14:paraId="27E51AF6">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784" w:type="pct"/>
            <w:vAlign w:val="center"/>
          </w:tcPr>
          <w:p w14:paraId="6729B6D5">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lang w:eastAsia="zh-CN"/>
              </w:rPr>
              <w:t>10000元</w:t>
            </w:r>
          </w:p>
        </w:tc>
        <w:tc>
          <w:tcPr>
            <w:tcW w:w="988" w:type="pct"/>
            <w:vAlign w:val="center"/>
          </w:tcPr>
          <w:p w14:paraId="38FBE12F">
            <w:pPr>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lang w:eastAsia="zh-CN"/>
              </w:rPr>
              <w:t>乌鲁木齐警犬训练基地</w:t>
            </w:r>
          </w:p>
        </w:tc>
      </w:tr>
      <w:tr w14:paraId="520626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681" w:hRule="atLeast"/>
          <w:jc w:val="center"/>
        </w:trPr>
        <w:tc>
          <w:tcPr>
            <w:tcW w:w="257" w:type="pct"/>
            <w:vAlign w:val="center"/>
          </w:tcPr>
          <w:p w14:paraId="1DD293A3">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3</w:t>
            </w:r>
          </w:p>
        </w:tc>
        <w:tc>
          <w:tcPr>
            <w:tcW w:w="573" w:type="pct"/>
            <w:vAlign w:val="center"/>
          </w:tcPr>
          <w:p w14:paraId="321471C8">
            <w:pPr>
              <w:tabs>
                <w:tab w:val="left" w:pos="840"/>
              </w:tabs>
              <w:jc w:val="center"/>
              <w:rPr>
                <w:rFonts w:hint="eastAsia" w:asciiTheme="minorEastAsia" w:hAnsiTheme="minorEastAsia" w:eastAsiaTheme="minorEastAsia" w:cstheme="minorEastAsia"/>
                <w:color w:val="auto"/>
                <w:sz w:val="24"/>
                <w:szCs w:val="24"/>
                <w:highlight w:val="none"/>
                <w:lang w:eastAsia="zh-CN" w:bidi="ar"/>
              </w:rPr>
            </w:pPr>
            <w:r>
              <w:rPr>
                <w:rFonts w:hint="eastAsia" w:asciiTheme="minorEastAsia" w:hAnsiTheme="minorEastAsia" w:eastAsiaTheme="minorEastAsia" w:cstheme="minorEastAsia"/>
                <w:color w:val="auto"/>
                <w:sz w:val="24"/>
                <w:szCs w:val="24"/>
                <w:highlight w:val="none"/>
                <w:lang w:eastAsia="zh-CN" w:bidi="ar"/>
              </w:rPr>
              <w:t>史宾格犬</w:t>
            </w:r>
          </w:p>
        </w:tc>
        <w:tc>
          <w:tcPr>
            <w:tcW w:w="523" w:type="pct"/>
            <w:vAlign w:val="center"/>
          </w:tcPr>
          <w:p w14:paraId="0DB0C126">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公犬</w:t>
            </w:r>
          </w:p>
        </w:tc>
        <w:tc>
          <w:tcPr>
            <w:tcW w:w="600" w:type="pct"/>
            <w:vAlign w:val="center"/>
          </w:tcPr>
          <w:p w14:paraId="7DBFB229">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8个月-20个月之间</w:t>
            </w:r>
          </w:p>
        </w:tc>
        <w:tc>
          <w:tcPr>
            <w:tcW w:w="539" w:type="pct"/>
            <w:vAlign w:val="center"/>
          </w:tcPr>
          <w:p w14:paraId="638096D9">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350" w:type="pct"/>
            <w:vAlign w:val="center"/>
          </w:tcPr>
          <w:p w14:paraId="41393BD9">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5</w:t>
            </w:r>
            <w:r>
              <w:rPr>
                <w:rFonts w:hint="eastAsia" w:asciiTheme="minorEastAsia" w:hAnsiTheme="minorEastAsia" w:eastAsiaTheme="minorEastAsia" w:cstheme="minorEastAsia"/>
                <w:color w:val="auto"/>
                <w:spacing w:val="9"/>
                <w:sz w:val="24"/>
                <w:szCs w:val="24"/>
                <w:highlight w:val="none"/>
                <w:lang w:eastAsia="zh-CN"/>
              </w:rPr>
              <w:t>头</w:t>
            </w:r>
          </w:p>
        </w:tc>
        <w:tc>
          <w:tcPr>
            <w:tcW w:w="382" w:type="pct"/>
            <w:vAlign w:val="center"/>
          </w:tcPr>
          <w:p w14:paraId="27954EAD">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784" w:type="pct"/>
            <w:vAlign w:val="center"/>
          </w:tcPr>
          <w:p w14:paraId="2748AE53">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lang w:eastAsia="zh-CN"/>
              </w:rPr>
              <w:t>10000元</w:t>
            </w:r>
          </w:p>
        </w:tc>
        <w:tc>
          <w:tcPr>
            <w:tcW w:w="988" w:type="pct"/>
            <w:vAlign w:val="center"/>
          </w:tcPr>
          <w:p w14:paraId="5EAF0CDF">
            <w:pPr>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lang w:eastAsia="zh-CN"/>
              </w:rPr>
              <w:t>乌鲁木齐警犬训练基地</w:t>
            </w:r>
          </w:p>
        </w:tc>
      </w:tr>
      <w:tr w14:paraId="453323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681" w:hRule="atLeast"/>
          <w:jc w:val="center"/>
        </w:trPr>
        <w:tc>
          <w:tcPr>
            <w:tcW w:w="257" w:type="pct"/>
            <w:vAlign w:val="center"/>
          </w:tcPr>
          <w:p w14:paraId="6A2395B9">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4</w:t>
            </w:r>
          </w:p>
        </w:tc>
        <w:tc>
          <w:tcPr>
            <w:tcW w:w="573" w:type="pct"/>
            <w:vAlign w:val="center"/>
          </w:tcPr>
          <w:p w14:paraId="1ED212A8">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lang w:eastAsia="zh-CN"/>
              </w:rPr>
              <w:t>新疆牧羊犬</w:t>
            </w:r>
          </w:p>
        </w:tc>
        <w:tc>
          <w:tcPr>
            <w:tcW w:w="523" w:type="pct"/>
            <w:vAlign w:val="center"/>
          </w:tcPr>
          <w:p w14:paraId="424FE680">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1公、1母</w:t>
            </w:r>
          </w:p>
        </w:tc>
        <w:tc>
          <w:tcPr>
            <w:tcW w:w="600" w:type="pct"/>
            <w:vAlign w:val="center"/>
          </w:tcPr>
          <w:p w14:paraId="754AB752">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8个月-20个月之间</w:t>
            </w:r>
          </w:p>
        </w:tc>
        <w:tc>
          <w:tcPr>
            <w:tcW w:w="539" w:type="pct"/>
            <w:vAlign w:val="center"/>
          </w:tcPr>
          <w:p w14:paraId="56FE034D">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350" w:type="pct"/>
            <w:vAlign w:val="center"/>
          </w:tcPr>
          <w:p w14:paraId="0F8EEA38">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2</w:t>
            </w:r>
            <w:r>
              <w:rPr>
                <w:rFonts w:hint="eastAsia" w:asciiTheme="minorEastAsia" w:hAnsiTheme="minorEastAsia" w:eastAsiaTheme="minorEastAsia" w:cstheme="minorEastAsia"/>
                <w:color w:val="auto"/>
                <w:spacing w:val="9"/>
                <w:sz w:val="24"/>
                <w:szCs w:val="24"/>
                <w:highlight w:val="none"/>
                <w:lang w:eastAsia="zh-CN"/>
              </w:rPr>
              <w:t>头</w:t>
            </w:r>
          </w:p>
        </w:tc>
        <w:tc>
          <w:tcPr>
            <w:tcW w:w="382" w:type="pct"/>
            <w:vAlign w:val="center"/>
          </w:tcPr>
          <w:p w14:paraId="23A2FA17">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784" w:type="pct"/>
            <w:vAlign w:val="center"/>
          </w:tcPr>
          <w:p w14:paraId="5FD5C038">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lang w:eastAsia="zh-CN"/>
              </w:rPr>
              <w:t>9000元</w:t>
            </w:r>
          </w:p>
        </w:tc>
        <w:tc>
          <w:tcPr>
            <w:tcW w:w="988" w:type="pct"/>
            <w:vAlign w:val="center"/>
          </w:tcPr>
          <w:p w14:paraId="69B3EA6A">
            <w:pPr>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lang w:eastAsia="zh-CN"/>
              </w:rPr>
              <w:t>乌鲁木齐警犬训练基地</w:t>
            </w:r>
          </w:p>
        </w:tc>
      </w:tr>
      <w:tr w14:paraId="61D8EB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80" w:hRule="atLeast"/>
          <w:jc w:val="center"/>
        </w:trPr>
        <w:tc>
          <w:tcPr>
            <w:tcW w:w="1954" w:type="pct"/>
            <w:gridSpan w:val="4"/>
            <w:vAlign w:val="center"/>
          </w:tcPr>
          <w:p w14:paraId="3EC1AA5C">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合计</w:t>
            </w:r>
          </w:p>
        </w:tc>
        <w:tc>
          <w:tcPr>
            <w:tcW w:w="889" w:type="pct"/>
            <w:gridSpan w:val="2"/>
            <w:vAlign w:val="center"/>
          </w:tcPr>
          <w:p w14:paraId="5FAECEA8">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137</w:t>
            </w:r>
            <w:r>
              <w:rPr>
                <w:rFonts w:hint="eastAsia" w:asciiTheme="minorEastAsia" w:hAnsiTheme="minorEastAsia" w:eastAsiaTheme="minorEastAsia" w:cstheme="minorEastAsia"/>
                <w:color w:val="auto"/>
                <w:spacing w:val="9"/>
                <w:sz w:val="24"/>
                <w:szCs w:val="24"/>
                <w:highlight w:val="none"/>
                <w:lang w:eastAsia="zh-CN"/>
              </w:rPr>
              <w:t>头</w:t>
            </w:r>
          </w:p>
        </w:tc>
        <w:tc>
          <w:tcPr>
            <w:tcW w:w="382" w:type="pct"/>
            <w:vAlign w:val="center"/>
          </w:tcPr>
          <w:p w14:paraId="665651CA">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784" w:type="pct"/>
            <w:vAlign w:val="center"/>
          </w:tcPr>
          <w:p w14:paraId="77340DBC">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988" w:type="pct"/>
            <w:vAlign w:val="center"/>
          </w:tcPr>
          <w:p w14:paraId="77EA41AD">
            <w:pPr>
              <w:tabs>
                <w:tab w:val="left" w:pos="840"/>
              </w:tabs>
              <w:jc w:val="center"/>
              <w:rPr>
                <w:rFonts w:hint="eastAsia" w:asciiTheme="minorEastAsia" w:hAnsiTheme="minorEastAsia" w:eastAsiaTheme="minorEastAsia" w:cstheme="minorEastAsia"/>
                <w:color w:val="auto"/>
                <w:kern w:val="28"/>
                <w:sz w:val="24"/>
                <w:szCs w:val="24"/>
                <w:highlight w:val="none"/>
              </w:rPr>
            </w:pPr>
          </w:p>
        </w:tc>
      </w:tr>
      <w:tr w14:paraId="16D392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429" w:hRule="atLeast"/>
          <w:jc w:val="center"/>
        </w:trPr>
        <w:tc>
          <w:tcPr>
            <w:tcW w:w="3227" w:type="pct"/>
            <w:gridSpan w:val="7"/>
            <w:vAlign w:val="center"/>
          </w:tcPr>
          <w:p w14:paraId="2F0E2E44">
            <w:pP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 xml:space="preserve">大写（人民币）： </w:t>
            </w:r>
          </w:p>
        </w:tc>
        <w:tc>
          <w:tcPr>
            <w:tcW w:w="784" w:type="pct"/>
            <w:vAlign w:val="center"/>
          </w:tcPr>
          <w:p w14:paraId="0231E1AF">
            <w:pPr>
              <w:rPr>
                <w:rFonts w:hint="eastAsia" w:asciiTheme="minorEastAsia" w:hAnsiTheme="minorEastAsia" w:eastAsiaTheme="minorEastAsia" w:cstheme="minorEastAsia"/>
                <w:b/>
                <w:color w:val="auto"/>
                <w:sz w:val="24"/>
                <w:szCs w:val="24"/>
                <w:highlight w:val="none"/>
              </w:rPr>
            </w:pPr>
          </w:p>
        </w:tc>
        <w:tc>
          <w:tcPr>
            <w:tcW w:w="988" w:type="pct"/>
            <w:vAlign w:val="center"/>
          </w:tcPr>
          <w:p w14:paraId="6B8A280A">
            <w:pPr>
              <w:rPr>
                <w:rFonts w:hint="eastAsia" w:asciiTheme="minorEastAsia" w:hAnsiTheme="minorEastAsia" w:eastAsiaTheme="minorEastAsia" w:cstheme="minorEastAsia"/>
                <w:b/>
                <w:color w:val="auto"/>
                <w:sz w:val="24"/>
                <w:szCs w:val="24"/>
                <w:highlight w:val="none"/>
              </w:rPr>
            </w:pPr>
          </w:p>
        </w:tc>
      </w:tr>
    </w:tbl>
    <w:p w14:paraId="7F174082">
      <w:pPr>
        <w:rPr>
          <w:rFonts w:hint="eastAsia" w:asciiTheme="minorEastAsia" w:hAnsiTheme="minorEastAsia" w:eastAsiaTheme="minorEastAsia" w:cstheme="minorEastAsia"/>
          <w:color w:val="auto"/>
          <w:spacing w:val="-2"/>
          <w:sz w:val="24"/>
          <w:szCs w:val="24"/>
          <w:highlight w:val="none"/>
          <w:lang w:eastAsia="zh-CN"/>
          <w14:textOutline w14:w="5130" w14:cap="flat" w14:cmpd="sng" w14:algn="ctr">
            <w14:solidFill>
              <w14:srgbClr w14:val="000000"/>
            </w14:solidFill>
            <w14:prstDash w14:val="solid"/>
            <w14:miter w14:val="0"/>
          </w14:textOutline>
        </w:rPr>
      </w:pPr>
    </w:p>
    <w:p w14:paraId="56B8CC91">
      <w:pPr>
        <w:rPr>
          <w:rFonts w:hint="eastAsia" w:asciiTheme="minorEastAsia" w:hAnsiTheme="minorEastAsia" w:eastAsiaTheme="minorEastAsia" w:cstheme="minorEastAsia"/>
          <w:color w:val="auto"/>
          <w:spacing w:val="-2"/>
          <w:sz w:val="24"/>
          <w:szCs w:val="24"/>
          <w:highlight w:val="none"/>
          <w:lang w:eastAsia="zh-CN"/>
          <w14:textOutline w14:w="5130" w14:cap="flat" w14:cmpd="sng" w14:algn="ctr">
            <w14:solidFill>
              <w14:srgbClr w14:val="000000"/>
            </w14:solidFill>
            <w14:prstDash w14:val="solid"/>
            <w14:miter w14:val="0"/>
          </w14:textOutline>
        </w:rPr>
      </w:pPr>
      <w:r>
        <w:rPr>
          <w:rFonts w:hint="eastAsia" w:asciiTheme="minorEastAsia" w:hAnsiTheme="minorEastAsia" w:eastAsiaTheme="minorEastAsia" w:cstheme="minorEastAsia"/>
          <w:color w:val="auto"/>
          <w:spacing w:val="-2"/>
          <w:sz w:val="24"/>
          <w:szCs w:val="24"/>
          <w:highlight w:val="none"/>
          <w:lang w:eastAsia="zh-CN"/>
          <w14:textOutline w14:w="5130" w14:cap="flat" w14:cmpd="sng" w14:algn="ctr">
            <w14:solidFill>
              <w14:srgbClr w14:val="000000"/>
            </w14:solidFill>
            <w14:prstDash w14:val="solid"/>
            <w14:miter w14:val="0"/>
          </w14:textOutline>
        </w:rPr>
        <w:t>二、山东出入境边防检查总站</w:t>
      </w:r>
    </w:p>
    <w:tbl>
      <w:tblPr>
        <w:tblStyle w:val="14"/>
        <w:tblW w:w="5543"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
      <w:tblGrid>
        <w:gridCol w:w="489"/>
        <w:gridCol w:w="855"/>
        <w:gridCol w:w="670"/>
        <w:gridCol w:w="1418"/>
        <w:gridCol w:w="612"/>
        <w:gridCol w:w="638"/>
        <w:gridCol w:w="665"/>
        <w:gridCol w:w="980"/>
        <w:gridCol w:w="2949"/>
      </w:tblGrid>
      <w:tr w14:paraId="1FDC59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761" w:hRule="atLeast"/>
          <w:jc w:val="center"/>
        </w:trPr>
        <w:tc>
          <w:tcPr>
            <w:tcW w:w="263" w:type="pct"/>
            <w:vAlign w:val="center"/>
          </w:tcPr>
          <w:p w14:paraId="0C6CDC5A">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序号</w:t>
            </w:r>
          </w:p>
        </w:tc>
        <w:tc>
          <w:tcPr>
            <w:tcW w:w="460" w:type="pct"/>
            <w:vAlign w:val="center"/>
          </w:tcPr>
          <w:p w14:paraId="4E7B8F65">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犬种</w:t>
            </w:r>
          </w:p>
        </w:tc>
        <w:tc>
          <w:tcPr>
            <w:tcW w:w="361" w:type="pct"/>
            <w:vAlign w:val="center"/>
          </w:tcPr>
          <w:p w14:paraId="1D3C2DF6">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性别</w:t>
            </w:r>
          </w:p>
        </w:tc>
        <w:tc>
          <w:tcPr>
            <w:tcW w:w="764" w:type="pct"/>
            <w:vAlign w:val="center"/>
          </w:tcPr>
          <w:p w14:paraId="3D87EF46">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年龄</w:t>
            </w:r>
            <w:r>
              <w:rPr>
                <w:rFonts w:hint="eastAsia" w:asciiTheme="minorEastAsia" w:hAnsiTheme="minorEastAsia" w:eastAsiaTheme="minorEastAsia" w:cstheme="minorEastAsia"/>
                <w:color w:val="auto"/>
                <w:kern w:val="28"/>
                <w:sz w:val="24"/>
                <w:szCs w:val="24"/>
                <w:highlight w:val="none"/>
                <w:lang w:eastAsia="zh-CN"/>
              </w:rPr>
              <w:t>段</w:t>
            </w:r>
          </w:p>
        </w:tc>
        <w:tc>
          <w:tcPr>
            <w:tcW w:w="329" w:type="pct"/>
            <w:vAlign w:val="center"/>
          </w:tcPr>
          <w:p w14:paraId="2804722C">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单价</w:t>
            </w:r>
          </w:p>
        </w:tc>
        <w:tc>
          <w:tcPr>
            <w:tcW w:w="343" w:type="pct"/>
            <w:vAlign w:val="center"/>
          </w:tcPr>
          <w:p w14:paraId="012FBC47">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数量</w:t>
            </w:r>
          </w:p>
        </w:tc>
        <w:tc>
          <w:tcPr>
            <w:tcW w:w="358" w:type="pct"/>
            <w:vAlign w:val="center"/>
          </w:tcPr>
          <w:p w14:paraId="3CE11B70">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rPr>
              <w:t>总价</w:t>
            </w:r>
            <w:r>
              <w:rPr>
                <w:rFonts w:hint="eastAsia" w:asciiTheme="minorEastAsia" w:hAnsiTheme="minorEastAsia" w:eastAsiaTheme="minorEastAsia" w:cstheme="minorEastAsia"/>
                <w:color w:val="auto"/>
                <w:kern w:val="28"/>
                <w:sz w:val="24"/>
                <w:szCs w:val="24"/>
                <w:highlight w:val="none"/>
                <w:lang w:eastAsia="zh-CN"/>
              </w:rPr>
              <w:t>（元）</w:t>
            </w:r>
          </w:p>
        </w:tc>
        <w:tc>
          <w:tcPr>
            <w:tcW w:w="528" w:type="pct"/>
            <w:vAlign w:val="center"/>
          </w:tcPr>
          <w:p w14:paraId="031B0CE2">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单价限价</w:t>
            </w:r>
          </w:p>
        </w:tc>
        <w:tc>
          <w:tcPr>
            <w:tcW w:w="1589" w:type="pct"/>
            <w:vAlign w:val="center"/>
          </w:tcPr>
          <w:p w14:paraId="4387DA05">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备注</w:t>
            </w:r>
          </w:p>
        </w:tc>
      </w:tr>
      <w:tr w14:paraId="3BFB42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848" w:hRule="atLeast"/>
          <w:jc w:val="center"/>
        </w:trPr>
        <w:tc>
          <w:tcPr>
            <w:tcW w:w="263" w:type="pct"/>
            <w:vAlign w:val="center"/>
          </w:tcPr>
          <w:p w14:paraId="424EF2A6">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1</w:t>
            </w:r>
          </w:p>
        </w:tc>
        <w:tc>
          <w:tcPr>
            <w:tcW w:w="460" w:type="pct"/>
            <w:vAlign w:val="center"/>
          </w:tcPr>
          <w:p w14:paraId="6C1F2F79">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sz w:val="24"/>
                <w:szCs w:val="24"/>
                <w:highlight w:val="none"/>
                <w:lang w:eastAsia="zh-CN" w:bidi="ar"/>
              </w:rPr>
              <w:t>东德牧羊犬</w:t>
            </w:r>
          </w:p>
        </w:tc>
        <w:tc>
          <w:tcPr>
            <w:tcW w:w="361" w:type="pct"/>
            <w:vAlign w:val="center"/>
          </w:tcPr>
          <w:p w14:paraId="444B2623">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公犬</w:t>
            </w:r>
          </w:p>
        </w:tc>
        <w:tc>
          <w:tcPr>
            <w:tcW w:w="764" w:type="pct"/>
            <w:vAlign w:val="center"/>
          </w:tcPr>
          <w:p w14:paraId="7D8F6DBE">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sz w:val="24"/>
                <w:szCs w:val="24"/>
                <w:highlight w:val="none"/>
                <w:lang w:eastAsia="zh-CN"/>
              </w:rPr>
              <w:t>8个月-20个月</w:t>
            </w:r>
          </w:p>
        </w:tc>
        <w:tc>
          <w:tcPr>
            <w:tcW w:w="329" w:type="pct"/>
            <w:vAlign w:val="center"/>
          </w:tcPr>
          <w:p w14:paraId="0C47721C">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343" w:type="pct"/>
            <w:vAlign w:val="center"/>
          </w:tcPr>
          <w:p w14:paraId="24D1FC4F">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5</w:t>
            </w:r>
            <w:r>
              <w:rPr>
                <w:rFonts w:hint="eastAsia" w:asciiTheme="minorEastAsia" w:hAnsiTheme="minorEastAsia" w:eastAsiaTheme="minorEastAsia" w:cstheme="minorEastAsia"/>
                <w:color w:val="auto"/>
                <w:spacing w:val="9"/>
                <w:sz w:val="24"/>
                <w:szCs w:val="24"/>
                <w:highlight w:val="none"/>
                <w:lang w:eastAsia="zh-CN"/>
              </w:rPr>
              <w:t>头</w:t>
            </w:r>
          </w:p>
        </w:tc>
        <w:tc>
          <w:tcPr>
            <w:tcW w:w="358" w:type="pct"/>
            <w:vAlign w:val="center"/>
          </w:tcPr>
          <w:p w14:paraId="3803A847">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528" w:type="pct"/>
            <w:vAlign w:val="center"/>
          </w:tcPr>
          <w:p w14:paraId="141097F4">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12000元</w:t>
            </w:r>
          </w:p>
        </w:tc>
        <w:tc>
          <w:tcPr>
            <w:tcW w:w="1589" w:type="pct"/>
            <w:vAlign w:val="center"/>
          </w:tcPr>
          <w:p w14:paraId="11F80BC2">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烟台出入境边防检查站2头、日照出入境边防检查站1头、龙口出入境边防检查站2头</w:t>
            </w:r>
          </w:p>
        </w:tc>
      </w:tr>
      <w:tr w14:paraId="6D9577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990" w:hRule="atLeast"/>
          <w:jc w:val="center"/>
        </w:trPr>
        <w:tc>
          <w:tcPr>
            <w:tcW w:w="263" w:type="pct"/>
            <w:vAlign w:val="center"/>
          </w:tcPr>
          <w:p w14:paraId="57E70574">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2</w:t>
            </w:r>
          </w:p>
        </w:tc>
        <w:tc>
          <w:tcPr>
            <w:tcW w:w="460" w:type="pct"/>
            <w:vAlign w:val="center"/>
          </w:tcPr>
          <w:p w14:paraId="45C57A4C">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sz w:val="24"/>
                <w:szCs w:val="24"/>
                <w:highlight w:val="none"/>
                <w:lang w:eastAsia="zh-CN" w:bidi="ar"/>
              </w:rPr>
              <w:t>马里努阿犬</w:t>
            </w:r>
          </w:p>
        </w:tc>
        <w:tc>
          <w:tcPr>
            <w:tcW w:w="361" w:type="pct"/>
            <w:vAlign w:val="center"/>
          </w:tcPr>
          <w:p w14:paraId="6CF3E397">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公犬</w:t>
            </w:r>
          </w:p>
        </w:tc>
        <w:tc>
          <w:tcPr>
            <w:tcW w:w="764" w:type="pct"/>
            <w:vAlign w:val="center"/>
          </w:tcPr>
          <w:p w14:paraId="2E03B028">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sz w:val="24"/>
                <w:szCs w:val="24"/>
                <w:highlight w:val="none"/>
                <w:lang w:eastAsia="zh-CN"/>
              </w:rPr>
              <w:t>8个月-20个月</w:t>
            </w:r>
          </w:p>
        </w:tc>
        <w:tc>
          <w:tcPr>
            <w:tcW w:w="329" w:type="pct"/>
            <w:vAlign w:val="center"/>
          </w:tcPr>
          <w:p w14:paraId="2C662810">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343" w:type="pct"/>
            <w:vAlign w:val="center"/>
          </w:tcPr>
          <w:p w14:paraId="5EF760EF">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6</w:t>
            </w:r>
            <w:r>
              <w:rPr>
                <w:rFonts w:hint="eastAsia" w:asciiTheme="minorEastAsia" w:hAnsiTheme="minorEastAsia" w:eastAsiaTheme="minorEastAsia" w:cstheme="minorEastAsia"/>
                <w:color w:val="auto"/>
                <w:spacing w:val="9"/>
                <w:sz w:val="24"/>
                <w:szCs w:val="24"/>
                <w:highlight w:val="none"/>
                <w:lang w:eastAsia="zh-CN"/>
              </w:rPr>
              <w:t>头</w:t>
            </w:r>
          </w:p>
        </w:tc>
        <w:tc>
          <w:tcPr>
            <w:tcW w:w="358" w:type="pct"/>
            <w:vAlign w:val="center"/>
          </w:tcPr>
          <w:p w14:paraId="0D750D85">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528" w:type="pct"/>
            <w:vAlign w:val="center"/>
          </w:tcPr>
          <w:p w14:paraId="23EE8C2D">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lang w:eastAsia="zh-CN"/>
              </w:rPr>
              <w:t>12000元</w:t>
            </w:r>
          </w:p>
        </w:tc>
        <w:tc>
          <w:tcPr>
            <w:tcW w:w="1589" w:type="pct"/>
            <w:vAlign w:val="center"/>
          </w:tcPr>
          <w:p w14:paraId="0E2E0C82">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青岛出入境边防检查站1头、威海出入境边防检查站2头、石岛出入境边防检查站1头、潍坊出入境边防检查站2头</w:t>
            </w:r>
          </w:p>
        </w:tc>
      </w:tr>
      <w:tr w14:paraId="109D3F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1133" w:hRule="atLeast"/>
          <w:jc w:val="center"/>
        </w:trPr>
        <w:tc>
          <w:tcPr>
            <w:tcW w:w="263" w:type="pct"/>
            <w:vAlign w:val="center"/>
          </w:tcPr>
          <w:p w14:paraId="1D3B9A8C">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3</w:t>
            </w:r>
          </w:p>
        </w:tc>
        <w:tc>
          <w:tcPr>
            <w:tcW w:w="460" w:type="pct"/>
            <w:vAlign w:val="center"/>
          </w:tcPr>
          <w:p w14:paraId="645213D9">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sz w:val="24"/>
                <w:szCs w:val="24"/>
                <w:highlight w:val="none"/>
                <w:lang w:eastAsia="zh-CN" w:bidi="ar"/>
              </w:rPr>
              <w:t>拉布拉多犬</w:t>
            </w:r>
          </w:p>
        </w:tc>
        <w:tc>
          <w:tcPr>
            <w:tcW w:w="361" w:type="pct"/>
            <w:vAlign w:val="center"/>
          </w:tcPr>
          <w:p w14:paraId="72E20CEF">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公犬</w:t>
            </w:r>
          </w:p>
        </w:tc>
        <w:tc>
          <w:tcPr>
            <w:tcW w:w="764" w:type="pct"/>
            <w:vAlign w:val="center"/>
          </w:tcPr>
          <w:p w14:paraId="3B9C2A50">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sz w:val="24"/>
                <w:szCs w:val="24"/>
                <w:highlight w:val="none"/>
                <w:lang w:eastAsia="zh-CN"/>
              </w:rPr>
              <w:t>8个月-20个月</w:t>
            </w:r>
          </w:p>
        </w:tc>
        <w:tc>
          <w:tcPr>
            <w:tcW w:w="329" w:type="pct"/>
            <w:vAlign w:val="center"/>
          </w:tcPr>
          <w:p w14:paraId="2D0F66BD">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343" w:type="pct"/>
            <w:vAlign w:val="center"/>
          </w:tcPr>
          <w:p w14:paraId="0486AEA4">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5</w:t>
            </w:r>
            <w:r>
              <w:rPr>
                <w:rFonts w:hint="eastAsia" w:asciiTheme="minorEastAsia" w:hAnsiTheme="minorEastAsia" w:eastAsiaTheme="minorEastAsia" w:cstheme="minorEastAsia"/>
                <w:color w:val="auto"/>
                <w:spacing w:val="9"/>
                <w:sz w:val="24"/>
                <w:szCs w:val="24"/>
                <w:highlight w:val="none"/>
                <w:lang w:eastAsia="zh-CN"/>
              </w:rPr>
              <w:t>头</w:t>
            </w:r>
          </w:p>
        </w:tc>
        <w:tc>
          <w:tcPr>
            <w:tcW w:w="358" w:type="pct"/>
            <w:vAlign w:val="center"/>
          </w:tcPr>
          <w:p w14:paraId="73189E6D">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528" w:type="pct"/>
            <w:vAlign w:val="center"/>
          </w:tcPr>
          <w:p w14:paraId="7FB73954">
            <w:pPr>
              <w:tabs>
                <w:tab w:val="left" w:pos="840"/>
              </w:tabs>
              <w:jc w:val="center"/>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lang w:eastAsia="zh-CN"/>
              </w:rPr>
              <w:t>12000元</w:t>
            </w:r>
          </w:p>
        </w:tc>
        <w:tc>
          <w:tcPr>
            <w:tcW w:w="1589" w:type="pct"/>
            <w:vAlign w:val="center"/>
          </w:tcPr>
          <w:p w14:paraId="72EFBEDD">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青岛出入境边防检查站1头、董家口出入境边防检查站2头、蓬莱出入境边防检查站2头</w:t>
            </w:r>
          </w:p>
        </w:tc>
      </w:tr>
      <w:tr w14:paraId="4CA6FE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54" w:hRule="atLeast"/>
          <w:jc w:val="center"/>
        </w:trPr>
        <w:tc>
          <w:tcPr>
            <w:tcW w:w="1849" w:type="pct"/>
            <w:gridSpan w:val="4"/>
            <w:vAlign w:val="center"/>
          </w:tcPr>
          <w:p w14:paraId="7EBA9834">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合计</w:t>
            </w:r>
          </w:p>
        </w:tc>
        <w:tc>
          <w:tcPr>
            <w:tcW w:w="673" w:type="pct"/>
            <w:gridSpan w:val="2"/>
            <w:vAlign w:val="center"/>
          </w:tcPr>
          <w:p w14:paraId="7057AB0B">
            <w:pPr>
              <w:tabs>
                <w:tab w:val="left" w:pos="840"/>
              </w:tabs>
              <w:jc w:val="center"/>
              <w:rPr>
                <w:rFonts w:hint="eastAsia" w:asciiTheme="minorEastAsia" w:hAnsiTheme="minorEastAsia" w:eastAsiaTheme="minorEastAsia" w:cstheme="minorEastAsia"/>
                <w:color w:val="auto"/>
                <w:kern w:val="28"/>
                <w:sz w:val="24"/>
                <w:szCs w:val="24"/>
                <w:highlight w:val="none"/>
                <w:lang w:eastAsia="zh-CN"/>
              </w:rPr>
            </w:pPr>
            <w:r>
              <w:rPr>
                <w:rFonts w:hint="eastAsia" w:asciiTheme="minorEastAsia" w:hAnsiTheme="minorEastAsia" w:eastAsiaTheme="minorEastAsia" w:cstheme="minorEastAsia"/>
                <w:color w:val="auto"/>
                <w:kern w:val="28"/>
                <w:sz w:val="24"/>
                <w:szCs w:val="24"/>
                <w:highlight w:val="none"/>
                <w:lang w:eastAsia="zh-CN"/>
              </w:rPr>
              <w:t>16</w:t>
            </w:r>
            <w:r>
              <w:rPr>
                <w:rFonts w:hint="eastAsia" w:asciiTheme="minorEastAsia" w:hAnsiTheme="minorEastAsia" w:eastAsiaTheme="minorEastAsia" w:cstheme="minorEastAsia"/>
                <w:color w:val="auto"/>
                <w:spacing w:val="9"/>
                <w:sz w:val="24"/>
                <w:szCs w:val="24"/>
                <w:highlight w:val="none"/>
                <w:lang w:eastAsia="zh-CN"/>
              </w:rPr>
              <w:t>头</w:t>
            </w:r>
          </w:p>
        </w:tc>
        <w:tc>
          <w:tcPr>
            <w:tcW w:w="358" w:type="pct"/>
            <w:vAlign w:val="center"/>
          </w:tcPr>
          <w:p w14:paraId="1BAFEA7A">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528" w:type="pct"/>
            <w:vAlign w:val="center"/>
          </w:tcPr>
          <w:p w14:paraId="67D9F136">
            <w:pPr>
              <w:tabs>
                <w:tab w:val="left" w:pos="840"/>
              </w:tabs>
              <w:jc w:val="center"/>
              <w:rPr>
                <w:rFonts w:hint="eastAsia" w:asciiTheme="minorEastAsia" w:hAnsiTheme="minorEastAsia" w:eastAsiaTheme="minorEastAsia" w:cstheme="minorEastAsia"/>
                <w:color w:val="auto"/>
                <w:kern w:val="28"/>
                <w:sz w:val="24"/>
                <w:szCs w:val="24"/>
                <w:highlight w:val="none"/>
              </w:rPr>
            </w:pPr>
          </w:p>
        </w:tc>
        <w:tc>
          <w:tcPr>
            <w:tcW w:w="1589" w:type="pct"/>
            <w:vAlign w:val="center"/>
          </w:tcPr>
          <w:p w14:paraId="3B184F02">
            <w:pPr>
              <w:tabs>
                <w:tab w:val="left" w:pos="840"/>
              </w:tabs>
              <w:jc w:val="center"/>
              <w:rPr>
                <w:rFonts w:hint="eastAsia" w:asciiTheme="minorEastAsia" w:hAnsiTheme="minorEastAsia" w:eastAsiaTheme="minorEastAsia" w:cstheme="minorEastAsia"/>
                <w:color w:val="auto"/>
                <w:kern w:val="28"/>
                <w:sz w:val="24"/>
                <w:szCs w:val="24"/>
                <w:highlight w:val="none"/>
              </w:rPr>
            </w:pPr>
          </w:p>
        </w:tc>
      </w:tr>
      <w:tr w14:paraId="455670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trHeight w:val="387" w:hRule="atLeast"/>
          <w:jc w:val="center"/>
        </w:trPr>
        <w:tc>
          <w:tcPr>
            <w:tcW w:w="2882" w:type="pct"/>
            <w:gridSpan w:val="7"/>
            <w:vAlign w:val="center"/>
          </w:tcPr>
          <w:p w14:paraId="110C1BF7">
            <w:pP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 xml:space="preserve">大写（人民币）： </w:t>
            </w:r>
          </w:p>
        </w:tc>
        <w:tc>
          <w:tcPr>
            <w:tcW w:w="528" w:type="pct"/>
            <w:vAlign w:val="center"/>
          </w:tcPr>
          <w:p w14:paraId="48F0DF39">
            <w:pPr>
              <w:rPr>
                <w:rFonts w:hint="eastAsia" w:asciiTheme="minorEastAsia" w:hAnsiTheme="minorEastAsia" w:eastAsiaTheme="minorEastAsia" w:cstheme="minorEastAsia"/>
                <w:b/>
                <w:color w:val="auto"/>
                <w:sz w:val="24"/>
                <w:szCs w:val="24"/>
                <w:highlight w:val="none"/>
              </w:rPr>
            </w:pPr>
          </w:p>
        </w:tc>
        <w:tc>
          <w:tcPr>
            <w:tcW w:w="1589" w:type="pct"/>
            <w:vAlign w:val="center"/>
          </w:tcPr>
          <w:p w14:paraId="526E89D9">
            <w:pPr>
              <w:rPr>
                <w:rFonts w:hint="eastAsia" w:asciiTheme="minorEastAsia" w:hAnsiTheme="minorEastAsia" w:eastAsiaTheme="minorEastAsia" w:cstheme="minorEastAsia"/>
                <w:b/>
                <w:color w:val="auto"/>
                <w:sz w:val="24"/>
                <w:szCs w:val="24"/>
                <w:highlight w:val="none"/>
              </w:rPr>
            </w:pPr>
          </w:p>
        </w:tc>
      </w:tr>
    </w:tbl>
    <w:p w14:paraId="6A2E4D6F">
      <w:pPr>
        <w:rPr>
          <w:rFonts w:hint="eastAsia" w:asciiTheme="minorEastAsia" w:hAnsiTheme="minorEastAsia" w:eastAsiaTheme="minorEastAsia" w:cstheme="minorEastAsia"/>
          <w:b/>
          <w:bCs/>
          <w:color w:val="auto"/>
          <w:spacing w:val="1"/>
          <w:position w:val="5"/>
          <w:sz w:val="24"/>
          <w:szCs w:val="24"/>
          <w:highlight w:val="none"/>
          <w:lang w:eastAsia="zh-CN"/>
        </w:rPr>
      </w:pPr>
      <w:r>
        <w:rPr>
          <w:rFonts w:hint="eastAsia" w:asciiTheme="minorEastAsia" w:hAnsiTheme="minorEastAsia" w:eastAsiaTheme="minorEastAsia" w:cstheme="minorEastAsia"/>
          <w:color w:val="auto"/>
          <w:spacing w:val="1"/>
          <w:position w:val="5"/>
          <w:sz w:val="24"/>
          <w:szCs w:val="24"/>
          <w:highlight w:val="none"/>
          <w:lang w:eastAsia="zh-CN"/>
        </w:rPr>
        <w:t>备注：所有货款以人民币进行结算，该价格中包括但不仅限于货款、运输、装卸、保险、税金、货到就位，以及售后、存储、调换、隔离观察、犬只体检、疫苗接种等一切税金和费用，甲方不承担任何费用。</w:t>
      </w:r>
    </w:p>
    <w:p w14:paraId="4E77801A">
      <w:pPr>
        <w:pStyle w:val="9"/>
        <w:spacing w:line="243" w:lineRule="auto"/>
        <w:rPr>
          <w:rFonts w:hint="eastAsia" w:asciiTheme="minorEastAsia" w:hAnsiTheme="minorEastAsia" w:eastAsiaTheme="minorEastAsia" w:cstheme="minorEastAsia"/>
          <w:b/>
          <w:bCs/>
          <w:color w:val="auto"/>
          <w:spacing w:val="1"/>
          <w:position w:val="5"/>
          <w:sz w:val="24"/>
          <w:szCs w:val="24"/>
          <w:highlight w:val="none"/>
          <w:lang w:eastAsia="zh-CN"/>
        </w:rPr>
      </w:pPr>
    </w:p>
    <w:p w14:paraId="6019A2CD">
      <w:pPr>
        <w:spacing w:before="75" w:line="227" w:lineRule="auto"/>
        <w:ind w:left="95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5"/>
          <w:sz w:val="24"/>
          <w:szCs w:val="24"/>
          <w:highlight w:val="none"/>
          <w:lang w:eastAsia="zh-CN"/>
        </w:rPr>
        <w:t>谈判供应商名称（电子公章）：</w:t>
      </w:r>
    </w:p>
    <w:p w14:paraId="53C858FB">
      <w:pPr>
        <w:spacing w:before="157" w:line="439" w:lineRule="exact"/>
        <w:ind w:left="95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6"/>
          <w:position w:val="15"/>
          <w:sz w:val="24"/>
          <w:szCs w:val="24"/>
          <w:highlight w:val="none"/>
          <w:lang w:eastAsia="zh-CN"/>
        </w:rPr>
        <w:t>谈判供应商法定代表人（电子签名或盖章</w:t>
      </w:r>
      <w:r>
        <w:rPr>
          <w:rFonts w:hint="eastAsia" w:asciiTheme="minorEastAsia" w:hAnsiTheme="minorEastAsia" w:eastAsiaTheme="minorEastAsia" w:cstheme="minorEastAsia"/>
          <w:color w:val="auto"/>
          <w:spacing w:val="11"/>
          <w:position w:val="15"/>
          <w:sz w:val="24"/>
          <w:szCs w:val="24"/>
          <w:highlight w:val="none"/>
          <w:lang w:eastAsia="zh-CN"/>
        </w:rPr>
        <w:t>）：</w:t>
      </w:r>
    </w:p>
    <w:p w14:paraId="7534B1EE">
      <w:pPr>
        <w:spacing w:line="227" w:lineRule="auto"/>
        <w:ind w:left="1002"/>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23"/>
          <w:sz w:val="24"/>
          <w:szCs w:val="24"/>
          <w:highlight w:val="none"/>
          <w:lang w:eastAsia="zh-CN"/>
        </w:rPr>
        <w:t>日期：</w:t>
      </w:r>
      <w:r>
        <w:rPr>
          <w:rFonts w:hint="eastAsia" w:asciiTheme="minorEastAsia" w:hAnsiTheme="minorEastAsia" w:eastAsiaTheme="minorEastAsia" w:cstheme="minorEastAsia"/>
          <w:color w:val="auto"/>
          <w:spacing w:val="5"/>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年</w:t>
      </w:r>
      <w:r>
        <w:rPr>
          <w:rFonts w:hint="eastAsia" w:asciiTheme="minorEastAsia" w:hAnsiTheme="minorEastAsia" w:eastAsiaTheme="minorEastAsia" w:cstheme="minorEastAsia"/>
          <w:color w:val="auto"/>
          <w:spacing w:val="21"/>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月</w:t>
      </w:r>
      <w:r>
        <w:rPr>
          <w:rFonts w:hint="eastAsia" w:asciiTheme="minorEastAsia" w:hAnsiTheme="minorEastAsia" w:eastAsiaTheme="minorEastAsia" w:cstheme="minorEastAsia"/>
          <w:color w:val="auto"/>
          <w:spacing w:val="55"/>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日</w:t>
      </w:r>
    </w:p>
    <w:p w14:paraId="0CCCA6AD">
      <w:pPr>
        <w:pStyle w:val="9"/>
        <w:spacing w:line="243" w:lineRule="auto"/>
        <w:rPr>
          <w:rFonts w:hint="eastAsia" w:ascii="宋体" w:hAnsi="宋体" w:eastAsia="宋体" w:cs="宋体"/>
          <w:b/>
          <w:bCs/>
          <w:color w:val="auto"/>
          <w:spacing w:val="1"/>
          <w:position w:val="5"/>
          <w:sz w:val="23"/>
          <w:szCs w:val="23"/>
          <w:highlight w:val="none"/>
          <w:lang w:eastAsia="zh-CN"/>
        </w:rPr>
      </w:pPr>
    </w:p>
    <w:p w14:paraId="1B7B316F">
      <w:pPr>
        <w:rPr>
          <w:rFonts w:hint="eastAsia" w:ascii="宋体" w:hAnsi="宋体" w:eastAsia="宋体" w:cs="宋体"/>
          <w:b/>
          <w:bCs/>
          <w:color w:val="auto"/>
          <w:spacing w:val="1"/>
          <w:position w:val="5"/>
          <w:sz w:val="23"/>
          <w:szCs w:val="23"/>
          <w:highlight w:val="none"/>
          <w:lang w:eastAsia="zh-CN"/>
        </w:rPr>
      </w:pPr>
      <w:r>
        <w:rPr>
          <w:rFonts w:hint="eastAsia" w:ascii="宋体" w:hAnsi="宋体" w:eastAsia="宋体" w:cs="宋体"/>
          <w:b/>
          <w:bCs/>
          <w:color w:val="auto"/>
          <w:spacing w:val="1"/>
          <w:position w:val="5"/>
          <w:sz w:val="23"/>
          <w:szCs w:val="23"/>
          <w:highlight w:val="none"/>
          <w:lang w:eastAsia="zh-CN"/>
        </w:rPr>
        <w:br w:type="page"/>
      </w:r>
    </w:p>
    <w:p w14:paraId="2CD4311C">
      <w:pPr>
        <w:spacing w:before="101" w:line="225" w:lineRule="auto"/>
        <w:outlineLvl w:val="1"/>
        <w:rPr>
          <w:rFonts w:hint="eastAsia" w:ascii="宋体" w:hAnsi="宋体" w:eastAsia="宋体" w:cs="宋体"/>
          <w:color w:val="auto"/>
          <w:sz w:val="31"/>
          <w:szCs w:val="31"/>
          <w:highlight w:val="none"/>
          <w:lang w:eastAsia="zh-CN"/>
        </w:rPr>
      </w:pPr>
      <w:bookmarkStart w:id="283" w:name="_Toc1232"/>
      <w:r>
        <w:rPr>
          <w:rFonts w:ascii="宋体" w:hAnsi="宋体" w:eastAsia="宋体" w:cs="宋体"/>
          <w:color w:val="auto"/>
          <w:spacing w:val="10"/>
          <w:sz w:val="31"/>
          <w:szCs w:val="31"/>
          <w:highlight w:val="none"/>
          <w:lang w:eastAsia="zh-CN"/>
          <w14:textOutline w14:w="5829" w14:cap="flat" w14:cmpd="sng" w14:algn="ctr">
            <w14:solidFill>
              <w14:srgbClr w14:val="000000"/>
            </w14:solidFill>
            <w14:prstDash w14:val="solid"/>
            <w14:miter w14:val="0"/>
          </w14:textOutline>
        </w:rPr>
        <w:t>三、商务技术响应文件</w:t>
      </w:r>
      <w:bookmarkEnd w:id="283"/>
    </w:p>
    <w:p w14:paraId="3D04D716">
      <w:pPr>
        <w:spacing w:line="225" w:lineRule="auto"/>
        <w:rPr>
          <w:rFonts w:hint="eastAsia" w:ascii="宋体" w:hAnsi="宋体" w:eastAsia="宋体" w:cs="宋体"/>
          <w:color w:val="auto"/>
          <w:sz w:val="31"/>
          <w:szCs w:val="31"/>
          <w:highlight w:val="none"/>
          <w:lang w:eastAsia="zh-CN"/>
        </w:rPr>
        <w:sectPr>
          <w:footerReference r:id="rId20" w:type="default"/>
          <w:pgSz w:w="11906" w:h="16838"/>
          <w:pgMar w:top="1440" w:right="1800" w:bottom="1440" w:left="1800" w:header="0" w:footer="812" w:gutter="0"/>
          <w:pgNumType w:fmt="decimal"/>
          <w:cols w:space="720" w:num="1"/>
        </w:sectPr>
      </w:pPr>
    </w:p>
    <w:p w14:paraId="5A43ADB0">
      <w:pPr>
        <w:pStyle w:val="9"/>
        <w:spacing w:line="243" w:lineRule="auto"/>
        <w:rPr>
          <w:color w:val="auto"/>
          <w:highlight w:val="none"/>
          <w:lang w:eastAsia="zh-CN"/>
        </w:rPr>
      </w:pPr>
    </w:p>
    <w:p w14:paraId="7E69C350">
      <w:pPr>
        <w:spacing w:before="91" w:line="221" w:lineRule="auto"/>
        <w:ind w:left="11"/>
        <w:outlineLvl w:val="2"/>
        <w:rPr>
          <w:rFonts w:hint="eastAsia" w:ascii="宋体" w:hAnsi="宋体" w:eastAsia="宋体" w:cs="宋体"/>
          <w:color w:val="auto"/>
          <w:sz w:val="28"/>
          <w:szCs w:val="28"/>
          <w:highlight w:val="none"/>
          <w:lang w:eastAsia="zh-CN"/>
        </w:rPr>
      </w:pPr>
      <w:bookmarkStart w:id="284" w:name="_Toc12650"/>
      <w:r>
        <w:rPr>
          <w:rFonts w:ascii="宋体" w:hAnsi="宋体" w:eastAsia="宋体" w:cs="宋体"/>
          <w:color w:val="auto"/>
          <w:spacing w:val="-5"/>
          <w:sz w:val="28"/>
          <w:szCs w:val="28"/>
          <w:highlight w:val="none"/>
          <w:lang w:eastAsia="zh-CN"/>
          <w14:textOutline w14:w="5130" w14:cap="flat" w14:cmpd="sng" w14:algn="ctr">
            <w14:solidFill>
              <w14:srgbClr w14:val="000000"/>
            </w14:solidFill>
            <w14:prstDash w14:val="solid"/>
            <w14:miter w14:val="0"/>
          </w14:textOutline>
        </w:rPr>
        <w:t>（一）谈判响应函</w:t>
      </w:r>
      <w:bookmarkEnd w:id="284"/>
    </w:p>
    <w:p w14:paraId="5DDA29A7">
      <w:pPr>
        <w:spacing w:before="27" w:line="186" w:lineRule="auto"/>
        <w:jc w:val="center"/>
        <w:rPr>
          <w:rFonts w:hint="eastAsia" w:ascii="微软雅黑" w:hAnsi="微软雅黑" w:eastAsia="微软雅黑" w:cs="微软雅黑"/>
          <w:color w:val="auto"/>
          <w:sz w:val="28"/>
          <w:szCs w:val="28"/>
          <w:highlight w:val="none"/>
          <w:lang w:eastAsia="zh-CN"/>
        </w:rPr>
      </w:pPr>
      <w:r>
        <w:rPr>
          <w:rFonts w:ascii="微软雅黑" w:hAnsi="微软雅黑" w:eastAsia="微软雅黑" w:cs="微软雅黑"/>
          <w:color w:val="auto"/>
          <w:sz w:val="28"/>
          <w:szCs w:val="28"/>
          <w:highlight w:val="none"/>
          <w:lang w:eastAsia="zh-CN"/>
          <w14:textOutline w14:w="5130" w14:cap="flat" w14:cmpd="sng" w14:algn="ctr">
            <w14:solidFill>
              <w14:srgbClr w14:val="000000"/>
            </w14:solidFill>
            <w14:prstDash w14:val="solid"/>
            <w14:miter w14:val="0"/>
          </w14:textOutline>
        </w:rPr>
        <w:t>谈判响应函</w:t>
      </w:r>
    </w:p>
    <w:p w14:paraId="32B8DAE3">
      <w:pPr>
        <w:spacing w:before="145" w:line="227" w:lineRule="auto"/>
        <w:ind w:left="44"/>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2"/>
          <w:sz w:val="24"/>
          <w:szCs w:val="24"/>
          <w:highlight w:val="none"/>
          <w:u w:val="single"/>
          <w:lang w:eastAsia="zh-CN"/>
        </w:rPr>
        <w:t>(代理机构名称)</w:t>
      </w:r>
      <w:r>
        <w:rPr>
          <w:rFonts w:hint="eastAsia" w:asciiTheme="minorEastAsia" w:hAnsiTheme="minorEastAsia" w:eastAsiaTheme="minorEastAsia" w:cstheme="minorEastAsia"/>
          <w:color w:val="auto"/>
          <w:spacing w:val="2"/>
          <w:sz w:val="24"/>
          <w:szCs w:val="24"/>
          <w:highlight w:val="none"/>
          <w:lang w:eastAsia="zh-CN"/>
        </w:rPr>
        <w:t>：</w:t>
      </w:r>
    </w:p>
    <w:p w14:paraId="6B087451">
      <w:pPr>
        <w:spacing w:before="215" w:line="402" w:lineRule="auto"/>
        <w:ind w:firstLine="362"/>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依据贵方</w:t>
      </w:r>
      <w:r>
        <w:rPr>
          <w:rFonts w:hint="eastAsia" w:asciiTheme="minorEastAsia" w:hAnsiTheme="minorEastAsia" w:eastAsiaTheme="minorEastAsia" w:cstheme="minorEastAsia"/>
          <w:color w:val="auto"/>
          <w:spacing w:val="-8"/>
          <w:sz w:val="24"/>
          <w:szCs w:val="24"/>
          <w:highlight w:val="none"/>
          <w:u w:val="single"/>
          <w:lang w:eastAsia="zh-CN"/>
        </w:rPr>
        <w:t xml:space="preserve"> （项目名称/文件编号）</w:t>
      </w:r>
      <w:r>
        <w:rPr>
          <w:rFonts w:hint="eastAsia" w:asciiTheme="minorEastAsia" w:hAnsiTheme="minorEastAsia" w:eastAsiaTheme="minorEastAsia" w:cstheme="minorEastAsia"/>
          <w:color w:val="auto"/>
          <w:spacing w:val="34"/>
          <w:sz w:val="24"/>
          <w:szCs w:val="24"/>
          <w:highlight w:val="none"/>
          <w:u w:val="single"/>
          <w:lang w:eastAsia="zh-CN"/>
        </w:rPr>
        <w:t xml:space="preserve"> </w:t>
      </w:r>
      <w:r>
        <w:rPr>
          <w:rFonts w:hint="eastAsia" w:asciiTheme="minorEastAsia" w:hAnsiTheme="minorEastAsia" w:eastAsiaTheme="minorEastAsia" w:cstheme="minorEastAsia"/>
          <w:color w:val="auto"/>
          <w:spacing w:val="-8"/>
          <w:sz w:val="24"/>
          <w:szCs w:val="24"/>
          <w:highlight w:val="none"/>
          <w:lang w:eastAsia="zh-CN"/>
        </w:rPr>
        <w:t>项目政府采购的谈判邀请，</w:t>
      </w:r>
      <w:r>
        <w:rPr>
          <w:rFonts w:hint="eastAsia" w:asciiTheme="minorEastAsia" w:hAnsiTheme="minorEastAsia" w:eastAsiaTheme="minorEastAsia" w:cstheme="minorEastAsia"/>
          <w:color w:val="auto"/>
          <w:spacing w:val="72"/>
          <w:sz w:val="24"/>
          <w:szCs w:val="24"/>
          <w:highlight w:val="none"/>
          <w:lang w:eastAsia="zh-CN"/>
        </w:rPr>
        <w:t xml:space="preserve"> </w:t>
      </w:r>
      <w:r>
        <w:rPr>
          <w:rFonts w:hint="eastAsia" w:asciiTheme="minorEastAsia" w:hAnsiTheme="minorEastAsia" w:eastAsiaTheme="minorEastAsia" w:cstheme="minorEastAsia"/>
          <w:color w:val="auto"/>
          <w:spacing w:val="-8"/>
          <w:sz w:val="24"/>
          <w:szCs w:val="24"/>
          <w:highlight w:val="none"/>
          <w:lang w:eastAsia="zh-CN"/>
        </w:rPr>
        <w:t>我方</w:t>
      </w:r>
      <w:r>
        <w:rPr>
          <w:rFonts w:hint="eastAsia" w:asciiTheme="minorEastAsia" w:hAnsiTheme="minorEastAsia" w:eastAsiaTheme="minorEastAsia" w:cstheme="minorEastAsia"/>
          <w:color w:val="auto"/>
          <w:spacing w:val="-9"/>
          <w:sz w:val="24"/>
          <w:szCs w:val="24"/>
          <w:highlight w:val="none"/>
          <w:u w:val="single"/>
          <w:lang w:eastAsia="zh-CN"/>
        </w:rPr>
        <w:t xml:space="preserve"> （姓名和职务）</w:t>
      </w:r>
      <w:r>
        <w:rPr>
          <w:rFonts w:hint="eastAsia" w:asciiTheme="minorEastAsia" w:hAnsiTheme="minorEastAsia" w:eastAsiaTheme="minorEastAsia" w:cstheme="minorEastAsia"/>
          <w:color w:val="auto"/>
          <w:spacing w:val="32"/>
          <w:sz w:val="24"/>
          <w:szCs w:val="24"/>
          <w:highlight w:val="none"/>
          <w:u w:val="single"/>
          <w:lang w:eastAsia="zh-CN"/>
        </w:rPr>
        <w:t xml:space="preserve"> </w:t>
      </w:r>
      <w:r>
        <w:rPr>
          <w:rFonts w:hint="eastAsia" w:asciiTheme="minorEastAsia" w:hAnsiTheme="minorEastAsia" w:eastAsiaTheme="minorEastAsia" w:cstheme="minorEastAsia"/>
          <w:color w:val="auto"/>
          <w:spacing w:val="-9"/>
          <w:sz w:val="24"/>
          <w:szCs w:val="24"/>
          <w:highlight w:val="none"/>
          <w:lang w:eastAsia="zh-CN"/>
        </w:rPr>
        <w:t>经正式</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4"/>
          <w:sz w:val="24"/>
          <w:szCs w:val="24"/>
          <w:highlight w:val="none"/>
          <w:lang w:eastAsia="zh-CN"/>
        </w:rPr>
        <w:t>授权并代表谈判供应商</w:t>
      </w:r>
      <w:r>
        <w:rPr>
          <w:rFonts w:hint="eastAsia" w:asciiTheme="minorEastAsia" w:hAnsiTheme="minorEastAsia" w:eastAsiaTheme="minorEastAsia" w:cstheme="minorEastAsia"/>
          <w:color w:val="auto"/>
          <w:spacing w:val="4"/>
          <w:sz w:val="24"/>
          <w:szCs w:val="24"/>
          <w:highlight w:val="none"/>
          <w:u w:val="single"/>
          <w:lang w:eastAsia="zh-CN"/>
        </w:rPr>
        <w:t xml:space="preserve"> （谈判供应商名称） </w:t>
      </w:r>
      <w:r>
        <w:rPr>
          <w:rFonts w:hint="eastAsia" w:asciiTheme="minorEastAsia" w:hAnsiTheme="minorEastAsia" w:eastAsiaTheme="minorEastAsia" w:cstheme="minorEastAsia"/>
          <w:color w:val="auto"/>
          <w:spacing w:val="4"/>
          <w:sz w:val="24"/>
          <w:szCs w:val="24"/>
          <w:highlight w:val="none"/>
          <w:lang w:eastAsia="zh-CN"/>
        </w:rPr>
        <w:t>提交下述竞争性谈判响应文件，在</w:t>
      </w:r>
      <w:r>
        <w:rPr>
          <w:rFonts w:hint="eastAsia" w:asciiTheme="minorEastAsia" w:hAnsiTheme="minorEastAsia" w:eastAsiaTheme="minorEastAsia" w:cstheme="minorEastAsia"/>
          <w:color w:val="auto"/>
          <w:spacing w:val="3"/>
          <w:sz w:val="24"/>
          <w:szCs w:val="24"/>
          <w:highlight w:val="none"/>
          <w:lang w:eastAsia="zh-CN"/>
        </w:rPr>
        <w:t>政采云平台上</w:t>
      </w:r>
      <w:r>
        <w:rPr>
          <w:rFonts w:hint="eastAsia" w:asciiTheme="minorEastAsia" w:hAnsiTheme="minorEastAsia" w:eastAsiaTheme="minorEastAsia" w:cstheme="minorEastAsia"/>
          <w:color w:val="auto"/>
          <w:spacing w:val="6"/>
          <w:sz w:val="24"/>
          <w:szCs w:val="24"/>
          <w:highlight w:val="none"/>
          <w:lang w:eastAsia="zh-CN"/>
        </w:rPr>
        <w:t>传电子响应文件一份。</w:t>
      </w:r>
    </w:p>
    <w:p w14:paraId="6479AD82">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76" w:firstLineChars="20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
          <w:sz w:val="24"/>
          <w:szCs w:val="24"/>
          <w:highlight w:val="none"/>
          <w:lang w:eastAsia="zh-CN"/>
        </w:rPr>
        <w:t>1.资格响应文件；</w:t>
      </w:r>
    </w:p>
    <w:p w14:paraId="7A290020">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2.报价响应文件；</w:t>
      </w:r>
    </w:p>
    <w:p w14:paraId="57BB9895">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88" w:firstLineChars="20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2"/>
          <w:sz w:val="24"/>
          <w:szCs w:val="24"/>
          <w:highlight w:val="none"/>
          <w:lang w:eastAsia="zh-CN"/>
        </w:rPr>
        <w:t>3.商务技术响应文件；</w:t>
      </w:r>
    </w:p>
    <w:p w14:paraId="0189662B">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508" w:firstLineChars="200"/>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4. 按竞争性谈判文件谈判须知和技术规格要求提供的有关文件；</w:t>
      </w:r>
    </w:p>
    <w:p w14:paraId="7AB27817">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96" w:firstLineChars="200"/>
        <w:textAlignment w:val="baseline"/>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4"/>
          <w:sz w:val="24"/>
          <w:szCs w:val="24"/>
          <w:highlight w:val="none"/>
        </w:rPr>
        <w:t>在此，我方宣布同意如下：</w:t>
      </w:r>
    </w:p>
    <w:p w14:paraId="157892A1">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76" w:firstLineChars="200"/>
        <w:textAlignment w:val="baseline"/>
        <w:rPr>
          <w:rFonts w:hint="eastAsia" w:asciiTheme="minorEastAsia" w:hAnsiTheme="minorEastAsia" w:eastAsiaTheme="minorEastAsia" w:cstheme="minorEastAsia"/>
          <w:color w:val="auto"/>
          <w:spacing w:val="-1"/>
          <w:sz w:val="24"/>
          <w:szCs w:val="24"/>
          <w:highlight w:val="none"/>
          <w:lang w:eastAsia="zh-CN"/>
        </w:rPr>
      </w:pPr>
      <w:r>
        <w:rPr>
          <w:rFonts w:hint="eastAsia" w:asciiTheme="minorEastAsia" w:hAnsiTheme="minorEastAsia" w:eastAsiaTheme="minorEastAsia" w:cstheme="minorEastAsia"/>
          <w:color w:val="auto"/>
          <w:spacing w:val="-1"/>
          <w:sz w:val="24"/>
          <w:szCs w:val="24"/>
          <w:highlight w:val="none"/>
          <w:lang w:eastAsia="zh-CN"/>
        </w:rPr>
        <w:t>1）将按竞争性谈判文件的约定履行合同责任和义务；</w:t>
      </w:r>
    </w:p>
    <w:p w14:paraId="5E5B71F1">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76" w:firstLineChars="200"/>
        <w:textAlignment w:val="baseline"/>
        <w:rPr>
          <w:rFonts w:hint="eastAsia" w:asciiTheme="minorEastAsia" w:hAnsiTheme="minorEastAsia" w:eastAsiaTheme="minorEastAsia" w:cstheme="minorEastAsia"/>
          <w:color w:val="auto"/>
          <w:spacing w:val="-1"/>
          <w:sz w:val="24"/>
          <w:szCs w:val="24"/>
          <w:highlight w:val="none"/>
          <w:lang w:eastAsia="zh-CN"/>
        </w:rPr>
      </w:pPr>
      <w:r>
        <w:rPr>
          <w:rFonts w:hint="eastAsia" w:asciiTheme="minorEastAsia" w:hAnsiTheme="minorEastAsia" w:eastAsiaTheme="minorEastAsia" w:cstheme="minorEastAsia"/>
          <w:color w:val="auto"/>
          <w:spacing w:val="-1"/>
          <w:sz w:val="24"/>
          <w:szCs w:val="24"/>
          <w:highlight w:val="none"/>
          <w:lang w:eastAsia="zh-CN"/>
        </w:rPr>
        <w:t>2） 已详细审查全部竞争性谈判文件我们完全理解并同意放弃对这方面有不明及误解的权力；</w:t>
      </w:r>
    </w:p>
    <w:p w14:paraId="36B8ADB4">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76" w:firstLineChars="200"/>
        <w:textAlignment w:val="baseline"/>
        <w:rPr>
          <w:rFonts w:hint="eastAsia" w:asciiTheme="minorEastAsia" w:hAnsiTheme="minorEastAsia" w:eastAsiaTheme="minorEastAsia" w:cstheme="minorEastAsia"/>
          <w:color w:val="auto"/>
          <w:spacing w:val="-1"/>
          <w:sz w:val="24"/>
          <w:szCs w:val="24"/>
          <w:highlight w:val="none"/>
          <w:lang w:eastAsia="zh-CN"/>
        </w:rPr>
      </w:pPr>
      <w:r>
        <w:rPr>
          <w:rFonts w:hint="eastAsia" w:asciiTheme="minorEastAsia" w:hAnsiTheme="minorEastAsia" w:eastAsiaTheme="minorEastAsia" w:cstheme="minorEastAsia"/>
          <w:color w:val="auto"/>
          <w:spacing w:val="-1"/>
          <w:sz w:val="24"/>
          <w:szCs w:val="24"/>
          <w:highlight w:val="none"/>
          <w:lang w:eastAsia="zh-CN"/>
        </w:rPr>
        <w:t>3）同意提供按照贵方可能要求的与其谈判有关的一切数据或资料；</w:t>
      </w:r>
    </w:p>
    <w:p w14:paraId="7F7654C9">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76" w:firstLineChars="200"/>
        <w:textAlignment w:val="baseline"/>
        <w:rPr>
          <w:rFonts w:hint="eastAsia" w:asciiTheme="minorEastAsia" w:hAnsiTheme="minorEastAsia" w:eastAsiaTheme="minorEastAsia" w:cstheme="minorEastAsia"/>
          <w:color w:val="auto"/>
          <w:spacing w:val="-1"/>
          <w:sz w:val="24"/>
          <w:szCs w:val="24"/>
          <w:highlight w:val="none"/>
          <w:lang w:eastAsia="zh-CN"/>
        </w:rPr>
      </w:pPr>
      <w:r>
        <w:rPr>
          <w:rFonts w:hint="eastAsia" w:asciiTheme="minorEastAsia" w:hAnsiTheme="minorEastAsia" w:eastAsiaTheme="minorEastAsia" w:cstheme="minorEastAsia"/>
          <w:color w:val="auto"/>
          <w:spacing w:val="-1"/>
          <w:sz w:val="24"/>
          <w:szCs w:val="24"/>
          <w:highlight w:val="none"/>
          <w:lang w:eastAsia="zh-CN"/>
        </w:rPr>
        <w:t>4)本谈判有效期为自首次递交响应文件截止时间起计算90个日历日；</w:t>
      </w:r>
    </w:p>
    <w:p w14:paraId="07FDFFD4">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76" w:firstLineChars="200"/>
        <w:textAlignment w:val="baseline"/>
        <w:rPr>
          <w:rFonts w:hint="eastAsia" w:asciiTheme="minorEastAsia" w:hAnsiTheme="minorEastAsia" w:eastAsiaTheme="minorEastAsia" w:cstheme="minorEastAsia"/>
          <w:color w:val="auto"/>
          <w:spacing w:val="-1"/>
          <w:sz w:val="24"/>
          <w:szCs w:val="24"/>
          <w:highlight w:val="none"/>
          <w:lang w:eastAsia="zh-CN"/>
        </w:rPr>
      </w:pPr>
      <w:r>
        <w:rPr>
          <w:rFonts w:hint="eastAsia" w:asciiTheme="minorEastAsia" w:hAnsiTheme="minorEastAsia" w:eastAsiaTheme="minorEastAsia" w:cstheme="minorEastAsia"/>
          <w:color w:val="auto"/>
          <w:spacing w:val="-1"/>
          <w:sz w:val="24"/>
          <w:szCs w:val="24"/>
          <w:highlight w:val="none"/>
          <w:lang w:eastAsia="zh-CN"/>
        </w:rPr>
        <w:t>5)接受谈判文件关于支付代理服务费的约定。</w:t>
      </w:r>
    </w:p>
    <w:p w14:paraId="28E703E1">
      <w:pPr>
        <w:pStyle w:val="9"/>
        <w:spacing w:line="319" w:lineRule="auto"/>
        <w:rPr>
          <w:rFonts w:hint="eastAsia" w:asciiTheme="minorEastAsia" w:hAnsiTheme="minorEastAsia" w:eastAsiaTheme="minorEastAsia" w:cstheme="minorEastAsia"/>
          <w:color w:val="auto"/>
          <w:sz w:val="24"/>
          <w:szCs w:val="24"/>
          <w:highlight w:val="none"/>
          <w:lang w:eastAsia="zh-CN"/>
        </w:rPr>
      </w:pPr>
    </w:p>
    <w:p w14:paraId="33501FD4">
      <w:pPr>
        <w:pStyle w:val="9"/>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color w:val="auto"/>
          <w:sz w:val="24"/>
          <w:szCs w:val="24"/>
          <w:highlight w:val="none"/>
          <w:lang w:eastAsia="zh-CN"/>
        </w:rPr>
      </w:pPr>
    </w:p>
    <w:p w14:paraId="37C4291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6"/>
          <w:sz w:val="24"/>
          <w:szCs w:val="24"/>
          <w:highlight w:val="none"/>
          <w:lang w:eastAsia="zh-CN"/>
        </w:rPr>
        <w:t>电话/传真：</w:t>
      </w:r>
    </w:p>
    <w:p w14:paraId="5AC0FFC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5"/>
          <w:sz w:val="24"/>
          <w:szCs w:val="24"/>
          <w:highlight w:val="none"/>
          <w:lang w:eastAsia="zh-CN"/>
        </w:rPr>
        <w:t>谈判供应商名称（电子公章）：</w:t>
      </w:r>
    </w:p>
    <w:p w14:paraId="5D14F388">
      <w:pPr>
        <w:keepNext w:val="0"/>
        <w:keepLines w:val="0"/>
        <w:pageBreakBefore w:val="0"/>
        <w:widowControl/>
        <w:kinsoku w:val="0"/>
        <w:wordWrap/>
        <w:overflowPunct/>
        <w:topLinePunct w:val="0"/>
        <w:autoSpaceDE w:val="0"/>
        <w:autoSpaceDN w:val="0"/>
        <w:bidi w:val="0"/>
        <w:adjustRightInd w:val="0"/>
        <w:snapToGrid w:val="0"/>
        <w:spacing w:line="0" w:lineRule="atLeast"/>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6"/>
          <w:position w:val="20"/>
          <w:sz w:val="24"/>
          <w:szCs w:val="24"/>
          <w:highlight w:val="none"/>
          <w:lang w:eastAsia="zh-CN"/>
        </w:rPr>
        <w:t>谈判供应商法定代表人（电子签名或盖章</w:t>
      </w:r>
      <w:r>
        <w:rPr>
          <w:rFonts w:hint="eastAsia" w:asciiTheme="minorEastAsia" w:hAnsiTheme="minorEastAsia" w:eastAsiaTheme="minorEastAsia" w:cstheme="minorEastAsia"/>
          <w:color w:val="auto"/>
          <w:spacing w:val="11"/>
          <w:position w:val="20"/>
          <w:sz w:val="24"/>
          <w:szCs w:val="24"/>
          <w:highlight w:val="none"/>
          <w:lang w:eastAsia="zh-CN"/>
        </w:rPr>
        <w:t>）：</w:t>
      </w:r>
    </w:p>
    <w:p w14:paraId="5DDBD655">
      <w:pPr>
        <w:keepNext w:val="0"/>
        <w:keepLines w:val="0"/>
        <w:pageBreakBefore w:val="0"/>
        <w:widowControl/>
        <w:kinsoku w:val="0"/>
        <w:wordWrap/>
        <w:overflowPunct/>
        <w:topLinePunct w:val="0"/>
        <w:autoSpaceDE w:val="0"/>
        <w:autoSpaceDN w:val="0"/>
        <w:bidi w:val="0"/>
        <w:adjustRightInd w:val="0"/>
        <w:snapToGrid w:val="0"/>
        <w:spacing w:line="0" w:lineRule="atLeast"/>
        <w:textAlignment w:val="baseline"/>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23"/>
          <w:sz w:val="24"/>
          <w:szCs w:val="24"/>
          <w:highlight w:val="none"/>
          <w:lang w:eastAsia="zh-CN"/>
        </w:rPr>
        <w:t>日期：</w:t>
      </w:r>
      <w:r>
        <w:rPr>
          <w:rFonts w:hint="eastAsia" w:asciiTheme="minorEastAsia" w:hAnsiTheme="minorEastAsia" w:eastAsiaTheme="minorEastAsia" w:cstheme="minorEastAsia"/>
          <w:color w:val="auto"/>
          <w:spacing w:val="5"/>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年</w:t>
      </w:r>
      <w:r>
        <w:rPr>
          <w:rFonts w:hint="eastAsia" w:asciiTheme="minorEastAsia" w:hAnsiTheme="minorEastAsia" w:eastAsiaTheme="minorEastAsia" w:cstheme="minorEastAsia"/>
          <w:color w:val="auto"/>
          <w:spacing w:val="21"/>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月</w:t>
      </w:r>
      <w:r>
        <w:rPr>
          <w:rFonts w:hint="eastAsia" w:asciiTheme="minorEastAsia" w:hAnsiTheme="minorEastAsia" w:eastAsiaTheme="minorEastAsia" w:cstheme="minorEastAsia"/>
          <w:color w:val="auto"/>
          <w:spacing w:val="55"/>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日</w:t>
      </w:r>
    </w:p>
    <w:p w14:paraId="518198FC">
      <w:pPr>
        <w:keepNext w:val="0"/>
        <w:keepLines w:val="0"/>
        <w:pageBreakBefore w:val="0"/>
        <w:widowControl/>
        <w:kinsoku w:val="0"/>
        <w:wordWrap/>
        <w:overflowPunct/>
        <w:topLinePunct w:val="0"/>
        <w:autoSpaceDE w:val="0"/>
        <w:autoSpaceDN w:val="0"/>
        <w:bidi w:val="0"/>
        <w:adjustRightInd w:val="0"/>
        <w:snapToGrid w:val="0"/>
        <w:spacing w:line="0" w:lineRule="atLeast"/>
        <w:textAlignment w:val="baseline"/>
        <w:rPr>
          <w:rFonts w:hint="eastAsia" w:asciiTheme="minorEastAsia" w:hAnsiTheme="minorEastAsia" w:eastAsiaTheme="minorEastAsia" w:cstheme="minorEastAsia"/>
          <w:color w:val="auto"/>
          <w:sz w:val="24"/>
          <w:szCs w:val="24"/>
          <w:highlight w:val="none"/>
          <w:lang w:eastAsia="zh-CN"/>
        </w:rPr>
        <w:sectPr>
          <w:footerReference r:id="rId21" w:type="default"/>
          <w:pgSz w:w="11906" w:h="16838"/>
          <w:pgMar w:top="1440" w:right="1800" w:bottom="1440" w:left="1800" w:header="0" w:footer="812" w:gutter="0"/>
          <w:pgNumType w:fmt="decimal"/>
          <w:cols w:space="720" w:num="1"/>
        </w:sectPr>
      </w:pPr>
    </w:p>
    <w:p w14:paraId="26BC35E6">
      <w:pPr>
        <w:pStyle w:val="9"/>
        <w:spacing w:line="244" w:lineRule="auto"/>
        <w:rPr>
          <w:color w:val="auto"/>
          <w:highlight w:val="none"/>
          <w:lang w:eastAsia="zh-CN"/>
        </w:rPr>
      </w:pPr>
    </w:p>
    <w:p w14:paraId="3A80C566">
      <w:pPr>
        <w:spacing w:before="91" w:line="219" w:lineRule="auto"/>
        <w:ind w:left="10"/>
        <w:outlineLvl w:val="2"/>
        <w:rPr>
          <w:rFonts w:hint="eastAsia" w:ascii="宋体" w:hAnsi="宋体" w:eastAsia="宋体" w:cs="宋体"/>
          <w:color w:val="auto"/>
          <w:sz w:val="28"/>
          <w:szCs w:val="28"/>
          <w:highlight w:val="none"/>
          <w:lang w:eastAsia="zh-CN"/>
        </w:rPr>
      </w:pPr>
      <w:bookmarkStart w:id="285" w:name="_Toc10991"/>
      <w:r>
        <w:rPr>
          <w:rFonts w:ascii="宋体" w:hAnsi="宋体" w:eastAsia="宋体" w:cs="宋体"/>
          <w:color w:val="auto"/>
          <w:spacing w:val="-3"/>
          <w:sz w:val="28"/>
          <w:szCs w:val="28"/>
          <w:highlight w:val="none"/>
          <w:lang w:eastAsia="zh-CN"/>
          <w14:textOutline w14:w="5130" w14:cap="flat" w14:cmpd="sng" w14:algn="ctr">
            <w14:solidFill>
              <w14:srgbClr w14:val="000000"/>
            </w14:solidFill>
            <w14:prstDash w14:val="solid"/>
            <w14:miter w14:val="0"/>
          </w14:textOutline>
        </w:rPr>
        <w:t>（二）法定授权人委托书</w:t>
      </w:r>
      <w:bookmarkEnd w:id="285"/>
    </w:p>
    <w:p w14:paraId="2A1ECC8F">
      <w:pPr>
        <w:spacing w:before="147" w:line="219" w:lineRule="auto"/>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
          <w:sz w:val="24"/>
          <w:szCs w:val="24"/>
          <w:highlight w:val="none"/>
          <w:lang w:eastAsia="zh-CN"/>
          <w14:textOutline w14:w="5130" w14:cap="flat" w14:cmpd="sng" w14:algn="ctr">
            <w14:solidFill>
              <w14:srgbClr w14:val="000000"/>
            </w14:solidFill>
            <w14:prstDash w14:val="solid"/>
            <w14:miter w14:val="0"/>
          </w14:textOutline>
        </w:rPr>
        <w:t>法定授权人委托书</w:t>
      </w:r>
    </w:p>
    <w:p w14:paraId="13C580BE">
      <w:pPr>
        <w:pStyle w:val="9"/>
        <w:spacing w:line="468" w:lineRule="auto"/>
        <w:rPr>
          <w:rFonts w:hint="eastAsia" w:asciiTheme="minorEastAsia" w:hAnsiTheme="minorEastAsia" w:eastAsiaTheme="minorEastAsia" w:cstheme="minorEastAsia"/>
          <w:color w:val="auto"/>
          <w:sz w:val="24"/>
          <w:szCs w:val="24"/>
          <w:highlight w:val="none"/>
          <w:lang w:eastAsia="zh-CN"/>
        </w:rPr>
      </w:pPr>
    </w:p>
    <w:p w14:paraId="0A3A345E">
      <w:pPr>
        <w:spacing w:before="75" w:line="374" w:lineRule="auto"/>
        <w:ind w:firstLine="481"/>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6"/>
          <w:sz w:val="24"/>
          <w:szCs w:val="24"/>
          <w:highlight w:val="none"/>
          <w:lang w:eastAsia="zh-CN"/>
        </w:rPr>
        <w:t>本授权书声明：注册于  （供应商住址）的（供应商名称）的（法定代表人姓名、</w:t>
      </w:r>
      <w:r>
        <w:rPr>
          <w:rFonts w:hint="eastAsia" w:asciiTheme="minorEastAsia" w:hAnsiTheme="minorEastAsia" w:eastAsiaTheme="minorEastAsia" w:cstheme="minorEastAsia"/>
          <w:color w:val="auto"/>
          <w:spacing w:val="5"/>
          <w:sz w:val="24"/>
          <w:szCs w:val="24"/>
          <w:highlight w:val="none"/>
          <w:lang w:eastAsia="zh-CN"/>
        </w:rPr>
        <w:t>职务）</w:t>
      </w:r>
      <w:r>
        <w:rPr>
          <w:rFonts w:hint="eastAsia" w:asciiTheme="minorEastAsia" w:hAnsiTheme="minorEastAsia" w:eastAsiaTheme="minorEastAsia" w:cstheme="minorEastAsia"/>
          <w:color w:val="auto"/>
          <w:sz w:val="24"/>
          <w:szCs w:val="24"/>
          <w:highlight w:val="none"/>
          <w:lang w:eastAsia="zh-CN"/>
        </w:rPr>
        <w:t xml:space="preserve"> </w:t>
      </w:r>
      <w:r>
        <w:rPr>
          <w:rFonts w:hint="eastAsia" w:asciiTheme="minorEastAsia" w:hAnsiTheme="minorEastAsia" w:eastAsiaTheme="minorEastAsia" w:cstheme="minorEastAsia"/>
          <w:color w:val="auto"/>
          <w:spacing w:val="9"/>
          <w:sz w:val="24"/>
          <w:szCs w:val="24"/>
          <w:highlight w:val="none"/>
          <w:lang w:eastAsia="zh-CN"/>
        </w:rPr>
        <w:t>代表本公司授权（授权代理人的姓名、职务）为本公司的合法代理人，就贵方组织（项目名</w:t>
      </w:r>
      <w:r>
        <w:rPr>
          <w:rFonts w:hint="eastAsia" w:asciiTheme="minorEastAsia" w:hAnsiTheme="minorEastAsia" w:eastAsiaTheme="minorEastAsia" w:cstheme="minorEastAsia"/>
          <w:color w:val="auto"/>
          <w:spacing w:val="2"/>
          <w:sz w:val="24"/>
          <w:szCs w:val="24"/>
          <w:highlight w:val="none"/>
          <w:lang w:eastAsia="zh-CN"/>
        </w:rPr>
        <w:t xml:space="preserve">  </w:t>
      </w:r>
      <w:r>
        <w:rPr>
          <w:rFonts w:hint="eastAsia" w:asciiTheme="minorEastAsia" w:hAnsiTheme="minorEastAsia" w:eastAsiaTheme="minorEastAsia" w:cstheme="minorEastAsia"/>
          <w:color w:val="auto"/>
          <w:spacing w:val="11"/>
          <w:sz w:val="24"/>
          <w:szCs w:val="24"/>
          <w:highlight w:val="none"/>
          <w:lang w:eastAsia="zh-CN"/>
        </w:rPr>
        <w:t>称）项目（项目编号</w:t>
      </w:r>
      <w:r>
        <w:rPr>
          <w:rFonts w:hint="eastAsia" w:asciiTheme="minorEastAsia" w:hAnsiTheme="minorEastAsia" w:eastAsiaTheme="minorEastAsia" w:cstheme="minorEastAsia"/>
          <w:color w:val="auto"/>
          <w:spacing w:val="-3"/>
          <w:sz w:val="24"/>
          <w:szCs w:val="24"/>
          <w:highlight w:val="none"/>
          <w:lang w:eastAsia="zh-CN"/>
        </w:rPr>
        <w:t>：</w:t>
      </w:r>
      <w:r>
        <w:rPr>
          <w:rFonts w:hint="eastAsia" w:asciiTheme="minorEastAsia" w:hAnsiTheme="minorEastAsia" w:eastAsiaTheme="minorEastAsia" w:cstheme="minorEastAsia"/>
          <w:color w:val="auto"/>
          <w:spacing w:val="8"/>
          <w:sz w:val="24"/>
          <w:szCs w:val="24"/>
          <w:highlight w:val="none"/>
          <w:u w:val="single"/>
          <w:lang w:eastAsia="zh-CN"/>
        </w:rPr>
        <w:t xml:space="preserve">         </w:t>
      </w:r>
      <w:r>
        <w:rPr>
          <w:rFonts w:hint="eastAsia" w:asciiTheme="minorEastAsia" w:hAnsiTheme="minorEastAsia" w:eastAsiaTheme="minorEastAsia" w:cstheme="minorEastAsia"/>
          <w:color w:val="auto"/>
          <w:spacing w:val="-78"/>
          <w:sz w:val="24"/>
          <w:szCs w:val="24"/>
          <w:highlight w:val="none"/>
          <w:lang w:eastAsia="zh-CN"/>
        </w:rPr>
        <w:t xml:space="preserve"> </w:t>
      </w:r>
      <w:r>
        <w:rPr>
          <w:rFonts w:hint="eastAsia" w:asciiTheme="minorEastAsia" w:hAnsiTheme="minorEastAsia" w:eastAsiaTheme="minorEastAsia" w:cstheme="minorEastAsia"/>
          <w:color w:val="auto"/>
          <w:spacing w:val="-3"/>
          <w:sz w:val="24"/>
          <w:szCs w:val="24"/>
          <w:highlight w:val="none"/>
          <w:lang w:eastAsia="zh-CN"/>
        </w:rPr>
        <w:t>），</w:t>
      </w:r>
      <w:r>
        <w:rPr>
          <w:rFonts w:hint="eastAsia" w:asciiTheme="minorEastAsia" w:hAnsiTheme="minorEastAsia" w:eastAsiaTheme="minorEastAsia" w:cstheme="minorEastAsia"/>
          <w:color w:val="auto"/>
          <w:spacing w:val="-69"/>
          <w:sz w:val="24"/>
          <w:szCs w:val="24"/>
          <w:highlight w:val="none"/>
          <w:lang w:eastAsia="zh-CN"/>
        </w:rPr>
        <w:t xml:space="preserve"> </w:t>
      </w:r>
      <w:r>
        <w:rPr>
          <w:rFonts w:hint="eastAsia" w:asciiTheme="minorEastAsia" w:hAnsiTheme="minorEastAsia" w:eastAsiaTheme="minorEastAsia" w:cstheme="minorEastAsia"/>
          <w:color w:val="auto"/>
          <w:spacing w:val="11"/>
          <w:sz w:val="24"/>
          <w:szCs w:val="24"/>
          <w:highlight w:val="none"/>
          <w:lang w:eastAsia="zh-CN"/>
        </w:rPr>
        <w:t xml:space="preserve">以本公司名义处理一切与之有关的事宜。供应商授权 </w:t>
      </w:r>
      <w:r>
        <w:rPr>
          <w:rFonts w:hint="eastAsia" w:asciiTheme="minorEastAsia" w:hAnsiTheme="minorEastAsia" w:eastAsiaTheme="minorEastAsia" w:cstheme="minorEastAsia"/>
          <w:color w:val="auto"/>
          <w:spacing w:val="10"/>
          <w:sz w:val="24"/>
          <w:szCs w:val="24"/>
          <w:highlight w:val="none"/>
          <w:lang w:eastAsia="zh-CN"/>
        </w:rPr>
        <w:t>代理人在投标过程中所签署的一切文件和处理与之有关的一切事务，本公司均予</w:t>
      </w:r>
      <w:r>
        <w:rPr>
          <w:rFonts w:hint="eastAsia" w:asciiTheme="minorEastAsia" w:hAnsiTheme="minorEastAsia" w:eastAsiaTheme="minorEastAsia" w:cstheme="minorEastAsia"/>
          <w:color w:val="auto"/>
          <w:spacing w:val="9"/>
          <w:sz w:val="24"/>
          <w:szCs w:val="24"/>
          <w:highlight w:val="none"/>
          <w:lang w:eastAsia="zh-CN"/>
        </w:rPr>
        <w:t>以认可并对</w:t>
      </w:r>
    </w:p>
    <w:p w14:paraId="45BC7350">
      <w:pPr>
        <w:spacing w:line="227" w:lineRule="auto"/>
        <w:ind w:left="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
          <w:sz w:val="24"/>
          <w:szCs w:val="24"/>
          <w:highlight w:val="none"/>
          <w:lang w:eastAsia="zh-CN"/>
        </w:rPr>
        <w:t>此承担责任。</w:t>
      </w:r>
    </w:p>
    <w:p w14:paraId="16557A7B">
      <w:pPr>
        <w:spacing w:before="184" w:line="227" w:lineRule="auto"/>
        <w:ind w:left="48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供应商授权代理人无转委托权。特此授权。</w:t>
      </w:r>
    </w:p>
    <w:p w14:paraId="5CC77DBC">
      <w:pPr>
        <w:pStyle w:val="9"/>
        <w:spacing w:line="286" w:lineRule="auto"/>
        <w:rPr>
          <w:rFonts w:hint="eastAsia" w:asciiTheme="minorEastAsia" w:hAnsiTheme="minorEastAsia" w:eastAsiaTheme="minorEastAsia" w:cstheme="minorEastAsia"/>
          <w:color w:val="auto"/>
          <w:sz w:val="24"/>
          <w:szCs w:val="24"/>
          <w:highlight w:val="none"/>
          <w:lang w:eastAsia="zh-CN"/>
        </w:rPr>
      </w:pPr>
    </w:p>
    <w:p w14:paraId="4DEB7F4A">
      <w:pPr>
        <w:pStyle w:val="9"/>
        <w:spacing w:line="286" w:lineRule="auto"/>
        <w:rPr>
          <w:rFonts w:hint="eastAsia" w:asciiTheme="minorEastAsia" w:hAnsiTheme="minorEastAsia" w:eastAsiaTheme="minorEastAsia" w:cstheme="minorEastAsia"/>
          <w:color w:val="auto"/>
          <w:sz w:val="24"/>
          <w:szCs w:val="24"/>
          <w:highlight w:val="none"/>
          <w:lang w:eastAsia="zh-CN"/>
        </w:rPr>
      </w:pPr>
    </w:p>
    <w:p w14:paraId="78ECD23D">
      <w:pPr>
        <w:spacing w:before="75" w:line="227" w:lineRule="auto"/>
        <w:ind w:left="48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2"/>
          <w:sz w:val="24"/>
          <w:szCs w:val="24"/>
          <w:highlight w:val="none"/>
          <w:lang w:eastAsia="zh-CN"/>
        </w:rPr>
        <w:t>本授权书于</w:t>
      </w:r>
      <w:r>
        <w:rPr>
          <w:rFonts w:hint="eastAsia" w:asciiTheme="minorEastAsia" w:hAnsiTheme="minorEastAsia" w:eastAsiaTheme="minorEastAsia" w:cstheme="minorEastAsia"/>
          <w:color w:val="auto"/>
          <w:spacing w:val="-102"/>
          <w:sz w:val="24"/>
          <w:szCs w:val="24"/>
          <w:highlight w:val="none"/>
          <w:lang w:eastAsia="zh-CN"/>
        </w:rPr>
        <w:t xml:space="preserve"> </w:t>
      </w:r>
      <w:r>
        <w:rPr>
          <w:rFonts w:hint="eastAsia" w:asciiTheme="minorEastAsia" w:hAnsiTheme="minorEastAsia" w:eastAsiaTheme="minorEastAsia" w:cstheme="minorEastAsia"/>
          <w:color w:val="auto"/>
          <w:spacing w:val="4"/>
          <w:sz w:val="24"/>
          <w:szCs w:val="24"/>
          <w:highlight w:val="none"/>
          <w:u w:val="single"/>
          <w:lang w:eastAsia="zh-CN"/>
        </w:rPr>
        <w:t xml:space="preserve">          </w:t>
      </w:r>
      <w:r>
        <w:rPr>
          <w:rFonts w:hint="eastAsia" w:asciiTheme="minorEastAsia" w:hAnsiTheme="minorEastAsia" w:eastAsiaTheme="minorEastAsia" w:cstheme="minorEastAsia"/>
          <w:color w:val="auto"/>
          <w:spacing w:val="-95"/>
          <w:sz w:val="24"/>
          <w:szCs w:val="24"/>
          <w:highlight w:val="none"/>
          <w:lang w:eastAsia="zh-CN"/>
        </w:rPr>
        <w:t xml:space="preserve"> </w:t>
      </w:r>
      <w:r>
        <w:rPr>
          <w:rFonts w:hint="eastAsia" w:asciiTheme="minorEastAsia" w:hAnsiTheme="minorEastAsia" w:eastAsiaTheme="minorEastAsia" w:cstheme="minorEastAsia"/>
          <w:color w:val="auto"/>
          <w:spacing w:val="2"/>
          <w:sz w:val="24"/>
          <w:szCs w:val="24"/>
          <w:highlight w:val="none"/>
          <w:lang w:eastAsia="zh-CN"/>
        </w:rPr>
        <w:t>年</w:t>
      </w:r>
      <w:r>
        <w:rPr>
          <w:rFonts w:hint="eastAsia" w:asciiTheme="minorEastAsia" w:hAnsiTheme="minorEastAsia" w:eastAsiaTheme="minorEastAsia" w:cstheme="minorEastAsia"/>
          <w:color w:val="auto"/>
          <w:spacing w:val="2"/>
          <w:sz w:val="24"/>
          <w:szCs w:val="24"/>
          <w:highlight w:val="none"/>
          <w:u w:val="single"/>
          <w:lang w:eastAsia="zh-CN"/>
        </w:rPr>
        <w:t xml:space="preserve">     </w:t>
      </w:r>
      <w:r>
        <w:rPr>
          <w:rFonts w:hint="eastAsia" w:asciiTheme="minorEastAsia" w:hAnsiTheme="minorEastAsia" w:eastAsiaTheme="minorEastAsia" w:cstheme="minorEastAsia"/>
          <w:color w:val="auto"/>
          <w:spacing w:val="-97"/>
          <w:sz w:val="24"/>
          <w:szCs w:val="24"/>
          <w:highlight w:val="none"/>
          <w:lang w:eastAsia="zh-CN"/>
        </w:rPr>
        <w:t xml:space="preserve"> </w:t>
      </w:r>
      <w:r>
        <w:rPr>
          <w:rFonts w:hint="eastAsia" w:asciiTheme="minorEastAsia" w:hAnsiTheme="minorEastAsia" w:eastAsiaTheme="minorEastAsia" w:cstheme="minorEastAsia"/>
          <w:color w:val="auto"/>
          <w:spacing w:val="2"/>
          <w:sz w:val="24"/>
          <w:szCs w:val="24"/>
          <w:highlight w:val="none"/>
          <w:lang w:eastAsia="zh-CN"/>
        </w:rPr>
        <w:t>月</w:t>
      </w:r>
      <w:r>
        <w:rPr>
          <w:rFonts w:hint="eastAsia" w:asciiTheme="minorEastAsia" w:hAnsiTheme="minorEastAsia" w:eastAsiaTheme="minorEastAsia" w:cstheme="minorEastAsia"/>
          <w:color w:val="auto"/>
          <w:spacing w:val="-115"/>
          <w:sz w:val="24"/>
          <w:szCs w:val="24"/>
          <w:highlight w:val="none"/>
          <w:lang w:eastAsia="zh-CN"/>
        </w:rPr>
        <w:t xml:space="preserve"> </w:t>
      </w:r>
      <w:r>
        <w:rPr>
          <w:rFonts w:hint="eastAsia" w:asciiTheme="minorEastAsia" w:hAnsiTheme="minorEastAsia" w:eastAsiaTheme="minorEastAsia" w:cstheme="minorEastAsia"/>
          <w:color w:val="auto"/>
          <w:spacing w:val="4"/>
          <w:sz w:val="24"/>
          <w:szCs w:val="24"/>
          <w:highlight w:val="none"/>
          <w:u w:val="single"/>
          <w:lang w:eastAsia="zh-CN"/>
        </w:rPr>
        <w:t xml:space="preserve">      </w:t>
      </w:r>
      <w:r>
        <w:rPr>
          <w:rFonts w:hint="eastAsia" w:asciiTheme="minorEastAsia" w:hAnsiTheme="minorEastAsia" w:eastAsiaTheme="minorEastAsia" w:cstheme="minorEastAsia"/>
          <w:color w:val="auto"/>
          <w:spacing w:val="-59"/>
          <w:sz w:val="24"/>
          <w:szCs w:val="24"/>
          <w:highlight w:val="none"/>
          <w:lang w:eastAsia="zh-CN"/>
        </w:rPr>
        <w:t xml:space="preserve"> </w:t>
      </w:r>
      <w:r>
        <w:rPr>
          <w:rFonts w:hint="eastAsia" w:asciiTheme="minorEastAsia" w:hAnsiTheme="minorEastAsia" w:eastAsiaTheme="minorEastAsia" w:cstheme="minorEastAsia"/>
          <w:color w:val="auto"/>
          <w:spacing w:val="2"/>
          <w:sz w:val="24"/>
          <w:szCs w:val="24"/>
          <w:highlight w:val="none"/>
          <w:lang w:eastAsia="zh-CN"/>
        </w:rPr>
        <w:t>日生效，特此声明。</w:t>
      </w:r>
    </w:p>
    <w:p w14:paraId="1D61E2E8">
      <w:pPr>
        <w:pStyle w:val="9"/>
        <w:spacing w:line="250" w:lineRule="auto"/>
        <w:rPr>
          <w:rFonts w:hint="eastAsia" w:asciiTheme="minorEastAsia" w:hAnsiTheme="minorEastAsia" w:eastAsiaTheme="minorEastAsia" w:cstheme="minorEastAsia"/>
          <w:color w:val="auto"/>
          <w:sz w:val="24"/>
          <w:szCs w:val="24"/>
          <w:highlight w:val="none"/>
          <w:lang w:eastAsia="zh-CN"/>
        </w:rPr>
      </w:pPr>
    </w:p>
    <w:p w14:paraId="4AF036B9">
      <w:pPr>
        <w:pStyle w:val="9"/>
        <w:spacing w:line="250" w:lineRule="auto"/>
        <w:rPr>
          <w:rFonts w:hint="eastAsia" w:asciiTheme="minorEastAsia" w:hAnsiTheme="minorEastAsia" w:eastAsiaTheme="minorEastAsia" w:cstheme="minorEastAsia"/>
          <w:color w:val="auto"/>
          <w:sz w:val="24"/>
          <w:szCs w:val="24"/>
          <w:highlight w:val="none"/>
          <w:lang w:eastAsia="zh-CN"/>
        </w:rPr>
      </w:pPr>
    </w:p>
    <w:p w14:paraId="7F950B11">
      <w:pPr>
        <w:pStyle w:val="9"/>
        <w:spacing w:line="250" w:lineRule="auto"/>
        <w:rPr>
          <w:rFonts w:hint="eastAsia" w:asciiTheme="minorEastAsia" w:hAnsiTheme="minorEastAsia" w:eastAsiaTheme="minorEastAsia" w:cstheme="minorEastAsia"/>
          <w:color w:val="auto"/>
          <w:sz w:val="24"/>
          <w:szCs w:val="24"/>
          <w:highlight w:val="none"/>
          <w:lang w:eastAsia="zh-CN"/>
        </w:rPr>
      </w:pPr>
    </w:p>
    <w:p w14:paraId="5BA6B69E">
      <w:pPr>
        <w:pStyle w:val="9"/>
        <w:spacing w:line="250" w:lineRule="auto"/>
        <w:rPr>
          <w:rFonts w:hint="eastAsia" w:asciiTheme="minorEastAsia" w:hAnsiTheme="minorEastAsia" w:eastAsiaTheme="minorEastAsia" w:cstheme="minorEastAsia"/>
          <w:color w:val="auto"/>
          <w:sz w:val="24"/>
          <w:szCs w:val="24"/>
          <w:highlight w:val="none"/>
          <w:lang w:eastAsia="zh-CN"/>
        </w:rPr>
      </w:pPr>
    </w:p>
    <w:p w14:paraId="6BCD2F76">
      <w:pPr>
        <w:pStyle w:val="9"/>
        <w:spacing w:line="250" w:lineRule="auto"/>
        <w:rPr>
          <w:rFonts w:hint="eastAsia" w:asciiTheme="minorEastAsia" w:hAnsiTheme="minorEastAsia" w:eastAsiaTheme="minorEastAsia" w:cstheme="minorEastAsia"/>
          <w:color w:val="auto"/>
          <w:sz w:val="24"/>
          <w:szCs w:val="24"/>
          <w:highlight w:val="none"/>
          <w:lang w:eastAsia="zh-CN"/>
        </w:rPr>
      </w:pPr>
    </w:p>
    <w:p w14:paraId="2AA418C4">
      <w:pPr>
        <w:pStyle w:val="9"/>
        <w:spacing w:line="250" w:lineRule="auto"/>
        <w:rPr>
          <w:rFonts w:hint="eastAsia" w:asciiTheme="minorEastAsia" w:hAnsiTheme="minorEastAsia" w:eastAsiaTheme="minorEastAsia" w:cstheme="minorEastAsia"/>
          <w:color w:val="auto"/>
          <w:sz w:val="24"/>
          <w:szCs w:val="24"/>
          <w:highlight w:val="none"/>
          <w:lang w:eastAsia="zh-CN"/>
        </w:rPr>
      </w:pPr>
    </w:p>
    <w:p w14:paraId="60CF1E7F">
      <w:pPr>
        <w:spacing w:before="75" w:line="227" w:lineRule="auto"/>
        <w:ind w:left="252"/>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（附授权代理人身份证正反两面扫描件）</w:t>
      </w:r>
    </w:p>
    <w:p w14:paraId="0DAC4411">
      <w:pPr>
        <w:pStyle w:val="9"/>
        <w:spacing w:line="265" w:lineRule="auto"/>
        <w:rPr>
          <w:rFonts w:hint="eastAsia" w:asciiTheme="minorEastAsia" w:hAnsiTheme="minorEastAsia" w:eastAsiaTheme="minorEastAsia" w:cstheme="minorEastAsia"/>
          <w:color w:val="auto"/>
          <w:sz w:val="24"/>
          <w:szCs w:val="24"/>
          <w:highlight w:val="none"/>
          <w:lang w:eastAsia="zh-CN"/>
        </w:rPr>
      </w:pPr>
    </w:p>
    <w:p w14:paraId="2C25BC84">
      <w:pPr>
        <w:pStyle w:val="9"/>
        <w:spacing w:line="265" w:lineRule="auto"/>
        <w:rPr>
          <w:rFonts w:hint="eastAsia" w:asciiTheme="minorEastAsia" w:hAnsiTheme="minorEastAsia" w:eastAsiaTheme="minorEastAsia" w:cstheme="minorEastAsia"/>
          <w:color w:val="auto"/>
          <w:sz w:val="24"/>
          <w:szCs w:val="24"/>
          <w:highlight w:val="none"/>
          <w:lang w:eastAsia="zh-CN"/>
        </w:rPr>
      </w:pPr>
    </w:p>
    <w:p w14:paraId="59470A52">
      <w:pPr>
        <w:pStyle w:val="9"/>
        <w:spacing w:line="265" w:lineRule="auto"/>
        <w:rPr>
          <w:rFonts w:hint="eastAsia" w:asciiTheme="minorEastAsia" w:hAnsiTheme="minorEastAsia" w:eastAsiaTheme="minorEastAsia" w:cstheme="minorEastAsia"/>
          <w:color w:val="auto"/>
          <w:sz w:val="24"/>
          <w:szCs w:val="24"/>
          <w:highlight w:val="none"/>
          <w:lang w:eastAsia="zh-CN"/>
        </w:rPr>
      </w:pPr>
    </w:p>
    <w:p w14:paraId="71155F3C">
      <w:pPr>
        <w:pStyle w:val="9"/>
        <w:spacing w:line="265" w:lineRule="auto"/>
        <w:rPr>
          <w:rFonts w:hint="eastAsia" w:asciiTheme="minorEastAsia" w:hAnsiTheme="minorEastAsia" w:eastAsiaTheme="minorEastAsia" w:cstheme="minorEastAsia"/>
          <w:color w:val="auto"/>
          <w:sz w:val="24"/>
          <w:szCs w:val="24"/>
          <w:highlight w:val="none"/>
          <w:lang w:eastAsia="zh-CN"/>
        </w:rPr>
      </w:pPr>
    </w:p>
    <w:p w14:paraId="05D4E9B5">
      <w:pPr>
        <w:pStyle w:val="9"/>
        <w:spacing w:line="265" w:lineRule="auto"/>
        <w:rPr>
          <w:rFonts w:hint="eastAsia" w:asciiTheme="minorEastAsia" w:hAnsiTheme="minorEastAsia" w:eastAsiaTheme="minorEastAsia" w:cstheme="minorEastAsia"/>
          <w:color w:val="auto"/>
          <w:sz w:val="24"/>
          <w:szCs w:val="24"/>
          <w:highlight w:val="none"/>
          <w:lang w:eastAsia="zh-CN"/>
        </w:rPr>
      </w:pPr>
    </w:p>
    <w:p w14:paraId="219E44AC">
      <w:pPr>
        <w:pStyle w:val="9"/>
        <w:spacing w:line="265" w:lineRule="auto"/>
        <w:rPr>
          <w:rFonts w:hint="eastAsia" w:asciiTheme="minorEastAsia" w:hAnsiTheme="minorEastAsia" w:eastAsiaTheme="minorEastAsia" w:cstheme="minorEastAsia"/>
          <w:color w:val="auto"/>
          <w:sz w:val="24"/>
          <w:szCs w:val="24"/>
          <w:highlight w:val="none"/>
          <w:lang w:eastAsia="zh-CN"/>
        </w:rPr>
      </w:pPr>
    </w:p>
    <w:p w14:paraId="28C28D63">
      <w:pPr>
        <w:pStyle w:val="9"/>
        <w:spacing w:line="266" w:lineRule="auto"/>
        <w:rPr>
          <w:rFonts w:hint="eastAsia" w:asciiTheme="minorEastAsia" w:hAnsiTheme="minorEastAsia" w:eastAsiaTheme="minorEastAsia" w:cstheme="minorEastAsia"/>
          <w:color w:val="auto"/>
          <w:sz w:val="24"/>
          <w:szCs w:val="24"/>
          <w:highlight w:val="none"/>
          <w:lang w:eastAsia="zh-CN"/>
        </w:rPr>
      </w:pPr>
    </w:p>
    <w:p w14:paraId="34C4351F">
      <w:pPr>
        <w:pStyle w:val="9"/>
        <w:spacing w:line="266" w:lineRule="auto"/>
        <w:rPr>
          <w:rFonts w:hint="eastAsia" w:asciiTheme="minorEastAsia" w:hAnsiTheme="minorEastAsia" w:eastAsiaTheme="minorEastAsia" w:cstheme="minorEastAsia"/>
          <w:color w:val="auto"/>
          <w:sz w:val="24"/>
          <w:szCs w:val="24"/>
          <w:highlight w:val="none"/>
          <w:lang w:eastAsia="zh-CN"/>
        </w:rPr>
      </w:pPr>
    </w:p>
    <w:p w14:paraId="074500F8">
      <w:pPr>
        <w:spacing w:before="76" w:line="227" w:lineRule="auto"/>
        <w:ind w:left="83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5"/>
          <w:sz w:val="24"/>
          <w:szCs w:val="24"/>
          <w:highlight w:val="none"/>
          <w:lang w:eastAsia="zh-CN"/>
        </w:rPr>
        <w:t>谈判供应商名称（电子公章）：</w:t>
      </w:r>
    </w:p>
    <w:p w14:paraId="4C0D2360">
      <w:pPr>
        <w:spacing w:before="219" w:line="500" w:lineRule="exact"/>
        <w:ind w:left="83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6"/>
          <w:position w:val="20"/>
          <w:sz w:val="24"/>
          <w:szCs w:val="24"/>
          <w:highlight w:val="none"/>
          <w:lang w:eastAsia="zh-CN"/>
        </w:rPr>
        <w:t>谈判供应商法定代表人（电子签名或盖章</w:t>
      </w:r>
      <w:r>
        <w:rPr>
          <w:rFonts w:hint="eastAsia" w:asciiTheme="minorEastAsia" w:hAnsiTheme="minorEastAsia" w:eastAsiaTheme="minorEastAsia" w:cstheme="minorEastAsia"/>
          <w:color w:val="auto"/>
          <w:spacing w:val="11"/>
          <w:position w:val="20"/>
          <w:sz w:val="24"/>
          <w:szCs w:val="24"/>
          <w:highlight w:val="none"/>
          <w:lang w:eastAsia="zh-CN"/>
        </w:rPr>
        <w:t>）：</w:t>
      </w:r>
    </w:p>
    <w:p w14:paraId="49BB7C90">
      <w:pPr>
        <w:spacing w:line="227" w:lineRule="auto"/>
        <w:ind w:firstLine="970" w:firstLineChars="5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23"/>
          <w:sz w:val="24"/>
          <w:szCs w:val="24"/>
          <w:highlight w:val="none"/>
          <w:lang w:eastAsia="zh-CN"/>
        </w:rPr>
        <w:t>日期：</w:t>
      </w:r>
      <w:r>
        <w:rPr>
          <w:rFonts w:hint="eastAsia" w:asciiTheme="minorEastAsia" w:hAnsiTheme="minorEastAsia" w:eastAsiaTheme="minorEastAsia" w:cstheme="minorEastAsia"/>
          <w:color w:val="auto"/>
          <w:spacing w:val="5"/>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年</w:t>
      </w:r>
      <w:r>
        <w:rPr>
          <w:rFonts w:hint="eastAsia" w:asciiTheme="minorEastAsia" w:hAnsiTheme="minorEastAsia" w:eastAsiaTheme="minorEastAsia" w:cstheme="minorEastAsia"/>
          <w:color w:val="auto"/>
          <w:spacing w:val="21"/>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月</w:t>
      </w:r>
      <w:r>
        <w:rPr>
          <w:rFonts w:hint="eastAsia" w:asciiTheme="minorEastAsia" w:hAnsiTheme="minorEastAsia" w:eastAsiaTheme="minorEastAsia" w:cstheme="minorEastAsia"/>
          <w:color w:val="auto"/>
          <w:spacing w:val="55"/>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日</w:t>
      </w:r>
    </w:p>
    <w:p w14:paraId="7383A05F">
      <w:pPr>
        <w:spacing w:line="227" w:lineRule="auto"/>
        <w:rPr>
          <w:rFonts w:hint="eastAsia" w:asciiTheme="minorEastAsia" w:hAnsiTheme="minorEastAsia" w:eastAsiaTheme="minorEastAsia" w:cstheme="minorEastAsia"/>
          <w:color w:val="auto"/>
          <w:sz w:val="24"/>
          <w:szCs w:val="24"/>
          <w:highlight w:val="none"/>
          <w:lang w:eastAsia="zh-CN"/>
        </w:rPr>
        <w:sectPr>
          <w:footerReference r:id="rId22" w:type="default"/>
          <w:pgSz w:w="11906" w:h="16838"/>
          <w:pgMar w:top="1440" w:right="1800" w:bottom="1440" w:left="1800" w:header="0" w:footer="812" w:gutter="0"/>
          <w:pgNumType w:fmt="decimal"/>
          <w:cols w:space="720" w:num="1"/>
        </w:sectPr>
      </w:pPr>
    </w:p>
    <w:p w14:paraId="67A26C29">
      <w:pPr>
        <w:pStyle w:val="9"/>
        <w:spacing w:line="243" w:lineRule="auto"/>
        <w:rPr>
          <w:color w:val="auto"/>
          <w:highlight w:val="none"/>
          <w:lang w:eastAsia="zh-CN"/>
        </w:rPr>
      </w:pPr>
    </w:p>
    <w:p w14:paraId="655B9DA5">
      <w:pPr>
        <w:pStyle w:val="9"/>
        <w:spacing w:line="244" w:lineRule="auto"/>
        <w:rPr>
          <w:color w:val="auto"/>
          <w:highlight w:val="none"/>
          <w:lang w:eastAsia="zh-CN"/>
        </w:rPr>
      </w:pPr>
    </w:p>
    <w:p w14:paraId="0A8C35A8">
      <w:pPr>
        <w:spacing w:before="91" w:line="219"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1"/>
          <w:sz w:val="24"/>
          <w:szCs w:val="24"/>
          <w:highlight w:val="none"/>
          <w:lang w:eastAsia="zh-CN"/>
        </w:rPr>
        <w:t>附：</w:t>
      </w:r>
      <w:r>
        <w:rPr>
          <w:rFonts w:hint="eastAsia" w:asciiTheme="minorEastAsia" w:hAnsiTheme="minorEastAsia" w:eastAsiaTheme="minorEastAsia" w:cstheme="minorEastAsia"/>
          <w:color w:val="auto"/>
          <w:spacing w:val="-39"/>
          <w:sz w:val="24"/>
          <w:szCs w:val="24"/>
          <w:highlight w:val="none"/>
          <w:lang w:eastAsia="zh-CN"/>
        </w:rPr>
        <w:t xml:space="preserve"> </w:t>
      </w:r>
      <w:r>
        <w:rPr>
          <w:rFonts w:hint="eastAsia" w:asciiTheme="minorEastAsia" w:hAnsiTheme="minorEastAsia" w:eastAsiaTheme="minorEastAsia" w:cstheme="minorEastAsia"/>
          <w:color w:val="auto"/>
          <w:spacing w:val="-11"/>
          <w:sz w:val="24"/>
          <w:szCs w:val="24"/>
          <w:highlight w:val="none"/>
          <w:lang w:eastAsia="zh-CN"/>
        </w:rPr>
        <w:t>法定代表人身份证明书</w:t>
      </w:r>
    </w:p>
    <w:p w14:paraId="2CD5D20B">
      <w:pPr>
        <w:pStyle w:val="9"/>
        <w:spacing w:line="268" w:lineRule="auto"/>
        <w:rPr>
          <w:rFonts w:hint="eastAsia" w:asciiTheme="minorEastAsia" w:hAnsiTheme="minorEastAsia" w:eastAsiaTheme="minorEastAsia" w:cstheme="minorEastAsia"/>
          <w:color w:val="auto"/>
          <w:sz w:val="24"/>
          <w:szCs w:val="24"/>
          <w:highlight w:val="none"/>
          <w:lang w:eastAsia="zh-CN"/>
        </w:rPr>
      </w:pPr>
    </w:p>
    <w:p w14:paraId="66243C24">
      <w:pPr>
        <w:pStyle w:val="9"/>
        <w:spacing w:line="268" w:lineRule="auto"/>
        <w:rPr>
          <w:rFonts w:hint="eastAsia" w:asciiTheme="minorEastAsia" w:hAnsiTheme="minorEastAsia" w:eastAsiaTheme="minorEastAsia" w:cstheme="minorEastAsia"/>
          <w:color w:val="auto"/>
          <w:sz w:val="24"/>
          <w:szCs w:val="24"/>
          <w:highlight w:val="none"/>
          <w:lang w:eastAsia="zh-CN"/>
        </w:rPr>
      </w:pPr>
    </w:p>
    <w:p w14:paraId="15B587B1">
      <w:pPr>
        <w:spacing w:before="75" w:line="465" w:lineRule="exact"/>
        <w:ind w:left="458"/>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4"/>
          <w:position w:val="17"/>
          <w:sz w:val="24"/>
          <w:szCs w:val="24"/>
          <w:highlight w:val="none"/>
          <w:lang w:eastAsia="zh-CN"/>
        </w:rPr>
        <w:t>单位名称：</w:t>
      </w:r>
    </w:p>
    <w:p w14:paraId="3A29744B">
      <w:pPr>
        <w:spacing w:line="227" w:lineRule="auto"/>
        <w:ind w:left="458"/>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4"/>
          <w:sz w:val="24"/>
          <w:szCs w:val="24"/>
          <w:highlight w:val="none"/>
          <w:lang w:eastAsia="zh-CN"/>
        </w:rPr>
        <w:t>单位类型：</w:t>
      </w:r>
    </w:p>
    <w:p w14:paraId="762C7EB2">
      <w:pPr>
        <w:spacing w:before="182" w:line="228" w:lineRule="auto"/>
        <w:ind w:left="455"/>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8"/>
          <w:sz w:val="24"/>
          <w:szCs w:val="24"/>
          <w:highlight w:val="none"/>
          <w:lang w:eastAsia="zh-CN"/>
        </w:rPr>
        <w:t>住</w:t>
      </w:r>
      <w:r>
        <w:rPr>
          <w:rFonts w:hint="eastAsia" w:asciiTheme="minorEastAsia" w:hAnsiTheme="minorEastAsia" w:eastAsiaTheme="minorEastAsia" w:cstheme="minorEastAsia"/>
          <w:color w:val="auto"/>
          <w:spacing w:val="7"/>
          <w:sz w:val="24"/>
          <w:szCs w:val="24"/>
          <w:highlight w:val="none"/>
          <w:lang w:eastAsia="zh-CN"/>
        </w:rPr>
        <w:t xml:space="preserve">    </w:t>
      </w:r>
      <w:r>
        <w:rPr>
          <w:rFonts w:hint="eastAsia" w:asciiTheme="minorEastAsia" w:hAnsiTheme="minorEastAsia" w:eastAsiaTheme="minorEastAsia" w:cstheme="minorEastAsia"/>
          <w:color w:val="auto"/>
          <w:spacing w:val="-8"/>
          <w:sz w:val="24"/>
          <w:szCs w:val="24"/>
          <w:highlight w:val="none"/>
          <w:lang w:eastAsia="zh-CN"/>
        </w:rPr>
        <w:t>所：</w:t>
      </w:r>
    </w:p>
    <w:p w14:paraId="78F67960">
      <w:pPr>
        <w:spacing w:before="184" w:line="227" w:lineRule="auto"/>
        <w:ind w:left="458"/>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8"/>
          <w:sz w:val="24"/>
          <w:szCs w:val="24"/>
          <w:highlight w:val="none"/>
          <w:lang w:eastAsia="zh-CN"/>
        </w:rPr>
        <w:t>成立日期：</w:t>
      </w:r>
      <w:r>
        <w:rPr>
          <w:rFonts w:hint="eastAsia" w:asciiTheme="minorEastAsia" w:hAnsiTheme="minorEastAsia" w:eastAsiaTheme="minorEastAsia" w:cstheme="minorEastAsia"/>
          <w:color w:val="auto"/>
          <w:spacing w:val="38"/>
          <w:sz w:val="24"/>
          <w:szCs w:val="24"/>
          <w:highlight w:val="none"/>
          <w:lang w:eastAsia="zh-CN"/>
        </w:rPr>
        <w:t xml:space="preserve">  </w:t>
      </w:r>
      <w:r>
        <w:rPr>
          <w:rFonts w:hint="eastAsia" w:asciiTheme="minorEastAsia" w:hAnsiTheme="minorEastAsia" w:eastAsiaTheme="minorEastAsia" w:cstheme="minorEastAsia"/>
          <w:color w:val="auto"/>
          <w:spacing w:val="-18"/>
          <w:sz w:val="24"/>
          <w:szCs w:val="24"/>
          <w:highlight w:val="none"/>
          <w:lang w:eastAsia="zh-CN"/>
        </w:rPr>
        <w:t>年</w:t>
      </w:r>
      <w:r>
        <w:rPr>
          <w:rFonts w:hint="eastAsia" w:asciiTheme="minorEastAsia" w:hAnsiTheme="minorEastAsia" w:eastAsiaTheme="minorEastAsia" w:cstheme="minorEastAsia"/>
          <w:color w:val="auto"/>
          <w:spacing w:val="20"/>
          <w:sz w:val="24"/>
          <w:szCs w:val="24"/>
          <w:highlight w:val="none"/>
          <w:lang w:eastAsia="zh-CN"/>
        </w:rPr>
        <w:t xml:space="preserve"> </w:t>
      </w:r>
      <w:r>
        <w:rPr>
          <w:rFonts w:hint="eastAsia" w:asciiTheme="minorEastAsia" w:hAnsiTheme="minorEastAsia" w:eastAsiaTheme="minorEastAsia" w:cstheme="minorEastAsia"/>
          <w:color w:val="auto"/>
          <w:spacing w:val="-18"/>
          <w:sz w:val="24"/>
          <w:szCs w:val="24"/>
          <w:highlight w:val="none"/>
          <w:lang w:eastAsia="zh-CN"/>
        </w:rPr>
        <w:t>月</w:t>
      </w:r>
      <w:r>
        <w:rPr>
          <w:rFonts w:hint="eastAsia" w:asciiTheme="minorEastAsia" w:hAnsiTheme="minorEastAsia" w:eastAsiaTheme="minorEastAsia" w:cstheme="minorEastAsia"/>
          <w:color w:val="auto"/>
          <w:spacing w:val="56"/>
          <w:sz w:val="24"/>
          <w:szCs w:val="24"/>
          <w:highlight w:val="none"/>
          <w:lang w:eastAsia="zh-CN"/>
        </w:rPr>
        <w:t xml:space="preserve"> </w:t>
      </w:r>
      <w:r>
        <w:rPr>
          <w:rFonts w:hint="eastAsia" w:asciiTheme="minorEastAsia" w:hAnsiTheme="minorEastAsia" w:eastAsiaTheme="minorEastAsia" w:cstheme="minorEastAsia"/>
          <w:color w:val="auto"/>
          <w:spacing w:val="-18"/>
          <w:sz w:val="24"/>
          <w:szCs w:val="24"/>
          <w:highlight w:val="none"/>
          <w:lang w:eastAsia="zh-CN"/>
        </w:rPr>
        <w:t>日</w:t>
      </w:r>
    </w:p>
    <w:p w14:paraId="72BD6C95">
      <w:pPr>
        <w:spacing w:before="185" w:line="228" w:lineRule="auto"/>
        <w:ind w:left="447"/>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5"/>
          <w:sz w:val="24"/>
          <w:szCs w:val="24"/>
          <w:highlight w:val="none"/>
          <w:lang w:eastAsia="zh-CN"/>
        </w:rPr>
        <w:t>营业期限：</w:t>
      </w:r>
    </w:p>
    <w:p w14:paraId="5432AE14">
      <w:pPr>
        <w:pStyle w:val="9"/>
        <w:spacing w:line="285" w:lineRule="auto"/>
        <w:rPr>
          <w:rFonts w:hint="eastAsia" w:asciiTheme="minorEastAsia" w:hAnsiTheme="minorEastAsia" w:eastAsiaTheme="minorEastAsia" w:cstheme="minorEastAsia"/>
          <w:color w:val="auto"/>
          <w:sz w:val="24"/>
          <w:szCs w:val="24"/>
          <w:highlight w:val="none"/>
          <w:lang w:eastAsia="zh-CN"/>
        </w:rPr>
      </w:pPr>
    </w:p>
    <w:p w14:paraId="07E4451E">
      <w:pPr>
        <w:pStyle w:val="9"/>
        <w:spacing w:line="286" w:lineRule="auto"/>
        <w:rPr>
          <w:rFonts w:hint="eastAsia" w:asciiTheme="minorEastAsia" w:hAnsiTheme="minorEastAsia" w:eastAsiaTheme="minorEastAsia" w:cstheme="minorEastAsia"/>
          <w:color w:val="auto"/>
          <w:sz w:val="24"/>
          <w:szCs w:val="24"/>
          <w:highlight w:val="none"/>
          <w:lang w:eastAsia="zh-CN"/>
        </w:rPr>
      </w:pPr>
    </w:p>
    <w:p w14:paraId="28FD37CF">
      <w:pPr>
        <w:spacing w:before="76" w:line="227" w:lineRule="auto"/>
        <w:ind w:left="456"/>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3"/>
          <w:sz w:val="24"/>
          <w:szCs w:val="24"/>
          <w:highlight w:val="none"/>
          <w:lang w:eastAsia="zh-CN"/>
        </w:rPr>
        <w:t>姓</w:t>
      </w:r>
      <w:r>
        <w:rPr>
          <w:rFonts w:hint="eastAsia" w:asciiTheme="minorEastAsia" w:hAnsiTheme="minorEastAsia" w:eastAsiaTheme="minorEastAsia" w:cstheme="minorEastAsia"/>
          <w:color w:val="auto"/>
          <w:spacing w:val="8"/>
          <w:sz w:val="24"/>
          <w:szCs w:val="24"/>
          <w:highlight w:val="none"/>
          <w:lang w:eastAsia="zh-CN"/>
        </w:rPr>
        <w:t xml:space="preserve">    </w:t>
      </w:r>
      <w:r>
        <w:rPr>
          <w:rFonts w:hint="eastAsia" w:asciiTheme="minorEastAsia" w:hAnsiTheme="minorEastAsia" w:eastAsiaTheme="minorEastAsia" w:cstheme="minorEastAsia"/>
          <w:color w:val="auto"/>
          <w:spacing w:val="-3"/>
          <w:sz w:val="24"/>
          <w:szCs w:val="24"/>
          <w:highlight w:val="none"/>
          <w:lang w:eastAsia="zh-CN"/>
        </w:rPr>
        <w:t>名：性别：</w:t>
      </w:r>
    </w:p>
    <w:p w14:paraId="4E56CC90">
      <w:pPr>
        <w:spacing w:before="182" w:line="227" w:lineRule="auto"/>
        <w:ind w:left="46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14"/>
          <w:sz w:val="24"/>
          <w:szCs w:val="24"/>
          <w:highlight w:val="none"/>
          <w:lang w:eastAsia="zh-CN"/>
        </w:rPr>
        <w:t>系</w:t>
      </w:r>
      <w:r>
        <w:rPr>
          <w:rFonts w:hint="eastAsia" w:asciiTheme="minorEastAsia" w:hAnsiTheme="minorEastAsia" w:eastAsiaTheme="minorEastAsia" w:cstheme="minorEastAsia"/>
          <w:color w:val="auto"/>
          <w:spacing w:val="9"/>
          <w:sz w:val="24"/>
          <w:szCs w:val="24"/>
          <w:highlight w:val="none"/>
          <w:u w:val="single"/>
          <w:lang w:eastAsia="zh-CN"/>
        </w:rPr>
        <w:t xml:space="preserve">     </w:t>
      </w:r>
      <w:r>
        <w:rPr>
          <w:rFonts w:hint="eastAsia" w:asciiTheme="minorEastAsia" w:hAnsiTheme="minorEastAsia" w:eastAsiaTheme="minorEastAsia" w:cstheme="minorEastAsia"/>
          <w:color w:val="auto"/>
          <w:spacing w:val="-14"/>
          <w:sz w:val="24"/>
          <w:szCs w:val="24"/>
          <w:highlight w:val="none"/>
          <w:u w:val="single"/>
          <w:lang w:eastAsia="zh-CN"/>
        </w:rPr>
        <w:t>（供应商名称）</w:t>
      </w:r>
      <w:r>
        <w:rPr>
          <w:rFonts w:hint="eastAsia" w:asciiTheme="minorEastAsia" w:hAnsiTheme="minorEastAsia" w:eastAsiaTheme="minorEastAsia" w:cstheme="minorEastAsia"/>
          <w:color w:val="auto"/>
          <w:spacing w:val="8"/>
          <w:sz w:val="24"/>
          <w:szCs w:val="24"/>
          <w:highlight w:val="none"/>
          <w:u w:val="single"/>
          <w:lang w:eastAsia="zh-CN"/>
        </w:rPr>
        <w:t xml:space="preserve">    </w:t>
      </w:r>
      <w:r>
        <w:rPr>
          <w:rFonts w:hint="eastAsia" w:asciiTheme="minorEastAsia" w:hAnsiTheme="minorEastAsia" w:eastAsiaTheme="minorEastAsia" w:cstheme="minorEastAsia"/>
          <w:color w:val="auto"/>
          <w:spacing w:val="-83"/>
          <w:sz w:val="24"/>
          <w:szCs w:val="24"/>
          <w:highlight w:val="none"/>
          <w:lang w:eastAsia="zh-CN"/>
        </w:rPr>
        <w:t xml:space="preserve"> </w:t>
      </w:r>
      <w:r>
        <w:rPr>
          <w:rFonts w:hint="eastAsia" w:asciiTheme="minorEastAsia" w:hAnsiTheme="minorEastAsia" w:eastAsiaTheme="minorEastAsia" w:cstheme="minorEastAsia"/>
          <w:color w:val="auto"/>
          <w:spacing w:val="-14"/>
          <w:sz w:val="24"/>
          <w:szCs w:val="24"/>
          <w:highlight w:val="none"/>
          <w:lang w:eastAsia="zh-CN"/>
        </w:rPr>
        <w:t>的法定代表人。</w:t>
      </w:r>
    </w:p>
    <w:p w14:paraId="4197B0CA">
      <w:pPr>
        <w:pStyle w:val="9"/>
        <w:spacing w:line="287" w:lineRule="auto"/>
        <w:rPr>
          <w:rFonts w:hint="eastAsia" w:asciiTheme="minorEastAsia" w:hAnsiTheme="minorEastAsia" w:eastAsiaTheme="minorEastAsia" w:cstheme="minorEastAsia"/>
          <w:color w:val="auto"/>
          <w:sz w:val="24"/>
          <w:szCs w:val="24"/>
          <w:highlight w:val="none"/>
          <w:lang w:eastAsia="zh-CN"/>
        </w:rPr>
      </w:pPr>
    </w:p>
    <w:p w14:paraId="1AE7A752">
      <w:pPr>
        <w:pStyle w:val="9"/>
        <w:spacing w:line="288" w:lineRule="auto"/>
        <w:rPr>
          <w:rFonts w:hint="eastAsia" w:asciiTheme="minorEastAsia" w:hAnsiTheme="minorEastAsia" w:eastAsiaTheme="minorEastAsia" w:cstheme="minorEastAsia"/>
          <w:color w:val="auto"/>
          <w:sz w:val="24"/>
          <w:szCs w:val="24"/>
          <w:highlight w:val="none"/>
          <w:lang w:eastAsia="zh-CN"/>
        </w:rPr>
      </w:pPr>
    </w:p>
    <w:p w14:paraId="49FF01A4">
      <w:pPr>
        <w:spacing w:before="75" w:line="227" w:lineRule="auto"/>
        <w:ind w:left="456"/>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特此证明。</w:t>
      </w:r>
    </w:p>
    <w:p w14:paraId="2EBB0CB7">
      <w:pPr>
        <w:pStyle w:val="9"/>
        <w:spacing w:line="249" w:lineRule="auto"/>
        <w:rPr>
          <w:rFonts w:hint="eastAsia" w:asciiTheme="minorEastAsia" w:hAnsiTheme="minorEastAsia" w:eastAsiaTheme="minorEastAsia" w:cstheme="minorEastAsia"/>
          <w:color w:val="auto"/>
          <w:sz w:val="24"/>
          <w:szCs w:val="24"/>
          <w:highlight w:val="none"/>
          <w:lang w:eastAsia="zh-CN"/>
        </w:rPr>
      </w:pPr>
    </w:p>
    <w:p w14:paraId="5CD7F004">
      <w:pPr>
        <w:pStyle w:val="9"/>
        <w:spacing w:line="249" w:lineRule="auto"/>
        <w:rPr>
          <w:rFonts w:hint="eastAsia" w:asciiTheme="minorEastAsia" w:hAnsiTheme="minorEastAsia" w:eastAsiaTheme="minorEastAsia" w:cstheme="minorEastAsia"/>
          <w:color w:val="auto"/>
          <w:sz w:val="24"/>
          <w:szCs w:val="24"/>
          <w:highlight w:val="none"/>
          <w:lang w:eastAsia="zh-CN"/>
        </w:rPr>
      </w:pPr>
    </w:p>
    <w:p w14:paraId="794DAB93">
      <w:pPr>
        <w:pStyle w:val="9"/>
        <w:spacing w:line="249" w:lineRule="auto"/>
        <w:rPr>
          <w:rFonts w:hint="eastAsia" w:asciiTheme="minorEastAsia" w:hAnsiTheme="minorEastAsia" w:eastAsiaTheme="minorEastAsia" w:cstheme="minorEastAsia"/>
          <w:color w:val="auto"/>
          <w:sz w:val="24"/>
          <w:szCs w:val="24"/>
          <w:highlight w:val="none"/>
          <w:lang w:eastAsia="zh-CN"/>
        </w:rPr>
      </w:pPr>
    </w:p>
    <w:p w14:paraId="29ADEE7C">
      <w:pPr>
        <w:pStyle w:val="9"/>
        <w:spacing w:line="250" w:lineRule="auto"/>
        <w:rPr>
          <w:rFonts w:hint="eastAsia" w:asciiTheme="minorEastAsia" w:hAnsiTheme="minorEastAsia" w:eastAsiaTheme="minorEastAsia" w:cstheme="minorEastAsia"/>
          <w:color w:val="auto"/>
          <w:sz w:val="24"/>
          <w:szCs w:val="24"/>
          <w:highlight w:val="none"/>
          <w:lang w:eastAsia="zh-CN"/>
        </w:rPr>
      </w:pPr>
    </w:p>
    <w:p w14:paraId="1E1D4EFA">
      <w:pPr>
        <w:pStyle w:val="9"/>
        <w:spacing w:line="250" w:lineRule="auto"/>
        <w:rPr>
          <w:rFonts w:hint="eastAsia" w:asciiTheme="minorEastAsia" w:hAnsiTheme="minorEastAsia" w:eastAsiaTheme="minorEastAsia" w:cstheme="minorEastAsia"/>
          <w:color w:val="auto"/>
          <w:sz w:val="24"/>
          <w:szCs w:val="24"/>
          <w:highlight w:val="none"/>
          <w:lang w:eastAsia="zh-CN"/>
        </w:rPr>
      </w:pPr>
    </w:p>
    <w:p w14:paraId="0CADBCA0">
      <w:pPr>
        <w:pStyle w:val="9"/>
        <w:spacing w:line="250" w:lineRule="auto"/>
        <w:rPr>
          <w:rFonts w:hint="eastAsia" w:asciiTheme="minorEastAsia" w:hAnsiTheme="minorEastAsia" w:eastAsiaTheme="minorEastAsia" w:cstheme="minorEastAsia"/>
          <w:color w:val="auto"/>
          <w:sz w:val="24"/>
          <w:szCs w:val="24"/>
          <w:highlight w:val="none"/>
          <w:lang w:eastAsia="zh-CN"/>
        </w:rPr>
      </w:pPr>
    </w:p>
    <w:p w14:paraId="4CE1AE29">
      <w:pPr>
        <w:spacing w:before="75" w:line="227" w:lineRule="auto"/>
        <w:ind w:left="2027"/>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7"/>
          <w:sz w:val="24"/>
          <w:szCs w:val="24"/>
          <w:highlight w:val="none"/>
          <w:lang w:eastAsia="zh-CN"/>
        </w:rPr>
        <w:t>（附法定代表人身份证正反两面扫描件）</w:t>
      </w:r>
    </w:p>
    <w:p w14:paraId="10B5CC3D">
      <w:pPr>
        <w:pStyle w:val="9"/>
        <w:spacing w:line="276" w:lineRule="auto"/>
        <w:rPr>
          <w:rFonts w:hint="eastAsia" w:asciiTheme="minorEastAsia" w:hAnsiTheme="minorEastAsia" w:eastAsiaTheme="minorEastAsia" w:cstheme="minorEastAsia"/>
          <w:color w:val="auto"/>
          <w:sz w:val="24"/>
          <w:szCs w:val="24"/>
          <w:highlight w:val="none"/>
          <w:lang w:eastAsia="zh-CN"/>
        </w:rPr>
      </w:pPr>
    </w:p>
    <w:p w14:paraId="2ADD9A83">
      <w:pPr>
        <w:pStyle w:val="9"/>
        <w:spacing w:line="276" w:lineRule="auto"/>
        <w:rPr>
          <w:rFonts w:hint="eastAsia" w:asciiTheme="minorEastAsia" w:hAnsiTheme="minorEastAsia" w:eastAsiaTheme="minorEastAsia" w:cstheme="minorEastAsia"/>
          <w:color w:val="auto"/>
          <w:sz w:val="24"/>
          <w:szCs w:val="24"/>
          <w:highlight w:val="none"/>
          <w:lang w:eastAsia="zh-CN"/>
        </w:rPr>
      </w:pPr>
    </w:p>
    <w:p w14:paraId="2732356E">
      <w:pPr>
        <w:pStyle w:val="9"/>
        <w:spacing w:line="277" w:lineRule="auto"/>
        <w:rPr>
          <w:rFonts w:hint="eastAsia" w:asciiTheme="minorEastAsia" w:hAnsiTheme="minorEastAsia" w:eastAsiaTheme="minorEastAsia" w:cstheme="minorEastAsia"/>
          <w:color w:val="auto"/>
          <w:sz w:val="24"/>
          <w:szCs w:val="24"/>
          <w:highlight w:val="none"/>
          <w:lang w:eastAsia="zh-CN"/>
        </w:rPr>
      </w:pPr>
    </w:p>
    <w:p w14:paraId="14A27B0D">
      <w:pPr>
        <w:pStyle w:val="9"/>
        <w:spacing w:line="277" w:lineRule="auto"/>
        <w:rPr>
          <w:rFonts w:hint="eastAsia" w:asciiTheme="minorEastAsia" w:hAnsiTheme="minorEastAsia" w:eastAsiaTheme="minorEastAsia" w:cstheme="minorEastAsia"/>
          <w:color w:val="auto"/>
          <w:sz w:val="24"/>
          <w:szCs w:val="24"/>
          <w:highlight w:val="none"/>
          <w:lang w:eastAsia="zh-CN"/>
        </w:rPr>
      </w:pPr>
    </w:p>
    <w:p w14:paraId="2D80A81C">
      <w:pPr>
        <w:pStyle w:val="9"/>
        <w:spacing w:line="277" w:lineRule="auto"/>
        <w:rPr>
          <w:rFonts w:hint="eastAsia" w:asciiTheme="minorEastAsia" w:hAnsiTheme="minorEastAsia" w:eastAsiaTheme="minorEastAsia" w:cstheme="minorEastAsia"/>
          <w:color w:val="auto"/>
          <w:sz w:val="24"/>
          <w:szCs w:val="24"/>
          <w:highlight w:val="none"/>
          <w:lang w:eastAsia="zh-CN"/>
        </w:rPr>
      </w:pPr>
    </w:p>
    <w:p w14:paraId="5AF7E9BE">
      <w:pPr>
        <w:pStyle w:val="9"/>
        <w:spacing w:line="277" w:lineRule="auto"/>
        <w:rPr>
          <w:rFonts w:hint="eastAsia" w:asciiTheme="minorEastAsia" w:hAnsiTheme="minorEastAsia" w:eastAsiaTheme="minorEastAsia" w:cstheme="minorEastAsia"/>
          <w:color w:val="auto"/>
          <w:sz w:val="24"/>
          <w:szCs w:val="24"/>
          <w:highlight w:val="none"/>
          <w:lang w:eastAsia="zh-CN"/>
        </w:rPr>
      </w:pPr>
    </w:p>
    <w:p w14:paraId="67A50BE0">
      <w:pPr>
        <w:spacing w:before="75" w:line="341" w:lineRule="exact"/>
        <w:ind w:left="455"/>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5"/>
          <w:position w:val="7"/>
          <w:sz w:val="24"/>
          <w:szCs w:val="24"/>
          <w:highlight w:val="none"/>
          <w:lang w:eastAsia="zh-CN"/>
        </w:rPr>
        <w:t>谈判供应商名称（电子公章）：</w:t>
      </w:r>
    </w:p>
    <w:p w14:paraId="011BD1A7">
      <w:pPr>
        <w:spacing w:before="1" w:line="227" w:lineRule="auto"/>
        <w:ind w:left="497"/>
        <w:rPr>
          <w:rFonts w:hint="eastAsia" w:asciiTheme="minorEastAsia" w:hAnsiTheme="minorEastAsia" w:eastAsiaTheme="minorEastAsia" w:cstheme="minorEastAsia"/>
          <w:color w:val="auto"/>
          <w:sz w:val="24"/>
          <w:szCs w:val="24"/>
          <w:highlight w:val="none"/>
          <w:lang w:eastAsia="zh-CN"/>
        </w:rPr>
        <w:sectPr>
          <w:footerReference r:id="rId23" w:type="default"/>
          <w:pgSz w:w="11906" w:h="16838"/>
          <w:pgMar w:top="1440" w:right="1800" w:bottom="1440" w:left="1800" w:header="0" w:footer="812" w:gutter="0"/>
          <w:pgNumType w:fmt="decimal"/>
          <w:cols w:space="720" w:num="1"/>
        </w:sectPr>
      </w:pPr>
      <w:r>
        <w:rPr>
          <w:rFonts w:hint="eastAsia" w:asciiTheme="minorEastAsia" w:hAnsiTheme="minorEastAsia" w:eastAsiaTheme="minorEastAsia" w:cstheme="minorEastAsia"/>
          <w:color w:val="auto"/>
          <w:spacing w:val="-18"/>
          <w:sz w:val="24"/>
          <w:szCs w:val="24"/>
          <w:highlight w:val="none"/>
          <w:lang w:eastAsia="zh-CN"/>
        </w:rPr>
        <w:t>日</w:t>
      </w:r>
      <w:r>
        <w:rPr>
          <w:rFonts w:hint="eastAsia" w:asciiTheme="minorEastAsia" w:hAnsiTheme="minorEastAsia" w:eastAsiaTheme="minorEastAsia" w:cstheme="minorEastAsia"/>
          <w:color w:val="auto"/>
          <w:spacing w:val="10"/>
          <w:sz w:val="24"/>
          <w:szCs w:val="24"/>
          <w:highlight w:val="none"/>
          <w:lang w:eastAsia="zh-CN"/>
        </w:rPr>
        <w:t xml:space="preserve">   </w:t>
      </w:r>
      <w:r>
        <w:rPr>
          <w:rFonts w:hint="eastAsia" w:asciiTheme="minorEastAsia" w:hAnsiTheme="minorEastAsia" w:eastAsiaTheme="minorEastAsia" w:cstheme="minorEastAsia"/>
          <w:color w:val="auto"/>
          <w:spacing w:val="-18"/>
          <w:sz w:val="24"/>
          <w:szCs w:val="24"/>
          <w:highlight w:val="none"/>
          <w:lang w:eastAsia="zh-CN"/>
        </w:rPr>
        <w:t>期：  年</w:t>
      </w:r>
      <w:r>
        <w:rPr>
          <w:rFonts w:hint="eastAsia" w:asciiTheme="minorEastAsia" w:hAnsiTheme="minorEastAsia" w:eastAsiaTheme="minorEastAsia" w:cstheme="minorEastAsia"/>
          <w:color w:val="auto"/>
          <w:spacing w:val="22"/>
          <w:sz w:val="24"/>
          <w:szCs w:val="24"/>
          <w:highlight w:val="none"/>
          <w:lang w:eastAsia="zh-CN"/>
        </w:rPr>
        <w:t xml:space="preserve"> </w:t>
      </w:r>
      <w:r>
        <w:rPr>
          <w:rFonts w:hint="eastAsia" w:asciiTheme="minorEastAsia" w:hAnsiTheme="minorEastAsia" w:eastAsiaTheme="minorEastAsia" w:cstheme="minorEastAsia"/>
          <w:color w:val="auto"/>
          <w:spacing w:val="-18"/>
          <w:sz w:val="24"/>
          <w:szCs w:val="24"/>
          <w:highlight w:val="none"/>
          <w:lang w:eastAsia="zh-CN"/>
        </w:rPr>
        <w:t>月</w:t>
      </w:r>
      <w:r>
        <w:rPr>
          <w:rFonts w:hint="eastAsia" w:asciiTheme="minorEastAsia" w:hAnsiTheme="minorEastAsia" w:eastAsiaTheme="minorEastAsia" w:cstheme="minorEastAsia"/>
          <w:color w:val="auto"/>
          <w:spacing w:val="55"/>
          <w:sz w:val="24"/>
          <w:szCs w:val="24"/>
          <w:highlight w:val="none"/>
          <w:lang w:eastAsia="zh-CN"/>
        </w:rPr>
        <w:t xml:space="preserve"> </w:t>
      </w:r>
      <w:r>
        <w:rPr>
          <w:rFonts w:hint="eastAsia" w:asciiTheme="minorEastAsia" w:hAnsiTheme="minorEastAsia" w:eastAsiaTheme="minorEastAsia" w:cstheme="minorEastAsia"/>
          <w:color w:val="auto"/>
          <w:spacing w:val="-18"/>
          <w:sz w:val="24"/>
          <w:szCs w:val="24"/>
          <w:highlight w:val="none"/>
          <w:lang w:eastAsia="zh-CN"/>
        </w:rPr>
        <w:t>日</w:t>
      </w:r>
    </w:p>
    <w:p w14:paraId="5A58D4C7">
      <w:pPr>
        <w:spacing w:before="101" w:line="224" w:lineRule="auto"/>
        <w:rPr>
          <w:rFonts w:hint="eastAsia" w:ascii="宋体" w:hAnsi="宋体" w:eastAsia="宋体" w:cs="宋体"/>
          <w:color w:val="auto"/>
          <w:spacing w:val="10"/>
          <w:sz w:val="31"/>
          <w:szCs w:val="31"/>
          <w:highlight w:val="none"/>
          <w:lang w:eastAsia="zh-CN"/>
          <w14:textOutline w14:w="5829" w14:cap="flat" w14:cmpd="sng" w14:algn="ctr">
            <w14:solidFill>
              <w14:srgbClr w14:val="000000"/>
            </w14:solidFill>
            <w14:prstDash w14:val="solid"/>
            <w14:miter w14:val="0"/>
          </w14:textOutline>
        </w:rPr>
      </w:pPr>
    </w:p>
    <w:p w14:paraId="17CEC4CA">
      <w:pPr>
        <w:spacing w:before="101" w:line="224" w:lineRule="auto"/>
        <w:outlineLvl w:val="2"/>
        <w:rPr>
          <w:rFonts w:hint="eastAsia" w:ascii="宋体" w:hAnsi="宋体" w:eastAsia="宋体" w:cs="宋体"/>
          <w:color w:val="auto"/>
          <w:spacing w:val="10"/>
          <w:sz w:val="31"/>
          <w:szCs w:val="31"/>
          <w:highlight w:val="none"/>
          <w:lang w:eastAsia="zh-CN"/>
          <w14:textOutline w14:w="5829" w14:cap="flat" w14:cmpd="sng" w14:algn="ctr">
            <w14:solidFill>
              <w14:srgbClr w14:val="000000"/>
            </w14:solidFill>
            <w14:prstDash w14:val="solid"/>
            <w14:miter w14:val="0"/>
          </w14:textOutline>
        </w:rPr>
      </w:pPr>
      <w:bookmarkStart w:id="286" w:name="_Toc27602"/>
      <w:r>
        <w:rPr>
          <w:rFonts w:ascii="宋体" w:hAnsi="宋体" w:eastAsia="宋体" w:cs="宋体"/>
          <w:color w:val="auto"/>
          <w:spacing w:val="10"/>
          <w:sz w:val="31"/>
          <w:szCs w:val="31"/>
          <w:highlight w:val="none"/>
          <w:lang w:eastAsia="zh-CN"/>
          <w14:textOutline w14:w="5829" w14:cap="flat" w14:cmpd="sng" w14:algn="ctr">
            <w14:solidFill>
              <w14:srgbClr w14:val="000000"/>
            </w14:solidFill>
            <w14:prstDash w14:val="solid"/>
            <w14:miter w14:val="0"/>
          </w14:textOutline>
        </w:rPr>
        <w:t>（三）</w:t>
      </w:r>
      <w:r>
        <w:rPr>
          <w:rFonts w:hint="eastAsia" w:ascii="宋体" w:hAnsi="宋体" w:eastAsia="宋体" w:cs="宋体"/>
          <w:color w:val="auto"/>
          <w:spacing w:val="10"/>
          <w:sz w:val="31"/>
          <w:szCs w:val="31"/>
          <w:highlight w:val="none"/>
          <w:lang w:eastAsia="zh-CN"/>
          <w14:textOutline w14:w="5829" w14:cap="flat" w14:cmpd="sng" w14:algn="ctr">
            <w14:solidFill>
              <w14:srgbClr w14:val="000000"/>
            </w14:solidFill>
            <w14:prstDash w14:val="solid"/>
            <w14:miter w14:val="0"/>
          </w14:textOutline>
        </w:rPr>
        <w:t>拟派本项目负责人及主要人员情况表</w:t>
      </w:r>
      <w:bookmarkEnd w:id="286"/>
    </w:p>
    <w:tbl>
      <w:tblPr>
        <w:tblStyle w:val="14"/>
        <w:tblW w:w="93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8"/>
        <w:gridCol w:w="71"/>
        <w:gridCol w:w="891"/>
        <w:gridCol w:w="561"/>
        <w:gridCol w:w="339"/>
        <w:gridCol w:w="321"/>
        <w:gridCol w:w="665"/>
        <w:gridCol w:w="619"/>
        <w:gridCol w:w="894"/>
        <w:gridCol w:w="184"/>
        <w:gridCol w:w="1103"/>
        <w:gridCol w:w="174"/>
        <w:gridCol w:w="520"/>
        <w:gridCol w:w="494"/>
        <w:gridCol w:w="66"/>
        <w:gridCol w:w="1440"/>
      </w:tblGrid>
      <w:tr w14:paraId="42A20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360" w:type="dxa"/>
            <w:gridSpan w:val="16"/>
            <w:vAlign w:val="center"/>
          </w:tcPr>
          <w:p w14:paraId="3015500C">
            <w:pPr>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拟派项目负责人资料情况</w:t>
            </w:r>
          </w:p>
        </w:tc>
      </w:tr>
      <w:tr w14:paraId="76097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1089" w:type="dxa"/>
            <w:gridSpan w:val="2"/>
            <w:vAlign w:val="center"/>
          </w:tcPr>
          <w:p w14:paraId="7CD598E6">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姓名</w:t>
            </w:r>
          </w:p>
        </w:tc>
        <w:tc>
          <w:tcPr>
            <w:tcW w:w="1452" w:type="dxa"/>
            <w:gridSpan w:val="2"/>
            <w:vAlign w:val="center"/>
          </w:tcPr>
          <w:p w14:paraId="276443BB">
            <w:pPr>
              <w:jc w:val="center"/>
              <w:rPr>
                <w:rFonts w:hint="eastAsia" w:asciiTheme="minorEastAsia" w:hAnsiTheme="minorEastAsia" w:eastAsiaTheme="minorEastAsia" w:cstheme="minorEastAsia"/>
                <w:color w:val="auto"/>
                <w:sz w:val="24"/>
                <w:szCs w:val="24"/>
                <w:highlight w:val="none"/>
              </w:rPr>
            </w:pPr>
          </w:p>
        </w:tc>
        <w:tc>
          <w:tcPr>
            <w:tcW w:w="1325" w:type="dxa"/>
            <w:gridSpan w:val="3"/>
            <w:vAlign w:val="center"/>
          </w:tcPr>
          <w:p w14:paraId="0AA819A1">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性别</w:t>
            </w:r>
          </w:p>
        </w:tc>
        <w:tc>
          <w:tcPr>
            <w:tcW w:w="1697" w:type="dxa"/>
            <w:gridSpan w:val="3"/>
            <w:vAlign w:val="center"/>
          </w:tcPr>
          <w:p w14:paraId="6594000E">
            <w:pPr>
              <w:jc w:val="center"/>
              <w:rPr>
                <w:rFonts w:hint="eastAsia" w:asciiTheme="minorEastAsia" w:hAnsiTheme="minorEastAsia" w:eastAsiaTheme="minorEastAsia" w:cstheme="minorEastAsia"/>
                <w:color w:val="auto"/>
                <w:sz w:val="24"/>
                <w:szCs w:val="24"/>
                <w:highlight w:val="none"/>
              </w:rPr>
            </w:pPr>
          </w:p>
        </w:tc>
        <w:tc>
          <w:tcPr>
            <w:tcW w:w="1797" w:type="dxa"/>
            <w:gridSpan w:val="3"/>
            <w:vAlign w:val="center"/>
          </w:tcPr>
          <w:p w14:paraId="5A697052">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年龄</w:t>
            </w:r>
          </w:p>
        </w:tc>
        <w:tc>
          <w:tcPr>
            <w:tcW w:w="2000" w:type="dxa"/>
            <w:gridSpan w:val="3"/>
            <w:vAlign w:val="center"/>
          </w:tcPr>
          <w:p w14:paraId="55E630D8">
            <w:pPr>
              <w:jc w:val="center"/>
              <w:rPr>
                <w:rFonts w:hint="eastAsia" w:asciiTheme="minorEastAsia" w:hAnsiTheme="minorEastAsia" w:eastAsiaTheme="minorEastAsia" w:cstheme="minorEastAsia"/>
                <w:color w:val="auto"/>
                <w:sz w:val="24"/>
                <w:szCs w:val="24"/>
                <w:highlight w:val="none"/>
              </w:rPr>
            </w:pPr>
          </w:p>
        </w:tc>
      </w:tr>
      <w:tr w14:paraId="58366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1089" w:type="dxa"/>
            <w:gridSpan w:val="2"/>
            <w:vAlign w:val="center"/>
          </w:tcPr>
          <w:p w14:paraId="770D1EC2">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职务</w:t>
            </w:r>
          </w:p>
        </w:tc>
        <w:tc>
          <w:tcPr>
            <w:tcW w:w="1452" w:type="dxa"/>
            <w:gridSpan w:val="2"/>
            <w:vAlign w:val="center"/>
          </w:tcPr>
          <w:p w14:paraId="62BDFA72">
            <w:pPr>
              <w:jc w:val="center"/>
              <w:rPr>
                <w:rFonts w:hint="eastAsia" w:asciiTheme="minorEastAsia" w:hAnsiTheme="minorEastAsia" w:eastAsiaTheme="minorEastAsia" w:cstheme="minorEastAsia"/>
                <w:color w:val="auto"/>
                <w:sz w:val="24"/>
                <w:szCs w:val="24"/>
                <w:highlight w:val="none"/>
              </w:rPr>
            </w:pPr>
          </w:p>
        </w:tc>
        <w:tc>
          <w:tcPr>
            <w:tcW w:w="1325" w:type="dxa"/>
            <w:gridSpan w:val="3"/>
            <w:vAlign w:val="center"/>
          </w:tcPr>
          <w:p w14:paraId="344086CE">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职称</w:t>
            </w:r>
          </w:p>
        </w:tc>
        <w:tc>
          <w:tcPr>
            <w:tcW w:w="1697" w:type="dxa"/>
            <w:gridSpan w:val="3"/>
            <w:vAlign w:val="center"/>
          </w:tcPr>
          <w:p w14:paraId="077F2014">
            <w:pPr>
              <w:jc w:val="center"/>
              <w:rPr>
                <w:rFonts w:hint="eastAsia" w:asciiTheme="minorEastAsia" w:hAnsiTheme="minorEastAsia" w:eastAsiaTheme="minorEastAsia" w:cstheme="minorEastAsia"/>
                <w:color w:val="auto"/>
                <w:sz w:val="24"/>
                <w:szCs w:val="24"/>
                <w:highlight w:val="none"/>
              </w:rPr>
            </w:pPr>
          </w:p>
        </w:tc>
        <w:tc>
          <w:tcPr>
            <w:tcW w:w="1797" w:type="dxa"/>
            <w:gridSpan w:val="3"/>
            <w:vAlign w:val="center"/>
          </w:tcPr>
          <w:p w14:paraId="7422CA91">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学历</w:t>
            </w:r>
          </w:p>
        </w:tc>
        <w:tc>
          <w:tcPr>
            <w:tcW w:w="2000" w:type="dxa"/>
            <w:gridSpan w:val="3"/>
            <w:vAlign w:val="center"/>
          </w:tcPr>
          <w:p w14:paraId="58A7FDEB">
            <w:pPr>
              <w:jc w:val="center"/>
              <w:rPr>
                <w:rFonts w:hint="eastAsia" w:asciiTheme="minorEastAsia" w:hAnsiTheme="minorEastAsia" w:eastAsiaTheme="minorEastAsia" w:cstheme="minorEastAsia"/>
                <w:color w:val="auto"/>
                <w:sz w:val="24"/>
                <w:szCs w:val="24"/>
                <w:highlight w:val="none"/>
              </w:rPr>
            </w:pPr>
          </w:p>
        </w:tc>
      </w:tr>
      <w:tr w14:paraId="34BFA1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jc w:val="center"/>
        </w:trPr>
        <w:tc>
          <w:tcPr>
            <w:tcW w:w="1089" w:type="dxa"/>
            <w:gridSpan w:val="2"/>
            <w:vAlign w:val="center"/>
          </w:tcPr>
          <w:p w14:paraId="4BDE9FAE">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电话</w:t>
            </w:r>
          </w:p>
        </w:tc>
        <w:tc>
          <w:tcPr>
            <w:tcW w:w="8271" w:type="dxa"/>
            <w:gridSpan w:val="14"/>
            <w:vAlign w:val="center"/>
          </w:tcPr>
          <w:p w14:paraId="1F44F7C3">
            <w:pPr>
              <w:jc w:val="center"/>
              <w:rPr>
                <w:rFonts w:hint="eastAsia" w:asciiTheme="minorEastAsia" w:hAnsiTheme="minorEastAsia" w:eastAsiaTheme="minorEastAsia" w:cstheme="minorEastAsia"/>
                <w:color w:val="auto"/>
                <w:sz w:val="24"/>
                <w:szCs w:val="24"/>
                <w:highlight w:val="none"/>
              </w:rPr>
            </w:pPr>
          </w:p>
        </w:tc>
      </w:tr>
      <w:tr w14:paraId="35C17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1089" w:type="dxa"/>
            <w:gridSpan w:val="2"/>
            <w:vAlign w:val="center"/>
          </w:tcPr>
          <w:p w14:paraId="512C0D3E">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参加工作时间</w:t>
            </w:r>
          </w:p>
        </w:tc>
        <w:tc>
          <w:tcPr>
            <w:tcW w:w="1452" w:type="dxa"/>
            <w:gridSpan w:val="2"/>
            <w:vAlign w:val="center"/>
          </w:tcPr>
          <w:p w14:paraId="0E7BBD5B">
            <w:pPr>
              <w:jc w:val="center"/>
              <w:rPr>
                <w:rFonts w:hint="eastAsia" w:asciiTheme="minorEastAsia" w:hAnsiTheme="minorEastAsia" w:eastAsiaTheme="minorEastAsia" w:cstheme="minorEastAsia"/>
                <w:color w:val="auto"/>
                <w:sz w:val="24"/>
                <w:szCs w:val="24"/>
                <w:highlight w:val="none"/>
              </w:rPr>
            </w:pPr>
          </w:p>
        </w:tc>
        <w:tc>
          <w:tcPr>
            <w:tcW w:w="4819" w:type="dxa"/>
            <w:gridSpan w:val="9"/>
            <w:vAlign w:val="center"/>
          </w:tcPr>
          <w:p w14:paraId="745E6D3F">
            <w:pPr>
              <w:widowControl w:val="0"/>
              <w:jc w:val="both"/>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eastAsia="zh-CN"/>
              </w:rPr>
              <w:t>从事</w:t>
            </w:r>
            <w:r>
              <w:rPr>
                <w:rFonts w:hint="eastAsia" w:asciiTheme="minorEastAsia" w:hAnsiTheme="minorEastAsia" w:eastAsiaTheme="minorEastAsia" w:cstheme="minorEastAsia"/>
                <w:color w:val="auto"/>
                <w:sz w:val="24"/>
                <w:szCs w:val="24"/>
                <w:highlight w:val="none"/>
                <w:lang w:eastAsia="zh-CN"/>
              </w:rPr>
              <w:t>同类</w:t>
            </w:r>
            <w:r>
              <w:rPr>
                <w:rFonts w:hint="eastAsia" w:asciiTheme="minorEastAsia" w:hAnsiTheme="minorEastAsia" w:eastAsiaTheme="minorEastAsia" w:cstheme="minorEastAsia"/>
                <w:color w:val="auto"/>
                <w:kern w:val="2"/>
                <w:sz w:val="24"/>
                <w:szCs w:val="24"/>
                <w:highlight w:val="none"/>
                <w:lang w:eastAsia="zh-CN"/>
              </w:rPr>
              <w:t>项目负责人年限</w:t>
            </w:r>
          </w:p>
        </w:tc>
        <w:tc>
          <w:tcPr>
            <w:tcW w:w="2000" w:type="dxa"/>
            <w:gridSpan w:val="3"/>
            <w:vAlign w:val="center"/>
          </w:tcPr>
          <w:p w14:paraId="166DB621">
            <w:pPr>
              <w:jc w:val="center"/>
              <w:rPr>
                <w:rFonts w:hint="eastAsia" w:asciiTheme="minorEastAsia" w:hAnsiTheme="minorEastAsia" w:eastAsiaTheme="minorEastAsia" w:cstheme="minorEastAsia"/>
                <w:color w:val="auto"/>
                <w:sz w:val="24"/>
                <w:szCs w:val="24"/>
                <w:highlight w:val="none"/>
                <w:lang w:eastAsia="zh-CN"/>
              </w:rPr>
            </w:pPr>
          </w:p>
        </w:tc>
      </w:tr>
      <w:tr w14:paraId="0E25D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jc w:val="center"/>
        </w:trPr>
        <w:tc>
          <w:tcPr>
            <w:tcW w:w="1089" w:type="dxa"/>
            <w:gridSpan w:val="2"/>
            <w:vAlign w:val="center"/>
          </w:tcPr>
          <w:p w14:paraId="5C8B9A43">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具有认证资质</w:t>
            </w:r>
          </w:p>
        </w:tc>
        <w:tc>
          <w:tcPr>
            <w:tcW w:w="8271" w:type="dxa"/>
            <w:gridSpan w:val="14"/>
            <w:vAlign w:val="center"/>
          </w:tcPr>
          <w:p w14:paraId="6796EE00">
            <w:pPr>
              <w:jc w:val="center"/>
              <w:rPr>
                <w:rFonts w:hint="eastAsia" w:asciiTheme="minorEastAsia" w:hAnsiTheme="minorEastAsia" w:eastAsiaTheme="minorEastAsia" w:cstheme="minorEastAsia"/>
                <w:color w:val="auto"/>
                <w:sz w:val="24"/>
                <w:szCs w:val="24"/>
                <w:highlight w:val="none"/>
              </w:rPr>
            </w:pPr>
          </w:p>
        </w:tc>
      </w:tr>
      <w:tr w14:paraId="780F0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9360" w:type="dxa"/>
            <w:gridSpan w:val="16"/>
            <w:vAlign w:val="center"/>
          </w:tcPr>
          <w:p w14:paraId="1A009B61">
            <w:pPr>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已完成的部分同类项目情况</w:t>
            </w:r>
          </w:p>
        </w:tc>
      </w:tr>
      <w:tr w14:paraId="52727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4" w:hRule="atLeast"/>
          <w:jc w:val="center"/>
        </w:trPr>
        <w:tc>
          <w:tcPr>
            <w:tcW w:w="1018" w:type="dxa"/>
            <w:vAlign w:val="center"/>
          </w:tcPr>
          <w:p w14:paraId="5A01F666">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w:t>
            </w:r>
          </w:p>
          <w:p w14:paraId="125B0887">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单位</w:t>
            </w:r>
          </w:p>
        </w:tc>
        <w:tc>
          <w:tcPr>
            <w:tcW w:w="2183" w:type="dxa"/>
            <w:gridSpan w:val="5"/>
            <w:vAlign w:val="center"/>
          </w:tcPr>
          <w:p w14:paraId="0B974AE8">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项目名称</w:t>
            </w:r>
          </w:p>
        </w:tc>
        <w:tc>
          <w:tcPr>
            <w:tcW w:w="2178" w:type="dxa"/>
            <w:gridSpan w:val="3"/>
            <w:vAlign w:val="center"/>
          </w:tcPr>
          <w:p w14:paraId="3B689E94">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主要工作内容</w:t>
            </w:r>
          </w:p>
        </w:tc>
        <w:tc>
          <w:tcPr>
            <w:tcW w:w="1287" w:type="dxa"/>
            <w:gridSpan w:val="2"/>
            <w:vAlign w:val="center"/>
          </w:tcPr>
          <w:p w14:paraId="450309EE">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项目金额</w:t>
            </w:r>
          </w:p>
        </w:tc>
        <w:tc>
          <w:tcPr>
            <w:tcW w:w="1188" w:type="dxa"/>
            <w:gridSpan w:val="3"/>
            <w:vAlign w:val="center"/>
          </w:tcPr>
          <w:p w14:paraId="66D82002">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完成日期</w:t>
            </w:r>
          </w:p>
        </w:tc>
        <w:tc>
          <w:tcPr>
            <w:tcW w:w="1506" w:type="dxa"/>
            <w:gridSpan w:val="2"/>
            <w:vAlign w:val="center"/>
          </w:tcPr>
          <w:p w14:paraId="018AE8B6">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成果质量</w:t>
            </w:r>
          </w:p>
          <w:p w14:paraId="0A33EFE5">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等级评定</w:t>
            </w:r>
          </w:p>
        </w:tc>
      </w:tr>
      <w:tr w14:paraId="4AFBA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jc w:val="center"/>
        </w:trPr>
        <w:tc>
          <w:tcPr>
            <w:tcW w:w="1018" w:type="dxa"/>
            <w:vAlign w:val="center"/>
          </w:tcPr>
          <w:p w14:paraId="4268D9E0">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2183" w:type="dxa"/>
            <w:gridSpan w:val="5"/>
            <w:vAlign w:val="center"/>
          </w:tcPr>
          <w:p w14:paraId="4C34B424">
            <w:pPr>
              <w:jc w:val="center"/>
              <w:rPr>
                <w:rFonts w:hint="eastAsia" w:asciiTheme="minorEastAsia" w:hAnsiTheme="minorEastAsia" w:eastAsiaTheme="minorEastAsia" w:cstheme="minorEastAsia"/>
                <w:color w:val="auto"/>
                <w:sz w:val="24"/>
                <w:szCs w:val="24"/>
                <w:highlight w:val="none"/>
              </w:rPr>
            </w:pPr>
          </w:p>
        </w:tc>
        <w:tc>
          <w:tcPr>
            <w:tcW w:w="2178" w:type="dxa"/>
            <w:gridSpan w:val="3"/>
            <w:vAlign w:val="center"/>
          </w:tcPr>
          <w:p w14:paraId="6708BD37">
            <w:pPr>
              <w:jc w:val="center"/>
              <w:rPr>
                <w:rFonts w:hint="eastAsia" w:asciiTheme="minorEastAsia" w:hAnsiTheme="minorEastAsia" w:eastAsiaTheme="minorEastAsia" w:cstheme="minorEastAsia"/>
                <w:color w:val="auto"/>
                <w:sz w:val="24"/>
                <w:szCs w:val="24"/>
                <w:highlight w:val="none"/>
              </w:rPr>
            </w:pPr>
          </w:p>
        </w:tc>
        <w:tc>
          <w:tcPr>
            <w:tcW w:w="1287" w:type="dxa"/>
            <w:gridSpan w:val="2"/>
            <w:vAlign w:val="center"/>
          </w:tcPr>
          <w:p w14:paraId="0F9CF736">
            <w:pPr>
              <w:jc w:val="center"/>
              <w:rPr>
                <w:rFonts w:hint="eastAsia" w:asciiTheme="minorEastAsia" w:hAnsiTheme="minorEastAsia" w:eastAsiaTheme="minorEastAsia" w:cstheme="minorEastAsia"/>
                <w:color w:val="auto"/>
                <w:sz w:val="24"/>
                <w:szCs w:val="24"/>
                <w:highlight w:val="none"/>
              </w:rPr>
            </w:pPr>
          </w:p>
        </w:tc>
        <w:tc>
          <w:tcPr>
            <w:tcW w:w="1188" w:type="dxa"/>
            <w:gridSpan w:val="3"/>
            <w:vAlign w:val="center"/>
          </w:tcPr>
          <w:p w14:paraId="6A48C756">
            <w:pPr>
              <w:jc w:val="center"/>
              <w:rPr>
                <w:rFonts w:hint="eastAsia" w:asciiTheme="minorEastAsia" w:hAnsiTheme="minorEastAsia" w:eastAsiaTheme="minorEastAsia" w:cstheme="minorEastAsia"/>
                <w:color w:val="auto"/>
                <w:sz w:val="24"/>
                <w:szCs w:val="24"/>
                <w:highlight w:val="none"/>
              </w:rPr>
            </w:pPr>
          </w:p>
        </w:tc>
        <w:tc>
          <w:tcPr>
            <w:tcW w:w="1506" w:type="dxa"/>
            <w:gridSpan w:val="2"/>
            <w:vAlign w:val="center"/>
          </w:tcPr>
          <w:p w14:paraId="471A704F">
            <w:pPr>
              <w:jc w:val="center"/>
              <w:rPr>
                <w:rFonts w:hint="eastAsia" w:asciiTheme="minorEastAsia" w:hAnsiTheme="minorEastAsia" w:eastAsiaTheme="minorEastAsia" w:cstheme="minorEastAsia"/>
                <w:color w:val="auto"/>
                <w:sz w:val="24"/>
                <w:szCs w:val="24"/>
                <w:highlight w:val="none"/>
              </w:rPr>
            </w:pPr>
          </w:p>
        </w:tc>
      </w:tr>
      <w:tr w14:paraId="583B9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jc w:val="center"/>
        </w:trPr>
        <w:tc>
          <w:tcPr>
            <w:tcW w:w="1018" w:type="dxa"/>
            <w:vAlign w:val="center"/>
          </w:tcPr>
          <w:p w14:paraId="294B2CA8">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p>
        </w:tc>
        <w:tc>
          <w:tcPr>
            <w:tcW w:w="2183" w:type="dxa"/>
            <w:gridSpan w:val="5"/>
            <w:vAlign w:val="center"/>
          </w:tcPr>
          <w:p w14:paraId="7F9770ED">
            <w:pPr>
              <w:jc w:val="center"/>
              <w:rPr>
                <w:rFonts w:hint="eastAsia" w:asciiTheme="minorEastAsia" w:hAnsiTheme="minorEastAsia" w:eastAsiaTheme="minorEastAsia" w:cstheme="minorEastAsia"/>
                <w:color w:val="auto"/>
                <w:sz w:val="24"/>
                <w:szCs w:val="24"/>
                <w:highlight w:val="none"/>
              </w:rPr>
            </w:pPr>
          </w:p>
        </w:tc>
        <w:tc>
          <w:tcPr>
            <w:tcW w:w="2178" w:type="dxa"/>
            <w:gridSpan w:val="3"/>
            <w:vAlign w:val="center"/>
          </w:tcPr>
          <w:p w14:paraId="7385AE3E">
            <w:pPr>
              <w:jc w:val="center"/>
              <w:rPr>
                <w:rFonts w:hint="eastAsia" w:asciiTheme="minorEastAsia" w:hAnsiTheme="minorEastAsia" w:eastAsiaTheme="minorEastAsia" w:cstheme="minorEastAsia"/>
                <w:color w:val="auto"/>
                <w:sz w:val="24"/>
                <w:szCs w:val="24"/>
                <w:highlight w:val="none"/>
              </w:rPr>
            </w:pPr>
          </w:p>
        </w:tc>
        <w:tc>
          <w:tcPr>
            <w:tcW w:w="1287" w:type="dxa"/>
            <w:gridSpan w:val="2"/>
            <w:vAlign w:val="center"/>
          </w:tcPr>
          <w:p w14:paraId="4B198B7B">
            <w:pPr>
              <w:jc w:val="center"/>
              <w:rPr>
                <w:rFonts w:hint="eastAsia" w:asciiTheme="minorEastAsia" w:hAnsiTheme="minorEastAsia" w:eastAsiaTheme="minorEastAsia" w:cstheme="minorEastAsia"/>
                <w:color w:val="auto"/>
                <w:sz w:val="24"/>
                <w:szCs w:val="24"/>
                <w:highlight w:val="none"/>
              </w:rPr>
            </w:pPr>
          </w:p>
        </w:tc>
        <w:tc>
          <w:tcPr>
            <w:tcW w:w="1188" w:type="dxa"/>
            <w:gridSpan w:val="3"/>
            <w:vAlign w:val="center"/>
          </w:tcPr>
          <w:p w14:paraId="3056D95C">
            <w:pPr>
              <w:jc w:val="center"/>
              <w:rPr>
                <w:rFonts w:hint="eastAsia" w:asciiTheme="minorEastAsia" w:hAnsiTheme="minorEastAsia" w:eastAsiaTheme="minorEastAsia" w:cstheme="minorEastAsia"/>
                <w:color w:val="auto"/>
                <w:sz w:val="24"/>
                <w:szCs w:val="24"/>
                <w:highlight w:val="none"/>
              </w:rPr>
            </w:pPr>
          </w:p>
        </w:tc>
        <w:tc>
          <w:tcPr>
            <w:tcW w:w="1506" w:type="dxa"/>
            <w:gridSpan w:val="2"/>
            <w:vAlign w:val="center"/>
          </w:tcPr>
          <w:p w14:paraId="05CDD519">
            <w:pPr>
              <w:jc w:val="center"/>
              <w:rPr>
                <w:rFonts w:hint="eastAsia" w:asciiTheme="minorEastAsia" w:hAnsiTheme="minorEastAsia" w:eastAsiaTheme="minorEastAsia" w:cstheme="minorEastAsia"/>
                <w:color w:val="auto"/>
                <w:sz w:val="24"/>
                <w:szCs w:val="24"/>
                <w:highlight w:val="none"/>
              </w:rPr>
            </w:pPr>
          </w:p>
        </w:tc>
      </w:tr>
      <w:tr w14:paraId="2B184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jc w:val="center"/>
        </w:trPr>
        <w:tc>
          <w:tcPr>
            <w:tcW w:w="1018" w:type="dxa"/>
            <w:vAlign w:val="center"/>
          </w:tcPr>
          <w:p w14:paraId="357227D0">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2183" w:type="dxa"/>
            <w:gridSpan w:val="5"/>
            <w:vAlign w:val="center"/>
          </w:tcPr>
          <w:p w14:paraId="0EDD1918">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2178" w:type="dxa"/>
            <w:gridSpan w:val="3"/>
            <w:vAlign w:val="center"/>
          </w:tcPr>
          <w:p w14:paraId="52A03F85">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1287" w:type="dxa"/>
            <w:gridSpan w:val="2"/>
            <w:vAlign w:val="center"/>
          </w:tcPr>
          <w:p w14:paraId="157333F2">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1188" w:type="dxa"/>
            <w:gridSpan w:val="3"/>
            <w:vAlign w:val="center"/>
          </w:tcPr>
          <w:p w14:paraId="02BCA460">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1506" w:type="dxa"/>
            <w:gridSpan w:val="2"/>
            <w:vAlign w:val="center"/>
          </w:tcPr>
          <w:p w14:paraId="01A06920">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r>
      <w:tr w14:paraId="2EF0D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9360" w:type="dxa"/>
            <w:gridSpan w:val="16"/>
            <w:vAlign w:val="center"/>
          </w:tcPr>
          <w:p w14:paraId="2F89A156">
            <w:pPr>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拟参与本项目主要人员情况</w:t>
            </w:r>
          </w:p>
        </w:tc>
      </w:tr>
      <w:tr w14:paraId="337CF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1089" w:type="dxa"/>
            <w:gridSpan w:val="2"/>
            <w:vAlign w:val="center"/>
          </w:tcPr>
          <w:p w14:paraId="31C4C8EA">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姓名</w:t>
            </w:r>
          </w:p>
        </w:tc>
        <w:tc>
          <w:tcPr>
            <w:tcW w:w="891" w:type="dxa"/>
            <w:vAlign w:val="center"/>
          </w:tcPr>
          <w:p w14:paraId="2CA6C2AA">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性别</w:t>
            </w:r>
          </w:p>
        </w:tc>
        <w:tc>
          <w:tcPr>
            <w:tcW w:w="900" w:type="dxa"/>
            <w:gridSpan w:val="2"/>
            <w:vAlign w:val="center"/>
          </w:tcPr>
          <w:p w14:paraId="30E5527B">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年龄</w:t>
            </w:r>
          </w:p>
        </w:tc>
        <w:tc>
          <w:tcPr>
            <w:tcW w:w="1605" w:type="dxa"/>
            <w:gridSpan w:val="3"/>
            <w:vAlign w:val="center"/>
          </w:tcPr>
          <w:p w14:paraId="3DEA757C">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职称</w:t>
            </w:r>
          </w:p>
        </w:tc>
        <w:tc>
          <w:tcPr>
            <w:tcW w:w="1078" w:type="dxa"/>
            <w:gridSpan w:val="2"/>
            <w:vAlign w:val="center"/>
          </w:tcPr>
          <w:p w14:paraId="79D2A3FE">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专业</w:t>
            </w:r>
          </w:p>
        </w:tc>
        <w:tc>
          <w:tcPr>
            <w:tcW w:w="1277" w:type="dxa"/>
            <w:gridSpan w:val="2"/>
            <w:vAlign w:val="center"/>
          </w:tcPr>
          <w:p w14:paraId="40E30F18">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学历</w:t>
            </w:r>
          </w:p>
        </w:tc>
        <w:tc>
          <w:tcPr>
            <w:tcW w:w="1080" w:type="dxa"/>
            <w:gridSpan w:val="3"/>
            <w:vAlign w:val="center"/>
          </w:tcPr>
          <w:p w14:paraId="3D3F3A65">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经验年限</w:t>
            </w:r>
          </w:p>
        </w:tc>
        <w:tc>
          <w:tcPr>
            <w:tcW w:w="1440" w:type="dxa"/>
            <w:vAlign w:val="center"/>
          </w:tcPr>
          <w:p w14:paraId="2B3F6706">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拟任职务</w:t>
            </w:r>
          </w:p>
        </w:tc>
      </w:tr>
      <w:tr w14:paraId="2CD5F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1089" w:type="dxa"/>
            <w:gridSpan w:val="2"/>
            <w:vAlign w:val="center"/>
          </w:tcPr>
          <w:p w14:paraId="3FF25D39">
            <w:pPr>
              <w:jc w:val="center"/>
              <w:rPr>
                <w:rFonts w:hint="eastAsia" w:asciiTheme="minorEastAsia" w:hAnsiTheme="minorEastAsia" w:eastAsiaTheme="minorEastAsia" w:cstheme="minorEastAsia"/>
                <w:color w:val="auto"/>
                <w:sz w:val="24"/>
                <w:szCs w:val="24"/>
                <w:highlight w:val="none"/>
              </w:rPr>
            </w:pPr>
          </w:p>
        </w:tc>
        <w:tc>
          <w:tcPr>
            <w:tcW w:w="891" w:type="dxa"/>
            <w:vAlign w:val="center"/>
          </w:tcPr>
          <w:p w14:paraId="025BC437">
            <w:pPr>
              <w:jc w:val="center"/>
              <w:rPr>
                <w:rFonts w:hint="eastAsia" w:asciiTheme="minorEastAsia" w:hAnsiTheme="minorEastAsia" w:eastAsiaTheme="minorEastAsia" w:cstheme="minorEastAsia"/>
                <w:color w:val="auto"/>
                <w:sz w:val="24"/>
                <w:szCs w:val="24"/>
                <w:highlight w:val="none"/>
              </w:rPr>
            </w:pPr>
          </w:p>
        </w:tc>
        <w:tc>
          <w:tcPr>
            <w:tcW w:w="900" w:type="dxa"/>
            <w:gridSpan w:val="2"/>
            <w:vAlign w:val="center"/>
          </w:tcPr>
          <w:p w14:paraId="12F46B17">
            <w:pPr>
              <w:jc w:val="center"/>
              <w:rPr>
                <w:rFonts w:hint="eastAsia" w:asciiTheme="minorEastAsia" w:hAnsiTheme="minorEastAsia" w:eastAsiaTheme="minorEastAsia" w:cstheme="minorEastAsia"/>
                <w:color w:val="auto"/>
                <w:sz w:val="24"/>
                <w:szCs w:val="24"/>
                <w:highlight w:val="none"/>
              </w:rPr>
            </w:pPr>
          </w:p>
        </w:tc>
        <w:tc>
          <w:tcPr>
            <w:tcW w:w="1605" w:type="dxa"/>
            <w:gridSpan w:val="3"/>
            <w:vAlign w:val="center"/>
          </w:tcPr>
          <w:p w14:paraId="7B206F67">
            <w:pPr>
              <w:jc w:val="center"/>
              <w:rPr>
                <w:rFonts w:hint="eastAsia" w:asciiTheme="minorEastAsia" w:hAnsiTheme="minorEastAsia" w:eastAsiaTheme="minorEastAsia" w:cstheme="minorEastAsia"/>
                <w:color w:val="auto"/>
                <w:sz w:val="24"/>
                <w:szCs w:val="24"/>
                <w:highlight w:val="none"/>
              </w:rPr>
            </w:pPr>
          </w:p>
        </w:tc>
        <w:tc>
          <w:tcPr>
            <w:tcW w:w="1078" w:type="dxa"/>
            <w:gridSpan w:val="2"/>
            <w:vAlign w:val="center"/>
          </w:tcPr>
          <w:p w14:paraId="5DE24134">
            <w:pPr>
              <w:jc w:val="center"/>
              <w:rPr>
                <w:rFonts w:hint="eastAsia" w:asciiTheme="minorEastAsia" w:hAnsiTheme="minorEastAsia" w:eastAsiaTheme="minorEastAsia" w:cstheme="minorEastAsia"/>
                <w:color w:val="auto"/>
                <w:sz w:val="24"/>
                <w:szCs w:val="24"/>
                <w:highlight w:val="none"/>
              </w:rPr>
            </w:pPr>
          </w:p>
        </w:tc>
        <w:tc>
          <w:tcPr>
            <w:tcW w:w="1277" w:type="dxa"/>
            <w:gridSpan w:val="2"/>
            <w:vAlign w:val="center"/>
          </w:tcPr>
          <w:p w14:paraId="34E21BAF">
            <w:pPr>
              <w:jc w:val="center"/>
              <w:rPr>
                <w:rFonts w:hint="eastAsia" w:asciiTheme="minorEastAsia" w:hAnsiTheme="minorEastAsia" w:eastAsiaTheme="minorEastAsia" w:cstheme="minorEastAsia"/>
                <w:color w:val="auto"/>
                <w:sz w:val="24"/>
                <w:szCs w:val="24"/>
                <w:highlight w:val="none"/>
              </w:rPr>
            </w:pPr>
          </w:p>
        </w:tc>
        <w:tc>
          <w:tcPr>
            <w:tcW w:w="1080" w:type="dxa"/>
            <w:gridSpan w:val="3"/>
            <w:vAlign w:val="center"/>
          </w:tcPr>
          <w:p w14:paraId="49A3BA9E">
            <w:pPr>
              <w:jc w:val="center"/>
              <w:rPr>
                <w:rFonts w:hint="eastAsia" w:asciiTheme="minorEastAsia" w:hAnsiTheme="minorEastAsia" w:eastAsiaTheme="minorEastAsia" w:cstheme="minorEastAsia"/>
                <w:color w:val="auto"/>
                <w:sz w:val="24"/>
                <w:szCs w:val="24"/>
                <w:highlight w:val="none"/>
              </w:rPr>
            </w:pPr>
          </w:p>
        </w:tc>
        <w:tc>
          <w:tcPr>
            <w:tcW w:w="1440" w:type="dxa"/>
            <w:vAlign w:val="center"/>
          </w:tcPr>
          <w:p w14:paraId="529665BE">
            <w:pPr>
              <w:jc w:val="center"/>
              <w:rPr>
                <w:rFonts w:hint="eastAsia" w:asciiTheme="minorEastAsia" w:hAnsiTheme="minorEastAsia" w:eastAsiaTheme="minorEastAsia" w:cstheme="minorEastAsia"/>
                <w:color w:val="auto"/>
                <w:sz w:val="24"/>
                <w:szCs w:val="24"/>
                <w:highlight w:val="none"/>
              </w:rPr>
            </w:pPr>
          </w:p>
        </w:tc>
      </w:tr>
      <w:tr w14:paraId="7F8FD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1089" w:type="dxa"/>
            <w:gridSpan w:val="2"/>
            <w:vAlign w:val="center"/>
          </w:tcPr>
          <w:p w14:paraId="5116F441">
            <w:pPr>
              <w:jc w:val="center"/>
              <w:rPr>
                <w:rFonts w:hint="eastAsia" w:asciiTheme="minorEastAsia" w:hAnsiTheme="minorEastAsia" w:eastAsiaTheme="minorEastAsia" w:cstheme="minorEastAsia"/>
                <w:color w:val="auto"/>
                <w:sz w:val="24"/>
                <w:szCs w:val="24"/>
                <w:highlight w:val="none"/>
              </w:rPr>
            </w:pPr>
          </w:p>
        </w:tc>
        <w:tc>
          <w:tcPr>
            <w:tcW w:w="891" w:type="dxa"/>
            <w:vAlign w:val="center"/>
          </w:tcPr>
          <w:p w14:paraId="1FF61F51">
            <w:pPr>
              <w:jc w:val="center"/>
              <w:rPr>
                <w:rFonts w:hint="eastAsia" w:asciiTheme="minorEastAsia" w:hAnsiTheme="minorEastAsia" w:eastAsiaTheme="minorEastAsia" w:cstheme="minorEastAsia"/>
                <w:color w:val="auto"/>
                <w:sz w:val="24"/>
                <w:szCs w:val="24"/>
                <w:highlight w:val="none"/>
              </w:rPr>
            </w:pPr>
          </w:p>
        </w:tc>
        <w:tc>
          <w:tcPr>
            <w:tcW w:w="900" w:type="dxa"/>
            <w:gridSpan w:val="2"/>
            <w:vAlign w:val="center"/>
          </w:tcPr>
          <w:p w14:paraId="53B53152">
            <w:pPr>
              <w:jc w:val="center"/>
              <w:rPr>
                <w:rFonts w:hint="eastAsia" w:asciiTheme="minorEastAsia" w:hAnsiTheme="minorEastAsia" w:eastAsiaTheme="minorEastAsia" w:cstheme="minorEastAsia"/>
                <w:color w:val="auto"/>
                <w:sz w:val="24"/>
                <w:szCs w:val="24"/>
                <w:highlight w:val="none"/>
              </w:rPr>
            </w:pPr>
          </w:p>
        </w:tc>
        <w:tc>
          <w:tcPr>
            <w:tcW w:w="1605" w:type="dxa"/>
            <w:gridSpan w:val="3"/>
            <w:vAlign w:val="center"/>
          </w:tcPr>
          <w:p w14:paraId="33E660D0">
            <w:pPr>
              <w:jc w:val="center"/>
              <w:rPr>
                <w:rFonts w:hint="eastAsia" w:asciiTheme="minorEastAsia" w:hAnsiTheme="minorEastAsia" w:eastAsiaTheme="minorEastAsia" w:cstheme="minorEastAsia"/>
                <w:color w:val="auto"/>
                <w:sz w:val="24"/>
                <w:szCs w:val="24"/>
                <w:highlight w:val="none"/>
              </w:rPr>
            </w:pPr>
          </w:p>
        </w:tc>
        <w:tc>
          <w:tcPr>
            <w:tcW w:w="1078" w:type="dxa"/>
            <w:gridSpan w:val="2"/>
            <w:vAlign w:val="center"/>
          </w:tcPr>
          <w:p w14:paraId="52BC958D">
            <w:pPr>
              <w:jc w:val="center"/>
              <w:rPr>
                <w:rFonts w:hint="eastAsia" w:asciiTheme="minorEastAsia" w:hAnsiTheme="minorEastAsia" w:eastAsiaTheme="minorEastAsia" w:cstheme="minorEastAsia"/>
                <w:color w:val="auto"/>
                <w:sz w:val="24"/>
                <w:szCs w:val="24"/>
                <w:highlight w:val="none"/>
              </w:rPr>
            </w:pPr>
          </w:p>
        </w:tc>
        <w:tc>
          <w:tcPr>
            <w:tcW w:w="1277" w:type="dxa"/>
            <w:gridSpan w:val="2"/>
            <w:vAlign w:val="center"/>
          </w:tcPr>
          <w:p w14:paraId="3F5ED048">
            <w:pPr>
              <w:jc w:val="center"/>
              <w:rPr>
                <w:rFonts w:hint="eastAsia" w:asciiTheme="minorEastAsia" w:hAnsiTheme="minorEastAsia" w:eastAsiaTheme="minorEastAsia" w:cstheme="minorEastAsia"/>
                <w:color w:val="auto"/>
                <w:sz w:val="24"/>
                <w:szCs w:val="24"/>
                <w:highlight w:val="none"/>
              </w:rPr>
            </w:pPr>
          </w:p>
        </w:tc>
        <w:tc>
          <w:tcPr>
            <w:tcW w:w="1080" w:type="dxa"/>
            <w:gridSpan w:val="3"/>
            <w:vAlign w:val="center"/>
          </w:tcPr>
          <w:p w14:paraId="3AC69220">
            <w:pPr>
              <w:jc w:val="center"/>
              <w:rPr>
                <w:rFonts w:hint="eastAsia" w:asciiTheme="minorEastAsia" w:hAnsiTheme="minorEastAsia" w:eastAsiaTheme="minorEastAsia" w:cstheme="minorEastAsia"/>
                <w:color w:val="auto"/>
                <w:sz w:val="24"/>
                <w:szCs w:val="24"/>
                <w:highlight w:val="none"/>
              </w:rPr>
            </w:pPr>
          </w:p>
        </w:tc>
        <w:tc>
          <w:tcPr>
            <w:tcW w:w="1440" w:type="dxa"/>
            <w:vAlign w:val="center"/>
          </w:tcPr>
          <w:p w14:paraId="061D012A">
            <w:pPr>
              <w:jc w:val="center"/>
              <w:rPr>
                <w:rFonts w:hint="eastAsia" w:asciiTheme="minorEastAsia" w:hAnsiTheme="minorEastAsia" w:eastAsiaTheme="minorEastAsia" w:cstheme="minorEastAsia"/>
                <w:color w:val="auto"/>
                <w:sz w:val="24"/>
                <w:szCs w:val="24"/>
                <w:highlight w:val="none"/>
              </w:rPr>
            </w:pPr>
          </w:p>
        </w:tc>
      </w:tr>
      <w:tr w14:paraId="3BC07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1089" w:type="dxa"/>
            <w:gridSpan w:val="2"/>
            <w:vAlign w:val="center"/>
          </w:tcPr>
          <w:p w14:paraId="5CC83F43">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891" w:type="dxa"/>
            <w:vAlign w:val="center"/>
          </w:tcPr>
          <w:p w14:paraId="36DD9C8B">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900" w:type="dxa"/>
            <w:gridSpan w:val="2"/>
            <w:vAlign w:val="center"/>
          </w:tcPr>
          <w:p w14:paraId="03E64D3D">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1605" w:type="dxa"/>
            <w:gridSpan w:val="3"/>
            <w:vAlign w:val="center"/>
          </w:tcPr>
          <w:p w14:paraId="28C0DC38">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1078" w:type="dxa"/>
            <w:gridSpan w:val="2"/>
            <w:vAlign w:val="center"/>
          </w:tcPr>
          <w:p w14:paraId="021130EF">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1277" w:type="dxa"/>
            <w:gridSpan w:val="2"/>
            <w:vAlign w:val="center"/>
          </w:tcPr>
          <w:p w14:paraId="3661D4CB">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1080" w:type="dxa"/>
            <w:gridSpan w:val="3"/>
            <w:vAlign w:val="center"/>
          </w:tcPr>
          <w:p w14:paraId="71F5FEB9">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p w14:paraId="6FD1D201">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1440" w:type="dxa"/>
            <w:vAlign w:val="center"/>
          </w:tcPr>
          <w:p w14:paraId="19DA5AE1">
            <w:pPr>
              <w:jc w:val="center"/>
              <w:rPr>
                <w:rFonts w:hint="eastAsia" w:asciiTheme="minorEastAsia" w:hAnsiTheme="minorEastAsia" w:eastAsiaTheme="minorEastAsia" w:cstheme="minorEastAsia"/>
                <w:color w:val="auto"/>
                <w:sz w:val="24"/>
                <w:szCs w:val="24"/>
                <w:highlight w:val="none"/>
              </w:rPr>
            </w:pPr>
          </w:p>
        </w:tc>
      </w:tr>
    </w:tbl>
    <w:p w14:paraId="251BD261">
      <w:pPr>
        <w:tabs>
          <w:tab w:val="left" w:pos="1050"/>
          <w:tab w:val="left" w:pos="1838"/>
        </w:tabs>
        <w:spacing w:line="360" w:lineRule="auto"/>
        <w:rPr>
          <w:rFonts w:hint="eastAsia"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eastAsia="zh-CN"/>
        </w:rPr>
        <w:t>注： 1、上表列出的人员，须附其资质证书的复印件（身份证、学位证、职称证、其他相关认证等）；</w:t>
      </w:r>
    </w:p>
    <w:p w14:paraId="4B5C9051">
      <w:pPr>
        <w:tabs>
          <w:tab w:val="left" w:pos="1050"/>
          <w:tab w:val="left" w:pos="1838"/>
        </w:tabs>
        <w:spacing w:line="360" w:lineRule="auto"/>
        <w:ind w:firstLine="614" w:firstLineChars="255"/>
        <w:rPr>
          <w:rFonts w:hint="eastAsia"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eastAsia="zh-CN"/>
        </w:rPr>
        <w:t>2、须出具上述人员在本公司服务的外部证明，如：（如加盖社会保险基金管理中心印章的打印日期在本项目投标截止日之前六个月以内任意一个月的《投保单》或《社会保险参保人员证明》，或单位代缴个人所得税税单等）复印件。</w:t>
      </w:r>
    </w:p>
    <w:p w14:paraId="7A4ECDCC">
      <w:pPr>
        <w:pStyle w:val="9"/>
        <w:spacing w:line="243" w:lineRule="auto"/>
        <w:rPr>
          <w:rFonts w:hint="eastAsia" w:asciiTheme="minorEastAsia" w:hAnsiTheme="minorEastAsia" w:eastAsiaTheme="minorEastAsia" w:cstheme="minorEastAsia"/>
          <w:color w:val="auto"/>
          <w:sz w:val="24"/>
          <w:szCs w:val="24"/>
          <w:highlight w:val="none"/>
          <w:lang w:eastAsia="zh-CN"/>
        </w:rPr>
      </w:pPr>
    </w:p>
    <w:p w14:paraId="3AF446FE">
      <w:pPr>
        <w:spacing w:before="76" w:line="227" w:lineRule="auto"/>
        <w:ind w:left="83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5"/>
          <w:sz w:val="24"/>
          <w:szCs w:val="24"/>
          <w:highlight w:val="none"/>
          <w:lang w:eastAsia="zh-CN"/>
        </w:rPr>
        <w:t>谈判供应商名称（电子公章）：</w:t>
      </w:r>
    </w:p>
    <w:p w14:paraId="1E4E4A0C">
      <w:pPr>
        <w:spacing w:before="219" w:line="500" w:lineRule="exact"/>
        <w:ind w:left="83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6"/>
          <w:position w:val="20"/>
          <w:sz w:val="24"/>
          <w:szCs w:val="24"/>
          <w:highlight w:val="none"/>
          <w:lang w:eastAsia="zh-CN"/>
        </w:rPr>
        <w:t>谈判供应商法定代表人（电子签名或盖章</w:t>
      </w:r>
      <w:r>
        <w:rPr>
          <w:rFonts w:hint="eastAsia" w:asciiTheme="minorEastAsia" w:hAnsiTheme="minorEastAsia" w:eastAsiaTheme="minorEastAsia" w:cstheme="minorEastAsia"/>
          <w:color w:val="auto"/>
          <w:spacing w:val="11"/>
          <w:position w:val="20"/>
          <w:sz w:val="24"/>
          <w:szCs w:val="24"/>
          <w:highlight w:val="none"/>
          <w:lang w:eastAsia="zh-CN"/>
        </w:rPr>
        <w:t>）：</w:t>
      </w:r>
    </w:p>
    <w:p w14:paraId="2F3E9140">
      <w:pPr>
        <w:spacing w:line="227" w:lineRule="auto"/>
        <w:ind w:left="1002"/>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23"/>
          <w:sz w:val="24"/>
          <w:szCs w:val="24"/>
          <w:highlight w:val="none"/>
          <w:lang w:eastAsia="zh-CN"/>
        </w:rPr>
        <w:t>日期：</w:t>
      </w:r>
      <w:r>
        <w:rPr>
          <w:rFonts w:hint="eastAsia" w:asciiTheme="minorEastAsia" w:hAnsiTheme="minorEastAsia" w:eastAsiaTheme="minorEastAsia" w:cstheme="minorEastAsia"/>
          <w:color w:val="auto"/>
          <w:spacing w:val="5"/>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年</w:t>
      </w:r>
      <w:r>
        <w:rPr>
          <w:rFonts w:hint="eastAsia" w:asciiTheme="minorEastAsia" w:hAnsiTheme="minorEastAsia" w:eastAsiaTheme="minorEastAsia" w:cstheme="minorEastAsia"/>
          <w:color w:val="auto"/>
          <w:spacing w:val="21"/>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月</w:t>
      </w:r>
      <w:r>
        <w:rPr>
          <w:rFonts w:hint="eastAsia" w:asciiTheme="minorEastAsia" w:hAnsiTheme="minorEastAsia" w:eastAsiaTheme="minorEastAsia" w:cstheme="minorEastAsia"/>
          <w:color w:val="auto"/>
          <w:spacing w:val="55"/>
          <w:sz w:val="24"/>
          <w:szCs w:val="24"/>
          <w:highlight w:val="none"/>
          <w:lang w:eastAsia="zh-CN"/>
        </w:rPr>
        <w:t xml:space="preserve"> </w:t>
      </w:r>
      <w:r>
        <w:rPr>
          <w:rFonts w:hint="eastAsia" w:asciiTheme="minorEastAsia" w:hAnsiTheme="minorEastAsia" w:eastAsiaTheme="minorEastAsia" w:cstheme="minorEastAsia"/>
          <w:color w:val="auto"/>
          <w:spacing w:val="-23"/>
          <w:sz w:val="24"/>
          <w:szCs w:val="24"/>
          <w:highlight w:val="none"/>
          <w:lang w:eastAsia="zh-CN"/>
        </w:rPr>
        <w:t>日</w:t>
      </w:r>
    </w:p>
    <w:p w14:paraId="32084C28">
      <w:pPr>
        <w:spacing w:line="463" w:lineRule="exact"/>
        <w:ind w:right="223"/>
        <w:jc w:val="both"/>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（四）商务和技术偏差表</w:t>
      </w:r>
    </w:p>
    <w:p w14:paraId="0EE7D8E1">
      <w:pPr>
        <w:spacing w:line="160" w:lineRule="exact"/>
        <w:ind w:firstLine="320" w:firstLineChars="200"/>
        <w:rPr>
          <w:rFonts w:hint="eastAsia" w:ascii="宋体" w:hAnsi="宋体" w:eastAsia="宋体" w:cs="宋体"/>
          <w:color w:val="auto"/>
          <w:sz w:val="16"/>
          <w:szCs w:val="16"/>
          <w:highlight w:val="none"/>
          <w:lang w:eastAsia="zh-CN"/>
        </w:rPr>
      </w:pPr>
    </w:p>
    <w:p w14:paraId="0C1E05FB">
      <w:pPr>
        <w:rPr>
          <w:color w:val="auto"/>
          <w:highlight w:val="none"/>
          <w:lang w:eastAsia="zh-CN"/>
        </w:rPr>
      </w:pPr>
      <w:bookmarkStart w:id="287" w:name="_Toc216582817"/>
      <w:bookmarkStart w:id="288" w:name="_Toc31495"/>
      <w:bookmarkStart w:id="289" w:name="_Toc28959"/>
      <w:bookmarkStart w:id="290" w:name="_Toc22563"/>
      <w:bookmarkStart w:id="291" w:name="_Toc528142918"/>
      <w:bookmarkStart w:id="292" w:name="_Toc563"/>
      <w:bookmarkStart w:id="293" w:name="_Toc515647820"/>
    </w:p>
    <w:bookmarkEnd w:id="287"/>
    <w:bookmarkEnd w:id="288"/>
    <w:bookmarkEnd w:id="289"/>
    <w:bookmarkEnd w:id="290"/>
    <w:bookmarkEnd w:id="291"/>
    <w:bookmarkEnd w:id="292"/>
    <w:bookmarkEnd w:id="293"/>
    <w:p w14:paraId="7BAF17D0">
      <w:pPr>
        <w:jc w:val="center"/>
        <w:rPr>
          <w:rFonts w:hint="eastAsia" w:ascii="宋体" w:hAnsi="宋体" w:eastAsia="宋体" w:cs="宋体"/>
          <w:color w:val="auto"/>
          <w:highlight w:val="none"/>
          <w:lang w:eastAsia="zh-CN"/>
        </w:rPr>
      </w:pPr>
      <w:r>
        <w:rPr>
          <w:rFonts w:hint="eastAsia" w:ascii="宋体" w:hAnsi="宋体" w:eastAsia="宋体" w:cs="宋体"/>
          <w:b/>
          <w:bCs/>
          <w:color w:val="auto"/>
          <w:sz w:val="28"/>
          <w:szCs w:val="28"/>
          <w:highlight w:val="none"/>
          <w:lang w:eastAsia="zh-CN"/>
        </w:rPr>
        <w:t>（一）技术规格偏离表</w:t>
      </w:r>
    </w:p>
    <w:p w14:paraId="36DBB9BB">
      <w:pPr>
        <w:ind w:left="1080" w:leftChars="257" w:hanging="540"/>
        <w:rPr>
          <w:rFonts w:hint="eastAsia" w:ascii="宋体" w:hAnsi="宋体" w:eastAsia="宋体" w:cs="宋体"/>
          <w:color w:val="auto"/>
          <w:highlight w:val="none"/>
          <w:lang w:eastAsia="zh-CN"/>
        </w:rPr>
      </w:pPr>
    </w:p>
    <w:p w14:paraId="3741BC5F">
      <w:pPr>
        <w:ind w:firstLine="630" w:firstLineChars="3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项目名称:                       招标编号:                 包号:</w:t>
      </w:r>
    </w:p>
    <w:tbl>
      <w:tblPr>
        <w:tblStyle w:val="14"/>
        <w:tblW w:w="94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7"/>
        <w:gridCol w:w="880"/>
        <w:gridCol w:w="992"/>
        <w:gridCol w:w="850"/>
        <w:gridCol w:w="851"/>
        <w:gridCol w:w="2905"/>
        <w:gridCol w:w="673"/>
        <w:gridCol w:w="801"/>
        <w:gridCol w:w="795"/>
      </w:tblGrid>
      <w:tr w14:paraId="78FEE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667" w:type="dxa"/>
            <w:vAlign w:val="center"/>
          </w:tcPr>
          <w:p w14:paraId="358CEC03">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rPr>
              <w:t>序号</w:t>
            </w:r>
          </w:p>
        </w:tc>
        <w:tc>
          <w:tcPr>
            <w:tcW w:w="880" w:type="dxa"/>
            <w:vAlign w:val="center"/>
          </w:tcPr>
          <w:p w14:paraId="6C77E40D">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rPr>
              <w:t>货物名称</w:t>
            </w:r>
          </w:p>
        </w:tc>
        <w:tc>
          <w:tcPr>
            <w:tcW w:w="992" w:type="dxa"/>
            <w:vAlign w:val="center"/>
          </w:tcPr>
          <w:p w14:paraId="1F1D630B">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rPr>
              <w:t>货物品种</w:t>
            </w:r>
          </w:p>
        </w:tc>
        <w:tc>
          <w:tcPr>
            <w:tcW w:w="850" w:type="dxa"/>
            <w:vAlign w:val="center"/>
          </w:tcPr>
          <w:p w14:paraId="3AAA21DC">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rPr>
              <w:t>数量</w:t>
            </w:r>
          </w:p>
        </w:tc>
        <w:tc>
          <w:tcPr>
            <w:tcW w:w="851" w:type="dxa"/>
            <w:vAlign w:val="center"/>
          </w:tcPr>
          <w:p w14:paraId="3FA6852E">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rPr>
              <w:t>招标文件条款号</w:t>
            </w:r>
          </w:p>
        </w:tc>
        <w:tc>
          <w:tcPr>
            <w:tcW w:w="2905" w:type="dxa"/>
            <w:vAlign w:val="center"/>
          </w:tcPr>
          <w:p w14:paraId="7AA4570C">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rPr>
              <w:t>招标规格</w:t>
            </w:r>
          </w:p>
        </w:tc>
        <w:tc>
          <w:tcPr>
            <w:tcW w:w="673" w:type="dxa"/>
            <w:vAlign w:val="center"/>
          </w:tcPr>
          <w:p w14:paraId="236E9C5D">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rPr>
              <w:t>投标规格</w:t>
            </w:r>
          </w:p>
        </w:tc>
        <w:tc>
          <w:tcPr>
            <w:tcW w:w="801" w:type="dxa"/>
            <w:vAlign w:val="center"/>
          </w:tcPr>
          <w:p w14:paraId="373245AA">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rPr>
              <w:t>偏离</w:t>
            </w:r>
          </w:p>
        </w:tc>
        <w:tc>
          <w:tcPr>
            <w:tcW w:w="795" w:type="dxa"/>
            <w:vAlign w:val="center"/>
          </w:tcPr>
          <w:p w14:paraId="6F6B9418">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rPr>
              <w:t>证明材料</w:t>
            </w:r>
          </w:p>
        </w:tc>
      </w:tr>
      <w:tr w14:paraId="1831E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667" w:type="dxa"/>
            <w:vAlign w:val="center"/>
          </w:tcPr>
          <w:p w14:paraId="59D06F7E">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rPr>
              <w:t>1</w:t>
            </w:r>
          </w:p>
        </w:tc>
        <w:tc>
          <w:tcPr>
            <w:tcW w:w="880" w:type="dxa"/>
            <w:vAlign w:val="center"/>
          </w:tcPr>
          <w:p w14:paraId="026E991B">
            <w:pPr>
              <w:jc w:val="center"/>
              <w:rPr>
                <w:rFonts w:hint="eastAsia" w:ascii="宋体" w:hAnsi="宋体" w:eastAsia="宋体" w:cs="宋体"/>
                <w:color w:val="auto"/>
                <w:kern w:val="2"/>
                <w:highlight w:val="none"/>
              </w:rPr>
            </w:pPr>
            <w:r>
              <w:rPr>
                <w:rFonts w:hint="eastAsia" w:ascii="宋体" w:hAnsi="宋体" w:eastAsia="宋体" w:cs="宋体"/>
                <w:color w:val="auto"/>
                <w:highlight w:val="none"/>
              </w:rPr>
              <w:t>东德国牧羊犬</w:t>
            </w:r>
          </w:p>
        </w:tc>
        <w:tc>
          <w:tcPr>
            <w:tcW w:w="992" w:type="dxa"/>
            <w:vAlign w:val="center"/>
          </w:tcPr>
          <w:p w14:paraId="46F7DDB7">
            <w:pPr>
              <w:jc w:val="center"/>
              <w:rPr>
                <w:rFonts w:hint="eastAsia" w:ascii="宋体" w:hAnsi="宋体" w:eastAsia="宋体" w:cs="宋体"/>
                <w:color w:val="auto"/>
                <w:kern w:val="2"/>
                <w:highlight w:val="none"/>
              </w:rPr>
            </w:pPr>
            <w:r>
              <w:rPr>
                <w:rFonts w:hint="eastAsia" w:ascii="宋体" w:hAnsi="宋体" w:eastAsia="宋体" w:cs="宋体"/>
                <w:color w:val="auto"/>
                <w:highlight w:val="none"/>
              </w:rPr>
              <w:t>东德国牧羊犬</w:t>
            </w:r>
          </w:p>
        </w:tc>
        <w:tc>
          <w:tcPr>
            <w:tcW w:w="850" w:type="dxa"/>
            <w:vAlign w:val="center"/>
          </w:tcPr>
          <w:p w14:paraId="2D760873">
            <w:pPr>
              <w:ind w:left="539" w:hanging="539"/>
              <w:jc w:val="center"/>
              <w:rPr>
                <w:rFonts w:hint="eastAsia" w:ascii="宋体" w:hAnsi="宋体" w:eastAsia="宋体" w:cs="宋体"/>
                <w:color w:val="auto"/>
                <w:kern w:val="2"/>
                <w:highlight w:val="none"/>
                <w:lang w:eastAsia="zh-CN"/>
              </w:rPr>
            </w:pPr>
            <w:r>
              <w:rPr>
                <w:rFonts w:hint="eastAsia" w:ascii="宋体" w:hAnsi="宋体" w:eastAsia="宋体" w:cs="宋体"/>
                <w:color w:val="auto"/>
                <w:kern w:val="2"/>
                <w:highlight w:val="none"/>
                <w:lang w:eastAsia="zh-CN"/>
              </w:rPr>
              <w:t>75</w:t>
            </w:r>
            <w:r>
              <w:rPr>
                <w:rFonts w:hint="eastAsia" w:ascii="宋体" w:hAnsi="宋体" w:cs="宋体"/>
                <w:color w:val="auto"/>
                <w:spacing w:val="9"/>
                <w:sz w:val="24"/>
                <w:szCs w:val="24"/>
                <w:highlight w:val="none"/>
                <w:lang w:eastAsia="zh-CN"/>
              </w:rPr>
              <w:t>头</w:t>
            </w:r>
          </w:p>
        </w:tc>
        <w:tc>
          <w:tcPr>
            <w:tcW w:w="851" w:type="dxa"/>
            <w:vAlign w:val="center"/>
          </w:tcPr>
          <w:p w14:paraId="24477D06">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rPr>
              <w:t>第三章采购需求</w:t>
            </w:r>
          </w:p>
          <w:p w14:paraId="2B887FB9">
            <w:pPr>
              <w:jc w:val="center"/>
              <w:rPr>
                <w:rFonts w:hint="eastAsia" w:ascii="宋体" w:hAnsi="宋体" w:eastAsia="宋体" w:cs="宋体"/>
                <w:color w:val="auto"/>
                <w:kern w:val="2"/>
                <w:highlight w:val="none"/>
              </w:rPr>
            </w:pPr>
          </w:p>
        </w:tc>
        <w:tc>
          <w:tcPr>
            <w:tcW w:w="2905" w:type="dxa"/>
          </w:tcPr>
          <w:p w14:paraId="6884EEA5">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体格参数：体重≥30kg,体长≥65cm,体高≥60cm,胸围≥70cm,胸深≥28cm，肩高≥50cm，</w:t>
            </w:r>
            <w:r>
              <w:rPr>
                <w:rFonts w:hint="eastAsia" w:asciiTheme="minorEastAsia" w:hAnsiTheme="minorEastAsia" w:eastAsiaTheme="minorEastAsia" w:cstheme="minorEastAsia"/>
                <w:color w:val="auto"/>
                <w:spacing w:val="9"/>
                <w:sz w:val="21"/>
                <w:szCs w:val="21"/>
                <w:highlight w:val="none"/>
              </w:rPr>
              <w:t>头</w:t>
            </w:r>
            <w:r>
              <w:rPr>
                <w:rFonts w:hint="eastAsia" w:asciiTheme="minorEastAsia" w:hAnsiTheme="minorEastAsia" w:eastAsiaTheme="minorEastAsia" w:cstheme="minorEastAsia"/>
                <w:color w:val="auto"/>
                <w:kern w:val="2"/>
                <w:sz w:val="21"/>
                <w:szCs w:val="21"/>
                <w:highlight w:val="none"/>
              </w:rPr>
              <w:t>长≥23cm。</w:t>
            </w:r>
          </w:p>
          <w:p w14:paraId="552CD3E6">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 xml:space="preserve">年龄：8个月-20个月之间。 </w:t>
            </w:r>
          </w:p>
          <w:p w14:paraId="245D05D5">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毛色：黑色、黑褐色或狼灰色。</w:t>
            </w:r>
          </w:p>
          <w:p w14:paraId="4AF48E46">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注：所有犬种的体型外貌、神经类型、感官机能、主要反应的选择一致。具体如下：</w:t>
            </w:r>
          </w:p>
          <w:p w14:paraId="7C756D1B">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1.体型外貌：要求犬只体型中等，外观各部匀称、紧凑，肌肉发达，体质健壮，姿态端正。</w:t>
            </w:r>
          </w:p>
          <w:p w14:paraId="1A0358B7">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2.神经类型：具备强而不均衡的兴奋型和强而均衡的灵活型神经类型。</w:t>
            </w:r>
          </w:p>
          <w:p w14:paraId="6126FD94">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3.感官机能：犬只视觉和听觉良好，嗅觉灵敏，嗅认方式佳，牙齿齐全，雄性犬只具有双睾丸，无生理机能缺陷。</w:t>
            </w:r>
          </w:p>
          <w:p w14:paraId="4CD7203C">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4.主要反应的选择：优先选择猎取反射积极、衔取欲强、主动防御反射和食物反应占优势的犬只。探求反应强且猎取反射退化的犬只不可作为待训警犬。</w:t>
            </w:r>
          </w:p>
          <w:p w14:paraId="73D9434E">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5.允许的毛色变异范围应符合各犬种国际公认的标准。</w:t>
            </w:r>
          </w:p>
        </w:tc>
        <w:tc>
          <w:tcPr>
            <w:tcW w:w="673" w:type="dxa"/>
          </w:tcPr>
          <w:p w14:paraId="69B1DAA4">
            <w:pPr>
              <w:spacing w:line="0" w:lineRule="atLeast"/>
              <w:ind w:left="1080" w:leftChars="257" w:hanging="540"/>
              <w:rPr>
                <w:rFonts w:hint="eastAsia" w:ascii="宋体" w:hAnsi="宋体" w:eastAsia="宋体" w:cs="宋体"/>
                <w:color w:val="auto"/>
                <w:kern w:val="2"/>
                <w:sz w:val="20"/>
                <w:szCs w:val="20"/>
                <w:highlight w:val="none"/>
                <w:lang w:eastAsia="zh-CN"/>
              </w:rPr>
            </w:pPr>
          </w:p>
        </w:tc>
        <w:tc>
          <w:tcPr>
            <w:tcW w:w="801" w:type="dxa"/>
          </w:tcPr>
          <w:p w14:paraId="68CB0B94">
            <w:pPr>
              <w:ind w:left="1080" w:leftChars="257" w:hanging="540"/>
              <w:rPr>
                <w:rFonts w:hint="eastAsia" w:ascii="宋体" w:hAnsi="宋体" w:eastAsia="宋体" w:cs="宋体"/>
                <w:color w:val="auto"/>
                <w:kern w:val="2"/>
                <w:highlight w:val="none"/>
                <w:lang w:eastAsia="zh-CN"/>
              </w:rPr>
            </w:pPr>
          </w:p>
        </w:tc>
        <w:tc>
          <w:tcPr>
            <w:tcW w:w="795" w:type="dxa"/>
          </w:tcPr>
          <w:p w14:paraId="393DAE0E">
            <w:pPr>
              <w:ind w:left="1080" w:leftChars="257" w:hanging="540"/>
              <w:rPr>
                <w:rFonts w:hint="eastAsia" w:ascii="宋体" w:hAnsi="宋体" w:eastAsia="宋体" w:cs="宋体"/>
                <w:color w:val="auto"/>
                <w:kern w:val="2"/>
                <w:highlight w:val="none"/>
                <w:lang w:eastAsia="zh-CN"/>
              </w:rPr>
            </w:pPr>
          </w:p>
        </w:tc>
      </w:tr>
      <w:tr w14:paraId="6F850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667" w:type="dxa"/>
            <w:vAlign w:val="center"/>
          </w:tcPr>
          <w:p w14:paraId="0131966B">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rPr>
              <w:t>2</w:t>
            </w:r>
          </w:p>
        </w:tc>
        <w:tc>
          <w:tcPr>
            <w:tcW w:w="880" w:type="dxa"/>
            <w:vAlign w:val="center"/>
          </w:tcPr>
          <w:p w14:paraId="33CD7200">
            <w:pPr>
              <w:jc w:val="both"/>
              <w:rPr>
                <w:rFonts w:hint="eastAsia" w:ascii="宋体" w:hAnsi="宋体" w:eastAsia="宋体" w:cs="宋体"/>
                <w:color w:val="auto"/>
                <w:kern w:val="2"/>
                <w:highlight w:val="none"/>
              </w:rPr>
            </w:pPr>
            <w:r>
              <w:rPr>
                <w:rFonts w:hint="eastAsia" w:ascii="宋体" w:hAnsi="宋体" w:eastAsia="宋体" w:cs="宋体"/>
                <w:color w:val="auto"/>
                <w:kern w:val="2"/>
                <w:highlight w:val="none"/>
                <w:lang w:eastAsia="zh-CN"/>
              </w:rPr>
              <w:t>马里努阿犬</w:t>
            </w:r>
          </w:p>
        </w:tc>
        <w:tc>
          <w:tcPr>
            <w:tcW w:w="992" w:type="dxa"/>
            <w:vAlign w:val="center"/>
          </w:tcPr>
          <w:p w14:paraId="1FDC2580">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lang w:eastAsia="zh-CN"/>
              </w:rPr>
              <w:t>马里努阿犬</w:t>
            </w:r>
          </w:p>
        </w:tc>
        <w:tc>
          <w:tcPr>
            <w:tcW w:w="850" w:type="dxa"/>
            <w:vAlign w:val="center"/>
          </w:tcPr>
          <w:p w14:paraId="67A20294">
            <w:pPr>
              <w:ind w:left="539" w:hanging="539"/>
              <w:jc w:val="center"/>
              <w:rPr>
                <w:rFonts w:hint="eastAsia" w:ascii="宋体" w:hAnsi="宋体" w:eastAsia="宋体" w:cs="宋体"/>
                <w:color w:val="auto"/>
                <w:kern w:val="2"/>
                <w:highlight w:val="none"/>
                <w:lang w:eastAsia="zh-CN"/>
              </w:rPr>
            </w:pPr>
            <w:r>
              <w:rPr>
                <w:rFonts w:hint="eastAsia" w:ascii="宋体" w:hAnsi="宋体" w:eastAsia="宋体" w:cs="宋体"/>
                <w:color w:val="auto"/>
                <w:kern w:val="2"/>
                <w:highlight w:val="none"/>
                <w:lang w:eastAsia="zh-CN"/>
              </w:rPr>
              <w:t>66</w:t>
            </w:r>
            <w:r>
              <w:rPr>
                <w:rFonts w:hint="eastAsia" w:ascii="宋体" w:hAnsi="宋体" w:cs="宋体"/>
                <w:color w:val="auto"/>
                <w:spacing w:val="9"/>
                <w:sz w:val="24"/>
                <w:szCs w:val="24"/>
                <w:highlight w:val="none"/>
                <w:lang w:eastAsia="zh-CN"/>
              </w:rPr>
              <w:t>头</w:t>
            </w:r>
          </w:p>
        </w:tc>
        <w:tc>
          <w:tcPr>
            <w:tcW w:w="851" w:type="dxa"/>
            <w:vAlign w:val="center"/>
          </w:tcPr>
          <w:p w14:paraId="4ED7D7EA">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rPr>
              <w:t>第三章采购需求</w:t>
            </w:r>
          </w:p>
          <w:p w14:paraId="1600B99A">
            <w:pPr>
              <w:jc w:val="center"/>
              <w:rPr>
                <w:rFonts w:hint="eastAsia" w:ascii="宋体" w:hAnsi="宋体" w:eastAsia="宋体" w:cs="宋体"/>
                <w:color w:val="auto"/>
                <w:kern w:val="2"/>
                <w:highlight w:val="none"/>
              </w:rPr>
            </w:pPr>
          </w:p>
        </w:tc>
        <w:tc>
          <w:tcPr>
            <w:tcW w:w="2905" w:type="dxa"/>
          </w:tcPr>
          <w:p w14:paraId="07429B03">
            <w:pPr>
              <w:pStyle w:val="20"/>
              <w:numPr>
                <w:ilvl w:val="0"/>
                <w:numId w:val="0"/>
              </w:numPr>
              <w:spacing w:line="0" w:lineRule="atLeast"/>
              <w:rPr>
                <w:rFonts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体格参数：体重≥18kg,体长≥55cm,体高≥54cm,胸围≥65cm,胸深≥25cm，肩高≥54cm，头长≥20cm。</w:t>
            </w:r>
          </w:p>
          <w:p w14:paraId="1BC38783">
            <w:pPr>
              <w:pStyle w:val="20"/>
              <w:numPr>
                <w:ilvl w:val="0"/>
                <w:numId w:val="0"/>
              </w:numPr>
              <w:spacing w:line="0" w:lineRule="atLeast"/>
              <w:rPr>
                <w:rFonts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年龄：8个月-20个月之间。</w:t>
            </w:r>
          </w:p>
          <w:p w14:paraId="0056A507">
            <w:pPr>
              <w:pStyle w:val="20"/>
              <w:numPr>
                <w:ilvl w:val="0"/>
                <w:numId w:val="0"/>
              </w:numPr>
              <w:spacing w:line="0" w:lineRule="atLeast"/>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毛色：浅黄褐色至红褐色，毛尖为黑色。注：所有犬种的体型外貌、神经类型、感官机能、主要反应的选择一致。具体如下：</w:t>
            </w:r>
          </w:p>
          <w:p w14:paraId="29B9AD75">
            <w:pPr>
              <w:pStyle w:val="20"/>
              <w:numPr>
                <w:ilvl w:val="0"/>
                <w:numId w:val="0"/>
              </w:numPr>
              <w:spacing w:line="0" w:lineRule="atLeast"/>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1.体型外貌：要求犬只体型中等，外观各部匀称、紧凑，肌肉发达，体质健壮，姿态端正。</w:t>
            </w:r>
          </w:p>
          <w:p w14:paraId="30E2072A">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2.神经类型：具备强而不均衡的兴奋型和强而均衡的灵活型神经类型。</w:t>
            </w:r>
          </w:p>
          <w:p w14:paraId="6EBF88DC">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3.感官机能：犬只视觉和听觉良好，嗅觉灵敏，嗅认方式佳，牙齿齐全，雄性犬只具有双睾丸，无生理机能缺陷。</w:t>
            </w:r>
          </w:p>
          <w:p w14:paraId="729C0259">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4.主要反应的选择：优先选择猎取反射积极、衔取欲强、主动防御反射和食物反应占优势的犬只。探求反应强且猎取反射退化的犬只不可作为待训警犬。</w:t>
            </w:r>
          </w:p>
          <w:p w14:paraId="757B7039">
            <w:pPr>
              <w:rPr>
                <w:rFonts w:hint="eastAsia" w:ascii="宋体" w:hAnsi="宋体" w:eastAsia="宋体" w:cs="宋体"/>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5.允许的毛色变异范围应符合各犬种国际公认的标准。</w:t>
            </w:r>
          </w:p>
        </w:tc>
        <w:tc>
          <w:tcPr>
            <w:tcW w:w="673" w:type="dxa"/>
          </w:tcPr>
          <w:p w14:paraId="7FE8F705">
            <w:pPr>
              <w:ind w:left="1080" w:leftChars="257" w:hanging="540"/>
              <w:rPr>
                <w:rFonts w:hint="eastAsia" w:ascii="宋体" w:hAnsi="宋体" w:eastAsia="宋体" w:cs="宋体"/>
                <w:color w:val="auto"/>
                <w:kern w:val="2"/>
                <w:highlight w:val="none"/>
                <w:lang w:eastAsia="zh-CN"/>
              </w:rPr>
            </w:pPr>
          </w:p>
        </w:tc>
        <w:tc>
          <w:tcPr>
            <w:tcW w:w="801" w:type="dxa"/>
          </w:tcPr>
          <w:p w14:paraId="7EB75DDE">
            <w:pPr>
              <w:ind w:left="1080" w:leftChars="257" w:hanging="540"/>
              <w:rPr>
                <w:rFonts w:hint="eastAsia" w:ascii="宋体" w:hAnsi="宋体" w:eastAsia="宋体" w:cs="宋体"/>
                <w:color w:val="auto"/>
                <w:kern w:val="2"/>
                <w:highlight w:val="none"/>
                <w:lang w:eastAsia="zh-CN"/>
              </w:rPr>
            </w:pPr>
          </w:p>
        </w:tc>
        <w:tc>
          <w:tcPr>
            <w:tcW w:w="795" w:type="dxa"/>
          </w:tcPr>
          <w:p w14:paraId="0FF35748">
            <w:pPr>
              <w:ind w:left="1080" w:leftChars="257" w:hanging="540"/>
              <w:rPr>
                <w:rFonts w:hint="eastAsia" w:ascii="宋体" w:hAnsi="宋体" w:eastAsia="宋体" w:cs="宋体"/>
                <w:color w:val="auto"/>
                <w:kern w:val="2"/>
                <w:highlight w:val="none"/>
                <w:lang w:eastAsia="zh-CN"/>
              </w:rPr>
            </w:pPr>
          </w:p>
        </w:tc>
      </w:tr>
      <w:tr w14:paraId="30031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jc w:val="center"/>
        </w:trPr>
        <w:tc>
          <w:tcPr>
            <w:tcW w:w="667" w:type="dxa"/>
            <w:vAlign w:val="center"/>
          </w:tcPr>
          <w:p w14:paraId="79B2D825">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rPr>
              <w:t>3</w:t>
            </w:r>
          </w:p>
        </w:tc>
        <w:tc>
          <w:tcPr>
            <w:tcW w:w="880" w:type="dxa"/>
            <w:vAlign w:val="center"/>
          </w:tcPr>
          <w:p w14:paraId="434584C5">
            <w:pPr>
              <w:jc w:val="both"/>
              <w:rPr>
                <w:rFonts w:hint="eastAsia" w:ascii="宋体" w:hAnsi="宋体" w:eastAsia="宋体" w:cs="宋体"/>
                <w:color w:val="auto"/>
                <w:kern w:val="2"/>
                <w:highlight w:val="none"/>
              </w:rPr>
            </w:pPr>
            <w:r>
              <w:rPr>
                <w:rFonts w:hint="eastAsia" w:ascii="宋体" w:hAnsi="宋体" w:eastAsia="宋体" w:cs="宋体"/>
                <w:color w:val="auto"/>
                <w:kern w:val="2"/>
                <w:highlight w:val="none"/>
                <w:lang w:eastAsia="zh-CN"/>
              </w:rPr>
              <w:t>史宾格犬</w:t>
            </w:r>
          </w:p>
        </w:tc>
        <w:tc>
          <w:tcPr>
            <w:tcW w:w="992" w:type="dxa"/>
            <w:vAlign w:val="center"/>
          </w:tcPr>
          <w:p w14:paraId="75E0A64D">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lang w:eastAsia="zh-CN"/>
              </w:rPr>
              <w:t>史宾格犬</w:t>
            </w:r>
          </w:p>
        </w:tc>
        <w:tc>
          <w:tcPr>
            <w:tcW w:w="850" w:type="dxa"/>
            <w:vAlign w:val="center"/>
          </w:tcPr>
          <w:p w14:paraId="26F93F2C">
            <w:pPr>
              <w:ind w:left="539" w:hanging="539"/>
              <w:jc w:val="center"/>
              <w:rPr>
                <w:rFonts w:hint="eastAsia" w:ascii="宋体" w:hAnsi="宋体" w:eastAsia="宋体" w:cs="宋体"/>
                <w:color w:val="auto"/>
                <w:kern w:val="2"/>
                <w:highlight w:val="none"/>
                <w:lang w:eastAsia="zh-CN"/>
              </w:rPr>
            </w:pPr>
            <w:r>
              <w:rPr>
                <w:rFonts w:hint="eastAsia" w:ascii="宋体" w:hAnsi="宋体" w:eastAsia="宋体" w:cs="宋体"/>
                <w:color w:val="auto"/>
                <w:kern w:val="2"/>
                <w:highlight w:val="none"/>
                <w:lang w:eastAsia="zh-CN"/>
              </w:rPr>
              <w:t>5</w:t>
            </w:r>
            <w:r>
              <w:rPr>
                <w:rFonts w:hint="eastAsia" w:ascii="宋体" w:hAnsi="宋体" w:cs="宋体"/>
                <w:color w:val="auto"/>
                <w:spacing w:val="9"/>
                <w:sz w:val="24"/>
                <w:szCs w:val="24"/>
                <w:highlight w:val="none"/>
                <w:lang w:eastAsia="zh-CN"/>
              </w:rPr>
              <w:t>头</w:t>
            </w:r>
          </w:p>
        </w:tc>
        <w:tc>
          <w:tcPr>
            <w:tcW w:w="851" w:type="dxa"/>
            <w:vAlign w:val="center"/>
          </w:tcPr>
          <w:p w14:paraId="572CC3DF">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rPr>
              <w:t>第三章采购需求</w:t>
            </w:r>
          </w:p>
          <w:p w14:paraId="103F3A99">
            <w:pPr>
              <w:jc w:val="center"/>
              <w:rPr>
                <w:rFonts w:hint="eastAsia" w:ascii="宋体" w:hAnsi="宋体" w:eastAsia="宋体" w:cs="宋体"/>
                <w:color w:val="auto"/>
                <w:kern w:val="2"/>
                <w:highlight w:val="none"/>
              </w:rPr>
            </w:pPr>
          </w:p>
        </w:tc>
        <w:tc>
          <w:tcPr>
            <w:tcW w:w="2905" w:type="dxa"/>
          </w:tcPr>
          <w:p w14:paraId="4DFB5C1E">
            <w:pPr>
              <w:pStyle w:val="20"/>
              <w:numPr>
                <w:ilvl w:val="0"/>
                <w:numId w:val="0"/>
              </w:numPr>
              <w:spacing w:line="0" w:lineRule="atLeast"/>
              <w:rPr>
                <w:rFonts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体格参数：体重≥15kg,体长≥46cm,体高≥42cm,胸围≥58cm,胸深≥20cm，肩高≥42cm，头长≥18cm。</w:t>
            </w:r>
          </w:p>
          <w:p w14:paraId="69466B53">
            <w:pPr>
              <w:pStyle w:val="20"/>
              <w:numPr>
                <w:ilvl w:val="0"/>
                <w:numId w:val="0"/>
              </w:numPr>
              <w:spacing w:line="0" w:lineRule="atLeast"/>
              <w:rPr>
                <w:rFonts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年龄：8个月-20个月之间。</w:t>
            </w:r>
          </w:p>
          <w:p w14:paraId="5500DFD4">
            <w:pPr>
              <w:pStyle w:val="20"/>
              <w:numPr>
                <w:ilvl w:val="0"/>
                <w:numId w:val="0"/>
              </w:numPr>
              <w:spacing w:line="0" w:lineRule="atLeast"/>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毛色：黑色、白色或棕色与白色相间。注：所有犬种的体型外貌、神经类型、感官机能、主要反应的选择一致。具体如下：</w:t>
            </w:r>
          </w:p>
          <w:p w14:paraId="1C569810">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1.体型外貌：要求犬只体型中等，外观各部匀称、紧凑，肌肉发达，体质健壮，姿态端正。</w:t>
            </w:r>
          </w:p>
          <w:p w14:paraId="350063F7">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2.神经类型：具备强而不均衡的兴奋型和强而均衡的灵活型神经类型。</w:t>
            </w:r>
          </w:p>
          <w:p w14:paraId="704FB776">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3.感官机能：犬只视觉和听觉良好，嗅觉灵敏，嗅认方式佳，牙齿齐全，雄性犬只具有双睾丸，无生理机能缺陷。</w:t>
            </w:r>
          </w:p>
          <w:p w14:paraId="36317403">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4.主要反应的选择：优先选择猎取反射积极、衔取欲强、主动防御反射和食物反应占优势的犬只。探求反应强且猎取反射退化的犬只不可作为待训警犬。</w:t>
            </w:r>
          </w:p>
          <w:p w14:paraId="228C52A7">
            <w:pPr>
              <w:rPr>
                <w:rFonts w:hint="eastAsia" w:ascii="宋体" w:hAnsi="宋体" w:eastAsia="宋体" w:cs="宋体"/>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5.允许的毛色变异范围应符合各犬种国际公认的标准。</w:t>
            </w:r>
          </w:p>
        </w:tc>
        <w:tc>
          <w:tcPr>
            <w:tcW w:w="673" w:type="dxa"/>
          </w:tcPr>
          <w:p w14:paraId="0B3C696C">
            <w:pPr>
              <w:ind w:left="1080" w:leftChars="257" w:hanging="540"/>
              <w:rPr>
                <w:rFonts w:hint="eastAsia" w:ascii="宋体" w:hAnsi="宋体" w:eastAsia="宋体" w:cs="宋体"/>
                <w:color w:val="auto"/>
                <w:kern w:val="2"/>
                <w:highlight w:val="none"/>
                <w:lang w:eastAsia="zh-CN"/>
              </w:rPr>
            </w:pPr>
          </w:p>
        </w:tc>
        <w:tc>
          <w:tcPr>
            <w:tcW w:w="801" w:type="dxa"/>
          </w:tcPr>
          <w:p w14:paraId="3308CC38">
            <w:pPr>
              <w:ind w:left="1080" w:leftChars="257" w:hanging="540"/>
              <w:rPr>
                <w:rFonts w:hint="eastAsia" w:ascii="宋体" w:hAnsi="宋体" w:eastAsia="宋体" w:cs="宋体"/>
                <w:color w:val="auto"/>
                <w:kern w:val="2"/>
                <w:highlight w:val="none"/>
                <w:lang w:eastAsia="zh-CN"/>
              </w:rPr>
            </w:pPr>
          </w:p>
        </w:tc>
        <w:tc>
          <w:tcPr>
            <w:tcW w:w="795" w:type="dxa"/>
          </w:tcPr>
          <w:p w14:paraId="0A811F86">
            <w:pPr>
              <w:ind w:left="1080" w:leftChars="257" w:hanging="540"/>
              <w:rPr>
                <w:rFonts w:hint="eastAsia" w:ascii="宋体" w:hAnsi="宋体" w:eastAsia="宋体" w:cs="宋体"/>
                <w:color w:val="auto"/>
                <w:kern w:val="2"/>
                <w:highlight w:val="none"/>
                <w:lang w:eastAsia="zh-CN"/>
              </w:rPr>
            </w:pPr>
          </w:p>
        </w:tc>
      </w:tr>
      <w:tr w14:paraId="61F89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667" w:type="dxa"/>
            <w:vAlign w:val="center"/>
          </w:tcPr>
          <w:p w14:paraId="5CEC86FE">
            <w:pPr>
              <w:jc w:val="center"/>
              <w:rPr>
                <w:rFonts w:hint="eastAsia" w:ascii="宋体" w:hAnsi="宋体" w:eastAsia="宋体" w:cs="宋体"/>
                <w:color w:val="auto"/>
                <w:kern w:val="2"/>
                <w:highlight w:val="none"/>
                <w:lang w:eastAsia="zh-CN"/>
              </w:rPr>
            </w:pPr>
            <w:r>
              <w:rPr>
                <w:rFonts w:hint="eastAsia" w:ascii="宋体" w:hAnsi="宋体" w:eastAsia="宋体" w:cs="宋体"/>
                <w:color w:val="auto"/>
                <w:kern w:val="2"/>
                <w:highlight w:val="none"/>
                <w:lang w:eastAsia="zh-CN"/>
              </w:rPr>
              <w:t>4</w:t>
            </w:r>
          </w:p>
        </w:tc>
        <w:tc>
          <w:tcPr>
            <w:tcW w:w="880" w:type="dxa"/>
            <w:vAlign w:val="center"/>
          </w:tcPr>
          <w:p w14:paraId="096A1EAF">
            <w:pPr>
              <w:jc w:val="both"/>
              <w:rPr>
                <w:rFonts w:hint="eastAsia" w:ascii="宋体" w:hAnsi="宋体" w:eastAsia="宋体" w:cs="宋体"/>
                <w:color w:val="auto"/>
                <w:kern w:val="2"/>
                <w:highlight w:val="none"/>
                <w:lang w:eastAsia="zh-CN"/>
              </w:rPr>
            </w:pPr>
            <w:r>
              <w:rPr>
                <w:rFonts w:hint="eastAsia" w:ascii="宋体" w:hAnsi="宋体" w:eastAsia="宋体" w:cs="宋体"/>
                <w:color w:val="auto"/>
                <w:kern w:val="2"/>
                <w:highlight w:val="none"/>
                <w:lang w:eastAsia="zh-CN"/>
              </w:rPr>
              <w:t>新疆牧羊犬</w:t>
            </w:r>
          </w:p>
        </w:tc>
        <w:tc>
          <w:tcPr>
            <w:tcW w:w="992" w:type="dxa"/>
            <w:vAlign w:val="center"/>
          </w:tcPr>
          <w:p w14:paraId="36F64DBF">
            <w:pPr>
              <w:jc w:val="center"/>
              <w:rPr>
                <w:rFonts w:hint="eastAsia" w:ascii="宋体" w:hAnsi="宋体" w:eastAsia="宋体" w:cs="宋体"/>
                <w:color w:val="auto"/>
                <w:kern w:val="2"/>
                <w:highlight w:val="none"/>
                <w:lang w:eastAsia="zh-CN"/>
              </w:rPr>
            </w:pPr>
            <w:r>
              <w:rPr>
                <w:rFonts w:hint="eastAsia" w:ascii="宋体" w:hAnsi="宋体" w:eastAsia="宋体" w:cs="宋体"/>
                <w:color w:val="auto"/>
                <w:kern w:val="2"/>
                <w:highlight w:val="none"/>
                <w:lang w:eastAsia="zh-CN"/>
              </w:rPr>
              <w:t>新疆牧羊犬</w:t>
            </w:r>
          </w:p>
        </w:tc>
        <w:tc>
          <w:tcPr>
            <w:tcW w:w="850" w:type="dxa"/>
            <w:vAlign w:val="center"/>
          </w:tcPr>
          <w:p w14:paraId="444F3D31">
            <w:pPr>
              <w:ind w:left="539" w:hanging="539"/>
              <w:jc w:val="center"/>
              <w:rPr>
                <w:rFonts w:hint="eastAsia" w:ascii="宋体" w:hAnsi="宋体" w:eastAsia="宋体" w:cs="宋体"/>
                <w:color w:val="auto"/>
                <w:kern w:val="2"/>
                <w:highlight w:val="none"/>
                <w:lang w:eastAsia="zh-CN"/>
              </w:rPr>
            </w:pPr>
            <w:r>
              <w:rPr>
                <w:rFonts w:hint="eastAsia" w:ascii="宋体" w:hAnsi="宋体" w:eastAsia="宋体" w:cs="宋体"/>
                <w:color w:val="auto"/>
                <w:kern w:val="2"/>
                <w:highlight w:val="none"/>
                <w:lang w:eastAsia="zh-CN"/>
              </w:rPr>
              <w:t>2</w:t>
            </w:r>
            <w:r>
              <w:rPr>
                <w:rFonts w:hint="eastAsia" w:ascii="宋体" w:hAnsi="宋体" w:cs="宋体"/>
                <w:color w:val="auto"/>
                <w:spacing w:val="9"/>
                <w:sz w:val="24"/>
                <w:szCs w:val="24"/>
                <w:highlight w:val="none"/>
                <w:lang w:eastAsia="zh-CN"/>
              </w:rPr>
              <w:t>头</w:t>
            </w:r>
          </w:p>
        </w:tc>
        <w:tc>
          <w:tcPr>
            <w:tcW w:w="851" w:type="dxa"/>
            <w:shd w:val="clear" w:color="auto" w:fill="auto"/>
            <w:vAlign w:val="center"/>
          </w:tcPr>
          <w:p w14:paraId="5DE0F613">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rPr>
              <w:t>第三章采购需求</w:t>
            </w:r>
          </w:p>
        </w:tc>
        <w:tc>
          <w:tcPr>
            <w:tcW w:w="2905" w:type="dxa"/>
          </w:tcPr>
          <w:p w14:paraId="73AEB665">
            <w:pPr>
              <w:pStyle w:val="20"/>
              <w:numPr>
                <w:ilvl w:val="0"/>
                <w:numId w:val="0"/>
              </w:numPr>
              <w:spacing w:line="0" w:lineRule="atLeast"/>
              <w:rPr>
                <w:rFonts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体格参数：体重≥25kg,体长≥60cm,体高≥55cm,胸围≥70cm,胸深≥25cm，肩高≥55cm，头长≥22cm。</w:t>
            </w:r>
          </w:p>
          <w:p w14:paraId="40D1DCE3">
            <w:pPr>
              <w:pStyle w:val="20"/>
              <w:numPr>
                <w:ilvl w:val="0"/>
                <w:numId w:val="0"/>
              </w:numPr>
              <w:spacing w:line="0" w:lineRule="atLeast"/>
              <w:rPr>
                <w:rFonts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年龄：8个月-20个月之间。</w:t>
            </w:r>
          </w:p>
          <w:p w14:paraId="654F9BBC">
            <w:pPr>
              <w:pStyle w:val="20"/>
              <w:numPr>
                <w:ilvl w:val="0"/>
                <w:numId w:val="0"/>
              </w:numPr>
              <w:spacing w:line="0" w:lineRule="atLeast"/>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毛色：黑色、黑褐色或白色带黑斑。注：所有犬种的体型外貌、神经类型、感官机能、主要反应的选择一致。具体如下：</w:t>
            </w:r>
          </w:p>
          <w:p w14:paraId="414BD7A4">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1.体型外貌：要求犬只体型中等，外观各部匀称、紧凑，肌肉发达，体质健壮，姿态端正。</w:t>
            </w:r>
          </w:p>
          <w:p w14:paraId="02548C9D">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2.神经类型：具备强而不均衡的兴奋型和强而均衡的灵活型神经类型。</w:t>
            </w:r>
          </w:p>
          <w:p w14:paraId="0D454E98">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3.感官机能：犬只视觉和听觉良好，嗅觉灵敏，嗅认方式佳，牙齿齐全，雄性犬只具有双睾丸，无生理机能缺陷。</w:t>
            </w:r>
          </w:p>
          <w:p w14:paraId="471F04D9">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4.主要反应的选择：优先选择猎取反射积极、衔取欲强、主动防御反射和食物反应占优势的犬只。探求反应强且猎取反射退化的犬只不可作为待训警犬。</w:t>
            </w:r>
          </w:p>
          <w:p w14:paraId="0372B31D">
            <w:pPr>
              <w:rPr>
                <w:rFonts w:ascii="黑体" w:hAnsi="Times New Roman" w:eastAsia="黑体" w:cs="Times New Roman"/>
                <w:color w:val="auto"/>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5.允许的毛色变异范围应符合各犬种国际公认的标准。</w:t>
            </w:r>
          </w:p>
        </w:tc>
        <w:tc>
          <w:tcPr>
            <w:tcW w:w="673" w:type="dxa"/>
          </w:tcPr>
          <w:p w14:paraId="7F22093C">
            <w:pPr>
              <w:ind w:left="1080" w:leftChars="257" w:hanging="540"/>
              <w:rPr>
                <w:rFonts w:hint="eastAsia" w:ascii="宋体" w:hAnsi="宋体" w:eastAsia="宋体" w:cs="宋体"/>
                <w:color w:val="auto"/>
                <w:kern w:val="2"/>
                <w:highlight w:val="none"/>
                <w:lang w:eastAsia="zh-CN"/>
              </w:rPr>
            </w:pPr>
          </w:p>
        </w:tc>
        <w:tc>
          <w:tcPr>
            <w:tcW w:w="801" w:type="dxa"/>
          </w:tcPr>
          <w:p w14:paraId="01D592CC">
            <w:pPr>
              <w:ind w:left="1080" w:leftChars="257" w:hanging="540"/>
              <w:rPr>
                <w:rFonts w:hint="eastAsia" w:ascii="宋体" w:hAnsi="宋体" w:eastAsia="宋体" w:cs="宋体"/>
                <w:color w:val="auto"/>
                <w:kern w:val="2"/>
                <w:highlight w:val="none"/>
                <w:lang w:eastAsia="zh-CN"/>
              </w:rPr>
            </w:pPr>
          </w:p>
        </w:tc>
        <w:tc>
          <w:tcPr>
            <w:tcW w:w="795" w:type="dxa"/>
          </w:tcPr>
          <w:p w14:paraId="34B43D7B">
            <w:pPr>
              <w:ind w:left="1080" w:leftChars="257" w:hanging="540"/>
              <w:rPr>
                <w:rFonts w:hint="eastAsia" w:ascii="宋体" w:hAnsi="宋体" w:eastAsia="宋体" w:cs="宋体"/>
                <w:color w:val="auto"/>
                <w:kern w:val="2"/>
                <w:highlight w:val="none"/>
                <w:lang w:eastAsia="zh-CN"/>
              </w:rPr>
            </w:pPr>
          </w:p>
        </w:tc>
      </w:tr>
      <w:tr w14:paraId="1EC80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667" w:type="dxa"/>
            <w:vAlign w:val="center"/>
          </w:tcPr>
          <w:p w14:paraId="33AF95D4">
            <w:pPr>
              <w:jc w:val="center"/>
              <w:rPr>
                <w:rFonts w:hint="eastAsia" w:ascii="宋体" w:hAnsi="宋体" w:eastAsia="宋体" w:cs="宋体"/>
                <w:color w:val="auto"/>
                <w:kern w:val="2"/>
                <w:highlight w:val="none"/>
                <w:lang w:eastAsia="zh-CN"/>
              </w:rPr>
            </w:pPr>
            <w:r>
              <w:rPr>
                <w:rFonts w:hint="eastAsia" w:ascii="宋体" w:hAnsi="宋体" w:eastAsia="宋体" w:cs="宋体"/>
                <w:color w:val="auto"/>
                <w:kern w:val="2"/>
                <w:highlight w:val="none"/>
                <w:lang w:eastAsia="zh-CN"/>
              </w:rPr>
              <w:t>5</w:t>
            </w:r>
          </w:p>
        </w:tc>
        <w:tc>
          <w:tcPr>
            <w:tcW w:w="880" w:type="dxa"/>
            <w:vAlign w:val="center"/>
          </w:tcPr>
          <w:p w14:paraId="1B925059">
            <w:pPr>
              <w:jc w:val="both"/>
              <w:rPr>
                <w:rFonts w:hint="eastAsia" w:ascii="宋体" w:hAnsi="宋体" w:eastAsia="宋体" w:cs="宋体"/>
                <w:color w:val="auto"/>
                <w:kern w:val="2"/>
                <w:highlight w:val="none"/>
                <w:lang w:eastAsia="zh-CN"/>
              </w:rPr>
            </w:pPr>
            <w:r>
              <w:rPr>
                <w:rFonts w:hint="eastAsia" w:ascii="宋体" w:hAnsi="宋体" w:eastAsia="宋体" w:cs="宋体"/>
                <w:color w:val="auto"/>
                <w:kern w:val="2"/>
                <w:highlight w:val="none"/>
                <w:lang w:eastAsia="zh-CN"/>
              </w:rPr>
              <w:t>拉布拉多犬</w:t>
            </w:r>
          </w:p>
        </w:tc>
        <w:tc>
          <w:tcPr>
            <w:tcW w:w="992" w:type="dxa"/>
            <w:vAlign w:val="center"/>
          </w:tcPr>
          <w:p w14:paraId="33398866">
            <w:pPr>
              <w:jc w:val="center"/>
              <w:rPr>
                <w:rFonts w:hint="eastAsia" w:ascii="宋体" w:hAnsi="宋体" w:eastAsia="宋体" w:cs="宋体"/>
                <w:color w:val="auto"/>
                <w:kern w:val="2"/>
                <w:highlight w:val="none"/>
                <w:lang w:eastAsia="zh-CN"/>
              </w:rPr>
            </w:pPr>
            <w:r>
              <w:rPr>
                <w:rFonts w:hint="eastAsia" w:ascii="宋体" w:hAnsi="宋体" w:eastAsia="宋体" w:cs="宋体"/>
                <w:color w:val="auto"/>
                <w:kern w:val="2"/>
                <w:highlight w:val="none"/>
                <w:lang w:eastAsia="zh-CN"/>
              </w:rPr>
              <w:t>拉布拉多犬</w:t>
            </w:r>
          </w:p>
        </w:tc>
        <w:tc>
          <w:tcPr>
            <w:tcW w:w="850" w:type="dxa"/>
            <w:vAlign w:val="center"/>
          </w:tcPr>
          <w:p w14:paraId="766C4B97">
            <w:pPr>
              <w:ind w:left="539" w:hanging="539"/>
              <w:jc w:val="center"/>
              <w:rPr>
                <w:rFonts w:hint="eastAsia" w:ascii="宋体" w:hAnsi="宋体" w:eastAsia="宋体" w:cs="宋体"/>
                <w:color w:val="auto"/>
                <w:kern w:val="2"/>
                <w:highlight w:val="none"/>
                <w:lang w:eastAsia="zh-CN"/>
              </w:rPr>
            </w:pPr>
            <w:r>
              <w:rPr>
                <w:rFonts w:hint="eastAsia" w:ascii="宋体" w:hAnsi="宋体" w:eastAsia="宋体" w:cs="宋体"/>
                <w:color w:val="auto"/>
                <w:kern w:val="2"/>
                <w:highlight w:val="none"/>
                <w:lang w:eastAsia="zh-CN"/>
              </w:rPr>
              <w:t>5</w:t>
            </w:r>
            <w:r>
              <w:rPr>
                <w:rFonts w:hint="eastAsia" w:ascii="宋体" w:hAnsi="宋体" w:cs="宋体"/>
                <w:color w:val="auto"/>
                <w:spacing w:val="9"/>
                <w:sz w:val="24"/>
                <w:szCs w:val="24"/>
                <w:highlight w:val="none"/>
                <w:lang w:eastAsia="zh-CN"/>
              </w:rPr>
              <w:t>头</w:t>
            </w:r>
          </w:p>
        </w:tc>
        <w:tc>
          <w:tcPr>
            <w:tcW w:w="851" w:type="dxa"/>
            <w:shd w:val="clear" w:color="auto" w:fill="auto"/>
            <w:vAlign w:val="center"/>
          </w:tcPr>
          <w:p w14:paraId="7051B20A">
            <w:pPr>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rPr>
              <w:t>第三章采购需求</w:t>
            </w:r>
          </w:p>
        </w:tc>
        <w:tc>
          <w:tcPr>
            <w:tcW w:w="2905" w:type="dxa"/>
          </w:tcPr>
          <w:p w14:paraId="45F58392">
            <w:pPr>
              <w:pStyle w:val="20"/>
              <w:numPr>
                <w:ilvl w:val="0"/>
                <w:numId w:val="0"/>
              </w:numPr>
              <w:spacing w:line="0" w:lineRule="atLeast"/>
              <w:rPr>
                <w:rFonts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体格参数：体重≥20kg,体长≥50cm,体高≥45cm,胸围≥55cm,胸深≥20cm，肩高≥45cm，头长≥18cm。</w:t>
            </w:r>
          </w:p>
          <w:p w14:paraId="13129AA4">
            <w:pPr>
              <w:pStyle w:val="20"/>
              <w:numPr>
                <w:ilvl w:val="0"/>
                <w:numId w:val="0"/>
              </w:numPr>
              <w:spacing w:line="0" w:lineRule="atLeast"/>
              <w:rPr>
                <w:rFonts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年龄：8个月-20个月之间。</w:t>
            </w:r>
          </w:p>
          <w:p w14:paraId="2D7C995E">
            <w:pPr>
              <w:pStyle w:val="20"/>
              <w:numPr>
                <w:ilvl w:val="0"/>
                <w:numId w:val="0"/>
              </w:numPr>
              <w:spacing w:line="0" w:lineRule="atLeast"/>
              <w:rPr>
                <w:rFonts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毛色：黑色、黄色、巧克力色。</w:t>
            </w:r>
          </w:p>
          <w:p w14:paraId="495BB25C">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注：所有犬种的体型外貌、神经类型、感官机能、主要反应的选择一致。具体如下：</w:t>
            </w:r>
          </w:p>
          <w:p w14:paraId="5EF32B3C">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1.体型外貌：要求犬只体型中等，外观各部匀称、紧凑，肌肉发达，体质健壮，姿态端正。</w:t>
            </w:r>
          </w:p>
          <w:p w14:paraId="28A0444B">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2.神经类型：具备强而不均衡的兴奋型和强而均衡的灵活型神经类型。</w:t>
            </w:r>
          </w:p>
          <w:p w14:paraId="3A2BF9EF">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3.感官机能：犬只视觉和听觉良好，嗅觉灵敏，嗅认方式佳，牙齿齐全，雄性犬只具有双睾丸，无生理机能缺陷。</w:t>
            </w:r>
          </w:p>
          <w:p w14:paraId="59452A4E">
            <w:pPr>
              <w:pStyle w:val="20"/>
              <w:snapToGrid w:val="0"/>
              <w:spacing w:line="0" w:lineRule="atLeast"/>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4.主要反应的选择：优先选择猎取反射积极、衔取欲强、主动防御反射和食物反应占优势的犬只。探求反应强且猎取反射退化的犬只不可作为待训警犬。</w:t>
            </w:r>
          </w:p>
          <w:p w14:paraId="4403CB13">
            <w:pPr>
              <w:rPr>
                <w:rFonts w:ascii="黑体" w:hAnsi="Times New Roman" w:eastAsia="黑体" w:cs="Times New Roman"/>
                <w:color w:val="auto"/>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5.允许的毛色变异范围应符合各犬种国际公认的标准。</w:t>
            </w:r>
          </w:p>
        </w:tc>
        <w:tc>
          <w:tcPr>
            <w:tcW w:w="673" w:type="dxa"/>
          </w:tcPr>
          <w:p w14:paraId="653D8B44">
            <w:pPr>
              <w:ind w:left="1080" w:leftChars="257" w:hanging="540"/>
              <w:rPr>
                <w:rFonts w:hint="eastAsia" w:ascii="宋体" w:hAnsi="宋体" w:eastAsia="宋体" w:cs="宋体"/>
                <w:color w:val="auto"/>
                <w:kern w:val="2"/>
                <w:highlight w:val="none"/>
                <w:lang w:eastAsia="zh-CN"/>
              </w:rPr>
            </w:pPr>
          </w:p>
        </w:tc>
        <w:tc>
          <w:tcPr>
            <w:tcW w:w="801" w:type="dxa"/>
          </w:tcPr>
          <w:p w14:paraId="5E523979">
            <w:pPr>
              <w:ind w:left="1080" w:leftChars="257" w:hanging="540"/>
              <w:rPr>
                <w:rFonts w:hint="eastAsia" w:ascii="宋体" w:hAnsi="宋体" w:eastAsia="宋体" w:cs="宋体"/>
                <w:color w:val="auto"/>
                <w:kern w:val="2"/>
                <w:highlight w:val="none"/>
                <w:lang w:eastAsia="zh-CN"/>
              </w:rPr>
            </w:pPr>
          </w:p>
        </w:tc>
        <w:tc>
          <w:tcPr>
            <w:tcW w:w="795" w:type="dxa"/>
          </w:tcPr>
          <w:p w14:paraId="42262BC3">
            <w:pPr>
              <w:ind w:left="1080" w:leftChars="257" w:hanging="540"/>
              <w:rPr>
                <w:rFonts w:hint="eastAsia" w:ascii="宋体" w:hAnsi="宋体" w:eastAsia="宋体" w:cs="宋体"/>
                <w:color w:val="auto"/>
                <w:kern w:val="2"/>
                <w:highlight w:val="none"/>
                <w:lang w:eastAsia="zh-CN"/>
              </w:rPr>
            </w:pPr>
          </w:p>
        </w:tc>
      </w:tr>
    </w:tbl>
    <w:p w14:paraId="422C8E01">
      <w:pPr>
        <w:spacing w:line="240" w:lineRule="auto"/>
        <w:ind w:left="1080" w:leftChars="257" w:hanging="54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谈判供应商名称（电子公章）：</w:t>
      </w:r>
    </w:p>
    <w:p w14:paraId="32758DBA">
      <w:pPr>
        <w:spacing w:line="240" w:lineRule="auto"/>
        <w:ind w:left="1080" w:leftChars="257" w:hanging="54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谈判供应商法定代表人（电子签名或盖章）：</w:t>
      </w:r>
    </w:p>
    <w:p w14:paraId="35CC2D36">
      <w:pPr>
        <w:spacing w:line="240" w:lineRule="auto"/>
        <w:ind w:left="1080" w:leftChars="257" w:hanging="54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日期：  年 月  日</w:t>
      </w:r>
    </w:p>
    <w:p w14:paraId="25E92832">
      <w:pPr>
        <w:spacing w:line="240" w:lineRule="auto"/>
        <w:ind w:left="1080" w:leftChars="257" w:hanging="54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投标人保证：除技术规格偏差表列出的偏差外，投标人响应招标文件的全部要求。</w:t>
      </w:r>
    </w:p>
    <w:p w14:paraId="2EDB7090">
      <w:pPr>
        <w:rPr>
          <w:color w:val="auto"/>
          <w:highlight w:val="none"/>
          <w:lang w:eastAsia="zh-CN"/>
        </w:rPr>
      </w:pPr>
    </w:p>
    <w:p w14:paraId="473401BD">
      <w:pPr>
        <w:jc w:val="center"/>
        <w:outlineLvl w:val="2"/>
        <w:rPr>
          <w:rFonts w:hint="eastAsia" w:ascii="宋体" w:hAnsi="宋体" w:eastAsia="宋体" w:cs="宋体"/>
          <w:b/>
          <w:bCs/>
          <w:color w:val="auto"/>
          <w:sz w:val="28"/>
          <w:szCs w:val="28"/>
          <w:highlight w:val="none"/>
          <w:lang w:eastAsia="zh-CN"/>
        </w:rPr>
      </w:pPr>
      <w:bookmarkStart w:id="294" w:name="_Toc24190"/>
      <w:r>
        <w:rPr>
          <w:rFonts w:hint="eastAsia" w:ascii="宋体" w:hAnsi="宋体" w:eastAsia="宋体" w:cs="宋体"/>
          <w:b/>
          <w:bCs/>
          <w:color w:val="auto"/>
          <w:sz w:val="28"/>
          <w:szCs w:val="28"/>
          <w:highlight w:val="none"/>
          <w:lang w:eastAsia="zh-CN"/>
        </w:rPr>
        <w:t>（二）商务条款偏离表</w:t>
      </w:r>
      <w:bookmarkEnd w:id="294"/>
    </w:p>
    <w:p w14:paraId="682F7D3E">
      <w:pPr>
        <w:ind w:left="1080" w:leftChars="257" w:hanging="540"/>
        <w:rPr>
          <w:rFonts w:hint="eastAsia" w:ascii="宋体" w:hAnsi="宋体" w:eastAsia="宋体" w:cs="宋体"/>
          <w:color w:val="auto"/>
          <w:highlight w:val="none"/>
          <w:lang w:eastAsia="zh-CN"/>
        </w:rPr>
      </w:pPr>
    </w:p>
    <w:p w14:paraId="45637B87">
      <w:pPr>
        <w:ind w:left="1080" w:leftChars="257" w:hanging="540"/>
        <w:rPr>
          <w:rFonts w:hint="eastAsia" w:ascii="宋体" w:hAnsi="宋体" w:eastAsia="宋体" w:cs="宋体"/>
          <w:color w:val="auto"/>
          <w:highlight w:val="none"/>
          <w:lang w:eastAsia="zh-CN"/>
        </w:rPr>
      </w:pPr>
    </w:p>
    <w:p w14:paraId="6F669227">
      <w:pPr>
        <w:ind w:left="1080" w:leftChars="257" w:hanging="540"/>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lang w:eastAsia="zh-CN"/>
        </w:rPr>
        <w:t>项目名称:                      招标编号:             包号:</w:t>
      </w:r>
    </w:p>
    <w:p w14:paraId="1CB39712">
      <w:pPr>
        <w:ind w:left="1080" w:leftChars="257" w:hanging="540"/>
        <w:rPr>
          <w:rFonts w:hint="eastAsia" w:ascii="宋体" w:hAnsi="宋体" w:eastAsia="宋体" w:cs="宋体"/>
          <w:color w:val="auto"/>
          <w:highlight w:val="none"/>
          <w:lang w:eastAsia="zh-CN"/>
        </w:rPr>
      </w:pPr>
    </w:p>
    <w:tbl>
      <w:tblPr>
        <w:tblStyle w:val="14"/>
        <w:tblW w:w="104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2271"/>
        <w:gridCol w:w="1226"/>
        <w:gridCol w:w="3357"/>
        <w:gridCol w:w="1507"/>
        <w:gridCol w:w="1414"/>
      </w:tblGrid>
      <w:tr w14:paraId="6E488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721" w:type="dxa"/>
            <w:vAlign w:val="center"/>
          </w:tcPr>
          <w:p w14:paraId="451A648D">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序号</w:t>
            </w:r>
          </w:p>
        </w:tc>
        <w:tc>
          <w:tcPr>
            <w:tcW w:w="2271" w:type="dxa"/>
            <w:vAlign w:val="center"/>
          </w:tcPr>
          <w:p w14:paraId="347CDB78">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招标文件条款号</w:t>
            </w:r>
          </w:p>
        </w:tc>
        <w:tc>
          <w:tcPr>
            <w:tcW w:w="1226" w:type="dxa"/>
            <w:vAlign w:val="center"/>
          </w:tcPr>
          <w:p w14:paraId="303495B0">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lang w:val="en-US" w:eastAsia="zh-CN"/>
              </w:rPr>
            </w:pPr>
            <w:r>
              <w:rPr>
                <w:rFonts w:hint="eastAsia" w:asciiTheme="minorEastAsia" w:hAnsiTheme="minorEastAsia" w:eastAsiaTheme="minorEastAsia" w:cstheme="minorEastAsia"/>
                <w:color w:val="auto"/>
                <w:kern w:val="2"/>
                <w:sz w:val="21"/>
                <w:szCs w:val="21"/>
                <w:highlight w:val="none"/>
                <w:lang w:val="en-US" w:eastAsia="zh-CN"/>
              </w:rPr>
              <w:t>名称</w:t>
            </w:r>
          </w:p>
        </w:tc>
        <w:tc>
          <w:tcPr>
            <w:tcW w:w="3357" w:type="dxa"/>
            <w:vAlign w:val="center"/>
          </w:tcPr>
          <w:p w14:paraId="6C81EF83">
            <w:pPr>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招标文件的商务条款</w:t>
            </w:r>
          </w:p>
        </w:tc>
        <w:tc>
          <w:tcPr>
            <w:tcW w:w="1507" w:type="dxa"/>
            <w:vAlign w:val="center"/>
          </w:tcPr>
          <w:p w14:paraId="02E0D615">
            <w:pPr>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投标文件的商务条款</w:t>
            </w:r>
          </w:p>
        </w:tc>
        <w:tc>
          <w:tcPr>
            <w:tcW w:w="1414" w:type="dxa"/>
            <w:vAlign w:val="center"/>
          </w:tcPr>
          <w:p w14:paraId="3E81DF11">
            <w:pPr>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证明材料</w:t>
            </w:r>
          </w:p>
        </w:tc>
      </w:tr>
      <w:tr w14:paraId="3EE88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8" w:hRule="atLeast"/>
          <w:jc w:val="center"/>
        </w:trPr>
        <w:tc>
          <w:tcPr>
            <w:tcW w:w="721" w:type="dxa"/>
            <w:vAlign w:val="center"/>
          </w:tcPr>
          <w:p w14:paraId="6901EF23">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1</w:t>
            </w:r>
          </w:p>
        </w:tc>
        <w:tc>
          <w:tcPr>
            <w:tcW w:w="2271" w:type="dxa"/>
            <w:vAlign w:val="center"/>
          </w:tcPr>
          <w:p w14:paraId="1BAAD864">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谈判</w:t>
            </w:r>
            <w:r>
              <w:rPr>
                <w:rFonts w:hint="eastAsia" w:asciiTheme="minorEastAsia" w:hAnsiTheme="minorEastAsia" w:eastAsiaTheme="minorEastAsia" w:cstheme="minorEastAsia"/>
                <w:color w:val="auto"/>
                <w:kern w:val="2"/>
                <w:sz w:val="21"/>
                <w:szCs w:val="21"/>
                <w:highlight w:val="none"/>
              </w:rPr>
              <w:t>须知前附表</w:t>
            </w:r>
            <w:r>
              <w:rPr>
                <w:rFonts w:hint="eastAsia" w:asciiTheme="minorEastAsia" w:hAnsiTheme="minorEastAsia" w:eastAsiaTheme="minorEastAsia" w:cstheme="minorEastAsia"/>
                <w:color w:val="auto"/>
                <w:kern w:val="2"/>
                <w:sz w:val="21"/>
                <w:szCs w:val="21"/>
                <w:highlight w:val="none"/>
                <w:lang w:eastAsia="zh-CN"/>
              </w:rPr>
              <w:t>14</w:t>
            </w:r>
          </w:p>
        </w:tc>
        <w:tc>
          <w:tcPr>
            <w:tcW w:w="1226" w:type="dxa"/>
            <w:vAlign w:val="center"/>
          </w:tcPr>
          <w:p w14:paraId="635B93D6">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合同履约期限</w:t>
            </w:r>
          </w:p>
        </w:tc>
        <w:tc>
          <w:tcPr>
            <w:tcW w:w="3357" w:type="dxa"/>
            <w:vAlign w:val="center"/>
          </w:tcPr>
          <w:p w14:paraId="63C46291">
            <w:pPr>
              <w:widowControl w:val="0"/>
              <w:spacing w:line="360" w:lineRule="exact"/>
              <w:jc w:val="both"/>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eastAsia="zh-CN"/>
              </w:rPr>
              <w:t>乙方需按甲方供货要求分两批供货，第一批 76 头警犬（包含乌鲁木齐警犬训练基地30头马里努阿犬、25头东德牧羊犬、5头史宾格犬。年龄段:</w:t>
            </w:r>
            <w:r>
              <w:rPr>
                <w:rFonts w:hint="eastAsia" w:asciiTheme="minorEastAsia" w:hAnsiTheme="minorEastAsia" w:eastAsiaTheme="minorEastAsia" w:cstheme="minorEastAsia"/>
                <w:color w:val="auto"/>
                <w:kern w:val="28"/>
                <w:sz w:val="21"/>
                <w:szCs w:val="21"/>
                <w:highlight w:val="none"/>
                <w:lang w:eastAsia="zh-CN"/>
              </w:rPr>
              <w:t>8个月-20个月</w:t>
            </w:r>
            <w:r>
              <w:rPr>
                <w:rFonts w:hint="eastAsia" w:asciiTheme="minorEastAsia" w:hAnsiTheme="minorEastAsia" w:eastAsiaTheme="minorEastAsia" w:cstheme="minorEastAsia"/>
                <w:color w:val="auto"/>
                <w:sz w:val="21"/>
                <w:szCs w:val="21"/>
                <w:highlight w:val="none"/>
                <w:lang w:eastAsia="zh-CN"/>
              </w:rPr>
              <w:t>；山东出入境边防检查总站6头马里努阿犬、5头东德牧羊犬、5头拉布拉多犬,年龄段:8个月-20个月。）于合同签订后 15个日历日内送至合同约定供货地点；第二批 77 头（乌鲁木齐警犬训练基地30头马里努阿犬、45头东德牧羊犬、2头新疆牧羊犬（一公一母）,年龄段:</w:t>
            </w:r>
            <w:r>
              <w:rPr>
                <w:rFonts w:hint="eastAsia" w:asciiTheme="minorEastAsia" w:hAnsiTheme="minorEastAsia" w:eastAsiaTheme="minorEastAsia" w:cstheme="minorEastAsia"/>
                <w:color w:val="auto"/>
                <w:kern w:val="28"/>
                <w:sz w:val="21"/>
                <w:szCs w:val="21"/>
                <w:highlight w:val="none"/>
                <w:lang w:eastAsia="zh-CN"/>
              </w:rPr>
              <w:t>8个月-20个月</w:t>
            </w:r>
            <w:r>
              <w:rPr>
                <w:rFonts w:hint="eastAsia" w:asciiTheme="minorEastAsia" w:hAnsiTheme="minorEastAsia" w:eastAsiaTheme="minorEastAsia" w:cstheme="minorEastAsia"/>
                <w:color w:val="auto"/>
                <w:sz w:val="21"/>
                <w:szCs w:val="21"/>
                <w:highlight w:val="none"/>
                <w:lang w:eastAsia="zh-CN"/>
              </w:rPr>
              <w:t>。）警犬接甲方通知后15个日历日内合同约定供货地点，乙方承担全部货运费用。</w:t>
            </w:r>
          </w:p>
        </w:tc>
        <w:tc>
          <w:tcPr>
            <w:tcW w:w="1507" w:type="dxa"/>
          </w:tcPr>
          <w:p w14:paraId="0379957B">
            <w:pPr>
              <w:ind w:left="1080" w:leftChars="257" w:hanging="540"/>
              <w:jc w:val="center"/>
              <w:rPr>
                <w:rFonts w:hint="eastAsia" w:asciiTheme="minorEastAsia" w:hAnsiTheme="minorEastAsia" w:eastAsiaTheme="minorEastAsia" w:cstheme="minorEastAsia"/>
                <w:color w:val="auto"/>
                <w:kern w:val="2"/>
                <w:sz w:val="21"/>
                <w:szCs w:val="21"/>
                <w:highlight w:val="none"/>
                <w:lang w:eastAsia="zh-CN"/>
              </w:rPr>
            </w:pPr>
          </w:p>
        </w:tc>
        <w:tc>
          <w:tcPr>
            <w:tcW w:w="1414" w:type="dxa"/>
            <w:vAlign w:val="center"/>
          </w:tcPr>
          <w:p w14:paraId="232311CC">
            <w:pPr>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承诺或说明</w:t>
            </w:r>
          </w:p>
        </w:tc>
      </w:tr>
      <w:tr w14:paraId="2F8E0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jc w:val="center"/>
        </w:trPr>
        <w:tc>
          <w:tcPr>
            <w:tcW w:w="721" w:type="dxa"/>
            <w:vAlign w:val="center"/>
          </w:tcPr>
          <w:p w14:paraId="563F33B1">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2</w:t>
            </w:r>
          </w:p>
        </w:tc>
        <w:tc>
          <w:tcPr>
            <w:tcW w:w="2271" w:type="dxa"/>
            <w:vAlign w:val="center"/>
          </w:tcPr>
          <w:p w14:paraId="0970D5A4">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第</w:t>
            </w:r>
            <w:r>
              <w:rPr>
                <w:rFonts w:hint="eastAsia" w:asciiTheme="minorEastAsia" w:hAnsiTheme="minorEastAsia" w:eastAsiaTheme="minorEastAsia" w:cstheme="minorEastAsia"/>
                <w:color w:val="auto"/>
                <w:kern w:val="2"/>
                <w:sz w:val="21"/>
                <w:szCs w:val="21"/>
                <w:highlight w:val="none"/>
                <w:lang w:eastAsia="zh-CN"/>
              </w:rPr>
              <w:t>三</w:t>
            </w:r>
            <w:r>
              <w:rPr>
                <w:rFonts w:hint="eastAsia" w:asciiTheme="minorEastAsia" w:hAnsiTheme="minorEastAsia" w:eastAsiaTheme="minorEastAsia" w:cstheme="minorEastAsia"/>
                <w:color w:val="auto"/>
                <w:kern w:val="2"/>
                <w:sz w:val="21"/>
                <w:szCs w:val="21"/>
                <w:highlight w:val="none"/>
              </w:rPr>
              <w:t>章</w:t>
            </w:r>
            <w:r>
              <w:rPr>
                <w:rFonts w:hint="eastAsia" w:asciiTheme="minorEastAsia" w:hAnsiTheme="minorEastAsia" w:eastAsiaTheme="minorEastAsia" w:cstheme="minorEastAsia"/>
                <w:color w:val="auto"/>
                <w:kern w:val="2"/>
                <w:sz w:val="21"/>
                <w:szCs w:val="21"/>
                <w:highlight w:val="none"/>
                <w:lang w:eastAsia="zh-CN"/>
              </w:rPr>
              <w:t>采购需求</w:t>
            </w:r>
          </w:p>
        </w:tc>
        <w:tc>
          <w:tcPr>
            <w:tcW w:w="1226" w:type="dxa"/>
            <w:vAlign w:val="center"/>
          </w:tcPr>
          <w:p w14:paraId="630762EA">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lang w:val="en-US" w:eastAsia="zh-CN"/>
              </w:rPr>
            </w:pPr>
            <w:r>
              <w:rPr>
                <w:rFonts w:hint="eastAsia" w:asciiTheme="minorEastAsia" w:hAnsiTheme="minorEastAsia" w:eastAsiaTheme="minorEastAsia" w:cstheme="minorEastAsia"/>
                <w:color w:val="auto"/>
                <w:kern w:val="2"/>
                <w:sz w:val="21"/>
                <w:szCs w:val="21"/>
                <w:highlight w:val="none"/>
                <w:lang w:val="en-US" w:eastAsia="zh-CN"/>
              </w:rPr>
              <w:t>供货</w:t>
            </w:r>
            <w:r>
              <w:rPr>
                <w:rFonts w:hint="eastAsia" w:asciiTheme="minorEastAsia" w:hAnsiTheme="minorEastAsia" w:eastAsiaTheme="minorEastAsia" w:cstheme="minorEastAsia"/>
                <w:color w:val="auto"/>
                <w:kern w:val="2"/>
                <w:sz w:val="21"/>
                <w:szCs w:val="21"/>
                <w:highlight w:val="none"/>
              </w:rPr>
              <w:t>地点</w:t>
            </w:r>
            <w:r>
              <w:rPr>
                <w:rFonts w:hint="eastAsia" w:asciiTheme="minorEastAsia" w:hAnsiTheme="minorEastAsia" w:eastAsiaTheme="minorEastAsia" w:cstheme="minorEastAsia"/>
                <w:color w:val="auto"/>
                <w:kern w:val="2"/>
                <w:sz w:val="21"/>
                <w:szCs w:val="21"/>
                <w:highlight w:val="none"/>
                <w:lang w:val="en-US" w:eastAsia="zh-CN"/>
              </w:rPr>
              <w:t>及要求</w:t>
            </w:r>
          </w:p>
        </w:tc>
        <w:tc>
          <w:tcPr>
            <w:tcW w:w="3357" w:type="dxa"/>
            <w:vAlign w:val="center"/>
          </w:tcPr>
          <w:p w14:paraId="7735FD05">
            <w:pPr>
              <w:widowControl w:val="0"/>
              <w:spacing w:line="360" w:lineRule="exact"/>
              <w:jc w:val="both"/>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（一）</w:t>
            </w:r>
            <w:r>
              <w:rPr>
                <w:rFonts w:hint="eastAsia" w:asciiTheme="minorEastAsia" w:hAnsiTheme="minorEastAsia" w:eastAsiaTheme="minorEastAsia" w:cstheme="minorEastAsia"/>
                <w:color w:val="auto"/>
                <w:kern w:val="2"/>
                <w:sz w:val="21"/>
                <w:szCs w:val="21"/>
                <w:highlight w:val="none"/>
                <w:lang w:val="en-US" w:eastAsia="zh-CN"/>
              </w:rPr>
              <w:t>供货</w:t>
            </w:r>
            <w:r>
              <w:rPr>
                <w:rFonts w:hint="eastAsia" w:asciiTheme="minorEastAsia" w:hAnsiTheme="minorEastAsia" w:eastAsiaTheme="minorEastAsia" w:cstheme="minorEastAsia"/>
                <w:color w:val="auto"/>
                <w:kern w:val="2"/>
                <w:sz w:val="21"/>
                <w:szCs w:val="21"/>
                <w:highlight w:val="none"/>
                <w:lang w:eastAsia="zh-CN"/>
              </w:rPr>
              <w:t>地点</w:t>
            </w:r>
          </w:p>
          <w:p w14:paraId="10A818E6">
            <w:pPr>
              <w:widowControl w:val="0"/>
              <w:spacing w:line="360" w:lineRule="exact"/>
              <w:jc w:val="both"/>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乌鲁木齐县水西沟镇南康大道乌鲁木齐警犬训练基地</w:t>
            </w:r>
          </w:p>
          <w:p w14:paraId="538C946A">
            <w:pPr>
              <w:widowControl w:val="0"/>
              <w:spacing w:line="360" w:lineRule="exact"/>
              <w:jc w:val="both"/>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（二）</w:t>
            </w:r>
            <w:r>
              <w:rPr>
                <w:rFonts w:hint="eastAsia" w:asciiTheme="minorEastAsia" w:hAnsiTheme="minorEastAsia" w:eastAsiaTheme="minorEastAsia" w:cstheme="minorEastAsia"/>
                <w:color w:val="auto"/>
                <w:kern w:val="2"/>
                <w:sz w:val="21"/>
                <w:szCs w:val="21"/>
                <w:highlight w:val="none"/>
                <w:lang w:val="en-US" w:eastAsia="zh-CN"/>
              </w:rPr>
              <w:t>供货</w:t>
            </w:r>
            <w:r>
              <w:rPr>
                <w:rFonts w:hint="eastAsia" w:asciiTheme="minorEastAsia" w:hAnsiTheme="minorEastAsia" w:eastAsiaTheme="minorEastAsia" w:cstheme="minorEastAsia"/>
                <w:color w:val="auto"/>
                <w:kern w:val="2"/>
                <w:sz w:val="21"/>
                <w:szCs w:val="21"/>
                <w:highlight w:val="none"/>
                <w:lang w:eastAsia="zh-CN"/>
              </w:rPr>
              <w:t>方式</w:t>
            </w:r>
          </w:p>
          <w:p w14:paraId="6E5A7C0B">
            <w:pPr>
              <w:widowControl w:val="0"/>
              <w:spacing w:line="360" w:lineRule="exact"/>
              <w:jc w:val="both"/>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分两批次进行</w:t>
            </w:r>
            <w:r>
              <w:rPr>
                <w:rFonts w:hint="eastAsia" w:asciiTheme="minorEastAsia" w:hAnsiTheme="minorEastAsia" w:eastAsiaTheme="minorEastAsia" w:cstheme="minorEastAsia"/>
                <w:color w:val="auto"/>
                <w:kern w:val="2"/>
                <w:sz w:val="21"/>
                <w:szCs w:val="21"/>
                <w:highlight w:val="none"/>
                <w:lang w:val="en-US" w:eastAsia="zh-CN"/>
              </w:rPr>
              <w:t>供货</w:t>
            </w:r>
          </w:p>
          <w:p w14:paraId="1401513C">
            <w:pPr>
              <w:widowControl w:val="0"/>
              <w:spacing w:line="360" w:lineRule="exact"/>
              <w:jc w:val="both"/>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第一批76头：包含乌鲁木齐警犬训练基地30头马里努阿犬、25头东德牧羊犬、5头史宾格犬。年龄:8个月-20个月；山东出入境边防检查总站6头马里努阿犬、5头东德牧羊犬、5头拉布拉多犬,年龄:8个月-20个月。</w:t>
            </w:r>
          </w:p>
          <w:p w14:paraId="20AEDFB7">
            <w:pPr>
              <w:widowControl w:val="0"/>
              <w:spacing w:line="360" w:lineRule="exact"/>
              <w:jc w:val="both"/>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第二批77头：乌鲁木齐警犬训练基地30头马里努阿犬、45头东德牧羊犬、2头新疆牧羊犬（一公一母）,年龄:8个月-20个月。</w:t>
            </w:r>
          </w:p>
          <w:p w14:paraId="04039004">
            <w:pPr>
              <w:widowControl w:val="0"/>
              <w:spacing w:line="360" w:lineRule="exact"/>
              <w:jc w:val="both"/>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需按照甲方供货要求，乙方送至甲方指定地点，货物送达供货地点后由甲方负责验收，现场签收，签收前任何产生的费用均由乙方承担。</w:t>
            </w:r>
          </w:p>
          <w:p w14:paraId="199DCBE4">
            <w:pPr>
              <w:widowControl w:val="0"/>
              <w:spacing w:line="360" w:lineRule="exact"/>
              <w:jc w:val="both"/>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（三）合同签订及履约保证金收取</w:t>
            </w:r>
          </w:p>
          <w:p w14:paraId="4AE6B3AE">
            <w:pPr>
              <w:widowControl w:val="0"/>
              <w:spacing w:line="360" w:lineRule="exact"/>
              <w:jc w:val="both"/>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1.此项目甲方包括新疆出入境边防检查总站及山东出入境边防检查总站所属9个边检站（烟台出入境边防检查站、日照出入境边防检查站、青岛出入境边防检查站、威海出入境边防检查站、石岛出入境边防检查站、龙口出入境边防检查站、董家口出入境边防检查站、蓬莱出入境边防检查站、潍坊出入境边防检查站），其中，新疆出入境边防检查总站作为甲方实施采购活动的主体，负责统筹合同签订、收取履约保函等工作。自成交通知书下达后7个日历日内，乙方需向甲方（新疆出入境边防检查总站）提供合同金额5%的履约保函（期限240个日历日）。</w:t>
            </w:r>
            <w:r>
              <w:rPr>
                <w:rFonts w:hint="eastAsia" w:asciiTheme="minorEastAsia" w:hAnsiTheme="minorEastAsia" w:eastAsiaTheme="minorEastAsia" w:cstheme="minorEastAsia"/>
                <w:color w:val="auto"/>
                <w:kern w:val="2"/>
                <w:sz w:val="21"/>
                <w:szCs w:val="21"/>
                <w:highlight w:val="none"/>
                <w:lang w:eastAsia="zh-CN"/>
              </w:rPr>
              <w:tab/>
            </w:r>
          </w:p>
          <w:p w14:paraId="46DA602B">
            <w:pPr>
              <w:widowControl w:val="0"/>
              <w:spacing w:line="360" w:lineRule="exact"/>
              <w:jc w:val="both"/>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2.采取统采分签方式，其中，甲方含：新疆出入境边防检查总站及山东出入境边防检查总站所属9个边检站（烟台出入境边防检查站、日照出入境边防检查站、青岛出入境边防检查站、威海出入境边防检查站、石岛出入境边防检查站、龙口出入境边防检查站、董家口出入境边防检查站、蓬莱出入境边防检查站、潍坊出入境边防检查站）。乙方需与新疆出入境边防检查总站及山东出入境边防检查总站所属9个边检站共计10家单位分别签订合同。</w:t>
            </w:r>
          </w:p>
          <w:p w14:paraId="76D758E8">
            <w:pPr>
              <w:widowControl w:val="0"/>
              <w:spacing w:line="360" w:lineRule="exact"/>
              <w:jc w:val="both"/>
              <w:rPr>
                <w:rFonts w:hint="eastAsia" w:asciiTheme="minorEastAsia" w:hAnsiTheme="minorEastAsia" w:eastAsiaTheme="minorEastAsia" w:cstheme="minorEastAsia"/>
                <w:color w:val="auto"/>
                <w:kern w:val="2"/>
                <w:sz w:val="21"/>
                <w:szCs w:val="21"/>
                <w:highlight w:val="none"/>
                <w:lang w:eastAsia="zh-CN"/>
              </w:rPr>
            </w:pPr>
          </w:p>
        </w:tc>
        <w:tc>
          <w:tcPr>
            <w:tcW w:w="1507" w:type="dxa"/>
          </w:tcPr>
          <w:p w14:paraId="19099E11">
            <w:pPr>
              <w:ind w:left="1080" w:leftChars="257" w:hanging="540"/>
              <w:rPr>
                <w:rFonts w:hint="eastAsia" w:asciiTheme="minorEastAsia" w:hAnsiTheme="minorEastAsia" w:eastAsiaTheme="minorEastAsia" w:cstheme="minorEastAsia"/>
                <w:color w:val="auto"/>
                <w:kern w:val="2"/>
                <w:sz w:val="21"/>
                <w:szCs w:val="21"/>
                <w:highlight w:val="none"/>
                <w:lang w:eastAsia="zh-CN"/>
              </w:rPr>
            </w:pPr>
          </w:p>
        </w:tc>
        <w:tc>
          <w:tcPr>
            <w:tcW w:w="1414" w:type="dxa"/>
            <w:vAlign w:val="center"/>
          </w:tcPr>
          <w:p w14:paraId="3D0820EE">
            <w:pPr>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承诺或说明</w:t>
            </w:r>
          </w:p>
        </w:tc>
      </w:tr>
      <w:tr w14:paraId="69F81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721" w:type="dxa"/>
            <w:vAlign w:val="center"/>
          </w:tcPr>
          <w:p w14:paraId="54A31ADB">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3</w:t>
            </w:r>
          </w:p>
        </w:tc>
        <w:tc>
          <w:tcPr>
            <w:tcW w:w="2271" w:type="dxa"/>
            <w:vAlign w:val="center"/>
          </w:tcPr>
          <w:p w14:paraId="7DFEA40B">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谈判</w:t>
            </w:r>
            <w:r>
              <w:rPr>
                <w:rFonts w:hint="eastAsia" w:asciiTheme="minorEastAsia" w:hAnsiTheme="minorEastAsia" w:eastAsiaTheme="minorEastAsia" w:cstheme="minorEastAsia"/>
                <w:color w:val="auto"/>
                <w:kern w:val="2"/>
                <w:sz w:val="21"/>
                <w:szCs w:val="21"/>
                <w:highlight w:val="none"/>
              </w:rPr>
              <w:t>须知前附表</w:t>
            </w:r>
            <w:r>
              <w:rPr>
                <w:rFonts w:hint="eastAsia" w:asciiTheme="minorEastAsia" w:hAnsiTheme="minorEastAsia" w:eastAsiaTheme="minorEastAsia" w:cstheme="minorEastAsia"/>
                <w:color w:val="auto"/>
                <w:kern w:val="2"/>
                <w:sz w:val="21"/>
                <w:szCs w:val="21"/>
                <w:highlight w:val="none"/>
                <w:lang w:eastAsia="zh-CN"/>
              </w:rPr>
              <w:t>12</w:t>
            </w:r>
          </w:p>
        </w:tc>
        <w:tc>
          <w:tcPr>
            <w:tcW w:w="1226" w:type="dxa"/>
            <w:vAlign w:val="center"/>
          </w:tcPr>
          <w:p w14:paraId="766880E2">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lang w:eastAsia="zh-CN"/>
              </w:rPr>
              <w:t>谈判</w:t>
            </w:r>
            <w:r>
              <w:rPr>
                <w:rFonts w:hint="eastAsia" w:asciiTheme="minorEastAsia" w:hAnsiTheme="minorEastAsia" w:eastAsiaTheme="minorEastAsia" w:cstheme="minorEastAsia"/>
                <w:color w:val="auto"/>
                <w:kern w:val="2"/>
                <w:sz w:val="21"/>
                <w:szCs w:val="21"/>
                <w:highlight w:val="none"/>
              </w:rPr>
              <w:t>有效期</w:t>
            </w:r>
          </w:p>
        </w:tc>
        <w:tc>
          <w:tcPr>
            <w:tcW w:w="3357" w:type="dxa"/>
            <w:vAlign w:val="center"/>
          </w:tcPr>
          <w:p w14:paraId="0E2A7871">
            <w:pPr>
              <w:widowControl w:val="0"/>
              <w:spacing w:line="360" w:lineRule="exact"/>
              <w:jc w:val="both"/>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自首次递交响应文件截止时间起计算 90 个日历日</w:t>
            </w:r>
          </w:p>
        </w:tc>
        <w:tc>
          <w:tcPr>
            <w:tcW w:w="1507" w:type="dxa"/>
          </w:tcPr>
          <w:p w14:paraId="10741DA6">
            <w:pPr>
              <w:ind w:left="1080" w:leftChars="257" w:hanging="540"/>
              <w:rPr>
                <w:rFonts w:hint="eastAsia" w:asciiTheme="minorEastAsia" w:hAnsiTheme="minorEastAsia" w:eastAsiaTheme="minorEastAsia" w:cstheme="minorEastAsia"/>
                <w:color w:val="auto"/>
                <w:kern w:val="2"/>
                <w:sz w:val="21"/>
                <w:szCs w:val="21"/>
                <w:highlight w:val="none"/>
                <w:lang w:eastAsia="zh-CN"/>
              </w:rPr>
            </w:pPr>
          </w:p>
        </w:tc>
        <w:tc>
          <w:tcPr>
            <w:tcW w:w="1414" w:type="dxa"/>
            <w:vAlign w:val="center"/>
          </w:tcPr>
          <w:p w14:paraId="158A4A5C">
            <w:pPr>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承诺或说明</w:t>
            </w:r>
          </w:p>
        </w:tc>
      </w:tr>
      <w:tr w14:paraId="7702F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721" w:type="dxa"/>
            <w:vAlign w:val="center"/>
          </w:tcPr>
          <w:p w14:paraId="594040DF">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4</w:t>
            </w:r>
          </w:p>
        </w:tc>
        <w:tc>
          <w:tcPr>
            <w:tcW w:w="2271" w:type="dxa"/>
            <w:vAlign w:val="center"/>
          </w:tcPr>
          <w:p w14:paraId="370C7042">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lang w:eastAsia="zh-CN"/>
              </w:rPr>
              <w:t>谈判</w:t>
            </w:r>
            <w:r>
              <w:rPr>
                <w:rFonts w:hint="eastAsia" w:asciiTheme="minorEastAsia" w:hAnsiTheme="minorEastAsia" w:eastAsiaTheme="minorEastAsia" w:cstheme="minorEastAsia"/>
                <w:color w:val="auto"/>
                <w:kern w:val="2"/>
                <w:sz w:val="21"/>
                <w:szCs w:val="21"/>
                <w:highlight w:val="none"/>
              </w:rPr>
              <w:t>须知前附表</w:t>
            </w:r>
            <w:r>
              <w:rPr>
                <w:rFonts w:hint="eastAsia" w:asciiTheme="minorEastAsia" w:hAnsiTheme="minorEastAsia" w:eastAsiaTheme="minorEastAsia" w:cstheme="minorEastAsia"/>
                <w:color w:val="auto"/>
                <w:kern w:val="2"/>
                <w:sz w:val="21"/>
                <w:szCs w:val="21"/>
                <w:highlight w:val="none"/>
                <w:lang w:eastAsia="zh-CN"/>
              </w:rPr>
              <w:t>15</w:t>
            </w:r>
          </w:p>
        </w:tc>
        <w:tc>
          <w:tcPr>
            <w:tcW w:w="1226" w:type="dxa"/>
            <w:vAlign w:val="center"/>
          </w:tcPr>
          <w:p w14:paraId="2D420270">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付款方式</w:t>
            </w:r>
          </w:p>
        </w:tc>
        <w:tc>
          <w:tcPr>
            <w:tcW w:w="3357" w:type="dxa"/>
            <w:vAlign w:val="center"/>
          </w:tcPr>
          <w:p w14:paraId="4956A93B">
            <w:pPr>
              <w:widowControl w:val="0"/>
              <w:spacing w:line="360" w:lineRule="exact"/>
              <w:jc w:val="both"/>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成交通知书下达后7日历日内，乙方向甲方（新疆出入境边防检查总站）提供成交价格5%的履约保函（期限240个日历日）。乙方按要求分批次进行供货履约，履约完毕并验收合格后，乙方按照合同约定价分批次提供对应金额发票后，甲方采用银行转账的方式，分批次支付对应款项。待全部供货履约完毕后，甲方配合乙方退还履约保函。若乙方未向甲方出具全额增值税普通发票，甲方有权推迟付款，由此造成的损失，由乙方自行承担。</w:t>
            </w:r>
          </w:p>
        </w:tc>
        <w:tc>
          <w:tcPr>
            <w:tcW w:w="1507" w:type="dxa"/>
          </w:tcPr>
          <w:p w14:paraId="50D2570D">
            <w:pPr>
              <w:ind w:left="1080" w:leftChars="257" w:hanging="540"/>
              <w:rPr>
                <w:rFonts w:hint="eastAsia" w:asciiTheme="minorEastAsia" w:hAnsiTheme="minorEastAsia" w:eastAsiaTheme="minorEastAsia" w:cstheme="minorEastAsia"/>
                <w:color w:val="auto"/>
                <w:kern w:val="2"/>
                <w:sz w:val="21"/>
                <w:szCs w:val="21"/>
                <w:highlight w:val="none"/>
                <w:lang w:eastAsia="zh-CN"/>
              </w:rPr>
            </w:pPr>
          </w:p>
        </w:tc>
        <w:tc>
          <w:tcPr>
            <w:tcW w:w="1414" w:type="dxa"/>
            <w:vAlign w:val="center"/>
          </w:tcPr>
          <w:p w14:paraId="4FE9F838">
            <w:pPr>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承诺或说明</w:t>
            </w:r>
          </w:p>
        </w:tc>
      </w:tr>
      <w:tr w14:paraId="0070E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1" w:hRule="atLeast"/>
          <w:jc w:val="center"/>
        </w:trPr>
        <w:tc>
          <w:tcPr>
            <w:tcW w:w="721" w:type="dxa"/>
            <w:vAlign w:val="center"/>
          </w:tcPr>
          <w:p w14:paraId="6DBFEE3E">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5</w:t>
            </w:r>
          </w:p>
        </w:tc>
        <w:tc>
          <w:tcPr>
            <w:tcW w:w="2271" w:type="dxa"/>
            <w:vAlign w:val="center"/>
          </w:tcPr>
          <w:p w14:paraId="185400B7">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第五章合同条款</w:t>
            </w:r>
          </w:p>
          <w:p w14:paraId="1B0ADBFF">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合同补充条款</w:t>
            </w:r>
          </w:p>
        </w:tc>
        <w:tc>
          <w:tcPr>
            <w:tcW w:w="1226" w:type="dxa"/>
            <w:vAlign w:val="center"/>
          </w:tcPr>
          <w:p w14:paraId="526AF4EF">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合同条款</w:t>
            </w:r>
          </w:p>
        </w:tc>
        <w:tc>
          <w:tcPr>
            <w:tcW w:w="3357" w:type="dxa"/>
            <w:vAlign w:val="center"/>
          </w:tcPr>
          <w:p w14:paraId="1C50E252">
            <w:pPr>
              <w:pStyle w:val="5"/>
              <w:spacing w:line="360" w:lineRule="auto"/>
              <w:ind w:left="0"/>
              <w:rPr>
                <w:rFonts w:hint="eastAsia" w:asciiTheme="minorEastAsia" w:hAnsiTheme="minorEastAsia" w:eastAsiaTheme="minorEastAsia" w:cstheme="minorEastAsia"/>
                <w:color w:val="auto"/>
                <w:kern w:val="2"/>
                <w:sz w:val="21"/>
                <w:szCs w:val="21"/>
                <w:highlight w:val="none"/>
                <w:lang w:eastAsia="zh-CN"/>
              </w:rPr>
            </w:pPr>
            <w:bookmarkStart w:id="295" w:name="_Toc28011"/>
            <w:r>
              <w:rPr>
                <w:rFonts w:hint="eastAsia" w:asciiTheme="minorEastAsia" w:hAnsiTheme="minorEastAsia" w:eastAsiaTheme="minorEastAsia" w:cstheme="minorEastAsia"/>
                <w:color w:val="auto"/>
                <w:kern w:val="2"/>
                <w:sz w:val="21"/>
                <w:szCs w:val="21"/>
                <w:highlight w:val="none"/>
                <w:lang w:eastAsia="zh-CN"/>
              </w:rPr>
              <w:t>承诺响应合同中的违约条件、付款方式等其他条款</w:t>
            </w:r>
            <w:bookmarkEnd w:id="295"/>
          </w:p>
        </w:tc>
        <w:tc>
          <w:tcPr>
            <w:tcW w:w="1507" w:type="dxa"/>
          </w:tcPr>
          <w:p w14:paraId="50A9DD62">
            <w:pPr>
              <w:ind w:left="1080" w:leftChars="257" w:hanging="540"/>
              <w:rPr>
                <w:rFonts w:hint="eastAsia" w:asciiTheme="minorEastAsia" w:hAnsiTheme="minorEastAsia" w:eastAsiaTheme="minorEastAsia" w:cstheme="minorEastAsia"/>
                <w:color w:val="auto"/>
                <w:kern w:val="2"/>
                <w:sz w:val="21"/>
                <w:szCs w:val="21"/>
                <w:highlight w:val="none"/>
                <w:lang w:eastAsia="zh-CN"/>
              </w:rPr>
            </w:pPr>
          </w:p>
        </w:tc>
        <w:tc>
          <w:tcPr>
            <w:tcW w:w="1414" w:type="dxa"/>
            <w:vAlign w:val="center"/>
          </w:tcPr>
          <w:p w14:paraId="1E7DB0A9">
            <w:pPr>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承诺或说明</w:t>
            </w:r>
          </w:p>
        </w:tc>
      </w:tr>
      <w:tr w14:paraId="1EA62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721" w:type="dxa"/>
            <w:vAlign w:val="center"/>
          </w:tcPr>
          <w:p w14:paraId="1A803541">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6</w:t>
            </w:r>
          </w:p>
        </w:tc>
        <w:tc>
          <w:tcPr>
            <w:tcW w:w="2271" w:type="dxa"/>
            <w:vAlign w:val="center"/>
          </w:tcPr>
          <w:p w14:paraId="43670D3F">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lang w:eastAsia="zh-CN"/>
              </w:rPr>
              <w:t>谈判</w:t>
            </w:r>
            <w:r>
              <w:rPr>
                <w:rFonts w:hint="eastAsia" w:asciiTheme="minorEastAsia" w:hAnsiTheme="minorEastAsia" w:eastAsiaTheme="minorEastAsia" w:cstheme="minorEastAsia"/>
                <w:color w:val="auto"/>
                <w:kern w:val="2"/>
                <w:sz w:val="21"/>
                <w:szCs w:val="21"/>
                <w:highlight w:val="none"/>
              </w:rPr>
              <w:t>须知前附表</w:t>
            </w:r>
            <w:r>
              <w:rPr>
                <w:rFonts w:hint="eastAsia" w:asciiTheme="minorEastAsia" w:hAnsiTheme="minorEastAsia" w:eastAsiaTheme="minorEastAsia" w:cstheme="minorEastAsia"/>
                <w:color w:val="auto"/>
                <w:kern w:val="2"/>
                <w:sz w:val="21"/>
                <w:szCs w:val="21"/>
                <w:highlight w:val="none"/>
                <w:lang w:eastAsia="zh-CN"/>
              </w:rPr>
              <w:t>17</w:t>
            </w:r>
          </w:p>
        </w:tc>
        <w:tc>
          <w:tcPr>
            <w:tcW w:w="1226" w:type="dxa"/>
            <w:vAlign w:val="center"/>
          </w:tcPr>
          <w:p w14:paraId="6A7EA406">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验收方式、验收标准及验收程序</w:t>
            </w:r>
          </w:p>
        </w:tc>
        <w:tc>
          <w:tcPr>
            <w:tcW w:w="3357" w:type="dxa"/>
            <w:vAlign w:val="center"/>
          </w:tcPr>
          <w:p w14:paraId="723F303C">
            <w:pPr>
              <w:pStyle w:val="20"/>
              <w:snapToGrid w:val="0"/>
              <w:spacing w:line="360" w:lineRule="auto"/>
              <w:ind w:firstLine="420" w:firstLineChars="200"/>
              <w:jc w:val="both"/>
              <w:rPr>
                <w:rFonts w:hint="eastAsia" w:asciiTheme="minorEastAsia" w:hAnsiTheme="minorEastAsia" w:eastAsiaTheme="minorEastAsia" w:cstheme="minorEastAsia"/>
                <w:color w:val="auto"/>
                <w:kern w:val="2"/>
                <w:sz w:val="21"/>
                <w:szCs w:val="21"/>
                <w:highlight w:val="none"/>
              </w:rPr>
            </w:pPr>
            <w:bookmarkStart w:id="296" w:name="_Toc14082"/>
            <w:r>
              <w:rPr>
                <w:rFonts w:hint="eastAsia" w:asciiTheme="minorEastAsia" w:hAnsiTheme="minorEastAsia" w:eastAsiaTheme="minorEastAsia" w:cstheme="minorEastAsia"/>
                <w:color w:val="auto"/>
                <w:kern w:val="2"/>
                <w:sz w:val="21"/>
                <w:szCs w:val="21"/>
                <w:highlight w:val="none"/>
              </w:rPr>
              <w:t>1.履约验收方式：</w:t>
            </w:r>
          </w:p>
          <w:p w14:paraId="3BC21622">
            <w:pPr>
              <w:pStyle w:val="20"/>
              <w:snapToGrid w:val="0"/>
              <w:spacing w:line="360" w:lineRule="auto"/>
              <w:ind w:firstLine="420" w:firstLineChars="2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 xml:space="preserve">启用一般程序按供货批次开展验收，验收由乌鲁木齐警犬训练基地牵头，山东出入境边防检查总站，新疆总站督察队、法制处、后勤保障处采购组组成验收小组开展验收，期间对应合同约定要求实地核查核对待训警犬数量、品种、履约过程资料等内容。                                          </w:t>
            </w:r>
          </w:p>
          <w:p w14:paraId="2369A4BB">
            <w:pPr>
              <w:pStyle w:val="20"/>
              <w:snapToGrid w:val="0"/>
              <w:spacing w:line="360" w:lineRule="auto"/>
              <w:ind w:firstLine="420" w:firstLineChars="2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2.履约验收程序及内容要求：</w:t>
            </w:r>
          </w:p>
          <w:p w14:paraId="56479380">
            <w:pPr>
              <w:pStyle w:val="20"/>
              <w:snapToGrid w:val="0"/>
              <w:spacing w:line="360" w:lineRule="auto"/>
              <w:ind w:firstLine="420" w:firstLineChars="2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（1）提交验收申请。按照甲方要求完成第一批、第二批供货并度过犬只环境适应期后，乙方向甲方提出验收申请，甲方应收到验收申请后7个日历日内由警犬训练基地组织验收小组开展验收。</w:t>
            </w:r>
          </w:p>
          <w:p w14:paraId="6A5F255E">
            <w:pPr>
              <w:pStyle w:val="20"/>
              <w:snapToGrid w:val="0"/>
              <w:spacing w:line="360" w:lineRule="auto"/>
              <w:ind w:firstLine="420" w:firstLineChars="2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2）提供验收所需资料。乙方需准备齐全的验收资料，包括但不限于动物医院（具备动物诊疗许可证资质）合格的体检报告、档案、犬只身份证明芯片、选犬记录、往来函件、供货履约时间说明或证明、适应期保障等相关资料。</w:t>
            </w:r>
          </w:p>
          <w:p w14:paraId="2301D06F">
            <w:pPr>
              <w:pStyle w:val="20"/>
              <w:snapToGrid w:val="0"/>
              <w:spacing w:line="360" w:lineRule="auto"/>
              <w:ind w:firstLine="420" w:firstLineChars="2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（3）开展验收。验收小组按照合同约定的内容对应乙方验收所供资料进行逐项核对开展项目验收。</w:t>
            </w:r>
          </w:p>
          <w:p w14:paraId="0CB52B00">
            <w:pPr>
              <w:pStyle w:val="20"/>
              <w:snapToGrid w:val="0"/>
              <w:spacing w:line="360" w:lineRule="auto"/>
              <w:ind w:firstLine="420" w:firstLineChars="2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（4）验收结束后，验收小组出具验收报告。验收小组成员根据验收情况明确验收意见，经甲乙双方确认后签字、盖章。</w:t>
            </w:r>
          </w:p>
          <w:p w14:paraId="5BE9D04B">
            <w:pPr>
              <w:pStyle w:val="20"/>
              <w:snapToGrid w:val="0"/>
              <w:spacing w:line="360" w:lineRule="auto"/>
              <w:ind w:firstLine="420" w:firstLineChars="2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（5）验收不合格的处理。履约验收不合格的，警犬训练基地向供应商发出整改通知书，明确整改时限和整改要求，整改结束后由乙方对接甲方验收组织主体重新验收。</w:t>
            </w:r>
          </w:p>
          <w:p w14:paraId="4F976393">
            <w:pPr>
              <w:pStyle w:val="20"/>
              <w:snapToGrid w:val="0"/>
              <w:spacing w:line="360" w:lineRule="auto"/>
              <w:ind w:firstLine="420" w:firstLineChars="2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 xml:space="preserve">（6）验收档案收集及保存。履约验收完成后，由甲方警犬训练基地收集验收报告留存备查。   </w:t>
            </w:r>
          </w:p>
          <w:p w14:paraId="0ABA0D36">
            <w:pPr>
              <w:pStyle w:val="20"/>
              <w:snapToGrid w:val="0"/>
              <w:spacing w:line="360" w:lineRule="auto"/>
              <w:ind w:firstLine="420" w:firstLineChars="2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3、验收合格标准：</w:t>
            </w:r>
          </w:p>
          <w:p w14:paraId="65D0A306">
            <w:pPr>
              <w:pStyle w:val="20"/>
              <w:spacing w:line="360" w:lineRule="auto"/>
              <w:ind w:firstLine="420" w:firstLineChars="2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待训警犬数量、品种等符合采购需求，动物医院（具备动物诊疗许可证资质）出具的体检报告、档案、选犬记录、往来函件、供货履约时间说明或证明、适应期保障等相关资料齐全且达到采购及响应要求视为验收合格。</w:t>
            </w:r>
            <w:bookmarkEnd w:id="296"/>
          </w:p>
        </w:tc>
        <w:tc>
          <w:tcPr>
            <w:tcW w:w="1507" w:type="dxa"/>
          </w:tcPr>
          <w:p w14:paraId="2BFC600A">
            <w:pPr>
              <w:ind w:left="1080" w:leftChars="257" w:hanging="540"/>
              <w:rPr>
                <w:rFonts w:hint="eastAsia" w:asciiTheme="minorEastAsia" w:hAnsiTheme="minorEastAsia" w:eastAsiaTheme="minorEastAsia" w:cstheme="minorEastAsia"/>
                <w:color w:val="auto"/>
                <w:kern w:val="2"/>
                <w:sz w:val="21"/>
                <w:szCs w:val="21"/>
                <w:highlight w:val="none"/>
                <w:lang w:eastAsia="zh-CN"/>
              </w:rPr>
            </w:pPr>
          </w:p>
        </w:tc>
        <w:tc>
          <w:tcPr>
            <w:tcW w:w="1414" w:type="dxa"/>
            <w:vAlign w:val="center"/>
          </w:tcPr>
          <w:p w14:paraId="577A2DA6">
            <w:pPr>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承诺或说明</w:t>
            </w:r>
          </w:p>
        </w:tc>
      </w:tr>
      <w:tr w14:paraId="0C7EF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0" w:hRule="atLeast"/>
          <w:jc w:val="center"/>
        </w:trPr>
        <w:tc>
          <w:tcPr>
            <w:tcW w:w="721" w:type="dxa"/>
            <w:vAlign w:val="center"/>
          </w:tcPr>
          <w:p w14:paraId="240D5E67">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p>
          <w:p w14:paraId="7BA83727">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7</w:t>
            </w:r>
          </w:p>
        </w:tc>
        <w:tc>
          <w:tcPr>
            <w:tcW w:w="2271" w:type="dxa"/>
            <w:vAlign w:val="center"/>
          </w:tcPr>
          <w:p w14:paraId="0227D0C7">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rPr>
              <w:t>第</w:t>
            </w:r>
            <w:r>
              <w:rPr>
                <w:rFonts w:hint="eastAsia" w:asciiTheme="minorEastAsia" w:hAnsiTheme="minorEastAsia" w:eastAsiaTheme="minorEastAsia" w:cstheme="minorEastAsia"/>
                <w:color w:val="auto"/>
                <w:kern w:val="2"/>
                <w:sz w:val="21"/>
                <w:szCs w:val="21"/>
                <w:highlight w:val="none"/>
                <w:lang w:eastAsia="zh-CN"/>
              </w:rPr>
              <w:t>三</w:t>
            </w:r>
            <w:r>
              <w:rPr>
                <w:rFonts w:hint="eastAsia" w:asciiTheme="minorEastAsia" w:hAnsiTheme="minorEastAsia" w:eastAsiaTheme="minorEastAsia" w:cstheme="minorEastAsia"/>
                <w:color w:val="auto"/>
                <w:kern w:val="2"/>
                <w:sz w:val="21"/>
                <w:szCs w:val="21"/>
                <w:highlight w:val="none"/>
              </w:rPr>
              <w:t>章</w:t>
            </w:r>
            <w:r>
              <w:rPr>
                <w:rFonts w:hint="eastAsia" w:asciiTheme="minorEastAsia" w:hAnsiTheme="minorEastAsia" w:eastAsiaTheme="minorEastAsia" w:cstheme="minorEastAsia"/>
                <w:color w:val="auto"/>
                <w:kern w:val="2"/>
                <w:sz w:val="21"/>
                <w:szCs w:val="21"/>
                <w:highlight w:val="none"/>
                <w:lang w:eastAsia="zh-CN"/>
              </w:rPr>
              <w:t>采购需求</w:t>
            </w:r>
          </w:p>
        </w:tc>
        <w:tc>
          <w:tcPr>
            <w:tcW w:w="1226" w:type="dxa"/>
            <w:vAlign w:val="center"/>
          </w:tcPr>
          <w:p w14:paraId="28673D7A">
            <w:pPr>
              <w:pStyle w:val="5"/>
              <w:keepNext w:val="0"/>
              <w:keepLines w:val="0"/>
              <w:pageBreakBefore w:val="0"/>
              <w:widowControl/>
              <w:wordWrap/>
              <w:overflowPunct/>
              <w:topLinePunct w:val="0"/>
              <w:autoSpaceDE w:val="0"/>
              <w:autoSpaceDN w:val="0"/>
              <w:bidi w:val="0"/>
              <w:adjustRightInd w:val="0"/>
              <w:snapToGrid w:val="0"/>
              <w:spacing w:line="240" w:lineRule="auto"/>
              <w:ind w:left="0"/>
              <w:jc w:val="center"/>
              <w:rPr>
                <w:rFonts w:hint="eastAsia" w:asciiTheme="minorEastAsia" w:hAnsiTheme="minorEastAsia" w:eastAsiaTheme="minorEastAsia" w:cstheme="minorEastAsia"/>
                <w:color w:val="auto"/>
                <w:kern w:val="2"/>
                <w:sz w:val="21"/>
                <w:szCs w:val="21"/>
                <w:highlight w:val="none"/>
              </w:rPr>
            </w:pPr>
            <w:bookmarkStart w:id="297" w:name="_Toc5884"/>
            <w:r>
              <w:rPr>
                <w:rFonts w:hint="eastAsia" w:asciiTheme="minorEastAsia" w:hAnsiTheme="minorEastAsia" w:eastAsiaTheme="minorEastAsia" w:cstheme="minorEastAsia"/>
                <w:color w:val="auto"/>
                <w:kern w:val="2"/>
                <w:sz w:val="21"/>
                <w:szCs w:val="21"/>
                <w:highlight w:val="none"/>
              </w:rPr>
              <w:t>质保</w:t>
            </w:r>
            <w:r>
              <w:rPr>
                <w:rFonts w:hint="eastAsia" w:asciiTheme="minorEastAsia" w:hAnsiTheme="minorEastAsia" w:eastAsiaTheme="minorEastAsia" w:cstheme="minorEastAsia"/>
                <w:color w:val="auto"/>
                <w:kern w:val="2"/>
                <w:sz w:val="21"/>
                <w:szCs w:val="21"/>
                <w:highlight w:val="none"/>
                <w:lang w:val="en-US" w:eastAsia="zh-CN"/>
              </w:rPr>
              <w:t>期</w:t>
            </w:r>
            <w:r>
              <w:rPr>
                <w:rFonts w:hint="eastAsia" w:asciiTheme="minorEastAsia" w:hAnsiTheme="minorEastAsia" w:eastAsiaTheme="minorEastAsia" w:cstheme="minorEastAsia"/>
                <w:color w:val="auto"/>
                <w:kern w:val="2"/>
                <w:sz w:val="21"/>
                <w:szCs w:val="21"/>
                <w:highlight w:val="none"/>
              </w:rPr>
              <w:t>及要求</w:t>
            </w:r>
            <w:bookmarkEnd w:id="297"/>
          </w:p>
          <w:p w14:paraId="25E869D9">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p>
        </w:tc>
        <w:tc>
          <w:tcPr>
            <w:tcW w:w="3357" w:type="dxa"/>
            <w:vAlign w:val="center"/>
          </w:tcPr>
          <w:p w14:paraId="25A2A1EE">
            <w:pPr>
              <w:pStyle w:val="5"/>
              <w:spacing w:line="360" w:lineRule="auto"/>
              <w:ind w:left="0"/>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乙方对所售犬只售后质保期为每批次供应的待训警犬度过环境适应期止，即：乙方将代训警犬送达至甲方（警犬训练基地营区）指定地点之日起20个日历日。</w:t>
            </w:r>
          </w:p>
        </w:tc>
        <w:tc>
          <w:tcPr>
            <w:tcW w:w="1507" w:type="dxa"/>
          </w:tcPr>
          <w:p w14:paraId="51D3F6FA">
            <w:pPr>
              <w:ind w:left="1080" w:leftChars="257" w:hanging="540"/>
              <w:rPr>
                <w:rFonts w:hint="eastAsia" w:asciiTheme="minorEastAsia" w:hAnsiTheme="minorEastAsia" w:eastAsiaTheme="minorEastAsia" w:cstheme="minorEastAsia"/>
                <w:color w:val="auto"/>
                <w:kern w:val="2"/>
                <w:sz w:val="21"/>
                <w:szCs w:val="21"/>
                <w:highlight w:val="none"/>
                <w:lang w:eastAsia="zh-CN"/>
              </w:rPr>
            </w:pPr>
          </w:p>
        </w:tc>
        <w:tc>
          <w:tcPr>
            <w:tcW w:w="1414" w:type="dxa"/>
            <w:vAlign w:val="center"/>
          </w:tcPr>
          <w:p w14:paraId="16A9A8E3">
            <w:pPr>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承诺或说明</w:t>
            </w:r>
          </w:p>
        </w:tc>
      </w:tr>
      <w:tr w14:paraId="2235A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4" w:hRule="atLeast"/>
          <w:jc w:val="center"/>
        </w:trPr>
        <w:tc>
          <w:tcPr>
            <w:tcW w:w="721" w:type="dxa"/>
            <w:vAlign w:val="center"/>
          </w:tcPr>
          <w:p w14:paraId="31319779">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8</w:t>
            </w:r>
          </w:p>
        </w:tc>
        <w:tc>
          <w:tcPr>
            <w:tcW w:w="2271" w:type="dxa"/>
            <w:vAlign w:val="center"/>
          </w:tcPr>
          <w:p w14:paraId="00DDCEAE">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rPr>
              <w:t>第</w:t>
            </w:r>
            <w:r>
              <w:rPr>
                <w:rFonts w:hint="eastAsia" w:asciiTheme="minorEastAsia" w:hAnsiTheme="minorEastAsia" w:eastAsiaTheme="minorEastAsia" w:cstheme="minorEastAsia"/>
                <w:color w:val="auto"/>
                <w:kern w:val="2"/>
                <w:sz w:val="21"/>
                <w:szCs w:val="21"/>
                <w:highlight w:val="none"/>
                <w:lang w:eastAsia="zh-CN"/>
              </w:rPr>
              <w:t>三</w:t>
            </w:r>
            <w:r>
              <w:rPr>
                <w:rFonts w:hint="eastAsia" w:asciiTheme="minorEastAsia" w:hAnsiTheme="minorEastAsia" w:eastAsiaTheme="minorEastAsia" w:cstheme="minorEastAsia"/>
                <w:color w:val="auto"/>
                <w:kern w:val="2"/>
                <w:sz w:val="21"/>
                <w:szCs w:val="21"/>
                <w:highlight w:val="none"/>
              </w:rPr>
              <w:t>章</w:t>
            </w:r>
            <w:r>
              <w:rPr>
                <w:rFonts w:hint="eastAsia" w:asciiTheme="minorEastAsia" w:hAnsiTheme="minorEastAsia" w:eastAsiaTheme="minorEastAsia" w:cstheme="minorEastAsia"/>
                <w:color w:val="auto"/>
                <w:kern w:val="2"/>
                <w:sz w:val="21"/>
                <w:szCs w:val="21"/>
                <w:highlight w:val="none"/>
                <w:lang w:eastAsia="zh-CN"/>
              </w:rPr>
              <w:t>采购需求</w:t>
            </w:r>
          </w:p>
        </w:tc>
        <w:tc>
          <w:tcPr>
            <w:tcW w:w="1226" w:type="dxa"/>
            <w:vAlign w:val="center"/>
          </w:tcPr>
          <w:p w14:paraId="4F7C7EF3">
            <w:pPr>
              <w:pStyle w:val="20"/>
              <w:keepNext w:val="0"/>
              <w:keepLines w:val="0"/>
              <w:pageBreakBefore w:val="0"/>
              <w:widowControl/>
              <w:wordWrap/>
              <w:overflowPunct/>
              <w:topLinePunct w:val="0"/>
              <w:autoSpaceDE w:val="0"/>
              <w:autoSpaceDN w:val="0"/>
              <w:bidi w:val="0"/>
              <w:adjustRightInd w:val="0"/>
              <w:snapToGrid w:val="0"/>
              <w:spacing w:line="240" w:lineRule="auto"/>
              <w:ind w:firstLine="420" w:firstLineChars="200"/>
              <w:jc w:val="center"/>
              <w:rPr>
                <w:rFonts w:hint="eastAsia" w:asciiTheme="minorEastAsia" w:hAnsiTheme="minorEastAsia" w:eastAsiaTheme="minorEastAsia" w:cstheme="minorEastAsia"/>
                <w:color w:val="auto"/>
                <w:kern w:val="2"/>
                <w:sz w:val="21"/>
                <w:szCs w:val="21"/>
                <w:highlight w:val="none"/>
              </w:rPr>
            </w:pPr>
          </w:p>
          <w:p w14:paraId="0E8B5F9B">
            <w:pPr>
              <w:pStyle w:val="20"/>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p>
          <w:p w14:paraId="7E7C4827">
            <w:pPr>
              <w:pStyle w:val="20"/>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售后服务标准要求</w:t>
            </w:r>
          </w:p>
          <w:p w14:paraId="2D7D5CBA">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p>
        </w:tc>
        <w:tc>
          <w:tcPr>
            <w:tcW w:w="3357" w:type="dxa"/>
            <w:vAlign w:val="center"/>
          </w:tcPr>
          <w:p w14:paraId="6E6BB626">
            <w:pPr>
              <w:pStyle w:val="9"/>
              <w:spacing w:line="360" w:lineRule="auto"/>
              <w:ind w:firstLine="420" w:firstLineChars="200"/>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（1）供应商应向甲方明确售后服务承诺，涵盖退换货政策、质保期限、专业培训等内容，使甲方清晰了解售后服务保障范围。</w:t>
            </w:r>
          </w:p>
          <w:p w14:paraId="56955E5A">
            <w:pPr>
              <w:pStyle w:val="9"/>
              <w:snapToGrid/>
              <w:spacing w:line="360" w:lineRule="auto"/>
              <w:ind w:firstLine="420" w:firstLineChars="200"/>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2）在甲方遇到紧急情况时，提供紧急救援服务，如犬只突发疾病、意外受伤等，确保犬只能够得到及时有效的救治。自待训警犬进场培训直至培训结束，乙方对所售犬只售后质保期内，若犬只出现任何恶性传染病或者死亡的情况，乙方应在3日内无偿予以更换同等价值品种犬只。若乙方未按时更换犬只，扣除合同价格的1%；累计超过7日，甲方有权终止合同，所产生的一切后果由乙方承担。如因不可抗力导致延误，乙方需及时通知甲方并提供证明，双方协商顺延或更换时间。</w:t>
            </w:r>
          </w:p>
          <w:p w14:paraId="0DCAC802">
            <w:pPr>
              <w:pStyle w:val="9"/>
              <w:spacing w:line="360" w:lineRule="auto"/>
              <w:ind w:firstLine="420" w:firstLineChars="200"/>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3）饲养指导。乙方应委派具备专业知识及丰富经验的专人开展饲养指导，饲养指导人员需持有中华人民共和国人力资源和社会保障部颁发的（三级/高级技能）训犬师职业资格证书。自待训警犬进场之日起，于现场开展为期15个日历日的饲养管理指导工作。相关费用由乙方承担。在此期间，乙方所派人员需全面负责解决犬只因环境变化等因素引发的应激障碍问题，包括但不限于观察犬只行为状态、调整饲养环境以减轻犬只应激反应、制定并执行适宜的饮食与运动计划，确保犬只能够平稳度过适应期，达到健康、良好的待训状态。</w:t>
            </w:r>
          </w:p>
          <w:p w14:paraId="5A60B086">
            <w:pPr>
              <w:pStyle w:val="9"/>
              <w:spacing w:line="360" w:lineRule="auto"/>
              <w:ind w:firstLine="420" w:firstLineChars="200"/>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4）防疫驱虫。乙方所供应的待训警犬，应在甲方监督在场的情况下，严格按照专业宠物医疗流程完成如下防疫与驱虫操作：进行三次驱虫工作，其中两次为体内驱虫，一次为体外驱虫。驱虫药物需选用经市场验证、品质可靠的产品。同时，需完成英特威四联苗的注射，以预防犬瘟热、犬细小病毒病、犬传染性肝炎和犬副流感等常见传染病。在完成英特威四联苗注射14个日历日后，乙方应为待训警犬注射单狂犬疫苗1针，以有效预防狂犬病。上述所有防疫与驱虫操作所产生的费用，包括但不限于药品采购费用、专业宠物医疗机构的诊疗服务费用等，均由乙方承担。在操作完成后，乙方应及时向甲方提供详细的防疫与驱虫记录，包括操作时间、使用药品品牌及规格、执行机构等信息，以供甲方留存与查验。</w:t>
            </w:r>
          </w:p>
          <w:p w14:paraId="42CEAEC5">
            <w:pPr>
              <w:pStyle w:val="9"/>
              <w:spacing w:line="360" w:lineRule="auto"/>
              <w:ind w:firstLine="420" w:firstLineChars="200"/>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5）疾病处理。质保期内，若待训警犬出现普通疾病（普通疾病范畴界定为因日常饲养环境、常见病原体感染等引发的一般性病症，如感冒、轻度肠胃不适、体表寄生虫感染等，不包含因先天性遗传缺陷、烈性传染病以及甲方不当饲养等导致的疾病），乙方应无偿提供全面的医疗服务保障，包括但不限于诊断、治疗方案制定、药品供应及必要的护理指导。若待训警犬患病周期连续7个日历日仍无明显好转迹象（“无明显好转”以具备专业资质的兽医机构出具的诊断报告为判定依据），乙方需无偿为甲方更换一只在品种、年龄、健康状况、训练潜力等方面均与原待训警犬具有同等价值的犬只。更换过程中所产生的运输、检疫等相关费用，均由乙方承担。</w:t>
            </w:r>
          </w:p>
          <w:p w14:paraId="12E1812F">
            <w:pPr>
              <w:pStyle w:val="9"/>
              <w:spacing w:line="360" w:lineRule="auto"/>
              <w:ind w:firstLine="420" w:firstLineChars="200"/>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6）疾病预防与应急处理预案：供应商应制定严格的饲养环境卫生标准，犬舍温度保持在18-25摄氏度，湿度控制在40%-60%，每日对犬舍进行清洁消毒，消毒方式采用符合国家动物防疫标准的消毒剂进行喷雾消毒和紫外线照射消毒。应急处理预案方面，供应商在接到犬只疾病报告后，兽医人员须在2小时内到达现场。对于一般性疾病，3天内制定并实施治疗方案；对于烈性传染病，1小时内启动隔离措施，按照国家动物疫病防控中心发布的相关疫病防控技术规范进行处理，并及时向甲方及当地动物防疫部门报告疫情。</w:t>
            </w:r>
          </w:p>
          <w:p w14:paraId="1CFA6EE3">
            <w:pPr>
              <w:pStyle w:val="9"/>
              <w:spacing w:line="360" w:lineRule="auto"/>
              <w:ind w:firstLine="420" w:firstLineChars="200"/>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（7）乙方需月回访购买待训警犬的甲方，了解犬只训练进展、健康状况等信息，解答甲方在训练过程中遇到的问题，为甲方提供持续的技术支持和指导。</w:t>
            </w:r>
          </w:p>
          <w:p w14:paraId="2040F62B">
            <w:pPr>
              <w:pStyle w:val="9"/>
              <w:spacing w:line="360" w:lineRule="auto"/>
              <w:ind w:firstLine="420" w:firstLineChars="200"/>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（8）根据甲方培训计划情况，乙方需配合甲方完成所供待训警犬工作证的办理工作，工作犬证需由中国工作犬管理协会出具。</w:t>
            </w:r>
          </w:p>
        </w:tc>
        <w:tc>
          <w:tcPr>
            <w:tcW w:w="1507" w:type="dxa"/>
          </w:tcPr>
          <w:p w14:paraId="1E3B9499">
            <w:pPr>
              <w:rPr>
                <w:rFonts w:hint="eastAsia" w:asciiTheme="minorEastAsia" w:hAnsiTheme="minorEastAsia" w:eastAsiaTheme="minorEastAsia" w:cstheme="minorEastAsia"/>
                <w:color w:val="auto"/>
                <w:kern w:val="2"/>
                <w:sz w:val="21"/>
                <w:szCs w:val="21"/>
                <w:highlight w:val="none"/>
                <w:lang w:eastAsia="zh-CN"/>
              </w:rPr>
            </w:pPr>
          </w:p>
        </w:tc>
        <w:tc>
          <w:tcPr>
            <w:tcW w:w="1414" w:type="dxa"/>
            <w:vAlign w:val="center"/>
          </w:tcPr>
          <w:p w14:paraId="3B2BAE39">
            <w:pPr>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承诺或说明</w:t>
            </w:r>
          </w:p>
        </w:tc>
      </w:tr>
      <w:tr w14:paraId="32FBC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2" w:hRule="atLeast"/>
          <w:jc w:val="center"/>
        </w:trPr>
        <w:tc>
          <w:tcPr>
            <w:tcW w:w="721" w:type="dxa"/>
            <w:vAlign w:val="center"/>
          </w:tcPr>
          <w:p w14:paraId="28351AFE">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9</w:t>
            </w:r>
          </w:p>
        </w:tc>
        <w:tc>
          <w:tcPr>
            <w:tcW w:w="2271" w:type="dxa"/>
            <w:vAlign w:val="center"/>
          </w:tcPr>
          <w:p w14:paraId="7A7749C5">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第</w:t>
            </w:r>
            <w:r>
              <w:rPr>
                <w:rFonts w:hint="eastAsia" w:asciiTheme="minorEastAsia" w:hAnsiTheme="minorEastAsia" w:eastAsiaTheme="minorEastAsia" w:cstheme="minorEastAsia"/>
                <w:color w:val="auto"/>
                <w:kern w:val="2"/>
                <w:sz w:val="21"/>
                <w:szCs w:val="21"/>
                <w:highlight w:val="none"/>
                <w:lang w:eastAsia="zh-CN"/>
              </w:rPr>
              <w:t>三</w:t>
            </w:r>
            <w:r>
              <w:rPr>
                <w:rFonts w:hint="eastAsia" w:asciiTheme="minorEastAsia" w:hAnsiTheme="minorEastAsia" w:eastAsiaTheme="minorEastAsia" w:cstheme="minorEastAsia"/>
                <w:color w:val="auto"/>
                <w:kern w:val="2"/>
                <w:sz w:val="21"/>
                <w:szCs w:val="21"/>
                <w:highlight w:val="none"/>
              </w:rPr>
              <w:t>章</w:t>
            </w:r>
            <w:r>
              <w:rPr>
                <w:rFonts w:hint="eastAsia" w:asciiTheme="minorEastAsia" w:hAnsiTheme="minorEastAsia" w:eastAsiaTheme="minorEastAsia" w:cstheme="minorEastAsia"/>
                <w:color w:val="auto"/>
                <w:kern w:val="2"/>
                <w:sz w:val="21"/>
                <w:szCs w:val="21"/>
                <w:highlight w:val="none"/>
                <w:lang w:eastAsia="zh-CN"/>
              </w:rPr>
              <w:t>采购需求</w:t>
            </w:r>
          </w:p>
        </w:tc>
        <w:tc>
          <w:tcPr>
            <w:tcW w:w="1226" w:type="dxa"/>
            <w:vAlign w:val="center"/>
          </w:tcPr>
          <w:p w14:paraId="72D795AA">
            <w:pPr>
              <w:keepNext w:val="0"/>
              <w:keepLines w:val="0"/>
              <w:pageBreakBefore w:val="0"/>
              <w:widowControl/>
              <w:wordWrap/>
              <w:overflowPunct/>
              <w:topLinePunct w:val="0"/>
              <w:autoSpaceDE w:val="0"/>
              <w:autoSpaceDN w:val="0"/>
              <w:bidi w:val="0"/>
              <w:adjustRightInd w:val="0"/>
              <w:snapToGrid w:val="0"/>
              <w:spacing w:line="240" w:lineRule="auto"/>
              <w:jc w:val="cente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lang w:eastAsia="zh-CN"/>
              </w:rPr>
              <w:t>运输包装和运输要求</w:t>
            </w:r>
          </w:p>
        </w:tc>
        <w:tc>
          <w:tcPr>
            <w:tcW w:w="3357" w:type="dxa"/>
          </w:tcPr>
          <w:p w14:paraId="4EF0CF5A">
            <w:pPr>
              <w:pStyle w:val="9"/>
              <w:spacing w:line="360" w:lineRule="auto"/>
              <w:ind w:firstLine="420" w:firstLineChars="200"/>
              <w:outlineLvl w:val="2"/>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（一）运输箱的选择：</w:t>
            </w:r>
          </w:p>
          <w:p w14:paraId="25A4A9EB">
            <w:pPr>
              <w:pStyle w:val="9"/>
              <w:spacing w:line="360" w:lineRule="auto"/>
              <w:ind w:firstLine="420" w:firstLineChars="200"/>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应选用坚固耐用、透气性良好的材质制作运输箱，确保犬只在运输过程中的安全与舒适。运输箱尺寸要适当，为犬只提供足够的活动空间，避免运输过程中受伤或产生不必要的应激反应。箱内铺设柔软垫料，减少犬只颠簸与碰撞，同时设置固定绑带或栏杆，防止犬只跳跃或跌落。运输箱还应具备良好的通风性能，保证犬只运输过程中有充足的氧气供应。</w:t>
            </w:r>
          </w:p>
          <w:p w14:paraId="2DCFEB71">
            <w:pPr>
              <w:pStyle w:val="9"/>
              <w:spacing w:line="360" w:lineRule="auto"/>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eastAsia="zh-CN"/>
              </w:rPr>
              <w:t>（二）运输要求：包装必须与运输方式相适应，包装方式的确定及包装费用均由乙方负责；由于不适当的包装而造成犬只在运输过程中及经甲方验收合格前有任何损坏由乙方负责。运输费、保险费、装卸费均有乙方承担。</w:t>
            </w:r>
          </w:p>
        </w:tc>
        <w:tc>
          <w:tcPr>
            <w:tcW w:w="1507" w:type="dxa"/>
          </w:tcPr>
          <w:p w14:paraId="4F820744">
            <w:pPr>
              <w:rPr>
                <w:rFonts w:hint="eastAsia" w:asciiTheme="minorEastAsia" w:hAnsiTheme="minorEastAsia" w:eastAsiaTheme="minorEastAsia" w:cstheme="minorEastAsia"/>
                <w:color w:val="auto"/>
                <w:kern w:val="2"/>
                <w:sz w:val="21"/>
                <w:szCs w:val="21"/>
                <w:highlight w:val="none"/>
              </w:rPr>
            </w:pPr>
          </w:p>
        </w:tc>
        <w:tc>
          <w:tcPr>
            <w:tcW w:w="1414" w:type="dxa"/>
            <w:vAlign w:val="center"/>
          </w:tcPr>
          <w:p w14:paraId="487786B7">
            <w:pPr>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承诺或说明</w:t>
            </w:r>
          </w:p>
        </w:tc>
      </w:tr>
    </w:tbl>
    <w:p w14:paraId="053E3C86">
      <w:pPr>
        <w:rPr>
          <w:rStyle w:val="24"/>
          <w:rFonts w:hint="eastAsia"/>
          <w:color w:val="auto"/>
          <w:sz w:val="28"/>
          <w:szCs w:val="22"/>
          <w:highlight w:val="none"/>
          <w:lang w:eastAsia="zh-CN"/>
        </w:rPr>
      </w:pPr>
      <w:r>
        <w:rPr>
          <w:rFonts w:hint="eastAsia"/>
          <w:b/>
          <w:bCs/>
          <w:color w:val="auto"/>
          <w:sz w:val="24"/>
          <w:szCs w:val="32"/>
          <w:highlight w:val="none"/>
          <w:lang w:eastAsia="zh-CN"/>
        </w:rPr>
        <w:t>备注：以上均需满足且按照证明材料内相关内容提供承诺、说明或印证材料，经评标委员会评定，如表述不清，对比不明，响应参数不满足，证明材料不齐全，将视为不满足予以废标。</w:t>
      </w:r>
    </w:p>
    <w:p w14:paraId="0C7C78EC">
      <w:pPr>
        <w:ind w:left="1080" w:leftChars="257" w:hanging="540"/>
        <w:rPr>
          <w:rFonts w:hint="eastAsia" w:ascii="宋体" w:hAnsi="宋体" w:eastAsia="宋体" w:cs="宋体"/>
          <w:color w:val="auto"/>
          <w:sz w:val="24"/>
          <w:highlight w:val="none"/>
          <w:lang w:eastAsia="zh-CN"/>
        </w:rPr>
      </w:pPr>
    </w:p>
    <w:p w14:paraId="398A0A75">
      <w:pPr>
        <w:ind w:left="1080" w:leftChars="257" w:hanging="54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谈判供应商名称（电子公章）：</w:t>
      </w:r>
    </w:p>
    <w:p w14:paraId="5FEF341F">
      <w:pPr>
        <w:ind w:left="1080" w:leftChars="257" w:hanging="54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谈判供应商法定代表人（电子签名或盖章）：</w:t>
      </w:r>
    </w:p>
    <w:p w14:paraId="35A35CB0">
      <w:pPr>
        <w:ind w:left="1080" w:leftChars="257" w:hanging="54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日期：  年 月 日</w:t>
      </w:r>
    </w:p>
    <w:p w14:paraId="2E87857A">
      <w:pPr>
        <w:spacing w:before="101" w:line="225" w:lineRule="auto"/>
        <w:ind w:left="25"/>
        <w:rPr>
          <w:rFonts w:hint="eastAsia" w:ascii="宋体" w:hAnsi="宋体" w:eastAsia="宋体" w:cs="宋体"/>
          <w:color w:val="auto"/>
          <w:spacing w:val="7"/>
          <w:sz w:val="31"/>
          <w:szCs w:val="31"/>
          <w:highlight w:val="none"/>
          <w:lang w:eastAsia="zh-CN"/>
          <w14:textOutline w14:w="5829" w14:cap="flat" w14:cmpd="sng" w14:algn="ctr">
            <w14:solidFill>
              <w14:srgbClr w14:val="000000"/>
            </w14:solidFill>
            <w14:prstDash w14:val="solid"/>
            <w14:miter w14:val="0"/>
          </w14:textOutline>
        </w:rPr>
      </w:pPr>
      <w:r>
        <w:rPr>
          <w:rFonts w:hint="eastAsia" w:ascii="宋体" w:hAnsi="宋体" w:eastAsia="宋体" w:cs="宋体"/>
          <w:color w:val="auto"/>
          <w:highlight w:val="none"/>
          <w:lang w:eastAsia="zh-CN"/>
        </w:rPr>
        <w:t>投标人保证：以上证明材料真实可查，如有造假伪造，我公司愿承担法律责任。</w:t>
      </w:r>
    </w:p>
    <w:p w14:paraId="5588D8B5">
      <w:pPr>
        <w:rPr>
          <w:rFonts w:hint="eastAsia" w:ascii="宋体" w:hAnsi="宋体" w:eastAsia="宋体" w:cs="宋体"/>
          <w:color w:val="auto"/>
          <w:spacing w:val="7"/>
          <w:sz w:val="31"/>
          <w:szCs w:val="31"/>
          <w:highlight w:val="none"/>
          <w:lang w:eastAsia="zh-CN"/>
          <w14:textOutline w14:w="5829" w14:cap="flat" w14:cmpd="sng" w14:algn="ctr">
            <w14:solidFill>
              <w14:srgbClr w14:val="000000"/>
            </w14:solidFill>
            <w14:prstDash w14:val="solid"/>
            <w14:miter w14:val="0"/>
          </w14:textOutline>
        </w:rPr>
      </w:pPr>
      <w:r>
        <w:rPr>
          <w:rFonts w:ascii="宋体" w:hAnsi="宋体" w:eastAsia="宋体" w:cs="宋体"/>
          <w:color w:val="auto"/>
          <w:spacing w:val="7"/>
          <w:sz w:val="31"/>
          <w:szCs w:val="31"/>
          <w:highlight w:val="none"/>
          <w:lang w:eastAsia="zh-CN"/>
          <w14:textOutline w14:w="5829" w14:cap="flat" w14:cmpd="sng" w14:algn="ctr">
            <w14:solidFill>
              <w14:srgbClr w14:val="000000"/>
            </w14:solidFill>
            <w14:prstDash w14:val="solid"/>
            <w14:miter w14:val="0"/>
          </w14:textOutline>
        </w:rPr>
        <w:br w:type="page"/>
      </w:r>
    </w:p>
    <w:p w14:paraId="7D848B58">
      <w:pPr>
        <w:spacing w:line="463" w:lineRule="exact"/>
        <w:jc w:val="both"/>
        <w:outlineLvl w:val="2"/>
        <w:rPr>
          <w:rFonts w:hint="eastAsia" w:ascii="宋体" w:hAnsi="宋体" w:eastAsia="宋体" w:cs="宋体"/>
          <w:b/>
          <w:bCs/>
          <w:color w:val="auto"/>
          <w:sz w:val="28"/>
          <w:szCs w:val="28"/>
          <w:highlight w:val="none"/>
          <w:lang w:eastAsia="zh-CN"/>
        </w:rPr>
      </w:pPr>
      <w:bookmarkStart w:id="298" w:name="_Toc13347"/>
      <w:r>
        <w:rPr>
          <w:rFonts w:hint="eastAsia" w:ascii="宋体" w:hAnsi="宋体" w:eastAsia="宋体" w:cs="宋体"/>
          <w:b/>
          <w:bCs/>
          <w:color w:val="auto"/>
          <w:sz w:val="28"/>
          <w:szCs w:val="28"/>
          <w:highlight w:val="none"/>
          <w:lang w:eastAsia="zh-CN"/>
        </w:rPr>
        <w:t>（五）投标产品技术性能指标的详细描述</w:t>
      </w:r>
      <w:bookmarkEnd w:id="298"/>
    </w:p>
    <w:p w14:paraId="1C0AFF18">
      <w:pPr>
        <w:rPr>
          <w:rFonts w:ascii="Calibri" w:hAnsi="Calibri" w:eastAsia="宋体" w:cs="宋体"/>
          <w:color w:val="auto"/>
          <w:highlight w:val="none"/>
          <w:lang w:eastAsia="zh-CN"/>
        </w:rPr>
      </w:pPr>
    </w:p>
    <w:p w14:paraId="6F33290E">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zh-CN" w:eastAsia="zh-CN"/>
        </w:rPr>
        <w:t>主要内容应包括但不限于以下内容（格式自定）：</w:t>
      </w:r>
    </w:p>
    <w:p w14:paraId="1340BBD3">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eastAsia="zh-CN"/>
        </w:rPr>
        <w:t>1、投标</w:t>
      </w:r>
      <w:r>
        <w:rPr>
          <w:rFonts w:hint="eastAsia" w:ascii="宋体" w:hAnsi="宋体" w:eastAsia="宋体" w:cs="宋体"/>
          <w:color w:val="auto"/>
          <w:sz w:val="24"/>
          <w:szCs w:val="24"/>
          <w:highlight w:val="none"/>
          <w:lang w:val="zh-CN" w:eastAsia="zh-CN"/>
        </w:rPr>
        <w:t>产品（货物）详细技术参数及图片资料；</w:t>
      </w:r>
    </w:p>
    <w:p w14:paraId="69D02F30">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lang w:val="zh-CN" w:eastAsia="zh-CN"/>
        </w:rPr>
        <w:t>、投标产品（货物）的质量标准、检测标准、测试手段、保质保用期；</w:t>
      </w:r>
    </w:p>
    <w:p w14:paraId="1271C29B">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lang w:val="zh-CN" w:eastAsia="zh-CN"/>
        </w:rPr>
        <w:t>、对投标产品（货物）的</w:t>
      </w:r>
      <w:r>
        <w:rPr>
          <w:rFonts w:hint="eastAsia" w:ascii="宋体" w:hAnsi="宋体" w:eastAsia="宋体" w:cs="宋体"/>
          <w:color w:val="auto"/>
          <w:sz w:val="24"/>
          <w:szCs w:val="24"/>
          <w:highlight w:val="none"/>
          <w:lang w:eastAsia="zh-CN"/>
        </w:rPr>
        <w:t>运输</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eastAsia="zh-CN"/>
        </w:rPr>
        <w:t>装卸</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eastAsia="zh-CN"/>
        </w:rPr>
        <w:t>防疫、</w:t>
      </w:r>
      <w:r>
        <w:rPr>
          <w:rFonts w:hint="eastAsia" w:ascii="宋体" w:hAnsi="宋体" w:eastAsia="宋体" w:cs="宋体"/>
          <w:color w:val="auto"/>
          <w:sz w:val="24"/>
          <w:szCs w:val="24"/>
          <w:highlight w:val="none"/>
          <w:lang w:val="zh-CN" w:eastAsia="zh-CN"/>
        </w:rPr>
        <w:t>验收及培训计划等方面采取技术和组织措施方案；</w:t>
      </w:r>
    </w:p>
    <w:p w14:paraId="43C368E4">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eastAsia="zh-CN"/>
        </w:rPr>
        <w:t>4</w:t>
      </w:r>
      <w:r>
        <w:rPr>
          <w:rFonts w:hint="eastAsia" w:ascii="宋体" w:hAnsi="宋体" w:eastAsia="宋体" w:cs="宋体"/>
          <w:color w:val="auto"/>
          <w:sz w:val="24"/>
          <w:szCs w:val="24"/>
          <w:highlight w:val="none"/>
          <w:lang w:val="zh-CN" w:eastAsia="zh-CN"/>
        </w:rPr>
        <w:t>、售后服务点名称、电话，负责人员及地址（附</w:t>
      </w:r>
      <w:r>
        <w:rPr>
          <w:rFonts w:hint="eastAsia" w:ascii="宋体" w:hAnsi="宋体" w:eastAsia="宋体" w:cs="宋体"/>
          <w:color w:val="auto"/>
          <w:sz w:val="24"/>
          <w:szCs w:val="24"/>
          <w:highlight w:val="none"/>
          <w:lang w:eastAsia="zh-CN"/>
        </w:rPr>
        <w:t>售后服务</w:t>
      </w:r>
      <w:r>
        <w:rPr>
          <w:rFonts w:hint="eastAsia" w:ascii="宋体" w:hAnsi="宋体" w:eastAsia="宋体" w:cs="宋体"/>
          <w:color w:val="auto"/>
          <w:sz w:val="24"/>
          <w:szCs w:val="24"/>
          <w:highlight w:val="none"/>
          <w:lang w:val="zh-CN" w:eastAsia="zh-CN"/>
        </w:rPr>
        <w:t>点证明材料）；</w:t>
      </w:r>
    </w:p>
    <w:p w14:paraId="4477BFBC">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w:t>
      </w:r>
      <w:r>
        <w:rPr>
          <w:rFonts w:hint="eastAsia" w:ascii="宋体" w:hAnsi="宋体" w:eastAsia="宋体" w:cs="宋体"/>
          <w:color w:val="auto"/>
          <w:sz w:val="24"/>
          <w:szCs w:val="24"/>
          <w:highlight w:val="none"/>
          <w:lang w:val="zh-CN" w:eastAsia="zh-CN"/>
        </w:rPr>
        <w:t>、安全、突发应急方案；</w:t>
      </w:r>
    </w:p>
    <w:p w14:paraId="0B25211C">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eastAsia="zh-CN"/>
        </w:rPr>
        <w:t>6</w:t>
      </w:r>
      <w:r>
        <w:rPr>
          <w:rFonts w:hint="eastAsia" w:ascii="宋体" w:hAnsi="宋体" w:eastAsia="宋体" w:cs="宋体"/>
          <w:color w:val="auto"/>
          <w:sz w:val="24"/>
          <w:szCs w:val="24"/>
          <w:highlight w:val="none"/>
          <w:lang w:val="zh-CN" w:eastAsia="zh-CN"/>
        </w:rPr>
        <w:t>、主要内容为本项目综合说明（包含但不限于项目服务方案、进度计划、产品（货物）人员投入、应急措施方案等）、项目质量总体目标及质量保证措施、验收标准及方式、技术规范性文件说明等。</w:t>
      </w:r>
    </w:p>
    <w:p w14:paraId="68F0709F">
      <w:pPr>
        <w:rPr>
          <w:rFonts w:hint="eastAsia" w:ascii="宋体" w:hAnsi="宋体" w:eastAsia="宋体" w:cs="宋体"/>
          <w:color w:val="auto"/>
          <w:highlight w:val="none"/>
          <w:lang w:val="zh-CN" w:eastAsia="zh-CN"/>
        </w:rPr>
      </w:pPr>
      <w:r>
        <w:rPr>
          <w:rFonts w:ascii="宋体" w:hAnsi="宋体" w:eastAsia="宋体" w:cs="宋体"/>
          <w:color w:val="auto"/>
          <w:highlight w:val="none"/>
          <w:lang w:val="zh-CN" w:eastAsia="zh-CN"/>
        </w:rPr>
        <w:br w:type="page"/>
      </w:r>
    </w:p>
    <w:p w14:paraId="08E3A0CE">
      <w:pPr>
        <w:pStyle w:val="10"/>
        <w:tabs>
          <w:tab w:val="left" w:pos="1038"/>
        </w:tabs>
        <w:ind w:left="0" w:firstLine="0"/>
        <w:outlineLvl w:val="2"/>
        <w:rPr>
          <w:color w:val="auto"/>
          <w:highlight w:val="none"/>
          <w:lang w:val="zh-CN" w:eastAsia="zh-CN"/>
        </w:rPr>
      </w:pPr>
      <w:bookmarkStart w:id="299" w:name="_Toc17215"/>
      <w:r>
        <w:rPr>
          <w:rFonts w:hint="eastAsia" w:ascii="宋体" w:hAnsi="宋体" w:eastAsia="宋体" w:cs="宋体"/>
          <w:b/>
          <w:bCs/>
          <w:color w:val="auto"/>
          <w:sz w:val="28"/>
          <w:szCs w:val="28"/>
          <w:highlight w:val="none"/>
          <w:lang w:eastAsia="zh-CN"/>
        </w:rPr>
        <w:t>（六）技术服务和质保期售后服务计划</w:t>
      </w:r>
      <w:bookmarkEnd w:id="299"/>
    </w:p>
    <w:p w14:paraId="7FD0B797">
      <w:pPr>
        <w:spacing w:line="360" w:lineRule="auto"/>
        <w:ind w:firstLine="420" w:firstLineChars="200"/>
        <w:rPr>
          <w:rFonts w:hint="eastAsia" w:ascii="宋体" w:hAnsi="宋体" w:eastAsia="宋体" w:cs="宋体"/>
          <w:color w:val="auto"/>
          <w:highlight w:val="none"/>
          <w:lang w:eastAsia="zh-CN"/>
        </w:rPr>
      </w:pPr>
    </w:p>
    <w:p w14:paraId="235F2761">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主要内容为本项目提供的详细技术支持和服务内容，包含但不限于提供详细的服务方案，服务人员配备（包括拟投入技术售后服务人员构成情况（学历、职称、从事该产品技术服务年限）、技术售后服务的主要内容；</w:t>
      </w:r>
    </w:p>
    <w:p w14:paraId="5D4F2ECC">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售后服务须根据产品故障报修的响应时间、处理速度、定期巡检 以及技术支持、软件升级、技术培训等服务进行承诺，并</w:t>
      </w:r>
      <w:r>
        <w:rPr>
          <w:rFonts w:hint="eastAsia" w:ascii="宋体" w:hAnsi="宋体" w:eastAsia="宋体" w:cs="宋体"/>
          <w:b/>
          <w:bCs/>
          <w:color w:val="auto"/>
          <w:sz w:val="24"/>
          <w:szCs w:val="24"/>
          <w:highlight w:val="none"/>
          <w:u w:val="single"/>
          <w:lang w:eastAsia="zh-CN"/>
        </w:rPr>
        <w:t>以表格形式列明质保期内及质保期后售后服务的具体内容</w:t>
      </w:r>
      <w:r>
        <w:rPr>
          <w:rFonts w:hint="eastAsia" w:ascii="宋体" w:hAnsi="宋体" w:eastAsia="宋体" w:cs="宋体"/>
          <w:color w:val="auto"/>
          <w:sz w:val="24"/>
          <w:szCs w:val="24"/>
          <w:highlight w:val="none"/>
          <w:lang w:eastAsia="zh-CN"/>
        </w:rPr>
        <w:t>,包含但不限于服务人员数量配备、服务人员姓名联系方式、服务响应时间，备品备件配备，收费标准，费用组成，产品维护时间等内容。</w:t>
      </w:r>
    </w:p>
    <w:p w14:paraId="6B8EA692">
      <w:pPr>
        <w:rPr>
          <w:rFonts w:hint="eastAsia" w:ascii="宋体" w:hAnsi="宋体" w:eastAsia="宋体" w:cs="宋体"/>
          <w:b/>
          <w:bCs/>
          <w:color w:val="auto"/>
          <w:sz w:val="32"/>
          <w:szCs w:val="32"/>
          <w:highlight w:val="none"/>
          <w:lang w:val="zh-CN" w:eastAsia="zh-CN"/>
        </w:rPr>
      </w:pPr>
    </w:p>
    <w:p w14:paraId="036B9570">
      <w:pPr>
        <w:pStyle w:val="2"/>
        <w:rPr>
          <w:color w:val="auto"/>
          <w:highlight w:val="none"/>
          <w:lang w:eastAsia="zh-CN"/>
        </w:rPr>
      </w:pPr>
    </w:p>
    <w:p w14:paraId="18284062">
      <w:pPr>
        <w:rPr>
          <w:color w:val="auto"/>
          <w:highlight w:val="none"/>
          <w:lang w:eastAsia="zh-CN"/>
        </w:rPr>
      </w:pPr>
      <w:r>
        <w:rPr>
          <w:color w:val="auto"/>
          <w:highlight w:val="none"/>
          <w:lang w:eastAsia="zh-CN"/>
        </w:rPr>
        <w:br w:type="page"/>
      </w:r>
    </w:p>
    <w:p w14:paraId="1D86051C">
      <w:pPr>
        <w:pStyle w:val="10"/>
        <w:tabs>
          <w:tab w:val="left" w:pos="1038"/>
        </w:tabs>
        <w:ind w:left="0" w:firstLine="0"/>
        <w:outlineLvl w:val="2"/>
        <w:rPr>
          <w:rFonts w:hint="eastAsia" w:ascii="宋体" w:hAnsi="宋体" w:eastAsia="宋体" w:cs="宋体"/>
          <w:b/>
          <w:bCs/>
          <w:color w:val="auto"/>
          <w:sz w:val="28"/>
          <w:szCs w:val="28"/>
          <w:highlight w:val="none"/>
          <w:lang w:eastAsia="zh-CN"/>
        </w:rPr>
      </w:pPr>
      <w:bookmarkStart w:id="300" w:name="_Toc26675"/>
      <w:bookmarkStart w:id="301" w:name="_Toc2249"/>
      <w:r>
        <w:rPr>
          <w:rFonts w:hint="eastAsia" w:ascii="宋体" w:hAnsi="宋体" w:eastAsia="宋体" w:cs="宋体"/>
          <w:b/>
          <w:bCs/>
          <w:color w:val="auto"/>
          <w:sz w:val="28"/>
          <w:szCs w:val="28"/>
          <w:highlight w:val="none"/>
          <w:lang w:eastAsia="zh-CN"/>
        </w:rPr>
        <w:t>（七）供应商认为需要提供的其他资料</w:t>
      </w:r>
      <w:bookmarkEnd w:id="300"/>
      <w:bookmarkEnd w:id="301"/>
    </w:p>
    <w:p w14:paraId="638A7CAC">
      <w:pPr>
        <w:pStyle w:val="9"/>
        <w:spacing w:line="260" w:lineRule="auto"/>
        <w:rPr>
          <w:color w:val="auto"/>
          <w:highlight w:val="none"/>
          <w:lang w:eastAsia="zh-CN"/>
        </w:rPr>
      </w:pPr>
    </w:p>
    <w:p w14:paraId="3417DDFB">
      <w:pPr>
        <w:snapToGrid/>
        <w:rPr>
          <w:color w:val="auto"/>
          <w:highlight w:val="none"/>
          <w:lang w:eastAsia="zh-CN"/>
        </w:rPr>
      </w:pPr>
    </w:p>
    <w:p w14:paraId="67D480A5">
      <w:pPr>
        <w:snapToGrid/>
        <w:rPr>
          <w:color w:val="auto"/>
          <w:highlight w:val="none"/>
          <w:lang w:eastAsia="zh-CN"/>
        </w:rPr>
      </w:pPr>
    </w:p>
    <w:p w14:paraId="37E7FD62">
      <w:pPr>
        <w:snapToGrid/>
        <w:rPr>
          <w:color w:val="auto"/>
          <w:highlight w:val="none"/>
          <w:lang w:eastAsia="zh-CN"/>
        </w:rPr>
      </w:pPr>
    </w:p>
    <w:p w14:paraId="6FEE9EBD">
      <w:pPr>
        <w:snapToGrid/>
        <w:rPr>
          <w:color w:val="auto"/>
          <w:highlight w:val="none"/>
          <w:lang w:eastAsia="zh-CN"/>
        </w:rPr>
      </w:pPr>
    </w:p>
    <w:p w14:paraId="58D53EA5">
      <w:pPr>
        <w:snapToGrid/>
        <w:rPr>
          <w:color w:val="auto"/>
          <w:highlight w:val="none"/>
          <w:lang w:eastAsia="zh-CN"/>
        </w:rPr>
      </w:pPr>
    </w:p>
    <w:p w14:paraId="15B99B8C">
      <w:pPr>
        <w:snapToGrid/>
        <w:rPr>
          <w:color w:val="auto"/>
          <w:highlight w:val="none"/>
          <w:lang w:eastAsia="zh-CN"/>
        </w:rPr>
      </w:pPr>
    </w:p>
    <w:p w14:paraId="3DFB4CE8">
      <w:pPr>
        <w:snapToGrid/>
        <w:rPr>
          <w:color w:val="auto"/>
          <w:highlight w:val="none"/>
          <w:lang w:eastAsia="zh-CN"/>
        </w:rPr>
      </w:pPr>
    </w:p>
    <w:p w14:paraId="5F6555AA">
      <w:pPr>
        <w:snapToGrid/>
        <w:rPr>
          <w:color w:val="auto"/>
          <w:highlight w:val="none"/>
          <w:lang w:eastAsia="zh-CN"/>
        </w:rPr>
      </w:pPr>
    </w:p>
    <w:p w14:paraId="7E4F6116">
      <w:pPr>
        <w:snapToGrid/>
        <w:rPr>
          <w:color w:val="auto"/>
          <w:highlight w:val="none"/>
          <w:lang w:eastAsia="zh-CN"/>
        </w:rPr>
      </w:pPr>
    </w:p>
    <w:p w14:paraId="35C5F034">
      <w:pPr>
        <w:snapToGrid/>
        <w:rPr>
          <w:color w:val="auto"/>
          <w:highlight w:val="none"/>
          <w:lang w:eastAsia="zh-CN"/>
        </w:rPr>
      </w:pPr>
    </w:p>
    <w:p w14:paraId="3539ED9A">
      <w:pPr>
        <w:snapToGrid/>
        <w:rPr>
          <w:color w:val="auto"/>
          <w:highlight w:val="none"/>
          <w:lang w:eastAsia="zh-CN"/>
        </w:rPr>
      </w:pPr>
    </w:p>
    <w:p w14:paraId="3B6444FD">
      <w:pPr>
        <w:snapToGrid/>
        <w:rPr>
          <w:color w:val="auto"/>
          <w:highlight w:val="none"/>
          <w:lang w:eastAsia="zh-CN"/>
        </w:rPr>
      </w:pPr>
    </w:p>
    <w:p w14:paraId="5C2743C2">
      <w:pPr>
        <w:snapToGrid/>
        <w:rPr>
          <w:color w:val="auto"/>
          <w:highlight w:val="none"/>
          <w:lang w:eastAsia="zh-CN"/>
        </w:rPr>
      </w:pPr>
    </w:p>
    <w:p w14:paraId="60F68BD0">
      <w:pPr>
        <w:snapToGrid/>
        <w:rPr>
          <w:color w:val="auto"/>
          <w:highlight w:val="none"/>
          <w:lang w:eastAsia="zh-CN"/>
        </w:rPr>
      </w:pPr>
    </w:p>
    <w:p w14:paraId="3CB10282">
      <w:pPr>
        <w:snapToGrid/>
        <w:rPr>
          <w:color w:val="auto"/>
          <w:highlight w:val="none"/>
          <w:lang w:eastAsia="zh-CN"/>
        </w:rPr>
      </w:pPr>
    </w:p>
    <w:p w14:paraId="4C1A6F83">
      <w:pPr>
        <w:snapToGrid/>
        <w:rPr>
          <w:color w:val="auto"/>
          <w:highlight w:val="none"/>
          <w:lang w:eastAsia="zh-CN"/>
        </w:rPr>
      </w:pPr>
    </w:p>
    <w:p w14:paraId="7DD00851">
      <w:pPr>
        <w:snapToGrid/>
        <w:rPr>
          <w:color w:val="auto"/>
          <w:highlight w:val="none"/>
          <w:lang w:eastAsia="zh-CN"/>
        </w:rPr>
      </w:pPr>
    </w:p>
    <w:p w14:paraId="1107FCD0">
      <w:pPr>
        <w:snapToGrid/>
        <w:rPr>
          <w:color w:val="auto"/>
          <w:highlight w:val="none"/>
          <w:lang w:eastAsia="zh-CN"/>
        </w:rPr>
      </w:pPr>
    </w:p>
    <w:p w14:paraId="4F613416">
      <w:pPr>
        <w:snapToGrid/>
        <w:rPr>
          <w:color w:val="auto"/>
          <w:highlight w:val="none"/>
          <w:lang w:eastAsia="zh-CN"/>
        </w:rPr>
      </w:pPr>
    </w:p>
    <w:p w14:paraId="08712608">
      <w:pPr>
        <w:snapToGrid/>
        <w:rPr>
          <w:color w:val="auto"/>
          <w:highlight w:val="none"/>
          <w:lang w:eastAsia="zh-CN"/>
        </w:rPr>
      </w:pPr>
    </w:p>
    <w:p w14:paraId="0A687D3A">
      <w:pPr>
        <w:snapToGrid/>
        <w:rPr>
          <w:color w:val="auto"/>
          <w:highlight w:val="none"/>
          <w:lang w:eastAsia="zh-CN"/>
        </w:rPr>
      </w:pPr>
    </w:p>
    <w:p w14:paraId="292C2F99">
      <w:pPr>
        <w:snapToGrid/>
        <w:rPr>
          <w:color w:val="auto"/>
          <w:highlight w:val="none"/>
          <w:lang w:eastAsia="zh-CN"/>
        </w:rPr>
      </w:pPr>
    </w:p>
    <w:p w14:paraId="1CF0B954">
      <w:pPr>
        <w:snapToGrid/>
        <w:rPr>
          <w:color w:val="auto"/>
          <w:highlight w:val="none"/>
          <w:lang w:eastAsia="zh-CN"/>
        </w:rPr>
      </w:pPr>
    </w:p>
    <w:p w14:paraId="3B651794">
      <w:pPr>
        <w:snapToGrid/>
        <w:rPr>
          <w:color w:val="auto"/>
          <w:highlight w:val="none"/>
          <w:lang w:eastAsia="zh-CN"/>
        </w:rPr>
      </w:pPr>
    </w:p>
    <w:p w14:paraId="1822B49C">
      <w:pPr>
        <w:snapToGrid/>
        <w:rPr>
          <w:color w:val="auto"/>
          <w:highlight w:val="none"/>
          <w:lang w:eastAsia="zh-CN"/>
        </w:rPr>
      </w:pPr>
    </w:p>
    <w:p w14:paraId="159D5E4B">
      <w:pPr>
        <w:snapToGrid/>
        <w:rPr>
          <w:color w:val="auto"/>
          <w:highlight w:val="none"/>
          <w:lang w:eastAsia="zh-CN"/>
        </w:rPr>
      </w:pPr>
      <w:r>
        <w:rPr>
          <w:rFonts w:hint="eastAsia"/>
          <w:color w:val="auto"/>
          <w:highlight w:val="none"/>
          <w:lang w:eastAsia="zh-CN"/>
        </w:rPr>
        <w:br w:type="page"/>
      </w:r>
    </w:p>
    <w:p w14:paraId="29321136">
      <w:pPr>
        <w:snapToGrid/>
        <w:rPr>
          <w:color w:val="auto"/>
          <w:highlight w:val="none"/>
          <w:lang w:eastAsia="zh-CN"/>
        </w:rPr>
      </w:pPr>
    </w:p>
    <w:p w14:paraId="52C6081E">
      <w:pPr>
        <w:spacing w:before="156" w:beforeLines="50" w:after="156" w:afterLines="50"/>
        <w:jc w:val="center"/>
        <w:outlineLvl w:val="1"/>
        <w:rPr>
          <w:rFonts w:hint="eastAsia" w:ascii="宋体" w:hAnsi="宋体" w:eastAsia="宋体" w:cs="宋体"/>
          <w:b/>
          <w:bCs/>
          <w:color w:val="auto"/>
          <w:spacing w:val="20"/>
          <w:sz w:val="28"/>
          <w:szCs w:val="36"/>
          <w:highlight w:val="none"/>
          <w:lang w:eastAsia="zh-CN"/>
        </w:rPr>
      </w:pPr>
      <w:bookmarkStart w:id="302" w:name="_Toc9516"/>
      <w:r>
        <w:rPr>
          <w:rFonts w:hint="eastAsia" w:ascii="宋体" w:hAnsi="宋体" w:eastAsia="宋体" w:cs="宋体"/>
          <w:b/>
          <w:bCs/>
          <w:color w:val="auto"/>
          <w:spacing w:val="20"/>
          <w:sz w:val="28"/>
          <w:szCs w:val="36"/>
          <w:highlight w:val="none"/>
          <w:lang w:eastAsia="zh-CN"/>
        </w:rPr>
        <w:t>中小企业声明函（货物）</w:t>
      </w:r>
      <w:bookmarkEnd w:id="302"/>
    </w:p>
    <w:p w14:paraId="44F8A2EC">
      <w:pPr>
        <w:spacing w:line="360" w:lineRule="auto"/>
        <w:ind w:firstLine="480" w:firstLineChars="200"/>
        <w:rPr>
          <w:rFonts w:hint="eastAsia" w:ascii="宋体" w:hAnsi="宋体" w:eastAsia="宋体" w:cs="宋体"/>
          <w:color w:val="auto"/>
          <w:sz w:val="24"/>
          <w:highlight w:val="none"/>
          <w:lang w:eastAsia="zh-CN"/>
        </w:rPr>
      </w:pPr>
    </w:p>
    <w:p w14:paraId="1A6278D0">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本公司（联合体）郑重声明，根据《政府采购促进中小 企业发展管理办法》（财库﹝2020﹞46 号）的规定，本公司（联合体）参加</w:t>
      </w:r>
      <w:r>
        <w:rPr>
          <w:rFonts w:hint="eastAsia" w:ascii="宋体" w:hAnsi="宋体" w:eastAsia="宋体" w:cs="宋体"/>
          <w:color w:val="auto"/>
          <w:sz w:val="24"/>
          <w:highlight w:val="none"/>
          <w:u w:val="single"/>
          <w:lang w:eastAsia="zh-CN"/>
        </w:rPr>
        <w:t>（单位名称）</w:t>
      </w:r>
      <w:r>
        <w:rPr>
          <w:rFonts w:hint="eastAsia" w:ascii="宋体" w:hAnsi="宋体" w:eastAsia="宋体" w:cs="宋体"/>
          <w:color w:val="auto"/>
          <w:sz w:val="24"/>
          <w:highlight w:val="none"/>
          <w:lang w:eastAsia="zh-CN"/>
        </w:rPr>
        <w:t>的</w:t>
      </w:r>
      <w:r>
        <w:rPr>
          <w:rFonts w:hint="eastAsia" w:ascii="宋体" w:hAnsi="宋体" w:eastAsia="宋体" w:cs="宋体"/>
          <w:color w:val="auto"/>
          <w:sz w:val="24"/>
          <w:highlight w:val="none"/>
          <w:u w:val="single"/>
          <w:lang w:eastAsia="zh-CN"/>
        </w:rPr>
        <w:t>（项目名称）</w:t>
      </w:r>
      <w:r>
        <w:rPr>
          <w:rFonts w:hint="eastAsia" w:ascii="宋体" w:hAnsi="宋体" w:eastAsia="宋体" w:cs="宋体"/>
          <w:color w:val="auto"/>
          <w:sz w:val="24"/>
          <w:highlight w:val="none"/>
          <w:lang w:eastAsia="zh-CN"/>
        </w:rPr>
        <w:t>采购活动，提 供的货物全部由符合政策要求的中小企业制造。相关企业</w:t>
      </w:r>
    </w:p>
    <w:p w14:paraId="70DD661A">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（含联合体中的中小企业、签订分包意向协议的中小企业） 的具体情况如下：</w:t>
      </w:r>
    </w:p>
    <w:p w14:paraId="35C52726">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w:t>
      </w:r>
      <w:r>
        <w:rPr>
          <w:rFonts w:hint="eastAsia" w:ascii="宋体" w:hAnsi="宋体" w:eastAsia="宋体" w:cs="宋体"/>
          <w:color w:val="auto"/>
          <w:sz w:val="24"/>
          <w:highlight w:val="none"/>
          <w:u w:val="single"/>
          <w:lang w:eastAsia="zh-CN"/>
        </w:rPr>
        <w:t xml:space="preserve"> （标的名称）</w:t>
      </w:r>
      <w:r>
        <w:rPr>
          <w:rFonts w:hint="eastAsia" w:ascii="宋体" w:hAnsi="宋体" w:eastAsia="宋体" w:cs="宋体"/>
          <w:color w:val="auto"/>
          <w:sz w:val="24"/>
          <w:highlight w:val="none"/>
          <w:lang w:eastAsia="zh-CN"/>
        </w:rPr>
        <w:t xml:space="preserve"> ，属于</w:t>
      </w:r>
      <w:r>
        <w:rPr>
          <w:rFonts w:hint="eastAsia" w:ascii="宋体" w:hAnsi="宋体" w:eastAsia="宋体" w:cs="宋体"/>
          <w:color w:val="auto"/>
          <w:sz w:val="24"/>
          <w:highlight w:val="none"/>
          <w:u w:val="single"/>
          <w:lang w:eastAsia="zh-CN"/>
        </w:rPr>
        <w:t xml:space="preserve">（采购文件中明确的所属行业） </w:t>
      </w:r>
      <w:r>
        <w:rPr>
          <w:rFonts w:hint="eastAsia" w:ascii="宋体" w:hAnsi="宋体" w:eastAsia="宋体" w:cs="宋体"/>
          <w:color w:val="auto"/>
          <w:sz w:val="24"/>
          <w:highlight w:val="none"/>
          <w:lang w:eastAsia="zh-CN"/>
        </w:rPr>
        <w:t>行业；制造商为</w:t>
      </w:r>
      <w:r>
        <w:rPr>
          <w:rFonts w:hint="eastAsia" w:ascii="宋体" w:hAnsi="宋体" w:eastAsia="宋体" w:cs="宋体"/>
          <w:color w:val="auto"/>
          <w:sz w:val="24"/>
          <w:highlight w:val="none"/>
          <w:u w:val="single"/>
          <w:lang w:eastAsia="zh-CN"/>
        </w:rPr>
        <w:t>（企业名称）</w:t>
      </w:r>
      <w:r>
        <w:rPr>
          <w:rFonts w:hint="eastAsia" w:ascii="宋体" w:hAnsi="宋体" w:eastAsia="宋体" w:cs="宋体"/>
          <w:color w:val="auto"/>
          <w:sz w:val="24"/>
          <w:highlight w:val="none"/>
          <w:lang w:eastAsia="zh-CN"/>
        </w:rPr>
        <w:t>，从业人员</w:t>
      </w:r>
      <w:r>
        <w:rPr>
          <w:rFonts w:hint="eastAsia" w:ascii="宋体" w:hAnsi="宋体" w:eastAsia="宋体" w:cs="宋体"/>
          <w:color w:val="auto"/>
          <w:sz w:val="24"/>
          <w:highlight w:val="none"/>
          <w:u w:val="single"/>
          <w:lang w:eastAsia="zh-CN"/>
        </w:rPr>
        <w:tab/>
      </w:r>
      <w:r>
        <w:rPr>
          <w:rFonts w:hint="eastAsia" w:ascii="宋体" w:hAnsi="宋体" w:eastAsia="宋体" w:cs="宋体"/>
          <w:color w:val="auto"/>
          <w:sz w:val="24"/>
          <w:highlight w:val="none"/>
          <w:lang w:eastAsia="zh-CN"/>
        </w:rPr>
        <w:t>人，营业收入为</w:t>
      </w:r>
      <w:r>
        <w:rPr>
          <w:rFonts w:hint="eastAsia" w:ascii="宋体" w:hAnsi="宋体" w:eastAsia="宋体" w:cs="宋体"/>
          <w:color w:val="auto"/>
          <w:sz w:val="24"/>
          <w:highlight w:val="none"/>
          <w:u w:val="single"/>
          <w:lang w:eastAsia="zh-CN"/>
        </w:rPr>
        <w:tab/>
      </w:r>
      <w:r>
        <w:rPr>
          <w:rFonts w:hint="eastAsia" w:ascii="宋体" w:hAnsi="宋体" w:eastAsia="宋体" w:cs="宋体"/>
          <w:color w:val="auto"/>
          <w:sz w:val="24"/>
          <w:highlight w:val="none"/>
          <w:lang w:eastAsia="zh-CN"/>
        </w:rPr>
        <w:t>万元，资产总额为</w:t>
      </w:r>
      <w:r>
        <w:rPr>
          <w:rFonts w:hint="eastAsia" w:ascii="宋体" w:hAnsi="宋体" w:eastAsia="宋体" w:cs="宋体"/>
          <w:color w:val="auto"/>
          <w:sz w:val="24"/>
          <w:highlight w:val="none"/>
          <w:u w:val="single"/>
          <w:lang w:eastAsia="zh-CN"/>
        </w:rPr>
        <w:tab/>
      </w:r>
      <w:r>
        <w:rPr>
          <w:rFonts w:hint="eastAsia" w:ascii="宋体" w:hAnsi="宋体" w:eastAsia="宋体" w:cs="宋体"/>
          <w:color w:val="auto"/>
          <w:sz w:val="24"/>
          <w:highlight w:val="none"/>
          <w:lang w:eastAsia="zh-CN"/>
        </w:rPr>
        <w:t>万元</w:t>
      </w:r>
      <w:r>
        <w:rPr>
          <w:color w:val="auto"/>
          <w:highlight w:val="none"/>
        </w:rPr>
        <w:fldChar w:fldCharType="begin"/>
      </w:r>
      <w:r>
        <w:rPr>
          <w:color w:val="auto"/>
          <w:highlight w:val="none"/>
        </w:rPr>
        <w:instrText xml:space="preserve"> HYPERLINK \l "_bookmark0" </w:instrText>
      </w:r>
      <w:r>
        <w:rPr>
          <w:color w:val="auto"/>
          <w:highlight w:val="none"/>
        </w:rPr>
        <w:fldChar w:fldCharType="separate"/>
      </w:r>
      <w:r>
        <w:rPr>
          <w:rFonts w:hint="eastAsia" w:ascii="宋体" w:hAnsi="宋体" w:eastAsia="宋体" w:cs="宋体"/>
          <w:color w:val="auto"/>
          <w:sz w:val="24"/>
          <w:highlight w:val="none"/>
          <w:vertAlign w:val="superscript"/>
          <w:lang w:eastAsia="zh-CN"/>
        </w:rPr>
        <w:t>1</w:t>
      </w:r>
      <w:r>
        <w:rPr>
          <w:rFonts w:hint="eastAsia" w:ascii="宋体" w:hAnsi="宋体" w:eastAsia="宋体" w:cs="宋体"/>
          <w:color w:val="auto"/>
          <w:sz w:val="24"/>
          <w:highlight w:val="none"/>
          <w:vertAlign w:val="superscript"/>
          <w:lang w:eastAsia="zh-CN"/>
        </w:rPr>
        <w:fldChar w:fldCharType="end"/>
      </w:r>
      <w:r>
        <w:rPr>
          <w:rFonts w:hint="eastAsia" w:ascii="宋体" w:hAnsi="宋体" w:eastAsia="宋体" w:cs="宋体"/>
          <w:color w:val="auto"/>
          <w:sz w:val="24"/>
          <w:highlight w:val="none"/>
          <w:lang w:eastAsia="zh-CN"/>
        </w:rPr>
        <w:t>，属于</w:t>
      </w:r>
      <w:r>
        <w:rPr>
          <w:rFonts w:hint="eastAsia" w:ascii="宋体" w:hAnsi="宋体" w:eastAsia="宋体" w:cs="宋体"/>
          <w:color w:val="auto"/>
          <w:sz w:val="24"/>
          <w:highlight w:val="none"/>
          <w:u w:val="single"/>
          <w:lang w:eastAsia="zh-CN"/>
        </w:rPr>
        <w:t>（中型企业、小 型企业、微型企业）</w:t>
      </w:r>
      <w:r>
        <w:rPr>
          <w:rFonts w:hint="eastAsia" w:ascii="宋体" w:hAnsi="宋体" w:eastAsia="宋体" w:cs="宋体"/>
          <w:color w:val="auto"/>
          <w:sz w:val="24"/>
          <w:highlight w:val="none"/>
          <w:lang w:eastAsia="zh-CN"/>
        </w:rPr>
        <w:t>；</w:t>
      </w:r>
    </w:p>
    <w:p w14:paraId="1790B9B0">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 xml:space="preserve">2. </w:t>
      </w:r>
      <w:r>
        <w:rPr>
          <w:rFonts w:hint="eastAsia" w:ascii="宋体" w:hAnsi="宋体" w:eastAsia="宋体" w:cs="宋体"/>
          <w:color w:val="auto"/>
          <w:sz w:val="24"/>
          <w:highlight w:val="none"/>
          <w:u w:val="single"/>
          <w:lang w:eastAsia="zh-CN"/>
        </w:rPr>
        <w:t xml:space="preserve"> （标的名称）</w:t>
      </w:r>
      <w:r>
        <w:rPr>
          <w:rFonts w:hint="eastAsia" w:ascii="宋体" w:hAnsi="宋体" w:eastAsia="宋体" w:cs="宋体"/>
          <w:color w:val="auto"/>
          <w:sz w:val="24"/>
          <w:highlight w:val="none"/>
          <w:lang w:eastAsia="zh-CN"/>
        </w:rPr>
        <w:t xml:space="preserve"> ，属于</w:t>
      </w:r>
      <w:r>
        <w:rPr>
          <w:rFonts w:hint="eastAsia" w:ascii="宋体" w:hAnsi="宋体" w:eastAsia="宋体" w:cs="宋体"/>
          <w:color w:val="auto"/>
          <w:sz w:val="24"/>
          <w:highlight w:val="none"/>
          <w:u w:val="single"/>
          <w:lang w:eastAsia="zh-CN"/>
        </w:rPr>
        <w:t xml:space="preserve">（采购文件中明确的所属行业） </w:t>
      </w:r>
      <w:r>
        <w:rPr>
          <w:rFonts w:hint="eastAsia" w:ascii="宋体" w:hAnsi="宋体" w:eastAsia="宋体" w:cs="宋体"/>
          <w:color w:val="auto"/>
          <w:sz w:val="24"/>
          <w:highlight w:val="none"/>
          <w:lang w:eastAsia="zh-CN"/>
        </w:rPr>
        <w:t>行业；制造商为</w:t>
      </w:r>
      <w:r>
        <w:rPr>
          <w:rFonts w:hint="eastAsia" w:ascii="宋体" w:hAnsi="宋体" w:eastAsia="宋体" w:cs="宋体"/>
          <w:color w:val="auto"/>
          <w:sz w:val="24"/>
          <w:highlight w:val="none"/>
          <w:u w:val="single"/>
          <w:lang w:eastAsia="zh-CN"/>
        </w:rPr>
        <w:t>（企业名称）</w:t>
      </w:r>
      <w:r>
        <w:rPr>
          <w:rFonts w:hint="eastAsia" w:ascii="宋体" w:hAnsi="宋体" w:eastAsia="宋体" w:cs="宋体"/>
          <w:color w:val="auto"/>
          <w:sz w:val="24"/>
          <w:highlight w:val="none"/>
          <w:lang w:eastAsia="zh-CN"/>
        </w:rPr>
        <w:t>，从业人员</w:t>
      </w:r>
      <w:r>
        <w:rPr>
          <w:rFonts w:hint="eastAsia" w:ascii="宋体" w:hAnsi="宋体" w:eastAsia="宋体" w:cs="宋体"/>
          <w:color w:val="auto"/>
          <w:sz w:val="24"/>
          <w:highlight w:val="none"/>
          <w:u w:val="single"/>
          <w:lang w:eastAsia="zh-CN"/>
        </w:rPr>
        <w:tab/>
      </w:r>
      <w:r>
        <w:rPr>
          <w:rFonts w:hint="eastAsia" w:ascii="宋体" w:hAnsi="宋体" w:eastAsia="宋体" w:cs="宋体"/>
          <w:color w:val="auto"/>
          <w:sz w:val="24"/>
          <w:highlight w:val="none"/>
          <w:lang w:eastAsia="zh-CN"/>
        </w:rPr>
        <w:t>人，营业收入为</w:t>
      </w:r>
      <w:r>
        <w:rPr>
          <w:rFonts w:hint="eastAsia" w:ascii="宋体" w:hAnsi="宋体" w:eastAsia="宋体" w:cs="宋体"/>
          <w:color w:val="auto"/>
          <w:sz w:val="24"/>
          <w:highlight w:val="none"/>
          <w:u w:val="single"/>
          <w:lang w:eastAsia="zh-CN"/>
        </w:rPr>
        <w:tab/>
      </w:r>
      <w:r>
        <w:rPr>
          <w:rFonts w:hint="eastAsia" w:ascii="宋体" w:hAnsi="宋体" w:eastAsia="宋体" w:cs="宋体"/>
          <w:color w:val="auto"/>
          <w:sz w:val="24"/>
          <w:highlight w:val="none"/>
          <w:lang w:eastAsia="zh-CN"/>
        </w:rPr>
        <w:t>万元，资产总额为</w:t>
      </w:r>
      <w:r>
        <w:rPr>
          <w:rFonts w:hint="eastAsia" w:ascii="宋体" w:hAnsi="宋体" w:eastAsia="宋体" w:cs="宋体"/>
          <w:color w:val="auto"/>
          <w:sz w:val="24"/>
          <w:highlight w:val="none"/>
          <w:u w:val="single"/>
          <w:lang w:eastAsia="zh-CN"/>
        </w:rPr>
        <w:tab/>
      </w:r>
      <w:r>
        <w:rPr>
          <w:rFonts w:hint="eastAsia" w:ascii="宋体" w:hAnsi="宋体" w:eastAsia="宋体" w:cs="宋体"/>
          <w:color w:val="auto"/>
          <w:sz w:val="24"/>
          <w:highlight w:val="none"/>
          <w:lang w:eastAsia="zh-CN"/>
        </w:rPr>
        <w:t>万元</w:t>
      </w:r>
      <w:r>
        <w:rPr>
          <w:color w:val="auto"/>
          <w:highlight w:val="none"/>
        </w:rPr>
        <w:fldChar w:fldCharType="begin"/>
      </w:r>
      <w:r>
        <w:rPr>
          <w:color w:val="auto"/>
          <w:highlight w:val="none"/>
        </w:rPr>
        <w:instrText xml:space="preserve"> HYPERLINK \l "_bookmark0" </w:instrText>
      </w:r>
      <w:r>
        <w:rPr>
          <w:color w:val="auto"/>
          <w:highlight w:val="none"/>
        </w:rPr>
        <w:fldChar w:fldCharType="separate"/>
      </w:r>
      <w:r>
        <w:rPr>
          <w:rFonts w:hint="eastAsia" w:ascii="宋体" w:hAnsi="宋体" w:eastAsia="宋体" w:cs="宋体"/>
          <w:color w:val="auto"/>
          <w:sz w:val="24"/>
          <w:highlight w:val="none"/>
          <w:vertAlign w:val="superscript"/>
          <w:lang w:eastAsia="zh-CN"/>
        </w:rPr>
        <w:t>1</w:t>
      </w:r>
      <w:r>
        <w:rPr>
          <w:rFonts w:hint="eastAsia" w:ascii="宋体" w:hAnsi="宋体" w:eastAsia="宋体" w:cs="宋体"/>
          <w:color w:val="auto"/>
          <w:sz w:val="24"/>
          <w:highlight w:val="none"/>
          <w:vertAlign w:val="superscript"/>
          <w:lang w:eastAsia="zh-CN"/>
        </w:rPr>
        <w:fldChar w:fldCharType="end"/>
      </w:r>
      <w:r>
        <w:rPr>
          <w:rFonts w:hint="eastAsia" w:ascii="宋体" w:hAnsi="宋体" w:eastAsia="宋体" w:cs="宋体"/>
          <w:color w:val="auto"/>
          <w:sz w:val="24"/>
          <w:highlight w:val="none"/>
          <w:lang w:eastAsia="zh-CN"/>
        </w:rPr>
        <w:t>，属于</w:t>
      </w:r>
      <w:r>
        <w:rPr>
          <w:rFonts w:hint="eastAsia" w:ascii="宋体" w:hAnsi="宋体" w:eastAsia="宋体" w:cs="宋体"/>
          <w:color w:val="auto"/>
          <w:sz w:val="24"/>
          <w:highlight w:val="none"/>
          <w:u w:val="single"/>
          <w:lang w:eastAsia="zh-CN"/>
        </w:rPr>
        <w:t>（中型企业、小 型企业、微型企业）</w:t>
      </w:r>
      <w:r>
        <w:rPr>
          <w:rFonts w:hint="eastAsia" w:ascii="宋体" w:hAnsi="宋体" w:eastAsia="宋体" w:cs="宋体"/>
          <w:color w:val="auto"/>
          <w:sz w:val="24"/>
          <w:highlight w:val="none"/>
          <w:lang w:eastAsia="zh-CN"/>
        </w:rPr>
        <w:t>；</w:t>
      </w:r>
    </w:p>
    <w:p w14:paraId="79D6FB7A">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 以上企业，不属于大企业的分支机构，不存在控股股东为大企业的情形，也不存在与大企业的负责人为同一人的情形。</w:t>
      </w:r>
    </w:p>
    <w:p w14:paraId="35CA175A">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本企业对上述声明内容的真实性负责。如有虚假，将依法承担相应责任。</w:t>
      </w:r>
    </w:p>
    <w:p w14:paraId="27E00B14">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　　</w:t>
      </w:r>
    </w:p>
    <w:p w14:paraId="01BB7D58">
      <w:pPr>
        <w:spacing w:line="360" w:lineRule="auto"/>
        <w:ind w:firstLine="4920" w:firstLineChars="205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企业名称（盖章）：</w:t>
      </w:r>
    </w:p>
    <w:p w14:paraId="6C538718">
      <w:pPr>
        <w:spacing w:line="360" w:lineRule="auto"/>
        <w:ind w:firstLine="6180" w:firstLineChars="2575"/>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日 期：</w:t>
      </w:r>
    </w:p>
    <w:p w14:paraId="34FB5C1C">
      <w:pPr>
        <w:spacing w:line="400" w:lineRule="atLeast"/>
        <w:ind w:firstLine="3494" w:firstLineChars="1450"/>
        <w:rPr>
          <w:rFonts w:hint="eastAsia" w:ascii="宋体" w:hAnsi="宋体" w:eastAsia="宋体" w:cs="宋体"/>
          <w:b/>
          <w:color w:val="auto"/>
          <w:sz w:val="24"/>
          <w:highlight w:val="none"/>
          <w:lang w:eastAsia="zh-CN"/>
        </w:rPr>
      </w:pPr>
    </w:p>
    <w:p w14:paraId="0B066D68">
      <w:pPr>
        <w:spacing w:line="400" w:lineRule="atLeast"/>
        <w:ind w:firstLine="3494" w:firstLineChars="1450"/>
        <w:rPr>
          <w:rFonts w:hint="eastAsia" w:ascii="宋体" w:hAnsi="宋体" w:eastAsia="宋体" w:cs="宋体"/>
          <w:b/>
          <w:color w:val="auto"/>
          <w:sz w:val="24"/>
          <w:highlight w:val="none"/>
          <w:lang w:eastAsia="zh-CN"/>
        </w:rPr>
      </w:pPr>
    </w:p>
    <w:p w14:paraId="32FEA1B7">
      <w:pPr>
        <w:spacing w:line="400" w:lineRule="atLeast"/>
        <w:ind w:firstLine="3494" w:firstLineChars="1450"/>
        <w:rPr>
          <w:rFonts w:hint="eastAsia" w:ascii="宋体" w:hAnsi="宋体" w:eastAsia="宋体" w:cs="宋体"/>
          <w:b/>
          <w:color w:val="auto"/>
          <w:sz w:val="24"/>
          <w:highlight w:val="none"/>
          <w:lang w:eastAsia="zh-CN"/>
        </w:rPr>
      </w:pPr>
    </w:p>
    <w:p w14:paraId="7FE5CFE4">
      <w:pPr>
        <w:spacing w:line="400" w:lineRule="atLeast"/>
        <w:rPr>
          <w:rFonts w:hint="eastAsia" w:ascii="宋体" w:hAnsi="宋体" w:eastAsia="宋体" w:cs="宋体"/>
          <w:b/>
          <w:color w:val="auto"/>
          <w:sz w:val="24"/>
          <w:highlight w:val="none"/>
          <w:lang w:eastAsia="zh-CN"/>
        </w:rPr>
      </w:pPr>
      <w:r>
        <w:rPr>
          <w:rFonts w:hint="eastAsia" w:ascii="宋体" w:hAnsi="宋体" w:eastAsia="宋体" w:cs="宋体"/>
          <w:color w:val="auto"/>
          <w:sz w:val="24"/>
          <w:highlight w:val="none"/>
          <w:lang w:eastAsia="zh-CN"/>
        </w:rPr>
        <w:t>注：从业人员、营业收入、资产总额填报上一年度数据，无上一年度数据的新成立企业可不填报</w:t>
      </w:r>
    </w:p>
    <w:p w14:paraId="1171A3BE">
      <w:pPr>
        <w:rPr>
          <w:color w:val="auto"/>
          <w:highlight w:val="none"/>
          <w:lang w:eastAsia="zh-CN"/>
        </w:rPr>
        <w:sectPr>
          <w:pgSz w:w="11906" w:h="16838"/>
          <w:pgMar w:top="1440" w:right="1800" w:bottom="1440" w:left="1800" w:header="851" w:footer="992" w:gutter="0"/>
          <w:pgNumType w:fmt="decimal"/>
          <w:cols w:space="425" w:num="1"/>
          <w:docGrid w:type="lines" w:linePitch="312" w:charSpace="0"/>
        </w:sectPr>
      </w:pPr>
    </w:p>
    <w:p w14:paraId="2FE17962">
      <w:pPr>
        <w:spacing w:line="288" w:lineRule="auto"/>
        <w:ind w:firstLine="484" w:firstLineChars="201"/>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b/>
          <w:bCs/>
          <w:color w:val="auto"/>
          <w:sz w:val="24"/>
          <w:szCs w:val="24"/>
          <w:highlight w:val="none"/>
          <w:lang w:val="zh-CN" w:eastAsia="zh-CN"/>
        </w:rPr>
        <w:t>附</w:t>
      </w:r>
      <w:r>
        <w:rPr>
          <w:rFonts w:hint="eastAsia" w:asciiTheme="minorEastAsia" w:hAnsiTheme="minorEastAsia" w:eastAsiaTheme="minorEastAsia" w:cstheme="minorEastAsia"/>
          <w:b/>
          <w:bCs/>
          <w:color w:val="auto"/>
          <w:sz w:val="24"/>
          <w:szCs w:val="24"/>
          <w:highlight w:val="none"/>
          <w:lang w:eastAsia="zh-CN" w:bidi="zh-CN"/>
        </w:rPr>
        <w:t>中小企业声明函</w:t>
      </w:r>
      <w:r>
        <w:rPr>
          <w:rFonts w:hint="eastAsia" w:asciiTheme="minorEastAsia" w:hAnsiTheme="minorEastAsia" w:eastAsiaTheme="minorEastAsia" w:cstheme="minorEastAsia"/>
          <w:b/>
          <w:bCs/>
          <w:color w:val="auto"/>
          <w:sz w:val="24"/>
          <w:szCs w:val="24"/>
          <w:highlight w:val="none"/>
          <w:lang w:val="zh-CN" w:eastAsia="zh-CN"/>
        </w:rPr>
        <w:t>。</w:t>
      </w:r>
    </w:p>
    <w:p w14:paraId="32E2D66D">
      <w:pPr>
        <w:ind w:firstLine="480" w:firstLineChars="200"/>
        <w:jc w:val="center"/>
        <w:rPr>
          <w:rStyle w:val="16"/>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 xml:space="preserve">  </w:t>
      </w:r>
      <w:r>
        <w:rPr>
          <w:rStyle w:val="16"/>
          <w:rFonts w:hint="eastAsia" w:asciiTheme="minorEastAsia" w:hAnsiTheme="minorEastAsia" w:eastAsiaTheme="minorEastAsia" w:cstheme="minorEastAsia"/>
          <w:color w:val="auto"/>
          <w:sz w:val="24"/>
          <w:szCs w:val="24"/>
          <w:highlight w:val="none"/>
          <w:lang w:eastAsia="zh-CN"/>
        </w:rPr>
        <w:t>关于印发中小企业划型标准规定的通知</w:t>
      </w:r>
    </w:p>
    <w:p w14:paraId="7179BED0">
      <w:pPr>
        <w:pStyle w:val="13"/>
        <w:ind w:firstLine="600"/>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工信部联企业〔2011〕300号</w:t>
      </w:r>
    </w:p>
    <w:p w14:paraId="3EE189BF">
      <w:pPr>
        <w:pStyle w:val="13"/>
        <w:ind w:firstLine="48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各省、自治区、直辖市人民政府，国务院各部委、各直属机构及有关单位：</w:t>
      </w:r>
    </w:p>
    <w:p w14:paraId="3A1CF98A">
      <w:pPr>
        <w:pStyle w:val="13"/>
        <w:ind w:firstLine="48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0D537AF2">
      <w:pPr>
        <w:pStyle w:val="13"/>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　　　　　　　　　　　　　　　　　　　　　工业和信息化部　国家统计局</w:t>
      </w:r>
    </w:p>
    <w:p w14:paraId="7C2B5E49">
      <w:pPr>
        <w:pStyle w:val="13"/>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　　　　　　　　　　　　　　　　　　　　国家发展和改革委员会　财政部</w:t>
      </w:r>
    </w:p>
    <w:p w14:paraId="7EA29D93">
      <w:pPr>
        <w:pStyle w:val="13"/>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　　　　　　　　　　　　　　　　　　　　　　　　二○一一年六月十八日</w:t>
      </w:r>
    </w:p>
    <w:p w14:paraId="6DA19118">
      <w:pPr>
        <w:pStyle w:val="13"/>
        <w:jc w:val="center"/>
        <w:rPr>
          <w:rFonts w:hint="eastAsia" w:asciiTheme="minorEastAsia" w:hAnsiTheme="minorEastAsia" w:eastAsiaTheme="minorEastAsia" w:cstheme="minorEastAsia"/>
          <w:color w:val="auto"/>
          <w:sz w:val="24"/>
          <w:szCs w:val="24"/>
          <w:highlight w:val="none"/>
          <w:lang w:eastAsia="zh-CN"/>
        </w:rPr>
      </w:pPr>
      <w:r>
        <w:rPr>
          <w:rStyle w:val="16"/>
          <w:rFonts w:hint="eastAsia" w:asciiTheme="minorEastAsia" w:hAnsiTheme="minorEastAsia" w:eastAsiaTheme="minorEastAsia" w:cstheme="minorEastAsia"/>
          <w:color w:val="auto"/>
          <w:sz w:val="24"/>
          <w:szCs w:val="24"/>
          <w:highlight w:val="none"/>
          <w:lang w:eastAsia="zh-CN"/>
        </w:rPr>
        <w:t>中小企业划型标准规定</w:t>
      </w:r>
    </w:p>
    <w:p w14:paraId="22FA120F">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一、根据《中华人民共和国中小企业促进法》和《国务院关于进一步促进中小企业发展的若干意见》(国发〔2009〕36号)，制定本规定。</w:t>
      </w:r>
    </w:p>
    <w:p w14:paraId="15E922C8">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二、中小企业划分为中型、小型、微型三种类型，具体标准根据企业从业人员、营业收入、资产总额等指标，结合行业特点制定。</w:t>
      </w:r>
    </w:p>
    <w:p w14:paraId="46F18795">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591C4B8E">
      <w:pPr>
        <w:pStyle w:val="13"/>
        <w:ind w:firstLine="420" w:firstLineChars="175"/>
        <w:jc w:val="both"/>
        <w:outlineLvl w:val="9"/>
        <w:rPr>
          <w:rFonts w:hint="eastAsia" w:asciiTheme="minorEastAsia" w:hAnsiTheme="minorEastAsia" w:eastAsiaTheme="minorEastAsia" w:cstheme="minorEastAsia"/>
          <w:color w:val="auto"/>
          <w:sz w:val="24"/>
          <w:szCs w:val="24"/>
          <w:highlight w:val="none"/>
          <w:lang w:eastAsia="zh-CN"/>
        </w:rPr>
      </w:pPr>
      <w:bookmarkStart w:id="303" w:name="_Toc17074"/>
      <w:r>
        <w:rPr>
          <w:rFonts w:hint="eastAsia" w:asciiTheme="minorEastAsia" w:hAnsiTheme="minorEastAsia" w:eastAsiaTheme="minorEastAsia" w:cstheme="minorEastAsia"/>
          <w:color w:val="auto"/>
          <w:sz w:val="24"/>
          <w:szCs w:val="24"/>
          <w:highlight w:val="none"/>
          <w:lang w:eastAsia="zh-CN"/>
        </w:rPr>
        <w:t>四、各行业划型标准为：</w:t>
      </w:r>
      <w:bookmarkEnd w:id="303"/>
    </w:p>
    <w:p w14:paraId="2857E84F">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（一）农、林、牧、渔业。营业收入20000万元以下的为中小微型企业。其中，营业收入500万元及以上的为中型企业，营业收入50万元及以上的为小型企业，营业收入50万元以下的为微型企业。</w:t>
      </w:r>
    </w:p>
    <w:p w14:paraId="0F70A9DB">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70B88E9B">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DDC1375">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BEF9C15">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D1CF9A6">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D74475F">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E52F809">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F231CC8">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C1BB0B4">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6FA0E61">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8DDDCA2">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6613EEC">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58AE45C2">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DF20E02">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45F9F22">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（十六）其他未列明行业。从业人员300人以下的为中小微型企业。其中，从业人员100人及以上的为中型企业；从业人员10人及以上的为小型企业；从业人员10人以下的为微型企业。</w:t>
      </w:r>
    </w:p>
    <w:p w14:paraId="034DC520">
      <w:pPr>
        <w:pStyle w:val="13"/>
        <w:ind w:firstLine="420" w:firstLineChars="175"/>
        <w:jc w:val="both"/>
        <w:outlineLvl w:val="9"/>
        <w:rPr>
          <w:rFonts w:hint="eastAsia" w:asciiTheme="minorEastAsia" w:hAnsiTheme="minorEastAsia" w:eastAsiaTheme="minorEastAsia" w:cstheme="minorEastAsia"/>
          <w:color w:val="auto"/>
          <w:sz w:val="24"/>
          <w:szCs w:val="24"/>
          <w:highlight w:val="none"/>
          <w:lang w:eastAsia="zh-CN"/>
        </w:rPr>
      </w:pPr>
      <w:bookmarkStart w:id="304" w:name="_Toc9472"/>
      <w:r>
        <w:rPr>
          <w:rFonts w:hint="eastAsia" w:asciiTheme="minorEastAsia" w:hAnsiTheme="minorEastAsia" w:eastAsiaTheme="minorEastAsia" w:cstheme="minorEastAsia"/>
          <w:color w:val="auto"/>
          <w:sz w:val="24"/>
          <w:szCs w:val="24"/>
          <w:highlight w:val="none"/>
          <w:lang w:eastAsia="zh-CN"/>
        </w:rPr>
        <w:t>五、企业类型的划分以统计部门的统计数据为依据。</w:t>
      </w:r>
      <w:bookmarkEnd w:id="304"/>
    </w:p>
    <w:p w14:paraId="6C003E1D">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六、本规定适用于在中华人民共和国境内依法设立的各类所有制和各种组织形式的企业。个体工商户和本规定以外的行业，参照本规定进行划型。</w:t>
      </w:r>
    </w:p>
    <w:p w14:paraId="2A321FAC">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16130749">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八、本规定由工业和信息化部、国家统计局会同有关部门根据《国民经济行业分类》修订情况和企业发展变化情况适时修订。</w:t>
      </w:r>
    </w:p>
    <w:p w14:paraId="72F4B050">
      <w:pPr>
        <w:pStyle w:val="13"/>
        <w:ind w:firstLine="420" w:firstLineChars="175"/>
        <w:jc w:val="both"/>
        <w:outlineLvl w:val="9"/>
        <w:rPr>
          <w:rFonts w:hint="eastAsia" w:asciiTheme="minorEastAsia" w:hAnsiTheme="minorEastAsia" w:eastAsiaTheme="minorEastAsia" w:cstheme="minorEastAsia"/>
          <w:color w:val="auto"/>
          <w:sz w:val="24"/>
          <w:szCs w:val="24"/>
          <w:highlight w:val="none"/>
          <w:lang w:eastAsia="zh-CN"/>
        </w:rPr>
      </w:pPr>
      <w:bookmarkStart w:id="305" w:name="_Toc25832"/>
      <w:r>
        <w:rPr>
          <w:rFonts w:hint="eastAsia" w:asciiTheme="minorEastAsia" w:hAnsiTheme="minorEastAsia" w:eastAsiaTheme="minorEastAsia" w:cstheme="minorEastAsia"/>
          <w:color w:val="auto"/>
          <w:sz w:val="24"/>
          <w:szCs w:val="24"/>
          <w:highlight w:val="none"/>
          <w:lang w:eastAsia="zh-CN"/>
        </w:rPr>
        <w:t>九、本规定由工业和信息化部、国家统计局会同有关部门负责解释。</w:t>
      </w:r>
      <w:bookmarkEnd w:id="305"/>
    </w:p>
    <w:p w14:paraId="7D7FE395">
      <w:pPr>
        <w:pStyle w:val="13"/>
        <w:ind w:firstLine="420" w:firstLineChars="175"/>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十、本规定自发布之日起执行，原国家经贸委、原国家计委、财政部和国家统计局2003年颁布的《中小企业标准暂行规定》同时废止。</w:t>
      </w:r>
    </w:p>
    <w:p w14:paraId="19C442B6">
      <w:pPr>
        <w:rPr>
          <w:color w:val="auto"/>
          <w:highlight w:val="none"/>
          <w:lang w:eastAsia="zh-CN"/>
        </w:rPr>
      </w:pPr>
    </w:p>
    <w:p w14:paraId="117D9322">
      <w:pPr>
        <w:rPr>
          <w:color w:val="auto"/>
          <w:highlight w:val="none"/>
          <w:lang w:eastAsia="zh-CN"/>
        </w:rPr>
      </w:pPr>
    </w:p>
    <w:p w14:paraId="75A5B8A5">
      <w:pPr>
        <w:rPr>
          <w:color w:val="auto"/>
          <w:highlight w:val="none"/>
          <w:lang w:eastAsia="zh-CN"/>
        </w:rPr>
      </w:pPr>
    </w:p>
    <w:sectPr>
      <w:footerReference r:id="rId24"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JhengHei">
    <w:panose1 w:val="020B0604030504040204"/>
    <w:charset w:val="88"/>
    <w:family w:val="swiss"/>
    <w:pitch w:val="default"/>
    <w:sig w:usb0="000002A7" w:usb1="28CF4400" w:usb2="00000016" w:usb3="00000000" w:csb0="00100009"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D2E6AA">
    <w:pPr>
      <w:pStyle w:val="9"/>
      <w:spacing w:line="193" w:lineRule="auto"/>
      <w:rPr>
        <w:sz w:val="17"/>
        <w:szCs w:val="17"/>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83A8E2">
    <w:pPr>
      <w:pStyle w:val="9"/>
      <w:spacing w:line="193" w:lineRule="auto"/>
      <w:ind w:left="4466"/>
      <w:rPr>
        <w:sz w:val="17"/>
        <w:szCs w:val="17"/>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E16513">
    <w:pPr>
      <w:pStyle w:val="9"/>
      <w:spacing w:line="193" w:lineRule="auto"/>
      <w:ind w:left="4635"/>
      <w:rPr>
        <w:rFonts w:eastAsia="宋体"/>
        <w:sz w:val="17"/>
        <w:szCs w:val="17"/>
        <w:lang w:eastAsia="zh-CN"/>
      </w:rPr>
    </w:pPr>
    <w:r>
      <w:rPr>
        <w:sz w:val="17"/>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B444FA">
                          <w:pPr>
                            <w:pStyle w:val="11"/>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4B444FA">
                    <w:pPr>
                      <w:pStyle w:val="11"/>
                    </w:pPr>
                    <w:r>
                      <w:fldChar w:fldCharType="begin"/>
                    </w:r>
                    <w:r>
                      <w:instrText xml:space="preserve"> PAGE  \* MERGEFORMAT </w:instrText>
                    </w:r>
                    <w:r>
                      <w:fldChar w:fldCharType="separate"/>
                    </w:r>
                    <w:r>
                      <w:t>2</w:t>
                    </w:r>
                    <w:r>
                      <w:fldChar w:fldCharType="end"/>
                    </w:r>
                  </w:p>
                </w:txbxContent>
              </v:textbox>
            </v:shape>
          </w:pict>
        </mc:Fallback>
      </mc:AlternateContent>
    </w:r>
    <w:r>
      <w:rPr>
        <w:sz w:val="17"/>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54F9D2">
                          <w:pPr>
                            <w:pStyle w:val="11"/>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5854F9D2">
                    <w:pPr>
                      <w:pStyle w:val="11"/>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07AD5C">
    <w:pPr>
      <w:pStyle w:val="9"/>
      <w:spacing w:line="193" w:lineRule="auto"/>
      <w:ind w:left="4628"/>
      <w:rPr>
        <w:rFonts w:eastAsia="宋体"/>
        <w:sz w:val="17"/>
        <w:szCs w:val="17"/>
        <w:lang w:eastAsia="zh-CN"/>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BDB8AE">
                          <w:pPr>
                            <w:pStyle w:val="11"/>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9BDB8AE">
                    <w:pPr>
                      <w:pStyle w:val="11"/>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E14385">
    <w:pPr>
      <w:pStyle w:val="9"/>
      <w:spacing w:line="193" w:lineRule="auto"/>
      <w:ind w:left="4710"/>
      <w:rPr>
        <w:rFonts w:eastAsia="宋体"/>
        <w:sz w:val="17"/>
        <w:szCs w:val="17"/>
        <w:lang w:eastAsia="zh-CN"/>
      </w:rPr>
    </w:pPr>
    <w:r>
      <w:rPr>
        <w:sz w:val="17"/>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ED26C6">
                          <w:pPr>
                            <w:pStyle w:val="11"/>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4ED26C6">
                    <w:pPr>
                      <w:pStyle w:val="11"/>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4A66B5">
    <w:pPr>
      <w:pStyle w:val="9"/>
      <w:spacing w:line="193" w:lineRule="auto"/>
      <w:ind w:left="4610"/>
      <w:rPr>
        <w:rFonts w:eastAsia="宋体"/>
        <w:sz w:val="17"/>
        <w:szCs w:val="17"/>
        <w:lang w:eastAsia="zh-CN"/>
      </w:rPr>
    </w:pPr>
    <w:r>
      <w:rPr>
        <w:sz w:val="17"/>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43F422">
                          <w:pPr>
                            <w:pStyle w:val="11"/>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943F422">
                    <w:pPr>
                      <w:pStyle w:val="11"/>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AB4B35">
    <w:pPr>
      <w:pStyle w:val="9"/>
      <w:spacing w:line="193" w:lineRule="auto"/>
      <w:ind w:left="4620"/>
      <w:rPr>
        <w:rFonts w:eastAsia="宋体"/>
        <w:sz w:val="17"/>
        <w:szCs w:val="17"/>
        <w:lang w:eastAsia="zh-CN"/>
      </w:rPr>
    </w:pPr>
    <w:r>
      <w:rPr>
        <w:sz w:val="17"/>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BFFC7C">
                          <w:pPr>
                            <w:pStyle w:val="11"/>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BBFFC7C">
                    <w:pPr>
                      <w:pStyle w:val="11"/>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0F45AE">
    <w:pPr>
      <w:pStyle w:val="9"/>
      <w:spacing w:line="193" w:lineRule="auto"/>
      <w:ind w:left="4612"/>
      <w:rPr>
        <w:rFonts w:eastAsia="宋体"/>
        <w:sz w:val="17"/>
        <w:szCs w:val="17"/>
        <w:lang w:eastAsia="zh-CN"/>
      </w:rPr>
    </w:pPr>
    <w:r>
      <w:rPr>
        <w:sz w:val="17"/>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85F869">
                          <w:pPr>
                            <w:pStyle w:val="11"/>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285F869">
                    <w:pPr>
                      <w:pStyle w:val="11"/>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92E57">
    <w:pPr>
      <w:pStyle w:val="9"/>
      <w:spacing w:line="193" w:lineRule="auto"/>
      <w:ind w:left="4621"/>
      <w:rPr>
        <w:rFonts w:eastAsia="宋体"/>
        <w:sz w:val="17"/>
        <w:szCs w:val="17"/>
        <w:lang w:eastAsia="zh-CN"/>
      </w:rPr>
    </w:pPr>
    <w:r>
      <w:rPr>
        <w:sz w:val="17"/>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C09653">
                          <w:pPr>
                            <w:pStyle w:val="11"/>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10C09653">
                    <w:pPr>
                      <w:pStyle w:val="11"/>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C0FB9C">
    <w:pPr>
      <w:pStyle w:val="9"/>
      <w:spacing w:line="193" w:lineRule="auto"/>
      <w:ind w:left="4616"/>
      <w:rPr>
        <w:rFonts w:eastAsia="宋体"/>
        <w:sz w:val="17"/>
        <w:szCs w:val="17"/>
        <w:lang w:eastAsia="zh-CN"/>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1A7527">
                          <w:pPr>
                            <w:pStyle w:val="11"/>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601A7527">
                    <w:pPr>
                      <w:pStyle w:val="11"/>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A49E14">
    <w:pPr>
      <w:pStyle w:val="9"/>
      <w:spacing w:line="193" w:lineRule="auto"/>
      <w:ind w:left="4621"/>
      <w:rPr>
        <w:rFonts w:eastAsia="宋体"/>
        <w:sz w:val="17"/>
        <w:szCs w:val="17"/>
        <w:lang w:eastAsia="zh-CN"/>
      </w:rPr>
    </w:pPr>
    <w:r>
      <w:rPr>
        <w:sz w:val="17"/>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FDD330">
                          <w:pPr>
                            <w:pStyle w:val="11"/>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38FDD330">
                    <w:pPr>
                      <w:pStyle w:val="11"/>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EA7DD3">
    <w:pPr>
      <w:pStyle w:val="9"/>
      <w:spacing w:line="193" w:lineRule="auto"/>
      <w:ind w:left="4614"/>
      <w:rPr>
        <w:rFonts w:eastAsia="宋体"/>
        <w:sz w:val="17"/>
        <w:szCs w:val="17"/>
        <w:lang w:eastAsia="zh-CN"/>
      </w:rPr>
    </w:pPr>
    <w:r>
      <w:rPr>
        <w:sz w:val="17"/>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6ADC76">
                          <w:pPr>
                            <w:pStyle w:val="11"/>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2D6ADC76">
                    <w:pPr>
                      <w:pStyle w:val="11"/>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9E793F">
    <w:pPr>
      <w:pStyle w:val="9"/>
      <w:spacing w:line="193" w:lineRule="auto"/>
      <w:ind w:left="4696"/>
      <w:rPr>
        <w:rFonts w:eastAsia="宋体"/>
        <w:sz w:val="17"/>
        <w:szCs w:val="17"/>
        <w:lang w:eastAsia="zh-CN"/>
      </w:rPr>
    </w:pPr>
    <w:r>
      <w:rPr>
        <w:sz w:val="17"/>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C08824">
                          <w:pPr>
                            <w:pStyle w:val="11"/>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39C08824">
                    <w:pPr>
                      <w:pStyle w:val="11"/>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345C04">
    <w:pPr>
      <w:pStyle w:val="9"/>
      <w:spacing w:line="193" w:lineRule="auto"/>
      <w:ind w:left="4701"/>
      <w:rPr>
        <w:rFonts w:eastAsia="宋体"/>
        <w:sz w:val="17"/>
        <w:szCs w:val="17"/>
        <w:lang w:eastAsia="zh-CN"/>
      </w:rPr>
    </w:pPr>
    <w:r>
      <w:rPr>
        <w:sz w:val="17"/>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5AF717">
                          <w:pPr>
                            <w:pStyle w:val="11"/>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3A5AF717">
                    <w:pPr>
                      <w:pStyle w:val="11"/>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300D92">
    <w:pPr>
      <w:pStyle w:val="9"/>
      <w:spacing w:line="193" w:lineRule="auto"/>
      <w:ind w:left="4700"/>
      <w:rPr>
        <w:rFonts w:eastAsia="宋体"/>
        <w:sz w:val="17"/>
        <w:szCs w:val="17"/>
        <w:lang w:eastAsia="zh-CN"/>
      </w:rPr>
    </w:pPr>
    <w:r>
      <w:rPr>
        <w:sz w:val="17"/>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64F000">
                          <w:pPr>
                            <w:pStyle w:val="11"/>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0E64F000">
                    <w:pPr>
                      <w:pStyle w:val="11"/>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4F3C96">
    <w:pPr>
      <w:pStyle w:val="9"/>
      <w:spacing w:line="193" w:lineRule="auto"/>
      <w:ind w:left="4676"/>
      <w:rPr>
        <w:rFonts w:eastAsia="宋体"/>
        <w:sz w:val="17"/>
        <w:szCs w:val="17"/>
        <w:lang w:eastAsia="zh-CN"/>
      </w:rPr>
    </w:pPr>
    <w:r>
      <w:rPr>
        <w:sz w:val="17"/>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E1EA15">
                          <w:pPr>
                            <w:pStyle w:val="11"/>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13E1EA15">
                    <w:pPr>
                      <w:pStyle w:val="11"/>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B4864F">
    <w:pPr>
      <w:pStyle w:val="9"/>
      <w:spacing w:line="193" w:lineRule="auto"/>
      <w:ind w:left="4676"/>
      <w:rPr>
        <w:rFonts w:eastAsia="宋体"/>
        <w:sz w:val="17"/>
        <w:szCs w:val="17"/>
        <w:lang w:eastAsia="zh-CN"/>
      </w:rPr>
    </w:pPr>
    <w:r>
      <w:rPr>
        <w:sz w:val="17"/>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64FCD4">
                          <w:pPr>
                            <w:pStyle w:val="11"/>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4D64FCD4">
                    <w:pPr>
                      <w:pStyle w:val="11"/>
                    </w:pPr>
                    <w:r>
                      <w:fldChar w:fldCharType="begin"/>
                    </w:r>
                    <w:r>
                      <w:instrText xml:space="preserve"> PAGE  \* MERGEFORMAT </w:instrText>
                    </w:r>
                    <w:r>
                      <w:fldChar w:fldCharType="separate"/>
                    </w:r>
                    <w:r>
                      <w:t>78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AB48E6">
    <w:pPr>
      <w:pStyle w:val="9"/>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818A2">
    <w:pPr>
      <w:pStyle w:val="9"/>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9CDBB3">
    <w:pPr>
      <w:pStyle w:val="9"/>
      <w:spacing w:line="96" w:lineRule="auto"/>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5FE2DB">
    <w:pPr>
      <w:pStyle w:val="9"/>
      <w:spacing w:line="14" w:lineRule="auto"/>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E6AFC1">
    <w:pPr>
      <w:pStyle w:val="9"/>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907D00"/>
    <w:multiLevelType w:val="singleLevel"/>
    <w:tmpl w:val="82907D00"/>
    <w:lvl w:ilvl="0" w:tentative="0">
      <w:start w:val="5"/>
      <w:numFmt w:val="decimal"/>
      <w:suff w:val="space"/>
      <w:lvlText w:val="%1."/>
      <w:lvlJc w:val="left"/>
    </w:lvl>
  </w:abstractNum>
  <w:abstractNum w:abstractNumId="1">
    <w:nsid w:val="C0484F04"/>
    <w:multiLevelType w:val="singleLevel"/>
    <w:tmpl w:val="C0484F04"/>
    <w:lvl w:ilvl="0" w:tentative="0">
      <w:start w:val="2"/>
      <w:numFmt w:val="chineseCounting"/>
      <w:suff w:val="nothing"/>
      <w:lvlText w:val="%1、"/>
      <w:lvlJc w:val="left"/>
      <w:rPr>
        <w:rFonts w:hint="eastAsia"/>
      </w:rPr>
    </w:lvl>
  </w:abstractNum>
  <w:abstractNum w:abstractNumId="2">
    <w:nsid w:val="00000002"/>
    <w:multiLevelType w:val="multilevel"/>
    <w:tmpl w:val="00000002"/>
    <w:lvl w:ilvl="0" w:tentative="0">
      <w:start w:val="1"/>
      <w:numFmt w:val="decimal"/>
      <w:suff w:val="space"/>
      <w:lvlText w:val="%1."/>
      <w:lvlJc w:val="left"/>
      <w:pPr>
        <w:ind w:left="425" w:hanging="425"/>
      </w:pPr>
      <w:rPr>
        <w:rFonts w:hint="default"/>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3">
    <w:nsid w:val="00000006"/>
    <w:multiLevelType w:val="multilevel"/>
    <w:tmpl w:val="00000006"/>
    <w:lvl w:ilvl="0" w:tentative="0">
      <w:start w:val="1"/>
      <w:numFmt w:val="decimal"/>
      <w:suff w:val="space"/>
      <w:lvlText w:val="%1."/>
      <w:lvlJc w:val="left"/>
      <w:pPr>
        <w:ind w:left="425" w:hanging="425"/>
      </w:pPr>
      <w:rPr>
        <w:rFonts w:hint="default"/>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4">
    <w:nsid w:val="00000008"/>
    <w:multiLevelType w:val="multilevel"/>
    <w:tmpl w:val="00000008"/>
    <w:lvl w:ilvl="0" w:tentative="0">
      <w:start w:val="1"/>
      <w:numFmt w:val="none"/>
      <w:suff w:val="nothing"/>
      <w:lvlText w:val="%1"/>
      <w:lvlJc w:val="left"/>
      <w:pPr>
        <w:ind w:left="0" w:firstLine="0"/>
      </w:pPr>
      <w:rPr>
        <w:rFonts w:hint="default" w:ascii="Times New Roman" w:hAnsi="Times New Roman"/>
        <w:b/>
        <w:i w:val="0"/>
        <w:sz w:val="21"/>
      </w:rPr>
    </w:lvl>
    <w:lvl w:ilvl="1" w:tentative="0">
      <w:start w:val="1"/>
      <w:numFmt w:val="decimal"/>
      <w:pStyle w:val="27"/>
      <w:suff w:val="nothing"/>
      <w:lvlText w:val="%1%2　"/>
      <w:lvlJc w:val="left"/>
      <w:pPr>
        <w:ind w:left="0" w:firstLine="0"/>
      </w:pPr>
      <w:rPr>
        <w:rFonts w:hint="eastAsia" w:ascii="黑体" w:hAnsi="Times New Roman" w:eastAsia="黑体"/>
        <w:b w:val="0"/>
        <w:i w:val="0"/>
        <w:sz w:val="21"/>
      </w:rPr>
    </w:lvl>
    <w:lvl w:ilvl="2" w:tentative="0">
      <w:start w:val="1"/>
      <w:numFmt w:val="decimal"/>
      <w:suff w:val="nothing"/>
      <w:lvlText w:val="%1%2.%3　"/>
      <w:lvlJc w:val="left"/>
      <w:pPr>
        <w:ind w:left="142" w:firstLine="0"/>
      </w:pPr>
      <w:rPr>
        <w:rFonts w:hint="eastAsia" w:ascii="黑体" w:hAnsi="Times New Roman" w:eastAsia="黑体"/>
        <w:b w:val="0"/>
        <w:i w:val="0"/>
        <w:color w:val="auto"/>
        <w:sz w:val="21"/>
      </w:rPr>
    </w:lvl>
    <w:lvl w:ilvl="3" w:tentative="0">
      <w:start w:val="1"/>
      <w:numFmt w:val="decimal"/>
      <w:suff w:val="nothing"/>
      <w:lvlText w:val="%1%2.%3.%4　"/>
      <w:lvlJc w:val="left"/>
      <w:pPr>
        <w:ind w:left="426" w:firstLine="0"/>
      </w:pPr>
      <w:rPr>
        <w:rFonts w:hint="eastAsia" w:ascii="黑体" w:hAnsi="Times New Roman" w:eastAsia="黑体"/>
        <w:b w:val="0"/>
        <w:i w:val="0"/>
        <w:sz w:val="21"/>
      </w:rPr>
    </w:lvl>
    <w:lvl w:ilvl="4" w:tentative="0">
      <w:start w:val="1"/>
      <w:numFmt w:val="decimal"/>
      <w:suff w:val="nothing"/>
      <w:lvlText w:val="%1%2.%3.%4.%5　"/>
      <w:lvlJc w:val="left"/>
      <w:pPr>
        <w:ind w:left="945"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5">
    <w:nsid w:val="0000000B"/>
    <w:multiLevelType w:val="multilevel"/>
    <w:tmpl w:val="0000000B"/>
    <w:lvl w:ilvl="0" w:tentative="0">
      <w:start w:val="1"/>
      <w:numFmt w:val="decimal"/>
      <w:suff w:val="space"/>
      <w:lvlText w:val="%1."/>
      <w:lvlJc w:val="left"/>
      <w:pPr>
        <w:ind w:left="425" w:hanging="425"/>
      </w:pPr>
      <w:rPr>
        <w:rFonts w:hint="default"/>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6">
    <w:nsid w:val="0000000E"/>
    <w:multiLevelType w:val="multilevel"/>
    <w:tmpl w:val="0000000E"/>
    <w:lvl w:ilvl="0" w:tentative="0">
      <w:start w:val="1"/>
      <w:numFmt w:val="decimal"/>
      <w:suff w:val="space"/>
      <w:lvlText w:val="%1."/>
      <w:lvlJc w:val="left"/>
      <w:pPr>
        <w:ind w:left="425" w:hanging="425"/>
      </w:pPr>
      <w:rPr>
        <w:rFonts w:hint="default"/>
        <w:color w:val="auto"/>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7">
    <w:nsid w:val="00000017"/>
    <w:multiLevelType w:val="multilevel"/>
    <w:tmpl w:val="00000017"/>
    <w:lvl w:ilvl="0" w:tentative="0">
      <w:start w:val="1"/>
      <w:numFmt w:val="decimal"/>
      <w:suff w:val="space"/>
      <w:lvlText w:val="%1."/>
      <w:lvlJc w:val="left"/>
      <w:pPr>
        <w:ind w:left="425" w:hanging="425"/>
      </w:pPr>
      <w:rPr>
        <w:rFonts w:hint="default"/>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8">
    <w:nsid w:val="0000001A"/>
    <w:multiLevelType w:val="multilevel"/>
    <w:tmpl w:val="0000001A"/>
    <w:lvl w:ilvl="0" w:tentative="0">
      <w:start w:val="1"/>
      <w:numFmt w:val="decimal"/>
      <w:suff w:val="space"/>
      <w:lvlText w:val="%1."/>
      <w:lvlJc w:val="left"/>
      <w:pPr>
        <w:ind w:left="425" w:hanging="425"/>
      </w:pPr>
      <w:rPr>
        <w:rFonts w:hint="default"/>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9">
    <w:nsid w:val="0000001B"/>
    <w:multiLevelType w:val="multilevel"/>
    <w:tmpl w:val="0000001B"/>
    <w:lvl w:ilvl="0" w:tentative="0">
      <w:start w:val="1"/>
      <w:numFmt w:val="decimal"/>
      <w:suff w:val="space"/>
      <w:lvlText w:val="%1."/>
      <w:lvlJc w:val="left"/>
      <w:pPr>
        <w:ind w:left="425" w:hanging="425"/>
      </w:pPr>
      <w:rPr>
        <w:rFonts w:hint="default"/>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0">
    <w:nsid w:val="00000024"/>
    <w:multiLevelType w:val="multilevel"/>
    <w:tmpl w:val="00000024"/>
    <w:lvl w:ilvl="0" w:tentative="0">
      <w:start w:val="1"/>
      <w:numFmt w:val="decimal"/>
      <w:suff w:val="space"/>
      <w:lvlText w:val="%1."/>
      <w:lvlJc w:val="left"/>
      <w:pPr>
        <w:ind w:left="425" w:hanging="425"/>
      </w:pPr>
      <w:rPr>
        <w:rFonts w:hint="default"/>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1">
    <w:nsid w:val="00000027"/>
    <w:multiLevelType w:val="multilevel"/>
    <w:tmpl w:val="00000027"/>
    <w:lvl w:ilvl="0" w:tentative="0">
      <w:start w:val="1"/>
      <w:numFmt w:val="decimal"/>
      <w:suff w:val="space"/>
      <w:lvlText w:val="%1."/>
      <w:lvlJc w:val="left"/>
      <w:pPr>
        <w:ind w:left="425" w:hanging="425"/>
      </w:pPr>
      <w:rPr>
        <w:rFonts w:hint="default"/>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2">
    <w:nsid w:val="00000032"/>
    <w:multiLevelType w:val="multilevel"/>
    <w:tmpl w:val="00000032"/>
    <w:lvl w:ilvl="0" w:tentative="0">
      <w:start w:val="1"/>
      <w:numFmt w:val="decimal"/>
      <w:suff w:val="space"/>
      <w:lvlText w:val="%1."/>
      <w:lvlJc w:val="left"/>
      <w:pPr>
        <w:ind w:left="425" w:hanging="425"/>
      </w:pPr>
      <w:rPr>
        <w:rFonts w:hint="default"/>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3">
    <w:nsid w:val="00000038"/>
    <w:multiLevelType w:val="multilevel"/>
    <w:tmpl w:val="00000038"/>
    <w:lvl w:ilvl="0" w:tentative="0">
      <w:start w:val="1"/>
      <w:numFmt w:val="decimal"/>
      <w:suff w:val="space"/>
      <w:lvlText w:val="%1."/>
      <w:lvlJc w:val="left"/>
      <w:pPr>
        <w:ind w:left="425" w:hanging="425"/>
      </w:pPr>
      <w:rPr>
        <w:rFonts w:hint="default"/>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4">
    <w:nsid w:val="00000039"/>
    <w:multiLevelType w:val="multilevel"/>
    <w:tmpl w:val="00000039"/>
    <w:lvl w:ilvl="0" w:tentative="0">
      <w:start w:val="1"/>
      <w:numFmt w:val="decimal"/>
      <w:suff w:val="space"/>
      <w:lvlText w:val="%1."/>
      <w:lvlJc w:val="left"/>
      <w:pPr>
        <w:ind w:left="425" w:hanging="425"/>
      </w:pPr>
      <w:rPr>
        <w:rFonts w:hint="default"/>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5">
    <w:nsid w:val="1F400F63"/>
    <w:multiLevelType w:val="singleLevel"/>
    <w:tmpl w:val="1F400F63"/>
    <w:lvl w:ilvl="0" w:tentative="0">
      <w:start w:val="1"/>
      <w:numFmt w:val="decimal"/>
      <w:lvlText w:val="%1."/>
      <w:lvlJc w:val="left"/>
      <w:pPr>
        <w:tabs>
          <w:tab w:val="left" w:pos="312"/>
        </w:tabs>
      </w:pPr>
    </w:lvl>
  </w:abstractNum>
  <w:num w:numId="1">
    <w:abstractNumId w:val="4"/>
  </w:num>
  <w:num w:numId="2">
    <w:abstractNumId w:val="0"/>
  </w:num>
  <w:num w:numId="3">
    <w:abstractNumId w:val="1"/>
  </w:num>
  <w:num w:numId="4">
    <w:abstractNumId w:val="15"/>
  </w:num>
  <w:num w:numId="5">
    <w:abstractNumId w:val="11"/>
  </w:num>
  <w:num w:numId="6">
    <w:abstractNumId w:val="2"/>
  </w:num>
  <w:num w:numId="7">
    <w:abstractNumId w:val="6"/>
  </w:num>
  <w:num w:numId="8">
    <w:abstractNumId w:val="5"/>
  </w:num>
  <w:num w:numId="9">
    <w:abstractNumId w:val="12"/>
  </w:num>
  <w:num w:numId="10">
    <w:abstractNumId w:val="10"/>
  </w:num>
  <w:num w:numId="11">
    <w:abstractNumId w:val="13"/>
  </w:num>
  <w:num w:numId="12">
    <w:abstractNumId w:val="7"/>
  </w:num>
  <w:num w:numId="13">
    <w:abstractNumId w:val="14"/>
  </w:num>
  <w:num w:numId="14">
    <w:abstractNumId w:val="3"/>
  </w:num>
  <w:num w:numId="15">
    <w:abstractNumId w:val="8"/>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Q5ZmVkNGE0NzIxNWZmNDY5MjllZGU3NTlhNmFkZTQifQ=="/>
  </w:docVars>
  <w:rsids>
    <w:rsidRoot w:val="40C04601"/>
    <w:rsid w:val="001F38E6"/>
    <w:rsid w:val="00380641"/>
    <w:rsid w:val="007A6209"/>
    <w:rsid w:val="00B41290"/>
    <w:rsid w:val="00D466D2"/>
    <w:rsid w:val="00DF7DD2"/>
    <w:rsid w:val="00F63263"/>
    <w:rsid w:val="031C69F7"/>
    <w:rsid w:val="05F1500A"/>
    <w:rsid w:val="09712A11"/>
    <w:rsid w:val="0A8A693C"/>
    <w:rsid w:val="0E153725"/>
    <w:rsid w:val="15E831F3"/>
    <w:rsid w:val="16DD2110"/>
    <w:rsid w:val="17065BC3"/>
    <w:rsid w:val="170E6C17"/>
    <w:rsid w:val="1C1D03B0"/>
    <w:rsid w:val="1C2533B2"/>
    <w:rsid w:val="1CB976B1"/>
    <w:rsid w:val="1DF60118"/>
    <w:rsid w:val="21380A48"/>
    <w:rsid w:val="21AE463E"/>
    <w:rsid w:val="28E17992"/>
    <w:rsid w:val="2A3164FE"/>
    <w:rsid w:val="2A42770E"/>
    <w:rsid w:val="2CA65AD4"/>
    <w:rsid w:val="2D8670DD"/>
    <w:rsid w:val="2E3B53E5"/>
    <w:rsid w:val="302F06AE"/>
    <w:rsid w:val="38604324"/>
    <w:rsid w:val="38787C50"/>
    <w:rsid w:val="39DA2A70"/>
    <w:rsid w:val="3B531739"/>
    <w:rsid w:val="4057281E"/>
    <w:rsid w:val="40C04601"/>
    <w:rsid w:val="411726EF"/>
    <w:rsid w:val="41EF2D3E"/>
    <w:rsid w:val="42D43DF8"/>
    <w:rsid w:val="43F5380A"/>
    <w:rsid w:val="45137735"/>
    <w:rsid w:val="45420F78"/>
    <w:rsid w:val="4C7B69B2"/>
    <w:rsid w:val="4E270D8F"/>
    <w:rsid w:val="4E3269EC"/>
    <w:rsid w:val="5296438C"/>
    <w:rsid w:val="53C925C2"/>
    <w:rsid w:val="560E36BE"/>
    <w:rsid w:val="5643639E"/>
    <w:rsid w:val="58F46B3B"/>
    <w:rsid w:val="59EB7040"/>
    <w:rsid w:val="5A154D4A"/>
    <w:rsid w:val="5D1B7B1E"/>
    <w:rsid w:val="5EE66E3C"/>
    <w:rsid w:val="609B06C5"/>
    <w:rsid w:val="61465752"/>
    <w:rsid w:val="61FE7A58"/>
    <w:rsid w:val="64360F48"/>
    <w:rsid w:val="658B0713"/>
    <w:rsid w:val="699143F7"/>
    <w:rsid w:val="69E7556A"/>
    <w:rsid w:val="6BF71F0B"/>
    <w:rsid w:val="6C670665"/>
    <w:rsid w:val="6D5E4E82"/>
    <w:rsid w:val="742379EE"/>
    <w:rsid w:val="787352F1"/>
    <w:rsid w:val="7D3865C8"/>
    <w:rsid w:val="7EC847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3">
    <w:name w:val="heading 1"/>
    <w:basedOn w:val="1"/>
    <w:next w:val="1"/>
    <w:qFormat/>
    <w:uiPriority w:val="0"/>
    <w:pPr>
      <w:keepNext/>
      <w:keepLines/>
      <w:spacing w:before="340" w:after="330" w:line="576" w:lineRule="auto"/>
      <w:outlineLvl w:val="0"/>
    </w:pPr>
    <w:rPr>
      <w:b/>
      <w:kern w:val="44"/>
      <w:sz w:val="44"/>
    </w:rPr>
  </w:style>
  <w:style w:type="paragraph" w:styleId="4">
    <w:name w:val="heading 2"/>
    <w:basedOn w:val="1"/>
    <w:next w:val="1"/>
    <w:link w:val="24"/>
    <w:unhideWhenUsed/>
    <w:qFormat/>
    <w:uiPriority w:val="0"/>
    <w:pPr>
      <w:outlineLvl w:val="1"/>
    </w:pPr>
    <w:rPr>
      <w:rFonts w:ascii="Microsoft JhengHei" w:hAnsi="Microsoft JhengHei" w:eastAsia="Microsoft JhengHei"/>
      <w:sz w:val="32"/>
      <w:szCs w:val="32"/>
    </w:rPr>
  </w:style>
  <w:style w:type="paragraph" w:styleId="5">
    <w:name w:val="heading 3"/>
    <w:basedOn w:val="1"/>
    <w:next w:val="1"/>
    <w:unhideWhenUsed/>
    <w:qFormat/>
    <w:uiPriority w:val="0"/>
    <w:pPr>
      <w:ind w:left="237"/>
      <w:outlineLvl w:val="2"/>
    </w:pPr>
    <w:rPr>
      <w:rFonts w:ascii="Microsoft JhengHei" w:hAnsi="Microsoft JhengHei" w:eastAsia="Microsoft JhengHei"/>
      <w:sz w:val="28"/>
      <w:szCs w:val="28"/>
    </w:rPr>
  </w:style>
  <w:style w:type="character" w:default="1" w:styleId="15">
    <w:name w:val="Default Paragraph Font"/>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customStyle="1" w:styleId="2">
    <w:name w:val="BodyText"/>
    <w:basedOn w:val="1"/>
    <w:qFormat/>
    <w:uiPriority w:val="0"/>
    <w:pPr>
      <w:spacing w:after="120"/>
    </w:pPr>
  </w:style>
  <w:style w:type="paragraph" w:styleId="6">
    <w:name w:val="Normal Indent"/>
    <w:basedOn w:val="1"/>
    <w:qFormat/>
    <w:uiPriority w:val="0"/>
    <w:pPr>
      <w:keepNext/>
      <w:keepLines/>
      <w:tabs>
        <w:tab w:val="left" w:pos="737"/>
      </w:tabs>
      <w:ind w:firstLine="454"/>
    </w:pPr>
  </w:style>
  <w:style w:type="paragraph" w:styleId="7">
    <w:name w:val="toa heading"/>
    <w:basedOn w:val="1"/>
    <w:next w:val="1"/>
    <w:qFormat/>
    <w:uiPriority w:val="99"/>
    <w:pPr>
      <w:spacing w:before="120"/>
    </w:pPr>
    <w:rPr>
      <w:rFonts w:eastAsia="宋体" w:cs="宋体"/>
      <w:sz w:val="24"/>
    </w:rPr>
  </w:style>
  <w:style w:type="paragraph" w:styleId="8">
    <w:name w:val="annotation text"/>
    <w:basedOn w:val="1"/>
    <w:qFormat/>
    <w:uiPriority w:val="0"/>
  </w:style>
  <w:style w:type="paragraph" w:styleId="9">
    <w:name w:val="Body Text"/>
    <w:basedOn w:val="1"/>
    <w:qFormat/>
    <w:uiPriority w:val="0"/>
  </w:style>
  <w:style w:type="paragraph" w:styleId="10">
    <w:name w:val="toc 3"/>
    <w:basedOn w:val="1"/>
    <w:next w:val="1"/>
    <w:qFormat/>
    <w:uiPriority w:val="39"/>
    <w:pPr>
      <w:spacing w:before="2"/>
      <w:ind w:left="1450" w:hanging="370"/>
    </w:pPr>
  </w:style>
  <w:style w:type="paragraph" w:styleId="11">
    <w:name w:val="footer"/>
    <w:basedOn w:val="1"/>
    <w:qFormat/>
    <w:uiPriority w:val="0"/>
    <w:pPr>
      <w:tabs>
        <w:tab w:val="center" w:pos="4153"/>
        <w:tab w:val="right" w:pos="8306"/>
      </w:tabs>
    </w:pPr>
    <w:rPr>
      <w:sz w:val="18"/>
    </w:rPr>
  </w:style>
  <w:style w:type="paragraph" w:styleId="12">
    <w:name w:val="footnote text"/>
    <w:basedOn w:val="1"/>
    <w:qFormat/>
    <w:uiPriority w:val="99"/>
    <w:pPr>
      <w:spacing w:line="312" w:lineRule="atLeast"/>
    </w:pPr>
    <w:rPr>
      <w:rFonts w:ascii="Calibri" w:hAnsi="Calibri" w:eastAsia="仿宋" w:cs="Times New Roman"/>
      <w:sz w:val="18"/>
      <w:szCs w:val="18"/>
    </w:rPr>
  </w:style>
  <w:style w:type="paragraph" w:styleId="13">
    <w:name w:val="Normal (Web)"/>
    <w:basedOn w:val="1"/>
    <w:qFormat/>
    <w:uiPriority w:val="0"/>
    <w:rPr>
      <w:rFonts w:ascii="宋体" w:hAnsi="宋体" w:cs="宋体"/>
      <w:sz w:val="24"/>
      <w:szCs w:val="24"/>
    </w:rPr>
  </w:style>
  <w:style w:type="character" w:styleId="16">
    <w:name w:val="Strong"/>
    <w:basedOn w:val="15"/>
    <w:qFormat/>
    <w:uiPriority w:val="0"/>
    <w:rPr>
      <w:b/>
    </w:rPr>
  </w:style>
  <w:style w:type="character" w:styleId="17">
    <w:name w:val="annotation reference"/>
    <w:basedOn w:val="15"/>
    <w:qFormat/>
    <w:uiPriority w:val="0"/>
    <w:rPr>
      <w:sz w:val="21"/>
      <w:szCs w:val="21"/>
    </w:rPr>
  </w:style>
  <w:style w:type="paragraph" w:customStyle="1" w:styleId="18">
    <w:name w:val="Table Text"/>
    <w:basedOn w:val="1"/>
    <w:semiHidden/>
    <w:qFormat/>
    <w:uiPriority w:val="0"/>
    <w:rPr>
      <w:rFonts w:ascii="宋体" w:hAnsi="宋体" w:eastAsia="宋体" w:cs="宋体"/>
      <w:sz w:val="23"/>
      <w:szCs w:val="23"/>
    </w:rPr>
  </w:style>
  <w:style w:type="table" w:customStyle="1" w:styleId="19">
    <w:name w:val="Table Normal"/>
    <w:semiHidden/>
    <w:unhideWhenUsed/>
    <w:qFormat/>
    <w:uiPriority w:val="0"/>
    <w:tblPr>
      <w:tblCellMar>
        <w:top w:w="0" w:type="dxa"/>
        <w:left w:w="0" w:type="dxa"/>
        <w:bottom w:w="0" w:type="dxa"/>
        <w:right w:w="0" w:type="dxa"/>
      </w:tblCellMar>
    </w:tblPr>
  </w:style>
  <w:style w:type="paragraph" w:customStyle="1" w:styleId="20">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1">
    <w:name w:val="正文缩进1"/>
    <w:basedOn w:val="1"/>
    <w:qFormat/>
    <w:uiPriority w:val="0"/>
    <w:pPr>
      <w:ind w:firstLine="420"/>
    </w:pPr>
    <w:rPr>
      <w:rFonts w:ascii="宋体"/>
      <w:sz w:val="24"/>
    </w:rPr>
  </w:style>
  <w:style w:type="paragraph" w:styleId="22">
    <w:name w:val="List Paragraph"/>
    <w:basedOn w:val="1"/>
    <w:unhideWhenUsed/>
    <w:qFormat/>
    <w:uiPriority w:val="99"/>
    <w:pPr>
      <w:ind w:firstLine="420" w:firstLineChars="200"/>
    </w:pPr>
  </w:style>
  <w:style w:type="paragraph" w:customStyle="1" w:styleId="23">
    <w:name w:val="正文文本缩进 21"/>
    <w:basedOn w:val="1"/>
    <w:qFormat/>
    <w:uiPriority w:val="0"/>
    <w:pPr>
      <w:ind w:firstLine="586" w:firstLineChars="244"/>
    </w:pPr>
  </w:style>
  <w:style w:type="character" w:customStyle="1" w:styleId="24">
    <w:name w:val="标题 2 字符"/>
    <w:link w:val="4"/>
    <w:qFormat/>
    <w:uiPriority w:val="0"/>
    <w:rPr>
      <w:rFonts w:ascii="Microsoft JhengHei" w:hAnsi="Microsoft JhengHei" w:eastAsia="Microsoft JhengHei"/>
      <w:sz w:val="32"/>
      <w:szCs w:val="32"/>
    </w:rPr>
  </w:style>
  <w:style w:type="paragraph" w:customStyle="1" w:styleId="25">
    <w:name w:val="二级条标题"/>
    <w:basedOn w:val="26"/>
    <w:next w:val="28"/>
    <w:qFormat/>
    <w:uiPriority w:val="0"/>
    <w:pPr>
      <w:outlineLvl w:val="3"/>
    </w:pPr>
  </w:style>
  <w:style w:type="paragraph" w:customStyle="1" w:styleId="26">
    <w:name w:val="一级条标题"/>
    <w:basedOn w:val="27"/>
    <w:next w:val="28"/>
    <w:qFormat/>
    <w:uiPriority w:val="0"/>
    <w:pPr>
      <w:numPr>
        <w:ilvl w:val="0"/>
        <w:numId w:val="0"/>
      </w:numPr>
      <w:outlineLvl w:val="2"/>
    </w:pPr>
  </w:style>
  <w:style w:type="paragraph" w:customStyle="1" w:styleId="27">
    <w:name w:val="章标题"/>
    <w:next w:val="28"/>
    <w:qFormat/>
    <w:uiPriority w:val="0"/>
    <w:pPr>
      <w:numPr>
        <w:ilvl w:val="1"/>
        <w:numId w:val="1"/>
      </w:numPr>
      <w:spacing w:before="156" w:beforeLines="50" w:after="156" w:afterLines="50"/>
      <w:jc w:val="both"/>
      <w:outlineLvl w:val="1"/>
    </w:pPr>
    <w:rPr>
      <w:rFonts w:ascii="黑体" w:hAnsi="Times New Roman" w:eastAsia="黑体" w:cs="Times New Roman"/>
      <w:sz w:val="21"/>
      <w:lang w:val="en-US" w:eastAsia="zh-CN" w:bidi="ar-SA"/>
    </w:rPr>
  </w:style>
  <w:style w:type="paragraph" w:customStyle="1" w:styleId="2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9">
    <w:name w:val="_Style 13"/>
    <w:qFormat/>
    <w:uiPriority w:val="0"/>
    <w:pPr>
      <w:spacing w:before="120" w:after="120" w:line="288" w:lineRule="auto"/>
    </w:pPr>
    <w:rPr>
      <w:rFonts w:ascii="Arial" w:hAnsi="Arial" w:eastAsia="等线" w:cs="Arial"/>
      <w:sz w:val="22"/>
      <w:szCs w:val="22"/>
      <w:lang w:val="en-US" w:eastAsia="zh-CN" w:bidi="ar-SA"/>
    </w:rPr>
  </w:style>
  <w:style w:type="paragraph" w:customStyle="1" w:styleId="30">
    <w:name w:val="WPSOffice手动目录 1"/>
    <w:qFormat/>
    <w:uiPriority w:val="0"/>
    <w:rPr>
      <w:rFonts w:asciiTheme="minorHAnsi" w:hAnsiTheme="minorHAnsi" w:eastAsiaTheme="minorEastAsia" w:cstheme="minorBidi"/>
      <w:lang w:val="en-US" w:eastAsia="zh-CN" w:bidi="ar-SA"/>
    </w:rPr>
  </w:style>
  <w:style w:type="paragraph" w:customStyle="1" w:styleId="31">
    <w:name w:val="WPSOffice手动目录 2"/>
    <w:qFormat/>
    <w:uiPriority w:val="0"/>
    <w:pPr>
      <w:ind w:left="200" w:leftChars="200"/>
    </w:pPr>
    <w:rPr>
      <w:rFonts w:asciiTheme="minorHAnsi" w:hAnsiTheme="minorHAnsi" w:eastAsiaTheme="minorEastAsia" w:cstheme="minorBidi"/>
      <w:lang w:val="en-US" w:eastAsia="zh-CN" w:bidi="ar-SA"/>
    </w:rPr>
  </w:style>
  <w:style w:type="paragraph" w:customStyle="1" w:styleId="32">
    <w:name w:val="WPSOffice手动目录 3"/>
    <w:qFormat/>
    <w:uiPriority w:val="0"/>
    <w:pPr>
      <w:ind w:left="400" w:leftChars="400"/>
    </w:pPr>
    <w:rPr>
      <w:rFonts w:asciiTheme="minorHAnsi" w:hAnsiTheme="minorHAnsi" w:eastAsiaTheme="minorEastAsia" w:cstheme="minorBidi"/>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image" Target="media/image2.png"/><Relationship Id="rId26" Type="http://schemas.openxmlformats.org/officeDocument/2006/relationships/image" Target="media/image1.jpeg"/><Relationship Id="rId25" Type="http://schemas.openxmlformats.org/officeDocument/2006/relationships/theme" Target="theme/theme1.xml"/><Relationship Id="rId24" Type="http://schemas.openxmlformats.org/officeDocument/2006/relationships/footer" Target="footer17.xml"/><Relationship Id="rId23" Type="http://schemas.openxmlformats.org/officeDocument/2006/relationships/footer" Target="footer16.xml"/><Relationship Id="rId22" Type="http://schemas.openxmlformats.org/officeDocument/2006/relationships/footer" Target="footer15.xml"/><Relationship Id="rId21" Type="http://schemas.openxmlformats.org/officeDocument/2006/relationships/footer" Target="footer14.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header" Target="header5.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82</Pages>
  <Words>268</Words>
  <Characters>305</Characters>
  <Lines>366</Lines>
  <Paragraphs>103</Paragraphs>
  <TotalTime>4</TotalTime>
  <ScaleCrop>false</ScaleCrop>
  <LinksUpToDate>false</LinksUpToDate>
  <CharactersWithSpaces>313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2024-04-08T15:27:00Z</dcterms:created>
  <dc:creator>▇▇▇▇▇▇▇▇▇▇</dc:creator>
  <cp:lastModifiedBy></cp:lastModifiedBy>
  <dcterms:modified xsi:type="dcterms:W3CDTF">2025-04-17T08:51:33Z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F9B33C6121294E1793F58701B5226568_13</vt:lpwstr>
  </property>
  <property fmtid="{D5CDD505-2E9C-101B-9397-08002B2CF9AE}" pid="4" name="KSOTemplateDocerSaveRecord">
    <vt:lpwstr>eyJoZGlkIjoiMWUxZDQ3MGViM2FjMjkzZTgxYWJmODg1ZGU5Y2RjOTkiLCJ1c2VySWQiOiIyODI0Nzg5MTUifQ==</vt:lpwstr>
  </property>
</Properties>
</file>