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5820AF">
      <w:pPr>
        <w:keepLines w:val="0"/>
        <w:pageBreakBefore w:val="0"/>
        <w:kinsoku/>
        <w:overflowPunct/>
        <w:topLinePunct w:val="0"/>
        <w:bidi w:val="0"/>
        <w:adjustRightInd w:val="0"/>
        <w:snapToGrid w:val="0"/>
        <w:spacing w:beforeAutospacing="0" w:afterAutospacing="0" w:line="276" w:lineRule="auto"/>
        <w:jc w:val="left"/>
        <w:textAlignment w:val="auto"/>
        <w:rPr>
          <w:rFonts w:hint="eastAsia" w:ascii="仿宋" w:hAnsi="仿宋" w:eastAsia="仿宋" w:cs="仿宋"/>
          <w:color w:val="auto"/>
          <w:sz w:val="24"/>
          <w:szCs w:val="24"/>
          <w:highlight w:val="none"/>
          <w:shd w:val="clear" w:color="auto" w:fill="FFFFFF" w:themeFill="background1"/>
        </w:rPr>
      </w:pPr>
    </w:p>
    <w:p w14:paraId="03801865">
      <w:pPr>
        <w:keepLines w:val="0"/>
        <w:pageBreakBefore w:val="0"/>
        <w:kinsoku/>
        <w:overflowPunct/>
        <w:topLinePunct w:val="0"/>
        <w:bidi w:val="0"/>
        <w:adjustRightInd w:val="0"/>
        <w:snapToGrid w:val="0"/>
        <w:spacing w:beforeAutospacing="0" w:afterAutospacing="0" w:line="276" w:lineRule="auto"/>
        <w:jc w:val="left"/>
        <w:textAlignment w:val="auto"/>
        <w:rPr>
          <w:rFonts w:hint="eastAsia" w:ascii="仿宋" w:hAnsi="仿宋" w:eastAsia="仿宋" w:cs="仿宋"/>
          <w:b/>
          <w:bCs/>
          <w:color w:val="auto"/>
          <w:sz w:val="48"/>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drawing>
          <wp:inline distT="0" distB="0" distL="0" distR="0">
            <wp:extent cx="981075" cy="79057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981075" cy="790575"/>
                    </a:xfrm>
                    <a:prstGeom prst="rect">
                      <a:avLst/>
                    </a:prstGeom>
                    <a:noFill/>
                    <a:ln>
                      <a:noFill/>
                    </a:ln>
                  </pic:spPr>
                </pic:pic>
              </a:graphicData>
            </a:graphic>
          </wp:inline>
        </w:drawing>
      </w:r>
      <w:r>
        <w:rPr>
          <w:rFonts w:hint="eastAsia" w:ascii="仿宋" w:hAnsi="仿宋" w:eastAsia="仿宋" w:cs="仿宋"/>
          <w:color w:val="auto"/>
          <w:sz w:val="24"/>
          <w:szCs w:val="24"/>
          <w:highlight w:val="none"/>
          <w:shd w:val="clear" w:color="auto" w:fill="FFFFFF" w:themeFill="background1"/>
        </w:rPr>
        <w:t xml:space="preserve"> </w:t>
      </w:r>
    </w:p>
    <w:p w14:paraId="4C41A7F8">
      <w:pPr>
        <w:keepLines w:val="0"/>
        <w:pageBreakBefore w:val="0"/>
        <w:kinsoku/>
        <w:overflowPunct/>
        <w:topLinePunct w:val="0"/>
        <w:bidi w:val="0"/>
        <w:adjustRightInd w:val="0"/>
        <w:snapToGrid w:val="0"/>
        <w:spacing w:beforeAutospacing="0" w:afterAutospacing="0" w:line="276" w:lineRule="auto"/>
        <w:jc w:val="center"/>
        <w:textAlignment w:val="auto"/>
        <w:rPr>
          <w:rFonts w:hint="eastAsia" w:ascii="仿宋" w:hAnsi="仿宋" w:eastAsia="仿宋" w:cs="仿宋"/>
          <w:b/>
          <w:bCs/>
          <w:color w:val="auto"/>
          <w:sz w:val="48"/>
          <w:szCs w:val="24"/>
          <w:highlight w:val="none"/>
          <w:shd w:val="clear" w:color="auto" w:fill="FFFFFF" w:themeFill="background1"/>
        </w:rPr>
      </w:pPr>
    </w:p>
    <w:p w14:paraId="5D56843C">
      <w:pPr>
        <w:keepLines w:val="0"/>
        <w:pageBreakBefore w:val="0"/>
        <w:kinsoku/>
        <w:overflowPunct/>
        <w:topLinePunct w:val="0"/>
        <w:bidi w:val="0"/>
        <w:adjustRightInd w:val="0"/>
        <w:snapToGrid w:val="0"/>
        <w:spacing w:beforeAutospacing="0" w:afterAutospacing="0" w:line="276" w:lineRule="auto"/>
        <w:jc w:val="center"/>
        <w:textAlignment w:val="auto"/>
        <w:rPr>
          <w:rFonts w:hint="eastAsia" w:ascii="仿宋" w:hAnsi="仿宋" w:eastAsia="仿宋" w:cs="仿宋"/>
          <w:b/>
          <w:bCs/>
          <w:color w:val="auto"/>
          <w:sz w:val="48"/>
          <w:szCs w:val="24"/>
          <w:highlight w:val="none"/>
          <w:shd w:val="clear" w:color="auto" w:fill="FFFFFF" w:themeFill="background1"/>
        </w:rPr>
      </w:pPr>
      <w:r>
        <w:rPr>
          <w:rFonts w:hint="eastAsia" w:ascii="仿宋" w:hAnsi="仿宋" w:eastAsia="仿宋" w:cs="仿宋"/>
          <w:b/>
          <w:bCs/>
          <w:color w:val="auto"/>
          <w:sz w:val="48"/>
          <w:szCs w:val="24"/>
          <w:highlight w:val="none"/>
          <w:shd w:val="clear" w:color="auto" w:fill="FFFFFF" w:themeFill="background1"/>
        </w:rPr>
        <w:t>竞 争 性 磋 商 文 件</w:t>
      </w:r>
    </w:p>
    <w:p w14:paraId="0C7C70B0">
      <w:pPr>
        <w:keepLines w:val="0"/>
        <w:pageBreakBefore w:val="0"/>
        <w:kinsoku/>
        <w:overflowPunct/>
        <w:topLinePunct w:val="0"/>
        <w:bidi w:val="0"/>
        <w:spacing w:beforeAutospacing="0" w:afterAutospacing="0" w:line="276" w:lineRule="auto"/>
        <w:ind w:left="1181" w:right="-191" w:rightChars="-91" w:hanging="1180" w:hangingChars="492"/>
        <w:textAlignment w:val="auto"/>
        <w:rPr>
          <w:rFonts w:hint="eastAsia" w:ascii="仿宋" w:hAnsi="仿宋" w:eastAsia="仿宋" w:cs="仿宋"/>
          <w:bCs/>
          <w:color w:val="auto"/>
          <w:kern w:val="0"/>
          <w:sz w:val="24"/>
          <w:szCs w:val="24"/>
          <w:highlight w:val="none"/>
          <w:shd w:val="clear" w:color="auto" w:fill="FFFFFF" w:themeFill="background1"/>
        </w:rPr>
      </w:pPr>
    </w:p>
    <w:p w14:paraId="7BF09FF1">
      <w:pPr>
        <w:keepLines w:val="0"/>
        <w:pageBreakBefore w:val="0"/>
        <w:kinsoku/>
        <w:overflowPunct/>
        <w:topLinePunct w:val="0"/>
        <w:bidi w:val="0"/>
        <w:spacing w:beforeAutospacing="0" w:afterAutospacing="0" w:line="276" w:lineRule="auto"/>
        <w:ind w:left="1181" w:right="-191" w:rightChars="-91" w:hanging="1180" w:hangingChars="492"/>
        <w:textAlignment w:val="auto"/>
        <w:rPr>
          <w:rFonts w:hint="eastAsia" w:ascii="仿宋" w:hAnsi="仿宋" w:eastAsia="仿宋" w:cs="仿宋"/>
          <w:bCs/>
          <w:color w:val="auto"/>
          <w:kern w:val="0"/>
          <w:sz w:val="24"/>
          <w:szCs w:val="24"/>
          <w:highlight w:val="none"/>
          <w:shd w:val="clear" w:color="auto" w:fill="FFFFFF" w:themeFill="background1"/>
        </w:rPr>
      </w:pPr>
    </w:p>
    <w:p w14:paraId="6855D4DD">
      <w:pPr>
        <w:keepLines w:val="0"/>
        <w:pageBreakBefore w:val="0"/>
        <w:kinsoku/>
        <w:overflowPunct/>
        <w:topLinePunct w:val="0"/>
        <w:bidi w:val="0"/>
        <w:spacing w:beforeAutospacing="0" w:afterAutospacing="0" w:line="276" w:lineRule="auto"/>
        <w:ind w:left="1181" w:right="-191" w:rightChars="-91" w:hanging="1180" w:hangingChars="492"/>
        <w:textAlignment w:val="auto"/>
        <w:rPr>
          <w:rFonts w:hint="eastAsia" w:ascii="仿宋" w:hAnsi="仿宋" w:eastAsia="仿宋" w:cs="仿宋"/>
          <w:bCs/>
          <w:color w:val="auto"/>
          <w:kern w:val="0"/>
          <w:sz w:val="24"/>
          <w:szCs w:val="24"/>
          <w:highlight w:val="none"/>
          <w:shd w:val="clear" w:color="auto" w:fill="FFFFFF" w:themeFill="background1"/>
        </w:rPr>
      </w:pPr>
    </w:p>
    <w:p w14:paraId="02286B99">
      <w:pPr>
        <w:keepLines w:val="0"/>
        <w:pageBreakBefore w:val="0"/>
        <w:kinsoku/>
        <w:overflowPunct/>
        <w:topLinePunct w:val="0"/>
        <w:bidi w:val="0"/>
        <w:spacing w:beforeAutospacing="0" w:afterAutospacing="0" w:line="276" w:lineRule="auto"/>
        <w:ind w:left="1574" w:right="-191" w:rightChars="-91" w:hanging="1574" w:hangingChars="492"/>
        <w:textAlignment w:val="auto"/>
        <w:rPr>
          <w:rFonts w:hint="eastAsia" w:ascii="仿宋" w:hAnsi="仿宋" w:eastAsia="仿宋" w:cs="仿宋"/>
          <w:bCs/>
          <w:color w:val="auto"/>
          <w:sz w:val="32"/>
          <w:szCs w:val="24"/>
          <w:highlight w:val="none"/>
          <w:shd w:val="clear" w:color="auto" w:fill="FFFFFF" w:themeFill="background1"/>
          <w:lang w:eastAsia="zh-CN"/>
        </w:rPr>
      </w:pPr>
      <w:r>
        <w:rPr>
          <w:rFonts w:hint="eastAsia" w:ascii="仿宋" w:hAnsi="仿宋" w:eastAsia="仿宋" w:cs="仿宋"/>
          <w:bCs/>
          <w:color w:val="auto"/>
          <w:kern w:val="0"/>
          <w:sz w:val="32"/>
          <w:szCs w:val="24"/>
          <w:highlight w:val="none"/>
          <w:shd w:val="clear" w:color="auto" w:fill="FFFFFF" w:themeFill="background1"/>
        </w:rPr>
        <w:t>项目名称：</w:t>
      </w:r>
      <w:r>
        <w:rPr>
          <w:rFonts w:hint="eastAsia" w:ascii="仿宋" w:hAnsi="仿宋" w:eastAsia="仿宋" w:cs="仿宋"/>
          <w:bCs/>
          <w:color w:val="auto"/>
          <w:kern w:val="0"/>
          <w:sz w:val="32"/>
          <w:szCs w:val="32"/>
          <w:highlight w:val="none"/>
          <w:lang w:eastAsia="zh-CN"/>
        </w:rPr>
        <w:t>自治区应急管理厅绩效监控评估项目</w:t>
      </w:r>
    </w:p>
    <w:p w14:paraId="5F9B32BA">
      <w:pPr>
        <w:keepLines w:val="0"/>
        <w:pageBreakBefore w:val="0"/>
        <w:kinsoku/>
        <w:overflowPunct/>
        <w:topLinePunct w:val="0"/>
        <w:bidi w:val="0"/>
        <w:adjustRightInd w:val="0"/>
        <w:snapToGrid w:val="0"/>
        <w:spacing w:beforeAutospacing="0" w:afterAutospacing="0" w:line="276" w:lineRule="auto"/>
        <w:jc w:val="center"/>
        <w:textAlignment w:val="auto"/>
        <w:rPr>
          <w:rFonts w:hint="eastAsia" w:ascii="仿宋" w:hAnsi="仿宋" w:eastAsia="仿宋" w:cs="仿宋"/>
          <w:bCs/>
          <w:color w:val="auto"/>
          <w:sz w:val="32"/>
          <w:szCs w:val="24"/>
          <w:highlight w:val="none"/>
          <w:shd w:val="clear" w:color="auto" w:fill="FFFFFF" w:themeFill="background1"/>
        </w:rPr>
      </w:pPr>
    </w:p>
    <w:p w14:paraId="5E31600A">
      <w:pPr>
        <w:keepLines w:val="0"/>
        <w:pageBreakBefore w:val="0"/>
        <w:kinsoku/>
        <w:overflowPunct/>
        <w:topLinePunct w:val="0"/>
        <w:bidi w:val="0"/>
        <w:adjustRightInd w:val="0"/>
        <w:snapToGrid w:val="0"/>
        <w:spacing w:beforeAutospacing="0" w:afterAutospacing="0" w:line="480" w:lineRule="exact"/>
        <w:ind w:left="2240" w:hanging="2240" w:hangingChars="700"/>
        <w:textAlignment w:val="auto"/>
        <w:rPr>
          <w:rFonts w:hint="eastAsia" w:ascii="仿宋" w:hAnsi="仿宋" w:eastAsia="仿宋" w:cs="仿宋"/>
          <w:bCs/>
          <w:color w:val="auto"/>
          <w:kern w:val="0"/>
          <w:sz w:val="32"/>
          <w:szCs w:val="32"/>
          <w:highlight w:val="none"/>
          <w:lang w:eastAsia="zh-CN"/>
        </w:rPr>
      </w:pPr>
      <w:r>
        <w:rPr>
          <w:rFonts w:hint="eastAsia" w:ascii="仿宋" w:hAnsi="仿宋" w:eastAsia="仿宋" w:cs="仿宋"/>
          <w:bCs/>
          <w:color w:val="auto"/>
          <w:kern w:val="0"/>
          <w:sz w:val="32"/>
          <w:szCs w:val="32"/>
          <w:highlight w:val="none"/>
        </w:rPr>
        <w:t>采购人(盖章)：</w:t>
      </w:r>
      <w:r>
        <w:rPr>
          <w:rFonts w:hint="eastAsia" w:ascii="仿宋" w:hAnsi="仿宋" w:eastAsia="仿宋" w:cs="仿宋"/>
          <w:bCs/>
          <w:color w:val="auto"/>
          <w:kern w:val="0"/>
          <w:sz w:val="32"/>
          <w:szCs w:val="32"/>
          <w:highlight w:val="none"/>
          <w:lang w:eastAsia="zh-CN"/>
        </w:rPr>
        <w:t>新疆维吾尔自治区应急管理厅</w:t>
      </w:r>
    </w:p>
    <w:p w14:paraId="4E2C5DD5">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p>
    <w:p w14:paraId="700583FC">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lang w:val="en-US" w:eastAsia="zh-CN"/>
        </w:rPr>
      </w:pPr>
      <w:r>
        <w:rPr>
          <w:rFonts w:hint="eastAsia" w:ascii="仿宋" w:hAnsi="仿宋" w:eastAsia="仿宋" w:cs="仿宋"/>
          <w:bCs/>
          <w:color w:val="auto"/>
          <w:sz w:val="32"/>
          <w:szCs w:val="32"/>
          <w:highlight w:val="none"/>
        </w:rPr>
        <w:t>联系人：</w:t>
      </w:r>
      <w:r>
        <w:rPr>
          <w:rFonts w:hint="eastAsia" w:ascii="仿宋" w:hAnsi="仿宋" w:eastAsia="仿宋" w:cs="仿宋"/>
          <w:bCs/>
          <w:color w:val="auto"/>
          <w:sz w:val="32"/>
          <w:szCs w:val="32"/>
          <w:highlight w:val="none"/>
          <w:lang w:eastAsia="zh-CN"/>
        </w:rPr>
        <w:t>徐长山</w:t>
      </w:r>
    </w:p>
    <w:p w14:paraId="71D7F376">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p>
    <w:p w14:paraId="59A667C0">
      <w:pPr>
        <w:keepLines w:val="0"/>
        <w:pageBreakBefore w:val="0"/>
        <w:kinsoku/>
        <w:overflowPunct/>
        <w:topLinePunct w:val="0"/>
        <w:bidi w:val="0"/>
        <w:adjustRightInd w:val="0"/>
        <w:snapToGrid w:val="0"/>
        <w:spacing w:beforeAutospacing="0" w:afterAutospacing="0" w:line="480" w:lineRule="exact"/>
        <w:textAlignment w:val="auto"/>
        <w:rPr>
          <w:rFonts w:hint="default" w:ascii="仿宋" w:hAnsi="仿宋" w:eastAsia="仿宋" w:cs="仿宋"/>
          <w:bCs/>
          <w:color w:val="auto"/>
          <w:sz w:val="32"/>
          <w:szCs w:val="32"/>
          <w:highlight w:val="none"/>
          <w:lang w:val="en-US" w:eastAsia="zh-CN"/>
        </w:rPr>
      </w:pPr>
      <w:r>
        <w:rPr>
          <w:rFonts w:hint="eastAsia" w:ascii="仿宋" w:hAnsi="仿宋" w:eastAsia="仿宋" w:cs="仿宋"/>
          <w:bCs/>
          <w:color w:val="auto"/>
          <w:sz w:val="32"/>
          <w:szCs w:val="32"/>
          <w:highlight w:val="none"/>
        </w:rPr>
        <w:t>电话：</w:t>
      </w:r>
      <w:r>
        <w:rPr>
          <w:rFonts w:hint="eastAsia" w:ascii="仿宋" w:hAnsi="仿宋" w:eastAsia="仿宋" w:cs="仿宋"/>
          <w:bCs/>
          <w:color w:val="auto"/>
          <w:sz w:val="32"/>
          <w:szCs w:val="32"/>
          <w:highlight w:val="none"/>
          <w:lang w:val="en-US" w:eastAsia="zh-CN"/>
        </w:rPr>
        <w:t>13669944889</w:t>
      </w:r>
    </w:p>
    <w:p w14:paraId="01BDA90B">
      <w:pPr>
        <w:keepLines w:val="0"/>
        <w:pageBreakBefore w:val="0"/>
        <w:pBdr>
          <w:bottom w:val="single" w:color="auto" w:sz="4" w:space="0"/>
        </w:pBdr>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p>
    <w:p w14:paraId="29C7FB95">
      <w:pPr>
        <w:keepLines w:val="0"/>
        <w:pageBreakBefore w:val="0"/>
        <w:pBdr>
          <w:bottom w:val="single" w:color="auto" w:sz="4" w:space="0"/>
        </w:pBdr>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p>
    <w:p w14:paraId="68FAE461">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kern w:val="0"/>
          <w:sz w:val="32"/>
          <w:szCs w:val="32"/>
          <w:highlight w:val="none"/>
        </w:rPr>
      </w:pPr>
    </w:p>
    <w:p w14:paraId="571913E6">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kern w:val="0"/>
          <w:sz w:val="32"/>
          <w:szCs w:val="32"/>
          <w:highlight w:val="none"/>
        </w:rPr>
      </w:pPr>
    </w:p>
    <w:p w14:paraId="69857F59">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采购代理机构</w:t>
      </w:r>
      <w:r>
        <w:rPr>
          <w:rFonts w:hint="eastAsia" w:ascii="仿宋" w:hAnsi="仿宋" w:eastAsia="仿宋" w:cs="仿宋"/>
          <w:color w:val="auto"/>
          <w:sz w:val="32"/>
          <w:szCs w:val="32"/>
          <w:highlight w:val="none"/>
        </w:rPr>
        <w:t>(盖章)</w:t>
      </w:r>
      <w:r>
        <w:rPr>
          <w:rFonts w:hint="eastAsia" w:ascii="仿宋" w:hAnsi="仿宋" w:eastAsia="仿宋" w:cs="仿宋"/>
          <w:bCs/>
          <w:color w:val="auto"/>
          <w:sz w:val="32"/>
          <w:szCs w:val="32"/>
          <w:highlight w:val="none"/>
        </w:rPr>
        <w:t>：新疆新世纪招标有限公司</w:t>
      </w:r>
    </w:p>
    <w:p w14:paraId="12124F80">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p>
    <w:p w14:paraId="3E162DB1">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联系人：</w:t>
      </w:r>
      <w:r>
        <w:rPr>
          <w:rFonts w:hint="eastAsia" w:ascii="仿宋" w:hAnsi="仿宋" w:eastAsia="仿宋" w:cs="仿宋"/>
          <w:bCs/>
          <w:color w:val="auto"/>
          <w:sz w:val="32"/>
          <w:szCs w:val="32"/>
          <w:highlight w:val="none"/>
          <w:lang w:val="en-US" w:eastAsia="zh-CN"/>
        </w:rPr>
        <w:t>马丹阳</w:t>
      </w:r>
      <w:r>
        <w:rPr>
          <w:rFonts w:hint="eastAsia" w:ascii="仿宋" w:hAnsi="仿宋" w:eastAsia="仿宋" w:cs="仿宋"/>
          <w:bCs/>
          <w:color w:val="auto"/>
          <w:sz w:val="32"/>
          <w:szCs w:val="32"/>
          <w:highlight w:val="none"/>
        </w:rPr>
        <w:t xml:space="preserve"> </w:t>
      </w:r>
    </w:p>
    <w:p w14:paraId="0558A6C1">
      <w:pPr>
        <w:keepLines w:val="0"/>
        <w:pageBreakBefore w:val="0"/>
        <w:kinsoku/>
        <w:overflowPunct/>
        <w:topLinePunct w:val="0"/>
        <w:bidi w:val="0"/>
        <w:adjustRightInd w:val="0"/>
        <w:snapToGrid w:val="0"/>
        <w:spacing w:beforeAutospacing="0" w:afterAutospacing="0" w:line="480" w:lineRule="exact"/>
        <w:jc w:val="center"/>
        <w:textAlignment w:val="auto"/>
        <w:rPr>
          <w:rFonts w:hint="eastAsia" w:ascii="仿宋" w:hAnsi="仿宋" w:eastAsia="仿宋" w:cs="仿宋"/>
          <w:bCs/>
          <w:color w:val="auto"/>
          <w:sz w:val="32"/>
          <w:szCs w:val="32"/>
          <w:highlight w:val="none"/>
        </w:rPr>
      </w:pPr>
    </w:p>
    <w:p w14:paraId="623FD53E">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kern w:val="0"/>
          <w:sz w:val="32"/>
          <w:szCs w:val="32"/>
          <w:highlight w:val="none"/>
        </w:rPr>
        <w:t>电话</w:t>
      </w:r>
      <w:r>
        <w:rPr>
          <w:rFonts w:hint="eastAsia" w:ascii="仿宋" w:hAnsi="仿宋" w:eastAsia="仿宋" w:cs="仿宋"/>
          <w:bCs/>
          <w:color w:val="auto"/>
          <w:sz w:val="32"/>
          <w:szCs w:val="32"/>
          <w:highlight w:val="none"/>
        </w:rPr>
        <w:t>：0991-4661782</w:t>
      </w:r>
    </w:p>
    <w:p w14:paraId="30E74F68">
      <w:pPr>
        <w:keepLines w:val="0"/>
        <w:pageBreakBefore w:val="0"/>
        <w:kinsoku/>
        <w:overflowPunct/>
        <w:topLinePunct w:val="0"/>
        <w:bidi w:val="0"/>
        <w:adjustRightInd w:val="0"/>
        <w:snapToGrid w:val="0"/>
        <w:spacing w:beforeAutospacing="0" w:afterAutospacing="0" w:line="480" w:lineRule="exact"/>
        <w:jc w:val="center"/>
        <w:textAlignment w:val="auto"/>
        <w:rPr>
          <w:rFonts w:hint="eastAsia" w:ascii="仿宋" w:hAnsi="仿宋" w:eastAsia="仿宋" w:cs="仿宋"/>
          <w:bCs/>
          <w:color w:val="auto"/>
          <w:sz w:val="32"/>
          <w:szCs w:val="32"/>
          <w:highlight w:val="none"/>
        </w:rPr>
      </w:pPr>
    </w:p>
    <w:p w14:paraId="1C75B7ED">
      <w:pPr>
        <w:keepLines w:val="0"/>
        <w:pageBreakBefore w:val="0"/>
        <w:kinsoku/>
        <w:overflowPunct/>
        <w:topLinePunct w:val="0"/>
        <w:bidi w:val="0"/>
        <w:adjustRightInd w:val="0"/>
        <w:snapToGrid w:val="0"/>
        <w:spacing w:beforeAutospacing="0" w:afterAutospacing="0" w:line="480" w:lineRule="exact"/>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详细地址：乌鲁木齐市新兴街20号凤凰科技大厦五楼</w:t>
      </w:r>
    </w:p>
    <w:p w14:paraId="09D9F7FA">
      <w:pPr>
        <w:keepLines w:val="0"/>
        <w:pageBreakBefore w:val="0"/>
        <w:widowControl/>
        <w:kinsoku/>
        <w:overflowPunct/>
        <w:topLinePunct w:val="0"/>
        <w:bidi w:val="0"/>
        <w:spacing w:beforeAutospacing="0" w:afterAutospacing="0"/>
        <w:jc w:val="left"/>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br w:type="page"/>
      </w:r>
    </w:p>
    <w:p w14:paraId="78F53BFD">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b/>
          <w:bCs/>
          <w:color w:val="auto"/>
          <w:sz w:val="24"/>
          <w:szCs w:val="24"/>
          <w:highlight w:val="none"/>
          <w:shd w:val="clear" w:color="auto" w:fill="FFFFFF" w:themeFill="background1"/>
        </w:rPr>
      </w:pPr>
      <w:r>
        <w:rPr>
          <w:rFonts w:hint="eastAsia" w:ascii="仿宋" w:hAnsi="仿宋" w:eastAsia="仿宋" w:cs="仿宋"/>
          <w:b/>
          <w:bCs/>
          <w:color w:val="auto"/>
          <w:sz w:val="24"/>
          <w:szCs w:val="24"/>
          <w:highlight w:val="none"/>
          <w:shd w:val="clear" w:color="auto" w:fill="FFFFFF" w:themeFill="background1"/>
        </w:rPr>
        <w:t>目 录</w:t>
      </w:r>
    </w:p>
    <w:p w14:paraId="733178CB">
      <w:pPr>
        <w:pStyle w:val="27"/>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 w:val="0"/>
          <w:bCs w:val="0"/>
          <w:color w:val="auto"/>
          <w:sz w:val="24"/>
          <w:highlight w:val="none"/>
          <w:shd w:val="clear" w:color="auto" w:fill="FFFFFF" w:themeFill="background1"/>
        </w:rPr>
        <w:fldChar w:fldCharType="begin"/>
      </w:r>
      <w:r>
        <w:rPr>
          <w:rFonts w:hint="eastAsia" w:ascii="仿宋" w:hAnsi="仿宋" w:eastAsia="仿宋" w:cs="仿宋"/>
          <w:b w:val="0"/>
          <w:bCs w:val="0"/>
          <w:color w:val="auto"/>
          <w:sz w:val="24"/>
          <w:highlight w:val="none"/>
          <w:shd w:val="clear" w:color="auto" w:fill="FFFFFF" w:themeFill="background1"/>
        </w:rPr>
        <w:instrText xml:space="preserve">TOC \o "1-3" \h \u </w:instrText>
      </w:r>
      <w:r>
        <w:rPr>
          <w:rFonts w:hint="eastAsia" w:ascii="仿宋" w:hAnsi="仿宋" w:eastAsia="仿宋" w:cs="仿宋"/>
          <w:b w:val="0"/>
          <w:bCs w:val="0"/>
          <w:color w:val="auto"/>
          <w:sz w:val="24"/>
          <w:highlight w:val="none"/>
          <w:shd w:val="clear" w:color="auto" w:fill="FFFFFF" w:themeFill="background1"/>
        </w:rPr>
        <w:fldChar w:fldCharType="separate"/>
      </w:r>
      <w:r>
        <w:rPr>
          <w:rFonts w:hint="eastAsia" w:ascii="仿宋" w:hAnsi="仿宋" w:eastAsia="仿宋" w:cs="仿宋"/>
          <w:bCs w:val="0"/>
          <w:color w:val="auto"/>
          <w:highlight w:val="none"/>
          <w:shd w:val="clear" w:color="auto" w:fill="FFFFFF" w:themeFill="background1"/>
        </w:rPr>
        <w:fldChar w:fldCharType="begin"/>
      </w:r>
      <w:r>
        <w:rPr>
          <w:rFonts w:hint="eastAsia" w:ascii="仿宋" w:hAnsi="仿宋" w:eastAsia="仿宋" w:cs="仿宋"/>
          <w:bCs w:val="0"/>
          <w:color w:val="auto"/>
          <w:highlight w:val="none"/>
          <w:shd w:val="clear" w:color="auto" w:fill="FFFFFF" w:themeFill="background1"/>
        </w:rPr>
        <w:instrText xml:space="preserve"> HYPERLINK \l _Toc25668 </w:instrText>
      </w:r>
      <w:r>
        <w:rPr>
          <w:rFonts w:hint="eastAsia" w:ascii="仿宋" w:hAnsi="仿宋" w:eastAsia="仿宋" w:cs="仿宋"/>
          <w:bCs w:val="0"/>
          <w:color w:val="auto"/>
          <w:highlight w:val="none"/>
          <w:shd w:val="clear" w:color="auto" w:fill="FFFFFF" w:themeFill="background1"/>
        </w:rPr>
        <w:fldChar w:fldCharType="separate"/>
      </w:r>
      <w:r>
        <w:rPr>
          <w:rFonts w:hint="eastAsia" w:ascii="仿宋" w:hAnsi="仿宋" w:eastAsia="仿宋" w:cs="仿宋"/>
          <w:bCs/>
          <w:color w:val="auto"/>
          <w:szCs w:val="32"/>
          <w:highlight w:val="none"/>
          <w:lang w:val="en-US" w:eastAsia="zh-CN"/>
        </w:rPr>
        <w:t>磋商公告</w:t>
      </w:r>
      <w:r>
        <w:rPr>
          <w:color w:val="auto"/>
          <w:highlight w:val="none"/>
        </w:rPr>
        <w:tab/>
      </w:r>
      <w:r>
        <w:rPr>
          <w:color w:val="auto"/>
          <w:highlight w:val="none"/>
        </w:rPr>
        <w:fldChar w:fldCharType="begin"/>
      </w:r>
      <w:r>
        <w:rPr>
          <w:color w:val="auto"/>
          <w:highlight w:val="none"/>
        </w:rPr>
        <w:instrText xml:space="preserve"> PAGEREF _Toc25668 \h </w:instrText>
      </w:r>
      <w:r>
        <w:rPr>
          <w:color w:val="auto"/>
          <w:highlight w:val="none"/>
        </w:rPr>
        <w:fldChar w:fldCharType="separate"/>
      </w:r>
      <w:r>
        <w:rPr>
          <w:color w:val="auto"/>
          <w:highlight w:val="none"/>
        </w:rPr>
        <w:t>1</w:t>
      </w:r>
      <w:r>
        <w:rPr>
          <w:color w:val="auto"/>
          <w:highlight w:val="none"/>
        </w:rPr>
        <w:fldChar w:fldCharType="end"/>
      </w:r>
      <w:r>
        <w:rPr>
          <w:rFonts w:hint="eastAsia" w:ascii="仿宋" w:hAnsi="仿宋" w:eastAsia="仿宋" w:cs="仿宋"/>
          <w:bCs w:val="0"/>
          <w:color w:val="auto"/>
          <w:highlight w:val="none"/>
          <w:shd w:val="clear" w:color="auto" w:fill="FFFFFF" w:themeFill="background1"/>
        </w:rPr>
        <w:fldChar w:fldCharType="end"/>
      </w:r>
    </w:p>
    <w:p w14:paraId="66B80F93">
      <w:pPr>
        <w:pStyle w:val="27"/>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_Toc26675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供应商须知前附表</w:t>
      </w:r>
      <w:r>
        <w:rPr>
          <w:color w:val="auto"/>
          <w:highlight w:val="none"/>
        </w:rPr>
        <w:tab/>
      </w:r>
      <w:r>
        <w:rPr>
          <w:color w:val="auto"/>
          <w:highlight w:val="none"/>
        </w:rPr>
        <w:fldChar w:fldCharType="begin"/>
      </w:r>
      <w:r>
        <w:rPr>
          <w:color w:val="auto"/>
          <w:highlight w:val="none"/>
        </w:rPr>
        <w:instrText xml:space="preserve"> PAGEREF _Toc26675 \h </w:instrText>
      </w:r>
      <w:r>
        <w:rPr>
          <w:color w:val="auto"/>
          <w:highlight w:val="none"/>
        </w:rPr>
        <w:fldChar w:fldCharType="separate"/>
      </w:r>
      <w:r>
        <w:rPr>
          <w:color w:val="auto"/>
          <w:highlight w:val="none"/>
        </w:rPr>
        <w:t>1</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5E9CA550">
      <w:pPr>
        <w:pStyle w:val="27"/>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_Toc13987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第一章 供应商须知</w:t>
      </w:r>
      <w:r>
        <w:rPr>
          <w:color w:val="auto"/>
          <w:highlight w:val="none"/>
        </w:rPr>
        <w:tab/>
      </w:r>
      <w:r>
        <w:rPr>
          <w:color w:val="auto"/>
          <w:highlight w:val="none"/>
        </w:rPr>
        <w:fldChar w:fldCharType="begin"/>
      </w:r>
      <w:r>
        <w:rPr>
          <w:color w:val="auto"/>
          <w:highlight w:val="none"/>
        </w:rPr>
        <w:instrText xml:space="preserve"> PAGEREF _Toc13987 \h </w:instrText>
      </w:r>
      <w:r>
        <w:rPr>
          <w:color w:val="auto"/>
          <w:highlight w:val="none"/>
        </w:rPr>
        <w:fldChar w:fldCharType="separate"/>
      </w:r>
      <w:r>
        <w:rPr>
          <w:color w:val="auto"/>
          <w:highlight w:val="none"/>
        </w:rPr>
        <w:t>4</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249EB17D">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_Toc10765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一、</w:t>
      </w:r>
      <w:r>
        <w:rPr>
          <w:rFonts w:hint="eastAsia" w:ascii="仿宋" w:hAnsi="仿宋" w:eastAsia="仿宋" w:cs="仿宋"/>
          <w:color w:val="auto"/>
          <w:szCs w:val="24"/>
          <w:highlight w:val="none"/>
          <w:shd w:val="clear" w:color="auto" w:fill="FFFFFF" w:themeFill="background1"/>
        </w:rPr>
        <w:t>总则</w:t>
      </w:r>
      <w:r>
        <w:rPr>
          <w:color w:val="auto"/>
          <w:highlight w:val="none"/>
        </w:rPr>
        <w:tab/>
      </w:r>
      <w:r>
        <w:rPr>
          <w:color w:val="auto"/>
          <w:highlight w:val="none"/>
        </w:rPr>
        <w:fldChar w:fldCharType="begin"/>
      </w:r>
      <w:r>
        <w:rPr>
          <w:color w:val="auto"/>
          <w:highlight w:val="none"/>
        </w:rPr>
        <w:instrText xml:space="preserve"> PAGEREF _Toc10765 \h </w:instrText>
      </w:r>
      <w:r>
        <w:rPr>
          <w:color w:val="auto"/>
          <w:highlight w:val="none"/>
        </w:rPr>
        <w:fldChar w:fldCharType="separate"/>
      </w:r>
      <w:r>
        <w:rPr>
          <w:color w:val="auto"/>
          <w:highlight w:val="none"/>
        </w:rPr>
        <w:t>4</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1E1EC9A6">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_Toc11089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二、</w:t>
      </w:r>
      <w:r>
        <w:rPr>
          <w:rFonts w:hint="eastAsia" w:ascii="仿宋" w:hAnsi="仿宋" w:eastAsia="仿宋" w:cs="仿宋"/>
          <w:color w:val="auto"/>
          <w:szCs w:val="24"/>
          <w:highlight w:val="none"/>
          <w:shd w:val="clear" w:color="auto" w:fill="FFFFFF" w:themeFill="background1"/>
        </w:rPr>
        <w:t>竞争性磋商文件</w:t>
      </w:r>
      <w:r>
        <w:rPr>
          <w:color w:val="auto"/>
          <w:highlight w:val="none"/>
        </w:rPr>
        <w:tab/>
      </w:r>
      <w:r>
        <w:rPr>
          <w:color w:val="auto"/>
          <w:highlight w:val="none"/>
        </w:rPr>
        <w:fldChar w:fldCharType="begin"/>
      </w:r>
      <w:r>
        <w:rPr>
          <w:color w:val="auto"/>
          <w:highlight w:val="none"/>
        </w:rPr>
        <w:instrText xml:space="preserve"> PAGEREF _Toc11089 \h </w:instrText>
      </w:r>
      <w:r>
        <w:rPr>
          <w:color w:val="auto"/>
          <w:highlight w:val="none"/>
        </w:rPr>
        <w:fldChar w:fldCharType="separate"/>
      </w:r>
      <w:r>
        <w:rPr>
          <w:color w:val="auto"/>
          <w:highlight w:val="none"/>
        </w:rPr>
        <w:t>5</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07C14022">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_Toc28143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三、</w:t>
      </w:r>
      <w:r>
        <w:rPr>
          <w:rFonts w:hint="eastAsia" w:ascii="仿宋" w:hAnsi="仿宋" w:eastAsia="仿宋" w:cs="仿宋"/>
          <w:color w:val="auto"/>
          <w:szCs w:val="24"/>
          <w:highlight w:val="none"/>
          <w:shd w:val="clear" w:color="auto" w:fill="FFFFFF" w:themeFill="background1"/>
        </w:rPr>
        <w:t>响应文件</w:t>
      </w:r>
      <w:r>
        <w:rPr>
          <w:color w:val="auto"/>
          <w:highlight w:val="none"/>
        </w:rPr>
        <w:tab/>
      </w:r>
      <w:r>
        <w:rPr>
          <w:color w:val="auto"/>
          <w:highlight w:val="none"/>
        </w:rPr>
        <w:fldChar w:fldCharType="begin"/>
      </w:r>
      <w:r>
        <w:rPr>
          <w:color w:val="auto"/>
          <w:highlight w:val="none"/>
        </w:rPr>
        <w:instrText xml:space="preserve"> PAGEREF _Toc28143 \h </w:instrText>
      </w:r>
      <w:r>
        <w:rPr>
          <w:color w:val="auto"/>
          <w:highlight w:val="none"/>
        </w:rPr>
        <w:fldChar w:fldCharType="separate"/>
      </w:r>
      <w:r>
        <w:rPr>
          <w:color w:val="auto"/>
          <w:highlight w:val="none"/>
        </w:rPr>
        <w:t>7</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7BABFB92">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_Toc2052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四、</w:t>
      </w:r>
      <w:r>
        <w:rPr>
          <w:rFonts w:hint="eastAsia" w:ascii="仿宋" w:hAnsi="仿宋" w:eastAsia="仿宋" w:cs="仿宋"/>
          <w:color w:val="auto"/>
          <w:szCs w:val="24"/>
          <w:highlight w:val="none"/>
          <w:shd w:val="clear" w:color="auto" w:fill="FFFFFF" w:themeFill="background1"/>
        </w:rPr>
        <w:t>投标</w:t>
      </w:r>
      <w:r>
        <w:rPr>
          <w:color w:val="auto"/>
          <w:highlight w:val="none"/>
        </w:rPr>
        <w:tab/>
      </w:r>
      <w:r>
        <w:rPr>
          <w:color w:val="auto"/>
          <w:highlight w:val="none"/>
        </w:rPr>
        <w:fldChar w:fldCharType="begin"/>
      </w:r>
      <w:r>
        <w:rPr>
          <w:color w:val="auto"/>
          <w:highlight w:val="none"/>
        </w:rPr>
        <w:instrText xml:space="preserve"> PAGEREF _Toc2052 \h </w:instrText>
      </w:r>
      <w:r>
        <w:rPr>
          <w:color w:val="auto"/>
          <w:highlight w:val="none"/>
        </w:rPr>
        <w:fldChar w:fldCharType="separate"/>
      </w:r>
      <w:r>
        <w:rPr>
          <w:color w:val="auto"/>
          <w:highlight w:val="none"/>
        </w:rPr>
        <w:t>9</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79B4686E">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_Toc13421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五、</w:t>
      </w:r>
      <w:r>
        <w:rPr>
          <w:rFonts w:hint="eastAsia" w:ascii="仿宋" w:hAnsi="仿宋" w:eastAsia="仿宋" w:cs="仿宋"/>
          <w:color w:val="auto"/>
          <w:szCs w:val="24"/>
          <w:highlight w:val="none"/>
          <w:shd w:val="clear" w:color="auto" w:fill="FFFFFF" w:themeFill="background1"/>
        </w:rPr>
        <w:t>开标</w:t>
      </w:r>
      <w:r>
        <w:rPr>
          <w:color w:val="auto"/>
          <w:highlight w:val="none"/>
        </w:rPr>
        <w:tab/>
      </w:r>
      <w:r>
        <w:rPr>
          <w:color w:val="auto"/>
          <w:highlight w:val="none"/>
        </w:rPr>
        <w:fldChar w:fldCharType="begin"/>
      </w:r>
      <w:r>
        <w:rPr>
          <w:color w:val="auto"/>
          <w:highlight w:val="none"/>
        </w:rPr>
        <w:instrText xml:space="preserve"> PAGEREF _Toc13421 \h </w:instrText>
      </w:r>
      <w:r>
        <w:rPr>
          <w:color w:val="auto"/>
          <w:highlight w:val="none"/>
        </w:rPr>
        <w:fldChar w:fldCharType="separate"/>
      </w:r>
      <w:r>
        <w:rPr>
          <w:color w:val="auto"/>
          <w:highlight w:val="none"/>
        </w:rPr>
        <w:t>10</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0D34B912">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_Toc7657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六、</w:t>
      </w:r>
      <w:r>
        <w:rPr>
          <w:rFonts w:hint="eastAsia" w:ascii="仿宋" w:hAnsi="仿宋" w:eastAsia="仿宋" w:cs="仿宋"/>
          <w:color w:val="auto"/>
          <w:szCs w:val="24"/>
          <w:highlight w:val="none"/>
          <w:shd w:val="clear" w:color="auto" w:fill="FFFFFF" w:themeFill="background1"/>
        </w:rPr>
        <w:t>评审</w:t>
      </w:r>
      <w:r>
        <w:rPr>
          <w:color w:val="auto"/>
          <w:highlight w:val="none"/>
        </w:rPr>
        <w:tab/>
      </w:r>
      <w:r>
        <w:rPr>
          <w:color w:val="auto"/>
          <w:highlight w:val="none"/>
        </w:rPr>
        <w:fldChar w:fldCharType="begin"/>
      </w:r>
      <w:r>
        <w:rPr>
          <w:color w:val="auto"/>
          <w:highlight w:val="none"/>
        </w:rPr>
        <w:instrText xml:space="preserve"> PAGEREF _Toc7657 \h </w:instrText>
      </w:r>
      <w:r>
        <w:rPr>
          <w:color w:val="auto"/>
          <w:highlight w:val="none"/>
        </w:rPr>
        <w:fldChar w:fldCharType="separate"/>
      </w:r>
      <w:r>
        <w:rPr>
          <w:color w:val="auto"/>
          <w:highlight w:val="none"/>
        </w:rPr>
        <w:t>10</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5516D544">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_Toc14653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七、</w:t>
      </w:r>
      <w:r>
        <w:rPr>
          <w:rFonts w:hint="eastAsia" w:ascii="仿宋" w:hAnsi="仿宋" w:eastAsia="仿宋" w:cs="仿宋"/>
          <w:color w:val="auto"/>
          <w:szCs w:val="24"/>
          <w:highlight w:val="none"/>
          <w:shd w:val="clear" w:color="auto" w:fill="FFFFFF" w:themeFill="background1"/>
        </w:rPr>
        <w:t>定标及合同授予</w:t>
      </w:r>
      <w:r>
        <w:rPr>
          <w:color w:val="auto"/>
          <w:highlight w:val="none"/>
        </w:rPr>
        <w:tab/>
      </w:r>
      <w:r>
        <w:rPr>
          <w:color w:val="auto"/>
          <w:highlight w:val="none"/>
        </w:rPr>
        <w:fldChar w:fldCharType="begin"/>
      </w:r>
      <w:r>
        <w:rPr>
          <w:color w:val="auto"/>
          <w:highlight w:val="none"/>
        </w:rPr>
        <w:instrText xml:space="preserve"> PAGEREF _Toc14653 \h </w:instrText>
      </w:r>
      <w:r>
        <w:rPr>
          <w:color w:val="auto"/>
          <w:highlight w:val="none"/>
        </w:rPr>
        <w:fldChar w:fldCharType="separate"/>
      </w:r>
      <w:r>
        <w:rPr>
          <w:color w:val="auto"/>
          <w:highlight w:val="none"/>
        </w:rPr>
        <w:t>11</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22C386C6">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_Toc13339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八、</w:t>
      </w:r>
      <w:r>
        <w:rPr>
          <w:rFonts w:hint="eastAsia" w:ascii="仿宋" w:hAnsi="仿宋" w:eastAsia="仿宋" w:cs="仿宋"/>
          <w:color w:val="auto"/>
          <w:szCs w:val="24"/>
          <w:highlight w:val="none"/>
          <w:shd w:val="clear" w:color="auto" w:fill="FFFFFF" w:themeFill="background1"/>
        </w:rPr>
        <w:t>纪律和监督</w:t>
      </w:r>
      <w:r>
        <w:rPr>
          <w:color w:val="auto"/>
          <w:highlight w:val="none"/>
        </w:rPr>
        <w:tab/>
      </w:r>
      <w:r>
        <w:rPr>
          <w:color w:val="auto"/>
          <w:highlight w:val="none"/>
        </w:rPr>
        <w:fldChar w:fldCharType="begin"/>
      </w:r>
      <w:r>
        <w:rPr>
          <w:color w:val="auto"/>
          <w:highlight w:val="none"/>
        </w:rPr>
        <w:instrText xml:space="preserve"> PAGEREF _Toc13339 \h </w:instrText>
      </w:r>
      <w:r>
        <w:rPr>
          <w:color w:val="auto"/>
          <w:highlight w:val="none"/>
        </w:rPr>
        <w:fldChar w:fldCharType="separate"/>
      </w:r>
      <w:r>
        <w:rPr>
          <w:color w:val="auto"/>
          <w:highlight w:val="none"/>
        </w:rPr>
        <w:t>12</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0CBD565D">
      <w:pPr>
        <w:pStyle w:val="27"/>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_Toc8289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第二章 评审办法</w:t>
      </w:r>
      <w:r>
        <w:rPr>
          <w:color w:val="auto"/>
          <w:highlight w:val="none"/>
        </w:rPr>
        <w:tab/>
      </w:r>
      <w:r>
        <w:rPr>
          <w:color w:val="auto"/>
          <w:highlight w:val="none"/>
        </w:rPr>
        <w:fldChar w:fldCharType="begin"/>
      </w:r>
      <w:r>
        <w:rPr>
          <w:color w:val="auto"/>
          <w:highlight w:val="none"/>
        </w:rPr>
        <w:instrText xml:space="preserve"> PAGEREF _Toc8289 \h </w:instrText>
      </w:r>
      <w:r>
        <w:rPr>
          <w:color w:val="auto"/>
          <w:highlight w:val="none"/>
        </w:rPr>
        <w:fldChar w:fldCharType="separate"/>
      </w:r>
      <w:r>
        <w:rPr>
          <w:color w:val="auto"/>
          <w:highlight w:val="none"/>
        </w:rPr>
        <w:t>13</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2D3967F6">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_Toc15002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评审办法前附表</w:t>
      </w:r>
      <w:r>
        <w:rPr>
          <w:color w:val="auto"/>
          <w:highlight w:val="none"/>
        </w:rPr>
        <w:tab/>
      </w:r>
      <w:r>
        <w:rPr>
          <w:color w:val="auto"/>
          <w:highlight w:val="none"/>
        </w:rPr>
        <w:fldChar w:fldCharType="begin"/>
      </w:r>
      <w:r>
        <w:rPr>
          <w:color w:val="auto"/>
          <w:highlight w:val="none"/>
        </w:rPr>
        <w:instrText xml:space="preserve"> PAGEREF _Toc15002 \h </w:instrText>
      </w:r>
      <w:r>
        <w:rPr>
          <w:color w:val="auto"/>
          <w:highlight w:val="none"/>
        </w:rPr>
        <w:fldChar w:fldCharType="separate"/>
      </w:r>
      <w:r>
        <w:rPr>
          <w:color w:val="auto"/>
          <w:highlight w:val="none"/>
        </w:rPr>
        <w:t>13</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7FE5A650">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_Toc11710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一、</w:t>
      </w:r>
      <w:r>
        <w:rPr>
          <w:rFonts w:hint="eastAsia" w:ascii="仿宋" w:hAnsi="仿宋" w:eastAsia="仿宋" w:cs="仿宋"/>
          <w:color w:val="auto"/>
          <w:szCs w:val="24"/>
          <w:highlight w:val="none"/>
          <w:shd w:val="clear" w:color="auto" w:fill="FFFFFF" w:themeFill="background1"/>
        </w:rPr>
        <w:t>评审方法</w:t>
      </w:r>
      <w:r>
        <w:rPr>
          <w:color w:val="auto"/>
          <w:highlight w:val="none"/>
        </w:rPr>
        <w:tab/>
      </w:r>
      <w:r>
        <w:rPr>
          <w:color w:val="auto"/>
          <w:highlight w:val="none"/>
        </w:rPr>
        <w:fldChar w:fldCharType="begin"/>
      </w:r>
      <w:r>
        <w:rPr>
          <w:color w:val="auto"/>
          <w:highlight w:val="none"/>
        </w:rPr>
        <w:instrText xml:space="preserve"> PAGEREF _Toc11710 \h </w:instrText>
      </w:r>
      <w:r>
        <w:rPr>
          <w:color w:val="auto"/>
          <w:highlight w:val="none"/>
        </w:rPr>
        <w:fldChar w:fldCharType="separate"/>
      </w:r>
      <w:r>
        <w:rPr>
          <w:color w:val="auto"/>
          <w:highlight w:val="none"/>
        </w:rPr>
        <w:t>16</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5A8E5CCD">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_Toc12822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二、</w:t>
      </w:r>
      <w:r>
        <w:rPr>
          <w:rFonts w:hint="eastAsia" w:ascii="仿宋" w:hAnsi="仿宋" w:eastAsia="仿宋" w:cs="仿宋"/>
          <w:color w:val="auto"/>
          <w:szCs w:val="24"/>
          <w:highlight w:val="none"/>
          <w:shd w:val="clear" w:color="auto" w:fill="FFFFFF" w:themeFill="background1"/>
        </w:rPr>
        <w:t>评审标准</w:t>
      </w:r>
      <w:r>
        <w:rPr>
          <w:color w:val="auto"/>
          <w:highlight w:val="none"/>
        </w:rPr>
        <w:tab/>
      </w:r>
      <w:r>
        <w:rPr>
          <w:color w:val="auto"/>
          <w:highlight w:val="none"/>
        </w:rPr>
        <w:fldChar w:fldCharType="begin"/>
      </w:r>
      <w:r>
        <w:rPr>
          <w:color w:val="auto"/>
          <w:highlight w:val="none"/>
        </w:rPr>
        <w:instrText xml:space="preserve"> PAGEREF _Toc12822 \h </w:instrText>
      </w:r>
      <w:r>
        <w:rPr>
          <w:color w:val="auto"/>
          <w:highlight w:val="none"/>
        </w:rPr>
        <w:fldChar w:fldCharType="separate"/>
      </w:r>
      <w:r>
        <w:rPr>
          <w:color w:val="auto"/>
          <w:highlight w:val="none"/>
        </w:rPr>
        <w:t>16</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429C9296">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_Toc25140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三、</w:t>
      </w:r>
      <w:r>
        <w:rPr>
          <w:rFonts w:hint="eastAsia" w:ascii="仿宋" w:hAnsi="仿宋" w:eastAsia="仿宋" w:cs="仿宋"/>
          <w:color w:val="auto"/>
          <w:szCs w:val="24"/>
          <w:highlight w:val="none"/>
          <w:shd w:val="clear" w:color="auto" w:fill="FFFFFF" w:themeFill="background1"/>
        </w:rPr>
        <w:t>评审程序</w:t>
      </w:r>
      <w:r>
        <w:rPr>
          <w:color w:val="auto"/>
          <w:highlight w:val="none"/>
        </w:rPr>
        <w:tab/>
      </w:r>
      <w:r>
        <w:rPr>
          <w:color w:val="auto"/>
          <w:highlight w:val="none"/>
        </w:rPr>
        <w:fldChar w:fldCharType="begin"/>
      </w:r>
      <w:r>
        <w:rPr>
          <w:color w:val="auto"/>
          <w:highlight w:val="none"/>
        </w:rPr>
        <w:instrText xml:space="preserve"> PAGEREF _Toc25140 \h </w:instrText>
      </w:r>
      <w:r>
        <w:rPr>
          <w:color w:val="auto"/>
          <w:highlight w:val="none"/>
        </w:rPr>
        <w:fldChar w:fldCharType="separate"/>
      </w:r>
      <w:r>
        <w:rPr>
          <w:color w:val="auto"/>
          <w:highlight w:val="none"/>
        </w:rPr>
        <w:t>16</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0C56817C">
      <w:pPr>
        <w:pStyle w:val="27"/>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_Toc22292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 xml:space="preserve">第三章 </w:t>
      </w:r>
      <w:r>
        <w:rPr>
          <w:rFonts w:hint="eastAsia" w:ascii="仿宋" w:hAnsi="仿宋" w:eastAsia="仿宋" w:cs="仿宋"/>
          <w:color w:val="auto"/>
          <w:szCs w:val="24"/>
          <w:highlight w:val="none"/>
          <w:shd w:val="clear" w:color="auto" w:fill="FFFFFF" w:themeFill="background1"/>
          <w:lang w:eastAsia="zh-CN"/>
        </w:rPr>
        <w:t>合同文本</w:t>
      </w:r>
      <w:r>
        <w:rPr>
          <w:color w:val="auto"/>
          <w:highlight w:val="none"/>
        </w:rPr>
        <w:tab/>
      </w:r>
      <w:r>
        <w:rPr>
          <w:color w:val="auto"/>
          <w:highlight w:val="none"/>
        </w:rPr>
        <w:fldChar w:fldCharType="begin"/>
      </w:r>
      <w:r>
        <w:rPr>
          <w:color w:val="auto"/>
          <w:highlight w:val="none"/>
        </w:rPr>
        <w:instrText xml:space="preserve"> PAGEREF _Toc22292 \h </w:instrText>
      </w:r>
      <w:r>
        <w:rPr>
          <w:color w:val="auto"/>
          <w:highlight w:val="none"/>
        </w:rPr>
        <w:fldChar w:fldCharType="separate"/>
      </w:r>
      <w:r>
        <w:rPr>
          <w:color w:val="auto"/>
          <w:highlight w:val="none"/>
        </w:rPr>
        <w:t>23</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7034125C">
      <w:pPr>
        <w:pStyle w:val="27"/>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_Toc29369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第四章 服务标准和要求</w:t>
      </w:r>
      <w:r>
        <w:rPr>
          <w:color w:val="auto"/>
          <w:highlight w:val="none"/>
        </w:rPr>
        <w:tab/>
      </w:r>
      <w:r>
        <w:rPr>
          <w:color w:val="auto"/>
          <w:highlight w:val="none"/>
        </w:rPr>
        <w:fldChar w:fldCharType="begin"/>
      </w:r>
      <w:r>
        <w:rPr>
          <w:color w:val="auto"/>
          <w:highlight w:val="none"/>
        </w:rPr>
        <w:instrText xml:space="preserve"> PAGEREF _Toc29369 \h </w:instrText>
      </w:r>
      <w:r>
        <w:rPr>
          <w:color w:val="auto"/>
          <w:highlight w:val="none"/>
        </w:rPr>
        <w:fldChar w:fldCharType="separate"/>
      </w:r>
      <w:r>
        <w:rPr>
          <w:color w:val="auto"/>
          <w:highlight w:val="none"/>
        </w:rPr>
        <w:t>32</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199EA7A3">
      <w:pPr>
        <w:pStyle w:val="27"/>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_Toc21297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第五章 响应文件格式</w:t>
      </w:r>
      <w:r>
        <w:rPr>
          <w:color w:val="auto"/>
          <w:highlight w:val="none"/>
        </w:rPr>
        <w:tab/>
      </w:r>
      <w:r>
        <w:rPr>
          <w:color w:val="auto"/>
          <w:highlight w:val="none"/>
        </w:rPr>
        <w:fldChar w:fldCharType="begin"/>
      </w:r>
      <w:r>
        <w:rPr>
          <w:color w:val="auto"/>
          <w:highlight w:val="none"/>
        </w:rPr>
        <w:instrText xml:space="preserve"> PAGEREF _Toc21297 \h </w:instrText>
      </w:r>
      <w:r>
        <w:rPr>
          <w:color w:val="auto"/>
          <w:highlight w:val="none"/>
        </w:rPr>
        <w:fldChar w:fldCharType="separate"/>
      </w:r>
      <w:r>
        <w:rPr>
          <w:color w:val="auto"/>
          <w:highlight w:val="none"/>
        </w:rPr>
        <w:t>32</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0933B8B9">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_Toc28929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一、投标函</w:t>
      </w:r>
      <w:r>
        <w:rPr>
          <w:color w:val="auto"/>
          <w:highlight w:val="none"/>
        </w:rPr>
        <w:tab/>
      </w:r>
      <w:r>
        <w:rPr>
          <w:color w:val="auto"/>
          <w:highlight w:val="none"/>
        </w:rPr>
        <w:fldChar w:fldCharType="begin"/>
      </w:r>
      <w:r>
        <w:rPr>
          <w:color w:val="auto"/>
          <w:highlight w:val="none"/>
        </w:rPr>
        <w:instrText xml:space="preserve"> PAGEREF _Toc28929 \h </w:instrText>
      </w:r>
      <w:r>
        <w:rPr>
          <w:color w:val="auto"/>
          <w:highlight w:val="none"/>
        </w:rPr>
        <w:fldChar w:fldCharType="separate"/>
      </w:r>
      <w:r>
        <w:rPr>
          <w:color w:val="auto"/>
          <w:highlight w:val="none"/>
        </w:rPr>
        <w:t>36</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452EB25A">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_Toc3477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二、磋商价格明细表</w:t>
      </w:r>
      <w:r>
        <w:rPr>
          <w:color w:val="auto"/>
          <w:highlight w:val="none"/>
        </w:rPr>
        <w:tab/>
      </w:r>
      <w:r>
        <w:rPr>
          <w:color w:val="auto"/>
          <w:highlight w:val="none"/>
        </w:rPr>
        <w:fldChar w:fldCharType="begin"/>
      </w:r>
      <w:r>
        <w:rPr>
          <w:color w:val="auto"/>
          <w:highlight w:val="none"/>
        </w:rPr>
        <w:instrText xml:space="preserve"> PAGEREF _Toc3477 \h </w:instrText>
      </w:r>
      <w:r>
        <w:rPr>
          <w:color w:val="auto"/>
          <w:highlight w:val="none"/>
        </w:rPr>
        <w:fldChar w:fldCharType="separate"/>
      </w:r>
      <w:r>
        <w:rPr>
          <w:color w:val="auto"/>
          <w:highlight w:val="none"/>
        </w:rPr>
        <w:t>37</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45EC3686">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_Toc31421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三、商务条款偏离表</w:t>
      </w:r>
      <w:r>
        <w:rPr>
          <w:color w:val="auto"/>
          <w:highlight w:val="none"/>
        </w:rPr>
        <w:tab/>
      </w:r>
      <w:r>
        <w:rPr>
          <w:color w:val="auto"/>
          <w:highlight w:val="none"/>
        </w:rPr>
        <w:fldChar w:fldCharType="begin"/>
      </w:r>
      <w:r>
        <w:rPr>
          <w:color w:val="auto"/>
          <w:highlight w:val="none"/>
        </w:rPr>
        <w:instrText xml:space="preserve"> PAGEREF _Toc31421 \h </w:instrText>
      </w:r>
      <w:r>
        <w:rPr>
          <w:color w:val="auto"/>
          <w:highlight w:val="none"/>
        </w:rPr>
        <w:fldChar w:fldCharType="separate"/>
      </w:r>
      <w:r>
        <w:rPr>
          <w:color w:val="auto"/>
          <w:highlight w:val="none"/>
        </w:rPr>
        <w:t>38</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1522AE7A">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_Toc15308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四、技术条款偏离表</w:t>
      </w:r>
      <w:r>
        <w:rPr>
          <w:color w:val="auto"/>
          <w:highlight w:val="none"/>
        </w:rPr>
        <w:tab/>
      </w:r>
      <w:r>
        <w:rPr>
          <w:color w:val="auto"/>
          <w:highlight w:val="none"/>
        </w:rPr>
        <w:fldChar w:fldCharType="begin"/>
      </w:r>
      <w:r>
        <w:rPr>
          <w:color w:val="auto"/>
          <w:highlight w:val="none"/>
        </w:rPr>
        <w:instrText xml:space="preserve"> PAGEREF _Toc15308 \h </w:instrText>
      </w:r>
      <w:r>
        <w:rPr>
          <w:color w:val="auto"/>
          <w:highlight w:val="none"/>
        </w:rPr>
        <w:fldChar w:fldCharType="separate"/>
      </w:r>
      <w:r>
        <w:rPr>
          <w:color w:val="auto"/>
          <w:highlight w:val="none"/>
        </w:rPr>
        <w:t>39</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21397D0D">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_Toc11126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五、法定代表人身份证明书</w:t>
      </w:r>
      <w:r>
        <w:rPr>
          <w:color w:val="auto"/>
          <w:highlight w:val="none"/>
        </w:rPr>
        <w:tab/>
      </w:r>
      <w:r>
        <w:rPr>
          <w:color w:val="auto"/>
          <w:highlight w:val="none"/>
        </w:rPr>
        <w:fldChar w:fldCharType="begin"/>
      </w:r>
      <w:r>
        <w:rPr>
          <w:color w:val="auto"/>
          <w:highlight w:val="none"/>
        </w:rPr>
        <w:instrText xml:space="preserve"> PAGEREF _Toc11126 \h </w:instrText>
      </w:r>
      <w:r>
        <w:rPr>
          <w:color w:val="auto"/>
          <w:highlight w:val="none"/>
        </w:rPr>
        <w:fldChar w:fldCharType="separate"/>
      </w:r>
      <w:r>
        <w:rPr>
          <w:color w:val="auto"/>
          <w:highlight w:val="none"/>
        </w:rPr>
        <w:t>40</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362F5B37">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_Toc7844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六、法定代表人授权委托书</w:t>
      </w:r>
      <w:r>
        <w:rPr>
          <w:color w:val="auto"/>
          <w:highlight w:val="none"/>
        </w:rPr>
        <w:tab/>
      </w:r>
      <w:r>
        <w:rPr>
          <w:color w:val="auto"/>
          <w:highlight w:val="none"/>
        </w:rPr>
        <w:fldChar w:fldCharType="begin"/>
      </w:r>
      <w:r>
        <w:rPr>
          <w:color w:val="auto"/>
          <w:highlight w:val="none"/>
        </w:rPr>
        <w:instrText xml:space="preserve"> PAGEREF _Toc7844 \h </w:instrText>
      </w:r>
      <w:r>
        <w:rPr>
          <w:color w:val="auto"/>
          <w:highlight w:val="none"/>
        </w:rPr>
        <w:fldChar w:fldCharType="separate"/>
      </w:r>
      <w:r>
        <w:rPr>
          <w:color w:val="auto"/>
          <w:highlight w:val="none"/>
        </w:rPr>
        <w:t>41</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062BCC6F">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_Toc11912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七、</w:t>
      </w:r>
      <w:r>
        <w:rPr>
          <w:rFonts w:hint="eastAsia" w:ascii="仿宋" w:hAnsi="仿宋" w:eastAsia="仿宋" w:cs="仿宋"/>
          <w:bCs/>
          <w:color w:val="auto"/>
          <w:szCs w:val="24"/>
          <w:highlight w:val="none"/>
          <w:shd w:val="clear" w:color="auto" w:fill="FFFFFF" w:themeFill="background1"/>
        </w:rPr>
        <w:t>供应商资格条件证明材料</w:t>
      </w:r>
      <w:r>
        <w:rPr>
          <w:color w:val="auto"/>
          <w:highlight w:val="none"/>
        </w:rPr>
        <w:tab/>
      </w:r>
      <w:r>
        <w:rPr>
          <w:color w:val="auto"/>
          <w:highlight w:val="none"/>
        </w:rPr>
        <w:fldChar w:fldCharType="begin"/>
      </w:r>
      <w:r>
        <w:rPr>
          <w:color w:val="auto"/>
          <w:highlight w:val="none"/>
        </w:rPr>
        <w:instrText xml:space="preserve"> PAGEREF _Toc11912 \h </w:instrText>
      </w:r>
      <w:r>
        <w:rPr>
          <w:color w:val="auto"/>
          <w:highlight w:val="none"/>
        </w:rPr>
        <w:fldChar w:fldCharType="separate"/>
      </w:r>
      <w:r>
        <w:rPr>
          <w:color w:val="auto"/>
          <w:highlight w:val="none"/>
        </w:rPr>
        <w:t>42</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141D29AC">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_Toc20806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八</w:t>
      </w:r>
      <w:r>
        <w:rPr>
          <w:rFonts w:hint="eastAsia" w:ascii="仿宋" w:hAnsi="仿宋" w:eastAsia="仿宋" w:cs="仿宋"/>
          <w:color w:val="auto"/>
          <w:szCs w:val="24"/>
          <w:highlight w:val="none"/>
          <w:shd w:val="clear" w:color="auto" w:fill="FFFFFF" w:themeFill="background1"/>
        </w:rPr>
        <w:t>、</w:t>
      </w:r>
      <w:r>
        <w:rPr>
          <w:rFonts w:hint="eastAsia" w:ascii="仿宋" w:hAnsi="仿宋" w:eastAsia="仿宋" w:cs="仿宋"/>
          <w:bCs/>
          <w:color w:val="auto"/>
          <w:szCs w:val="24"/>
          <w:highlight w:val="none"/>
          <w:shd w:val="clear" w:color="auto" w:fill="FFFFFF" w:themeFill="background1"/>
        </w:rPr>
        <w:t>供应商近年类似项目业绩表</w:t>
      </w:r>
      <w:r>
        <w:rPr>
          <w:color w:val="auto"/>
          <w:highlight w:val="none"/>
        </w:rPr>
        <w:tab/>
      </w:r>
      <w:r>
        <w:rPr>
          <w:color w:val="auto"/>
          <w:highlight w:val="none"/>
        </w:rPr>
        <w:fldChar w:fldCharType="begin"/>
      </w:r>
      <w:r>
        <w:rPr>
          <w:color w:val="auto"/>
          <w:highlight w:val="none"/>
        </w:rPr>
        <w:instrText xml:space="preserve"> PAGEREF _Toc20806 \h </w:instrText>
      </w:r>
      <w:r>
        <w:rPr>
          <w:color w:val="auto"/>
          <w:highlight w:val="none"/>
        </w:rPr>
        <w:fldChar w:fldCharType="separate"/>
      </w:r>
      <w:r>
        <w:rPr>
          <w:color w:val="auto"/>
          <w:highlight w:val="none"/>
        </w:rPr>
        <w:t>50</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592A1EDC">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_Toc27102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lang w:val="en-US" w:eastAsia="zh-CN"/>
        </w:rPr>
        <w:t>九</w:t>
      </w:r>
      <w:r>
        <w:rPr>
          <w:rFonts w:hint="eastAsia" w:ascii="仿宋" w:hAnsi="仿宋" w:eastAsia="仿宋" w:cs="仿宋"/>
          <w:color w:val="auto"/>
          <w:szCs w:val="24"/>
          <w:highlight w:val="none"/>
          <w:shd w:val="clear" w:color="auto" w:fill="FFFFFF" w:themeFill="background1"/>
        </w:rPr>
        <w:t>、</w:t>
      </w:r>
      <w:r>
        <w:rPr>
          <w:rFonts w:hint="eastAsia" w:ascii="仿宋" w:hAnsi="仿宋" w:eastAsia="仿宋" w:cs="仿宋"/>
          <w:bCs/>
          <w:color w:val="auto"/>
          <w:szCs w:val="24"/>
          <w:highlight w:val="none"/>
          <w:shd w:val="clear" w:color="auto" w:fill="FFFFFF" w:themeFill="background1"/>
          <w:lang w:eastAsia="zh-CN"/>
        </w:rPr>
        <w:t>项目负责人</w:t>
      </w:r>
      <w:r>
        <w:rPr>
          <w:rFonts w:hint="eastAsia" w:ascii="仿宋" w:hAnsi="仿宋" w:eastAsia="仿宋" w:cs="仿宋"/>
          <w:bCs/>
          <w:color w:val="auto"/>
          <w:szCs w:val="24"/>
          <w:highlight w:val="none"/>
          <w:shd w:val="clear" w:color="auto" w:fill="FFFFFF" w:themeFill="background1"/>
        </w:rPr>
        <w:t>简历表</w:t>
      </w:r>
      <w:r>
        <w:rPr>
          <w:color w:val="auto"/>
          <w:highlight w:val="none"/>
        </w:rPr>
        <w:tab/>
      </w:r>
      <w:r>
        <w:rPr>
          <w:color w:val="auto"/>
          <w:highlight w:val="none"/>
        </w:rPr>
        <w:fldChar w:fldCharType="begin"/>
      </w:r>
      <w:r>
        <w:rPr>
          <w:color w:val="auto"/>
          <w:highlight w:val="none"/>
        </w:rPr>
        <w:instrText xml:space="preserve"> PAGEREF _Toc27102 \h </w:instrText>
      </w:r>
      <w:r>
        <w:rPr>
          <w:color w:val="auto"/>
          <w:highlight w:val="none"/>
        </w:rPr>
        <w:fldChar w:fldCharType="separate"/>
      </w:r>
      <w:r>
        <w:rPr>
          <w:color w:val="auto"/>
          <w:highlight w:val="none"/>
        </w:rPr>
        <w:t>51</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1AABA529">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_Toc25440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bCs/>
          <w:color w:val="auto"/>
          <w:szCs w:val="24"/>
          <w:highlight w:val="none"/>
          <w:shd w:val="clear" w:color="auto" w:fill="FFFFFF" w:themeFill="background1"/>
        </w:rPr>
        <w:t>十、</w:t>
      </w:r>
      <w:r>
        <w:rPr>
          <w:rFonts w:hint="eastAsia" w:ascii="仿宋" w:hAnsi="仿宋" w:eastAsia="仿宋" w:cs="仿宋"/>
          <w:bCs/>
          <w:color w:val="auto"/>
          <w:szCs w:val="24"/>
          <w:highlight w:val="none"/>
          <w:shd w:val="clear" w:color="auto" w:fill="FFFFFF" w:themeFill="background1"/>
          <w:lang w:eastAsia="zh-CN"/>
        </w:rPr>
        <w:t>拟派主要服务人员</w:t>
      </w:r>
      <w:r>
        <w:rPr>
          <w:color w:val="auto"/>
          <w:highlight w:val="none"/>
        </w:rPr>
        <w:tab/>
      </w:r>
      <w:r>
        <w:rPr>
          <w:color w:val="auto"/>
          <w:highlight w:val="none"/>
        </w:rPr>
        <w:fldChar w:fldCharType="begin"/>
      </w:r>
      <w:r>
        <w:rPr>
          <w:color w:val="auto"/>
          <w:highlight w:val="none"/>
        </w:rPr>
        <w:instrText xml:space="preserve"> PAGEREF _Toc25440 \h </w:instrText>
      </w:r>
      <w:r>
        <w:rPr>
          <w:color w:val="auto"/>
          <w:highlight w:val="none"/>
        </w:rPr>
        <w:fldChar w:fldCharType="separate"/>
      </w:r>
      <w:r>
        <w:rPr>
          <w:color w:val="auto"/>
          <w:highlight w:val="none"/>
        </w:rPr>
        <w:t>52</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255E1526">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_Toc11052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十</w:t>
      </w:r>
      <w:r>
        <w:rPr>
          <w:rFonts w:hint="eastAsia" w:ascii="仿宋" w:hAnsi="仿宋" w:eastAsia="仿宋" w:cs="仿宋"/>
          <w:color w:val="auto"/>
          <w:szCs w:val="24"/>
          <w:highlight w:val="none"/>
          <w:shd w:val="clear" w:color="auto" w:fill="FFFFFF" w:themeFill="background1"/>
          <w:lang w:val="en-US" w:eastAsia="zh-CN"/>
        </w:rPr>
        <w:t>一</w:t>
      </w:r>
      <w:r>
        <w:rPr>
          <w:rFonts w:hint="eastAsia" w:ascii="仿宋" w:hAnsi="仿宋" w:eastAsia="仿宋" w:cs="仿宋"/>
          <w:color w:val="auto"/>
          <w:szCs w:val="24"/>
          <w:highlight w:val="none"/>
          <w:shd w:val="clear" w:color="auto" w:fill="FFFFFF" w:themeFill="background1"/>
        </w:rPr>
        <w:t>、</w:t>
      </w:r>
      <w:r>
        <w:rPr>
          <w:rFonts w:hint="eastAsia" w:ascii="仿宋" w:hAnsi="仿宋" w:eastAsia="仿宋" w:cs="仿宋"/>
          <w:bCs/>
          <w:color w:val="auto"/>
          <w:szCs w:val="24"/>
          <w:highlight w:val="none"/>
          <w:shd w:val="clear" w:color="auto" w:fill="FFFFFF" w:themeFill="background1"/>
        </w:rPr>
        <w:t>服务方案</w:t>
      </w:r>
      <w:r>
        <w:rPr>
          <w:color w:val="auto"/>
          <w:highlight w:val="none"/>
        </w:rPr>
        <w:tab/>
      </w:r>
      <w:r>
        <w:rPr>
          <w:color w:val="auto"/>
          <w:highlight w:val="none"/>
        </w:rPr>
        <w:fldChar w:fldCharType="begin"/>
      </w:r>
      <w:r>
        <w:rPr>
          <w:color w:val="auto"/>
          <w:highlight w:val="none"/>
        </w:rPr>
        <w:instrText xml:space="preserve"> PAGEREF _Toc11052 \h </w:instrText>
      </w:r>
      <w:r>
        <w:rPr>
          <w:color w:val="auto"/>
          <w:highlight w:val="none"/>
        </w:rPr>
        <w:fldChar w:fldCharType="separate"/>
      </w:r>
      <w:r>
        <w:rPr>
          <w:color w:val="auto"/>
          <w:highlight w:val="none"/>
        </w:rPr>
        <w:t>53</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23384418">
      <w:pPr>
        <w:pStyle w:val="33"/>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_Toc31809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十</w:t>
      </w:r>
      <w:r>
        <w:rPr>
          <w:rFonts w:hint="eastAsia" w:ascii="仿宋" w:hAnsi="仿宋" w:eastAsia="仿宋" w:cs="仿宋"/>
          <w:color w:val="auto"/>
          <w:szCs w:val="24"/>
          <w:highlight w:val="none"/>
          <w:shd w:val="clear" w:color="auto" w:fill="FFFFFF" w:themeFill="background1"/>
          <w:lang w:val="en-US" w:eastAsia="zh-CN"/>
        </w:rPr>
        <w:t>二</w:t>
      </w:r>
      <w:r>
        <w:rPr>
          <w:rFonts w:hint="eastAsia" w:ascii="仿宋" w:hAnsi="仿宋" w:eastAsia="仿宋" w:cs="仿宋"/>
          <w:color w:val="auto"/>
          <w:szCs w:val="24"/>
          <w:highlight w:val="none"/>
          <w:shd w:val="clear" w:color="auto" w:fill="FFFFFF" w:themeFill="background1"/>
        </w:rPr>
        <w:t>、其他需要提交的资料</w:t>
      </w:r>
      <w:r>
        <w:rPr>
          <w:color w:val="auto"/>
          <w:highlight w:val="none"/>
        </w:rPr>
        <w:tab/>
      </w:r>
      <w:r>
        <w:rPr>
          <w:color w:val="auto"/>
          <w:highlight w:val="none"/>
        </w:rPr>
        <w:fldChar w:fldCharType="begin"/>
      </w:r>
      <w:r>
        <w:rPr>
          <w:color w:val="auto"/>
          <w:highlight w:val="none"/>
        </w:rPr>
        <w:instrText xml:space="preserve"> PAGEREF _Toc31809 \h </w:instrText>
      </w:r>
      <w:r>
        <w:rPr>
          <w:color w:val="auto"/>
          <w:highlight w:val="none"/>
        </w:rPr>
        <w:fldChar w:fldCharType="separate"/>
      </w:r>
      <w:r>
        <w:rPr>
          <w:color w:val="auto"/>
          <w:highlight w:val="none"/>
        </w:rPr>
        <w:t>53</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2410C8AB">
      <w:pPr>
        <w:pStyle w:val="27"/>
        <w:keepNext w:val="0"/>
        <w:keepLines w:val="0"/>
        <w:pageBreakBefore w:val="0"/>
        <w:widowControl w:val="0"/>
        <w:tabs>
          <w:tab w:val="right" w:leader="dot" w:pos="8550"/>
        </w:tabs>
        <w:kinsoku/>
        <w:wordWrap/>
        <w:overflowPunct/>
        <w:topLinePunct w:val="0"/>
        <w:autoSpaceDE/>
        <w:autoSpaceDN/>
        <w:bidi w:val="0"/>
        <w:adjustRightInd/>
        <w:snapToGrid/>
        <w:spacing w:line="312" w:lineRule="auto"/>
        <w:textAlignment w:val="auto"/>
        <w:rPr>
          <w:color w:val="auto"/>
          <w:highlight w:val="none"/>
        </w:rPr>
      </w:pPr>
      <w:r>
        <w:rPr>
          <w:rFonts w:hint="eastAsia" w:ascii="仿宋" w:hAnsi="仿宋" w:eastAsia="仿宋" w:cs="仿宋"/>
          <w:bCs w:val="0"/>
          <w:color w:val="auto"/>
          <w:szCs w:val="24"/>
          <w:highlight w:val="none"/>
          <w:shd w:val="clear" w:color="auto" w:fill="FFFFFF" w:themeFill="background1"/>
        </w:rPr>
        <w:fldChar w:fldCharType="begin"/>
      </w:r>
      <w:r>
        <w:rPr>
          <w:rFonts w:hint="eastAsia" w:ascii="仿宋" w:hAnsi="仿宋" w:eastAsia="仿宋" w:cs="仿宋"/>
          <w:bCs w:val="0"/>
          <w:color w:val="auto"/>
          <w:szCs w:val="24"/>
          <w:highlight w:val="none"/>
          <w:shd w:val="clear" w:color="auto" w:fill="FFFFFF" w:themeFill="background1"/>
        </w:rPr>
        <w:instrText xml:space="preserve"> HYPERLINK \l _Toc32584 </w:instrText>
      </w:r>
      <w:r>
        <w:rPr>
          <w:rFonts w:hint="eastAsia" w:ascii="仿宋" w:hAnsi="仿宋" w:eastAsia="仿宋" w:cs="仿宋"/>
          <w:bCs w:val="0"/>
          <w:color w:val="auto"/>
          <w:szCs w:val="24"/>
          <w:highlight w:val="none"/>
          <w:shd w:val="clear" w:color="auto" w:fill="FFFFFF" w:themeFill="background1"/>
        </w:rPr>
        <w:fldChar w:fldCharType="separate"/>
      </w:r>
      <w:r>
        <w:rPr>
          <w:rFonts w:hint="eastAsia" w:ascii="仿宋" w:hAnsi="仿宋" w:eastAsia="仿宋" w:cs="仿宋"/>
          <w:color w:val="auto"/>
          <w:szCs w:val="24"/>
          <w:highlight w:val="none"/>
          <w:shd w:val="clear" w:color="auto" w:fill="FFFFFF" w:themeFill="background1"/>
        </w:rPr>
        <w:t>第六章 补充条款</w:t>
      </w:r>
      <w:r>
        <w:rPr>
          <w:color w:val="auto"/>
          <w:highlight w:val="none"/>
        </w:rPr>
        <w:tab/>
      </w:r>
      <w:r>
        <w:rPr>
          <w:color w:val="auto"/>
          <w:highlight w:val="none"/>
        </w:rPr>
        <w:fldChar w:fldCharType="begin"/>
      </w:r>
      <w:r>
        <w:rPr>
          <w:color w:val="auto"/>
          <w:highlight w:val="none"/>
        </w:rPr>
        <w:instrText xml:space="preserve"> PAGEREF _Toc32584 \h </w:instrText>
      </w:r>
      <w:r>
        <w:rPr>
          <w:color w:val="auto"/>
          <w:highlight w:val="none"/>
        </w:rPr>
        <w:fldChar w:fldCharType="separate"/>
      </w:r>
      <w:r>
        <w:rPr>
          <w:color w:val="auto"/>
          <w:highlight w:val="none"/>
        </w:rPr>
        <w:t>54</w:t>
      </w:r>
      <w:r>
        <w:rPr>
          <w:color w:val="auto"/>
          <w:highlight w:val="none"/>
        </w:rPr>
        <w:fldChar w:fldCharType="end"/>
      </w:r>
      <w:r>
        <w:rPr>
          <w:rFonts w:hint="eastAsia" w:ascii="仿宋" w:hAnsi="仿宋" w:eastAsia="仿宋" w:cs="仿宋"/>
          <w:bCs w:val="0"/>
          <w:color w:val="auto"/>
          <w:szCs w:val="24"/>
          <w:highlight w:val="none"/>
          <w:shd w:val="clear" w:color="auto" w:fill="FFFFFF" w:themeFill="background1"/>
        </w:rPr>
        <w:fldChar w:fldCharType="end"/>
      </w:r>
    </w:p>
    <w:p w14:paraId="7CC8A0EA">
      <w:pPr>
        <w:keepNext w:val="0"/>
        <w:keepLines w:val="0"/>
        <w:pageBreakBefore w:val="0"/>
        <w:widowControl w:val="0"/>
        <w:kinsoku/>
        <w:wordWrap/>
        <w:overflowPunct/>
        <w:topLinePunct w:val="0"/>
        <w:autoSpaceDE/>
        <w:autoSpaceDN/>
        <w:bidi w:val="0"/>
        <w:adjustRightInd/>
        <w:snapToGrid/>
        <w:spacing w:beforeAutospacing="0" w:afterAutospacing="0" w:line="312" w:lineRule="auto"/>
        <w:textAlignment w:val="auto"/>
        <w:rPr>
          <w:rFonts w:hint="eastAsia" w:ascii="仿宋" w:hAnsi="仿宋" w:eastAsia="仿宋" w:cs="仿宋"/>
          <w:b w:val="0"/>
          <w:bCs w:val="0"/>
          <w:color w:val="auto"/>
          <w:sz w:val="24"/>
          <w:szCs w:val="24"/>
          <w:highlight w:val="none"/>
          <w:shd w:val="clear" w:color="auto" w:fill="FFFFFF" w:themeFill="background1"/>
        </w:rPr>
      </w:pPr>
      <w:r>
        <w:rPr>
          <w:rFonts w:hint="eastAsia" w:ascii="仿宋" w:hAnsi="仿宋" w:eastAsia="仿宋" w:cs="仿宋"/>
          <w:bCs w:val="0"/>
          <w:color w:val="auto"/>
          <w:szCs w:val="24"/>
          <w:highlight w:val="none"/>
          <w:shd w:val="clear" w:color="auto" w:fill="FFFFFF" w:themeFill="background1"/>
        </w:rPr>
        <w:fldChar w:fldCharType="end"/>
      </w:r>
    </w:p>
    <w:p w14:paraId="5B5BF245">
      <w:pPr>
        <w:keepLines w:val="0"/>
        <w:pageBreakBefore w:val="0"/>
        <w:kinsoku/>
        <w:overflowPunct/>
        <w:topLinePunct w:val="0"/>
        <w:bidi w:val="0"/>
        <w:spacing w:beforeAutospacing="0" w:afterAutospacing="0" w:line="360" w:lineRule="auto"/>
        <w:textAlignment w:val="auto"/>
        <w:rPr>
          <w:rFonts w:hint="eastAsia" w:ascii="仿宋" w:hAnsi="仿宋" w:eastAsia="仿宋" w:cs="仿宋"/>
          <w:b/>
          <w:color w:val="auto"/>
          <w:sz w:val="24"/>
          <w:szCs w:val="24"/>
          <w:highlight w:val="none"/>
          <w:shd w:val="clear" w:color="auto" w:fill="FFFFFF" w:themeFill="background1"/>
        </w:rPr>
        <w:sectPr>
          <w:footerReference r:id="rId6" w:type="first"/>
          <w:headerReference r:id="rId3" w:type="default"/>
          <w:footerReference r:id="rId4" w:type="default"/>
          <w:footerReference r:id="rId5" w:type="even"/>
          <w:pgSz w:w="11910" w:h="16840"/>
          <w:pgMar w:top="1500" w:right="1680" w:bottom="1380" w:left="1680" w:header="0" w:footer="1178" w:gutter="0"/>
          <w:cols w:space="720" w:num="1"/>
        </w:sectPr>
      </w:pPr>
    </w:p>
    <w:p w14:paraId="56E3F0EC">
      <w:pPr>
        <w:keepLines w:val="0"/>
        <w:pageBreakBefore w:val="0"/>
        <w:kinsoku/>
        <w:overflowPunct/>
        <w:topLinePunct w:val="0"/>
        <w:bidi w:val="0"/>
        <w:spacing w:beforeAutospacing="0" w:afterAutospacing="0" w:line="360" w:lineRule="auto"/>
        <w:jc w:val="center"/>
        <w:textAlignment w:val="auto"/>
        <w:outlineLvl w:val="0"/>
        <w:rPr>
          <w:rFonts w:hint="eastAsia" w:ascii="仿宋" w:hAnsi="仿宋" w:eastAsia="仿宋" w:cs="仿宋"/>
          <w:b/>
          <w:bCs/>
          <w:color w:val="auto"/>
          <w:sz w:val="28"/>
          <w:szCs w:val="32"/>
          <w:highlight w:val="none"/>
          <w:lang w:val="en-US" w:eastAsia="zh-CN"/>
        </w:rPr>
      </w:pPr>
      <w:bookmarkStart w:id="0" w:name="_Toc25668"/>
      <w:bookmarkStart w:id="1" w:name="_Toc1597"/>
      <w:r>
        <w:rPr>
          <w:rFonts w:hint="eastAsia" w:ascii="仿宋" w:hAnsi="仿宋" w:eastAsia="仿宋" w:cs="仿宋"/>
          <w:b/>
          <w:bCs/>
          <w:color w:val="auto"/>
          <w:sz w:val="28"/>
          <w:szCs w:val="32"/>
          <w:highlight w:val="none"/>
          <w:lang w:val="en-US" w:eastAsia="zh-CN"/>
        </w:rPr>
        <w:t>磋商公告</w:t>
      </w:r>
      <w:bookmarkEnd w:id="0"/>
      <w:bookmarkEnd w:id="1"/>
    </w:p>
    <w:p w14:paraId="0AAC6D0A">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项目概况                                                    </w:t>
      </w:r>
    </w:p>
    <w:p w14:paraId="192410AF">
      <w:pPr>
        <w:spacing w:line="360" w:lineRule="auto"/>
        <w:ind w:firstLine="335"/>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lang w:eastAsia="zh-CN"/>
        </w:rPr>
        <w:t>自治区应急管理厅绩效监控评估项目</w:t>
      </w:r>
      <w:r>
        <w:rPr>
          <w:rFonts w:hint="eastAsia" w:ascii="仿宋" w:hAnsi="仿宋" w:eastAsia="仿宋" w:cs="仿宋"/>
          <w:color w:val="auto"/>
          <w:sz w:val="24"/>
          <w:szCs w:val="32"/>
          <w:highlight w:val="none"/>
        </w:rPr>
        <w:t>采购项目的潜在供应商应在政采云平台线上获取采购文件，并于</w:t>
      </w:r>
      <w:r>
        <w:rPr>
          <w:rFonts w:hint="eastAsia" w:ascii="仿宋" w:hAnsi="仿宋" w:eastAsia="仿宋" w:cs="仿宋"/>
          <w:color w:val="auto"/>
          <w:sz w:val="24"/>
          <w:szCs w:val="32"/>
          <w:highlight w:val="none"/>
          <w:lang w:eastAsia="zh-CN"/>
        </w:rPr>
        <w:t>2025年04月03日 16:00</w:t>
      </w:r>
      <w:r>
        <w:rPr>
          <w:rFonts w:hint="eastAsia" w:ascii="仿宋" w:hAnsi="仿宋" w:eastAsia="仿宋" w:cs="仿宋"/>
          <w:color w:val="auto"/>
          <w:sz w:val="24"/>
          <w:szCs w:val="32"/>
          <w:highlight w:val="none"/>
        </w:rPr>
        <w:t>（北京时间）前提交响应文件。</w:t>
      </w:r>
    </w:p>
    <w:p w14:paraId="22F34768">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一、项目基本情况</w:t>
      </w:r>
    </w:p>
    <w:p w14:paraId="2E3DF9C9">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32"/>
          <w:highlight w:val="none"/>
        </w:rPr>
        <w:t>项目编号：</w:t>
      </w:r>
      <w:r>
        <w:rPr>
          <w:rFonts w:hint="eastAsia" w:ascii="仿宋" w:hAnsi="仿宋" w:eastAsia="仿宋" w:cs="仿宋"/>
          <w:color w:val="auto"/>
          <w:sz w:val="24"/>
          <w:szCs w:val="24"/>
          <w:highlight w:val="none"/>
          <w:lang w:eastAsia="zh-CN"/>
        </w:rPr>
        <w:t>XSJ20250316</w:t>
      </w:r>
    </w:p>
    <w:p w14:paraId="558850DC">
      <w:pPr>
        <w:spacing w:line="360" w:lineRule="auto"/>
        <w:ind w:firstLine="480" w:firstLineChars="200"/>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lang w:eastAsia="zh-CN"/>
        </w:rPr>
        <w:t>项目名称：自治区应急管理厅绩效监控评估项目</w:t>
      </w:r>
      <w:r>
        <w:rPr>
          <w:rFonts w:hint="eastAsia" w:ascii="仿宋" w:hAnsi="仿宋" w:eastAsia="仿宋" w:cs="仿宋"/>
          <w:color w:val="auto"/>
          <w:sz w:val="24"/>
          <w:szCs w:val="32"/>
          <w:highlight w:val="none"/>
        </w:rPr>
        <w:t> </w:t>
      </w:r>
    </w:p>
    <w:p w14:paraId="1B067954">
      <w:pPr>
        <w:spacing w:line="360" w:lineRule="auto"/>
        <w:ind w:firstLine="480" w:firstLineChars="200"/>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lang w:val="en-US" w:eastAsia="zh-CN"/>
        </w:rPr>
        <w:t>采购方</w:t>
      </w:r>
      <w:r>
        <w:rPr>
          <w:rFonts w:hint="eastAsia" w:ascii="仿宋" w:hAnsi="仿宋" w:eastAsia="仿宋" w:cs="仿宋"/>
          <w:color w:val="auto"/>
          <w:sz w:val="24"/>
          <w:szCs w:val="32"/>
          <w:highlight w:val="none"/>
        </w:rPr>
        <w:t>式：竞争性磋商 </w:t>
      </w:r>
    </w:p>
    <w:p w14:paraId="74EE5ED0">
      <w:pPr>
        <w:spacing w:line="360" w:lineRule="auto"/>
        <w:ind w:firstLine="480" w:firstLineChars="200"/>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预算金额（元）：</w:t>
      </w:r>
      <w:r>
        <w:rPr>
          <w:rFonts w:hint="eastAsia" w:ascii="仿宋" w:hAnsi="仿宋" w:eastAsia="仿宋" w:cs="仿宋"/>
          <w:color w:val="auto"/>
          <w:sz w:val="24"/>
          <w:szCs w:val="32"/>
          <w:highlight w:val="none"/>
          <w:lang w:val="en-US" w:eastAsia="zh-CN"/>
        </w:rPr>
        <w:t>200000.00</w:t>
      </w:r>
      <w:r>
        <w:rPr>
          <w:rFonts w:hint="eastAsia" w:ascii="仿宋" w:hAnsi="仿宋" w:eastAsia="仿宋" w:cs="仿宋"/>
          <w:color w:val="auto"/>
          <w:sz w:val="24"/>
          <w:szCs w:val="32"/>
          <w:highlight w:val="none"/>
        </w:rPr>
        <w:t>  </w:t>
      </w:r>
    </w:p>
    <w:p w14:paraId="49E6445D">
      <w:pPr>
        <w:spacing w:line="360" w:lineRule="auto"/>
        <w:ind w:firstLine="480" w:firstLineChars="200"/>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最高限价（元）：</w:t>
      </w:r>
      <w:r>
        <w:rPr>
          <w:rFonts w:hint="eastAsia" w:ascii="仿宋" w:hAnsi="仿宋" w:eastAsia="仿宋" w:cs="仿宋"/>
          <w:color w:val="auto"/>
          <w:sz w:val="24"/>
          <w:szCs w:val="32"/>
          <w:highlight w:val="none"/>
          <w:lang w:val="en-US" w:eastAsia="zh-CN"/>
        </w:rPr>
        <w:t>200000.00</w:t>
      </w:r>
      <w:r>
        <w:rPr>
          <w:rFonts w:hint="eastAsia" w:ascii="仿宋" w:hAnsi="仿宋" w:eastAsia="仿宋" w:cs="仿宋"/>
          <w:color w:val="auto"/>
          <w:sz w:val="24"/>
          <w:szCs w:val="32"/>
          <w:highlight w:val="none"/>
        </w:rPr>
        <w:t>  </w:t>
      </w:r>
    </w:p>
    <w:p w14:paraId="59F8CF59">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sz w:val="24"/>
          <w:szCs w:val="32"/>
          <w:highlight w:val="none"/>
          <w:lang w:eastAsia="zh-CN"/>
        </w:rPr>
        <w:t>简要规格描述：</w:t>
      </w:r>
      <w:r>
        <w:rPr>
          <w:rFonts w:hint="eastAsia" w:ascii="仿宋" w:hAnsi="仿宋" w:eastAsia="仿宋" w:cs="仿宋"/>
          <w:color w:val="auto"/>
          <w:sz w:val="24"/>
          <w:szCs w:val="32"/>
          <w:highlight w:val="none"/>
          <w:lang w:val="en-US" w:eastAsia="zh-CN"/>
        </w:rPr>
        <w:t>按时完成2025年度部门整体绩效评价、预算内所有项目绩效目标设定、绩效监控、绩效自评全过程绩效管理以及2026年预算申报绩效目标设置等咨询服务，并根据绩效审核情况提出相关意见建议，提供技术咨询、培训等各项绩效管理服务，以及预算管理等其他辅助性服务。</w:t>
      </w:r>
    </w:p>
    <w:p w14:paraId="63B12F32">
      <w:pPr>
        <w:spacing w:line="360" w:lineRule="auto"/>
        <w:ind w:firstLine="480" w:firstLineChars="200"/>
        <w:rPr>
          <w:rFonts w:hint="eastAsia" w:ascii="仿宋" w:hAnsi="仿宋" w:eastAsia="仿宋" w:cs="仿宋"/>
          <w:color w:val="auto"/>
          <w:sz w:val="24"/>
          <w:szCs w:val="32"/>
          <w:highlight w:val="none"/>
          <w:lang w:val="en-US" w:eastAsia="zh-CN"/>
        </w:rPr>
      </w:pPr>
      <w:r>
        <w:rPr>
          <w:rFonts w:hint="eastAsia" w:ascii="仿宋" w:hAnsi="仿宋" w:eastAsia="仿宋" w:cs="仿宋"/>
          <w:color w:val="auto"/>
          <w:sz w:val="24"/>
          <w:szCs w:val="32"/>
          <w:highlight w:val="none"/>
          <w:lang w:eastAsia="zh-CN"/>
        </w:rPr>
        <w:t>合同履约期限：自合同签订之日起至2026年绩效前期准备工作完成结束</w:t>
      </w:r>
      <w:r>
        <w:rPr>
          <w:rFonts w:hint="eastAsia" w:ascii="仿宋" w:hAnsi="仿宋" w:eastAsia="仿宋" w:cs="仿宋"/>
          <w:color w:val="auto"/>
          <w:sz w:val="24"/>
          <w:szCs w:val="32"/>
          <w:highlight w:val="none"/>
          <w:lang w:val="en-US" w:eastAsia="zh-CN"/>
        </w:rPr>
        <w:t>。</w:t>
      </w:r>
    </w:p>
    <w:p w14:paraId="1A7F6B74">
      <w:pPr>
        <w:spacing w:line="360" w:lineRule="auto"/>
        <w:ind w:firstLine="480" w:firstLineChars="200"/>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本项目（否）接受联合体投标。  </w:t>
      </w:r>
    </w:p>
    <w:p w14:paraId="05C8F6F8">
      <w:pPr>
        <w:spacing w:line="360" w:lineRule="auto"/>
        <w:rPr>
          <w:rFonts w:hint="eastAsia"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二、</w:t>
      </w:r>
      <w:r>
        <w:rPr>
          <w:rFonts w:hint="eastAsia" w:ascii="仿宋" w:hAnsi="仿宋" w:eastAsia="仿宋" w:cs="仿宋"/>
          <w:color w:val="auto"/>
          <w:sz w:val="24"/>
          <w:szCs w:val="32"/>
          <w:highlight w:val="none"/>
          <w:lang w:val="en-US" w:eastAsia="zh-CN"/>
        </w:rPr>
        <w:t>供应商</w:t>
      </w:r>
      <w:r>
        <w:rPr>
          <w:rFonts w:hint="eastAsia" w:ascii="仿宋" w:hAnsi="仿宋" w:eastAsia="仿宋" w:cs="仿宋"/>
          <w:color w:val="auto"/>
          <w:sz w:val="24"/>
          <w:szCs w:val="32"/>
          <w:highlight w:val="none"/>
          <w:lang w:eastAsia="zh-CN"/>
        </w:rPr>
        <w:t>的资格要求：</w:t>
      </w:r>
    </w:p>
    <w:p w14:paraId="049350F6">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1、满足《中华人民共和国政府采购法》第二十二条规定。</w:t>
      </w:r>
    </w:p>
    <w:p w14:paraId="27994FD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、供应商为</w:t>
      </w:r>
      <w:r>
        <w:rPr>
          <w:rFonts w:hint="eastAsia" w:ascii="仿宋" w:hAnsi="仿宋" w:eastAsia="仿宋" w:cs="仿宋"/>
          <w:color w:val="auto"/>
          <w:sz w:val="24"/>
          <w:szCs w:val="24"/>
          <w:highlight w:val="none"/>
          <w:lang w:val="en-US" w:eastAsia="zh-CN"/>
        </w:rPr>
        <w:t>中小</w:t>
      </w:r>
      <w:r>
        <w:rPr>
          <w:rFonts w:hint="eastAsia" w:ascii="仿宋" w:hAnsi="仿宋" w:eastAsia="仿宋" w:cs="仿宋"/>
          <w:color w:val="auto"/>
          <w:sz w:val="24"/>
          <w:szCs w:val="24"/>
          <w:highlight w:val="none"/>
        </w:rPr>
        <w:t>企业。</w:t>
      </w:r>
    </w:p>
    <w:p w14:paraId="516EF17D">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供应商如在“信用中国”网站（www.creditchina.gov.cn）、中国政府采购网（www.ccgp.gov.cn）等渠道被列入失信被执行人、重大税收违法失信主体、政府采购严重违法失信行为记录名单，尚在处罚期内的将被拒绝参加本次</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活动。</w:t>
      </w:r>
    </w:p>
    <w:p w14:paraId="6EBDAB1E">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三、获取采购文件</w:t>
      </w:r>
    </w:p>
    <w:p w14:paraId="5CA490D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32"/>
          <w:highlight w:val="none"/>
        </w:rPr>
        <w:t xml:space="preserve"> </w:t>
      </w:r>
      <w:r>
        <w:rPr>
          <w:rFonts w:hint="eastAsia" w:ascii="仿宋" w:hAnsi="仿宋" w:eastAsia="仿宋" w:cs="仿宋"/>
          <w:color w:val="auto"/>
          <w:sz w:val="24"/>
          <w:szCs w:val="24"/>
          <w:highlight w:val="none"/>
        </w:rPr>
        <w:t>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03</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日至202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03</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日，每天上午</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0:00至</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:00，下午</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:00至</w:t>
      </w: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59</w:t>
      </w:r>
      <w:r>
        <w:rPr>
          <w:rFonts w:hint="eastAsia" w:ascii="仿宋" w:hAnsi="仿宋" w:eastAsia="仿宋" w:cs="仿宋"/>
          <w:color w:val="auto"/>
          <w:sz w:val="24"/>
          <w:szCs w:val="24"/>
          <w:highlight w:val="none"/>
        </w:rPr>
        <w:t>（北京时间，法定节假日除外）</w:t>
      </w:r>
    </w:p>
    <w:p w14:paraId="60CD56F4">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    地点：政采云平台线上 </w:t>
      </w:r>
    </w:p>
    <w:p w14:paraId="1212387E">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2F1B0A1D">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    售价（元）： 0 </w:t>
      </w:r>
    </w:p>
    <w:p w14:paraId="208B3F0F">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四、响应文件提交 </w:t>
      </w:r>
    </w:p>
    <w:p w14:paraId="0DE7E119">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    截止时间：</w:t>
      </w:r>
      <w:r>
        <w:rPr>
          <w:rFonts w:hint="eastAsia" w:ascii="仿宋" w:hAnsi="仿宋" w:eastAsia="仿宋" w:cs="仿宋"/>
          <w:color w:val="auto"/>
          <w:sz w:val="24"/>
          <w:szCs w:val="32"/>
          <w:highlight w:val="none"/>
          <w:lang w:eastAsia="zh-CN"/>
        </w:rPr>
        <w:t>2025年04月03日 16:00</w:t>
      </w:r>
      <w:r>
        <w:rPr>
          <w:rFonts w:hint="eastAsia" w:ascii="仿宋" w:hAnsi="仿宋" w:eastAsia="仿宋" w:cs="仿宋"/>
          <w:color w:val="auto"/>
          <w:sz w:val="24"/>
          <w:szCs w:val="32"/>
          <w:highlight w:val="none"/>
        </w:rPr>
        <w:t>（北京时间）</w:t>
      </w:r>
    </w:p>
    <w:p w14:paraId="08B68E51">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    地点：请登录政采云投标客户端投标 </w:t>
      </w:r>
    </w:p>
    <w:p w14:paraId="06924241">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五、响应文件开启 </w:t>
      </w:r>
    </w:p>
    <w:p w14:paraId="63382B5A">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    开启时间：</w:t>
      </w:r>
      <w:r>
        <w:rPr>
          <w:rFonts w:hint="eastAsia" w:ascii="仿宋" w:hAnsi="仿宋" w:eastAsia="仿宋" w:cs="仿宋"/>
          <w:color w:val="auto"/>
          <w:sz w:val="24"/>
          <w:szCs w:val="32"/>
          <w:highlight w:val="none"/>
          <w:lang w:eastAsia="zh-CN"/>
        </w:rPr>
        <w:t>2025年04月03日 16:00</w:t>
      </w:r>
      <w:r>
        <w:rPr>
          <w:rFonts w:hint="eastAsia" w:ascii="仿宋" w:hAnsi="仿宋" w:eastAsia="仿宋" w:cs="仿宋"/>
          <w:color w:val="auto"/>
          <w:sz w:val="24"/>
          <w:szCs w:val="32"/>
          <w:highlight w:val="none"/>
        </w:rPr>
        <w:t> （北京时间）</w:t>
      </w:r>
    </w:p>
    <w:p w14:paraId="00AC3772">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    地点：政采云平台（https://www.zcygov.cn/） </w:t>
      </w:r>
    </w:p>
    <w:p w14:paraId="59DFE9F0">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六、公告期限</w:t>
      </w:r>
    </w:p>
    <w:p w14:paraId="685740CE">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    自本公告发布之日起3个工作日。</w:t>
      </w:r>
    </w:p>
    <w:p w14:paraId="044A6272">
      <w:pPr>
        <w:spacing w:line="360" w:lineRule="auto"/>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七、凡对本次招标提出询问，请按以下方式联系</w:t>
      </w:r>
    </w:p>
    <w:p w14:paraId="2D2E4433">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1.采购人信息</w:t>
      </w:r>
    </w:p>
    <w:p w14:paraId="0D144540">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lang w:eastAsia="zh-CN"/>
        </w:rPr>
        <w:t>新疆维吾尔自治区应急管理厅</w:t>
      </w:r>
    </w:p>
    <w:p w14:paraId="4E5819D5">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地 址：乌鲁木齐市六道湾路59号</w:t>
      </w:r>
    </w:p>
    <w:p w14:paraId="107AC6AD">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lang w:val="en-US" w:eastAsia="zh-CN"/>
        </w:rPr>
        <w:t>13669944889</w:t>
      </w:r>
    </w:p>
    <w:p w14:paraId="617BE83D">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p>
    <w:p w14:paraId="7306662D">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称：新疆新世纪招标有限公司</w:t>
      </w:r>
    </w:p>
    <w:p w14:paraId="2469E2F1">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址：乌鲁木齐市新兴街20号</w:t>
      </w:r>
    </w:p>
    <w:p w14:paraId="286E7414">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联系方式：18690890996</w:t>
      </w:r>
    </w:p>
    <w:p w14:paraId="0C78C3B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3.项目联系方式</w:t>
      </w:r>
    </w:p>
    <w:p w14:paraId="36A6DF71">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项目联系人：马丹阳</w:t>
      </w:r>
    </w:p>
    <w:p w14:paraId="595DEF7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default" w:ascii="仿宋" w:hAnsi="仿宋" w:eastAsia="仿宋" w:cs="仿宋"/>
          <w:color w:val="auto"/>
          <w:highlight w:val="none"/>
          <w:lang w:val="en-US"/>
        </w:rPr>
        <w:sectPr>
          <w:footerReference r:id="rId7" w:type="default"/>
          <w:pgSz w:w="11910" w:h="16840"/>
          <w:pgMar w:top="1460" w:right="1360" w:bottom="1380" w:left="1680" w:header="850" w:footer="850" w:gutter="0"/>
          <w:pgNumType w:start="1"/>
          <w:cols w:space="720" w:num="1"/>
        </w:sectPr>
      </w:pPr>
      <w:r>
        <w:rPr>
          <w:rFonts w:hint="eastAsia" w:ascii="仿宋" w:hAnsi="仿宋" w:eastAsia="仿宋" w:cs="仿宋"/>
          <w:color w:val="auto"/>
          <w:sz w:val="24"/>
          <w:szCs w:val="24"/>
          <w:highlight w:val="none"/>
        </w:rPr>
        <w:t>电 话：</w:t>
      </w:r>
      <w:r>
        <w:rPr>
          <w:rFonts w:hint="eastAsia" w:ascii="仿宋" w:hAnsi="仿宋" w:eastAsia="仿宋" w:cs="仿宋"/>
          <w:color w:val="auto"/>
          <w:sz w:val="24"/>
          <w:szCs w:val="24"/>
          <w:highlight w:val="none"/>
          <w:lang w:val="en-US" w:eastAsia="zh-CN"/>
        </w:rPr>
        <w:t>0991-4661782</w:t>
      </w:r>
    </w:p>
    <w:p w14:paraId="14D219AB">
      <w:pPr>
        <w:keepLines w:val="0"/>
        <w:pageBreakBefore w:val="0"/>
        <w:kinsoku/>
        <w:overflowPunct/>
        <w:topLinePunct w:val="0"/>
        <w:bidi w:val="0"/>
        <w:spacing w:beforeAutospacing="0" w:afterAutospacing="0" w:line="360" w:lineRule="auto"/>
        <w:jc w:val="center"/>
        <w:textAlignment w:val="auto"/>
        <w:outlineLvl w:val="0"/>
        <w:rPr>
          <w:rFonts w:hint="eastAsia" w:ascii="仿宋" w:hAnsi="仿宋" w:eastAsia="仿宋" w:cs="仿宋"/>
          <w:b/>
          <w:bCs/>
          <w:color w:val="auto"/>
          <w:sz w:val="24"/>
          <w:szCs w:val="24"/>
          <w:highlight w:val="none"/>
          <w:shd w:val="clear" w:color="auto" w:fill="FFFFFF" w:themeFill="background1"/>
        </w:rPr>
      </w:pPr>
      <w:bookmarkStart w:id="2" w:name="_Toc26675"/>
      <w:r>
        <w:rPr>
          <w:rFonts w:hint="eastAsia" w:ascii="仿宋" w:hAnsi="仿宋" w:eastAsia="仿宋" w:cs="仿宋"/>
          <w:b/>
          <w:color w:val="auto"/>
          <w:sz w:val="24"/>
          <w:szCs w:val="24"/>
          <w:highlight w:val="none"/>
          <w:shd w:val="clear" w:color="auto" w:fill="FFFFFF" w:themeFill="background1"/>
        </w:rPr>
        <w:t>供应商须知前附表</w:t>
      </w:r>
      <w:bookmarkEnd w:id="2"/>
    </w:p>
    <w:tbl>
      <w:tblPr>
        <w:tblStyle w:val="44"/>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795"/>
        <w:gridCol w:w="6688"/>
      </w:tblGrid>
      <w:tr w14:paraId="416BF1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14:paraId="1A6DB8CD">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b/>
                <w:color w:val="auto"/>
                <w:kern w:val="0"/>
                <w:szCs w:val="21"/>
                <w:highlight w:val="none"/>
                <w:shd w:val="clear" w:color="auto" w:fill="FFFFFF" w:themeFill="background1"/>
              </w:rPr>
            </w:pPr>
            <w:r>
              <w:rPr>
                <w:rFonts w:hint="eastAsia" w:ascii="仿宋" w:hAnsi="仿宋" w:eastAsia="仿宋" w:cs="仿宋"/>
                <w:b/>
                <w:color w:val="auto"/>
                <w:kern w:val="0"/>
                <w:szCs w:val="21"/>
                <w:highlight w:val="none"/>
                <w:shd w:val="clear" w:color="auto" w:fill="FFFFFF" w:themeFill="background1"/>
              </w:rPr>
              <w:t>项号</w:t>
            </w:r>
          </w:p>
        </w:tc>
        <w:tc>
          <w:tcPr>
            <w:tcW w:w="8483" w:type="dxa"/>
            <w:gridSpan w:val="2"/>
            <w:vAlign w:val="center"/>
          </w:tcPr>
          <w:p w14:paraId="1AFA99C3">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b/>
                <w:color w:val="auto"/>
                <w:kern w:val="0"/>
                <w:szCs w:val="21"/>
                <w:highlight w:val="none"/>
                <w:shd w:val="clear" w:color="auto" w:fill="FFFFFF" w:themeFill="background1"/>
              </w:rPr>
            </w:pPr>
            <w:r>
              <w:rPr>
                <w:rFonts w:hint="eastAsia" w:ascii="仿宋" w:hAnsi="仿宋" w:eastAsia="仿宋" w:cs="仿宋"/>
                <w:b/>
                <w:color w:val="auto"/>
                <w:kern w:val="0"/>
                <w:szCs w:val="21"/>
                <w:highlight w:val="none"/>
                <w:shd w:val="clear" w:color="auto" w:fill="FFFFFF" w:themeFill="background1"/>
              </w:rPr>
              <w:t>编列内容</w:t>
            </w:r>
          </w:p>
        </w:tc>
      </w:tr>
      <w:tr w14:paraId="535AA4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06C5A13C">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1</w:t>
            </w:r>
          </w:p>
        </w:tc>
        <w:tc>
          <w:tcPr>
            <w:tcW w:w="1795" w:type="dxa"/>
            <w:vAlign w:val="center"/>
          </w:tcPr>
          <w:p w14:paraId="0EEACE76">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sz w:val="24"/>
                <w:szCs w:val="32"/>
                <w:highlight w:val="none"/>
                <w:lang w:eastAsia="zh-CN"/>
              </w:rPr>
              <w:t>项目名称</w:t>
            </w:r>
          </w:p>
        </w:tc>
        <w:tc>
          <w:tcPr>
            <w:tcW w:w="6688" w:type="dxa"/>
            <w:vAlign w:val="center"/>
          </w:tcPr>
          <w:p w14:paraId="60BF47FD">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lang w:eastAsia="zh-CN"/>
              </w:rPr>
            </w:pPr>
            <w:r>
              <w:rPr>
                <w:rFonts w:hint="eastAsia" w:ascii="仿宋" w:hAnsi="仿宋" w:eastAsia="仿宋" w:cs="仿宋"/>
                <w:color w:val="auto"/>
                <w:kern w:val="0"/>
                <w:szCs w:val="21"/>
                <w:highlight w:val="none"/>
                <w:shd w:val="clear" w:color="auto" w:fill="FFFFFF" w:themeFill="background1"/>
                <w:lang w:eastAsia="zh-CN"/>
              </w:rPr>
              <w:t>自治区应急管理厅绩效监控评估项目</w:t>
            </w:r>
          </w:p>
        </w:tc>
      </w:tr>
      <w:tr w14:paraId="3F1C67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E986B96">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35BA6C0D">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项目编号</w:t>
            </w:r>
          </w:p>
        </w:tc>
        <w:tc>
          <w:tcPr>
            <w:tcW w:w="6688" w:type="dxa"/>
            <w:vAlign w:val="center"/>
          </w:tcPr>
          <w:p w14:paraId="57C93044">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default"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XSJ20250316</w:t>
            </w:r>
          </w:p>
        </w:tc>
      </w:tr>
      <w:tr w14:paraId="0AC48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2A700B30">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13646828">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采购人</w:t>
            </w:r>
          </w:p>
        </w:tc>
        <w:tc>
          <w:tcPr>
            <w:tcW w:w="6688" w:type="dxa"/>
            <w:vAlign w:val="center"/>
          </w:tcPr>
          <w:p w14:paraId="41142827">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lang w:eastAsia="zh-CN"/>
              </w:rPr>
            </w:pPr>
            <w:r>
              <w:rPr>
                <w:rFonts w:hint="eastAsia" w:ascii="仿宋" w:hAnsi="仿宋" w:eastAsia="仿宋" w:cs="仿宋"/>
                <w:color w:val="auto"/>
                <w:kern w:val="0"/>
                <w:szCs w:val="21"/>
                <w:highlight w:val="none"/>
                <w:shd w:val="clear" w:color="auto" w:fill="FFFFFF" w:themeFill="background1"/>
                <w:lang w:eastAsia="zh-CN"/>
              </w:rPr>
              <w:t>新疆维吾尔自治区应急管理厅</w:t>
            </w:r>
          </w:p>
        </w:tc>
      </w:tr>
      <w:tr w14:paraId="3872C6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C49F811">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06B07C8D">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采购代理机构</w:t>
            </w:r>
          </w:p>
        </w:tc>
        <w:tc>
          <w:tcPr>
            <w:tcW w:w="6688" w:type="dxa"/>
            <w:vAlign w:val="center"/>
          </w:tcPr>
          <w:p w14:paraId="15861286">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新疆新世纪招标有限公司</w:t>
            </w:r>
          </w:p>
        </w:tc>
      </w:tr>
      <w:tr w14:paraId="23D91F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266741A">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082F49EC">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项目地点</w:t>
            </w:r>
          </w:p>
        </w:tc>
        <w:tc>
          <w:tcPr>
            <w:tcW w:w="6688" w:type="dxa"/>
            <w:vAlign w:val="center"/>
          </w:tcPr>
          <w:p w14:paraId="2ECC1F14">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乌鲁木齐市</w:t>
            </w:r>
          </w:p>
        </w:tc>
      </w:tr>
      <w:tr w14:paraId="34C69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54766F2">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611CA29E">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sz w:val="24"/>
                <w:szCs w:val="32"/>
                <w:highlight w:val="none"/>
                <w:lang w:eastAsia="zh-CN"/>
              </w:rPr>
              <w:t>资金来源</w:t>
            </w:r>
          </w:p>
        </w:tc>
        <w:tc>
          <w:tcPr>
            <w:tcW w:w="6688" w:type="dxa"/>
            <w:vAlign w:val="center"/>
          </w:tcPr>
          <w:p w14:paraId="68627E31">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default" w:ascii="仿宋" w:hAnsi="仿宋" w:eastAsia="仿宋" w:cs="仿宋"/>
                <w:color w:val="auto"/>
                <w:kern w:val="0"/>
                <w:szCs w:val="21"/>
                <w:highlight w:val="none"/>
                <w:shd w:val="clear" w:color="auto" w:fill="FFFFFF" w:themeFill="background1"/>
                <w:lang w:val="en-US"/>
              </w:rPr>
            </w:pPr>
            <w:r>
              <w:rPr>
                <w:rFonts w:hint="default" w:ascii="仿宋" w:hAnsi="仿宋" w:eastAsia="仿宋" w:cs="仿宋"/>
                <w:color w:val="auto"/>
                <w:kern w:val="0"/>
                <w:szCs w:val="21"/>
                <w:highlight w:val="none"/>
                <w:shd w:val="clear" w:color="auto" w:fill="FFFFFF" w:themeFill="background1"/>
                <w:lang w:val="en-US"/>
              </w:rPr>
              <w:t>2025年安全生产及应急专项资金</w:t>
            </w:r>
          </w:p>
        </w:tc>
      </w:tr>
      <w:tr w14:paraId="3686B8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30A31DB4">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6D8FDBE9">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sz w:val="24"/>
                <w:szCs w:val="32"/>
                <w:highlight w:val="none"/>
                <w:lang w:eastAsia="zh-CN"/>
              </w:rPr>
              <w:t>采购预算金额</w:t>
            </w:r>
          </w:p>
        </w:tc>
        <w:tc>
          <w:tcPr>
            <w:tcW w:w="6688" w:type="dxa"/>
            <w:vAlign w:val="center"/>
          </w:tcPr>
          <w:p w14:paraId="1CB743F8">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20.00</w:t>
            </w:r>
            <w:r>
              <w:rPr>
                <w:rFonts w:hint="eastAsia" w:ascii="仿宋" w:hAnsi="仿宋" w:eastAsia="仿宋" w:cs="仿宋"/>
                <w:color w:val="auto"/>
                <w:kern w:val="0"/>
                <w:szCs w:val="21"/>
                <w:highlight w:val="none"/>
                <w:shd w:val="clear" w:color="auto" w:fill="FFFFFF" w:themeFill="background1"/>
              </w:rPr>
              <w:t>万元</w:t>
            </w:r>
          </w:p>
        </w:tc>
      </w:tr>
      <w:tr w14:paraId="16518B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64EE86AD">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64719623">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sz w:val="24"/>
                <w:szCs w:val="32"/>
                <w:highlight w:val="none"/>
                <w:lang w:eastAsia="zh-CN"/>
              </w:rPr>
              <w:t>服务周期</w:t>
            </w:r>
          </w:p>
        </w:tc>
        <w:tc>
          <w:tcPr>
            <w:tcW w:w="6688" w:type="dxa"/>
            <w:vAlign w:val="center"/>
          </w:tcPr>
          <w:p w14:paraId="2734ADCF">
            <w:pPr>
              <w:pStyle w:val="11"/>
              <w:keepLines w:val="0"/>
              <w:pageBreakBefore w:val="0"/>
              <w:kinsoku/>
              <w:wordWrap/>
              <w:overflowPunct/>
              <w:topLinePunct w:val="0"/>
              <w:autoSpaceDE/>
              <w:autoSpaceDN/>
              <w:bidi w:val="0"/>
              <w:adjustRightInd/>
              <w:snapToGrid/>
              <w:spacing w:line="288" w:lineRule="auto"/>
              <w:ind w:left="0" w:leftChars="0" w:firstLine="0" w:firstLineChars="0"/>
              <w:textAlignment w:val="auto"/>
              <w:rPr>
                <w:rFonts w:hint="eastAsia"/>
                <w:color w:val="auto"/>
                <w:highlight w:val="none"/>
              </w:rPr>
            </w:pPr>
            <w:r>
              <w:rPr>
                <w:rFonts w:hint="eastAsia" w:ascii="仿宋" w:hAnsi="仿宋" w:eastAsia="仿宋" w:cs="仿宋"/>
                <w:color w:val="auto"/>
                <w:kern w:val="0"/>
                <w:sz w:val="21"/>
                <w:szCs w:val="21"/>
                <w:highlight w:val="none"/>
                <w:shd w:val="clear" w:color="auto" w:fill="FFFFFF" w:themeFill="background1"/>
                <w:lang w:val="en-US" w:eastAsia="zh-CN" w:bidi="ar-SA"/>
              </w:rPr>
              <w:t>自合同签订之日起至2026年绩效前期准备工作完成结束</w:t>
            </w:r>
          </w:p>
        </w:tc>
      </w:tr>
      <w:tr w14:paraId="583789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BB5FB77">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5B32AC25">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sz w:val="24"/>
                <w:szCs w:val="32"/>
                <w:highlight w:val="none"/>
                <w:lang w:eastAsia="zh-CN"/>
              </w:rPr>
              <w:t>服务地点</w:t>
            </w:r>
          </w:p>
        </w:tc>
        <w:tc>
          <w:tcPr>
            <w:tcW w:w="6688" w:type="dxa"/>
            <w:vAlign w:val="center"/>
          </w:tcPr>
          <w:p w14:paraId="56B6CC3D">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采购人指定地点</w:t>
            </w:r>
          </w:p>
        </w:tc>
      </w:tr>
      <w:tr w14:paraId="1A1844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20" w:hRule="atLeast"/>
          <w:jc w:val="center"/>
        </w:trPr>
        <w:tc>
          <w:tcPr>
            <w:tcW w:w="597" w:type="dxa"/>
            <w:vAlign w:val="center"/>
          </w:tcPr>
          <w:p w14:paraId="3A35E2DE">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2</w:t>
            </w:r>
          </w:p>
        </w:tc>
        <w:tc>
          <w:tcPr>
            <w:tcW w:w="1795" w:type="dxa"/>
            <w:vAlign w:val="center"/>
          </w:tcPr>
          <w:p w14:paraId="67560C0E">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sz w:val="24"/>
                <w:szCs w:val="32"/>
                <w:highlight w:val="none"/>
                <w:lang w:eastAsia="zh-CN"/>
              </w:rPr>
              <w:t>采购范围</w:t>
            </w:r>
          </w:p>
        </w:tc>
        <w:tc>
          <w:tcPr>
            <w:tcW w:w="6688" w:type="dxa"/>
            <w:vAlign w:val="center"/>
          </w:tcPr>
          <w:p w14:paraId="5B1B9108">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eastAsia="zh-CN"/>
              </w:rPr>
              <w:t>自治区应急管理厅绩效监控评估项目</w:t>
            </w:r>
            <w:r>
              <w:rPr>
                <w:rFonts w:hint="eastAsia" w:ascii="仿宋" w:hAnsi="仿宋" w:eastAsia="仿宋" w:cs="仿宋"/>
                <w:color w:val="auto"/>
                <w:kern w:val="0"/>
                <w:szCs w:val="21"/>
                <w:highlight w:val="none"/>
              </w:rPr>
              <w:t>范围内的所有工作内容，关于招标范围的详细说明见</w:t>
            </w:r>
            <w:r>
              <w:rPr>
                <w:rFonts w:hint="eastAsia" w:ascii="仿宋" w:hAnsi="仿宋" w:eastAsia="仿宋" w:cs="仿宋"/>
                <w:color w:val="auto"/>
                <w:kern w:val="0"/>
                <w:szCs w:val="21"/>
                <w:highlight w:val="none"/>
                <w:lang w:val="en-US" w:eastAsia="zh-CN"/>
              </w:rPr>
              <w:t>磋商</w:t>
            </w:r>
            <w:r>
              <w:rPr>
                <w:rFonts w:hint="eastAsia" w:ascii="仿宋" w:hAnsi="仿宋" w:eastAsia="仿宋" w:cs="仿宋"/>
                <w:color w:val="auto"/>
                <w:kern w:val="0"/>
                <w:szCs w:val="21"/>
                <w:highlight w:val="none"/>
              </w:rPr>
              <w:t>文件第四章“</w:t>
            </w:r>
            <w:r>
              <w:rPr>
                <w:rFonts w:hint="eastAsia" w:ascii="仿宋" w:hAnsi="仿宋" w:eastAsia="仿宋" w:cs="仿宋"/>
                <w:color w:val="auto"/>
                <w:kern w:val="0"/>
                <w:szCs w:val="21"/>
                <w:highlight w:val="none"/>
                <w:lang w:eastAsia="zh-CN"/>
              </w:rPr>
              <w:t>服务标准和要求</w:t>
            </w:r>
            <w:r>
              <w:rPr>
                <w:rFonts w:hint="eastAsia" w:ascii="仿宋" w:hAnsi="仿宋" w:eastAsia="仿宋" w:cs="仿宋"/>
                <w:color w:val="auto"/>
                <w:kern w:val="0"/>
                <w:szCs w:val="21"/>
                <w:highlight w:val="none"/>
              </w:rPr>
              <w:t>”。</w:t>
            </w:r>
          </w:p>
        </w:tc>
      </w:tr>
      <w:tr w14:paraId="719C30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2AFE0A92">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3</w:t>
            </w:r>
          </w:p>
        </w:tc>
        <w:tc>
          <w:tcPr>
            <w:tcW w:w="1795" w:type="dxa"/>
            <w:vAlign w:val="center"/>
          </w:tcPr>
          <w:p w14:paraId="64C90BED">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采购</w:t>
            </w:r>
            <w:r>
              <w:rPr>
                <w:rFonts w:hint="eastAsia" w:ascii="仿宋" w:hAnsi="仿宋" w:eastAsia="仿宋" w:cs="仿宋"/>
                <w:color w:val="auto"/>
                <w:kern w:val="0"/>
                <w:szCs w:val="21"/>
                <w:highlight w:val="none"/>
                <w:lang w:val="en-US" w:eastAsia="zh-CN"/>
              </w:rPr>
              <w:t>方</w:t>
            </w:r>
            <w:r>
              <w:rPr>
                <w:rFonts w:hint="eastAsia" w:ascii="仿宋" w:hAnsi="仿宋" w:eastAsia="仿宋" w:cs="仿宋"/>
                <w:color w:val="auto"/>
                <w:kern w:val="0"/>
                <w:szCs w:val="21"/>
                <w:highlight w:val="none"/>
              </w:rPr>
              <w:t>式</w:t>
            </w:r>
          </w:p>
        </w:tc>
        <w:tc>
          <w:tcPr>
            <w:tcW w:w="6688" w:type="dxa"/>
            <w:vAlign w:val="center"/>
          </w:tcPr>
          <w:p w14:paraId="526E1ACD">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竞争性磋商</w:t>
            </w:r>
          </w:p>
        </w:tc>
      </w:tr>
      <w:tr w14:paraId="22ED07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AADD9C5">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1AC6DFB1">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资格审查方式</w:t>
            </w:r>
          </w:p>
        </w:tc>
        <w:tc>
          <w:tcPr>
            <w:tcW w:w="6688" w:type="dxa"/>
            <w:vAlign w:val="center"/>
          </w:tcPr>
          <w:p w14:paraId="1C2C4475">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资格后审</w:t>
            </w:r>
          </w:p>
        </w:tc>
      </w:tr>
      <w:tr w14:paraId="794D43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01F15AD8">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4</w:t>
            </w:r>
          </w:p>
        </w:tc>
        <w:tc>
          <w:tcPr>
            <w:tcW w:w="1795" w:type="dxa"/>
            <w:vAlign w:val="center"/>
          </w:tcPr>
          <w:p w14:paraId="6D4EC0C0">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评审办法</w:t>
            </w:r>
          </w:p>
        </w:tc>
        <w:tc>
          <w:tcPr>
            <w:tcW w:w="6688" w:type="dxa"/>
            <w:vAlign w:val="center"/>
          </w:tcPr>
          <w:p w14:paraId="54CB908E">
            <w:pPr>
              <w:keepNext/>
              <w:keepLines w:val="0"/>
              <w:pageBreakBefore w:val="0"/>
              <w:widowControl/>
              <w:kinsoku/>
              <w:wordWrap/>
              <w:overflowPunct/>
              <w:topLinePunct w:val="0"/>
              <w:autoSpaceDE/>
              <w:autoSpaceDN/>
              <w:bidi w:val="0"/>
              <w:adjustRightInd/>
              <w:snapToGrid/>
              <w:spacing w:beforeAutospacing="0" w:afterAutospacing="0" w:line="288" w:lineRule="auto"/>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综合评分法</w:t>
            </w:r>
          </w:p>
        </w:tc>
      </w:tr>
      <w:tr w14:paraId="00110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6A847145">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795" w:type="dxa"/>
            <w:vAlign w:val="center"/>
          </w:tcPr>
          <w:p w14:paraId="53B42C4B">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定标方法</w:t>
            </w:r>
          </w:p>
        </w:tc>
        <w:tc>
          <w:tcPr>
            <w:tcW w:w="6688" w:type="dxa"/>
            <w:vAlign w:val="center"/>
          </w:tcPr>
          <w:p w14:paraId="2007F464">
            <w:pPr>
              <w:keepNext/>
              <w:keepLines w:val="0"/>
              <w:pageBreakBefore w:val="0"/>
              <w:widowControl/>
              <w:kinsoku/>
              <w:wordWrap/>
              <w:overflowPunct/>
              <w:topLinePunct w:val="0"/>
              <w:autoSpaceDE/>
              <w:autoSpaceDN/>
              <w:bidi w:val="0"/>
              <w:adjustRightInd/>
              <w:snapToGrid/>
              <w:spacing w:beforeAutospacing="0" w:afterAutospacing="0" w:line="288" w:lineRule="auto"/>
              <w:textAlignment w:val="auto"/>
              <w:rPr>
                <w:rFonts w:hint="eastAsia" w:ascii="仿宋" w:hAnsi="仿宋" w:eastAsia="仿宋" w:cs="仿宋"/>
                <w:color w:val="auto"/>
                <w:kern w:val="0"/>
                <w:szCs w:val="21"/>
                <w:highlight w:val="none"/>
                <w:shd w:val="clear" w:color="auto" w:fill="FFFFFF" w:themeFill="background1"/>
                <w:lang w:eastAsia="zh-CN"/>
              </w:rPr>
            </w:pPr>
            <w:r>
              <w:rPr>
                <w:rFonts w:hint="eastAsia" w:ascii="仿宋" w:hAnsi="仿宋" w:eastAsia="仿宋" w:cs="仿宋"/>
                <w:color w:val="auto"/>
                <w:kern w:val="0"/>
                <w:szCs w:val="21"/>
                <w:highlight w:val="none"/>
                <w:shd w:val="clear" w:color="auto" w:fill="FFFFFF" w:themeFill="background1"/>
              </w:rPr>
              <w:t>磋商小组推荐三名</w:t>
            </w:r>
            <w:r>
              <w:rPr>
                <w:rFonts w:hint="eastAsia" w:ascii="仿宋" w:hAnsi="仿宋" w:eastAsia="仿宋" w:cs="仿宋"/>
                <w:color w:val="auto"/>
                <w:kern w:val="0"/>
                <w:szCs w:val="21"/>
                <w:highlight w:val="none"/>
                <w:shd w:val="clear" w:color="auto" w:fill="FFFFFF" w:themeFill="background1"/>
                <w:lang w:eastAsia="zh-CN"/>
              </w:rPr>
              <w:t>成交候选人</w:t>
            </w:r>
          </w:p>
        </w:tc>
      </w:tr>
      <w:tr w14:paraId="2579F1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58" w:hRule="atLeast"/>
          <w:jc w:val="center"/>
        </w:trPr>
        <w:tc>
          <w:tcPr>
            <w:tcW w:w="597" w:type="dxa"/>
            <w:vAlign w:val="center"/>
          </w:tcPr>
          <w:p w14:paraId="6757C636">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5</w:t>
            </w:r>
          </w:p>
        </w:tc>
        <w:tc>
          <w:tcPr>
            <w:tcW w:w="1795" w:type="dxa"/>
            <w:vAlign w:val="center"/>
          </w:tcPr>
          <w:p w14:paraId="485FF8B8">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供应商最低资格条件</w:t>
            </w:r>
          </w:p>
        </w:tc>
        <w:tc>
          <w:tcPr>
            <w:tcW w:w="6688" w:type="dxa"/>
            <w:vAlign w:val="center"/>
          </w:tcPr>
          <w:p w14:paraId="107E560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1、满足《中华人民共和国政府采购法》第二十二条规定。</w:t>
            </w:r>
          </w:p>
          <w:p w14:paraId="7F65A0F9">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2、供应商为中小企业。</w:t>
            </w:r>
          </w:p>
          <w:p w14:paraId="3FA5DAC3">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shd w:val="clear" w:color="auto" w:fill="FFFFFF" w:themeFill="background1"/>
                <w:lang w:val="en-US" w:eastAsia="zh-CN"/>
              </w:rPr>
              <w:t>3、供应商如在“信用中国”网站（www.creditchina.gov.cn）、中国政府采购网（www.ccgp.gov.cn）等渠道被列入失信被执行人、重大税收违法失信主体、政府采购严重违法失信行为记录名单，尚在处罚期内的将被拒绝参加本次采购活动。</w:t>
            </w:r>
          </w:p>
        </w:tc>
      </w:tr>
      <w:tr w14:paraId="2A072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58" w:hRule="atLeast"/>
          <w:jc w:val="center"/>
        </w:trPr>
        <w:tc>
          <w:tcPr>
            <w:tcW w:w="597" w:type="dxa"/>
            <w:vAlign w:val="center"/>
          </w:tcPr>
          <w:p w14:paraId="6BC4E3AA">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6</w:t>
            </w:r>
          </w:p>
        </w:tc>
        <w:tc>
          <w:tcPr>
            <w:tcW w:w="1795" w:type="dxa"/>
            <w:vAlign w:val="center"/>
          </w:tcPr>
          <w:p w14:paraId="310A4EDE">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供应商不得存在的情形</w:t>
            </w:r>
          </w:p>
        </w:tc>
        <w:tc>
          <w:tcPr>
            <w:tcW w:w="6688" w:type="dxa"/>
            <w:vAlign w:val="center"/>
          </w:tcPr>
          <w:p w14:paraId="514359A7">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1、</w:t>
            </w:r>
            <w:r>
              <w:rPr>
                <w:rFonts w:hint="eastAsia" w:ascii="仿宋" w:hAnsi="仿宋" w:eastAsia="仿宋" w:cs="仿宋"/>
                <w:color w:val="auto"/>
                <w:kern w:val="0"/>
                <w:szCs w:val="21"/>
                <w:highlight w:val="none"/>
                <w:shd w:val="clear" w:color="auto" w:fill="FFFFFF" w:themeFill="background1"/>
              </w:rPr>
              <w:t>本项目不接受联合体。</w:t>
            </w:r>
          </w:p>
          <w:p w14:paraId="6F8CAB4E">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88" w:lineRule="auto"/>
              <w:ind w:leftChars="0"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2、</w:t>
            </w:r>
            <w:r>
              <w:rPr>
                <w:rFonts w:hint="eastAsia" w:ascii="仿宋" w:hAnsi="仿宋" w:eastAsia="仿宋" w:cs="仿宋"/>
                <w:color w:val="auto"/>
                <w:kern w:val="0"/>
                <w:szCs w:val="21"/>
                <w:highlight w:val="none"/>
                <w:shd w:val="clear" w:color="auto" w:fill="FFFFFF" w:themeFill="background1"/>
              </w:rPr>
              <w:t>为采购项目提供整体设计、规范编制或者项目管理、监理、检测等服务的供应商，不得再参加该采购项目的其他采购活动</w:t>
            </w:r>
            <w:r>
              <w:rPr>
                <w:rFonts w:hint="eastAsia" w:ascii="仿宋" w:hAnsi="仿宋" w:eastAsia="仿宋" w:cs="仿宋"/>
                <w:color w:val="auto"/>
                <w:kern w:val="0"/>
                <w:szCs w:val="21"/>
                <w:highlight w:val="none"/>
                <w:shd w:val="clear" w:color="auto" w:fill="FFFFFF" w:themeFill="background1"/>
                <w:lang w:eastAsia="zh-CN"/>
              </w:rPr>
              <w:t>。</w:t>
            </w:r>
          </w:p>
          <w:p w14:paraId="58819D95">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kern w:val="0"/>
                <w:szCs w:val="21"/>
                <w:highlight w:val="none"/>
                <w:shd w:val="clear" w:color="auto" w:fill="FFFFFF" w:themeFill="background1"/>
                <w:lang w:val="en-US" w:eastAsia="zh-CN"/>
              </w:rPr>
              <w:t>3、</w:t>
            </w:r>
            <w:r>
              <w:rPr>
                <w:rFonts w:hint="eastAsia" w:ascii="仿宋" w:hAnsi="仿宋" w:eastAsia="仿宋" w:cs="仿宋"/>
                <w:color w:val="auto"/>
                <w:kern w:val="0"/>
                <w:szCs w:val="21"/>
                <w:highlight w:val="none"/>
                <w:shd w:val="clear" w:color="auto" w:fill="FFFFFF" w:themeFill="background1"/>
              </w:rPr>
              <w:t>单位负责人为同一人或者存在直接控股、管理关系的不同供应商不得参加本项目同一包的采购活动。</w:t>
            </w:r>
          </w:p>
          <w:p w14:paraId="4B996FC8">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88" w:lineRule="auto"/>
              <w:ind w:leftChars="0" w:firstLine="420" w:firstLineChars="200"/>
              <w:jc w:val="left"/>
              <w:textAlignment w:val="auto"/>
              <w:rPr>
                <w:rFonts w:hint="eastAsia" w:ascii="仿宋" w:hAnsi="仿宋" w:eastAsia="仿宋" w:cs="仿宋"/>
                <w:color w:val="auto"/>
                <w:kern w:val="0"/>
                <w:szCs w:val="21"/>
                <w:highlight w:val="none"/>
                <w:shd w:val="clear" w:color="auto" w:fill="FFFFFF" w:themeFill="background1"/>
                <w:lang w:eastAsia="zh-CN"/>
              </w:rPr>
            </w:pPr>
            <w:r>
              <w:rPr>
                <w:rFonts w:hint="eastAsia" w:ascii="仿宋" w:hAnsi="仿宋" w:eastAsia="仿宋" w:cs="仿宋"/>
                <w:color w:val="auto"/>
                <w:kern w:val="0"/>
                <w:szCs w:val="21"/>
                <w:highlight w:val="none"/>
                <w:shd w:val="clear" w:color="auto" w:fill="FFFFFF" w:themeFill="background1"/>
                <w:lang w:val="en-US" w:eastAsia="zh-CN"/>
              </w:rPr>
              <w:t>4、</w:t>
            </w:r>
            <w:r>
              <w:rPr>
                <w:rFonts w:hint="eastAsia" w:ascii="仿宋" w:hAnsi="仿宋" w:eastAsia="仿宋" w:cs="仿宋"/>
                <w:color w:val="auto"/>
                <w:kern w:val="0"/>
                <w:szCs w:val="21"/>
                <w:highlight w:val="none"/>
                <w:shd w:val="clear" w:color="auto" w:fill="FFFFFF" w:themeFill="background1"/>
              </w:rPr>
              <w:t>供应商处于被责令停业、财产被接管、冻结和破产状态，以及投标资格被取消或者被暂停且在暂停期内</w:t>
            </w:r>
            <w:r>
              <w:rPr>
                <w:rFonts w:hint="eastAsia" w:ascii="仿宋" w:hAnsi="仿宋" w:eastAsia="仿宋" w:cs="仿宋"/>
                <w:color w:val="auto"/>
                <w:kern w:val="0"/>
                <w:szCs w:val="21"/>
                <w:highlight w:val="none"/>
                <w:shd w:val="clear" w:color="auto" w:fill="FFFFFF" w:themeFill="background1"/>
                <w:lang w:eastAsia="zh-CN"/>
              </w:rPr>
              <w:t>。</w:t>
            </w:r>
          </w:p>
          <w:p w14:paraId="618CDE6E">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288" w:lineRule="auto"/>
              <w:ind w:leftChars="0" w:firstLine="420" w:firstLineChars="200"/>
              <w:jc w:val="left"/>
              <w:textAlignment w:val="auto"/>
              <w:rPr>
                <w:rFonts w:hint="eastAsia" w:ascii="仿宋" w:hAnsi="仿宋" w:eastAsia="仿宋" w:cs="仿宋"/>
                <w:color w:val="auto"/>
                <w:kern w:val="0"/>
                <w:szCs w:val="21"/>
                <w:highlight w:val="none"/>
                <w:shd w:val="clear" w:color="auto" w:fill="FFFFFF" w:themeFill="background1"/>
                <w:lang w:eastAsia="zh-CN"/>
              </w:rPr>
            </w:pPr>
            <w:r>
              <w:rPr>
                <w:rFonts w:hint="eastAsia" w:ascii="仿宋" w:hAnsi="仿宋" w:eastAsia="仿宋" w:cs="仿宋"/>
                <w:color w:val="auto"/>
                <w:kern w:val="0"/>
                <w:szCs w:val="21"/>
                <w:highlight w:val="none"/>
                <w:shd w:val="clear" w:color="auto" w:fill="FFFFFF" w:themeFill="background1"/>
                <w:lang w:val="en-US" w:eastAsia="zh-CN"/>
              </w:rPr>
              <w:t>5、法律法规及磋商文件规定的其他情形。</w:t>
            </w:r>
          </w:p>
        </w:tc>
      </w:tr>
      <w:tr w14:paraId="54BCC9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58" w:hRule="atLeast"/>
          <w:jc w:val="center"/>
        </w:trPr>
        <w:tc>
          <w:tcPr>
            <w:tcW w:w="597" w:type="dxa"/>
            <w:vAlign w:val="center"/>
          </w:tcPr>
          <w:p w14:paraId="6655E44E">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7</w:t>
            </w:r>
          </w:p>
        </w:tc>
        <w:tc>
          <w:tcPr>
            <w:tcW w:w="1795" w:type="dxa"/>
            <w:vAlign w:val="center"/>
          </w:tcPr>
          <w:p w14:paraId="4B54D09D">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竞争性磋商文件费</w:t>
            </w:r>
          </w:p>
        </w:tc>
        <w:tc>
          <w:tcPr>
            <w:tcW w:w="6688" w:type="dxa"/>
            <w:vAlign w:val="center"/>
          </w:tcPr>
          <w:p w14:paraId="065F430A">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0元</w:t>
            </w:r>
          </w:p>
        </w:tc>
      </w:tr>
      <w:tr w14:paraId="4F3691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86F4305">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8</w:t>
            </w:r>
          </w:p>
        </w:tc>
        <w:tc>
          <w:tcPr>
            <w:tcW w:w="1795" w:type="dxa"/>
            <w:vAlign w:val="center"/>
          </w:tcPr>
          <w:p w14:paraId="48AC4421">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磋商保证金</w:t>
            </w:r>
          </w:p>
        </w:tc>
        <w:tc>
          <w:tcPr>
            <w:tcW w:w="6688" w:type="dxa"/>
            <w:vAlign w:val="center"/>
          </w:tcPr>
          <w:p w14:paraId="07FC9D1F">
            <w:pPr>
              <w:keepNext/>
              <w:keepLines w:val="0"/>
              <w:pageBreakBefore w:val="0"/>
              <w:widowControl/>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肆仟元整</w:t>
            </w:r>
            <w:r>
              <w:rPr>
                <w:rFonts w:hint="eastAsia" w:ascii="仿宋" w:hAnsi="仿宋" w:eastAsia="仿宋" w:cs="仿宋"/>
                <w:color w:val="auto"/>
                <w:kern w:val="0"/>
                <w:szCs w:val="21"/>
                <w:highlight w:val="none"/>
                <w:shd w:val="clear" w:color="auto" w:fill="FFFFFF" w:themeFill="background1"/>
              </w:rPr>
              <w:t>（详见第一章3.4.2条）</w:t>
            </w:r>
          </w:p>
        </w:tc>
      </w:tr>
      <w:tr w14:paraId="26300E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445F2421">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9</w:t>
            </w:r>
          </w:p>
        </w:tc>
        <w:tc>
          <w:tcPr>
            <w:tcW w:w="1795" w:type="dxa"/>
            <w:vAlign w:val="center"/>
          </w:tcPr>
          <w:p w14:paraId="44C84449">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现场踏勘</w:t>
            </w:r>
          </w:p>
        </w:tc>
        <w:tc>
          <w:tcPr>
            <w:tcW w:w="6688" w:type="dxa"/>
            <w:vAlign w:val="center"/>
          </w:tcPr>
          <w:p w14:paraId="40FEEC5A">
            <w:pPr>
              <w:keepNext/>
              <w:keepLines w:val="0"/>
              <w:pageBreakBefore w:val="0"/>
              <w:widowControl/>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不组织</w:t>
            </w:r>
          </w:p>
        </w:tc>
      </w:tr>
      <w:tr w14:paraId="6D25E2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200811B">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10</w:t>
            </w:r>
          </w:p>
        </w:tc>
        <w:tc>
          <w:tcPr>
            <w:tcW w:w="1795" w:type="dxa"/>
            <w:vAlign w:val="center"/>
          </w:tcPr>
          <w:p w14:paraId="169C4583">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采购答疑</w:t>
            </w:r>
          </w:p>
        </w:tc>
        <w:tc>
          <w:tcPr>
            <w:tcW w:w="6688" w:type="dxa"/>
            <w:vAlign w:val="center"/>
          </w:tcPr>
          <w:p w14:paraId="4A55FE58">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1、</w:t>
            </w:r>
            <w:r>
              <w:rPr>
                <w:rFonts w:hint="eastAsia" w:ascii="仿宋" w:hAnsi="仿宋" w:eastAsia="仿宋" w:cs="仿宋"/>
                <w:color w:val="auto"/>
                <w:kern w:val="0"/>
                <w:szCs w:val="21"/>
                <w:highlight w:val="none"/>
                <w:shd w:val="clear" w:color="auto" w:fill="FFFFFF" w:themeFill="background1"/>
              </w:rPr>
              <w:t>提出询问的，应当在响应文件递交截止时间6日前以书面形式（加盖公章）递交至新疆新世纪招标有限公司，否则采购人不作任何解释。</w:t>
            </w:r>
          </w:p>
          <w:p w14:paraId="6470F1EB">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2、</w:t>
            </w:r>
            <w:r>
              <w:rPr>
                <w:rFonts w:hint="eastAsia" w:ascii="仿宋" w:hAnsi="仿宋" w:eastAsia="仿宋" w:cs="仿宋"/>
                <w:color w:val="auto"/>
                <w:kern w:val="0"/>
                <w:szCs w:val="21"/>
                <w:highlight w:val="none"/>
                <w:shd w:val="clear" w:color="auto" w:fill="FFFFFF" w:themeFill="background1"/>
              </w:rPr>
              <w:t>对磋商文件提出质疑的，应当在获取磋商文件或者磋商文件公告期限届满之日起7个工作日内一次性以书面形式（按照财政部制定的质疑函范本编写）提出并递交至采购代理机构。</w:t>
            </w:r>
          </w:p>
          <w:p w14:paraId="7428BD69">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质疑接收人：马丹阳；联系方式：0991-4661782。</w:t>
            </w:r>
          </w:p>
          <w:p w14:paraId="2A5BEB3E">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3、</w:t>
            </w:r>
            <w:r>
              <w:rPr>
                <w:rFonts w:hint="eastAsia" w:ascii="仿宋" w:hAnsi="仿宋" w:eastAsia="仿宋" w:cs="仿宋"/>
                <w:color w:val="auto"/>
                <w:kern w:val="0"/>
                <w:szCs w:val="21"/>
                <w:highlight w:val="none"/>
                <w:shd w:val="clear" w:color="auto" w:fill="FFFFFF" w:themeFill="background1"/>
              </w:rPr>
              <w:t>注：①、供应商必须在法定质疑期内一次性提出针对同一采购程序环节的质疑；供应商投诉的事项不得超出已质疑事项的范围。②、供应商在国家法律规定的时间内未提出书面疑问，视为对磋商文件的服务要求、资格条件、评审方法、合同文本等所有内容无异议。</w:t>
            </w:r>
          </w:p>
        </w:tc>
      </w:tr>
      <w:tr w14:paraId="1A9021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77E9F67A">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11</w:t>
            </w:r>
          </w:p>
        </w:tc>
        <w:tc>
          <w:tcPr>
            <w:tcW w:w="1795" w:type="dxa"/>
            <w:vAlign w:val="center"/>
          </w:tcPr>
          <w:p w14:paraId="1D628814">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响应文件份数</w:t>
            </w:r>
          </w:p>
        </w:tc>
        <w:tc>
          <w:tcPr>
            <w:tcW w:w="6688" w:type="dxa"/>
            <w:vAlign w:val="center"/>
          </w:tcPr>
          <w:p w14:paraId="268AC804">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 xml:space="preserve">1、本次采购采用电子交易方式，电子交易平台为“政采云平台（https://www.zcygov.cn/）”。供应商参与本项目电子交易活动前，应注册成为政府采购云平台正式供应商。编制电子响应文件前还需申领CA证书并绑定帐号。供应商应充分考虑完成平台注册、申领CA证书等所需的时间。因未注册入库、未办理CA数字证书等原因造成无法投标或投标失败等后果由供应商自行承担。 </w:t>
            </w:r>
          </w:p>
          <w:p w14:paraId="70D29E55">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2、加密的电子响应文件须在响应文件递交截止时间前通过政采云平台上传完成。逾期上传或者未上传至指定地点的响应文件，不予受理。</w:t>
            </w:r>
          </w:p>
          <w:p w14:paraId="218222AE">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3</w:t>
            </w:r>
            <w:r>
              <w:rPr>
                <w:rFonts w:hint="eastAsia" w:ascii="仿宋" w:hAnsi="仿宋" w:eastAsia="仿宋" w:cs="仿宋"/>
                <w:color w:val="auto"/>
                <w:kern w:val="0"/>
                <w:szCs w:val="21"/>
                <w:highlight w:val="none"/>
                <w:shd w:val="clear" w:color="auto" w:fill="FFFFFF" w:themeFill="background1"/>
              </w:rPr>
              <w:t>、供应商在开标前须提前配置好电脑浏览器，开标时请使用制作加密电子响应文件的CA锁进行解密及报价确认。本项目响应文件解密时间定为30分钟，如因自身原因导致无法正常解密，后果由供应商自行承担。</w:t>
            </w:r>
          </w:p>
          <w:p w14:paraId="0D4559E6">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4</w:t>
            </w:r>
            <w:r>
              <w:rPr>
                <w:rFonts w:hint="eastAsia" w:ascii="仿宋" w:hAnsi="仿宋" w:eastAsia="仿宋" w:cs="仿宋"/>
                <w:color w:val="auto"/>
                <w:kern w:val="0"/>
                <w:szCs w:val="21"/>
                <w:highlight w:val="none"/>
                <w:shd w:val="clear" w:color="auto" w:fill="FFFFFF" w:themeFill="background1"/>
              </w:rPr>
              <w:t>、如遇电子交易平台的交易规则调整，以最新要求为准。</w:t>
            </w:r>
          </w:p>
        </w:tc>
      </w:tr>
      <w:tr w14:paraId="28E393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C64168C">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12</w:t>
            </w:r>
          </w:p>
        </w:tc>
        <w:tc>
          <w:tcPr>
            <w:tcW w:w="1795" w:type="dxa"/>
            <w:vAlign w:val="center"/>
          </w:tcPr>
          <w:p w14:paraId="74508152">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响应文件递交</w:t>
            </w:r>
          </w:p>
        </w:tc>
        <w:tc>
          <w:tcPr>
            <w:tcW w:w="6688" w:type="dxa"/>
            <w:vAlign w:val="center"/>
          </w:tcPr>
          <w:p w14:paraId="17279A3B">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截止时间：</w:t>
            </w:r>
            <w:r>
              <w:rPr>
                <w:rFonts w:hint="eastAsia" w:ascii="仿宋" w:hAnsi="仿宋" w:eastAsia="仿宋" w:cs="仿宋"/>
                <w:color w:val="auto"/>
                <w:kern w:val="0"/>
                <w:szCs w:val="21"/>
                <w:highlight w:val="none"/>
                <w:u w:val="single"/>
                <w:shd w:val="clear" w:color="auto" w:fill="FFFFFF" w:themeFill="background1"/>
                <w:lang w:eastAsia="zh-CN"/>
              </w:rPr>
              <w:t>2025年04月03日 16:00</w:t>
            </w:r>
            <w:r>
              <w:rPr>
                <w:rFonts w:hint="eastAsia" w:ascii="仿宋" w:hAnsi="仿宋" w:eastAsia="仿宋" w:cs="仿宋"/>
                <w:color w:val="auto"/>
                <w:kern w:val="0"/>
                <w:szCs w:val="21"/>
                <w:highlight w:val="none"/>
                <w:shd w:val="clear" w:color="auto" w:fill="FFFFFF" w:themeFill="background1"/>
              </w:rPr>
              <w:t>（北京时间）</w:t>
            </w:r>
          </w:p>
          <w:p w14:paraId="5A713D17">
            <w:pPr>
              <w:keepNext/>
              <w:keepLines w:val="0"/>
              <w:pageBreakBefore w:val="0"/>
              <w:widowControl/>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递交地点：政采云平台（https://www.zcygov.cn/）</w:t>
            </w:r>
          </w:p>
        </w:tc>
      </w:tr>
      <w:tr w14:paraId="663C38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0D2BBAE">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13</w:t>
            </w:r>
          </w:p>
        </w:tc>
        <w:tc>
          <w:tcPr>
            <w:tcW w:w="1795" w:type="dxa"/>
            <w:vAlign w:val="center"/>
          </w:tcPr>
          <w:p w14:paraId="3FC9C065">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开标</w:t>
            </w:r>
          </w:p>
        </w:tc>
        <w:tc>
          <w:tcPr>
            <w:tcW w:w="6688" w:type="dxa"/>
            <w:vAlign w:val="center"/>
          </w:tcPr>
          <w:p w14:paraId="32BE090B">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u w:val="singl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时间：</w:t>
            </w:r>
            <w:r>
              <w:rPr>
                <w:rFonts w:hint="eastAsia" w:ascii="仿宋" w:hAnsi="仿宋" w:eastAsia="仿宋" w:cs="仿宋"/>
                <w:color w:val="auto"/>
                <w:kern w:val="0"/>
                <w:szCs w:val="21"/>
                <w:highlight w:val="none"/>
                <w:u w:val="single"/>
                <w:shd w:val="clear" w:color="auto" w:fill="FFFFFF" w:themeFill="background1"/>
                <w:lang w:eastAsia="zh-CN"/>
              </w:rPr>
              <w:t>2025年04月03日 16:00</w:t>
            </w:r>
            <w:r>
              <w:rPr>
                <w:rFonts w:hint="eastAsia" w:ascii="仿宋" w:hAnsi="仿宋" w:eastAsia="仿宋" w:cs="仿宋"/>
                <w:color w:val="auto"/>
                <w:kern w:val="0"/>
                <w:szCs w:val="21"/>
                <w:highlight w:val="none"/>
                <w:shd w:val="clear" w:color="auto" w:fill="FFFFFF" w:themeFill="background1"/>
              </w:rPr>
              <w:t>（北京时间）</w:t>
            </w:r>
          </w:p>
          <w:p w14:paraId="52C51BAC">
            <w:pPr>
              <w:keepNext/>
              <w:keepLines w:val="0"/>
              <w:pageBreakBefore w:val="0"/>
              <w:widowControl/>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地点：政采云平台（https://www.zcygov.cn/）</w:t>
            </w:r>
          </w:p>
        </w:tc>
      </w:tr>
      <w:tr w14:paraId="58B96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625" w:hRule="atLeast"/>
          <w:jc w:val="center"/>
        </w:trPr>
        <w:tc>
          <w:tcPr>
            <w:tcW w:w="597" w:type="dxa"/>
            <w:vAlign w:val="center"/>
          </w:tcPr>
          <w:p w14:paraId="413BCDEB">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14</w:t>
            </w:r>
          </w:p>
        </w:tc>
        <w:tc>
          <w:tcPr>
            <w:tcW w:w="1795" w:type="dxa"/>
            <w:vAlign w:val="center"/>
          </w:tcPr>
          <w:p w14:paraId="6014D091">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响应有效期</w:t>
            </w:r>
          </w:p>
        </w:tc>
        <w:tc>
          <w:tcPr>
            <w:tcW w:w="6688" w:type="dxa"/>
            <w:vAlign w:val="center"/>
          </w:tcPr>
          <w:p w14:paraId="3D817B9C">
            <w:pPr>
              <w:keepNext/>
              <w:keepLines w:val="0"/>
              <w:pageBreakBefore w:val="0"/>
              <w:widowControl/>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自投标截止之日90日历日</w:t>
            </w:r>
          </w:p>
        </w:tc>
      </w:tr>
      <w:tr w14:paraId="1C001C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5B2A8CD">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15</w:t>
            </w:r>
          </w:p>
        </w:tc>
        <w:tc>
          <w:tcPr>
            <w:tcW w:w="1795" w:type="dxa"/>
            <w:vAlign w:val="center"/>
          </w:tcPr>
          <w:p w14:paraId="27F83611">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公告发布媒体</w:t>
            </w:r>
          </w:p>
        </w:tc>
        <w:tc>
          <w:tcPr>
            <w:tcW w:w="6688" w:type="dxa"/>
            <w:vAlign w:val="center"/>
          </w:tcPr>
          <w:p w14:paraId="0510EEF4">
            <w:pPr>
              <w:keepLines w:val="0"/>
              <w:pageBreakBefore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新疆政府采购网（http://www.ccgp-xinjiang.gov.cn/home.html）</w:t>
            </w:r>
          </w:p>
        </w:tc>
      </w:tr>
      <w:tr w14:paraId="6D7156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F40E515">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16</w:t>
            </w:r>
          </w:p>
        </w:tc>
        <w:tc>
          <w:tcPr>
            <w:tcW w:w="1795" w:type="dxa"/>
            <w:vAlign w:val="center"/>
          </w:tcPr>
          <w:p w14:paraId="3A389243">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履约保证金</w:t>
            </w:r>
          </w:p>
        </w:tc>
        <w:tc>
          <w:tcPr>
            <w:tcW w:w="6688" w:type="dxa"/>
            <w:vAlign w:val="center"/>
          </w:tcPr>
          <w:p w14:paraId="6C1B9494">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1、履约保证金金额：合同金额的</w:t>
            </w:r>
            <w:r>
              <w:rPr>
                <w:rFonts w:hint="eastAsia" w:ascii="仿宋" w:hAnsi="仿宋" w:eastAsia="仿宋" w:cs="仿宋"/>
                <w:color w:val="auto"/>
                <w:kern w:val="0"/>
                <w:szCs w:val="21"/>
                <w:highlight w:val="none"/>
                <w:shd w:val="clear" w:color="auto" w:fill="FFFFFF" w:themeFill="background1"/>
                <w:lang w:val="en-US" w:eastAsia="zh-CN"/>
              </w:rPr>
              <w:t>5</w:t>
            </w:r>
            <w:r>
              <w:rPr>
                <w:rFonts w:hint="eastAsia" w:ascii="仿宋" w:hAnsi="仿宋" w:eastAsia="仿宋" w:cs="仿宋"/>
                <w:color w:val="auto"/>
                <w:kern w:val="0"/>
                <w:szCs w:val="21"/>
                <w:highlight w:val="none"/>
                <w:shd w:val="clear" w:color="auto" w:fill="FFFFFF" w:themeFill="background1"/>
              </w:rPr>
              <w:t>%。</w:t>
            </w:r>
          </w:p>
          <w:p w14:paraId="54F0BBEF">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color w:val="auto"/>
                <w:highlight w:val="none"/>
              </w:rPr>
            </w:pPr>
            <w:r>
              <w:rPr>
                <w:rFonts w:hint="eastAsia" w:ascii="仿宋" w:hAnsi="仿宋" w:eastAsia="仿宋" w:cs="仿宋"/>
                <w:color w:val="auto"/>
                <w:kern w:val="0"/>
                <w:szCs w:val="21"/>
                <w:highlight w:val="none"/>
                <w:shd w:val="clear" w:color="auto" w:fill="FFFFFF" w:themeFill="background1"/>
              </w:rPr>
              <w:t>2、供应商应当以支票、汇票、本票或者金融机构、担保机构出具的保函等非现金形式提交履约保证金。</w:t>
            </w:r>
          </w:p>
        </w:tc>
      </w:tr>
      <w:tr w14:paraId="30D6D2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36B822F">
            <w:pPr>
              <w:keepLines w:val="0"/>
              <w:pageBreakBefore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1</w:t>
            </w:r>
            <w:r>
              <w:rPr>
                <w:rFonts w:hint="eastAsia" w:ascii="仿宋" w:hAnsi="仿宋" w:eastAsia="仿宋" w:cs="仿宋"/>
                <w:color w:val="auto"/>
                <w:kern w:val="0"/>
                <w:szCs w:val="21"/>
                <w:highlight w:val="none"/>
                <w:shd w:val="clear" w:color="auto" w:fill="FFFFFF" w:themeFill="background1"/>
                <w:lang w:val="en-US" w:eastAsia="zh-CN"/>
              </w:rPr>
              <w:t>7</w:t>
            </w:r>
          </w:p>
        </w:tc>
        <w:tc>
          <w:tcPr>
            <w:tcW w:w="1795" w:type="dxa"/>
            <w:vAlign w:val="center"/>
          </w:tcPr>
          <w:p w14:paraId="3807C809">
            <w:pPr>
              <w:keepNext/>
              <w:keepLines w:val="0"/>
              <w:pageBreakBefore w:val="0"/>
              <w:widowControl/>
              <w:kinsoku/>
              <w:wordWrap/>
              <w:overflowPunct/>
              <w:topLinePunct w:val="0"/>
              <w:autoSpaceDE/>
              <w:autoSpaceDN/>
              <w:bidi w:val="0"/>
              <w:adjustRightInd/>
              <w:snapToGrid/>
              <w:spacing w:beforeAutospacing="0" w:afterAutospacing="0" w:line="288" w:lineRule="auto"/>
              <w:jc w:val="distribute"/>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中小企业政策说明</w:t>
            </w:r>
          </w:p>
        </w:tc>
        <w:tc>
          <w:tcPr>
            <w:tcW w:w="6688" w:type="dxa"/>
            <w:vAlign w:val="center"/>
          </w:tcPr>
          <w:p w14:paraId="3C10FCC7">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1、中小企业，是指在中华人民共和国境内依法设立，依据国务院批准的中小企业划分标准确定的中型企业、小型企业和微型企业。</w:t>
            </w:r>
          </w:p>
          <w:p w14:paraId="20B4AFC9">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2、符合中小企业划分标准的个体工商户，在政府采购活动中视同中小企业</w:t>
            </w:r>
            <w:r>
              <w:rPr>
                <w:rFonts w:hint="eastAsia" w:ascii="仿宋" w:hAnsi="仿宋" w:eastAsia="仿宋" w:cs="仿宋"/>
                <w:color w:val="auto"/>
                <w:kern w:val="0"/>
                <w:szCs w:val="21"/>
                <w:highlight w:val="none"/>
                <w:shd w:val="clear" w:color="auto" w:fill="FFFFFF" w:themeFill="background1"/>
                <w:lang w:eastAsia="zh-CN"/>
              </w:rPr>
              <w:t>；</w:t>
            </w:r>
            <w:r>
              <w:rPr>
                <w:rFonts w:hint="eastAsia" w:ascii="仿宋" w:hAnsi="仿宋" w:eastAsia="仿宋" w:cs="仿宋"/>
                <w:color w:val="auto"/>
                <w:kern w:val="0"/>
                <w:szCs w:val="21"/>
                <w:highlight w:val="none"/>
                <w:shd w:val="clear" w:color="auto" w:fill="FFFFFF" w:themeFill="background1"/>
              </w:rPr>
              <w:t>残疾人福利性单位和监狱企业视同小型、微型企业。</w:t>
            </w:r>
          </w:p>
          <w:p w14:paraId="56DF493B">
            <w:pPr>
              <w:keepLines w:val="0"/>
              <w:pageBreakBefore w:val="0"/>
              <w:kinsoku/>
              <w:wordWrap/>
              <w:overflowPunct/>
              <w:topLinePunct w:val="0"/>
              <w:autoSpaceDE/>
              <w:autoSpaceDN/>
              <w:bidi w:val="0"/>
              <w:adjustRightInd/>
              <w:snapToGrid/>
              <w:spacing w:beforeAutospacing="0" w:afterAutospacing="0"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3</w:t>
            </w:r>
            <w:r>
              <w:rPr>
                <w:rFonts w:hint="eastAsia" w:ascii="仿宋" w:hAnsi="仿宋" w:eastAsia="仿宋" w:cs="仿宋"/>
                <w:color w:val="auto"/>
                <w:kern w:val="0"/>
                <w:szCs w:val="21"/>
                <w:highlight w:val="none"/>
                <w:shd w:val="clear" w:color="auto" w:fill="FFFFFF" w:themeFill="background1"/>
              </w:rPr>
              <w:t>、根据“关于印发中小企业划型标准规定的通知(工信部联企业〔2011〕300号)”等有关规定，本项目标的所属行业为</w:t>
            </w:r>
            <w:r>
              <w:rPr>
                <w:rFonts w:hint="eastAsia" w:ascii="仿宋" w:hAnsi="仿宋" w:eastAsia="仿宋" w:cs="仿宋"/>
                <w:color w:val="auto"/>
                <w:kern w:val="0"/>
                <w:szCs w:val="21"/>
                <w:highlight w:val="none"/>
                <w:shd w:val="clear" w:color="auto" w:fill="FFFFFF" w:themeFill="background1"/>
                <w:lang w:val="en-US" w:eastAsia="zh-CN"/>
              </w:rPr>
              <w:t>其他未列明行业。</w:t>
            </w:r>
          </w:p>
        </w:tc>
      </w:tr>
      <w:tr w14:paraId="26933E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644AEF81">
            <w:pPr>
              <w:keepLines w:val="0"/>
              <w:pageBreakBefore w:val="0"/>
              <w:kinsoku/>
              <w:wordWrap/>
              <w:overflowPunct/>
              <w:topLinePunct w:val="0"/>
              <w:autoSpaceDE/>
              <w:autoSpaceDN/>
              <w:bidi w:val="0"/>
              <w:adjustRightInd/>
              <w:snapToGrid/>
              <w:spacing w:line="288" w:lineRule="auto"/>
              <w:jc w:val="center"/>
              <w:textAlignment w:val="auto"/>
              <w:rPr>
                <w:rFonts w:hint="eastAsia" w:ascii="仿宋" w:hAnsi="仿宋" w:eastAsia="仿宋" w:cs="仿宋"/>
                <w:color w:val="auto"/>
                <w:kern w:val="0"/>
                <w:szCs w:val="21"/>
                <w:highlight w:val="none"/>
                <w:shd w:val="clear" w:color="auto" w:fill="FFFFFF" w:themeFill="background1"/>
                <w:lang w:eastAsia="zh-CN"/>
              </w:rPr>
            </w:pPr>
            <w:r>
              <w:rPr>
                <w:rFonts w:hint="eastAsia" w:ascii="仿宋" w:hAnsi="仿宋" w:eastAsia="仿宋" w:cs="仿宋"/>
                <w:color w:val="auto"/>
                <w:kern w:val="0"/>
                <w:szCs w:val="21"/>
                <w:highlight w:val="none"/>
              </w:rPr>
              <w:t>1</w:t>
            </w:r>
            <w:r>
              <w:rPr>
                <w:rFonts w:hint="eastAsia" w:ascii="仿宋" w:hAnsi="仿宋" w:eastAsia="仿宋" w:cs="仿宋"/>
                <w:color w:val="auto"/>
                <w:kern w:val="0"/>
                <w:szCs w:val="21"/>
                <w:highlight w:val="none"/>
                <w:lang w:val="en-US" w:eastAsia="zh-CN"/>
              </w:rPr>
              <w:t>8</w:t>
            </w:r>
          </w:p>
        </w:tc>
        <w:tc>
          <w:tcPr>
            <w:tcW w:w="1795" w:type="dxa"/>
            <w:vAlign w:val="center"/>
          </w:tcPr>
          <w:p w14:paraId="577912A4">
            <w:pPr>
              <w:keepNext/>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是否允许分包</w:t>
            </w:r>
          </w:p>
        </w:tc>
        <w:tc>
          <w:tcPr>
            <w:tcW w:w="6688" w:type="dxa"/>
            <w:vAlign w:val="center"/>
          </w:tcPr>
          <w:p w14:paraId="4C8B0C7F">
            <w:pPr>
              <w:keepNext/>
              <w:keepLines w:val="0"/>
              <w:pageBreakBefore w:val="0"/>
              <w:widowControl/>
              <w:kinsoku/>
              <w:wordWrap/>
              <w:overflowPunct/>
              <w:topLinePunct w:val="0"/>
              <w:autoSpaceDE/>
              <w:autoSpaceDN/>
              <w:bidi w:val="0"/>
              <w:adjustRightInd/>
              <w:snapToGrid/>
              <w:spacing w:line="288" w:lineRule="auto"/>
              <w:ind w:firstLine="420" w:firstLineChars="200"/>
              <w:jc w:val="left"/>
              <w:textAlignment w:val="auto"/>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☑不允许分包</w:t>
            </w:r>
          </w:p>
          <w:p w14:paraId="36F8260B">
            <w:pPr>
              <w:keepNext/>
              <w:keepLines w:val="0"/>
              <w:pageBreakBefore w:val="0"/>
              <w:widowControl/>
              <w:kinsoku/>
              <w:wordWrap/>
              <w:overflowPunct/>
              <w:topLinePunct w:val="0"/>
              <w:autoSpaceDE/>
              <w:autoSpaceDN/>
              <w:bidi w:val="0"/>
              <w:adjustRightInd/>
              <w:snapToGrid/>
              <w:spacing w:line="288" w:lineRule="auto"/>
              <w:ind w:firstLine="420" w:firstLineChars="200"/>
              <w:jc w:val="left"/>
              <w:textAlignment w:val="auto"/>
              <w:rPr>
                <w:rFonts w:hint="eastAsia" w:ascii="仿宋" w:hAnsi="仿宋" w:eastAsia="仿宋" w:cs="仿宋"/>
                <w:color w:val="auto"/>
                <w:kern w:val="0"/>
                <w:szCs w:val="21"/>
                <w:highlight w:val="none"/>
                <w:shd w:val="clear" w:color="auto" w:fill="FFFFFF" w:themeFill="background1"/>
                <w:lang w:val="en-US" w:eastAsia="zh-CN"/>
              </w:rPr>
            </w:pPr>
            <w:r>
              <w:rPr>
                <w:rFonts w:hint="eastAsia" w:ascii="仿宋" w:hAnsi="仿宋" w:eastAsia="仿宋" w:cs="仿宋"/>
                <w:color w:val="auto"/>
                <w:kern w:val="0"/>
                <w:szCs w:val="21"/>
                <w:highlight w:val="none"/>
              </w:rPr>
              <w:t>□允许分包,要求：</w:t>
            </w:r>
            <w:r>
              <w:rPr>
                <w:rFonts w:hint="eastAsia" w:ascii="仿宋" w:hAnsi="仿宋" w:eastAsia="仿宋" w:cs="仿宋"/>
                <w:color w:val="auto"/>
                <w:kern w:val="0"/>
                <w:szCs w:val="21"/>
                <w:highlight w:val="none"/>
                <w:u w:val="single"/>
              </w:rPr>
              <w:t xml:space="preserve"> /  </w:t>
            </w:r>
          </w:p>
        </w:tc>
      </w:tr>
      <w:tr w14:paraId="4FE26B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1392A26C">
            <w:pPr>
              <w:keepLines w:val="0"/>
              <w:pageBreakBefore w:val="0"/>
              <w:kinsoku/>
              <w:wordWrap/>
              <w:overflowPunct/>
              <w:topLinePunct w:val="0"/>
              <w:autoSpaceDE/>
              <w:autoSpaceDN/>
              <w:bidi w:val="0"/>
              <w:adjustRightInd/>
              <w:snapToGrid/>
              <w:spacing w:line="288" w:lineRule="auto"/>
              <w:jc w:val="center"/>
              <w:textAlignment w:val="auto"/>
              <w:rPr>
                <w:rFonts w:hint="default"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lang w:val="en-US" w:eastAsia="zh-CN"/>
              </w:rPr>
              <w:t>19</w:t>
            </w:r>
          </w:p>
        </w:tc>
        <w:tc>
          <w:tcPr>
            <w:tcW w:w="1795" w:type="dxa"/>
            <w:vAlign w:val="center"/>
          </w:tcPr>
          <w:p w14:paraId="7BF19A28">
            <w:pPr>
              <w:keepNext/>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Cs w:val="21"/>
                <w:highlight w:val="none"/>
              </w:rPr>
              <w:t>说明</w:t>
            </w:r>
          </w:p>
        </w:tc>
        <w:tc>
          <w:tcPr>
            <w:tcW w:w="6688" w:type="dxa"/>
            <w:vAlign w:val="center"/>
          </w:tcPr>
          <w:p w14:paraId="28C837C8">
            <w:pPr>
              <w:keepNext/>
              <w:keepLines w:val="0"/>
              <w:pageBreakBefore w:val="0"/>
              <w:widowControl/>
              <w:numPr>
                <w:ilvl w:val="0"/>
                <w:numId w:val="0"/>
              </w:numPr>
              <w:kinsoku/>
              <w:wordWrap/>
              <w:overflowPunct/>
              <w:topLinePunct w:val="0"/>
              <w:autoSpaceDE/>
              <w:autoSpaceDN/>
              <w:bidi w:val="0"/>
              <w:adjustRightInd/>
              <w:snapToGrid/>
              <w:spacing w:line="288" w:lineRule="auto"/>
              <w:ind w:firstLine="420" w:firstLineChars="200"/>
              <w:jc w:val="left"/>
              <w:textAlignment w:val="auto"/>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w:t>
            </w:r>
            <w:r>
              <w:rPr>
                <w:rFonts w:hint="eastAsia" w:ascii="仿宋" w:hAnsi="仿宋" w:eastAsia="仿宋" w:cs="仿宋"/>
                <w:color w:val="auto"/>
                <w:kern w:val="0"/>
                <w:szCs w:val="21"/>
                <w:highlight w:val="none"/>
                <w:lang w:eastAsia="zh-CN"/>
              </w:rPr>
              <w:t>招标代理</w:t>
            </w:r>
            <w:r>
              <w:rPr>
                <w:rFonts w:hint="eastAsia" w:ascii="仿宋" w:hAnsi="仿宋" w:eastAsia="仿宋" w:cs="仿宋"/>
                <w:color w:val="auto"/>
                <w:kern w:val="0"/>
                <w:szCs w:val="21"/>
                <w:highlight w:val="none"/>
                <w:lang w:val="en-US" w:eastAsia="zh-CN"/>
              </w:rPr>
              <w:t>服务</w:t>
            </w:r>
            <w:r>
              <w:rPr>
                <w:rFonts w:hint="eastAsia" w:ascii="仿宋" w:hAnsi="仿宋" w:eastAsia="仿宋" w:cs="仿宋"/>
                <w:color w:val="auto"/>
                <w:kern w:val="0"/>
                <w:szCs w:val="21"/>
                <w:highlight w:val="none"/>
                <w:lang w:eastAsia="zh-CN"/>
              </w:rPr>
              <w:t>费以</w:t>
            </w:r>
            <w:r>
              <w:rPr>
                <w:rFonts w:hint="eastAsia" w:ascii="仿宋" w:hAnsi="仿宋" w:eastAsia="仿宋" w:cs="仿宋"/>
                <w:color w:val="auto"/>
                <w:kern w:val="0"/>
                <w:szCs w:val="21"/>
                <w:highlight w:val="none"/>
                <w:lang w:val="en-US" w:eastAsia="zh-CN"/>
              </w:rPr>
              <w:t>成交</w:t>
            </w:r>
            <w:r>
              <w:rPr>
                <w:rFonts w:hint="eastAsia" w:ascii="仿宋" w:hAnsi="仿宋" w:eastAsia="仿宋" w:cs="仿宋"/>
                <w:color w:val="auto"/>
                <w:kern w:val="0"/>
                <w:szCs w:val="21"/>
                <w:highlight w:val="none"/>
                <w:lang w:eastAsia="zh-CN"/>
              </w:rPr>
              <w:t>价格为基准，参照国家计委《招标代理服务费管理暂行办法》的通知(计价格[2002]1980号)</w:t>
            </w:r>
            <w:r>
              <w:rPr>
                <w:rFonts w:hint="eastAsia" w:ascii="仿宋" w:hAnsi="仿宋" w:eastAsia="仿宋" w:cs="仿宋"/>
                <w:color w:val="auto"/>
                <w:kern w:val="0"/>
                <w:szCs w:val="21"/>
                <w:highlight w:val="none"/>
                <w:lang w:val="en-US" w:eastAsia="zh-CN"/>
              </w:rPr>
              <w:t>计取</w:t>
            </w:r>
            <w:r>
              <w:rPr>
                <w:rFonts w:hint="eastAsia" w:ascii="仿宋" w:hAnsi="仿宋" w:eastAsia="仿宋" w:cs="仿宋"/>
                <w:color w:val="auto"/>
                <w:kern w:val="0"/>
                <w:szCs w:val="21"/>
                <w:highlight w:val="none"/>
                <w:lang w:eastAsia="zh-CN"/>
              </w:rPr>
              <w:t>，由</w:t>
            </w:r>
            <w:r>
              <w:rPr>
                <w:rFonts w:hint="eastAsia" w:ascii="仿宋" w:hAnsi="仿宋" w:eastAsia="仿宋" w:cs="仿宋"/>
                <w:color w:val="auto"/>
                <w:kern w:val="0"/>
                <w:szCs w:val="21"/>
                <w:highlight w:val="none"/>
                <w:lang w:val="en-US" w:eastAsia="zh-CN"/>
              </w:rPr>
              <w:t>成交供应商在领取成交通知书时支付</w:t>
            </w:r>
            <w:r>
              <w:rPr>
                <w:rFonts w:hint="eastAsia" w:ascii="仿宋" w:hAnsi="仿宋" w:eastAsia="仿宋" w:cs="仿宋"/>
                <w:color w:val="auto"/>
                <w:kern w:val="0"/>
                <w:szCs w:val="21"/>
                <w:highlight w:val="none"/>
              </w:rPr>
              <w:t>。</w:t>
            </w:r>
          </w:p>
          <w:p w14:paraId="456A2FDF">
            <w:pPr>
              <w:keepNext/>
              <w:keepLines w:val="0"/>
              <w:pageBreakBefore w:val="0"/>
              <w:widowControl/>
              <w:numPr>
                <w:ilvl w:val="0"/>
                <w:numId w:val="0"/>
              </w:numPr>
              <w:kinsoku/>
              <w:wordWrap/>
              <w:overflowPunct/>
              <w:topLinePunct w:val="0"/>
              <w:autoSpaceDE/>
              <w:autoSpaceDN/>
              <w:bidi w:val="0"/>
              <w:adjustRightInd/>
              <w:snapToGrid/>
              <w:spacing w:line="288" w:lineRule="auto"/>
              <w:ind w:left="0" w:leftChars="0" w:firstLine="420" w:firstLineChars="200"/>
              <w:jc w:val="left"/>
              <w:textAlignment w:val="auto"/>
              <w:rPr>
                <w:rFonts w:hint="eastAsia" w:ascii="仿宋" w:hAnsi="仿宋" w:eastAsia="仿宋" w:cs="仿宋"/>
                <w:color w:val="auto"/>
                <w:kern w:val="0"/>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lang w:val="en-US" w:eastAsia="zh-CN"/>
              </w:rPr>
              <w:t>2、</w:t>
            </w:r>
            <w:r>
              <w:rPr>
                <w:rFonts w:hint="eastAsia" w:ascii="仿宋" w:hAnsi="仿宋" w:eastAsia="仿宋" w:cs="仿宋"/>
                <w:color w:val="auto"/>
                <w:kern w:val="0"/>
                <w:szCs w:val="21"/>
                <w:highlight w:val="none"/>
              </w:rPr>
              <w:t>本表内容如与后文内容不一致处，以本表为准。</w:t>
            </w:r>
          </w:p>
        </w:tc>
      </w:tr>
    </w:tbl>
    <w:p w14:paraId="4FCA97E9">
      <w:pPr>
        <w:keepLines w:val="0"/>
        <w:pageBreakBefore w:val="0"/>
        <w:kinsoku/>
        <w:overflowPunct/>
        <w:topLinePunct w:val="0"/>
        <w:bidi w:val="0"/>
        <w:spacing w:beforeAutospacing="0" w:afterAutospacing="0" w:line="360" w:lineRule="auto"/>
        <w:jc w:val="center"/>
        <w:textAlignment w:val="auto"/>
        <w:outlineLvl w:val="0"/>
        <w:rPr>
          <w:rFonts w:hint="eastAsia" w:ascii="仿宋" w:hAnsi="仿宋" w:eastAsia="仿宋" w:cs="仿宋"/>
          <w:b/>
          <w:color w:val="auto"/>
          <w:sz w:val="24"/>
          <w:szCs w:val="24"/>
          <w:highlight w:val="none"/>
          <w:shd w:val="clear" w:color="auto" w:fill="FFFFFF" w:themeFill="background1"/>
        </w:rPr>
      </w:pPr>
      <w:bookmarkStart w:id="3" w:name="_BookMark_3"/>
      <w:bookmarkEnd w:id="3"/>
      <w:r>
        <w:rPr>
          <w:rFonts w:hint="eastAsia" w:ascii="仿宋" w:hAnsi="仿宋" w:eastAsia="仿宋" w:cs="仿宋"/>
          <w:color w:val="auto"/>
          <w:kern w:val="0"/>
          <w:sz w:val="24"/>
          <w:szCs w:val="24"/>
          <w:highlight w:val="none"/>
          <w:shd w:val="clear" w:color="auto" w:fill="FFFFFF" w:themeFill="background1"/>
        </w:rPr>
        <w:br w:type="page"/>
      </w:r>
      <w:bookmarkStart w:id="4" w:name="_Toc13987"/>
      <w:r>
        <w:rPr>
          <w:rFonts w:hint="eastAsia" w:ascii="仿宋" w:hAnsi="仿宋" w:eastAsia="仿宋" w:cs="仿宋"/>
          <w:b/>
          <w:color w:val="auto"/>
          <w:sz w:val="24"/>
          <w:szCs w:val="24"/>
          <w:highlight w:val="none"/>
          <w:shd w:val="clear" w:color="auto" w:fill="FFFFFF" w:themeFill="background1"/>
        </w:rPr>
        <w:t>第一章 供应商须知</w:t>
      </w:r>
      <w:bookmarkEnd w:id="4"/>
      <w:bookmarkStart w:id="5" w:name="_BookMark_2"/>
      <w:bookmarkEnd w:id="5"/>
    </w:p>
    <w:p w14:paraId="4698C77E">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6" w:name="_Toc10765"/>
      <w:r>
        <w:rPr>
          <w:rFonts w:hint="eastAsia" w:ascii="仿宋" w:hAnsi="仿宋" w:eastAsia="仿宋" w:cs="仿宋"/>
          <w:b/>
          <w:color w:val="auto"/>
          <w:sz w:val="24"/>
          <w:szCs w:val="24"/>
          <w:highlight w:val="none"/>
          <w:shd w:val="clear" w:color="auto" w:fill="FFFFFF" w:themeFill="background1"/>
          <w:lang w:val="en-US" w:eastAsia="zh-CN"/>
        </w:rPr>
        <w:t>一、</w:t>
      </w:r>
      <w:r>
        <w:rPr>
          <w:rFonts w:hint="eastAsia" w:ascii="仿宋" w:hAnsi="仿宋" w:eastAsia="仿宋" w:cs="仿宋"/>
          <w:b/>
          <w:color w:val="auto"/>
          <w:sz w:val="24"/>
          <w:szCs w:val="24"/>
          <w:highlight w:val="none"/>
          <w:shd w:val="clear" w:color="auto" w:fill="FFFFFF" w:themeFill="background1"/>
        </w:rPr>
        <w:t>总则</w:t>
      </w:r>
      <w:bookmarkEnd w:id="6"/>
    </w:p>
    <w:p w14:paraId="6233DB3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 采购项目概况</w:t>
      </w:r>
    </w:p>
    <w:p w14:paraId="2E6ACE2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1.1.1项目名称：见供应商须知前附表。</w:t>
      </w:r>
    </w:p>
    <w:p w14:paraId="3FCBD51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1.1.2项目编号：见供应商须知前附表。</w:t>
      </w:r>
    </w:p>
    <w:p w14:paraId="25BE9B7F">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1.1.3采购人：见供应商须知前附表。</w:t>
      </w:r>
    </w:p>
    <w:p w14:paraId="4156FED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1.1.4采购代理机构：见供应商须知前附表。</w:t>
      </w:r>
    </w:p>
    <w:p w14:paraId="6C6EEA8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1.1.5项目地点：见供应商须知前附表。</w:t>
      </w:r>
    </w:p>
    <w:p w14:paraId="24B0D39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1.1.6资金来源：见供应商须知前附表。</w:t>
      </w:r>
    </w:p>
    <w:p w14:paraId="3E359B8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1.1.7采购预算金额：见供应商须知前附表。</w:t>
      </w:r>
    </w:p>
    <w:p w14:paraId="26E53B5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1.1.8服务周期：见供应商须知前附表。</w:t>
      </w:r>
    </w:p>
    <w:p w14:paraId="6F4DBBB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1.1.9服务地点：见供应商须知前附表。</w:t>
      </w:r>
    </w:p>
    <w:p w14:paraId="436F3AF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1.2采购范围：见供应商须知前附表。</w:t>
      </w:r>
    </w:p>
    <w:p w14:paraId="677D75A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1.3 </w:t>
      </w:r>
      <w:r>
        <w:rPr>
          <w:rFonts w:hint="eastAsia" w:ascii="仿宋" w:hAnsi="仿宋" w:eastAsia="仿宋" w:cs="仿宋"/>
          <w:color w:val="auto"/>
          <w:kern w:val="0"/>
          <w:sz w:val="24"/>
          <w:szCs w:val="24"/>
          <w:highlight w:val="none"/>
          <w:shd w:val="clear" w:color="auto" w:fill="FFFFFF" w:themeFill="background1"/>
          <w:lang w:val="en-US" w:eastAsia="zh-CN"/>
        </w:rPr>
        <w:t>采购方</w:t>
      </w:r>
      <w:r>
        <w:rPr>
          <w:rFonts w:hint="eastAsia" w:ascii="仿宋" w:hAnsi="仿宋" w:eastAsia="仿宋" w:cs="仿宋"/>
          <w:color w:val="auto"/>
          <w:kern w:val="0"/>
          <w:sz w:val="24"/>
          <w:szCs w:val="24"/>
          <w:highlight w:val="none"/>
          <w:shd w:val="clear" w:color="auto" w:fill="FFFFFF" w:themeFill="background1"/>
        </w:rPr>
        <w:t>式和资格审查方式</w:t>
      </w:r>
    </w:p>
    <w:p w14:paraId="1D3DF91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1.3.1 </w:t>
      </w:r>
      <w:r>
        <w:rPr>
          <w:rFonts w:hint="eastAsia" w:ascii="仿宋" w:hAnsi="仿宋" w:eastAsia="仿宋" w:cs="仿宋"/>
          <w:color w:val="auto"/>
          <w:kern w:val="0"/>
          <w:sz w:val="24"/>
          <w:szCs w:val="24"/>
          <w:highlight w:val="none"/>
          <w:shd w:val="clear" w:color="auto" w:fill="FFFFFF" w:themeFill="background1"/>
          <w:lang w:val="en-US" w:eastAsia="zh-CN"/>
        </w:rPr>
        <w:t>采购方</w:t>
      </w:r>
      <w:r>
        <w:rPr>
          <w:rFonts w:hint="eastAsia" w:ascii="仿宋" w:hAnsi="仿宋" w:eastAsia="仿宋" w:cs="仿宋"/>
          <w:color w:val="auto"/>
          <w:kern w:val="0"/>
          <w:sz w:val="24"/>
          <w:szCs w:val="24"/>
          <w:highlight w:val="none"/>
          <w:shd w:val="clear" w:color="auto" w:fill="FFFFFF" w:themeFill="background1"/>
        </w:rPr>
        <w:t>式：见供应商须知前附表。</w:t>
      </w:r>
    </w:p>
    <w:p w14:paraId="7863222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1.3.2 资格审查方式：见供应商须知前附表。</w:t>
      </w:r>
    </w:p>
    <w:p w14:paraId="41062AF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1.4 评审办法及定标方法</w:t>
      </w:r>
    </w:p>
    <w:p w14:paraId="550DB45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1.4.1 评审办法：见供应商须知前附表。</w:t>
      </w:r>
    </w:p>
    <w:p w14:paraId="7CDD788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1.4.2 定标方法：见供应商须知前附表。</w:t>
      </w:r>
    </w:p>
    <w:p w14:paraId="628B7FE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lang w:eastAsia="zh-CN"/>
        </w:rPr>
      </w:pPr>
      <w:r>
        <w:rPr>
          <w:rFonts w:hint="eastAsia" w:ascii="仿宋" w:hAnsi="仿宋" w:eastAsia="仿宋" w:cs="仿宋"/>
          <w:color w:val="auto"/>
          <w:kern w:val="0"/>
          <w:sz w:val="24"/>
          <w:szCs w:val="24"/>
          <w:highlight w:val="none"/>
          <w:shd w:val="clear" w:color="auto" w:fill="FFFFFF" w:themeFill="background1"/>
        </w:rPr>
        <w:t xml:space="preserve">1.5 </w:t>
      </w:r>
      <w:r>
        <w:rPr>
          <w:rFonts w:hint="eastAsia" w:ascii="仿宋" w:hAnsi="仿宋" w:eastAsia="仿宋" w:cs="仿宋"/>
          <w:color w:val="auto"/>
          <w:kern w:val="0"/>
          <w:sz w:val="24"/>
          <w:szCs w:val="24"/>
          <w:highlight w:val="none"/>
          <w:shd w:val="clear" w:color="auto" w:fill="FFFFFF" w:themeFill="background1"/>
          <w:lang w:eastAsia="zh-CN"/>
        </w:rPr>
        <w:t>供应商最低资格条件</w:t>
      </w:r>
      <w:r>
        <w:rPr>
          <w:rFonts w:hint="eastAsia" w:ascii="仿宋" w:hAnsi="仿宋" w:eastAsia="仿宋" w:cs="仿宋"/>
          <w:color w:val="auto"/>
          <w:kern w:val="0"/>
          <w:sz w:val="24"/>
          <w:szCs w:val="24"/>
          <w:highlight w:val="none"/>
          <w:shd w:val="clear" w:color="auto" w:fill="FFFFFF" w:themeFill="background1"/>
        </w:rPr>
        <w:t>：见供应商须知前附表</w:t>
      </w:r>
      <w:r>
        <w:rPr>
          <w:rFonts w:hint="eastAsia" w:ascii="仿宋" w:hAnsi="仿宋" w:eastAsia="仿宋" w:cs="仿宋"/>
          <w:color w:val="auto"/>
          <w:kern w:val="0"/>
          <w:sz w:val="24"/>
          <w:szCs w:val="24"/>
          <w:highlight w:val="none"/>
          <w:shd w:val="clear" w:color="auto" w:fill="FFFFFF" w:themeFill="background1"/>
          <w:lang w:eastAsia="zh-CN"/>
        </w:rPr>
        <w:t>。</w:t>
      </w:r>
    </w:p>
    <w:p w14:paraId="376A78E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b/>
          <w:bCs/>
          <w:color w:val="auto"/>
          <w:kern w:val="0"/>
          <w:sz w:val="24"/>
          <w:szCs w:val="24"/>
          <w:highlight w:val="none"/>
          <w:shd w:val="clear" w:color="auto" w:fill="FFFFFF" w:themeFill="background1"/>
          <w:lang w:eastAsia="zh-CN"/>
        </w:rPr>
      </w:pPr>
      <w:r>
        <w:rPr>
          <w:rFonts w:hint="eastAsia" w:ascii="仿宋" w:hAnsi="仿宋" w:eastAsia="仿宋" w:cs="仿宋"/>
          <w:color w:val="auto"/>
          <w:kern w:val="0"/>
          <w:sz w:val="24"/>
          <w:szCs w:val="24"/>
          <w:highlight w:val="none"/>
          <w:shd w:val="clear" w:color="auto" w:fill="FFFFFF" w:themeFill="background1"/>
          <w:lang w:val="en-US" w:eastAsia="zh-CN"/>
        </w:rPr>
        <w:t>1.6 供应商不得存在的情形</w:t>
      </w:r>
      <w:r>
        <w:rPr>
          <w:rFonts w:hint="eastAsia" w:ascii="仿宋" w:hAnsi="仿宋" w:eastAsia="仿宋" w:cs="仿宋"/>
          <w:color w:val="auto"/>
          <w:kern w:val="0"/>
          <w:sz w:val="24"/>
          <w:szCs w:val="24"/>
          <w:highlight w:val="none"/>
          <w:shd w:val="clear" w:color="auto" w:fill="FFFFFF" w:themeFill="background1"/>
        </w:rPr>
        <w:t>：见供应商须知前附表</w:t>
      </w:r>
      <w:r>
        <w:rPr>
          <w:rFonts w:hint="eastAsia" w:ascii="仿宋" w:hAnsi="仿宋" w:eastAsia="仿宋" w:cs="仿宋"/>
          <w:color w:val="auto"/>
          <w:kern w:val="0"/>
          <w:sz w:val="24"/>
          <w:szCs w:val="24"/>
          <w:highlight w:val="none"/>
          <w:shd w:val="clear" w:color="auto" w:fill="FFFFFF" w:themeFill="background1"/>
          <w:lang w:eastAsia="zh-CN"/>
        </w:rPr>
        <w:t>。</w:t>
      </w:r>
    </w:p>
    <w:p w14:paraId="31D6880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7</w:t>
      </w:r>
      <w:r>
        <w:rPr>
          <w:rFonts w:hint="eastAsia" w:ascii="仿宋" w:hAnsi="仿宋" w:eastAsia="仿宋" w:cs="仿宋"/>
          <w:color w:val="auto"/>
          <w:kern w:val="0"/>
          <w:sz w:val="24"/>
          <w:szCs w:val="24"/>
          <w:highlight w:val="none"/>
          <w:shd w:val="clear" w:color="auto" w:fill="FFFFFF" w:themeFill="background1"/>
        </w:rPr>
        <w:t>费用承担</w:t>
      </w:r>
    </w:p>
    <w:p w14:paraId="468B9D3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7</w:t>
      </w:r>
      <w:r>
        <w:rPr>
          <w:rFonts w:hint="eastAsia" w:ascii="仿宋" w:hAnsi="仿宋" w:eastAsia="仿宋" w:cs="仿宋"/>
          <w:color w:val="auto"/>
          <w:kern w:val="0"/>
          <w:sz w:val="24"/>
          <w:szCs w:val="24"/>
          <w:highlight w:val="none"/>
          <w:shd w:val="clear" w:color="auto" w:fill="FFFFFF" w:themeFill="background1"/>
        </w:rPr>
        <w:t>.1竞争性磋商文件费：见供应商须知前附表。</w:t>
      </w:r>
    </w:p>
    <w:p w14:paraId="4779427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7</w:t>
      </w:r>
      <w:r>
        <w:rPr>
          <w:rFonts w:hint="eastAsia" w:ascii="仿宋" w:hAnsi="仿宋" w:eastAsia="仿宋" w:cs="仿宋"/>
          <w:color w:val="auto"/>
          <w:kern w:val="0"/>
          <w:sz w:val="24"/>
          <w:szCs w:val="24"/>
          <w:highlight w:val="none"/>
          <w:shd w:val="clear" w:color="auto" w:fill="FFFFFF" w:themeFill="background1"/>
        </w:rPr>
        <w:t>.2供应商应承担其编制响应文件与递交响应文件所涉及的一切费用，无论投标结果如何，采购人及采购代理机构对上述费用不作任何补偿。采购代理咨询费由成交供应商支付。</w:t>
      </w:r>
    </w:p>
    <w:p w14:paraId="661FC65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8</w:t>
      </w:r>
      <w:r>
        <w:rPr>
          <w:rFonts w:hint="eastAsia" w:ascii="仿宋" w:hAnsi="仿宋" w:eastAsia="仿宋" w:cs="仿宋"/>
          <w:color w:val="auto"/>
          <w:kern w:val="0"/>
          <w:sz w:val="24"/>
          <w:szCs w:val="24"/>
          <w:highlight w:val="none"/>
          <w:shd w:val="clear" w:color="auto" w:fill="FFFFFF" w:themeFill="background1"/>
        </w:rPr>
        <w:t>磋商保证金：见供应商须知前附表。</w:t>
      </w:r>
    </w:p>
    <w:p w14:paraId="626431D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9</w:t>
      </w:r>
      <w:r>
        <w:rPr>
          <w:rFonts w:hint="eastAsia" w:ascii="仿宋" w:hAnsi="仿宋" w:eastAsia="仿宋" w:cs="仿宋"/>
          <w:color w:val="auto"/>
          <w:kern w:val="0"/>
          <w:sz w:val="24"/>
          <w:szCs w:val="24"/>
          <w:highlight w:val="none"/>
          <w:shd w:val="clear" w:color="auto" w:fill="FFFFFF" w:themeFill="background1"/>
        </w:rPr>
        <w:t>现场踏勘</w:t>
      </w:r>
    </w:p>
    <w:p w14:paraId="6CBE716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9</w:t>
      </w:r>
      <w:r>
        <w:rPr>
          <w:rFonts w:hint="eastAsia" w:ascii="仿宋" w:hAnsi="仿宋" w:eastAsia="仿宋" w:cs="仿宋"/>
          <w:color w:val="auto"/>
          <w:kern w:val="0"/>
          <w:sz w:val="24"/>
          <w:szCs w:val="24"/>
          <w:highlight w:val="none"/>
          <w:shd w:val="clear" w:color="auto" w:fill="FFFFFF" w:themeFill="background1"/>
        </w:rPr>
        <w:t xml:space="preserve">.1 供应商须知前附表规定组织踏勘现场的，采购人或采购代理机构按供应商须知前附表规定的时间、地点组织供应商踏勘项目现场。 </w:t>
      </w:r>
    </w:p>
    <w:p w14:paraId="4B9241F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9</w:t>
      </w:r>
      <w:r>
        <w:rPr>
          <w:rFonts w:hint="eastAsia" w:ascii="仿宋" w:hAnsi="仿宋" w:eastAsia="仿宋" w:cs="仿宋"/>
          <w:color w:val="auto"/>
          <w:kern w:val="0"/>
          <w:sz w:val="24"/>
          <w:szCs w:val="24"/>
          <w:highlight w:val="none"/>
          <w:shd w:val="clear" w:color="auto" w:fill="FFFFFF" w:themeFill="background1"/>
        </w:rPr>
        <w:t>.2 供应商踏勘现场发生的费用自理。</w:t>
      </w:r>
    </w:p>
    <w:p w14:paraId="371D64C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9</w:t>
      </w:r>
      <w:r>
        <w:rPr>
          <w:rFonts w:hint="eastAsia" w:ascii="仿宋" w:hAnsi="仿宋" w:eastAsia="仿宋" w:cs="仿宋"/>
          <w:color w:val="auto"/>
          <w:kern w:val="0"/>
          <w:sz w:val="24"/>
          <w:szCs w:val="24"/>
          <w:highlight w:val="none"/>
          <w:shd w:val="clear" w:color="auto" w:fill="FFFFFF" w:themeFill="background1"/>
        </w:rPr>
        <w:t>.3 除采购人或采购代理机构的原因外，供应商自行负责在踏勘现场中所发生的人员伤亡和财产损失。</w:t>
      </w:r>
    </w:p>
    <w:p w14:paraId="56DDD2C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9</w:t>
      </w:r>
      <w:r>
        <w:rPr>
          <w:rFonts w:hint="eastAsia" w:ascii="仿宋" w:hAnsi="仿宋" w:eastAsia="仿宋" w:cs="仿宋"/>
          <w:color w:val="auto"/>
          <w:kern w:val="0"/>
          <w:sz w:val="24"/>
          <w:szCs w:val="24"/>
          <w:highlight w:val="none"/>
          <w:shd w:val="clear" w:color="auto" w:fill="FFFFFF" w:themeFill="background1"/>
        </w:rPr>
        <w:t>.4 采购人或采购代理机构在踏勘现场中介绍的项目有关情况，供应商在编制响应文件时参考，采购人或采购代理机构不对供应商据此作出的判断和决策负责。</w:t>
      </w:r>
    </w:p>
    <w:p w14:paraId="58807CE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10</w:t>
      </w:r>
      <w:r>
        <w:rPr>
          <w:rFonts w:hint="eastAsia" w:ascii="仿宋" w:hAnsi="仿宋" w:eastAsia="仿宋" w:cs="仿宋"/>
          <w:color w:val="auto"/>
          <w:kern w:val="0"/>
          <w:sz w:val="24"/>
          <w:szCs w:val="24"/>
          <w:highlight w:val="none"/>
          <w:shd w:val="clear" w:color="auto" w:fill="FFFFFF" w:themeFill="background1"/>
        </w:rPr>
        <w:t xml:space="preserve"> 采购答疑</w:t>
      </w:r>
    </w:p>
    <w:p w14:paraId="7C67F44F">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10</w:t>
      </w:r>
      <w:r>
        <w:rPr>
          <w:rFonts w:hint="eastAsia" w:ascii="仿宋" w:hAnsi="仿宋" w:eastAsia="仿宋" w:cs="仿宋"/>
          <w:color w:val="auto"/>
          <w:kern w:val="0"/>
          <w:sz w:val="24"/>
          <w:szCs w:val="24"/>
          <w:highlight w:val="none"/>
          <w:shd w:val="clear" w:color="auto" w:fill="FFFFFF" w:themeFill="background1"/>
        </w:rPr>
        <w:t>.</w:t>
      </w:r>
      <w:r>
        <w:rPr>
          <w:rFonts w:hint="eastAsia" w:ascii="仿宋" w:hAnsi="仿宋" w:eastAsia="仿宋" w:cs="仿宋"/>
          <w:color w:val="auto"/>
          <w:kern w:val="0"/>
          <w:sz w:val="24"/>
          <w:szCs w:val="24"/>
          <w:highlight w:val="none"/>
          <w:shd w:val="clear" w:color="auto" w:fill="FFFFFF" w:themeFill="background1"/>
          <w:lang w:val="en-US" w:eastAsia="zh-CN"/>
        </w:rPr>
        <w:t>1</w:t>
      </w:r>
      <w:r>
        <w:rPr>
          <w:rFonts w:hint="eastAsia" w:ascii="仿宋" w:hAnsi="仿宋" w:eastAsia="仿宋" w:cs="仿宋"/>
          <w:color w:val="auto"/>
          <w:kern w:val="0"/>
          <w:sz w:val="24"/>
          <w:szCs w:val="24"/>
          <w:highlight w:val="none"/>
          <w:shd w:val="clear" w:color="auto" w:fill="FFFFFF" w:themeFill="background1"/>
        </w:rPr>
        <w:t xml:space="preserve"> 供应商若有疑问，应按规定的时间、方式向采购人或采购代理机构提出，要求采购人对竞争性磋商文件予以澄清。</w:t>
      </w:r>
    </w:p>
    <w:p w14:paraId="4D84ED0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10</w:t>
      </w:r>
      <w:r>
        <w:rPr>
          <w:rFonts w:hint="eastAsia" w:ascii="仿宋" w:hAnsi="仿宋" w:eastAsia="仿宋" w:cs="仿宋"/>
          <w:color w:val="auto"/>
          <w:kern w:val="0"/>
          <w:sz w:val="24"/>
          <w:szCs w:val="24"/>
          <w:highlight w:val="none"/>
          <w:shd w:val="clear" w:color="auto" w:fill="FFFFFF" w:themeFill="background1"/>
        </w:rPr>
        <w:t>.</w:t>
      </w:r>
      <w:r>
        <w:rPr>
          <w:rFonts w:hint="eastAsia" w:ascii="仿宋" w:hAnsi="仿宋" w:eastAsia="仿宋" w:cs="仿宋"/>
          <w:color w:val="auto"/>
          <w:kern w:val="0"/>
          <w:sz w:val="24"/>
          <w:szCs w:val="24"/>
          <w:highlight w:val="none"/>
          <w:shd w:val="clear" w:color="auto" w:fill="FFFFFF" w:themeFill="background1"/>
          <w:lang w:val="en-US" w:eastAsia="zh-CN"/>
        </w:rPr>
        <w:t>2</w:t>
      </w:r>
      <w:r>
        <w:rPr>
          <w:rFonts w:hint="eastAsia" w:ascii="仿宋" w:hAnsi="仿宋" w:eastAsia="仿宋" w:cs="仿宋"/>
          <w:color w:val="auto"/>
          <w:kern w:val="0"/>
          <w:sz w:val="24"/>
          <w:szCs w:val="24"/>
          <w:highlight w:val="none"/>
          <w:shd w:val="clear" w:color="auto" w:fill="FFFFFF" w:themeFill="background1"/>
        </w:rPr>
        <w:t xml:space="preserve"> 采购人或采购代理机构将按规定的时间方式对供应商的疑问作出统一的解答。</w:t>
      </w:r>
    </w:p>
    <w:p w14:paraId="0FA7F0A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w:t>
      </w:r>
      <w:r>
        <w:rPr>
          <w:rFonts w:hint="eastAsia" w:ascii="仿宋" w:hAnsi="仿宋" w:eastAsia="仿宋" w:cs="仿宋"/>
          <w:color w:val="auto"/>
          <w:kern w:val="0"/>
          <w:sz w:val="24"/>
          <w:szCs w:val="24"/>
          <w:highlight w:val="none"/>
          <w:shd w:val="clear" w:color="auto" w:fill="FFFFFF" w:themeFill="background1"/>
          <w:lang w:val="en-US" w:eastAsia="zh-CN"/>
        </w:rPr>
        <w:t>1</w:t>
      </w:r>
      <w:r>
        <w:rPr>
          <w:rFonts w:hint="eastAsia" w:ascii="仿宋" w:hAnsi="仿宋" w:eastAsia="仿宋" w:cs="仿宋"/>
          <w:color w:val="auto"/>
          <w:kern w:val="0"/>
          <w:sz w:val="24"/>
          <w:szCs w:val="24"/>
          <w:highlight w:val="none"/>
          <w:shd w:val="clear" w:color="auto" w:fill="FFFFFF" w:themeFill="background1"/>
        </w:rPr>
        <w:t>响应文件份数：见供应商须知前附表。</w:t>
      </w:r>
    </w:p>
    <w:p w14:paraId="117C24C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w:t>
      </w:r>
      <w:r>
        <w:rPr>
          <w:rFonts w:hint="eastAsia" w:ascii="仿宋" w:hAnsi="仿宋" w:eastAsia="仿宋" w:cs="仿宋"/>
          <w:color w:val="auto"/>
          <w:kern w:val="0"/>
          <w:sz w:val="24"/>
          <w:szCs w:val="24"/>
          <w:highlight w:val="none"/>
          <w:shd w:val="clear" w:color="auto" w:fill="FFFFFF" w:themeFill="background1"/>
          <w:lang w:val="en-US" w:eastAsia="zh-CN"/>
        </w:rPr>
        <w:t>2</w:t>
      </w:r>
      <w:r>
        <w:rPr>
          <w:rFonts w:hint="eastAsia" w:ascii="仿宋" w:hAnsi="仿宋" w:eastAsia="仿宋" w:cs="仿宋"/>
          <w:color w:val="auto"/>
          <w:kern w:val="0"/>
          <w:sz w:val="24"/>
          <w:szCs w:val="24"/>
          <w:highlight w:val="none"/>
          <w:shd w:val="clear" w:color="auto" w:fill="FFFFFF" w:themeFill="background1"/>
        </w:rPr>
        <w:t>响应文件递交：见供应商须知前附表。</w:t>
      </w:r>
    </w:p>
    <w:p w14:paraId="23EB604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w:t>
      </w:r>
      <w:r>
        <w:rPr>
          <w:rFonts w:hint="eastAsia" w:ascii="仿宋" w:hAnsi="仿宋" w:eastAsia="仿宋" w:cs="仿宋"/>
          <w:color w:val="auto"/>
          <w:kern w:val="0"/>
          <w:sz w:val="24"/>
          <w:szCs w:val="24"/>
          <w:highlight w:val="none"/>
          <w:shd w:val="clear" w:color="auto" w:fill="FFFFFF" w:themeFill="background1"/>
          <w:lang w:val="en-US" w:eastAsia="zh-CN"/>
        </w:rPr>
        <w:t>3</w:t>
      </w:r>
      <w:r>
        <w:rPr>
          <w:rFonts w:hint="eastAsia" w:ascii="仿宋" w:hAnsi="仿宋" w:eastAsia="仿宋" w:cs="仿宋"/>
          <w:color w:val="auto"/>
          <w:kern w:val="0"/>
          <w:sz w:val="24"/>
          <w:szCs w:val="24"/>
          <w:highlight w:val="none"/>
          <w:shd w:val="clear" w:color="auto" w:fill="FFFFFF" w:themeFill="background1"/>
        </w:rPr>
        <w:t>开标：见供应商须知前附表。</w:t>
      </w:r>
    </w:p>
    <w:p w14:paraId="43B20A3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w:t>
      </w:r>
      <w:r>
        <w:rPr>
          <w:rFonts w:hint="eastAsia" w:ascii="仿宋" w:hAnsi="仿宋" w:eastAsia="仿宋" w:cs="仿宋"/>
          <w:color w:val="auto"/>
          <w:kern w:val="0"/>
          <w:sz w:val="24"/>
          <w:szCs w:val="24"/>
          <w:highlight w:val="none"/>
          <w:shd w:val="clear" w:color="auto" w:fill="FFFFFF" w:themeFill="background1"/>
          <w:lang w:val="en-US" w:eastAsia="zh-CN"/>
        </w:rPr>
        <w:t>4</w:t>
      </w:r>
      <w:r>
        <w:rPr>
          <w:rFonts w:hint="eastAsia" w:ascii="仿宋" w:hAnsi="仿宋" w:eastAsia="仿宋" w:cs="仿宋"/>
          <w:color w:val="auto"/>
          <w:kern w:val="0"/>
          <w:sz w:val="24"/>
          <w:szCs w:val="24"/>
          <w:highlight w:val="none"/>
          <w:shd w:val="clear" w:color="auto" w:fill="FFFFFF" w:themeFill="background1"/>
        </w:rPr>
        <w:t>响应有效期：见供应商须知前附表。</w:t>
      </w:r>
    </w:p>
    <w:p w14:paraId="5307FC4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w:t>
      </w:r>
      <w:r>
        <w:rPr>
          <w:rFonts w:hint="eastAsia" w:ascii="仿宋" w:hAnsi="仿宋" w:eastAsia="仿宋" w:cs="仿宋"/>
          <w:color w:val="auto"/>
          <w:kern w:val="0"/>
          <w:sz w:val="24"/>
          <w:szCs w:val="24"/>
          <w:highlight w:val="none"/>
          <w:shd w:val="clear" w:color="auto" w:fill="FFFFFF" w:themeFill="background1"/>
          <w:lang w:val="en-US" w:eastAsia="zh-CN"/>
        </w:rPr>
        <w:t>5</w:t>
      </w:r>
      <w:r>
        <w:rPr>
          <w:rFonts w:hint="eastAsia" w:ascii="仿宋" w:hAnsi="仿宋" w:eastAsia="仿宋" w:cs="仿宋"/>
          <w:color w:val="auto"/>
          <w:kern w:val="0"/>
          <w:sz w:val="24"/>
          <w:szCs w:val="24"/>
          <w:highlight w:val="none"/>
          <w:shd w:val="clear" w:color="auto" w:fill="FFFFFF" w:themeFill="background1"/>
        </w:rPr>
        <w:t>公告发布媒体：见供应商须知前附表。</w:t>
      </w:r>
    </w:p>
    <w:p w14:paraId="53A1506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w:t>
      </w:r>
      <w:r>
        <w:rPr>
          <w:rFonts w:hint="eastAsia" w:ascii="仿宋" w:hAnsi="仿宋" w:eastAsia="仿宋" w:cs="仿宋"/>
          <w:color w:val="auto"/>
          <w:kern w:val="0"/>
          <w:sz w:val="24"/>
          <w:szCs w:val="24"/>
          <w:highlight w:val="none"/>
          <w:shd w:val="clear" w:color="auto" w:fill="FFFFFF" w:themeFill="background1"/>
          <w:lang w:val="en-US" w:eastAsia="zh-CN"/>
        </w:rPr>
        <w:t>6</w:t>
      </w:r>
      <w:r>
        <w:rPr>
          <w:rFonts w:hint="eastAsia" w:ascii="仿宋" w:hAnsi="仿宋" w:eastAsia="仿宋" w:cs="仿宋"/>
          <w:color w:val="auto"/>
          <w:kern w:val="0"/>
          <w:sz w:val="24"/>
          <w:szCs w:val="24"/>
          <w:highlight w:val="none"/>
          <w:shd w:val="clear" w:color="auto" w:fill="FFFFFF" w:themeFill="background1"/>
        </w:rPr>
        <w:t>履约保证金：见供应商须知前附表。</w:t>
      </w:r>
    </w:p>
    <w:p w14:paraId="546662F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1.17中小企业政策说明</w:t>
      </w:r>
      <w:r>
        <w:rPr>
          <w:rFonts w:hint="eastAsia" w:ascii="仿宋" w:hAnsi="仿宋" w:eastAsia="仿宋" w:cs="仿宋"/>
          <w:color w:val="auto"/>
          <w:kern w:val="0"/>
          <w:sz w:val="24"/>
          <w:szCs w:val="24"/>
          <w:highlight w:val="none"/>
          <w:shd w:val="clear" w:color="auto" w:fill="FFFFFF" w:themeFill="background1"/>
        </w:rPr>
        <w:t>：见供应商须知前附表。</w:t>
      </w:r>
    </w:p>
    <w:p w14:paraId="573F168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default"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1.18是否允许分包</w:t>
      </w:r>
      <w:r>
        <w:rPr>
          <w:rFonts w:hint="eastAsia" w:ascii="仿宋" w:hAnsi="仿宋" w:eastAsia="仿宋" w:cs="仿宋"/>
          <w:color w:val="auto"/>
          <w:kern w:val="0"/>
          <w:sz w:val="24"/>
          <w:szCs w:val="24"/>
          <w:highlight w:val="none"/>
          <w:shd w:val="clear" w:color="auto" w:fill="FFFFFF" w:themeFill="background1"/>
        </w:rPr>
        <w:t>：见供应商须知前附表。</w:t>
      </w:r>
    </w:p>
    <w:p w14:paraId="27333F3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1.1</w:t>
      </w:r>
      <w:r>
        <w:rPr>
          <w:rFonts w:hint="eastAsia" w:ascii="仿宋" w:hAnsi="仿宋" w:eastAsia="仿宋" w:cs="仿宋"/>
          <w:color w:val="auto"/>
          <w:kern w:val="0"/>
          <w:sz w:val="24"/>
          <w:szCs w:val="24"/>
          <w:highlight w:val="none"/>
          <w:shd w:val="clear" w:color="auto" w:fill="FFFFFF" w:themeFill="background1"/>
          <w:lang w:val="en-US" w:eastAsia="zh-CN"/>
        </w:rPr>
        <w:t>9</w:t>
      </w:r>
      <w:r>
        <w:rPr>
          <w:rFonts w:hint="eastAsia" w:ascii="仿宋" w:hAnsi="仿宋" w:eastAsia="仿宋" w:cs="仿宋"/>
          <w:color w:val="auto"/>
          <w:kern w:val="0"/>
          <w:sz w:val="24"/>
          <w:szCs w:val="24"/>
          <w:highlight w:val="none"/>
          <w:shd w:val="clear" w:color="auto" w:fill="FFFFFF" w:themeFill="background1"/>
        </w:rPr>
        <w:t>保密</w:t>
      </w:r>
    </w:p>
    <w:p w14:paraId="571E542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参与招标投标活动的各方应当对竞争性磋商文件和响应文件中的商业和技术等秘密保密，否则应当承担相应的法律责任。</w:t>
      </w:r>
    </w:p>
    <w:p w14:paraId="0331538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20</w:t>
      </w:r>
      <w:r>
        <w:rPr>
          <w:rFonts w:hint="eastAsia" w:ascii="仿宋" w:hAnsi="仿宋" w:eastAsia="仿宋" w:cs="仿宋"/>
          <w:color w:val="auto"/>
          <w:kern w:val="0"/>
          <w:sz w:val="24"/>
          <w:szCs w:val="24"/>
          <w:highlight w:val="none"/>
          <w:shd w:val="clear" w:color="auto" w:fill="FFFFFF" w:themeFill="background1"/>
        </w:rPr>
        <w:t>语言文字</w:t>
      </w:r>
    </w:p>
    <w:p w14:paraId="09569567">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除专用术语外，与招标投标有关的语言均应当使用中文。必要时专用术语应附有中文注释。</w:t>
      </w:r>
    </w:p>
    <w:p w14:paraId="58E7335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21</w:t>
      </w:r>
      <w:r>
        <w:rPr>
          <w:rFonts w:hint="eastAsia" w:ascii="仿宋" w:hAnsi="仿宋" w:eastAsia="仿宋" w:cs="仿宋"/>
          <w:color w:val="auto"/>
          <w:kern w:val="0"/>
          <w:sz w:val="24"/>
          <w:szCs w:val="24"/>
          <w:highlight w:val="none"/>
          <w:shd w:val="clear" w:color="auto" w:fill="FFFFFF" w:themeFill="background1"/>
        </w:rPr>
        <w:t xml:space="preserve"> 计量单位</w:t>
      </w:r>
    </w:p>
    <w:p w14:paraId="46E32A3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所有计量均采用中华人民共和国法定计量单位。</w:t>
      </w:r>
    </w:p>
    <w:p w14:paraId="059E1F3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val="en-US" w:eastAsia="zh-CN"/>
        </w:rPr>
        <w:t>22</w:t>
      </w:r>
      <w:r>
        <w:rPr>
          <w:rFonts w:hint="eastAsia" w:ascii="仿宋" w:hAnsi="仿宋" w:eastAsia="仿宋" w:cs="仿宋"/>
          <w:color w:val="auto"/>
          <w:kern w:val="0"/>
          <w:sz w:val="24"/>
          <w:szCs w:val="24"/>
          <w:highlight w:val="none"/>
          <w:shd w:val="clear" w:color="auto" w:fill="FFFFFF" w:themeFill="background1"/>
        </w:rPr>
        <w:t xml:space="preserve"> 偏离</w:t>
      </w:r>
    </w:p>
    <w:p w14:paraId="5BA9279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响应文件与竞争性磋商文件某些要求产生偏离的，偏离应当符合竞争性磋商文件规定的偏离范围和幅度。</w:t>
      </w:r>
    </w:p>
    <w:p w14:paraId="32C1517B">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7" w:name="_Toc11089"/>
      <w:r>
        <w:rPr>
          <w:rFonts w:hint="eastAsia" w:ascii="仿宋" w:hAnsi="仿宋" w:eastAsia="仿宋" w:cs="仿宋"/>
          <w:b/>
          <w:color w:val="auto"/>
          <w:sz w:val="24"/>
          <w:szCs w:val="24"/>
          <w:highlight w:val="none"/>
          <w:shd w:val="clear" w:color="auto" w:fill="FFFFFF" w:themeFill="background1"/>
          <w:lang w:val="en-US" w:eastAsia="zh-CN"/>
        </w:rPr>
        <w:t>二、</w:t>
      </w:r>
      <w:r>
        <w:rPr>
          <w:rFonts w:hint="eastAsia" w:ascii="仿宋" w:hAnsi="仿宋" w:eastAsia="仿宋" w:cs="仿宋"/>
          <w:b/>
          <w:color w:val="auto"/>
          <w:sz w:val="24"/>
          <w:szCs w:val="24"/>
          <w:highlight w:val="none"/>
          <w:shd w:val="clear" w:color="auto" w:fill="FFFFFF" w:themeFill="background1"/>
        </w:rPr>
        <w:t>竞争性磋商文件</w:t>
      </w:r>
      <w:bookmarkEnd w:id="7"/>
    </w:p>
    <w:p w14:paraId="309716E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2.1 竞争性磋商文件的组成</w:t>
      </w:r>
    </w:p>
    <w:p w14:paraId="71D7BCD3">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磋商</w:t>
      </w:r>
      <w:r>
        <w:rPr>
          <w:rFonts w:hint="eastAsia" w:ascii="仿宋" w:hAnsi="仿宋" w:eastAsia="仿宋" w:cs="仿宋"/>
          <w:color w:val="auto"/>
          <w:kern w:val="0"/>
          <w:sz w:val="24"/>
          <w:szCs w:val="24"/>
          <w:highlight w:val="none"/>
        </w:rPr>
        <w:t>公告</w:t>
      </w:r>
    </w:p>
    <w:p w14:paraId="6B60A9D3">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en-US" w:eastAsia="zh-CN"/>
        </w:rPr>
        <w:t>供应商</w:t>
      </w:r>
      <w:r>
        <w:rPr>
          <w:rFonts w:hint="eastAsia" w:ascii="仿宋" w:hAnsi="仿宋" w:eastAsia="仿宋" w:cs="仿宋"/>
          <w:color w:val="auto"/>
          <w:kern w:val="0"/>
          <w:sz w:val="24"/>
          <w:szCs w:val="24"/>
          <w:highlight w:val="none"/>
        </w:rPr>
        <w:t>须知前附表</w:t>
      </w:r>
    </w:p>
    <w:p w14:paraId="41C20FBF">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r>
        <w:rPr>
          <w:rFonts w:hint="eastAsia" w:ascii="仿宋" w:hAnsi="仿宋" w:eastAsia="仿宋" w:cs="仿宋"/>
          <w:color w:val="auto"/>
          <w:kern w:val="0"/>
          <w:sz w:val="24"/>
          <w:szCs w:val="24"/>
          <w:highlight w:val="none"/>
          <w:lang w:val="en-US" w:eastAsia="zh-CN"/>
        </w:rPr>
        <w:t>供应商</w:t>
      </w:r>
      <w:r>
        <w:rPr>
          <w:rFonts w:hint="eastAsia" w:ascii="仿宋" w:hAnsi="仿宋" w:eastAsia="仿宋" w:cs="仿宋"/>
          <w:color w:val="auto"/>
          <w:kern w:val="0"/>
          <w:sz w:val="24"/>
          <w:szCs w:val="24"/>
          <w:highlight w:val="none"/>
        </w:rPr>
        <w:t>须知</w:t>
      </w:r>
    </w:p>
    <w:p w14:paraId="4A67696C">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r>
        <w:rPr>
          <w:rFonts w:hint="eastAsia" w:ascii="仿宋" w:hAnsi="仿宋" w:eastAsia="仿宋" w:cs="仿宋"/>
          <w:color w:val="auto"/>
          <w:kern w:val="0"/>
          <w:sz w:val="24"/>
          <w:szCs w:val="24"/>
          <w:highlight w:val="none"/>
          <w:lang w:val="en-US" w:eastAsia="zh-CN"/>
        </w:rPr>
        <w:t>评审</w:t>
      </w:r>
      <w:r>
        <w:rPr>
          <w:rFonts w:hint="eastAsia" w:ascii="仿宋" w:hAnsi="仿宋" w:eastAsia="仿宋" w:cs="仿宋"/>
          <w:color w:val="auto"/>
          <w:kern w:val="0"/>
          <w:sz w:val="24"/>
          <w:szCs w:val="24"/>
          <w:highlight w:val="none"/>
        </w:rPr>
        <w:t>办法</w:t>
      </w:r>
    </w:p>
    <w:p w14:paraId="7942F647">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（5）合同</w:t>
      </w:r>
      <w:r>
        <w:rPr>
          <w:rFonts w:hint="eastAsia" w:ascii="仿宋" w:hAnsi="仿宋" w:eastAsia="仿宋" w:cs="仿宋"/>
          <w:color w:val="auto"/>
          <w:kern w:val="0"/>
          <w:sz w:val="24"/>
          <w:szCs w:val="24"/>
          <w:highlight w:val="none"/>
          <w:lang w:val="en-US" w:eastAsia="zh-CN"/>
        </w:rPr>
        <w:t>文本</w:t>
      </w:r>
      <w:r>
        <w:rPr>
          <w:rFonts w:hint="eastAsia" w:ascii="仿宋" w:hAnsi="仿宋" w:eastAsia="仿宋" w:cs="仿宋"/>
          <w:color w:val="auto"/>
          <w:kern w:val="0"/>
          <w:sz w:val="24"/>
          <w:szCs w:val="24"/>
          <w:highlight w:val="none"/>
        </w:rPr>
        <w:t>；</w:t>
      </w:r>
    </w:p>
    <w:p w14:paraId="53A2F5C8">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w:t>
      </w:r>
      <w:r>
        <w:rPr>
          <w:rFonts w:hint="eastAsia" w:ascii="仿宋" w:hAnsi="仿宋" w:eastAsia="仿宋" w:cs="仿宋"/>
          <w:color w:val="auto"/>
          <w:kern w:val="0"/>
          <w:sz w:val="24"/>
          <w:szCs w:val="24"/>
          <w:highlight w:val="none"/>
          <w:lang w:val="en-US" w:eastAsia="zh-CN"/>
        </w:rPr>
        <w:t>服务</w:t>
      </w:r>
      <w:r>
        <w:rPr>
          <w:rFonts w:hint="eastAsia" w:ascii="仿宋" w:hAnsi="仿宋" w:eastAsia="仿宋" w:cs="仿宋"/>
          <w:color w:val="auto"/>
          <w:kern w:val="0"/>
          <w:sz w:val="24"/>
          <w:szCs w:val="24"/>
          <w:highlight w:val="none"/>
        </w:rPr>
        <w:t>标准和要求；</w:t>
      </w:r>
    </w:p>
    <w:p w14:paraId="00D862CC">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w:t>
      </w:r>
      <w:r>
        <w:rPr>
          <w:rFonts w:hint="eastAsia" w:ascii="仿宋" w:hAnsi="仿宋" w:eastAsia="仿宋" w:cs="仿宋"/>
          <w:color w:val="auto"/>
          <w:kern w:val="0"/>
          <w:sz w:val="24"/>
          <w:szCs w:val="24"/>
          <w:highlight w:val="none"/>
          <w:lang w:val="en-US" w:eastAsia="zh-CN"/>
        </w:rPr>
        <w:t>响应</w:t>
      </w:r>
      <w:r>
        <w:rPr>
          <w:rFonts w:hint="eastAsia" w:ascii="仿宋" w:hAnsi="仿宋" w:eastAsia="仿宋" w:cs="仿宋"/>
          <w:color w:val="auto"/>
          <w:kern w:val="0"/>
          <w:sz w:val="24"/>
          <w:szCs w:val="24"/>
          <w:highlight w:val="none"/>
        </w:rPr>
        <w:t>文件格式；</w:t>
      </w:r>
    </w:p>
    <w:p w14:paraId="023BB885">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（8）补充条款。</w:t>
      </w:r>
    </w:p>
    <w:p w14:paraId="188B1F9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根据本章第2.3款和第2.4款对竞争性磋商文件所作的澄清、修改，构成竞争性磋商文件的组成部分。</w:t>
      </w:r>
    </w:p>
    <w:p w14:paraId="66C5C67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2.2 竞争性磋商文件的获取</w:t>
      </w:r>
    </w:p>
    <w:p w14:paraId="2263396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凡有意参加并符合供应商须知前附表“</w:t>
      </w:r>
      <w:r>
        <w:rPr>
          <w:rFonts w:hint="eastAsia" w:ascii="仿宋" w:hAnsi="仿宋" w:eastAsia="仿宋" w:cs="仿宋"/>
          <w:color w:val="auto"/>
          <w:kern w:val="0"/>
          <w:sz w:val="24"/>
          <w:szCs w:val="24"/>
          <w:highlight w:val="none"/>
          <w:shd w:val="clear" w:color="auto" w:fill="FFFFFF" w:themeFill="background1"/>
          <w:lang w:eastAsia="zh-CN"/>
        </w:rPr>
        <w:t>供应商最低资格条件</w:t>
      </w:r>
      <w:r>
        <w:rPr>
          <w:rFonts w:hint="eastAsia" w:ascii="仿宋" w:hAnsi="仿宋" w:eastAsia="仿宋" w:cs="仿宋"/>
          <w:color w:val="auto"/>
          <w:kern w:val="0"/>
          <w:sz w:val="24"/>
          <w:szCs w:val="24"/>
          <w:highlight w:val="none"/>
          <w:shd w:val="clear" w:color="auto" w:fill="FFFFFF" w:themeFill="background1"/>
        </w:rPr>
        <w:t>”的供应商，均可获取竞争性磋商文件。</w:t>
      </w:r>
    </w:p>
    <w:p w14:paraId="7ADE202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2.3 竞争性磋商文件的澄清</w:t>
      </w:r>
    </w:p>
    <w:p w14:paraId="4EE8EB9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2.3.1 供应商应当仔细阅读和检查竞争性磋商文件的全部内容。如发现缺页或附件不全，应当及时向采购人提出，以便补齐。如有疑问，应当在供应商须知前附表规定的时间、方式向采购人提出，要求采购人对竞争性磋商文件予以澄清。</w:t>
      </w:r>
    </w:p>
    <w:p w14:paraId="61B33EE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2.3.2 竞争性磋商文件的澄清将按照供应商须知前附表规定的时间、方式发布，但不指明澄清问题的来源。</w:t>
      </w:r>
    </w:p>
    <w:p w14:paraId="3CCC0CF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2.4竞争性磋商文件的修改</w:t>
      </w:r>
    </w:p>
    <w:p w14:paraId="0A539AA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2.4.1 竞争性磋商文件的修改将按照供应商须知前附表规定的时间、方式发布，但不指明澄清问题的来源。</w:t>
      </w:r>
    </w:p>
    <w:p w14:paraId="5C19B61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2.4.2 在供应商须知前附表规定的截止时间前，无论出于何种原因，采购代理机构和采购人可主动地或在解答潜在供应商提出的澄清问题时对竞争性磋商文件进行修改。</w:t>
      </w:r>
    </w:p>
    <w:p w14:paraId="6AD8A3F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2.4.3 竞争性磋商文件的修改部分是竞争性磋商文件的组成部分对供应商具有约束力。</w:t>
      </w:r>
    </w:p>
    <w:p w14:paraId="331BC4F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2.4.4 为使供应商准备投标时有充分时间对竞争性磋商文件的修改部分进行研究，采购人可适当推迟投标截止期。</w:t>
      </w:r>
    </w:p>
    <w:p w14:paraId="4928566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2.4.5 当采购人发放的竞争性磋商文件及竞争性磋商文件的答疑文件、修改文件、补充文件前后不一致，发生矛盾情况时，以最后发出的为准。</w:t>
      </w:r>
    </w:p>
    <w:p w14:paraId="1B87513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2.4.6 如果竞争性磋商文件各个组成部分之间出现歧义或相互矛盾，或任何文件中呈现明显的或不符合逻辑等的错误，或在文件编写过程中经常出现的打印错误等，供应商应将需要澄清的内容在供应商须知前附表规定的时间之前提出。根据合同条款中的相关约定，如果供应商在投标过程中未能发现并对有关歧义、矛盾或错误提出澄清请求，而在成交后发现并提出，成交供应商将必须接受由采购人依据合同有关条款而做出的书面澄清。</w:t>
      </w:r>
    </w:p>
    <w:p w14:paraId="51CE9103">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8" w:name="_BookMark_6"/>
      <w:bookmarkEnd w:id="8"/>
      <w:bookmarkStart w:id="9" w:name="_Toc28143"/>
      <w:r>
        <w:rPr>
          <w:rFonts w:hint="eastAsia" w:ascii="仿宋" w:hAnsi="仿宋" w:eastAsia="仿宋" w:cs="仿宋"/>
          <w:b/>
          <w:color w:val="auto"/>
          <w:sz w:val="24"/>
          <w:szCs w:val="24"/>
          <w:highlight w:val="none"/>
          <w:shd w:val="clear" w:color="auto" w:fill="FFFFFF" w:themeFill="background1"/>
          <w:lang w:val="en-US" w:eastAsia="zh-CN"/>
        </w:rPr>
        <w:t>三、</w:t>
      </w:r>
      <w:r>
        <w:rPr>
          <w:rFonts w:hint="eastAsia" w:ascii="仿宋" w:hAnsi="仿宋" w:eastAsia="仿宋" w:cs="仿宋"/>
          <w:b/>
          <w:color w:val="auto"/>
          <w:sz w:val="24"/>
          <w:szCs w:val="24"/>
          <w:highlight w:val="none"/>
          <w:shd w:val="clear" w:color="auto" w:fill="FFFFFF" w:themeFill="background1"/>
        </w:rPr>
        <w:t>响应文件</w:t>
      </w:r>
      <w:bookmarkEnd w:id="9"/>
    </w:p>
    <w:p w14:paraId="59DCE95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3.1 响应文件的组成</w:t>
      </w:r>
    </w:p>
    <w:p w14:paraId="0AD5F00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3.1.1响应文件应包括下列内容：</w:t>
      </w:r>
    </w:p>
    <w:p w14:paraId="0D93C402">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一</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、投标函</w:t>
      </w:r>
    </w:p>
    <w:p w14:paraId="1FE55767">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二</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、磋商价格明细表</w:t>
      </w:r>
    </w:p>
    <w:p w14:paraId="2EDD7BD0">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三</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、商务条款偏离表</w:t>
      </w:r>
    </w:p>
    <w:p w14:paraId="29EBC915">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四</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、技术条款偏离表</w:t>
      </w:r>
    </w:p>
    <w:p w14:paraId="16F0EF81">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五</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、法定代表人身份证明书</w:t>
      </w:r>
    </w:p>
    <w:p w14:paraId="4D7E7428">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六</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、法定代表人授权委托书</w:t>
      </w:r>
    </w:p>
    <w:p w14:paraId="4BD26CAA">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七</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、供应商资格条件证明材料</w:t>
      </w:r>
    </w:p>
    <w:p w14:paraId="3ECD5909">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八</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、供应商近年类似项目业绩表</w:t>
      </w:r>
    </w:p>
    <w:p w14:paraId="78EFE35A">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九</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w:t>
      </w:r>
      <w:r>
        <w:rPr>
          <w:rFonts w:hint="eastAsia" w:ascii="仿宋" w:hAnsi="仿宋" w:eastAsia="仿宋" w:cs="仿宋"/>
          <w:bCs/>
          <w:color w:val="auto"/>
          <w:sz w:val="24"/>
          <w:szCs w:val="24"/>
          <w:highlight w:val="none"/>
          <w:shd w:val="clear" w:color="auto" w:fill="FFFFFF" w:themeFill="background1"/>
          <w:lang w:eastAsia="zh-CN"/>
        </w:rPr>
        <w:t>项目负责人</w:t>
      </w:r>
      <w:r>
        <w:rPr>
          <w:rFonts w:hint="eastAsia" w:ascii="仿宋" w:hAnsi="仿宋" w:eastAsia="仿宋" w:cs="仿宋"/>
          <w:bCs/>
          <w:color w:val="auto"/>
          <w:sz w:val="24"/>
          <w:szCs w:val="24"/>
          <w:highlight w:val="none"/>
          <w:shd w:val="clear" w:color="auto" w:fill="FFFFFF" w:themeFill="background1"/>
        </w:rPr>
        <w:t>简历表</w:t>
      </w:r>
    </w:p>
    <w:p w14:paraId="534D172B">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十</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w:t>
      </w:r>
      <w:r>
        <w:rPr>
          <w:rFonts w:hint="eastAsia" w:ascii="仿宋" w:hAnsi="仿宋" w:eastAsia="仿宋" w:cs="仿宋"/>
          <w:bCs/>
          <w:color w:val="auto"/>
          <w:sz w:val="24"/>
          <w:szCs w:val="24"/>
          <w:highlight w:val="none"/>
          <w:shd w:val="clear" w:color="auto" w:fill="FFFFFF" w:themeFill="background1"/>
          <w:lang w:eastAsia="zh-CN"/>
        </w:rPr>
        <w:t>拟派主要服务人员</w:t>
      </w:r>
    </w:p>
    <w:p w14:paraId="4505C00A">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十一</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、服务方案</w:t>
      </w:r>
    </w:p>
    <w:p w14:paraId="6704E0C6">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十二</w:t>
      </w:r>
      <w:r>
        <w:rPr>
          <w:rFonts w:hint="eastAsia" w:ascii="仿宋" w:hAnsi="仿宋" w:eastAsia="仿宋" w:cs="仿宋"/>
          <w:bCs/>
          <w:color w:val="auto"/>
          <w:sz w:val="24"/>
          <w:szCs w:val="24"/>
          <w:highlight w:val="none"/>
          <w:shd w:val="clear" w:color="auto" w:fill="FFFFFF" w:themeFill="background1"/>
          <w:lang w:eastAsia="zh-CN"/>
        </w:rPr>
        <w:t>）</w:t>
      </w:r>
      <w:r>
        <w:rPr>
          <w:rFonts w:hint="eastAsia" w:ascii="仿宋" w:hAnsi="仿宋" w:eastAsia="仿宋" w:cs="仿宋"/>
          <w:bCs/>
          <w:color w:val="auto"/>
          <w:sz w:val="24"/>
          <w:szCs w:val="24"/>
          <w:highlight w:val="none"/>
          <w:shd w:val="clear" w:color="auto" w:fill="FFFFFF" w:themeFill="background1"/>
        </w:rPr>
        <w:t>、其他需要提交的资料</w:t>
      </w:r>
      <w:r>
        <w:rPr>
          <w:rFonts w:hint="eastAsia" w:ascii="仿宋" w:hAnsi="仿宋" w:eastAsia="仿宋" w:cs="仿宋"/>
          <w:bCs/>
          <w:color w:val="auto"/>
          <w:sz w:val="24"/>
          <w:szCs w:val="24"/>
          <w:highlight w:val="none"/>
          <w:shd w:val="clear" w:color="auto" w:fill="FFFFFF" w:themeFill="background1"/>
        </w:rPr>
        <w:tab/>
      </w:r>
    </w:p>
    <w:p w14:paraId="307A75D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 磋商价格</w:t>
      </w:r>
    </w:p>
    <w:p w14:paraId="5214D3B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3.2.1 供应商应当按第四章“服务标准和要求”的规定进行报价，并填写第五章“响应文件格式”中的磋商价格明细表。</w:t>
      </w:r>
    </w:p>
    <w:p w14:paraId="2FA4D2A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3.2.2本次磋商采用二轮报价法，第二轮报价时长由磋商小组成员根据现场情况设定，供应商必须在规定时间内报价，超时无效；若供应商未进行第二轮报价，视为以第一轮报价为准。</w:t>
      </w:r>
    </w:p>
    <w:p w14:paraId="29F8B21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3.2.3供应商递交的响应文件中的报价为第一轮报价，第一轮报价与第二轮报价超出本项目采购预算金额的视为无效磋商。</w:t>
      </w:r>
    </w:p>
    <w:p w14:paraId="085B76A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3.2.4供应商提供的服务一律用人民币报价。</w:t>
      </w:r>
    </w:p>
    <w:p w14:paraId="6A38A04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3.2.5供应商的服务只允许有一个报价，采购人不接受有任何选择的报价。磋商价格应包括供应商履行本项目合同（如果成交）所必须的所有成本费用和成交供应商应承担的一切费用，包括但不仅限于必要资料、交通、保险、人工费、税费等一切费用。未列和没有填写的项目费用，采购人将视为已包括在磋商价格中。</w:t>
      </w:r>
    </w:p>
    <w:p w14:paraId="37C0E22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3.3 响应有效期</w:t>
      </w:r>
    </w:p>
    <w:p w14:paraId="5CC2AB2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3.3.1 在供应商须知前附表规定的响应有效期内，供应商不得要求撤销或修改其响应文件。</w:t>
      </w:r>
    </w:p>
    <w:p w14:paraId="5FE4AB7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3.3.2 出现特殊情况需要延长响应有效期的，采购人将通知所有供应商延长响应有效期。供应商同意延长的，应当相应延长其磋商保证金的有效期，但不得要求或被允许修改或撤销其响应文件；供应商拒绝延长的，其投标失效，但供应商有权收回其磋商保证金。 </w:t>
      </w:r>
    </w:p>
    <w:p w14:paraId="7B967ED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3.3.3 磋商保证金的有效期与响应有效期一致。</w:t>
      </w:r>
    </w:p>
    <w:p w14:paraId="133BDB5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 磋商保证金</w:t>
      </w:r>
    </w:p>
    <w:p w14:paraId="682CD11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3.4.1 供应商应于响应文件递交截止时间前按供应商须知前附表规定数额提交磋商保证金。未提交磋商保证金的，将被视为非响应性投标而予以拒绝。联合体磋商投标的，其磋商保证金由牵头人递交，并应符合供应商须知前附表的规定。</w:t>
      </w:r>
    </w:p>
    <w:p w14:paraId="5803822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3.4.2</w:t>
      </w:r>
      <w:r>
        <w:rPr>
          <w:rFonts w:hint="eastAsia" w:ascii="仿宋" w:hAnsi="仿宋" w:eastAsia="仿宋" w:cs="仿宋"/>
          <w:color w:val="auto"/>
          <w:sz w:val="24"/>
          <w:szCs w:val="24"/>
          <w:highlight w:val="none"/>
          <w:shd w:val="clear" w:color="auto" w:fill="FFFFFF" w:themeFill="background1"/>
        </w:rPr>
        <w:t>磋商保证金以支票、汇票、本票或者金融机构、担保机构出具的保函等非现金形式提交至采购代理机构。</w:t>
      </w:r>
    </w:p>
    <w:p w14:paraId="3620248A">
      <w:pPr>
        <w:keepLines w:val="0"/>
        <w:pageBreakBefore w:val="0"/>
        <w:shd w:val="clear" w:color="auto" w:fill="FFFFFF"/>
        <w:kinsoku/>
        <w:overflowPunct/>
        <w:topLinePunct w:val="0"/>
        <w:bidi w:val="0"/>
        <w:snapToGrid w:val="0"/>
        <w:spacing w:beforeAutospacing="0" w:afterAutospacing="0" w:line="360" w:lineRule="auto"/>
        <w:ind w:firstLine="360" w:firstLineChars="15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采购代理机构名称：新疆新世纪招标有限公司</w:t>
      </w:r>
    </w:p>
    <w:p w14:paraId="02A0C12A">
      <w:pPr>
        <w:keepLines w:val="0"/>
        <w:pageBreakBefore w:val="0"/>
        <w:shd w:val="clear" w:color="auto" w:fill="FFFFFF"/>
        <w:kinsoku/>
        <w:overflowPunct/>
        <w:topLinePunct w:val="0"/>
        <w:bidi w:val="0"/>
        <w:snapToGrid w:val="0"/>
        <w:spacing w:beforeAutospacing="0" w:afterAutospacing="0" w:line="360" w:lineRule="auto"/>
        <w:ind w:firstLine="360" w:firstLineChars="15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纳税人识别号：91650100726988855F</w:t>
      </w:r>
    </w:p>
    <w:p w14:paraId="01347168">
      <w:pPr>
        <w:keepLines w:val="0"/>
        <w:pageBreakBefore w:val="0"/>
        <w:shd w:val="clear" w:color="auto" w:fill="FFFFFF"/>
        <w:kinsoku/>
        <w:overflowPunct/>
        <w:topLinePunct w:val="0"/>
        <w:bidi w:val="0"/>
        <w:snapToGrid w:val="0"/>
        <w:spacing w:beforeAutospacing="0" w:afterAutospacing="0" w:line="360" w:lineRule="auto"/>
        <w:ind w:firstLine="360" w:firstLineChars="15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开户行：中国农业银行乌鲁木齐新民西街支行</w:t>
      </w:r>
    </w:p>
    <w:p w14:paraId="0DAC491F">
      <w:pPr>
        <w:keepLines w:val="0"/>
        <w:pageBreakBefore w:val="0"/>
        <w:shd w:val="clear" w:color="auto" w:fill="FFFFFF"/>
        <w:kinsoku/>
        <w:overflowPunct/>
        <w:topLinePunct w:val="0"/>
        <w:bidi w:val="0"/>
        <w:snapToGrid w:val="0"/>
        <w:spacing w:beforeAutospacing="0" w:afterAutospacing="0" w:line="360" w:lineRule="auto"/>
        <w:ind w:firstLine="360" w:firstLineChars="15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账号：30014701040000595</w:t>
      </w:r>
    </w:p>
    <w:p w14:paraId="3D0438C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3.4.3 磋商保证金是为了保护采购人免遭因供应商的行为而蒙受损失。采购人在因供应商的行为受到损害时可根据相关法律规定没收供应商的磋商保证金。</w:t>
      </w:r>
    </w:p>
    <w:p w14:paraId="0AD45017">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3.4.4 采购人或者采购代理机构应当自成交通知书发出之日起5个工作日内退还未成交供应商的磋商保证金，自采购合同签订之日起5个工作日内退还成交供应商的磋商保证金。</w:t>
      </w:r>
    </w:p>
    <w:p w14:paraId="3439D22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3.4.5磋商保证金有效期与响应有效期一致。</w:t>
      </w:r>
    </w:p>
    <w:p w14:paraId="238EB38F">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3.4.6有下列情形之一的，磋商保证金不予退还：</w:t>
      </w:r>
    </w:p>
    <w:p w14:paraId="2EB7A7BF">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（1）供应商在规定的响应有效期内撤销或修改其响应文件的；</w:t>
      </w:r>
    </w:p>
    <w:p w14:paraId="3720CCC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（2）成交供应商在收到成交通知书后，无正当理由拒签合同协议书或在签订合同时提出附加条件或者更改合同实质性内容的；</w:t>
      </w:r>
    </w:p>
    <w:p w14:paraId="4A5B576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（3）未按竞争性磋商文件规定提交履约保证金的。</w:t>
      </w:r>
    </w:p>
    <w:p w14:paraId="7C573EFF">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bookmarkStart w:id="10" w:name="_BookMark_7"/>
      <w:bookmarkEnd w:id="10"/>
      <w:bookmarkStart w:id="11" w:name="_Toc139809021"/>
      <w:bookmarkStart w:id="12" w:name="_Toc10597"/>
      <w:r>
        <w:rPr>
          <w:rFonts w:hint="eastAsia" w:ascii="仿宋" w:hAnsi="仿宋" w:eastAsia="仿宋" w:cs="仿宋"/>
          <w:color w:val="auto"/>
          <w:kern w:val="0"/>
          <w:sz w:val="24"/>
          <w:szCs w:val="24"/>
          <w:highlight w:val="none"/>
          <w:shd w:val="clear" w:color="auto" w:fill="FFFFFF" w:themeFill="background1"/>
        </w:rPr>
        <w:t>3.5 响应文件的编制</w:t>
      </w:r>
    </w:p>
    <w:p w14:paraId="6514154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3.5.1响应文件应按第五章“响应文件格式”进行编写，如有必要，可以增加附页，作为响应文件的组成部分。</w:t>
      </w:r>
    </w:p>
    <w:p w14:paraId="6B40952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3.5.2响应文件应当对竞争性磋商文件有关采购范围、技术与服务要求等实质性内容做出响应。</w:t>
      </w:r>
    </w:p>
    <w:p w14:paraId="426ECC6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3.5.3电子响应文件使用政采云平台响应文件制作工具以及竞争性磋商文件要求进行制作编制。响应文件制作时，按照竞争性磋商文件中明确的响应文件目录和格式进行编制，保证目录清晰、内容完整。</w:t>
      </w:r>
    </w:p>
    <w:p w14:paraId="0C50749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rPr>
        <w:t>3.5.4电子响应文件须使用供应商</w:t>
      </w:r>
      <w:r>
        <w:rPr>
          <w:rFonts w:hint="eastAsia" w:ascii="仿宋" w:hAnsi="仿宋" w:eastAsia="仿宋" w:cs="仿宋"/>
          <w:color w:val="auto"/>
          <w:kern w:val="0"/>
          <w:sz w:val="24"/>
          <w:szCs w:val="24"/>
          <w:highlight w:val="none"/>
          <w:shd w:val="clear" w:color="auto" w:fill="FFFFFF" w:themeFill="background1"/>
          <w:lang w:val="en-US" w:eastAsia="zh-CN"/>
        </w:rPr>
        <w:t>的</w:t>
      </w:r>
      <w:r>
        <w:rPr>
          <w:rFonts w:hint="eastAsia" w:ascii="仿宋" w:hAnsi="仿宋" w:eastAsia="仿宋" w:cs="仿宋"/>
          <w:color w:val="auto"/>
          <w:kern w:val="0"/>
          <w:sz w:val="24"/>
          <w:szCs w:val="24"/>
          <w:highlight w:val="none"/>
          <w:shd w:val="clear" w:color="auto" w:fill="FFFFFF" w:themeFill="background1"/>
        </w:rPr>
        <w:t>电子公章及法定代表人的电子</w:t>
      </w:r>
      <w:r>
        <w:rPr>
          <w:rFonts w:hint="eastAsia" w:ascii="仿宋" w:hAnsi="仿宋" w:eastAsia="仿宋" w:cs="仿宋"/>
          <w:color w:val="auto"/>
          <w:kern w:val="0"/>
          <w:sz w:val="24"/>
          <w:szCs w:val="24"/>
          <w:highlight w:val="none"/>
          <w:shd w:val="clear" w:color="auto" w:fill="FFFFFF" w:themeFill="background1"/>
          <w:lang w:val="en-US" w:eastAsia="zh-CN"/>
        </w:rPr>
        <w:t>印章（电子签名具有同等效力）。</w:t>
      </w:r>
    </w:p>
    <w:p w14:paraId="170796B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3.5.5电子招</w:t>
      </w:r>
      <w:r>
        <w:rPr>
          <w:rFonts w:hint="eastAsia" w:ascii="仿宋" w:hAnsi="仿宋" w:eastAsia="仿宋" w:cs="仿宋"/>
          <w:color w:val="auto"/>
          <w:kern w:val="0"/>
          <w:sz w:val="24"/>
          <w:szCs w:val="24"/>
          <w:highlight w:val="none"/>
          <w:shd w:val="clear" w:color="auto" w:fill="FFFFFF" w:themeFill="background1"/>
          <w:lang w:eastAsia="zh-CN"/>
        </w:rPr>
        <w:t>响应文件</w:t>
      </w:r>
      <w:r>
        <w:rPr>
          <w:rFonts w:hint="eastAsia" w:ascii="仿宋" w:hAnsi="仿宋" w:eastAsia="仿宋" w:cs="仿宋"/>
          <w:color w:val="auto"/>
          <w:kern w:val="0"/>
          <w:sz w:val="24"/>
          <w:szCs w:val="24"/>
          <w:highlight w:val="none"/>
          <w:shd w:val="clear" w:color="auto" w:fill="FFFFFF" w:themeFill="background1"/>
        </w:rPr>
        <w:t>具有法律效力，与其他形式的</w:t>
      </w:r>
      <w:r>
        <w:rPr>
          <w:rFonts w:hint="eastAsia" w:ascii="仿宋" w:hAnsi="仿宋" w:eastAsia="仿宋" w:cs="仿宋"/>
          <w:color w:val="auto"/>
          <w:kern w:val="0"/>
          <w:sz w:val="24"/>
          <w:szCs w:val="24"/>
          <w:highlight w:val="none"/>
          <w:shd w:val="clear" w:color="auto" w:fill="FFFFFF" w:themeFill="background1"/>
          <w:lang w:val="en-US" w:eastAsia="zh-CN"/>
        </w:rPr>
        <w:t>响应</w:t>
      </w:r>
      <w:r>
        <w:rPr>
          <w:rFonts w:hint="eastAsia" w:ascii="仿宋" w:hAnsi="仿宋" w:eastAsia="仿宋" w:cs="仿宋"/>
          <w:color w:val="auto"/>
          <w:kern w:val="0"/>
          <w:sz w:val="24"/>
          <w:szCs w:val="24"/>
          <w:highlight w:val="none"/>
          <w:shd w:val="clear" w:color="auto" w:fill="FFFFFF" w:themeFill="background1"/>
        </w:rPr>
        <w:t>文件在内容和格式上等同，若响应文件与竞争性磋商文件要求不一致，其内容影响成交结果时，责任由供应商自行承担。供应商递交的电子响应文件因供应商自身原因而导致无法导入电子评标系统，该响应文件视为无效响应文件，将导致其投标被拒绝。</w:t>
      </w:r>
    </w:p>
    <w:p w14:paraId="50D195E4">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13" w:name="_Toc2052"/>
      <w:r>
        <w:rPr>
          <w:rFonts w:hint="eastAsia" w:ascii="仿宋" w:hAnsi="仿宋" w:eastAsia="仿宋" w:cs="仿宋"/>
          <w:b/>
          <w:color w:val="auto"/>
          <w:sz w:val="24"/>
          <w:szCs w:val="24"/>
          <w:highlight w:val="none"/>
          <w:shd w:val="clear" w:color="auto" w:fill="FFFFFF" w:themeFill="background1"/>
          <w:lang w:val="en-US" w:eastAsia="zh-CN"/>
        </w:rPr>
        <w:t>四、</w:t>
      </w:r>
      <w:r>
        <w:rPr>
          <w:rFonts w:hint="eastAsia" w:ascii="仿宋" w:hAnsi="仿宋" w:eastAsia="仿宋" w:cs="仿宋"/>
          <w:b/>
          <w:color w:val="auto"/>
          <w:sz w:val="24"/>
          <w:szCs w:val="24"/>
          <w:highlight w:val="none"/>
          <w:shd w:val="clear" w:color="auto" w:fill="FFFFFF" w:themeFill="background1"/>
        </w:rPr>
        <w:t>投标</w:t>
      </w:r>
      <w:bookmarkEnd w:id="11"/>
      <w:bookmarkEnd w:id="13"/>
    </w:p>
    <w:p w14:paraId="6601222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4.1本次采购采用电子交易方式，电子交易平台为“政采云平台（https://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投标或投标失败等后果由供应商自行承担。 </w:t>
      </w:r>
    </w:p>
    <w:p w14:paraId="0700933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4.2供应商将政采云电子交易客户端下载、安装完成后，可通过账号密码或CA登录客户端进行响应文件制作。在使用政采云投标客户端时，建议使用WIN7及以上操作系统。客户端请至新疆政府采购网（www.ccgp-xinjiang.gov.cn）下载专区查看，如有问题可拨打政采云客户服务热线95763进行咨询。</w:t>
      </w:r>
    </w:p>
    <w:p w14:paraId="04FF727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4.3响应文件的递交</w:t>
      </w:r>
    </w:p>
    <w:p w14:paraId="4730A61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4.3.1加密的电子响应文件应在响应文件递交截止时间前通过政采云平台上传完成。逾期上传或者未上传指定地点的响应文件，采购人不予受理。</w:t>
      </w:r>
    </w:p>
    <w:p w14:paraId="59C4EFB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4.3.2采购人事先约定延长响应文件递交截止时间的，采购人与供应商以前的投标截止期方面的全部权利、责任和义务，将适用延长至新的投标截止期。</w:t>
      </w:r>
    </w:p>
    <w:p w14:paraId="63D7A8BF">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4.3.3供应商或其响应文件存在下列情形之一的，采购人对其响应文件不予受理：</w:t>
      </w:r>
    </w:p>
    <w:p w14:paraId="6031D75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（1）逾期上传的响应文件；</w:t>
      </w:r>
    </w:p>
    <w:p w14:paraId="086B99C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（2）未按本章第4.2.1款要求加密的响应文件。</w:t>
      </w:r>
    </w:p>
    <w:p w14:paraId="2D42241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bookmarkStart w:id="14" w:name="_BookMark_8"/>
      <w:bookmarkEnd w:id="14"/>
      <w:r>
        <w:rPr>
          <w:rFonts w:hint="eastAsia" w:ascii="仿宋" w:hAnsi="仿宋" w:eastAsia="仿宋" w:cs="仿宋"/>
          <w:color w:val="auto"/>
          <w:kern w:val="0"/>
          <w:sz w:val="24"/>
          <w:szCs w:val="24"/>
          <w:highlight w:val="none"/>
          <w:shd w:val="clear" w:color="auto" w:fill="FFFFFF" w:themeFill="background1"/>
        </w:rPr>
        <w:t>4.4响应文件的修改与撤回</w:t>
      </w:r>
    </w:p>
    <w:p w14:paraId="2F5B1BB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sz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4.4.1</w:t>
      </w:r>
      <w:r>
        <w:rPr>
          <w:rFonts w:hint="eastAsia" w:ascii="仿宋" w:hAnsi="仿宋" w:eastAsia="仿宋" w:cs="仿宋"/>
          <w:color w:val="auto"/>
          <w:sz w:val="24"/>
          <w:highlight w:val="none"/>
          <w:shd w:val="clear" w:color="auto" w:fill="FFFFFF" w:themeFill="background1"/>
        </w:rPr>
        <w:t>供应商应在</w:t>
      </w:r>
      <w:r>
        <w:rPr>
          <w:rFonts w:hint="eastAsia" w:ascii="仿宋" w:hAnsi="仿宋" w:eastAsia="仿宋" w:cs="仿宋"/>
          <w:color w:val="auto"/>
          <w:sz w:val="24"/>
          <w:highlight w:val="none"/>
          <w:shd w:val="clear" w:color="auto" w:fill="FFFFFF" w:themeFill="background1"/>
          <w:lang w:eastAsia="zh-CN"/>
        </w:rPr>
        <w:t>供应商须知前附表</w:t>
      </w:r>
      <w:r>
        <w:rPr>
          <w:rFonts w:hint="eastAsia" w:ascii="仿宋" w:hAnsi="仿宋" w:eastAsia="仿宋" w:cs="仿宋"/>
          <w:color w:val="auto"/>
          <w:sz w:val="24"/>
          <w:highlight w:val="none"/>
          <w:shd w:val="clear" w:color="auto" w:fill="FFFFFF" w:themeFill="background1"/>
        </w:rPr>
        <w:t>中规定的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4AF4ED3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4.5响应文件格式</w:t>
      </w:r>
    </w:p>
    <w:p w14:paraId="5B65577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4.5.1响应文件格式见第五章。</w:t>
      </w:r>
    </w:p>
    <w:p w14:paraId="6FC80BB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4.5.2供应商应使用本竞争性磋商文件后面提供的响应文件格式填写，如不够用时，供应商可按同样格式自行编制和填补，如果本竞争性磋商文件未提供格式的，供应商可自行编制。</w:t>
      </w:r>
    </w:p>
    <w:bookmarkEnd w:id="12"/>
    <w:p w14:paraId="52D71FB0">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15" w:name="_Toc13421"/>
      <w:r>
        <w:rPr>
          <w:rFonts w:hint="eastAsia" w:ascii="仿宋" w:hAnsi="仿宋" w:eastAsia="仿宋" w:cs="仿宋"/>
          <w:b/>
          <w:color w:val="auto"/>
          <w:sz w:val="24"/>
          <w:szCs w:val="24"/>
          <w:highlight w:val="none"/>
          <w:shd w:val="clear" w:color="auto" w:fill="FFFFFF" w:themeFill="background1"/>
          <w:lang w:val="en-US" w:eastAsia="zh-CN"/>
        </w:rPr>
        <w:t>五、</w:t>
      </w:r>
      <w:r>
        <w:rPr>
          <w:rFonts w:hint="eastAsia" w:ascii="仿宋" w:hAnsi="仿宋" w:eastAsia="仿宋" w:cs="仿宋"/>
          <w:b/>
          <w:color w:val="auto"/>
          <w:sz w:val="24"/>
          <w:szCs w:val="24"/>
          <w:highlight w:val="none"/>
          <w:shd w:val="clear" w:color="auto" w:fill="FFFFFF" w:themeFill="background1"/>
        </w:rPr>
        <w:t>开标</w:t>
      </w:r>
      <w:bookmarkEnd w:id="15"/>
    </w:p>
    <w:p w14:paraId="1DE3E6A7">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8"/>
          <w:highlight w:val="none"/>
        </w:rPr>
      </w:pPr>
      <w:bookmarkStart w:id="16" w:name="_BookMark_9"/>
      <w:bookmarkEnd w:id="16"/>
      <w:r>
        <w:rPr>
          <w:rFonts w:hint="eastAsia" w:ascii="仿宋" w:hAnsi="仿宋" w:eastAsia="仿宋" w:cs="仿宋"/>
          <w:color w:val="auto"/>
          <w:sz w:val="24"/>
          <w:szCs w:val="28"/>
          <w:highlight w:val="none"/>
        </w:rPr>
        <w:t>5.1开标时间和地点</w:t>
      </w:r>
    </w:p>
    <w:p w14:paraId="53D121CA">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采购人在供应商须知前附表规定的时间、地点开标，并邀请所有供应商的法定代表人或其授权委托人参加。</w:t>
      </w:r>
    </w:p>
    <w:p w14:paraId="5B7D105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szCs w:val="24"/>
          <w:highlight w:val="none"/>
        </w:rPr>
        <w:t>5.2</w:t>
      </w:r>
      <w:r>
        <w:rPr>
          <w:rFonts w:hint="eastAsia" w:ascii="仿宋" w:hAnsi="仿宋" w:eastAsia="仿宋" w:cs="仿宋"/>
          <w:color w:val="auto"/>
          <w:sz w:val="24"/>
          <w:highlight w:val="none"/>
        </w:rPr>
        <w:t>各供应商应对本单位的加密的电子响应文件网上解密，采购代理机构工作人员在监督人员监督下开启所有响应文件。</w:t>
      </w:r>
    </w:p>
    <w:p w14:paraId="1E675708">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注：根据政府采购法及有关政策规定，</w:t>
      </w:r>
      <w:r>
        <w:rPr>
          <w:rFonts w:hint="eastAsia" w:ascii="仿宋" w:hAnsi="仿宋" w:eastAsia="仿宋" w:cs="仿宋"/>
          <w:color w:val="auto"/>
          <w:sz w:val="24"/>
          <w:highlight w:val="none"/>
          <w:lang w:val="en-US" w:eastAsia="zh-CN"/>
        </w:rPr>
        <w:t>竞争性磋商采购方式</w:t>
      </w:r>
      <w:r>
        <w:rPr>
          <w:rFonts w:hint="eastAsia" w:ascii="仿宋" w:hAnsi="仿宋" w:eastAsia="仿宋" w:cs="仿宋"/>
          <w:color w:val="auto"/>
          <w:sz w:val="24"/>
          <w:highlight w:val="none"/>
        </w:rPr>
        <w:t>不能公开供应商的技术资料、价格和其他信息，因此对于上述内容不予唱标。</w:t>
      </w:r>
    </w:p>
    <w:p w14:paraId="0C407F93">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17" w:name="_Toc7657"/>
      <w:r>
        <w:rPr>
          <w:rFonts w:hint="eastAsia" w:ascii="仿宋" w:hAnsi="仿宋" w:eastAsia="仿宋" w:cs="仿宋"/>
          <w:b/>
          <w:color w:val="auto"/>
          <w:sz w:val="24"/>
          <w:szCs w:val="24"/>
          <w:highlight w:val="none"/>
          <w:shd w:val="clear" w:color="auto" w:fill="FFFFFF" w:themeFill="background1"/>
          <w:lang w:val="en-US" w:eastAsia="zh-CN"/>
        </w:rPr>
        <w:t>六、</w:t>
      </w:r>
      <w:r>
        <w:rPr>
          <w:rFonts w:hint="eastAsia" w:ascii="仿宋" w:hAnsi="仿宋" w:eastAsia="仿宋" w:cs="仿宋"/>
          <w:b/>
          <w:color w:val="auto"/>
          <w:sz w:val="24"/>
          <w:szCs w:val="24"/>
          <w:highlight w:val="none"/>
          <w:shd w:val="clear" w:color="auto" w:fill="FFFFFF" w:themeFill="background1"/>
        </w:rPr>
        <w:t>评审</w:t>
      </w:r>
      <w:bookmarkEnd w:id="17"/>
    </w:p>
    <w:p w14:paraId="4E49846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6.1 磋商小组</w:t>
      </w:r>
    </w:p>
    <w:p w14:paraId="2C5EA97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6.1.1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1B26FCE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6.2 评审原则 </w:t>
      </w:r>
    </w:p>
    <w:p w14:paraId="5CC5C4E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评审活动遵循公平、公正、科学和择优的原则。</w:t>
      </w:r>
    </w:p>
    <w:p w14:paraId="493B1AE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6.3 评审</w:t>
      </w:r>
    </w:p>
    <w:p w14:paraId="1C50D59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磋商小组按照竞争性磋商文件中规定的方法、评审因素、标准和程序对响应文件进行评审。</w:t>
      </w:r>
    </w:p>
    <w:p w14:paraId="6330D2EC">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18" w:name="_BookMark_10"/>
      <w:bookmarkEnd w:id="18"/>
      <w:bookmarkStart w:id="19" w:name="_Toc14653"/>
      <w:bookmarkStart w:id="20" w:name="_Toc113902767"/>
      <w:r>
        <w:rPr>
          <w:rFonts w:hint="eastAsia" w:ascii="仿宋" w:hAnsi="仿宋" w:eastAsia="仿宋" w:cs="仿宋"/>
          <w:b/>
          <w:color w:val="auto"/>
          <w:sz w:val="24"/>
          <w:szCs w:val="24"/>
          <w:highlight w:val="none"/>
          <w:shd w:val="clear" w:color="auto" w:fill="FFFFFF" w:themeFill="background1"/>
          <w:lang w:val="en-US" w:eastAsia="zh-CN"/>
        </w:rPr>
        <w:t>七、</w:t>
      </w:r>
      <w:r>
        <w:rPr>
          <w:rFonts w:hint="eastAsia" w:ascii="仿宋" w:hAnsi="仿宋" w:eastAsia="仿宋" w:cs="仿宋"/>
          <w:b/>
          <w:color w:val="auto"/>
          <w:sz w:val="24"/>
          <w:szCs w:val="24"/>
          <w:highlight w:val="none"/>
          <w:shd w:val="clear" w:color="auto" w:fill="FFFFFF" w:themeFill="background1"/>
        </w:rPr>
        <w:t>定标及合同授予</w:t>
      </w:r>
      <w:bookmarkEnd w:id="19"/>
      <w:bookmarkEnd w:id="20"/>
    </w:p>
    <w:p w14:paraId="607754A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7.1 定标方法</w:t>
      </w:r>
    </w:p>
    <w:p w14:paraId="0F19E3C7">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7.1.1 评审活动遵循公平、公正、科学和择优的原则。磋商小组按照竞争性磋商文件中规定的方法、评审因素、标准和程序对响应文件进行评审，并按供应商须知前附表的规定向采购人推荐</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。采购人依据磋商小组推荐的</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确定成交供应商。</w:t>
      </w:r>
    </w:p>
    <w:p w14:paraId="63E0F78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7.1.2 采购人从</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中确定出成交供应商的原则：采购人应当确定排名第一的</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为成交供应商。排名第一的</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放弃成交、因不可抗力不能履行合同，不按照竞争性磋商文件要求提交履约保证金、或者被查实存在影响中标（成交）结果的违法行为等情形，不符合中标（成交）条件的，采购人可以按照磋商小组提出的</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名单排名依次确定其他</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为成交供应商。</w:t>
      </w:r>
    </w:p>
    <w:p w14:paraId="200C099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7.2成交结果公告</w:t>
      </w:r>
    </w:p>
    <w:p w14:paraId="6AD9F32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在公告成交结果的同时，采购人或者采购代理机构向成交供应商发出成交通知书；对未通过资格审查的供应商，应当告知其未通过的原因。</w:t>
      </w:r>
    </w:p>
    <w:p w14:paraId="0C5C679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7.3履约保证金</w:t>
      </w:r>
    </w:p>
    <w:p w14:paraId="10B276B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7.3.1 在签订合同前，成交供应商应按供应商须知前附表规定的金额、形式向采购人提交履约保证金。联合体中标（成交）的，其履约保证金由牵头人提交，并应符合供应商须知前附表的规定。</w:t>
      </w:r>
    </w:p>
    <w:p w14:paraId="1459162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7.3.2 成交供应商不能按本章第7.4.1款要求提交履约保证金的，视为放弃中标（成交），其磋商保证金不予退还；给采购人造成的损失超过磋商保证金数额的，成交供应商还应当对超过部分予以赔偿。</w:t>
      </w:r>
    </w:p>
    <w:p w14:paraId="15A8B71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7.4 签订合同</w:t>
      </w:r>
    </w:p>
    <w:p w14:paraId="7816672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7.4.1采购人应当自成交通知书发出之日起30日内，按照竞争性磋商文件和成交供应商响应文件的规定，与成交供应商签订书面合同。</w:t>
      </w:r>
    </w:p>
    <w:p w14:paraId="56B8A51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7.4.2发出成交通知书后，采购人无正当理由拒签合同的，给成交供应商造成损失的，还应当赔偿成交供应商损失。</w:t>
      </w:r>
    </w:p>
    <w:p w14:paraId="2684495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7.4.3发出成交通知书后，成交供应商无正当理由拒签合同的，采购人取消其中标（成交）资格，其磋商保证金不予退还；给采购人造成的损失超过磋商保证金数额的，成交供应商还应当对超过部分予以赔偿。</w:t>
      </w:r>
    </w:p>
    <w:p w14:paraId="0B64D5DE">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21" w:name="_BookMark_11"/>
      <w:bookmarkEnd w:id="21"/>
      <w:bookmarkStart w:id="22" w:name="_Toc13339"/>
      <w:r>
        <w:rPr>
          <w:rFonts w:hint="eastAsia" w:ascii="仿宋" w:hAnsi="仿宋" w:eastAsia="仿宋" w:cs="仿宋"/>
          <w:b/>
          <w:color w:val="auto"/>
          <w:sz w:val="24"/>
          <w:szCs w:val="24"/>
          <w:highlight w:val="none"/>
          <w:shd w:val="clear" w:color="auto" w:fill="FFFFFF" w:themeFill="background1"/>
          <w:lang w:val="en-US" w:eastAsia="zh-CN"/>
        </w:rPr>
        <w:t>八、</w:t>
      </w:r>
      <w:r>
        <w:rPr>
          <w:rFonts w:hint="eastAsia" w:ascii="仿宋" w:hAnsi="仿宋" w:eastAsia="仿宋" w:cs="仿宋"/>
          <w:b/>
          <w:color w:val="auto"/>
          <w:sz w:val="24"/>
          <w:szCs w:val="24"/>
          <w:highlight w:val="none"/>
          <w:shd w:val="clear" w:color="auto" w:fill="FFFFFF" w:themeFill="background1"/>
        </w:rPr>
        <w:t>纪律和监督</w:t>
      </w:r>
      <w:bookmarkEnd w:id="22"/>
    </w:p>
    <w:p w14:paraId="351566F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8.1 对采购人的纪律要求</w:t>
      </w:r>
    </w:p>
    <w:p w14:paraId="6C201FF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采购人不得泄漏招标投标活动中应当保密的情况和资料，不得与供应商串通损害国家利益、社会公共利益或者他人合法权益。</w:t>
      </w:r>
    </w:p>
    <w:p w14:paraId="2D60A8CF">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8.2 对供应商的纪律要求</w:t>
      </w:r>
    </w:p>
    <w:p w14:paraId="462622A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不得相互串通投标或者与采购人串通投标，不得向采购人或者磋商小组成员行贿谋取中标（成交），不得以他人名义投标或者以其他方式弄虚作假骗取中标（成交）；供应商不得以任何方式干扰、影响评审工作。</w:t>
      </w:r>
    </w:p>
    <w:p w14:paraId="0A924FE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8.3 对磋商小组成员的纪律要求</w:t>
      </w:r>
    </w:p>
    <w:p w14:paraId="11043D8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磋商小组成员不得收受他人的财物或者其他好处，不得向他人透漏对响应文件的评审和比较、</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的推荐情况以及评审有关的其他情况。在评审活动中，磋商小组成员不得擅离职守，影响评审程序正常进行，不得使用评审办法没有规定的评审因素和标准进行评审。</w:t>
      </w:r>
    </w:p>
    <w:p w14:paraId="5BEE60F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8.4 对与评审活动有关的工作人员的纪律要求</w:t>
      </w:r>
    </w:p>
    <w:p w14:paraId="0659F20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与评审活动有关的工作人员不得收受他人的财物或者其他好处，不得向他人透漏对响应文件的评审和比较、</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的推荐情况以及评审有关的其他情况。在评审活动中，与评审活动有关的工作人员不得擅离职守，影响评审程序正常进行。</w:t>
      </w:r>
    </w:p>
    <w:p w14:paraId="22E4B71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8.5 监督</w:t>
      </w:r>
    </w:p>
    <w:p w14:paraId="275F24C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本项目的招标投标活动及其相关当事人应当接受有管辖权的监督部门依法实施的监督。</w:t>
      </w:r>
      <w:bookmarkStart w:id="23" w:name="_BookMark_12"/>
      <w:bookmarkEnd w:id="23"/>
    </w:p>
    <w:p w14:paraId="056A194B">
      <w:pPr>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rPr>
        <w:br w:type="page"/>
      </w:r>
    </w:p>
    <w:p w14:paraId="76BB2F20">
      <w:pPr>
        <w:keepLines w:val="0"/>
        <w:pageBreakBefore w:val="0"/>
        <w:widowControl/>
        <w:shd w:val="clear" w:color="auto" w:fill="FFFFFF"/>
        <w:kinsoku/>
        <w:overflowPunct/>
        <w:topLinePunct w:val="0"/>
        <w:bidi w:val="0"/>
        <w:snapToGrid w:val="0"/>
        <w:spacing w:beforeAutospacing="0" w:afterAutospacing="0" w:line="360" w:lineRule="auto"/>
        <w:jc w:val="center"/>
        <w:textAlignment w:val="auto"/>
        <w:outlineLvl w:val="0"/>
        <w:rPr>
          <w:rFonts w:hint="eastAsia" w:ascii="仿宋" w:hAnsi="仿宋" w:eastAsia="仿宋" w:cs="仿宋"/>
          <w:b/>
          <w:color w:val="auto"/>
          <w:sz w:val="24"/>
          <w:szCs w:val="24"/>
          <w:highlight w:val="none"/>
          <w:shd w:val="clear" w:color="auto" w:fill="FFFFFF" w:themeFill="background1"/>
        </w:rPr>
      </w:pPr>
      <w:bookmarkStart w:id="24" w:name="_Toc8289"/>
      <w:r>
        <w:rPr>
          <w:rFonts w:hint="eastAsia" w:ascii="仿宋" w:hAnsi="仿宋" w:eastAsia="仿宋" w:cs="仿宋"/>
          <w:b/>
          <w:color w:val="auto"/>
          <w:sz w:val="24"/>
          <w:szCs w:val="24"/>
          <w:highlight w:val="none"/>
          <w:shd w:val="clear" w:color="auto" w:fill="FFFFFF" w:themeFill="background1"/>
        </w:rPr>
        <w:t>第二章 评审办法</w:t>
      </w:r>
      <w:bookmarkEnd w:id="24"/>
    </w:p>
    <w:p w14:paraId="39DDC97B">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25" w:name="_BookMark_1"/>
      <w:bookmarkEnd w:id="25"/>
      <w:bookmarkStart w:id="26" w:name="_Toc501719166"/>
      <w:r>
        <w:rPr>
          <w:rFonts w:hint="eastAsia" w:ascii="仿宋" w:hAnsi="仿宋" w:eastAsia="仿宋" w:cs="仿宋"/>
          <w:b/>
          <w:color w:val="auto"/>
          <w:sz w:val="24"/>
          <w:szCs w:val="24"/>
          <w:highlight w:val="none"/>
          <w:shd w:val="clear" w:color="auto" w:fill="FFFFFF" w:themeFill="background1"/>
        </w:rPr>
        <w:t>评审办法前附表</w:t>
      </w:r>
    </w:p>
    <w:tbl>
      <w:tblPr>
        <w:tblStyle w:val="43"/>
        <w:tblpPr w:leftFromText="180" w:rightFromText="180" w:vertAnchor="text" w:horzAnchor="page" w:tblpX="1359" w:tblpY="455"/>
        <w:tblOverlap w:val="never"/>
        <w:tblW w:w="92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10"/>
        <w:gridCol w:w="2770"/>
        <w:gridCol w:w="5832"/>
      </w:tblGrid>
      <w:tr w14:paraId="5778A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1" w:hRule="atLeast"/>
        </w:trPr>
        <w:tc>
          <w:tcPr>
            <w:tcW w:w="610" w:type="dxa"/>
            <w:tcMar>
              <w:top w:w="0" w:type="dxa"/>
              <w:left w:w="28" w:type="dxa"/>
              <w:bottom w:w="0" w:type="dxa"/>
              <w:right w:w="28" w:type="dxa"/>
            </w:tcMar>
            <w:vAlign w:val="center"/>
          </w:tcPr>
          <w:p w14:paraId="64E31E4C">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bookmarkStart w:id="27" w:name="_Toc15002"/>
            <w:r>
              <w:rPr>
                <w:rFonts w:hint="eastAsia" w:ascii="仿宋" w:hAnsi="仿宋" w:eastAsia="仿宋" w:cs="仿宋"/>
                <w:color w:val="auto"/>
                <w:szCs w:val="21"/>
                <w:highlight w:val="none"/>
                <w:shd w:val="clear" w:color="auto" w:fill="FFFFFF" w:themeFill="background1"/>
              </w:rPr>
              <w:t>序号</w:t>
            </w:r>
          </w:p>
        </w:tc>
        <w:tc>
          <w:tcPr>
            <w:tcW w:w="2770" w:type="dxa"/>
            <w:tcMar>
              <w:top w:w="0" w:type="dxa"/>
              <w:left w:w="28" w:type="dxa"/>
              <w:bottom w:w="0" w:type="dxa"/>
              <w:right w:w="28" w:type="dxa"/>
            </w:tcMar>
            <w:vAlign w:val="center"/>
          </w:tcPr>
          <w:p w14:paraId="2B973925">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条款内容</w:t>
            </w:r>
          </w:p>
        </w:tc>
        <w:tc>
          <w:tcPr>
            <w:tcW w:w="5832" w:type="dxa"/>
            <w:tcMar>
              <w:top w:w="0" w:type="dxa"/>
              <w:left w:w="28" w:type="dxa"/>
              <w:bottom w:w="0" w:type="dxa"/>
              <w:right w:w="28" w:type="dxa"/>
            </w:tcMar>
            <w:vAlign w:val="center"/>
          </w:tcPr>
          <w:p w14:paraId="7901BE4B">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编列内容</w:t>
            </w:r>
          </w:p>
        </w:tc>
      </w:tr>
      <w:tr w14:paraId="4B91B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trPr>
        <w:tc>
          <w:tcPr>
            <w:tcW w:w="610" w:type="dxa"/>
            <w:tcMar>
              <w:top w:w="0" w:type="dxa"/>
              <w:left w:w="28" w:type="dxa"/>
              <w:bottom w:w="0" w:type="dxa"/>
              <w:right w:w="28" w:type="dxa"/>
            </w:tcMar>
            <w:vAlign w:val="center"/>
          </w:tcPr>
          <w:p w14:paraId="5F105A6C">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1</w:t>
            </w:r>
          </w:p>
        </w:tc>
        <w:tc>
          <w:tcPr>
            <w:tcW w:w="2770" w:type="dxa"/>
            <w:shd w:val="clear" w:color="auto" w:fill="auto"/>
            <w:tcMar>
              <w:top w:w="0" w:type="dxa"/>
              <w:left w:w="28" w:type="dxa"/>
              <w:bottom w:w="0" w:type="dxa"/>
              <w:right w:w="28" w:type="dxa"/>
            </w:tcMar>
            <w:vAlign w:val="center"/>
          </w:tcPr>
          <w:p w14:paraId="49CA4007">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分值构成及权重</w:t>
            </w:r>
          </w:p>
          <w:p w14:paraId="2BD354A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(总分100分)</w:t>
            </w:r>
          </w:p>
        </w:tc>
        <w:tc>
          <w:tcPr>
            <w:tcW w:w="5832" w:type="dxa"/>
            <w:shd w:val="clear" w:color="auto" w:fill="auto"/>
            <w:tcMar>
              <w:top w:w="0" w:type="dxa"/>
              <w:left w:w="28" w:type="dxa"/>
              <w:bottom w:w="0" w:type="dxa"/>
              <w:right w:w="28" w:type="dxa"/>
            </w:tcMar>
            <w:vAlign w:val="center"/>
          </w:tcPr>
          <w:p w14:paraId="3ED5C48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1.详细评审部分90分</w:t>
            </w:r>
          </w:p>
          <w:p w14:paraId="1C020C7B">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2.磋商报价10分</w:t>
            </w:r>
          </w:p>
        </w:tc>
      </w:tr>
      <w:tr w14:paraId="2FF39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5" w:hRule="atLeast"/>
        </w:trPr>
        <w:tc>
          <w:tcPr>
            <w:tcW w:w="610" w:type="dxa"/>
            <w:tcMar>
              <w:top w:w="0" w:type="dxa"/>
              <w:left w:w="28" w:type="dxa"/>
              <w:bottom w:w="0" w:type="dxa"/>
              <w:right w:w="28" w:type="dxa"/>
            </w:tcMar>
            <w:vAlign w:val="center"/>
          </w:tcPr>
          <w:p w14:paraId="0DA77DE3">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2</w:t>
            </w:r>
          </w:p>
        </w:tc>
        <w:tc>
          <w:tcPr>
            <w:tcW w:w="2770" w:type="dxa"/>
            <w:tcMar>
              <w:top w:w="0" w:type="dxa"/>
              <w:left w:w="28" w:type="dxa"/>
              <w:bottom w:w="0" w:type="dxa"/>
              <w:right w:w="28" w:type="dxa"/>
            </w:tcMar>
            <w:vAlign w:val="center"/>
          </w:tcPr>
          <w:p w14:paraId="6D53F82D">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资格审查</w:t>
            </w:r>
          </w:p>
        </w:tc>
        <w:tc>
          <w:tcPr>
            <w:tcW w:w="5832" w:type="dxa"/>
            <w:tcMar>
              <w:top w:w="0" w:type="dxa"/>
              <w:left w:w="28" w:type="dxa"/>
              <w:bottom w:w="0" w:type="dxa"/>
              <w:right w:w="28" w:type="dxa"/>
            </w:tcMar>
            <w:vAlign w:val="center"/>
          </w:tcPr>
          <w:p w14:paraId="5CD0BCE7">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详见《资格审查标准》</w:t>
            </w:r>
          </w:p>
        </w:tc>
      </w:tr>
      <w:tr w14:paraId="09182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1" w:hRule="atLeast"/>
        </w:trPr>
        <w:tc>
          <w:tcPr>
            <w:tcW w:w="610" w:type="dxa"/>
            <w:tcMar>
              <w:top w:w="0" w:type="dxa"/>
              <w:left w:w="28" w:type="dxa"/>
              <w:bottom w:w="0" w:type="dxa"/>
              <w:right w:w="28" w:type="dxa"/>
            </w:tcMar>
            <w:vAlign w:val="center"/>
          </w:tcPr>
          <w:p w14:paraId="4FEE7D52">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3</w:t>
            </w:r>
          </w:p>
        </w:tc>
        <w:tc>
          <w:tcPr>
            <w:tcW w:w="2770" w:type="dxa"/>
            <w:tcMar>
              <w:top w:w="0" w:type="dxa"/>
              <w:left w:w="28" w:type="dxa"/>
              <w:bottom w:w="0" w:type="dxa"/>
              <w:right w:w="28" w:type="dxa"/>
            </w:tcMar>
            <w:vAlign w:val="center"/>
          </w:tcPr>
          <w:p w14:paraId="38AB8DC4">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完备性及符合性审查</w:t>
            </w:r>
          </w:p>
        </w:tc>
        <w:tc>
          <w:tcPr>
            <w:tcW w:w="5832" w:type="dxa"/>
            <w:tcMar>
              <w:top w:w="0" w:type="dxa"/>
              <w:left w:w="28" w:type="dxa"/>
              <w:bottom w:w="0" w:type="dxa"/>
              <w:right w:w="28" w:type="dxa"/>
            </w:tcMar>
            <w:vAlign w:val="center"/>
          </w:tcPr>
          <w:p w14:paraId="7486047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详见《完备性及符合性审查标准》</w:t>
            </w:r>
          </w:p>
        </w:tc>
      </w:tr>
      <w:tr w14:paraId="1BBAB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2" w:hRule="atLeast"/>
        </w:trPr>
        <w:tc>
          <w:tcPr>
            <w:tcW w:w="610" w:type="dxa"/>
            <w:vMerge w:val="restart"/>
            <w:tcMar>
              <w:top w:w="0" w:type="dxa"/>
              <w:left w:w="28" w:type="dxa"/>
              <w:bottom w:w="0" w:type="dxa"/>
              <w:right w:w="28" w:type="dxa"/>
            </w:tcMar>
            <w:vAlign w:val="center"/>
          </w:tcPr>
          <w:p w14:paraId="7FB0EA7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4</w:t>
            </w:r>
          </w:p>
        </w:tc>
        <w:tc>
          <w:tcPr>
            <w:tcW w:w="2770" w:type="dxa"/>
            <w:vMerge w:val="restart"/>
            <w:tcMar>
              <w:top w:w="0" w:type="dxa"/>
              <w:left w:w="28" w:type="dxa"/>
              <w:bottom w:w="0" w:type="dxa"/>
              <w:right w:w="28" w:type="dxa"/>
            </w:tcMar>
            <w:vAlign w:val="center"/>
          </w:tcPr>
          <w:p w14:paraId="0C7C309F">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详细评审</w:t>
            </w:r>
          </w:p>
        </w:tc>
        <w:tc>
          <w:tcPr>
            <w:tcW w:w="5832" w:type="dxa"/>
            <w:tcMar>
              <w:top w:w="0" w:type="dxa"/>
              <w:left w:w="28" w:type="dxa"/>
              <w:bottom w:w="0" w:type="dxa"/>
              <w:right w:w="28" w:type="dxa"/>
            </w:tcMar>
            <w:vAlign w:val="center"/>
          </w:tcPr>
          <w:p w14:paraId="1D69138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详见《详细评审标准》及本节第3.6款</w:t>
            </w:r>
          </w:p>
        </w:tc>
      </w:tr>
      <w:tr w14:paraId="74B72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570" w:hRule="atLeast"/>
        </w:trPr>
        <w:tc>
          <w:tcPr>
            <w:tcW w:w="610" w:type="dxa"/>
            <w:vMerge w:val="continue"/>
            <w:tcMar>
              <w:top w:w="0" w:type="dxa"/>
              <w:left w:w="28" w:type="dxa"/>
              <w:bottom w:w="0" w:type="dxa"/>
              <w:right w:w="28" w:type="dxa"/>
            </w:tcMar>
            <w:vAlign w:val="center"/>
          </w:tcPr>
          <w:p w14:paraId="127C6424">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p>
        </w:tc>
        <w:tc>
          <w:tcPr>
            <w:tcW w:w="2770" w:type="dxa"/>
            <w:vMerge w:val="continue"/>
            <w:tcMar>
              <w:top w:w="0" w:type="dxa"/>
              <w:left w:w="28" w:type="dxa"/>
              <w:bottom w:w="0" w:type="dxa"/>
              <w:right w:w="28" w:type="dxa"/>
            </w:tcMar>
            <w:vAlign w:val="center"/>
          </w:tcPr>
          <w:p w14:paraId="6D6E2834">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p>
        </w:tc>
        <w:tc>
          <w:tcPr>
            <w:tcW w:w="5832" w:type="dxa"/>
            <w:tcMar>
              <w:top w:w="0" w:type="dxa"/>
              <w:left w:w="28" w:type="dxa"/>
              <w:bottom w:w="0" w:type="dxa"/>
              <w:right w:w="28" w:type="dxa"/>
            </w:tcMar>
            <w:vAlign w:val="center"/>
          </w:tcPr>
          <w:p w14:paraId="3921112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磋商报价得分计算方法：</w:t>
            </w:r>
          </w:p>
          <w:p w14:paraId="1CEB4D7E">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1.磋商报价的确定</w:t>
            </w:r>
          </w:p>
          <w:p w14:paraId="7CE6DC28">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磋商报价是指经评审的且不超过采购预算金额的磋商价格</w:t>
            </w:r>
          </w:p>
          <w:p w14:paraId="44EDA325">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2.磋商基准价的确定</w:t>
            </w:r>
          </w:p>
          <w:p w14:paraId="7F153728">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满足竞争性磋商文件要求且最后磋商报价最低的供应商的价格为磋商基准价</w:t>
            </w:r>
          </w:p>
          <w:p w14:paraId="12D5F847">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3.磋商报价得分=(磋商基准价／磋商报价)×10</w:t>
            </w:r>
          </w:p>
          <w:p w14:paraId="528A1F8D">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4.评分分值计算保留小数点后两位，小数点后三位“四舍五入”。</w:t>
            </w:r>
          </w:p>
        </w:tc>
      </w:tr>
      <w:bookmarkEnd w:id="27"/>
    </w:tbl>
    <w:p w14:paraId="0D94B749">
      <w:pPr>
        <w:keepLines w:val="0"/>
        <w:pageBreakBefore w:val="0"/>
        <w:widowControl/>
        <w:shd w:val="clear" w:color="auto" w:fill="FFFFFF"/>
        <w:kinsoku/>
        <w:overflowPunct/>
        <w:topLinePunct w:val="0"/>
        <w:bidi w:val="0"/>
        <w:snapToGrid w:val="0"/>
        <w:spacing w:beforeAutospacing="0" w:afterAutospacing="0" w:line="360" w:lineRule="auto"/>
        <w:jc w:val="both"/>
        <w:textAlignment w:val="auto"/>
        <w:rPr>
          <w:rFonts w:hint="eastAsia" w:ascii="仿宋" w:hAnsi="仿宋" w:eastAsia="仿宋" w:cs="仿宋"/>
          <w:b/>
          <w:color w:val="auto"/>
          <w:kern w:val="0"/>
          <w:szCs w:val="21"/>
          <w:highlight w:val="none"/>
          <w:shd w:val="clear" w:color="auto" w:fill="FFFFFF" w:themeFill="background1"/>
        </w:rPr>
      </w:pPr>
    </w:p>
    <w:p w14:paraId="3006BA7E">
      <w:pPr>
        <w:keepLines w:val="0"/>
        <w:pageBreakBefore w:val="0"/>
        <w:widowControl/>
        <w:shd w:val="clear" w:color="auto" w:fill="FFFFFF"/>
        <w:kinsoku/>
        <w:overflowPunct/>
        <w:topLinePunct w:val="0"/>
        <w:bidi w:val="0"/>
        <w:snapToGrid w:val="0"/>
        <w:spacing w:beforeAutospacing="0" w:afterAutospacing="0" w:line="360" w:lineRule="auto"/>
        <w:jc w:val="center"/>
        <w:textAlignment w:val="auto"/>
        <w:rPr>
          <w:rFonts w:hint="eastAsia" w:ascii="仿宋" w:hAnsi="仿宋" w:eastAsia="仿宋" w:cs="仿宋"/>
          <w:b/>
          <w:color w:val="auto"/>
          <w:kern w:val="0"/>
          <w:szCs w:val="21"/>
          <w:highlight w:val="none"/>
          <w:shd w:val="clear" w:color="auto" w:fill="FFFFFF" w:themeFill="background1"/>
        </w:rPr>
      </w:pPr>
    </w:p>
    <w:p w14:paraId="3A8E5F1D">
      <w:pPr>
        <w:keepLines w:val="0"/>
        <w:pageBreakBefore w:val="0"/>
        <w:widowControl/>
        <w:shd w:val="clear" w:color="auto" w:fill="FFFFFF"/>
        <w:kinsoku/>
        <w:overflowPunct/>
        <w:topLinePunct w:val="0"/>
        <w:bidi w:val="0"/>
        <w:snapToGrid w:val="0"/>
        <w:spacing w:beforeAutospacing="0" w:afterAutospacing="0" w:line="360" w:lineRule="auto"/>
        <w:jc w:val="center"/>
        <w:textAlignment w:val="auto"/>
        <w:rPr>
          <w:rFonts w:hint="eastAsia" w:ascii="仿宋" w:hAnsi="仿宋" w:eastAsia="仿宋" w:cs="仿宋"/>
          <w:b/>
          <w:color w:val="auto"/>
          <w:kern w:val="0"/>
          <w:szCs w:val="21"/>
          <w:highlight w:val="none"/>
          <w:shd w:val="clear" w:color="auto" w:fill="FFFFFF" w:themeFill="background1"/>
        </w:rPr>
      </w:pPr>
      <w:r>
        <w:rPr>
          <w:rFonts w:hint="eastAsia" w:ascii="仿宋" w:hAnsi="仿宋" w:eastAsia="仿宋" w:cs="仿宋"/>
          <w:b/>
          <w:color w:val="auto"/>
          <w:kern w:val="0"/>
          <w:szCs w:val="21"/>
          <w:highlight w:val="none"/>
          <w:shd w:val="clear" w:color="auto" w:fill="FFFFFF" w:themeFill="background1"/>
        </w:rPr>
        <w:t>《资格审查标准》</w:t>
      </w:r>
      <w:bookmarkEnd w:id="26"/>
    </w:p>
    <w:tbl>
      <w:tblPr>
        <w:tblStyle w:val="43"/>
        <w:tblW w:w="92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09"/>
        <w:gridCol w:w="3659"/>
        <w:gridCol w:w="4935"/>
      </w:tblGrid>
      <w:tr w14:paraId="7D113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609" w:type="dxa"/>
            <w:vAlign w:val="center"/>
          </w:tcPr>
          <w:p w14:paraId="60458C3F">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序号</w:t>
            </w:r>
          </w:p>
        </w:tc>
        <w:tc>
          <w:tcPr>
            <w:tcW w:w="3659" w:type="dxa"/>
            <w:vAlign w:val="center"/>
          </w:tcPr>
          <w:p w14:paraId="7468EF06">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审查要求</w:t>
            </w:r>
          </w:p>
        </w:tc>
        <w:tc>
          <w:tcPr>
            <w:tcW w:w="4935" w:type="dxa"/>
            <w:vAlign w:val="center"/>
          </w:tcPr>
          <w:p w14:paraId="6DB2F0AF">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要求说明</w:t>
            </w:r>
          </w:p>
        </w:tc>
      </w:tr>
      <w:tr w14:paraId="3477D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609" w:type="dxa"/>
            <w:vAlign w:val="center"/>
          </w:tcPr>
          <w:p w14:paraId="676C64B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1</w:t>
            </w:r>
          </w:p>
        </w:tc>
        <w:tc>
          <w:tcPr>
            <w:tcW w:w="3659" w:type="dxa"/>
            <w:vAlign w:val="center"/>
          </w:tcPr>
          <w:p w14:paraId="3DF25BBC">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lang w:val="en-US" w:eastAsia="zh-CN"/>
              </w:rPr>
              <w:t>满足《中华人民共和国政府采购法》第二十二条规定。</w:t>
            </w:r>
          </w:p>
        </w:tc>
        <w:tc>
          <w:tcPr>
            <w:tcW w:w="4935" w:type="dxa"/>
            <w:vAlign w:val="center"/>
          </w:tcPr>
          <w:p w14:paraId="33E7B0AC">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提供下列材料</w:t>
            </w:r>
            <w:r>
              <w:rPr>
                <w:rFonts w:hint="eastAsia" w:ascii="仿宋" w:hAnsi="仿宋" w:eastAsia="仿宋" w:cs="仿宋"/>
                <w:color w:val="auto"/>
                <w:kern w:val="0"/>
                <w:szCs w:val="24"/>
                <w:highlight w:val="none"/>
                <w:lang w:eastAsia="zh-CN"/>
              </w:rPr>
              <w:t>（</w:t>
            </w:r>
            <w:r>
              <w:rPr>
                <w:rFonts w:hint="eastAsia" w:ascii="仿宋" w:hAnsi="仿宋" w:eastAsia="仿宋" w:cs="仿宋"/>
                <w:color w:val="auto"/>
                <w:kern w:val="0"/>
                <w:szCs w:val="24"/>
                <w:highlight w:val="none"/>
                <w:lang w:val="en-US" w:eastAsia="zh-CN"/>
              </w:rPr>
              <w:t>详见磋商文件第五章响应文件格式中“七、供应商资格条件证明材料”要求</w:t>
            </w:r>
            <w:r>
              <w:rPr>
                <w:rFonts w:hint="eastAsia" w:ascii="仿宋" w:hAnsi="仿宋" w:eastAsia="仿宋" w:cs="仿宋"/>
                <w:color w:val="auto"/>
                <w:kern w:val="0"/>
                <w:szCs w:val="24"/>
                <w:highlight w:val="none"/>
                <w:lang w:eastAsia="zh-CN"/>
              </w:rPr>
              <w:t>）</w:t>
            </w:r>
            <w:r>
              <w:rPr>
                <w:rFonts w:hint="eastAsia" w:ascii="仿宋" w:hAnsi="仿宋" w:eastAsia="仿宋" w:cs="仿宋"/>
                <w:color w:val="auto"/>
                <w:szCs w:val="21"/>
                <w:highlight w:val="none"/>
                <w:shd w:val="clear" w:color="auto" w:fill="FFFFFF" w:themeFill="background1"/>
              </w:rPr>
              <w:t>：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14:paraId="4ED74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609" w:type="dxa"/>
            <w:vAlign w:val="center"/>
          </w:tcPr>
          <w:p w14:paraId="5BEC2CCC">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2</w:t>
            </w:r>
          </w:p>
        </w:tc>
        <w:tc>
          <w:tcPr>
            <w:tcW w:w="3659" w:type="dxa"/>
            <w:vAlign w:val="center"/>
          </w:tcPr>
          <w:p w14:paraId="6D1E4C0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lang w:val="en-US" w:eastAsia="zh-CN"/>
              </w:rPr>
              <w:t>供应商为中小企业。</w:t>
            </w:r>
          </w:p>
        </w:tc>
        <w:tc>
          <w:tcPr>
            <w:tcW w:w="4935" w:type="dxa"/>
            <w:vAlign w:val="center"/>
          </w:tcPr>
          <w:p w14:paraId="3236E89F">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kern w:val="0"/>
                <w:szCs w:val="21"/>
                <w:highlight w:val="none"/>
                <w:shd w:val="clear" w:color="auto" w:fill="FFFFFF" w:themeFill="background1"/>
              </w:rPr>
              <w:t>本项目专门面向</w:t>
            </w:r>
            <w:r>
              <w:rPr>
                <w:rFonts w:hint="eastAsia" w:ascii="仿宋" w:hAnsi="仿宋" w:eastAsia="仿宋" w:cs="仿宋"/>
                <w:color w:val="auto"/>
                <w:kern w:val="0"/>
                <w:szCs w:val="21"/>
                <w:highlight w:val="none"/>
                <w:shd w:val="clear" w:color="auto" w:fill="FFFFFF" w:themeFill="background1"/>
                <w:lang w:val="en-US" w:eastAsia="zh-CN"/>
              </w:rPr>
              <w:t>中小</w:t>
            </w:r>
            <w:r>
              <w:rPr>
                <w:rFonts w:hint="eastAsia" w:ascii="仿宋" w:hAnsi="仿宋" w:eastAsia="仿宋" w:cs="仿宋"/>
                <w:color w:val="auto"/>
                <w:kern w:val="0"/>
                <w:szCs w:val="21"/>
                <w:highlight w:val="none"/>
                <w:shd w:val="clear" w:color="auto" w:fill="FFFFFF" w:themeFill="background1"/>
              </w:rPr>
              <w:t>企业采购，供应商为</w:t>
            </w:r>
            <w:r>
              <w:rPr>
                <w:rFonts w:hint="eastAsia" w:ascii="仿宋" w:hAnsi="仿宋" w:eastAsia="仿宋" w:cs="仿宋"/>
                <w:color w:val="auto"/>
                <w:kern w:val="0"/>
                <w:szCs w:val="21"/>
                <w:highlight w:val="none"/>
                <w:shd w:val="clear" w:color="auto" w:fill="FFFFFF" w:themeFill="background1"/>
                <w:lang w:val="en-US" w:eastAsia="zh-CN"/>
              </w:rPr>
              <w:t>中小</w:t>
            </w:r>
            <w:r>
              <w:rPr>
                <w:rFonts w:hint="eastAsia" w:ascii="仿宋" w:hAnsi="仿宋" w:eastAsia="仿宋" w:cs="仿宋"/>
                <w:color w:val="auto"/>
                <w:kern w:val="0"/>
                <w:szCs w:val="21"/>
                <w:highlight w:val="none"/>
                <w:shd w:val="clear" w:color="auto" w:fill="FFFFFF" w:themeFill="background1"/>
              </w:rPr>
              <w:t>企业或残疾人福利性单位的须提供声明函，为监狱企业的须提供由省级以上监狱管理局、戒毒管理局（含新疆生产建设兵团）出具的属于监狱企业的证明文件。</w:t>
            </w:r>
          </w:p>
        </w:tc>
      </w:tr>
      <w:tr w14:paraId="59D9F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609" w:type="dxa"/>
            <w:vAlign w:val="center"/>
          </w:tcPr>
          <w:p w14:paraId="77E77282">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3</w:t>
            </w:r>
          </w:p>
        </w:tc>
        <w:tc>
          <w:tcPr>
            <w:tcW w:w="3659" w:type="dxa"/>
            <w:vAlign w:val="center"/>
          </w:tcPr>
          <w:p w14:paraId="630BBBC5">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供应商如在“信用中国”网站（www.creditchina.gov.cn）、中国政府采购网（www.ccgp.gov.cn）等渠道被列入失信被执行人、重大税收违法失信主体、政府采购严重违法失信行为记录名单，尚在处罚期内的将被拒绝参加本次</w:t>
            </w:r>
            <w:r>
              <w:rPr>
                <w:rFonts w:hint="eastAsia" w:ascii="仿宋" w:hAnsi="仿宋" w:eastAsia="仿宋" w:cs="仿宋"/>
                <w:color w:val="auto"/>
                <w:szCs w:val="21"/>
                <w:highlight w:val="none"/>
                <w:shd w:val="clear" w:color="auto" w:fill="FFFFFF" w:themeFill="background1"/>
                <w:lang w:val="en-US" w:eastAsia="zh-CN"/>
              </w:rPr>
              <w:t>采购</w:t>
            </w:r>
            <w:r>
              <w:rPr>
                <w:rFonts w:hint="eastAsia" w:ascii="仿宋" w:hAnsi="仿宋" w:eastAsia="仿宋" w:cs="仿宋"/>
                <w:color w:val="auto"/>
                <w:szCs w:val="21"/>
                <w:highlight w:val="none"/>
                <w:shd w:val="clear" w:color="auto" w:fill="FFFFFF" w:themeFill="background1"/>
              </w:rPr>
              <w:t>活动。</w:t>
            </w:r>
            <w:bookmarkStart w:id="174" w:name="_GoBack"/>
            <w:bookmarkEnd w:id="174"/>
          </w:p>
        </w:tc>
        <w:tc>
          <w:tcPr>
            <w:tcW w:w="4935" w:type="dxa"/>
            <w:vAlign w:val="center"/>
          </w:tcPr>
          <w:p w14:paraId="1C17DA0C">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以采购人或者采购代理机构查询记录为准。</w:t>
            </w:r>
          </w:p>
        </w:tc>
      </w:tr>
      <w:tr w14:paraId="2A353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609" w:type="dxa"/>
            <w:vAlign w:val="center"/>
          </w:tcPr>
          <w:p w14:paraId="1617D940">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4</w:t>
            </w:r>
          </w:p>
        </w:tc>
        <w:tc>
          <w:tcPr>
            <w:tcW w:w="3659" w:type="dxa"/>
            <w:shd w:val="clear" w:color="auto" w:fill="auto"/>
            <w:vAlign w:val="center"/>
          </w:tcPr>
          <w:p w14:paraId="58019A81">
            <w:pPr>
              <w:keepNext w:val="0"/>
              <w:keepLines w:val="0"/>
              <w:pageBreakBefore w:val="0"/>
              <w:widowControl w:val="0"/>
              <w:kinsoku/>
              <w:wordWrap/>
              <w:overflowPunct/>
              <w:topLinePunct w:val="0"/>
              <w:autoSpaceDE/>
              <w:autoSpaceDN/>
              <w:bidi w:val="0"/>
              <w:adjustRightInd/>
              <w:snapToGrid/>
              <w:spacing w:beforeAutospacing="0" w:afterAutospacing="0" w:line="288" w:lineRule="auto"/>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磋商保证金必须按照磋商文件要求缴纳。</w:t>
            </w:r>
          </w:p>
        </w:tc>
        <w:tc>
          <w:tcPr>
            <w:tcW w:w="4935" w:type="dxa"/>
            <w:shd w:val="clear" w:color="auto" w:fill="auto"/>
            <w:vAlign w:val="center"/>
          </w:tcPr>
          <w:p w14:paraId="60126DC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保证金缴纳证明材料：汇款凭证或支票或汇票或保函或保证金收据等的扫描件。</w:t>
            </w:r>
          </w:p>
        </w:tc>
      </w:tr>
      <w:tr w14:paraId="01946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0" w:hRule="atLeast"/>
          <w:jc w:val="center"/>
        </w:trPr>
        <w:tc>
          <w:tcPr>
            <w:tcW w:w="9203" w:type="dxa"/>
            <w:gridSpan w:val="3"/>
            <w:vAlign w:val="center"/>
          </w:tcPr>
          <w:p w14:paraId="70EF4759">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备注： 如果资格评审中有一项不满足审查标准的，采购人将认定该供应商不通过资格审查，响应文件将被拒绝评审。并且不允许供应商通过修改或撤销其不符合要求的差异或保留，使之成为具有响应性的投标。</w:t>
            </w:r>
          </w:p>
        </w:tc>
      </w:tr>
    </w:tbl>
    <w:p w14:paraId="11F32018">
      <w:pPr>
        <w:keepLines w:val="0"/>
        <w:pageBreakBefore w:val="0"/>
        <w:widowControl/>
        <w:shd w:val="clear" w:color="auto" w:fill="FFFFFF"/>
        <w:kinsoku/>
        <w:overflowPunct/>
        <w:topLinePunct w:val="0"/>
        <w:bidi w:val="0"/>
        <w:snapToGrid w:val="0"/>
        <w:spacing w:beforeAutospacing="0" w:afterAutospacing="0" w:line="360" w:lineRule="auto"/>
        <w:jc w:val="center"/>
        <w:textAlignment w:val="auto"/>
        <w:rPr>
          <w:rFonts w:hint="eastAsia" w:ascii="仿宋" w:hAnsi="仿宋" w:eastAsia="仿宋" w:cs="仿宋"/>
          <w:b/>
          <w:color w:val="auto"/>
          <w:kern w:val="0"/>
          <w:szCs w:val="21"/>
          <w:highlight w:val="none"/>
          <w:shd w:val="clear" w:color="auto" w:fill="FFFFFF" w:themeFill="background1"/>
        </w:rPr>
      </w:pPr>
      <w:bookmarkStart w:id="28" w:name="_Toc501719167"/>
    </w:p>
    <w:p w14:paraId="43E3C101">
      <w:pPr>
        <w:keepLines w:val="0"/>
        <w:pageBreakBefore w:val="0"/>
        <w:widowControl/>
        <w:shd w:val="clear" w:color="auto" w:fill="FFFFFF"/>
        <w:kinsoku/>
        <w:overflowPunct/>
        <w:topLinePunct w:val="0"/>
        <w:bidi w:val="0"/>
        <w:snapToGrid w:val="0"/>
        <w:spacing w:beforeAutospacing="0" w:afterAutospacing="0" w:line="360" w:lineRule="auto"/>
        <w:jc w:val="center"/>
        <w:textAlignment w:val="auto"/>
        <w:rPr>
          <w:rFonts w:hint="eastAsia" w:ascii="仿宋" w:hAnsi="仿宋" w:eastAsia="仿宋" w:cs="仿宋"/>
          <w:b/>
          <w:color w:val="auto"/>
          <w:kern w:val="0"/>
          <w:szCs w:val="21"/>
          <w:highlight w:val="none"/>
          <w:shd w:val="clear" w:color="auto" w:fill="FFFFFF" w:themeFill="background1"/>
        </w:rPr>
      </w:pPr>
      <w:r>
        <w:rPr>
          <w:rFonts w:hint="eastAsia" w:ascii="仿宋" w:hAnsi="仿宋" w:eastAsia="仿宋" w:cs="仿宋"/>
          <w:b/>
          <w:color w:val="auto"/>
          <w:kern w:val="0"/>
          <w:szCs w:val="21"/>
          <w:highlight w:val="none"/>
          <w:shd w:val="clear" w:color="auto" w:fill="FFFFFF" w:themeFill="background1"/>
        </w:rPr>
        <w:t>《完备性及符合性审查标准》</w:t>
      </w:r>
      <w:bookmarkEnd w:id="28"/>
    </w:p>
    <w:tbl>
      <w:tblPr>
        <w:tblStyle w:val="43"/>
        <w:tblW w:w="90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6"/>
        <w:gridCol w:w="6844"/>
        <w:gridCol w:w="1535"/>
      </w:tblGrid>
      <w:tr w14:paraId="589DE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76" w:type="dxa"/>
            <w:vAlign w:val="center"/>
          </w:tcPr>
          <w:p w14:paraId="48F6847D">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序号</w:t>
            </w:r>
          </w:p>
        </w:tc>
        <w:tc>
          <w:tcPr>
            <w:tcW w:w="6844" w:type="dxa"/>
            <w:vAlign w:val="center"/>
          </w:tcPr>
          <w:p w14:paraId="4BF49932">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审查要求</w:t>
            </w:r>
          </w:p>
        </w:tc>
        <w:tc>
          <w:tcPr>
            <w:tcW w:w="1535" w:type="dxa"/>
            <w:vAlign w:val="center"/>
          </w:tcPr>
          <w:p w14:paraId="51B6A78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要求说明</w:t>
            </w:r>
          </w:p>
        </w:tc>
      </w:tr>
      <w:tr w14:paraId="03FFD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3" w:hRule="atLeast"/>
          <w:jc w:val="center"/>
        </w:trPr>
        <w:tc>
          <w:tcPr>
            <w:tcW w:w="676" w:type="dxa"/>
            <w:vAlign w:val="center"/>
          </w:tcPr>
          <w:p w14:paraId="5DEE763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1</w:t>
            </w:r>
          </w:p>
        </w:tc>
        <w:tc>
          <w:tcPr>
            <w:tcW w:w="6844" w:type="dxa"/>
            <w:vAlign w:val="center"/>
          </w:tcPr>
          <w:p w14:paraId="419C40B7">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响应文件</w:t>
            </w:r>
            <w:r>
              <w:rPr>
                <w:rFonts w:hint="eastAsia" w:ascii="仿宋" w:hAnsi="仿宋" w:eastAsia="仿宋" w:cs="仿宋"/>
                <w:color w:val="auto"/>
                <w:szCs w:val="21"/>
                <w:highlight w:val="none"/>
                <w:shd w:val="clear" w:color="auto" w:fill="FFFFFF" w:themeFill="background1"/>
                <w:lang w:val="en-US" w:eastAsia="zh-CN"/>
              </w:rPr>
              <w:t>必须按磋商文件要求加盖供应商电子印章、法定代表人电子印章或电子签名。</w:t>
            </w:r>
          </w:p>
        </w:tc>
        <w:tc>
          <w:tcPr>
            <w:tcW w:w="1535" w:type="dxa"/>
            <w:vAlign w:val="center"/>
          </w:tcPr>
          <w:p w14:paraId="43F733C5">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w:t>
            </w:r>
          </w:p>
        </w:tc>
      </w:tr>
      <w:tr w14:paraId="28A20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2" w:hRule="atLeast"/>
          <w:jc w:val="center"/>
        </w:trPr>
        <w:tc>
          <w:tcPr>
            <w:tcW w:w="676" w:type="dxa"/>
            <w:vAlign w:val="center"/>
          </w:tcPr>
          <w:p w14:paraId="3EE9153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2</w:t>
            </w:r>
          </w:p>
        </w:tc>
        <w:tc>
          <w:tcPr>
            <w:tcW w:w="6844" w:type="dxa"/>
            <w:vAlign w:val="center"/>
          </w:tcPr>
          <w:p w14:paraId="4EFF822C">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lang w:eastAsia="zh-CN"/>
              </w:rPr>
            </w:pPr>
            <w:r>
              <w:rPr>
                <w:rFonts w:hint="eastAsia" w:ascii="仿宋" w:hAnsi="仿宋" w:eastAsia="仿宋" w:cs="仿宋"/>
                <w:color w:val="auto"/>
                <w:szCs w:val="21"/>
                <w:highlight w:val="none"/>
                <w:shd w:val="clear" w:color="auto" w:fill="FFFFFF" w:themeFill="background1"/>
                <w:lang w:eastAsia="zh-CN"/>
              </w:rPr>
              <w:t>项目负责人</w:t>
            </w:r>
            <w:r>
              <w:rPr>
                <w:rFonts w:hint="eastAsia" w:ascii="仿宋" w:hAnsi="仿宋" w:eastAsia="仿宋" w:cs="仿宋"/>
                <w:color w:val="auto"/>
                <w:szCs w:val="21"/>
                <w:highlight w:val="none"/>
                <w:shd w:val="clear" w:color="auto" w:fill="FFFFFF" w:themeFill="background1"/>
              </w:rPr>
              <w:t>简历表必须提供</w:t>
            </w:r>
            <w:r>
              <w:rPr>
                <w:rFonts w:hint="eastAsia" w:ascii="仿宋" w:hAnsi="仿宋" w:eastAsia="仿宋" w:cs="仿宋"/>
                <w:color w:val="auto"/>
                <w:szCs w:val="21"/>
                <w:highlight w:val="none"/>
                <w:shd w:val="clear" w:color="auto" w:fill="FFFFFF" w:themeFill="background1"/>
                <w:lang w:eastAsia="zh-CN"/>
              </w:rPr>
              <w:t>。</w:t>
            </w:r>
          </w:p>
        </w:tc>
        <w:tc>
          <w:tcPr>
            <w:tcW w:w="1535" w:type="dxa"/>
            <w:vAlign w:val="center"/>
          </w:tcPr>
          <w:p w14:paraId="774FB908">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w:t>
            </w:r>
          </w:p>
        </w:tc>
      </w:tr>
      <w:tr w14:paraId="1A971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76" w:type="dxa"/>
            <w:vAlign w:val="center"/>
          </w:tcPr>
          <w:p w14:paraId="470C7E33">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3</w:t>
            </w:r>
          </w:p>
        </w:tc>
        <w:tc>
          <w:tcPr>
            <w:tcW w:w="6844" w:type="dxa"/>
            <w:vAlign w:val="center"/>
          </w:tcPr>
          <w:p w14:paraId="130D3E10">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服务周期必须满足磋商文件要求</w:t>
            </w:r>
            <w:r>
              <w:rPr>
                <w:rFonts w:hint="eastAsia" w:ascii="仿宋" w:hAnsi="仿宋" w:eastAsia="仿宋" w:cs="仿宋"/>
                <w:color w:val="auto"/>
                <w:szCs w:val="21"/>
                <w:highlight w:val="none"/>
                <w:shd w:val="clear" w:color="auto" w:fill="FFFFFF" w:themeFill="background1"/>
                <w:lang w:eastAsia="zh-CN"/>
              </w:rPr>
              <w:t>。</w:t>
            </w:r>
          </w:p>
        </w:tc>
        <w:tc>
          <w:tcPr>
            <w:tcW w:w="1535" w:type="dxa"/>
            <w:vAlign w:val="center"/>
          </w:tcPr>
          <w:p w14:paraId="2922C145">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w:t>
            </w:r>
          </w:p>
        </w:tc>
      </w:tr>
      <w:tr w14:paraId="0D1CC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76" w:type="dxa"/>
            <w:vAlign w:val="center"/>
          </w:tcPr>
          <w:p w14:paraId="79E339CB">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4</w:t>
            </w:r>
          </w:p>
        </w:tc>
        <w:tc>
          <w:tcPr>
            <w:tcW w:w="6844" w:type="dxa"/>
            <w:vAlign w:val="center"/>
          </w:tcPr>
          <w:p w14:paraId="169F71CE">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磋商价格不得超过供应商须知前附表中的采购预算金额</w:t>
            </w:r>
            <w:r>
              <w:rPr>
                <w:rFonts w:hint="eastAsia" w:ascii="仿宋" w:hAnsi="仿宋" w:eastAsia="仿宋" w:cs="仿宋"/>
                <w:color w:val="auto"/>
                <w:szCs w:val="21"/>
                <w:highlight w:val="none"/>
                <w:shd w:val="clear" w:color="auto" w:fill="FFFFFF" w:themeFill="background1"/>
                <w:lang w:eastAsia="zh-CN"/>
              </w:rPr>
              <w:t>。</w:t>
            </w:r>
          </w:p>
        </w:tc>
        <w:tc>
          <w:tcPr>
            <w:tcW w:w="1535" w:type="dxa"/>
            <w:vAlign w:val="center"/>
          </w:tcPr>
          <w:p w14:paraId="56A825B7">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w:t>
            </w:r>
          </w:p>
        </w:tc>
      </w:tr>
      <w:tr w14:paraId="26BD6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76" w:type="dxa"/>
            <w:vAlign w:val="center"/>
          </w:tcPr>
          <w:p w14:paraId="6F3AAF26">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5</w:t>
            </w:r>
          </w:p>
        </w:tc>
        <w:tc>
          <w:tcPr>
            <w:tcW w:w="6844" w:type="dxa"/>
            <w:vAlign w:val="center"/>
          </w:tcPr>
          <w:p w14:paraId="1E3AC574">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响应文件符合竞争性磋商文件全部实质性要求。</w:t>
            </w:r>
          </w:p>
        </w:tc>
        <w:tc>
          <w:tcPr>
            <w:tcW w:w="1535" w:type="dxa"/>
            <w:vAlign w:val="center"/>
          </w:tcPr>
          <w:p w14:paraId="71C77DE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w:t>
            </w:r>
          </w:p>
        </w:tc>
      </w:tr>
      <w:tr w14:paraId="4C877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9055" w:type="dxa"/>
            <w:gridSpan w:val="3"/>
            <w:vAlign w:val="center"/>
          </w:tcPr>
          <w:p w14:paraId="3F6CB848">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备注：完备性及符合性审查中有一项不满足评审标准的，磋商小组将认定该供应商不通过完备性及符合性审查，不得进入下一阶段评审。并且不允许供应商通过修改或撤销其不符合要求的差异或保留，使之成为具有响应性的投标。</w:t>
            </w:r>
          </w:p>
        </w:tc>
      </w:tr>
    </w:tbl>
    <w:p w14:paraId="344DF16B">
      <w:pPr>
        <w:keepLines w:val="0"/>
        <w:pageBreakBefore w:val="0"/>
        <w:widowControl/>
        <w:shd w:val="clear" w:color="auto" w:fill="FFFFFF"/>
        <w:kinsoku/>
        <w:overflowPunct/>
        <w:topLinePunct w:val="0"/>
        <w:bidi w:val="0"/>
        <w:snapToGrid w:val="0"/>
        <w:spacing w:beforeAutospacing="0" w:afterAutospacing="0" w:line="360" w:lineRule="auto"/>
        <w:jc w:val="center"/>
        <w:textAlignment w:val="auto"/>
        <w:rPr>
          <w:rFonts w:hint="eastAsia" w:ascii="仿宋" w:hAnsi="仿宋" w:eastAsia="仿宋" w:cs="仿宋"/>
          <w:b/>
          <w:color w:val="auto"/>
          <w:kern w:val="0"/>
          <w:szCs w:val="21"/>
          <w:highlight w:val="none"/>
          <w:shd w:val="clear" w:color="auto" w:fill="FFFFFF" w:themeFill="background1"/>
          <w:lang w:val="en-US" w:eastAsia="zh-CN"/>
        </w:rPr>
      </w:pPr>
      <w:r>
        <w:rPr>
          <w:rFonts w:hint="eastAsia" w:ascii="仿宋" w:hAnsi="仿宋" w:eastAsia="仿宋" w:cs="仿宋"/>
          <w:b/>
          <w:color w:val="auto"/>
          <w:kern w:val="0"/>
          <w:szCs w:val="21"/>
          <w:highlight w:val="none"/>
          <w:shd w:val="clear" w:color="auto" w:fill="FFFFFF" w:themeFill="background1"/>
        </w:rPr>
        <w:t>《详细评审标准》</w:t>
      </w:r>
    </w:p>
    <w:tbl>
      <w:tblPr>
        <w:tblStyle w:val="43"/>
        <w:tblpPr w:leftFromText="181" w:rightFromText="181" w:vertAnchor="text" w:horzAnchor="page" w:tblpXSpec="center" w:tblpY="1"/>
        <w:tblOverlap w:val="never"/>
        <w:tblW w:w="525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35"/>
        <w:gridCol w:w="1423"/>
        <w:gridCol w:w="951"/>
        <w:gridCol w:w="6138"/>
      </w:tblGrid>
      <w:tr w14:paraId="15397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46" w:type="pct"/>
            <w:vAlign w:val="center"/>
          </w:tcPr>
          <w:p w14:paraId="12CE57E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序号</w:t>
            </w:r>
          </w:p>
        </w:tc>
        <w:tc>
          <w:tcPr>
            <w:tcW w:w="777" w:type="pct"/>
            <w:vAlign w:val="center"/>
          </w:tcPr>
          <w:p w14:paraId="3DF1858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评审项目</w:t>
            </w:r>
          </w:p>
        </w:tc>
        <w:tc>
          <w:tcPr>
            <w:tcW w:w="519" w:type="pct"/>
            <w:vAlign w:val="center"/>
          </w:tcPr>
          <w:p w14:paraId="75D1E8C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rPr>
              <w:t>标准分</w:t>
            </w:r>
          </w:p>
        </w:tc>
        <w:tc>
          <w:tcPr>
            <w:tcW w:w="3355" w:type="pct"/>
            <w:vAlign w:val="center"/>
          </w:tcPr>
          <w:p w14:paraId="177CA755">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评审标准</w:t>
            </w:r>
          </w:p>
        </w:tc>
      </w:tr>
      <w:tr w14:paraId="48FAE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46" w:type="pct"/>
            <w:vAlign w:val="center"/>
          </w:tcPr>
          <w:p w14:paraId="3A1904A0">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1</w:t>
            </w:r>
          </w:p>
        </w:tc>
        <w:tc>
          <w:tcPr>
            <w:tcW w:w="777" w:type="pct"/>
            <w:vAlign w:val="center"/>
          </w:tcPr>
          <w:p w14:paraId="4905C326">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近三年类似业绩</w:t>
            </w:r>
          </w:p>
        </w:tc>
        <w:tc>
          <w:tcPr>
            <w:tcW w:w="519" w:type="pct"/>
            <w:vAlign w:val="center"/>
          </w:tcPr>
          <w:p w14:paraId="0258A494">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3</w:t>
            </w:r>
          </w:p>
        </w:tc>
        <w:tc>
          <w:tcPr>
            <w:tcW w:w="3355" w:type="pct"/>
            <w:vAlign w:val="center"/>
          </w:tcPr>
          <w:p w14:paraId="740CCD8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供应商近三年(202</w:t>
            </w:r>
            <w:r>
              <w:rPr>
                <w:rFonts w:hint="eastAsia" w:ascii="仿宋" w:hAnsi="仿宋" w:eastAsia="仿宋" w:cs="仿宋"/>
                <w:color w:val="auto"/>
                <w:szCs w:val="21"/>
                <w:highlight w:val="none"/>
                <w:shd w:val="clear" w:color="auto" w:fill="FFFFFF" w:themeFill="background1"/>
                <w:lang w:val="en-US" w:eastAsia="zh-CN"/>
              </w:rPr>
              <w:t>2</w:t>
            </w:r>
            <w:r>
              <w:rPr>
                <w:rFonts w:hint="eastAsia" w:ascii="仿宋" w:hAnsi="仿宋" w:eastAsia="仿宋" w:cs="仿宋"/>
                <w:color w:val="auto"/>
                <w:szCs w:val="21"/>
                <w:highlight w:val="none"/>
                <w:shd w:val="clear" w:color="auto" w:fill="FFFFFF" w:themeFill="background1"/>
              </w:rPr>
              <w:t>年1月1日-至今)承接的类似业绩，一项计</w:t>
            </w:r>
            <w:r>
              <w:rPr>
                <w:rFonts w:hint="eastAsia" w:ascii="仿宋" w:hAnsi="仿宋" w:eastAsia="仿宋" w:cs="仿宋"/>
                <w:color w:val="auto"/>
                <w:szCs w:val="21"/>
                <w:highlight w:val="none"/>
                <w:shd w:val="clear" w:color="auto" w:fill="FFFFFF" w:themeFill="background1"/>
                <w:lang w:val="en-US" w:eastAsia="zh-CN"/>
              </w:rPr>
              <w:t>1</w:t>
            </w:r>
            <w:r>
              <w:rPr>
                <w:rFonts w:hint="eastAsia" w:ascii="仿宋" w:hAnsi="仿宋" w:eastAsia="仿宋" w:cs="仿宋"/>
                <w:color w:val="auto"/>
                <w:szCs w:val="21"/>
                <w:highlight w:val="none"/>
                <w:shd w:val="clear" w:color="auto" w:fill="FFFFFF" w:themeFill="background1"/>
              </w:rPr>
              <w:t>分，最多计</w:t>
            </w:r>
            <w:r>
              <w:rPr>
                <w:rFonts w:hint="eastAsia" w:ascii="仿宋" w:hAnsi="仿宋" w:eastAsia="仿宋" w:cs="仿宋"/>
                <w:color w:val="auto"/>
                <w:szCs w:val="21"/>
                <w:highlight w:val="none"/>
                <w:shd w:val="clear" w:color="auto" w:fill="FFFFFF" w:themeFill="background1"/>
                <w:lang w:val="en-US" w:eastAsia="zh-CN"/>
              </w:rPr>
              <w:t>3</w:t>
            </w:r>
            <w:r>
              <w:rPr>
                <w:rFonts w:hint="eastAsia" w:ascii="仿宋" w:hAnsi="仿宋" w:eastAsia="仿宋" w:cs="仿宋"/>
                <w:color w:val="auto"/>
                <w:szCs w:val="21"/>
                <w:highlight w:val="none"/>
                <w:shd w:val="clear" w:color="auto" w:fill="FFFFFF" w:themeFill="background1"/>
              </w:rPr>
              <w:t>项(须提供合同)。</w:t>
            </w:r>
          </w:p>
        </w:tc>
      </w:tr>
      <w:tr w14:paraId="3F787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46" w:type="pct"/>
            <w:vAlign w:val="center"/>
          </w:tcPr>
          <w:p w14:paraId="424269FE">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2</w:t>
            </w:r>
          </w:p>
        </w:tc>
        <w:tc>
          <w:tcPr>
            <w:tcW w:w="777" w:type="pct"/>
            <w:vAlign w:val="center"/>
          </w:tcPr>
          <w:p w14:paraId="56DCB3D9">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rPr>
              <w:t>项目负责人</w:t>
            </w:r>
          </w:p>
        </w:tc>
        <w:tc>
          <w:tcPr>
            <w:tcW w:w="519" w:type="pct"/>
            <w:vAlign w:val="center"/>
          </w:tcPr>
          <w:p w14:paraId="15B8632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4</w:t>
            </w:r>
          </w:p>
        </w:tc>
        <w:tc>
          <w:tcPr>
            <w:tcW w:w="3355" w:type="pct"/>
            <w:vAlign w:val="center"/>
          </w:tcPr>
          <w:p w14:paraId="5F0669C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拟派项目负责人具有相关专业（会计类或经济类或绩效类等）高级及以上职称或注册类证书得4分，具有中级及以下职称得2分。</w:t>
            </w:r>
          </w:p>
          <w:p w14:paraId="66493EB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default" w:ascii="仿宋" w:hAnsi="仿宋" w:eastAsia="仿宋" w:cs="仿宋"/>
                <w:color w:val="auto"/>
                <w:szCs w:val="21"/>
                <w:highlight w:val="none"/>
                <w:shd w:val="clear" w:color="auto" w:fill="FFFFFF" w:themeFill="background1"/>
                <w:lang w:val="en-US" w:eastAsia="zh-CN"/>
              </w:rPr>
            </w:pPr>
            <w:r>
              <w:rPr>
                <w:rFonts w:hint="default" w:ascii="仿宋" w:hAnsi="仿宋" w:eastAsia="仿宋" w:cs="仿宋"/>
                <w:color w:val="auto"/>
                <w:szCs w:val="21"/>
                <w:highlight w:val="none"/>
                <w:shd w:val="clear" w:color="auto" w:fill="FFFFFF" w:themeFill="background1"/>
                <w:lang w:val="en-US" w:eastAsia="zh-CN"/>
              </w:rPr>
              <w:t>注：须提供人员</w:t>
            </w:r>
            <w:r>
              <w:rPr>
                <w:rFonts w:hint="eastAsia" w:ascii="仿宋" w:hAnsi="仿宋" w:eastAsia="仿宋" w:cs="仿宋"/>
                <w:color w:val="auto"/>
                <w:szCs w:val="21"/>
                <w:highlight w:val="none"/>
                <w:shd w:val="clear" w:color="auto" w:fill="FFFFFF" w:themeFill="background1"/>
                <w:lang w:val="en-US" w:eastAsia="zh-CN"/>
              </w:rPr>
              <w:t>身份证、相应证书</w:t>
            </w:r>
            <w:r>
              <w:rPr>
                <w:rFonts w:hint="default" w:ascii="仿宋" w:hAnsi="仿宋" w:eastAsia="仿宋" w:cs="仿宋"/>
                <w:color w:val="auto"/>
                <w:szCs w:val="21"/>
                <w:highlight w:val="none"/>
                <w:shd w:val="clear" w:color="auto" w:fill="FFFFFF" w:themeFill="background1"/>
                <w:lang w:val="en-US" w:eastAsia="zh-CN"/>
              </w:rPr>
              <w:t>及本单位近半年（2024年</w:t>
            </w:r>
            <w:r>
              <w:rPr>
                <w:rFonts w:hint="eastAsia" w:ascii="仿宋" w:hAnsi="仿宋" w:eastAsia="仿宋" w:cs="仿宋"/>
                <w:color w:val="auto"/>
                <w:szCs w:val="21"/>
                <w:highlight w:val="none"/>
                <w:shd w:val="clear" w:color="auto" w:fill="FFFFFF" w:themeFill="background1"/>
                <w:lang w:val="en-US" w:eastAsia="zh-CN"/>
              </w:rPr>
              <w:t>9</w:t>
            </w:r>
            <w:r>
              <w:rPr>
                <w:rFonts w:hint="default" w:ascii="仿宋" w:hAnsi="仿宋" w:eastAsia="仿宋" w:cs="仿宋"/>
                <w:color w:val="auto"/>
                <w:szCs w:val="21"/>
                <w:highlight w:val="none"/>
                <w:shd w:val="clear" w:color="auto" w:fill="FFFFFF" w:themeFill="background1"/>
                <w:lang w:val="en-US" w:eastAsia="zh-CN"/>
              </w:rPr>
              <w:t>月1日--至今）任意一月社保缴纳证明；同一人员的不同证书只计取一次。</w:t>
            </w:r>
          </w:p>
        </w:tc>
      </w:tr>
      <w:tr w14:paraId="0BDFD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46" w:type="pct"/>
            <w:vAlign w:val="center"/>
          </w:tcPr>
          <w:p w14:paraId="33B697A6">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lang w:val="en-US" w:eastAsia="zh-CN"/>
              </w:rPr>
              <w:t>3</w:t>
            </w:r>
          </w:p>
        </w:tc>
        <w:tc>
          <w:tcPr>
            <w:tcW w:w="777" w:type="pct"/>
            <w:vAlign w:val="center"/>
          </w:tcPr>
          <w:p w14:paraId="63676B4B">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szCs w:val="21"/>
                <w:highlight w:val="none"/>
                <w:shd w:val="clear" w:color="auto" w:fill="FFFFFF" w:themeFill="background1"/>
                <w:lang w:val="en-US" w:eastAsia="zh-CN"/>
              </w:rPr>
              <w:t>项目团队</w:t>
            </w:r>
          </w:p>
        </w:tc>
        <w:tc>
          <w:tcPr>
            <w:tcW w:w="519" w:type="pct"/>
            <w:vAlign w:val="center"/>
          </w:tcPr>
          <w:p w14:paraId="2DC2ADA4">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kern w:val="2"/>
                <w:sz w:val="21"/>
                <w:szCs w:val="21"/>
                <w:highlight w:val="none"/>
                <w:shd w:val="clear" w:color="auto" w:fill="FFFFFF" w:themeFill="background1"/>
                <w:lang w:val="en-US" w:eastAsia="zh-CN" w:bidi="ar-SA"/>
              </w:rPr>
            </w:pPr>
            <w:r>
              <w:rPr>
                <w:rFonts w:hint="eastAsia" w:ascii="仿宋" w:hAnsi="仿宋" w:eastAsia="仿宋" w:cs="仿宋"/>
                <w:color w:val="auto"/>
                <w:kern w:val="2"/>
                <w:sz w:val="21"/>
                <w:szCs w:val="21"/>
                <w:highlight w:val="none"/>
                <w:shd w:val="clear" w:color="auto" w:fill="FFFFFF" w:themeFill="background1"/>
                <w:lang w:val="en-US" w:eastAsia="zh-CN" w:bidi="ar-SA"/>
              </w:rPr>
              <w:t>12</w:t>
            </w:r>
          </w:p>
        </w:tc>
        <w:tc>
          <w:tcPr>
            <w:tcW w:w="3355" w:type="pct"/>
            <w:vAlign w:val="center"/>
          </w:tcPr>
          <w:p w14:paraId="60C15FC5">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拟派项目团队成员（除项目负责人）：</w:t>
            </w:r>
          </w:p>
          <w:p w14:paraId="7AC9F8D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具有相关专业（会计类或经济类或绩效类等）中级及以上职称或注册类证书，每提供1人得3分；具有相关专业（会计类或经济类或绩效类等）初级职称，每提供1人得1分；最多计4人。</w:t>
            </w:r>
          </w:p>
          <w:p w14:paraId="7784F00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default" w:ascii="仿宋" w:hAnsi="仿宋" w:eastAsia="仿宋" w:cs="仿宋"/>
                <w:color w:val="auto"/>
                <w:szCs w:val="21"/>
                <w:highlight w:val="none"/>
                <w:shd w:val="clear" w:color="auto" w:fill="FFFFFF" w:themeFill="background1"/>
                <w:lang w:val="en-US" w:eastAsia="zh-CN"/>
              </w:rPr>
            </w:pPr>
            <w:r>
              <w:rPr>
                <w:rFonts w:hint="default" w:ascii="仿宋" w:hAnsi="仿宋" w:eastAsia="仿宋" w:cs="仿宋"/>
                <w:color w:val="auto"/>
                <w:szCs w:val="21"/>
                <w:highlight w:val="none"/>
                <w:shd w:val="clear" w:color="auto" w:fill="FFFFFF" w:themeFill="background1"/>
                <w:lang w:val="en-US" w:eastAsia="zh-CN"/>
              </w:rPr>
              <w:t>注：须提供人员</w:t>
            </w:r>
            <w:r>
              <w:rPr>
                <w:rFonts w:hint="eastAsia" w:ascii="仿宋" w:hAnsi="仿宋" w:eastAsia="仿宋" w:cs="仿宋"/>
                <w:color w:val="auto"/>
                <w:szCs w:val="21"/>
                <w:highlight w:val="none"/>
                <w:shd w:val="clear" w:color="auto" w:fill="FFFFFF" w:themeFill="background1"/>
                <w:lang w:val="en-US" w:eastAsia="zh-CN"/>
              </w:rPr>
              <w:t>身份证、相应证书</w:t>
            </w:r>
            <w:r>
              <w:rPr>
                <w:rFonts w:hint="default" w:ascii="仿宋" w:hAnsi="仿宋" w:eastAsia="仿宋" w:cs="仿宋"/>
                <w:color w:val="auto"/>
                <w:szCs w:val="21"/>
                <w:highlight w:val="none"/>
                <w:shd w:val="clear" w:color="auto" w:fill="FFFFFF" w:themeFill="background1"/>
                <w:lang w:val="en-US" w:eastAsia="zh-CN"/>
              </w:rPr>
              <w:t>及本单位近半年（2024年</w:t>
            </w:r>
            <w:r>
              <w:rPr>
                <w:rFonts w:hint="eastAsia" w:ascii="仿宋" w:hAnsi="仿宋" w:eastAsia="仿宋" w:cs="仿宋"/>
                <w:color w:val="auto"/>
                <w:szCs w:val="21"/>
                <w:highlight w:val="none"/>
                <w:shd w:val="clear" w:color="auto" w:fill="FFFFFF" w:themeFill="background1"/>
                <w:lang w:val="en-US" w:eastAsia="zh-CN"/>
              </w:rPr>
              <w:t>9</w:t>
            </w:r>
            <w:r>
              <w:rPr>
                <w:rFonts w:hint="default" w:ascii="仿宋" w:hAnsi="仿宋" w:eastAsia="仿宋" w:cs="仿宋"/>
                <w:color w:val="auto"/>
                <w:szCs w:val="21"/>
                <w:highlight w:val="none"/>
                <w:shd w:val="clear" w:color="auto" w:fill="FFFFFF" w:themeFill="background1"/>
                <w:lang w:val="en-US" w:eastAsia="zh-CN"/>
              </w:rPr>
              <w:t>月1日--至今）任意一月社保缴纳证明；同一人员的不同证书只计取一次。</w:t>
            </w:r>
          </w:p>
        </w:tc>
      </w:tr>
      <w:tr w14:paraId="29D47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46" w:type="pct"/>
            <w:vAlign w:val="center"/>
          </w:tcPr>
          <w:p w14:paraId="22538718">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4</w:t>
            </w:r>
          </w:p>
        </w:tc>
        <w:tc>
          <w:tcPr>
            <w:tcW w:w="777" w:type="pct"/>
            <w:vAlign w:val="center"/>
          </w:tcPr>
          <w:p w14:paraId="00EDEFCD">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rPr>
            </w:pPr>
            <w:r>
              <w:rPr>
                <w:rFonts w:hint="eastAsia" w:ascii="仿宋" w:hAnsi="仿宋" w:eastAsia="仿宋" w:cs="仿宋"/>
                <w:color w:val="auto"/>
                <w:sz w:val="21"/>
                <w:szCs w:val="21"/>
                <w:highlight w:val="none"/>
                <w:lang w:val="en-US" w:eastAsia="zh-CN"/>
              </w:rPr>
              <w:t>项目理解</w:t>
            </w:r>
          </w:p>
        </w:tc>
        <w:tc>
          <w:tcPr>
            <w:tcW w:w="519" w:type="pct"/>
            <w:vAlign w:val="center"/>
          </w:tcPr>
          <w:p w14:paraId="2DE441AE">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12</w:t>
            </w:r>
          </w:p>
        </w:tc>
        <w:tc>
          <w:tcPr>
            <w:tcW w:w="3355" w:type="pct"/>
            <w:vAlign w:val="center"/>
          </w:tcPr>
          <w:p w14:paraId="7FA17F2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lang w:val="en-US" w:eastAsia="zh-CN"/>
              </w:rPr>
              <w:t>项目理解包含但不限于：</w:t>
            </w:r>
            <w:r>
              <w:rPr>
                <w:rFonts w:hint="default" w:ascii="仿宋" w:hAnsi="仿宋" w:eastAsia="仿宋" w:cs="仿宋"/>
                <w:color w:val="auto"/>
                <w:szCs w:val="21"/>
                <w:highlight w:val="none"/>
                <w:shd w:val="clear" w:color="auto" w:fill="FFFFFF" w:themeFill="background1"/>
                <w:lang w:val="en-US" w:eastAsia="zh-CN"/>
              </w:rPr>
              <w:t>①服务思路</w:t>
            </w:r>
            <w:r>
              <w:rPr>
                <w:rFonts w:hint="eastAsia" w:ascii="仿宋" w:hAnsi="仿宋" w:eastAsia="仿宋" w:cs="仿宋"/>
                <w:color w:val="auto"/>
                <w:szCs w:val="21"/>
                <w:highlight w:val="none"/>
                <w:shd w:val="clear" w:color="auto" w:fill="FFFFFF" w:themeFill="background1"/>
                <w:lang w:val="en-US" w:eastAsia="zh-CN"/>
              </w:rPr>
              <w:t>、</w:t>
            </w:r>
            <w:r>
              <w:rPr>
                <w:rFonts w:hint="default" w:ascii="仿宋" w:hAnsi="仿宋" w:eastAsia="仿宋" w:cs="仿宋"/>
                <w:color w:val="auto"/>
                <w:szCs w:val="21"/>
                <w:highlight w:val="none"/>
                <w:shd w:val="clear" w:color="auto" w:fill="FFFFFF" w:themeFill="background1"/>
                <w:lang w:val="en-US" w:eastAsia="zh-CN"/>
              </w:rPr>
              <w:t>②服务目标</w:t>
            </w:r>
            <w:r>
              <w:rPr>
                <w:rFonts w:hint="eastAsia" w:ascii="仿宋" w:hAnsi="仿宋" w:eastAsia="仿宋" w:cs="仿宋"/>
                <w:color w:val="auto"/>
                <w:szCs w:val="21"/>
                <w:highlight w:val="none"/>
                <w:shd w:val="clear" w:color="auto" w:fill="FFFFFF" w:themeFill="background1"/>
                <w:lang w:val="en-US" w:eastAsia="zh-CN"/>
              </w:rPr>
              <w:t>、</w:t>
            </w:r>
            <w:r>
              <w:rPr>
                <w:rFonts w:hint="default" w:ascii="仿宋" w:hAnsi="仿宋" w:eastAsia="仿宋" w:cs="仿宋"/>
                <w:color w:val="auto"/>
                <w:szCs w:val="21"/>
                <w:highlight w:val="none"/>
                <w:shd w:val="clear" w:color="auto" w:fill="FFFFFF" w:themeFill="background1"/>
                <w:lang w:val="en-US" w:eastAsia="zh-CN"/>
              </w:rPr>
              <w:t>③服务重点</w:t>
            </w:r>
            <w:r>
              <w:rPr>
                <w:rFonts w:hint="eastAsia" w:ascii="仿宋" w:hAnsi="仿宋" w:eastAsia="仿宋" w:cs="仿宋"/>
                <w:color w:val="auto"/>
                <w:szCs w:val="21"/>
                <w:highlight w:val="none"/>
                <w:shd w:val="clear" w:color="auto" w:fill="FFFFFF" w:themeFill="background1"/>
                <w:lang w:val="en-US" w:eastAsia="zh-CN"/>
              </w:rPr>
              <w:t>、</w:t>
            </w:r>
            <w:r>
              <w:rPr>
                <w:rFonts w:hint="default" w:ascii="仿宋" w:hAnsi="仿宋" w:eastAsia="仿宋" w:cs="仿宋"/>
                <w:color w:val="auto"/>
                <w:szCs w:val="21"/>
                <w:highlight w:val="none"/>
                <w:shd w:val="clear" w:color="auto" w:fill="FFFFFF" w:themeFill="background1"/>
                <w:lang w:val="en-US" w:eastAsia="zh-CN"/>
              </w:rPr>
              <w:t>④服务方法；</w:t>
            </w:r>
            <w:r>
              <w:rPr>
                <w:rFonts w:hint="eastAsia" w:ascii="仿宋" w:hAnsi="仿宋" w:eastAsia="仿宋" w:cs="仿宋"/>
                <w:color w:val="auto"/>
                <w:szCs w:val="21"/>
                <w:highlight w:val="none"/>
                <w:shd w:val="clear" w:color="auto" w:fill="FFFFFF" w:themeFill="background1"/>
                <w:lang w:val="en-US" w:eastAsia="zh-CN"/>
              </w:rPr>
              <w:t>4</w:t>
            </w:r>
            <w:r>
              <w:rPr>
                <w:rFonts w:hint="eastAsia" w:ascii="仿宋" w:hAnsi="仿宋" w:eastAsia="仿宋" w:cs="仿宋"/>
                <w:color w:val="auto"/>
                <w:szCs w:val="21"/>
                <w:highlight w:val="none"/>
                <w:shd w:val="clear" w:color="auto" w:fill="FFFFFF" w:themeFill="background1"/>
              </w:rPr>
              <w:t>部分要素。</w:t>
            </w:r>
          </w:p>
          <w:p w14:paraId="47515BF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rPr>
              <w:t>所有要素齐全且完全满足项目要求得</w:t>
            </w:r>
            <w:r>
              <w:rPr>
                <w:rFonts w:hint="eastAsia" w:ascii="仿宋" w:hAnsi="仿宋" w:eastAsia="仿宋" w:cs="仿宋"/>
                <w:color w:val="auto"/>
                <w:szCs w:val="21"/>
                <w:highlight w:val="none"/>
                <w:shd w:val="clear" w:color="auto" w:fill="FFFFFF" w:themeFill="background1"/>
                <w:lang w:val="en-US" w:eastAsia="zh-CN"/>
              </w:rPr>
              <w:t>12</w:t>
            </w:r>
            <w:r>
              <w:rPr>
                <w:rFonts w:hint="eastAsia" w:ascii="仿宋" w:hAnsi="仿宋" w:eastAsia="仿宋" w:cs="仿宋"/>
                <w:color w:val="auto"/>
                <w:szCs w:val="21"/>
                <w:highlight w:val="none"/>
                <w:shd w:val="clear" w:color="auto" w:fill="FFFFFF" w:themeFill="background1"/>
              </w:rPr>
              <w:t>分，每缺一个要素扣</w:t>
            </w:r>
            <w:r>
              <w:rPr>
                <w:rFonts w:hint="eastAsia" w:ascii="仿宋" w:hAnsi="仿宋" w:eastAsia="仿宋" w:cs="仿宋"/>
                <w:color w:val="auto"/>
                <w:szCs w:val="21"/>
                <w:highlight w:val="none"/>
                <w:shd w:val="clear" w:color="auto" w:fill="FFFFFF" w:themeFill="background1"/>
                <w:lang w:val="en-US" w:eastAsia="zh-CN"/>
              </w:rPr>
              <w:t>3</w:t>
            </w:r>
            <w:r>
              <w:rPr>
                <w:rFonts w:hint="eastAsia" w:ascii="仿宋" w:hAnsi="仿宋" w:eastAsia="仿宋" w:cs="仿宋"/>
                <w:color w:val="auto"/>
                <w:szCs w:val="21"/>
                <w:highlight w:val="none"/>
                <w:shd w:val="clear" w:color="auto" w:fill="FFFFFF" w:themeFill="background1"/>
              </w:rPr>
              <w:t>分，每个要素里每有一处内容缺陷扣</w:t>
            </w:r>
            <w:r>
              <w:rPr>
                <w:rFonts w:hint="eastAsia" w:ascii="仿宋" w:hAnsi="仿宋" w:eastAsia="仿宋" w:cs="仿宋"/>
                <w:color w:val="auto"/>
                <w:szCs w:val="21"/>
                <w:highlight w:val="none"/>
                <w:shd w:val="clear" w:color="auto" w:fill="FFFFFF" w:themeFill="background1"/>
                <w:lang w:val="en-US" w:eastAsia="zh-CN"/>
              </w:rPr>
              <w:t>1</w:t>
            </w:r>
            <w:r>
              <w:rPr>
                <w:rFonts w:hint="eastAsia" w:ascii="仿宋" w:hAnsi="仿宋" w:eastAsia="仿宋" w:cs="仿宋"/>
                <w:color w:val="auto"/>
                <w:szCs w:val="21"/>
                <w:highlight w:val="none"/>
                <w:shd w:val="clear" w:color="auto" w:fill="FFFFFF" w:themeFill="background1"/>
              </w:rPr>
              <w:t>分（扣完为止）。</w:t>
            </w:r>
          </w:p>
        </w:tc>
      </w:tr>
      <w:tr w14:paraId="6703C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46" w:type="pct"/>
            <w:vAlign w:val="center"/>
          </w:tcPr>
          <w:p w14:paraId="2251C796">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5</w:t>
            </w:r>
          </w:p>
        </w:tc>
        <w:tc>
          <w:tcPr>
            <w:tcW w:w="777" w:type="pct"/>
            <w:vAlign w:val="center"/>
          </w:tcPr>
          <w:p w14:paraId="0D4E18CE">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lang w:eastAsia="zh-CN"/>
              </w:rPr>
            </w:pPr>
            <w:r>
              <w:rPr>
                <w:rFonts w:hint="eastAsia" w:ascii="仿宋" w:hAnsi="仿宋" w:eastAsia="仿宋" w:cs="仿宋"/>
                <w:color w:val="auto"/>
                <w:szCs w:val="21"/>
                <w:highlight w:val="none"/>
                <w:shd w:val="clear" w:color="auto" w:fill="FFFFFF" w:themeFill="background1"/>
                <w:lang w:eastAsia="zh-CN"/>
              </w:rPr>
              <w:t>实施方案</w:t>
            </w:r>
          </w:p>
        </w:tc>
        <w:tc>
          <w:tcPr>
            <w:tcW w:w="519" w:type="pct"/>
            <w:vAlign w:val="center"/>
          </w:tcPr>
          <w:p w14:paraId="72F6D998">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20</w:t>
            </w:r>
          </w:p>
        </w:tc>
        <w:tc>
          <w:tcPr>
            <w:tcW w:w="3355" w:type="pct"/>
            <w:vAlign w:val="center"/>
          </w:tcPr>
          <w:p w14:paraId="749E326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lang w:eastAsia="zh-CN"/>
              </w:rPr>
              <w:t>实施方案</w:t>
            </w:r>
            <w:r>
              <w:rPr>
                <w:rFonts w:hint="eastAsia" w:ascii="仿宋" w:hAnsi="仿宋" w:eastAsia="仿宋" w:cs="仿宋"/>
                <w:color w:val="auto"/>
                <w:szCs w:val="21"/>
                <w:highlight w:val="none"/>
                <w:shd w:val="clear" w:color="auto" w:fill="FFFFFF" w:themeFill="background1"/>
                <w:lang w:val="en-US" w:eastAsia="zh-CN"/>
              </w:rPr>
              <w:t>包含但不限于：</w:t>
            </w:r>
            <w:r>
              <w:rPr>
                <w:rFonts w:hint="eastAsia" w:ascii="仿宋" w:hAnsi="仿宋" w:eastAsia="仿宋" w:cs="仿宋"/>
                <w:color w:val="auto"/>
                <w:szCs w:val="21"/>
                <w:highlight w:val="none"/>
                <w:shd w:val="clear" w:color="auto" w:fill="FFFFFF" w:themeFill="background1"/>
                <w:lang w:eastAsia="zh-CN"/>
              </w:rPr>
              <w:t>①绩效目标审核、②事前绩效评估、③绩效运行监控、④重点绩效评价、</w:t>
            </w:r>
            <w:r>
              <w:rPr>
                <w:rFonts w:hint="default" w:ascii="仿宋" w:hAnsi="仿宋" w:eastAsia="仿宋" w:cs="仿宋"/>
                <w:color w:val="auto"/>
                <w:szCs w:val="21"/>
                <w:highlight w:val="none"/>
                <w:shd w:val="clear" w:color="auto" w:fill="FFFFFF" w:themeFill="background1"/>
                <w:lang w:val="en-US" w:eastAsia="zh-CN"/>
              </w:rPr>
              <w:t>⑤</w:t>
            </w:r>
            <w:r>
              <w:rPr>
                <w:rFonts w:hint="eastAsia" w:ascii="仿宋" w:hAnsi="仿宋" w:eastAsia="仿宋" w:cs="仿宋"/>
                <w:color w:val="auto"/>
                <w:szCs w:val="21"/>
                <w:highlight w:val="none"/>
                <w:shd w:val="clear" w:color="auto" w:fill="FFFFFF" w:themeFill="background1"/>
                <w:lang w:eastAsia="zh-CN"/>
              </w:rPr>
              <w:t>重点绩效评价“回头看”</w:t>
            </w:r>
            <w:r>
              <w:rPr>
                <w:rFonts w:hint="default" w:ascii="仿宋" w:hAnsi="仿宋" w:eastAsia="仿宋" w:cs="仿宋"/>
                <w:color w:val="auto"/>
                <w:szCs w:val="21"/>
                <w:highlight w:val="none"/>
                <w:shd w:val="clear" w:color="auto" w:fill="FFFFFF" w:themeFill="background1"/>
                <w:lang w:val="en-US" w:eastAsia="zh-CN"/>
              </w:rPr>
              <w:t>；</w:t>
            </w:r>
            <w:r>
              <w:rPr>
                <w:rFonts w:hint="eastAsia" w:ascii="仿宋" w:hAnsi="仿宋" w:eastAsia="仿宋" w:cs="仿宋"/>
                <w:color w:val="auto"/>
                <w:szCs w:val="21"/>
                <w:highlight w:val="none"/>
                <w:shd w:val="clear" w:color="auto" w:fill="FFFFFF" w:themeFill="background1"/>
                <w:lang w:val="en-US" w:eastAsia="zh-CN"/>
              </w:rPr>
              <w:t>5</w:t>
            </w:r>
            <w:r>
              <w:rPr>
                <w:rFonts w:hint="eastAsia" w:ascii="仿宋" w:hAnsi="仿宋" w:eastAsia="仿宋" w:cs="仿宋"/>
                <w:color w:val="auto"/>
                <w:szCs w:val="21"/>
                <w:highlight w:val="none"/>
                <w:shd w:val="clear" w:color="auto" w:fill="FFFFFF" w:themeFill="background1"/>
              </w:rPr>
              <w:t>部分要素。</w:t>
            </w:r>
          </w:p>
          <w:p w14:paraId="622CB3A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rPr>
              <w:t>所有要素齐全且完全满足项目要求得</w:t>
            </w:r>
            <w:r>
              <w:rPr>
                <w:rFonts w:hint="eastAsia" w:ascii="仿宋" w:hAnsi="仿宋" w:eastAsia="仿宋" w:cs="仿宋"/>
                <w:color w:val="auto"/>
                <w:szCs w:val="21"/>
                <w:highlight w:val="none"/>
                <w:shd w:val="clear" w:color="auto" w:fill="FFFFFF" w:themeFill="background1"/>
                <w:lang w:val="en-US" w:eastAsia="zh-CN"/>
              </w:rPr>
              <w:t>20</w:t>
            </w:r>
            <w:r>
              <w:rPr>
                <w:rFonts w:hint="eastAsia" w:ascii="仿宋" w:hAnsi="仿宋" w:eastAsia="仿宋" w:cs="仿宋"/>
                <w:color w:val="auto"/>
                <w:szCs w:val="21"/>
                <w:highlight w:val="none"/>
                <w:shd w:val="clear" w:color="auto" w:fill="FFFFFF" w:themeFill="background1"/>
              </w:rPr>
              <w:t>分，每缺一个要素扣</w:t>
            </w:r>
            <w:r>
              <w:rPr>
                <w:rFonts w:hint="eastAsia" w:ascii="仿宋" w:hAnsi="仿宋" w:eastAsia="仿宋" w:cs="仿宋"/>
                <w:color w:val="auto"/>
                <w:szCs w:val="21"/>
                <w:highlight w:val="none"/>
                <w:shd w:val="clear" w:color="auto" w:fill="FFFFFF" w:themeFill="background1"/>
                <w:lang w:val="en-US" w:eastAsia="zh-CN"/>
              </w:rPr>
              <w:t>4</w:t>
            </w:r>
            <w:r>
              <w:rPr>
                <w:rFonts w:hint="eastAsia" w:ascii="仿宋" w:hAnsi="仿宋" w:eastAsia="仿宋" w:cs="仿宋"/>
                <w:color w:val="auto"/>
                <w:szCs w:val="21"/>
                <w:highlight w:val="none"/>
                <w:shd w:val="clear" w:color="auto" w:fill="FFFFFF" w:themeFill="background1"/>
              </w:rPr>
              <w:t>分，每个要素里每有一处内容缺陷扣</w:t>
            </w:r>
            <w:r>
              <w:rPr>
                <w:rFonts w:hint="eastAsia" w:ascii="仿宋" w:hAnsi="仿宋" w:eastAsia="仿宋" w:cs="仿宋"/>
                <w:color w:val="auto"/>
                <w:szCs w:val="21"/>
                <w:highlight w:val="none"/>
                <w:shd w:val="clear" w:color="auto" w:fill="FFFFFF" w:themeFill="background1"/>
                <w:lang w:val="en-US" w:eastAsia="zh-CN"/>
              </w:rPr>
              <w:t>2</w:t>
            </w:r>
            <w:r>
              <w:rPr>
                <w:rFonts w:hint="eastAsia" w:ascii="仿宋" w:hAnsi="仿宋" w:eastAsia="仿宋" w:cs="仿宋"/>
                <w:color w:val="auto"/>
                <w:szCs w:val="21"/>
                <w:highlight w:val="none"/>
                <w:shd w:val="clear" w:color="auto" w:fill="FFFFFF" w:themeFill="background1"/>
              </w:rPr>
              <w:t>分（扣完为止）。</w:t>
            </w:r>
          </w:p>
        </w:tc>
      </w:tr>
      <w:tr w14:paraId="79983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46" w:type="pct"/>
            <w:tcMar>
              <w:top w:w="0" w:type="dxa"/>
              <w:left w:w="108" w:type="dxa"/>
              <w:bottom w:w="0" w:type="dxa"/>
              <w:right w:w="108" w:type="dxa"/>
            </w:tcMar>
            <w:vAlign w:val="center"/>
          </w:tcPr>
          <w:p w14:paraId="24E669D1">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6</w:t>
            </w:r>
          </w:p>
        </w:tc>
        <w:tc>
          <w:tcPr>
            <w:tcW w:w="777" w:type="pct"/>
            <w:tcMar>
              <w:top w:w="0" w:type="dxa"/>
              <w:left w:w="108" w:type="dxa"/>
              <w:bottom w:w="0" w:type="dxa"/>
              <w:right w:w="108" w:type="dxa"/>
            </w:tcMar>
            <w:vAlign w:val="center"/>
          </w:tcPr>
          <w:p w14:paraId="43A18766">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lang w:val="en-US" w:eastAsia="zh-CN"/>
              </w:rPr>
            </w:pPr>
            <w:r>
              <w:rPr>
                <w:rFonts w:hint="default" w:ascii="仿宋" w:hAnsi="仿宋" w:eastAsia="仿宋" w:cs="仿宋"/>
                <w:color w:val="auto"/>
                <w:szCs w:val="21"/>
                <w:highlight w:val="none"/>
                <w:shd w:val="clear" w:color="auto" w:fill="FFFFFF" w:themeFill="background1"/>
                <w:lang w:val="en-US" w:eastAsia="zh-CN"/>
              </w:rPr>
              <w:t>保障方案</w:t>
            </w:r>
          </w:p>
        </w:tc>
        <w:tc>
          <w:tcPr>
            <w:tcW w:w="519" w:type="pct"/>
            <w:tcMar>
              <w:top w:w="0" w:type="dxa"/>
              <w:left w:w="108" w:type="dxa"/>
              <w:bottom w:w="0" w:type="dxa"/>
              <w:right w:w="108" w:type="dxa"/>
            </w:tcMar>
            <w:vAlign w:val="center"/>
          </w:tcPr>
          <w:p w14:paraId="3DB32A16">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21</w:t>
            </w:r>
          </w:p>
        </w:tc>
        <w:tc>
          <w:tcPr>
            <w:tcW w:w="3355" w:type="pct"/>
            <w:tcMar>
              <w:top w:w="0" w:type="dxa"/>
              <w:left w:w="108" w:type="dxa"/>
              <w:bottom w:w="0" w:type="dxa"/>
              <w:right w:w="108" w:type="dxa"/>
            </w:tcMar>
            <w:vAlign w:val="center"/>
          </w:tcPr>
          <w:p w14:paraId="59D6F3B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default" w:ascii="仿宋" w:hAnsi="仿宋" w:eastAsia="仿宋" w:cs="仿宋"/>
                <w:color w:val="auto"/>
                <w:szCs w:val="21"/>
                <w:highlight w:val="none"/>
                <w:shd w:val="clear" w:color="auto" w:fill="FFFFFF" w:themeFill="background1"/>
                <w:lang w:val="en-US" w:eastAsia="zh-CN"/>
              </w:rPr>
              <w:t>保障方案</w:t>
            </w:r>
            <w:r>
              <w:rPr>
                <w:rFonts w:hint="eastAsia" w:ascii="仿宋" w:hAnsi="仿宋" w:eastAsia="仿宋" w:cs="仿宋"/>
                <w:color w:val="auto"/>
                <w:szCs w:val="21"/>
                <w:highlight w:val="none"/>
                <w:shd w:val="clear" w:color="auto" w:fill="FFFFFF" w:themeFill="background1"/>
                <w:lang w:val="en-US" w:eastAsia="zh-CN"/>
              </w:rPr>
              <w:t>包含但不限于：</w:t>
            </w:r>
            <w:r>
              <w:rPr>
                <w:rFonts w:hint="default" w:ascii="仿宋" w:hAnsi="仿宋" w:eastAsia="仿宋" w:cs="仿宋"/>
                <w:color w:val="auto"/>
                <w:szCs w:val="21"/>
                <w:highlight w:val="none"/>
                <w:shd w:val="clear" w:color="auto" w:fill="FFFFFF" w:themeFill="background1"/>
                <w:lang w:val="en-US" w:eastAsia="zh-CN"/>
              </w:rPr>
              <w:t>①人员安排及职责分工</w:t>
            </w:r>
            <w:r>
              <w:rPr>
                <w:rFonts w:hint="eastAsia" w:ascii="仿宋" w:hAnsi="仿宋" w:eastAsia="仿宋" w:cs="仿宋"/>
                <w:color w:val="auto"/>
                <w:szCs w:val="21"/>
                <w:highlight w:val="none"/>
                <w:shd w:val="clear" w:color="auto" w:fill="FFFFFF" w:themeFill="background1"/>
                <w:lang w:val="en-US" w:eastAsia="zh-CN"/>
              </w:rPr>
              <w:t>、</w:t>
            </w:r>
            <w:r>
              <w:rPr>
                <w:rFonts w:hint="default" w:ascii="仿宋" w:hAnsi="仿宋" w:eastAsia="仿宋" w:cs="仿宋"/>
                <w:color w:val="auto"/>
                <w:szCs w:val="21"/>
                <w:highlight w:val="none"/>
                <w:shd w:val="clear" w:color="auto" w:fill="FFFFFF" w:themeFill="background1"/>
                <w:lang w:val="en-US" w:eastAsia="zh-CN"/>
              </w:rPr>
              <w:t xml:space="preserve"> ②项目进度安排</w:t>
            </w:r>
            <w:r>
              <w:rPr>
                <w:rFonts w:hint="eastAsia" w:ascii="仿宋" w:hAnsi="仿宋" w:eastAsia="仿宋" w:cs="仿宋"/>
                <w:color w:val="auto"/>
                <w:szCs w:val="21"/>
                <w:highlight w:val="none"/>
                <w:shd w:val="clear" w:color="auto" w:fill="FFFFFF" w:themeFill="background1"/>
                <w:lang w:val="en-US" w:eastAsia="zh-CN"/>
              </w:rPr>
              <w:t>、</w:t>
            </w:r>
            <w:r>
              <w:rPr>
                <w:rFonts w:hint="default" w:ascii="仿宋" w:hAnsi="仿宋" w:eastAsia="仿宋" w:cs="仿宋"/>
                <w:color w:val="auto"/>
                <w:szCs w:val="21"/>
                <w:highlight w:val="none"/>
                <w:shd w:val="clear" w:color="auto" w:fill="FFFFFF" w:themeFill="background1"/>
                <w:lang w:val="en-US" w:eastAsia="zh-CN"/>
              </w:rPr>
              <w:t xml:space="preserve"> ③绩效目标集中会审、评估、监控等工作全过程质量管理关键、④</w:t>
            </w:r>
            <w:r>
              <w:rPr>
                <w:rFonts w:hint="eastAsia" w:ascii="仿宋" w:hAnsi="仿宋" w:eastAsia="仿宋" w:cs="仿宋"/>
                <w:color w:val="auto"/>
                <w:szCs w:val="21"/>
                <w:highlight w:val="none"/>
                <w:shd w:val="clear" w:color="auto" w:fill="FFFFFF" w:themeFill="background1"/>
                <w:lang w:val="en-US" w:eastAsia="zh-CN"/>
              </w:rPr>
              <w:t>供应商</w:t>
            </w:r>
            <w:r>
              <w:rPr>
                <w:rFonts w:hint="default" w:ascii="仿宋" w:hAnsi="仿宋" w:eastAsia="仿宋" w:cs="仿宋"/>
                <w:color w:val="auto"/>
                <w:szCs w:val="21"/>
                <w:highlight w:val="none"/>
                <w:shd w:val="clear" w:color="auto" w:fill="FFFFFF" w:themeFill="background1"/>
                <w:lang w:val="en-US" w:eastAsia="zh-CN"/>
              </w:rPr>
              <w:t>内部质量管理措施</w:t>
            </w:r>
            <w:r>
              <w:rPr>
                <w:rFonts w:hint="eastAsia" w:ascii="仿宋" w:hAnsi="仿宋" w:eastAsia="仿宋" w:cs="仿宋"/>
                <w:color w:val="auto"/>
                <w:szCs w:val="21"/>
                <w:highlight w:val="none"/>
                <w:shd w:val="clear" w:color="auto" w:fill="FFFFFF" w:themeFill="background1"/>
                <w:lang w:val="en-US" w:eastAsia="zh-CN"/>
              </w:rPr>
              <w:t>、</w:t>
            </w:r>
            <w:r>
              <w:rPr>
                <w:rFonts w:hint="default" w:ascii="仿宋" w:hAnsi="仿宋" w:eastAsia="仿宋" w:cs="仿宋"/>
                <w:color w:val="auto"/>
                <w:szCs w:val="21"/>
                <w:highlight w:val="none"/>
                <w:shd w:val="clear" w:color="auto" w:fill="FFFFFF" w:themeFill="background1"/>
                <w:lang w:val="en-US" w:eastAsia="zh-CN"/>
              </w:rPr>
              <w:t>⑤被评估、监控、管理单位配合不积极</w:t>
            </w:r>
            <w:r>
              <w:rPr>
                <w:rFonts w:hint="eastAsia" w:ascii="仿宋" w:hAnsi="仿宋" w:eastAsia="仿宋" w:cs="仿宋"/>
                <w:color w:val="auto"/>
                <w:szCs w:val="21"/>
                <w:highlight w:val="none"/>
                <w:shd w:val="clear" w:color="auto" w:fill="FFFFFF" w:themeFill="background1"/>
                <w:lang w:val="en-US" w:eastAsia="zh-CN"/>
              </w:rPr>
              <w:t>等协调措施、</w:t>
            </w:r>
            <w:r>
              <w:rPr>
                <w:rFonts w:hint="default" w:ascii="仿宋" w:hAnsi="仿宋" w:eastAsia="仿宋" w:cs="仿宋"/>
                <w:color w:val="auto"/>
                <w:szCs w:val="21"/>
                <w:highlight w:val="none"/>
                <w:shd w:val="clear" w:color="auto" w:fill="FFFFFF" w:themeFill="background1"/>
                <w:lang w:val="en-US" w:eastAsia="zh-CN"/>
              </w:rPr>
              <w:t>⑥应急预案</w:t>
            </w:r>
            <w:r>
              <w:rPr>
                <w:rFonts w:hint="eastAsia" w:ascii="仿宋" w:hAnsi="仿宋" w:eastAsia="仿宋" w:cs="仿宋"/>
                <w:color w:val="auto"/>
                <w:szCs w:val="21"/>
                <w:highlight w:val="none"/>
                <w:shd w:val="clear" w:color="auto" w:fill="FFFFFF" w:themeFill="background1"/>
                <w:lang w:val="en-US" w:eastAsia="zh-CN"/>
              </w:rPr>
              <w:t>、</w:t>
            </w:r>
            <w:r>
              <w:rPr>
                <w:rFonts w:hint="default" w:ascii="仿宋" w:hAnsi="仿宋" w:eastAsia="仿宋" w:cs="仿宋"/>
                <w:color w:val="auto"/>
                <w:szCs w:val="21"/>
                <w:highlight w:val="none"/>
                <w:shd w:val="clear" w:color="auto" w:fill="FFFFFF" w:themeFill="background1"/>
                <w:lang w:val="en-US" w:eastAsia="zh-CN"/>
              </w:rPr>
              <w:t>⑦风险评估</w:t>
            </w:r>
            <w:r>
              <w:rPr>
                <w:rFonts w:hint="eastAsia" w:ascii="仿宋" w:hAnsi="仿宋" w:eastAsia="仿宋" w:cs="仿宋"/>
                <w:color w:val="auto"/>
                <w:szCs w:val="21"/>
                <w:highlight w:val="none"/>
                <w:shd w:val="clear" w:color="auto" w:fill="FFFFFF" w:themeFill="background1"/>
                <w:lang w:val="en-US" w:eastAsia="zh-CN"/>
              </w:rPr>
              <w:t>及</w:t>
            </w:r>
            <w:r>
              <w:rPr>
                <w:rFonts w:hint="default" w:ascii="仿宋" w:hAnsi="仿宋" w:eastAsia="仿宋" w:cs="仿宋"/>
                <w:color w:val="auto"/>
                <w:szCs w:val="21"/>
                <w:highlight w:val="none"/>
                <w:shd w:val="clear" w:color="auto" w:fill="FFFFFF" w:themeFill="background1"/>
                <w:lang w:val="en-US" w:eastAsia="zh-CN"/>
              </w:rPr>
              <w:t>防控；</w:t>
            </w:r>
            <w:r>
              <w:rPr>
                <w:rFonts w:hint="eastAsia" w:ascii="仿宋" w:hAnsi="仿宋" w:eastAsia="仿宋" w:cs="仿宋"/>
                <w:color w:val="auto"/>
                <w:szCs w:val="21"/>
                <w:highlight w:val="none"/>
                <w:shd w:val="clear" w:color="auto" w:fill="FFFFFF" w:themeFill="background1"/>
                <w:lang w:val="en-US" w:eastAsia="zh-CN"/>
              </w:rPr>
              <w:t>7</w:t>
            </w:r>
            <w:r>
              <w:rPr>
                <w:rFonts w:hint="eastAsia" w:ascii="仿宋" w:hAnsi="仿宋" w:eastAsia="仿宋" w:cs="仿宋"/>
                <w:color w:val="auto"/>
                <w:szCs w:val="21"/>
                <w:highlight w:val="none"/>
                <w:shd w:val="clear" w:color="auto" w:fill="FFFFFF" w:themeFill="background1"/>
              </w:rPr>
              <w:t>部分要素。</w:t>
            </w:r>
          </w:p>
          <w:p w14:paraId="367E3BA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rPr>
              <w:t>所有要素齐全且完全满足项目要求得</w:t>
            </w:r>
            <w:r>
              <w:rPr>
                <w:rFonts w:hint="eastAsia" w:ascii="仿宋" w:hAnsi="仿宋" w:eastAsia="仿宋" w:cs="仿宋"/>
                <w:color w:val="auto"/>
                <w:szCs w:val="21"/>
                <w:highlight w:val="none"/>
                <w:shd w:val="clear" w:color="auto" w:fill="FFFFFF" w:themeFill="background1"/>
                <w:lang w:val="en-US" w:eastAsia="zh-CN"/>
              </w:rPr>
              <w:t>21</w:t>
            </w:r>
            <w:r>
              <w:rPr>
                <w:rFonts w:hint="eastAsia" w:ascii="仿宋" w:hAnsi="仿宋" w:eastAsia="仿宋" w:cs="仿宋"/>
                <w:color w:val="auto"/>
                <w:szCs w:val="21"/>
                <w:highlight w:val="none"/>
                <w:shd w:val="clear" w:color="auto" w:fill="FFFFFF" w:themeFill="background1"/>
              </w:rPr>
              <w:t>分，每缺一个要素扣</w:t>
            </w:r>
            <w:r>
              <w:rPr>
                <w:rFonts w:hint="eastAsia" w:ascii="仿宋" w:hAnsi="仿宋" w:eastAsia="仿宋" w:cs="仿宋"/>
                <w:color w:val="auto"/>
                <w:szCs w:val="21"/>
                <w:highlight w:val="none"/>
                <w:shd w:val="clear" w:color="auto" w:fill="FFFFFF" w:themeFill="background1"/>
                <w:lang w:val="en-US" w:eastAsia="zh-CN"/>
              </w:rPr>
              <w:t>3</w:t>
            </w:r>
            <w:r>
              <w:rPr>
                <w:rFonts w:hint="eastAsia" w:ascii="仿宋" w:hAnsi="仿宋" w:eastAsia="仿宋" w:cs="仿宋"/>
                <w:color w:val="auto"/>
                <w:szCs w:val="21"/>
                <w:highlight w:val="none"/>
                <w:shd w:val="clear" w:color="auto" w:fill="FFFFFF" w:themeFill="background1"/>
              </w:rPr>
              <w:t>分，每个要素里每有一处内容缺陷扣</w:t>
            </w:r>
            <w:r>
              <w:rPr>
                <w:rFonts w:hint="eastAsia" w:ascii="仿宋" w:hAnsi="仿宋" w:eastAsia="仿宋" w:cs="仿宋"/>
                <w:color w:val="auto"/>
                <w:szCs w:val="21"/>
                <w:highlight w:val="none"/>
                <w:shd w:val="clear" w:color="auto" w:fill="FFFFFF" w:themeFill="background1"/>
                <w:lang w:val="en-US" w:eastAsia="zh-CN"/>
              </w:rPr>
              <w:t>1</w:t>
            </w:r>
            <w:r>
              <w:rPr>
                <w:rFonts w:hint="eastAsia" w:ascii="仿宋" w:hAnsi="仿宋" w:eastAsia="仿宋" w:cs="仿宋"/>
                <w:color w:val="auto"/>
                <w:szCs w:val="21"/>
                <w:highlight w:val="none"/>
                <w:shd w:val="clear" w:color="auto" w:fill="FFFFFF" w:themeFill="background1"/>
              </w:rPr>
              <w:t>分（扣完为止）。</w:t>
            </w:r>
          </w:p>
        </w:tc>
      </w:tr>
      <w:tr w14:paraId="34B08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46" w:type="pct"/>
            <w:tcMar>
              <w:top w:w="0" w:type="dxa"/>
              <w:left w:w="108" w:type="dxa"/>
              <w:bottom w:w="0" w:type="dxa"/>
              <w:right w:w="108" w:type="dxa"/>
            </w:tcMar>
            <w:vAlign w:val="center"/>
          </w:tcPr>
          <w:p w14:paraId="0D72BA0C">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7</w:t>
            </w:r>
          </w:p>
        </w:tc>
        <w:tc>
          <w:tcPr>
            <w:tcW w:w="777" w:type="pct"/>
            <w:tcMar>
              <w:top w:w="0" w:type="dxa"/>
              <w:left w:w="108" w:type="dxa"/>
              <w:bottom w:w="0" w:type="dxa"/>
              <w:right w:w="108" w:type="dxa"/>
            </w:tcMar>
            <w:vAlign w:val="center"/>
          </w:tcPr>
          <w:p w14:paraId="4B0239C2">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eastAsia="zh-CN"/>
              </w:rPr>
              <w:t>培训方案</w:t>
            </w:r>
          </w:p>
        </w:tc>
        <w:tc>
          <w:tcPr>
            <w:tcW w:w="519" w:type="pct"/>
            <w:tcMar>
              <w:top w:w="0" w:type="dxa"/>
              <w:left w:w="108" w:type="dxa"/>
              <w:bottom w:w="0" w:type="dxa"/>
              <w:right w:w="108" w:type="dxa"/>
            </w:tcMar>
            <w:vAlign w:val="center"/>
          </w:tcPr>
          <w:p w14:paraId="2CAA8BCF">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9</w:t>
            </w:r>
          </w:p>
        </w:tc>
        <w:tc>
          <w:tcPr>
            <w:tcW w:w="3355" w:type="pct"/>
            <w:tcMar>
              <w:top w:w="0" w:type="dxa"/>
              <w:left w:w="108" w:type="dxa"/>
              <w:bottom w:w="0" w:type="dxa"/>
              <w:right w:w="108" w:type="dxa"/>
            </w:tcMar>
            <w:vAlign w:val="center"/>
          </w:tcPr>
          <w:p w14:paraId="7AD66BF9">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培训方案包含</w:t>
            </w:r>
            <w:r>
              <w:rPr>
                <w:rFonts w:hint="eastAsia" w:ascii="仿宋" w:hAnsi="仿宋" w:eastAsia="仿宋" w:cs="仿宋"/>
                <w:color w:val="auto"/>
                <w:szCs w:val="21"/>
                <w:highlight w:val="none"/>
                <w:shd w:val="clear" w:color="auto" w:fill="FFFFFF" w:themeFill="background1"/>
                <w:lang w:val="en-US" w:eastAsia="zh-CN"/>
              </w:rPr>
              <w:t>但不限于</w:t>
            </w:r>
            <w:r>
              <w:rPr>
                <w:rFonts w:hint="eastAsia" w:ascii="仿宋" w:hAnsi="仿宋" w:eastAsia="仿宋" w:cs="仿宋"/>
                <w:color w:val="auto"/>
                <w:szCs w:val="21"/>
                <w:highlight w:val="none"/>
                <w:shd w:val="clear" w:color="auto" w:fill="FFFFFF" w:themeFill="background1"/>
              </w:rPr>
              <w:t>：①培训计划、②培训内容</w:t>
            </w:r>
            <w:r>
              <w:rPr>
                <w:rFonts w:hint="eastAsia" w:ascii="仿宋" w:hAnsi="仿宋" w:eastAsia="仿宋" w:cs="仿宋"/>
                <w:color w:val="auto"/>
                <w:szCs w:val="21"/>
                <w:highlight w:val="none"/>
                <w:shd w:val="clear" w:color="auto" w:fill="FFFFFF" w:themeFill="background1"/>
                <w:lang w:eastAsia="zh-CN"/>
              </w:rPr>
              <w:t>、</w:t>
            </w:r>
            <w:r>
              <w:rPr>
                <w:rFonts w:hint="eastAsia" w:ascii="仿宋" w:hAnsi="仿宋" w:eastAsia="仿宋" w:cs="仿宋"/>
                <w:color w:val="auto"/>
                <w:szCs w:val="21"/>
                <w:highlight w:val="none"/>
                <w:shd w:val="clear" w:color="auto" w:fill="FFFFFF" w:themeFill="background1"/>
              </w:rPr>
              <w:t>③</w:t>
            </w:r>
            <w:r>
              <w:rPr>
                <w:rFonts w:hint="eastAsia" w:ascii="仿宋" w:hAnsi="仿宋" w:eastAsia="仿宋" w:cs="仿宋"/>
                <w:color w:val="auto"/>
                <w:szCs w:val="21"/>
                <w:highlight w:val="none"/>
                <w:shd w:val="clear" w:color="auto" w:fill="FFFFFF" w:themeFill="background1"/>
                <w:lang w:val="en-US" w:eastAsia="zh-CN"/>
              </w:rPr>
              <w:t>培训人员；3</w:t>
            </w:r>
            <w:r>
              <w:rPr>
                <w:rFonts w:hint="eastAsia" w:ascii="仿宋" w:hAnsi="仿宋" w:eastAsia="仿宋" w:cs="仿宋"/>
                <w:color w:val="auto"/>
                <w:szCs w:val="21"/>
                <w:highlight w:val="none"/>
                <w:shd w:val="clear" w:color="auto" w:fill="FFFFFF" w:themeFill="background1"/>
              </w:rPr>
              <w:t>部分要素。</w:t>
            </w:r>
          </w:p>
          <w:p w14:paraId="65A7019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rPr>
              <w:t>所有要素齐全且完全满足项目要求得</w:t>
            </w:r>
            <w:r>
              <w:rPr>
                <w:rFonts w:hint="eastAsia" w:ascii="仿宋" w:hAnsi="仿宋" w:eastAsia="仿宋" w:cs="仿宋"/>
                <w:color w:val="auto"/>
                <w:szCs w:val="21"/>
                <w:highlight w:val="none"/>
                <w:shd w:val="clear" w:color="auto" w:fill="FFFFFF" w:themeFill="background1"/>
                <w:lang w:val="en-US" w:eastAsia="zh-CN"/>
              </w:rPr>
              <w:t>9</w:t>
            </w:r>
            <w:r>
              <w:rPr>
                <w:rFonts w:hint="eastAsia" w:ascii="仿宋" w:hAnsi="仿宋" w:eastAsia="仿宋" w:cs="仿宋"/>
                <w:color w:val="auto"/>
                <w:szCs w:val="21"/>
                <w:highlight w:val="none"/>
                <w:shd w:val="clear" w:color="auto" w:fill="FFFFFF" w:themeFill="background1"/>
              </w:rPr>
              <w:t>分，每缺一个要素扣</w:t>
            </w:r>
            <w:r>
              <w:rPr>
                <w:rFonts w:hint="eastAsia" w:ascii="仿宋" w:hAnsi="仿宋" w:eastAsia="仿宋" w:cs="仿宋"/>
                <w:color w:val="auto"/>
                <w:szCs w:val="21"/>
                <w:highlight w:val="none"/>
                <w:shd w:val="clear" w:color="auto" w:fill="FFFFFF" w:themeFill="background1"/>
                <w:lang w:val="en-US" w:eastAsia="zh-CN"/>
              </w:rPr>
              <w:t>3</w:t>
            </w:r>
            <w:r>
              <w:rPr>
                <w:rFonts w:hint="eastAsia" w:ascii="仿宋" w:hAnsi="仿宋" w:eastAsia="仿宋" w:cs="仿宋"/>
                <w:color w:val="auto"/>
                <w:szCs w:val="21"/>
                <w:highlight w:val="none"/>
                <w:shd w:val="clear" w:color="auto" w:fill="FFFFFF" w:themeFill="background1"/>
              </w:rPr>
              <w:t>分，每个要素里每有一处内容缺陷扣</w:t>
            </w:r>
            <w:r>
              <w:rPr>
                <w:rFonts w:hint="eastAsia" w:ascii="仿宋" w:hAnsi="仿宋" w:eastAsia="仿宋" w:cs="仿宋"/>
                <w:color w:val="auto"/>
                <w:szCs w:val="21"/>
                <w:highlight w:val="none"/>
                <w:shd w:val="clear" w:color="auto" w:fill="FFFFFF" w:themeFill="background1"/>
                <w:lang w:val="en-US" w:eastAsia="zh-CN"/>
              </w:rPr>
              <w:t>1</w:t>
            </w:r>
            <w:r>
              <w:rPr>
                <w:rFonts w:hint="eastAsia" w:ascii="仿宋" w:hAnsi="仿宋" w:eastAsia="仿宋" w:cs="仿宋"/>
                <w:color w:val="auto"/>
                <w:szCs w:val="21"/>
                <w:highlight w:val="none"/>
                <w:shd w:val="clear" w:color="auto" w:fill="FFFFFF" w:themeFill="background1"/>
              </w:rPr>
              <w:t>分（扣完为止）。</w:t>
            </w:r>
          </w:p>
        </w:tc>
      </w:tr>
      <w:tr w14:paraId="7624A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46" w:type="pct"/>
            <w:tcMar>
              <w:top w:w="0" w:type="dxa"/>
              <w:left w:w="108" w:type="dxa"/>
              <w:bottom w:w="0" w:type="dxa"/>
              <w:right w:w="108" w:type="dxa"/>
            </w:tcMar>
            <w:vAlign w:val="center"/>
          </w:tcPr>
          <w:p w14:paraId="784FAD77">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lang w:val="en-US" w:eastAsia="zh-CN"/>
              </w:rPr>
              <w:t>8</w:t>
            </w:r>
          </w:p>
        </w:tc>
        <w:tc>
          <w:tcPr>
            <w:tcW w:w="777" w:type="pct"/>
            <w:tcMar>
              <w:top w:w="0" w:type="dxa"/>
              <w:left w:w="108" w:type="dxa"/>
              <w:bottom w:w="0" w:type="dxa"/>
              <w:right w:w="108" w:type="dxa"/>
            </w:tcMar>
            <w:vAlign w:val="center"/>
          </w:tcPr>
          <w:p w14:paraId="535AEFF5">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后续服务方案</w:t>
            </w:r>
          </w:p>
        </w:tc>
        <w:tc>
          <w:tcPr>
            <w:tcW w:w="519" w:type="pct"/>
            <w:tcMar>
              <w:top w:w="0" w:type="dxa"/>
              <w:left w:w="108" w:type="dxa"/>
              <w:bottom w:w="0" w:type="dxa"/>
              <w:right w:w="108" w:type="dxa"/>
            </w:tcMar>
            <w:vAlign w:val="center"/>
          </w:tcPr>
          <w:p w14:paraId="6345339D">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9</w:t>
            </w:r>
          </w:p>
        </w:tc>
        <w:tc>
          <w:tcPr>
            <w:tcW w:w="3355" w:type="pct"/>
            <w:tcMar>
              <w:top w:w="0" w:type="dxa"/>
              <w:left w:w="108" w:type="dxa"/>
              <w:bottom w:w="0" w:type="dxa"/>
              <w:right w:w="108" w:type="dxa"/>
            </w:tcMar>
            <w:vAlign w:val="center"/>
          </w:tcPr>
          <w:p w14:paraId="0D1138B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后续服务方案包含</w:t>
            </w:r>
            <w:r>
              <w:rPr>
                <w:rFonts w:hint="eastAsia" w:ascii="仿宋" w:hAnsi="仿宋" w:eastAsia="仿宋" w:cs="仿宋"/>
                <w:color w:val="auto"/>
                <w:szCs w:val="21"/>
                <w:highlight w:val="none"/>
                <w:shd w:val="clear" w:color="auto" w:fill="FFFFFF" w:themeFill="background1"/>
                <w:lang w:val="en-US" w:eastAsia="zh-CN"/>
              </w:rPr>
              <w:t>但不限于</w:t>
            </w:r>
            <w:r>
              <w:rPr>
                <w:rFonts w:hint="eastAsia" w:ascii="仿宋" w:hAnsi="仿宋" w:eastAsia="仿宋" w:cs="仿宋"/>
                <w:color w:val="auto"/>
                <w:szCs w:val="21"/>
                <w:highlight w:val="none"/>
                <w:shd w:val="clear" w:color="auto" w:fill="FFFFFF" w:themeFill="background1"/>
              </w:rPr>
              <w:t>：①后续服务机构（服务人员、服务电话、服务保障设备）</w:t>
            </w:r>
            <w:r>
              <w:rPr>
                <w:rFonts w:hint="eastAsia" w:ascii="仿宋" w:hAnsi="仿宋" w:eastAsia="仿宋" w:cs="仿宋"/>
                <w:color w:val="auto"/>
                <w:szCs w:val="21"/>
                <w:highlight w:val="none"/>
                <w:shd w:val="clear" w:color="auto" w:fill="FFFFFF" w:themeFill="background1"/>
                <w:lang w:eastAsia="zh-CN"/>
              </w:rPr>
              <w:t>、</w:t>
            </w:r>
            <w:r>
              <w:rPr>
                <w:rFonts w:hint="eastAsia" w:ascii="仿宋" w:hAnsi="仿宋" w:eastAsia="仿宋" w:cs="仿宋"/>
                <w:color w:val="auto"/>
                <w:szCs w:val="21"/>
                <w:highlight w:val="none"/>
                <w:shd w:val="clear" w:color="auto" w:fill="FFFFFF" w:themeFill="background1"/>
              </w:rPr>
              <w:t>②后续服务内容和范围</w:t>
            </w:r>
            <w:r>
              <w:rPr>
                <w:rFonts w:hint="eastAsia" w:ascii="仿宋" w:hAnsi="仿宋" w:eastAsia="仿宋" w:cs="仿宋"/>
                <w:color w:val="auto"/>
                <w:szCs w:val="21"/>
                <w:highlight w:val="none"/>
                <w:shd w:val="clear" w:color="auto" w:fill="FFFFFF" w:themeFill="background1"/>
                <w:lang w:eastAsia="zh-CN"/>
              </w:rPr>
              <w:t>、</w:t>
            </w:r>
            <w:r>
              <w:rPr>
                <w:rFonts w:hint="eastAsia" w:ascii="仿宋" w:hAnsi="仿宋" w:eastAsia="仿宋" w:cs="仿宋"/>
                <w:color w:val="auto"/>
                <w:szCs w:val="21"/>
                <w:highlight w:val="none"/>
                <w:shd w:val="clear" w:color="auto" w:fill="FFFFFF" w:themeFill="background1"/>
              </w:rPr>
              <w:t>③服务承诺</w:t>
            </w:r>
            <w:r>
              <w:rPr>
                <w:rFonts w:hint="eastAsia" w:ascii="仿宋" w:hAnsi="仿宋" w:eastAsia="仿宋" w:cs="仿宋"/>
                <w:color w:val="auto"/>
                <w:szCs w:val="21"/>
                <w:highlight w:val="none"/>
                <w:shd w:val="clear" w:color="auto" w:fill="FFFFFF" w:themeFill="background1"/>
                <w:lang w:val="en-US" w:eastAsia="zh-CN"/>
              </w:rPr>
              <w:t>；3</w:t>
            </w:r>
            <w:r>
              <w:rPr>
                <w:rFonts w:hint="eastAsia" w:ascii="仿宋" w:hAnsi="仿宋" w:eastAsia="仿宋" w:cs="仿宋"/>
                <w:color w:val="auto"/>
                <w:szCs w:val="21"/>
                <w:highlight w:val="none"/>
                <w:shd w:val="clear" w:color="auto" w:fill="FFFFFF" w:themeFill="background1"/>
              </w:rPr>
              <w:t>部分要素。</w:t>
            </w:r>
          </w:p>
          <w:p w14:paraId="63BF0B9C">
            <w:pPr>
              <w:keepNext w:val="0"/>
              <w:keepLines w:val="0"/>
              <w:pageBreakBefore w:val="0"/>
              <w:widowControl w:val="0"/>
              <w:kinsoku/>
              <w:wordWrap/>
              <w:overflowPunct/>
              <w:topLinePunct w:val="0"/>
              <w:autoSpaceDE/>
              <w:autoSpaceDN/>
              <w:bidi w:val="0"/>
              <w:adjustRightInd/>
              <w:snapToGrid/>
              <w:spacing w:beforeAutospacing="0" w:afterAutospacing="0" w:line="288" w:lineRule="auto"/>
              <w:ind w:firstLine="210" w:firstLineChars="100"/>
              <w:jc w:val="left"/>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rPr>
              <w:t>所有要素齐全且完全满足项目要求得</w:t>
            </w:r>
            <w:r>
              <w:rPr>
                <w:rFonts w:hint="eastAsia" w:ascii="仿宋" w:hAnsi="仿宋" w:eastAsia="仿宋" w:cs="仿宋"/>
                <w:color w:val="auto"/>
                <w:szCs w:val="21"/>
                <w:highlight w:val="none"/>
                <w:shd w:val="clear" w:color="auto" w:fill="FFFFFF" w:themeFill="background1"/>
                <w:lang w:val="en-US" w:eastAsia="zh-CN"/>
              </w:rPr>
              <w:t>9</w:t>
            </w:r>
            <w:r>
              <w:rPr>
                <w:rFonts w:hint="eastAsia" w:ascii="仿宋" w:hAnsi="仿宋" w:eastAsia="仿宋" w:cs="仿宋"/>
                <w:color w:val="auto"/>
                <w:szCs w:val="21"/>
                <w:highlight w:val="none"/>
                <w:shd w:val="clear" w:color="auto" w:fill="FFFFFF" w:themeFill="background1"/>
              </w:rPr>
              <w:t>分，每缺一个要素扣</w:t>
            </w:r>
            <w:r>
              <w:rPr>
                <w:rFonts w:hint="eastAsia" w:ascii="仿宋" w:hAnsi="仿宋" w:eastAsia="仿宋" w:cs="仿宋"/>
                <w:color w:val="auto"/>
                <w:szCs w:val="21"/>
                <w:highlight w:val="none"/>
                <w:shd w:val="clear" w:color="auto" w:fill="FFFFFF" w:themeFill="background1"/>
                <w:lang w:val="en-US" w:eastAsia="zh-CN"/>
              </w:rPr>
              <w:t>3</w:t>
            </w:r>
            <w:r>
              <w:rPr>
                <w:rFonts w:hint="eastAsia" w:ascii="仿宋" w:hAnsi="仿宋" w:eastAsia="仿宋" w:cs="仿宋"/>
                <w:color w:val="auto"/>
                <w:szCs w:val="21"/>
                <w:highlight w:val="none"/>
                <w:shd w:val="clear" w:color="auto" w:fill="FFFFFF" w:themeFill="background1"/>
              </w:rPr>
              <w:t>分，每个要素里每有一处内容缺陷扣</w:t>
            </w:r>
            <w:r>
              <w:rPr>
                <w:rFonts w:hint="eastAsia" w:ascii="仿宋" w:hAnsi="仿宋" w:eastAsia="仿宋" w:cs="仿宋"/>
                <w:color w:val="auto"/>
                <w:szCs w:val="21"/>
                <w:highlight w:val="none"/>
                <w:shd w:val="clear" w:color="auto" w:fill="FFFFFF" w:themeFill="background1"/>
                <w:lang w:val="en-US" w:eastAsia="zh-CN"/>
              </w:rPr>
              <w:t>1</w:t>
            </w:r>
            <w:r>
              <w:rPr>
                <w:rFonts w:hint="eastAsia" w:ascii="仿宋" w:hAnsi="仿宋" w:eastAsia="仿宋" w:cs="仿宋"/>
                <w:color w:val="auto"/>
                <w:szCs w:val="21"/>
                <w:highlight w:val="none"/>
                <w:shd w:val="clear" w:color="auto" w:fill="FFFFFF" w:themeFill="background1"/>
              </w:rPr>
              <w:t>分（扣完为止）。</w:t>
            </w:r>
          </w:p>
        </w:tc>
      </w:tr>
      <w:tr w14:paraId="20E2F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1124" w:type="pct"/>
            <w:gridSpan w:val="2"/>
            <w:tcMar>
              <w:top w:w="0" w:type="dxa"/>
              <w:left w:w="108" w:type="dxa"/>
              <w:bottom w:w="0" w:type="dxa"/>
              <w:right w:w="108" w:type="dxa"/>
            </w:tcMar>
            <w:vAlign w:val="center"/>
          </w:tcPr>
          <w:p w14:paraId="38F3808A">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合计</w:t>
            </w:r>
          </w:p>
        </w:tc>
        <w:tc>
          <w:tcPr>
            <w:tcW w:w="519" w:type="pct"/>
            <w:tcMar>
              <w:top w:w="0" w:type="dxa"/>
              <w:left w:w="108" w:type="dxa"/>
              <w:bottom w:w="0" w:type="dxa"/>
              <w:right w:w="108" w:type="dxa"/>
            </w:tcMar>
            <w:vAlign w:val="center"/>
          </w:tcPr>
          <w:p w14:paraId="025401D7">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90</w:t>
            </w:r>
          </w:p>
        </w:tc>
        <w:tc>
          <w:tcPr>
            <w:tcW w:w="3355" w:type="pct"/>
            <w:tcMar>
              <w:top w:w="0" w:type="dxa"/>
              <w:left w:w="108" w:type="dxa"/>
              <w:bottom w:w="0" w:type="dxa"/>
              <w:right w:w="108" w:type="dxa"/>
            </w:tcMar>
            <w:vAlign w:val="center"/>
          </w:tcPr>
          <w:p w14:paraId="79A9A4B7">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p>
        </w:tc>
      </w:tr>
      <w:tr w14:paraId="04598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5000" w:type="pct"/>
            <w:gridSpan w:val="4"/>
            <w:tcMar>
              <w:top w:w="0" w:type="dxa"/>
              <w:left w:w="108" w:type="dxa"/>
              <w:bottom w:w="0" w:type="dxa"/>
              <w:right w:w="108" w:type="dxa"/>
            </w:tcMar>
            <w:vAlign w:val="center"/>
          </w:tcPr>
          <w:p w14:paraId="27830982">
            <w:pPr>
              <w:keepNext w:val="0"/>
              <w:keepLines w:val="0"/>
              <w:pageBreakBefore w:val="0"/>
              <w:widowControl w:val="0"/>
              <w:kinsoku/>
              <w:wordWrap/>
              <w:overflowPunct/>
              <w:topLinePunct w:val="0"/>
              <w:autoSpaceDE/>
              <w:autoSpaceDN/>
              <w:bidi w:val="0"/>
              <w:adjustRightInd/>
              <w:snapToGrid/>
              <w:spacing w:beforeAutospacing="0" w:afterAutospacing="0" w:line="288" w:lineRule="auto"/>
              <w:jc w:val="left"/>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kern w:val="0"/>
                <w:szCs w:val="21"/>
                <w:highlight w:val="none"/>
              </w:rPr>
              <w:t>说明：本评审内容中“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p>
        </w:tc>
      </w:tr>
    </w:tbl>
    <w:p w14:paraId="1C614269">
      <w:pPr>
        <w:rPr>
          <w:rFonts w:hint="eastAsia" w:ascii="仿宋" w:hAnsi="仿宋" w:eastAsia="仿宋" w:cs="仿宋"/>
          <w:b/>
          <w:color w:val="auto"/>
          <w:sz w:val="24"/>
          <w:szCs w:val="24"/>
          <w:highlight w:val="none"/>
          <w:shd w:val="clear" w:color="auto" w:fill="FFFFFF" w:themeFill="background1"/>
          <w:lang w:val="en-US" w:eastAsia="zh-CN"/>
        </w:rPr>
      </w:pPr>
      <w:bookmarkStart w:id="29" w:name="_Toc11710"/>
      <w:r>
        <w:rPr>
          <w:rFonts w:hint="eastAsia" w:ascii="仿宋" w:hAnsi="仿宋" w:eastAsia="仿宋" w:cs="仿宋"/>
          <w:b/>
          <w:color w:val="auto"/>
          <w:sz w:val="24"/>
          <w:szCs w:val="24"/>
          <w:highlight w:val="none"/>
          <w:shd w:val="clear" w:color="auto" w:fill="FFFFFF" w:themeFill="background1"/>
          <w:lang w:val="en-US" w:eastAsia="zh-CN"/>
        </w:rPr>
        <w:br w:type="page"/>
      </w:r>
    </w:p>
    <w:p w14:paraId="323D426C">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lang w:val="en-US" w:eastAsia="zh-CN"/>
        </w:rPr>
        <w:t>一、</w:t>
      </w:r>
      <w:r>
        <w:rPr>
          <w:rFonts w:hint="eastAsia" w:ascii="仿宋" w:hAnsi="仿宋" w:eastAsia="仿宋" w:cs="仿宋"/>
          <w:b/>
          <w:color w:val="auto"/>
          <w:sz w:val="24"/>
          <w:szCs w:val="24"/>
          <w:highlight w:val="none"/>
          <w:shd w:val="clear" w:color="auto" w:fill="FFFFFF" w:themeFill="background1"/>
        </w:rPr>
        <w:t>评审方法</w:t>
      </w:r>
      <w:bookmarkEnd w:id="29"/>
    </w:p>
    <w:p w14:paraId="62EF270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本次评审采用综合评分法。磋商小组对满足竞争性磋商文件实质性要求的响应文件，按照本节规定的评审标准进行评审。评审中各评审专家若发生意见分歧，以少数服从多数原则确定。</w:t>
      </w:r>
    </w:p>
    <w:p w14:paraId="11A24339">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30" w:name="_Toc12822"/>
      <w:r>
        <w:rPr>
          <w:rFonts w:hint="eastAsia" w:ascii="仿宋" w:hAnsi="仿宋" w:eastAsia="仿宋" w:cs="仿宋"/>
          <w:b/>
          <w:color w:val="auto"/>
          <w:sz w:val="24"/>
          <w:szCs w:val="24"/>
          <w:highlight w:val="none"/>
          <w:shd w:val="clear" w:color="auto" w:fill="FFFFFF" w:themeFill="background1"/>
          <w:lang w:val="en-US" w:eastAsia="zh-CN"/>
        </w:rPr>
        <w:t>二、</w:t>
      </w:r>
      <w:r>
        <w:rPr>
          <w:rFonts w:hint="eastAsia" w:ascii="仿宋" w:hAnsi="仿宋" w:eastAsia="仿宋" w:cs="仿宋"/>
          <w:b/>
          <w:color w:val="auto"/>
          <w:sz w:val="24"/>
          <w:szCs w:val="24"/>
          <w:highlight w:val="none"/>
          <w:shd w:val="clear" w:color="auto" w:fill="FFFFFF" w:themeFill="background1"/>
        </w:rPr>
        <w:t>评审标准</w:t>
      </w:r>
      <w:bookmarkEnd w:id="30"/>
    </w:p>
    <w:p w14:paraId="684193C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2.1 资格审查：评审因素和评审标准见《资格审查标准》。</w:t>
      </w:r>
    </w:p>
    <w:p w14:paraId="54AC024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2.2 完备性及符合性审查：评审因素和评审标准见《完备性及符合性审查标准》。</w:t>
      </w:r>
    </w:p>
    <w:p w14:paraId="206B486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2.3详细评审：</w:t>
      </w:r>
    </w:p>
    <w:p w14:paraId="6B13718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2.3.1详细评审：评审因素和评审标准见《详细评审标准》及本节第3.6款。</w:t>
      </w:r>
    </w:p>
    <w:p w14:paraId="4226BD8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2.3.2 磋商报价评分标准：</w:t>
      </w:r>
    </w:p>
    <w:p w14:paraId="7B6CAAC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（1）分值构成及权重：见评审办法前附表。</w:t>
      </w:r>
    </w:p>
    <w:p w14:paraId="7032112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（2）磋商基准价计算：见评审办法前附表。</w:t>
      </w:r>
    </w:p>
    <w:p w14:paraId="6977D68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（3）磋商报价得分的计算：见评审办法前附表。</w:t>
      </w:r>
    </w:p>
    <w:p w14:paraId="0556582E">
      <w:pPr>
        <w:keepLines w:val="0"/>
        <w:pageBreakBefore w:val="0"/>
        <w:tabs>
          <w:tab w:val="center" w:pos="4832"/>
          <w:tab w:val="left" w:pos="7140"/>
        </w:tabs>
        <w:kinsoku/>
        <w:overflowPunct/>
        <w:topLinePunct w:val="0"/>
        <w:bidi w:val="0"/>
        <w:spacing w:beforeAutospacing="0" w:afterAutospacing="0" w:line="360" w:lineRule="auto"/>
        <w:ind w:firstLine="472" w:firstLineChars="196"/>
        <w:jc w:val="left"/>
        <w:textAlignment w:val="auto"/>
        <w:outlineLvl w:val="1"/>
        <w:rPr>
          <w:rFonts w:hint="eastAsia" w:ascii="仿宋" w:hAnsi="仿宋" w:eastAsia="仿宋" w:cs="仿宋"/>
          <w:b/>
          <w:color w:val="auto"/>
          <w:sz w:val="24"/>
          <w:szCs w:val="24"/>
          <w:highlight w:val="none"/>
          <w:shd w:val="clear" w:color="auto" w:fill="FFFFFF" w:themeFill="background1"/>
        </w:rPr>
      </w:pPr>
      <w:bookmarkStart w:id="31" w:name="_Toc25140"/>
      <w:r>
        <w:rPr>
          <w:rFonts w:hint="eastAsia" w:ascii="仿宋" w:hAnsi="仿宋" w:eastAsia="仿宋" w:cs="仿宋"/>
          <w:b/>
          <w:color w:val="auto"/>
          <w:sz w:val="24"/>
          <w:szCs w:val="24"/>
          <w:highlight w:val="none"/>
          <w:shd w:val="clear" w:color="auto" w:fill="FFFFFF" w:themeFill="background1"/>
          <w:lang w:val="en-US" w:eastAsia="zh-CN"/>
        </w:rPr>
        <w:t>三、</w:t>
      </w:r>
      <w:r>
        <w:rPr>
          <w:rFonts w:hint="eastAsia" w:ascii="仿宋" w:hAnsi="仿宋" w:eastAsia="仿宋" w:cs="仿宋"/>
          <w:b/>
          <w:color w:val="auto"/>
          <w:sz w:val="24"/>
          <w:szCs w:val="24"/>
          <w:highlight w:val="none"/>
          <w:shd w:val="clear" w:color="auto" w:fill="FFFFFF" w:themeFill="background1"/>
        </w:rPr>
        <w:t>评审程序</w:t>
      </w:r>
      <w:bookmarkEnd w:id="31"/>
    </w:p>
    <w:p w14:paraId="302029F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3.1 基本程序</w:t>
      </w:r>
    </w:p>
    <w:p w14:paraId="4DEC9F8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评审活动将按以下步骤进行：</w:t>
      </w:r>
    </w:p>
    <w:p w14:paraId="7542FBE3">
      <w:pPr>
        <w:pStyle w:val="66"/>
        <w:keepLines w:val="0"/>
        <w:pageBreakBefore w:val="0"/>
        <w:widowControl/>
        <w:numPr>
          <w:ilvl w:val="0"/>
          <w:numId w:val="1"/>
        </w:numPr>
        <w:shd w:val="clear" w:color="auto" w:fill="FFFFFF"/>
        <w:kinsoku/>
        <w:overflowPunct/>
        <w:topLinePunct w:val="0"/>
        <w:bidi w:val="0"/>
        <w:snapToGrid w:val="0"/>
        <w:spacing w:beforeAutospacing="0" w:afterAutospacing="0" w:line="360" w:lineRule="auto"/>
        <w:ind w:firstLineChars="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评审准备</w:t>
      </w:r>
    </w:p>
    <w:p w14:paraId="412050B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 资格审查</w:t>
      </w:r>
    </w:p>
    <w:p w14:paraId="733E823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 完备性及符合性审查</w:t>
      </w:r>
    </w:p>
    <w:p w14:paraId="581D3A1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 第二轮报价</w:t>
      </w:r>
    </w:p>
    <w:p w14:paraId="3F84991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（5） 详细评审</w:t>
      </w:r>
    </w:p>
    <w:p w14:paraId="1799426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（6） 澄清、说明或补正</w:t>
      </w:r>
    </w:p>
    <w:p w14:paraId="409F966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 推荐</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及提交评审报告</w:t>
      </w:r>
    </w:p>
    <w:p w14:paraId="14A8B3D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 评审准备</w:t>
      </w:r>
    </w:p>
    <w:p w14:paraId="240A1F7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3.2.1磋商小组成员签到</w:t>
      </w:r>
    </w:p>
    <w:p w14:paraId="1039DF4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磋商小组成员到达评审现场时应当在签到表上签到以证明其出席。</w:t>
      </w:r>
    </w:p>
    <w:p w14:paraId="2563932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3.2.2 磋商小组的分工</w:t>
      </w:r>
    </w:p>
    <w:p w14:paraId="642B1DE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3.2.2.1磋商小组首先推选一名磋商小组组长。磋商小组组长负责评审活动的组织领导工作。磋商小组组长与磋商小组其他成员具有同等的评审权力。</w:t>
      </w:r>
    </w:p>
    <w:p w14:paraId="6C1B6C6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3.2.2.2 磋商小组组长除履行自己作为磋商小组成员独立评审的职责外，主要负责以下工作： </w:t>
      </w:r>
    </w:p>
    <w:p w14:paraId="7165D3F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（1）组织磋商小组成员学习竞争性磋商文件；</w:t>
      </w:r>
    </w:p>
    <w:p w14:paraId="33405680">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（2）汇总各磋商小组成员认为需要供应商澄清、说明或者补正的问题；</w:t>
      </w:r>
    </w:p>
    <w:p w14:paraId="60E90EEF">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（3）组织磋商小组对供应商质询并对供应商的答复进行评审；</w:t>
      </w:r>
    </w:p>
    <w:p w14:paraId="2500132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（4）对出现较大争议的事项进行书面记录；</w:t>
      </w:r>
    </w:p>
    <w:p w14:paraId="4A6826D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（5）组织收回评审过程中使用的文件、表格和评审记录以及其他资料，并查验评审记录的完整性及有效性；</w:t>
      </w:r>
    </w:p>
    <w:p w14:paraId="602EBD3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（6）组织对评审结论进行复核确认；</w:t>
      </w:r>
    </w:p>
    <w:p w14:paraId="3D95ED5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（7）组织编写评审报告。</w:t>
      </w:r>
    </w:p>
    <w:p w14:paraId="7166691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3.2.3 熟悉文件资料</w:t>
      </w:r>
    </w:p>
    <w:p w14:paraId="30B6C7E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3.2.3.1 磋商小组组长应当组织磋商小组成员认真研究竞争性磋商文件，了解和熟悉招标目的、采购范围、主要合同条件、技术标准、质量标准和要求，掌握评审标准和方法，熟悉本章及附件中包括的评审表格的使用，如果本章及附件所附的表格不能满足评审所需时，磋商小组应当补充编制评审所需的表格。</w:t>
      </w:r>
    </w:p>
    <w:p w14:paraId="0F7380E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3.2.3.2 采购人或采购代理机构应当向磋商小组提供评审所需的信息和数据，包括：</w:t>
      </w:r>
    </w:p>
    <w:p w14:paraId="1BF8182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（1）竞争性磋商文件及其澄清修改等竞争性磋商文件补充；</w:t>
      </w:r>
    </w:p>
    <w:p w14:paraId="333FA0B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（2）未在开标会上当场拒绝的各响应文件；</w:t>
      </w:r>
    </w:p>
    <w:p w14:paraId="7051496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（3）开标会记录；</w:t>
      </w:r>
    </w:p>
    <w:p w14:paraId="4F0FFF4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（4）评审表格；</w:t>
      </w:r>
    </w:p>
    <w:p w14:paraId="0EF1493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（5）其他信息和数据。</w:t>
      </w:r>
    </w:p>
    <w:p w14:paraId="1CD599E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3.3资格审查（适用于资格后审）</w:t>
      </w:r>
    </w:p>
    <w:p w14:paraId="3C80191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采购人依据本章规定的评审因素和审查标准，对供应商的资格审查资料进行资格审查。资格审查有一项未通过审查标准，采购人将认定整个响应文件不响应竞争性磋商文件而否决其投标，并且不允许供应商通过修改或撤销其不符合要求的差异或保留，使之成为具有响应性的投标。</w:t>
      </w:r>
    </w:p>
    <w:p w14:paraId="5963C789">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3.4完备性及符合性审查</w:t>
      </w:r>
    </w:p>
    <w:p w14:paraId="7029BC4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3.4.1 磋商小组依据本章规定的评审因素和评审标准，对供应商的响应文件进行完备性及符合性审查。完备性及符合性审查有一项未通过评审标准，磋商小组将认定整个响应文件不响应竞争性磋商文件而否决其投标，并且不允许供应商通过修改或撤销其不符合要求的差异或保留，使之成为具有响应性的投标。</w:t>
      </w:r>
    </w:p>
    <w:p w14:paraId="7D334E9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3.4.2 完备性及符合性审查条款是指对本采购项目产生了重大影响的重大偏差，而且纠正此类偏差将会对响应本次招标的其他供应商的竞争地位产生不公正的影响。</w:t>
      </w:r>
    </w:p>
    <w:p w14:paraId="7615F38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3.4.3细微偏差是指响应文件在实质上响应竞争性磋商文件要求，但在个别地方存在疏漏或者提供了不完整的技术信息和数据等情况，并且补正这些遗漏和不完整不会对其他供应商造成不公平的结果。细微偏差不影响响应文件的有效性，磋商小组可要求存在细微偏差的供应商予以补正。</w:t>
      </w:r>
    </w:p>
    <w:p w14:paraId="18D4563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3.5第二轮报价</w:t>
      </w:r>
    </w:p>
    <w:p w14:paraId="563A4FC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3.5.1、按照供应商递交响应文件的逆顺序，由磋商小组与</w:t>
      </w:r>
      <w:r>
        <w:rPr>
          <w:rFonts w:hint="eastAsia" w:ascii="仿宋" w:hAnsi="仿宋" w:eastAsia="仿宋" w:cs="仿宋"/>
          <w:color w:val="auto"/>
          <w:kern w:val="0"/>
          <w:sz w:val="24"/>
          <w:szCs w:val="24"/>
          <w:highlight w:val="none"/>
          <w:shd w:val="clear" w:color="auto" w:fill="FFFFFF" w:themeFill="background1"/>
          <w:lang w:val="en-US" w:eastAsia="zh-CN"/>
        </w:rPr>
        <w:t>各供应商</w:t>
      </w:r>
      <w:r>
        <w:rPr>
          <w:rFonts w:hint="eastAsia" w:ascii="仿宋" w:hAnsi="仿宋" w:eastAsia="仿宋" w:cs="仿宋"/>
          <w:color w:val="auto"/>
          <w:kern w:val="0"/>
          <w:sz w:val="24"/>
          <w:szCs w:val="24"/>
          <w:highlight w:val="none"/>
          <w:shd w:val="clear" w:color="auto" w:fill="FFFFFF" w:themeFill="background1"/>
        </w:rPr>
        <w:t>进行磋商</w:t>
      </w:r>
      <w:r>
        <w:rPr>
          <w:rFonts w:hint="eastAsia" w:ascii="仿宋" w:hAnsi="仿宋" w:eastAsia="仿宋" w:cs="仿宋"/>
          <w:color w:val="auto"/>
          <w:kern w:val="0"/>
          <w:sz w:val="24"/>
          <w:szCs w:val="24"/>
          <w:highlight w:val="none"/>
          <w:shd w:val="clear" w:color="auto" w:fill="FFFFFF" w:themeFill="background1"/>
          <w:lang w:eastAsia="zh-CN"/>
        </w:rPr>
        <w:t>（</w:t>
      </w:r>
      <w:r>
        <w:rPr>
          <w:rFonts w:hint="eastAsia" w:ascii="仿宋" w:hAnsi="仿宋" w:eastAsia="仿宋" w:cs="仿宋"/>
          <w:color w:val="auto"/>
          <w:kern w:val="0"/>
          <w:sz w:val="24"/>
          <w:szCs w:val="24"/>
          <w:highlight w:val="none"/>
          <w:shd w:val="clear" w:color="auto" w:fill="FFFFFF" w:themeFill="background1"/>
          <w:lang w:val="en-US" w:eastAsia="zh-CN"/>
        </w:rPr>
        <w:t>如需要</w:t>
      </w:r>
      <w:r>
        <w:rPr>
          <w:rFonts w:hint="eastAsia" w:ascii="仿宋" w:hAnsi="仿宋" w:eastAsia="仿宋" w:cs="仿宋"/>
          <w:color w:val="auto"/>
          <w:kern w:val="0"/>
          <w:sz w:val="24"/>
          <w:szCs w:val="24"/>
          <w:highlight w:val="none"/>
          <w:shd w:val="clear" w:color="auto" w:fill="FFFFFF" w:themeFill="background1"/>
          <w:lang w:eastAsia="zh-CN"/>
        </w:rPr>
        <w:t>）</w:t>
      </w:r>
      <w:r>
        <w:rPr>
          <w:rFonts w:hint="eastAsia" w:ascii="仿宋" w:hAnsi="仿宋" w:eastAsia="仿宋" w:cs="仿宋"/>
          <w:color w:val="auto"/>
          <w:kern w:val="0"/>
          <w:sz w:val="24"/>
          <w:szCs w:val="24"/>
          <w:highlight w:val="none"/>
          <w:shd w:val="clear" w:color="auto" w:fill="FFFFFF" w:themeFill="background1"/>
        </w:rPr>
        <w:t>，对响应文件中的漏项、错误等问题进行统一补充和修正并告知供应商，在此基础上进行第二轮磋商报价。</w:t>
      </w:r>
    </w:p>
    <w:p w14:paraId="0602EFB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3.5.2、供应商分别进行各自第二轮磋商报价，作为最终磋商报价的依据。</w:t>
      </w:r>
    </w:p>
    <w:p w14:paraId="69A2239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3.6、详细评审</w:t>
      </w:r>
    </w:p>
    <w:p w14:paraId="78354B7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3.6.1. 只有通过了第二轮报价方可进入详细评审。</w:t>
      </w:r>
    </w:p>
    <w:p w14:paraId="0AA94B4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3.6.2 澄清、说明和补正</w:t>
      </w:r>
    </w:p>
    <w:p w14:paraId="200F812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3.6.2.1在不改变供应商响应文件实质性内容的前提下，磋商小组应当对响应文件进行基础性数据分析和整理，从而发现并提取其中可能存在的对采购范围理解的偏差、技术响应偏离、磋商价格的算术性错误、错漏项、磋商价格构成不合理、不平衡报价等存在明显异常的问题。</w:t>
      </w:r>
    </w:p>
    <w:p w14:paraId="216D72A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3.6.2.2澄清、说明和补正内容不得改变响应文件的实质性内容（算术性错误修正的除外）。供应商的书面澄清、说明和补正属于响应文件的组成部分。</w:t>
      </w:r>
    </w:p>
    <w:p w14:paraId="49C425D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3.6.2.3磋商小组针对需要供应商对所提交响应文件中不明确的内容进行书面澄清、说明或补正。澄清通知不得向供应商提出带有暗示性或诱导性问题，或向其明确响应文件中的遗漏和错误。供应商接到磋商小组发出的书面澄清通知后，应按磋商小组的要求提供书面澄清资料，并在规定的时间递交到指定地点。磋商小组不接受供应商主动提出的澄清、说明或补正。</w:t>
      </w:r>
    </w:p>
    <w:p w14:paraId="7B59AFC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3.6.2.4磋商小组对供应商提交的澄清、说明或补正有疑问的，可以要求供应商进一步澄清、说明或补正，直至满足磋商小组的要求。</w:t>
      </w:r>
    </w:p>
    <w:p w14:paraId="7AE2AC4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3.6.3评审专家评分：评审专家按照《详细评审标准》评分，供应商详细评审得分等于全部评审专家评分的算术平均值。</w:t>
      </w:r>
    </w:p>
    <w:p w14:paraId="5DA0464B">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3.6.4 算术错误修正：</w:t>
      </w:r>
      <w:r>
        <w:rPr>
          <w:rFonts w:hint="eastAsia" w:ascii="仿宋" w:hAnsi="仿宋" w:eastAsia="仿宋" w:cs="仿宋"/>
          <w:color w:val="auto"/>
          <w:kern w:val="0"/>
          <w:sz w:val="24"/>
          <w:szCs w:val="24"/>
          <w:highlight w:val="none"/>
          <w:shd w:val="clear" w:color="auto" w:fill="FFFFFF" w:themeFill="background1"/>
        </w:rPr>
        <w:t>磋商价格</w:t>
      </w:r>
      <w:r>
        <w:rPr>
          <w:rFonts w:hint="eastAsia" w:ascii="仿宋" w:hAnsi="仿宋" w:eastAsia="仿宋" w:cs="仿宋"/>
          <w:color w:val="auto"/>
          <w:kern w:val="0"/>
          <w:sz w:val="24"/>
          <w:szCs w:val="24"/>
          <w:highlight w:val="none"/>
        </w:rPr>
        <w:t>有算术错误或前后不一致的，</w:t>
      </w:r>
      <w:r>
        <w:rPr>
          <w:rFonts w:hint="eastAsia" w:ascii="仿宋" w:hAnsi="仿宋" w:eastAsia="仿宋" w:cs="仿宋"/>
          <w:color w:val="auto"/>
          <w:kern w:val="0"/>
          <w:sz w:val="24"/>
          <w:szCs w:val="24"/>
          <w:highlight w:val="none"/>
          <w:shd w:val="clear" w:color="auto" w:fill="FFFFFF" w:themeFill="background1"/>
        </w:rPr>
        <w:t>磋商小组</w:t>
      </w:r>
      <w:r>
        <w:rPr>
          <w:rFonts w:hint="eastAsia" w:ascii="仿宋" w:hAnsi="仿宋" w:eastAsia="仿宋" w:cs="仿宋"/>
          <w:color w:val="auto"/>
          <w:kern w:val="0"/>
          <w:sz w:val="24"/>
          <w:szCs w:val="24"/>
          <w:highlight w:val="none"/>
        </w:rPr>
        <w:t>按以下原则对</w:t>
      </w:r>
      <w:r>
        <w:rPr>
          <w:rFonts w:hint="eastAsia" w:ascii="仿宋" w:hAnsi="仿宋" w:eastAsia="仿宋" w:cs="仿宋"/>
          <w:color w:val="auto"/>
          <w:kern w:val="0"/>
          <w:sz w:val="24"/>
          <w:szCs w:val="24"/>
          <w:highlight w:val="none"/>
          <w:shd w:val="clear" w:color="auto" w:fill="FFFFFF" w:themeFill="background1"/>
        </w:rPr>
        <w:t>磋商价格</w:t>
      </w:r>
      <w:r>
        <w:rPr>
          <w:rFonts w:hint="eastAsia" w:ascii="仿宋" w:hAnsi="仿宋" w:eastAsia="仿宋" w:cs="仿宋"/>
          <w:color w:val="auto"/>
          <w:kern w:val="0"/>
          <w:sz w:val="24"/>
          <w:szCs w:val="24"/>
          <w:highlight w:val="none"/>
        </w:rPr>
        <w:t>进行修正：</w:t>
      </w:r>
    </w:p>
    <w:p w14:paraId="2D98738E">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电子交易平台中报价与响应</w:t>
      </w:r>
      <w:r>
        <w:rPr>
          <w:rFonts w:hint="eastAsia" w:ascii="仿宋" w:hAnsi="仿宋" w:eastAsia="仿宋" w:cs="仿宋"/>
          <w:color w:val="auto"/>
          <w:kern w:val="0"/>
          <w:sz w:val="24"/>
          <w:szCs w:val="24"/>
          <w:highlight w:val="none"/>
        </w:rPr>
        <w:t>文件相应内容不一致的，以</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为准；</w:t>
      </w:r>
    </w:p>
    <w:p w14:paraId="0A428ED2">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（2）投标函与</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中相应内容不一致的，以投标函为准；</w:t>
      </w:r>
    </w:p>
    <w:p w14:paraId="3FDDFB08">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（3）大写金额和小写金额不一致的，以大写金额为准；</w:t>
      </w:r>
    </w:p>
    <w:p w14:paraId="23A29D26">
      <w:pPr>
        <w:widowControl/>
        <w:shd w:val="clear" w:color="auto" w:fill="FFFFFF"/>
        <w:snapToGrid w:val="0"/>
        <w:spacing w:line="360" w:lineRule="auto"/>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）单价金额小数点或者百分比有明显错位的，以投标函的总价为准，并修改单价；</w:t>
      </w:r>
    </w:p>
    <w:p w14:paraId="47CC87A8">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）总价金额与按单价汇总金额不一致的，以单价金额计算结果为准。</w:t>
      </w:r>
    </w:p>
    <w:p w14:paraId="13CB029A">
      <w:pPr>
        <w:widowControl/>
        <w:shd w:val="clear" w:color="auto" w:fill="FFFFFF"/>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修正后的报价经</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确认后产生约束力，</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不确认或不接受的，其投标无效。</w:t>
      </w:r>
    </w:p>
    <w:p w14:paraId="062A5FA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3.6.5 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14:paraId="5D8083B7">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3.6.6 磋商报价评分：对磋商报价进行磋商报价得分计算，计算方法详见评审办法前附表。</w:t>
      </w:r>
    </w:p>
    <w:p w14:paraId="08F0DA6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3.6.7 汇总评分结果，评分分值计算保留小数点后两位，小数点后第三位“四舍五入”。</w:t>
      </w:r>
    </w:p>
    <w:p w14:paraId="339E00C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3.6.8 详细评审工作全部结束后，供应商总得分排序按照以下原则进行。</w:t>
      </w:r>
    </w:p>
    <w:p w14:paraId="448A174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3.6.8.1按照总得分由高到低顺序对供应商进行排序；</w:t>
      </w:r>
    </w:p>
    <w:p w14:paraId="61CE8B34">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3.6.8.2总得分相同时报价低的供应商排序靠前；</w:t>
      </w:r>
    </w:p>
    <w:p w14:paraId="0C88A2F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lang w:eastAsia="zh-CN"/>
        </w:rPr>
      </w:pPr>
      <w:r>
        <w:rPr>
          <w:rFonts w:hint="eastAsia" w:ascii="仿宋" w:hAnsi="仿宋" w:eastAsia="仿宋" w:cs="仿宋"/>
          <w:color w:val="auto"/>
          <w:kern w:val="0"/>
          <w:sz w:val="24"/>
          <w:szCs w:val="24"/>
          <w:highlight w:val="none"/>
          <w:shd w:val="clear" w:color="auto" w:fill="FFFFFF" w:themeFill="background1"/>
        </w:rPr>
        <w:t>3.6.8.</w:t>
      </w:r>
      <w:r>
        <w:rPr>
          <w:rFonts w:hint="eastAsia" w:ascii="仿宋" w:hAnsi="仿宋" w:eastAsia="仿宋" w:cs="仿宋"/>
          <w:color w:val="auto"/>
          <w:kern w:val="0"/>
          <w:sz w:val="24"/>
          <w:szCs w:val="24"/>
          <w:highlight w:val="none"/>
          <w:shd w:val="clear" w:color="auto" w:fill="FFFFFF" w:themeFill="background1"/>
          <w:lang w:val="en-US" w:eastAsia="zh-CN"/>
        </w:rPr>
        <w:t>3</w:t>
      </w:r>
      <w:r>
        <w:rPr>
          <w:rFonts w:hint="eastAsia" w:ascii="仿宋" w:hAnsi="仿宋" w:eastAsia="仿宋" w:cs="仿宋"/>
          <w:color w:val="auto"/>
          <w:kern w:val="0"/>
          <w:sz w:val="24"/>
          <w:szCs w:val="24"/>
          <w:highlight w:val="none"/>
          <w:shd w:val="clear" w:color="auto" w:fill="FFFFFF" w:themeFill="background1"/>
        </w:rPr>
        <w:t>总得分相同</w:t>
      </w:r>
      <w:r>
        <w:rPr>
          <w:rFonts w:hint="eastAsia" w:ascii="仿宋" w:hAnsi="仿宋" w:eastAsia="仿宋" w:cs="仿宋"/>
          <w:color w:val="auto"/>
          <w:kern w:val="0"/>
          <w:sz w:val="24"/>
          <w:szCs w:val="24"/>
          <w:highlight w:val="none"/>
        </w:rPr>
        <w:t>且报价相同</w:t>
      </w:r>
      <w:r>
        <w:rPr>
          <w:rFonts w:hint="eastAsia" w:ascii="仿宋" w:hAnsi="仿宋" w:eastAsia="仿宋" w:cs="仿宋"/>
          <w:color w:val="auto"/>
          <w:kern w:val="0"/>
          <w:sz w:val="24"/>
          <w:szCs w:val="24"/>
          <w:highlight w:val="none"/>
          <w:shd w:val="clear" w:color="auto" w:fill="FFFFFF" w:themeFill="background1"/>
        </w:rPr>
        <w:t>的供应商</w:t>
      </w:r>
      <w:r>
        <w:rPr>
          <w:rFonts w:hint="eastAsia" w:ascii="仿宋" w:hAnsi="仿宋" w:eastAsia="仿宋" w:cs="仿宋"/>
          <w:color w:val="auto"/>
          <w:kern w:val="0"/>
          <w:sz w:val="24"/>
          <w:szCs w:val="24"/>
          <w:highlight w:val="none"/>
          <w:shd w:val="clear" w:color="auto" w:fill="FFFFFF" w:themeFill="background1"/>
          <w:lang w:eastAsia="zh-CN"/>
        </w:rPr>
        <w:t>，</w:t>
      </w:r>
      <w:r>
        <w:rPr>
          <w:rFonts w:hint="eastAsia" w:ascii="仿宋" w:hAnsi="仿宋" w:eastAsia="仿宋" w:cs="仿宋"/>
          <w:color w:val="auto"/>
          <w:kern w:val="0"/>
          <w:sz w:val="24"/>
          <w:szCs w:val="24"/>
          <w:highlight w:val="none"/>
        </w:rPr>
        <w:t>采取随机抽取方式确定排序顺序。</w:t>
      </w:r>
    </w:p>
    <w:p w14:paraId="702300BA">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3.7 推荐</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及提交评审报告</w:t>
      </w:r>
    </w:p>
    <w:p w14:paraId="26686B47">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3.7.1磋商小组推荐</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，总得分排序第一的供应商将被确定为第一</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以此类推确定出规定数量的的</w:t>
      </w:r>
      <w:r>
        <w:rPr>
          <w:rFonts w:hint="eastAsia" w:ascii="仿宋" w:hAnsi="仿宋" w:eastAsia="仿宋" w:cs="仿宋"/>
          <w:color w:val="auto"/>
          <w:kern w:val="0"/>
          <w:sz w:val="24"/>
          <w:szCs w:val="24"/>
          <w:highlight w:val="none"/>
          <w:shd w:val="clear" w:color="auto" w:fill="FFFFFF" w:themeFill="background1"/>
          <w:lang w:eastAsia="zh-CN"/>
        </w:rPr>
        <w:t>成交候选人</w:t>
      </w:r>
      <w:r>
        <w:rPr>
          <w:rFonts w:hint="eastAsia" w:ascii="仿宋" w:hAnsi="仿宋" w:eastAsia="仿宋" w:cs="仿宋"/>
          <w:color w:val="auto"/>
          <w:kern w:val="0"/>
          <w:sz w:val="24"/>
          <w:szCs w:val="24"/>
          <w:highlight w:val="none"/>
          <w:shd w:val="clear" w:color="auto" w:fill="FFFFFF" w:themeFill="background1"/>
        </w:rPr>
        <w:t>。</w:t>
      </w:r>
    </w:p>
    <w:p w14:paraId="6EA8FCB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3.7.2当通过了资格审查、完备性及符合性审查后，供应商少于3个时，采购人应当依法重新招标。</w:t>
      </w:r>
    </w:p>
    <w:p w14:paraId="33283DD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3.7.3 磋商小组完成评审后，应当向采购人提交书面评审报告。</w:t>
      </w:r>
    </w:p>
    <w:p w14:paraId="71580C2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3.8 特殊情况的处置程序</w:t>
      </w:r>
    </w:p>
    <w:p w14:paraId="69C7019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3.8.1 关于评审活动暂停</w:t>
      </w:r>
    </w:p>
    <w:p w14:paraId="35ECD67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磋商小组应当执行连续评审的原则，按评审办法中规定的程序、内容、方法、标准完成全部评审工作。只有发生不可抗力导致评审工作无法继续时，评审活动方可暂停。发生评审暂停情况时，应当封存全部响应文件和评审记录，待不可抗力的影响结束且具备继续评审的条件时，由原磋商小组继续评审。</w:t>
      </w:r>
    </w:p>
    <w:p w14:paraId="4439D12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3.8.2关于评审中途更换评审专家</w:t>
      </w:r>
    </w:p>
    <w:p w14:paraId="72DA274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3.8.2.1 除非发生下列情况之一，磋商小组成员不得在评审中途更换：</w:t>
      </w:r>
    </w:p>
    <w:p w14:paraId="6BBC96C6">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（1）因不可抗拒的客观原因，不能到场或需在评审中途退出评审活动。</w:t>
      </w:r>
    </w:p>
    <w:p w14:paraId="6DDA7F1B">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（2）根据法律法规规定，某个或某几个磋商小组成员需要回避。</w:t>
      </w:r>
    </w:p>
    <w:p w14:paraId="779AA6C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3.8.2.2 退出评审的磋商小组成员，其已完成的评审行为无效，由更换的评审专家进行评审。</w:t>
      </w:r>
    </w:p>
    <w:p w14:paraId="06CE66AE">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3.8.3 在评审环节中，需磋商小组就某项定性的评审结论做出表决的，由磋商小组全体成员按照少数服从多数的原则确定。</w:t>
      </w:r>
    </w:p>
    <w:p w14:paraId="2D327B88">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b/>
          <w:color w:val="auto"/>
          <w:sz w:val="24"/>
          <w:szCs w:val="24"/>
          <w:highlight w:val="none"/>
          <w:shd w:val="clear" w:color="auto" w:fill="FFFFFF" w:themeFill="background1"/>
        </w:rPr>
      </w:pPr>
      <w:bookmarkStart w:id="32" w:name="_Toc485312286"/>
      <w:r>
        <w:rPr>
          <w:rFonts w:hint="eastAsia" w:ascii="仿宋" w:hAnsi="仿宋" w:eastAsia="仿宋" w:cs="仿宋"/>
          <w:b/>
          <w:color w:val="auto"/>
          <w:sz w:val="24"/>
          <w:szCs w:val="24"/>
          <w:highlight w:val="none"/>
          <w:shd w:val="clear" w:color="auto" w:fill="FFFFFF" w:themeFill="background1"/>
        </w:rPr>
        <w:br w:type="page"/>
      </w:r>
    </w:p>
    <w:p w14:paraId="12FA07E5">
      <w:pPr>
        <w:keepLines w:val="0"/>
        <w:pageBreakBefore w:val="0"/>
        <w:widowControl/>
        <w:shd w:val="clear" w:color="auto" w:fill="FFFFFF"/>
        <w:kinsoku/>
        <w:overflowPunct/>
        <w:topLinePunct w:val="0"/>
        <w:bidi w:val="0"/>
        <w:snapToGrid w:val="0"/>
        <w:spacing w:beforeAutospacing="0" w:afterAutospacing="0" w:line="360" w:lineRule="auto"/>
        <w:jc w:val="center"/>
        <w:textAlignment w:val="auto"/>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rPr>
        <w:t>问题澄清通知</w:t>
      </w:r>
    </w:p>
    <w:p w14:paraId="7E3EA266">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4FE0435C">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（供应商名称）：</w:t>
      </w:r>
    </w:p>
    <w:p w14:paraId="7C24977E">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（采购项目名称）招标的磋商小组，对你方的响应文件进行了仔细的审查，现需你方对本通知所附质疑问卷中的问题以书面形式予以澄清、说明或者补正。</w:t>
      </w:r>
    </w:p>
    <w:p w14:paraId="08A20AD7">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质疑问题：</w:t>
      </w:r>
    </w:p>
    <w:p w14:paraId="0397CB57">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284A0DEA">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11E00856">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7850959A">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460471F1">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5AA3A8F6">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0F97808E">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503AB787">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5AC30190">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4F875CBD">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47817F9C">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磋商小组成员（签字）：</w:t>
      </w:r>
    </w:p>
    <w:p w14:paraId="77733160">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56C7F8AB">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日期：    年    月    日</w:t>
      </w:r>
    </w:p>
    <w:p w14:paraId="7CFEABD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br w:type="page"/>
      </w:r>
      <w:r>
        <w:rPr>
          <w:rFonts w:hint="eastAsia" w:ascii="仿宋" w:hAnsi="仿宋" w:eastAsia="仿宋" w:cs="仿宋"/>
          <w:b/>
          <w:color w:val="auto"/>
          <w:sz w:val="24"/>
          <w:szCs w:val="24"/>
          <w:highlight w:val="none"/>
          <w:shd w:val="clear" w:color="auto" w:fill="FFFFFF" w:themeFill="background1"/>
        </w:rPr>
        <w:t>问题的澄清、说明或补正</w:t>
      </w:r>
    </w:p>
    <w:p w14:paraId="05895182">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17CB60A1">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磋商小组：</w:t>
      </w:r>
    </w:p>
    <w:p w14:paraId="306302F8">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（采购项目名称）的问题澄清通知已收悉，现澄清、说明或者补正如下：</w:t>
      </w:r>
    </w:p>
    <w:p w14:paraId="47A4A211">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75DB2090">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6F59F715">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1F90F483">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1F324FA8">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72814BAD">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2EEA86A1">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778F500E">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4BEB29F4">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5496C904">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法定代表人或其授权委托人（签字）：</w:t>
      </w:r>
    </w:p>
    <w:p w14:paraId="3E15E8C9">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40C3AC3D">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日期：    年    月    日</w:t>
      </w:r>
    </w:p>
    <w:p w14:paraId="2836397D">
      <w:pPr>
        <w:keepLines w:val="0"/>
        <w:pageBreakBefore w:val="0"/>
        <w:widowControl/>
        <w:kinsoku/>
        <w:overflowPunct/>
        <w:topLinePunct w:val="0"/>
        <w:bidi w:val="0"/>
        <w:spacing w:beforeAutospacing="0" w:afterAutospacing="0" w:line="360" w:lineRule="auto"/>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shd w:val="clear" w:color="auto" w:fill="FFFFFF" w:themeFill="background1"/>
        </w:rPr>
        <w:br w:type="page"/>
      </w:r>
      <w:bookmarkEnd w:id="32"/>
      <w:bookmarkStart w:id="33" w:name="_Toc507586162"/>
      <w:bookmarkStart w:id="34" w:name="_Toc38446459"/>
      <w:bookmarkStart w:id="35" w:name="_Toc22292"/>
      <w:r>
        <w:rPr>
          <w:rFonts w:hint="eastAsia" w:ascii="仿宋" w:hAnsi="仿宋" w:eastAsia="仿宋" w:cs="仿宋"/>
          <w:b/>
          <w:color w:val="auto"/>
          <w:sz w:val="24"/>
          <w:szCs w:val="24"/>
          <w:highlight w:val="none"/>
          <w:shd w:val="clear" w:color="auto" w:fill="FFFFFF" w:themeFill="background1"/>
        </w:rPr>
        <w:t xml:space="preserve">第三章 </w:t>
      </w:r>
      <w:bookmarkEnd w:id="33"/>
      <w:bookmarkEnd w:id="34"/>
      <w:r>
        <w:rPr>
          <w:rFonts w:hint="eastAsia" w:ascii="仿宋" w:hAnsi="仿宋" w:eastAsia="仿宋" w:cs="仿宋"/>
          <w:b/>
          <w:color w:val="auto"/>
          <w:sz w:val="24"/>
          <w:szCs w:val="24"/>
          <w:highlight w:val="none"/>
          <w:shd w:val="clear" w:color="auto" w:fill="FFFFFF" w:themeFill="background1"/>
          <w:lang w:eastAsia="zh-CN"/>
        </w:rPr>
        <w:t>合同文本</w:t>
      </w:r>
      <w:bookmarkEnd w:id="35"/>
    </w:p>
    <w:p w14:paraId="767B6C2A">
      <w:pPr>
        <w:widowControl/>
        <w:spacing w:line="360" w:lineRule="auto"/>
        <w:jc w:val="center"/>
        <w:outlineLvl w:val="9"/>
        <w:rPr>
          <w:rFonts w:hint="eastAsia" w:ascii="仿宋" w:hAnsi="仿宋" w:eastAsia="仿宋" w:cs="仿宋"/>
          <w:color w:val="auto"/>
          <w:sz w:val="28"/>
          <w:highlight w:val="none"/>
        </w:rPr>
      </w:pPr>
      <w:r>
        <w:rPr>
          <w:rFonts w:hint="eastAsia" w:ascii="仿宋" w:hAnsi="仿宋" w:eastAsia="仿宋" w:cs="仿宋"/>
          <w:b w:val="0"/>
          <w:bCs w:val="0"/>
          <w:color w:val="auto"/>
          <w:sz w:val="24"/>
          <w:szCs w:val="24"/>
          <w:highlight w:val="none"/>
        </w:rPr>
        <w:t>注：本合同为示范文本（供参考），具体内容以甲乙双方签订的为准。</w:t>
      </w:r>
    </w:p>
    <w:p w14:paraId="67B45DB2">
      <w:pPr>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lang w:eastAsia="zh-CN"/>
        </w:rPr>
      </w:pPr>
    </w:p>
    <w:p w14:paraId="4303E27C">
      <w:pPr>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合同编号：</w:t>
      </w:r>
    </w:p>
    <w:p w14:paraId="6FF61CFC">
      <w:pPr>
        <w:keepNext w:val="0"/>
        <w:keepLines w:val="0"/>
        <w:pageBreakBefore w:val="0"/>
        <w:widowControl w:val="0"/>
        <w:kinsoku/>
        <w:wordWrap/>
        <w:overflowPunct/>
        <w:topLinePunct w:val="0"/>
        <w:bidi w:val="0"/>
        <w:spacing w:line="360" w:lineRule="auto"/>
        <w:ind w:left="359"/>
        <w:textAlignment w:val="auto"/>
        <w:outlineLvl w:val="9"/>
        <w:rPr>
          <w:rFonts w:hint="eastAsia" w:ascii="仿宋" w:hAnsi="仿宋" w:eastAsia="仿宋" w:cs="仿宋"/>
          <w:color w:val="auto"/>
          <w:sz w:val="24"/>
          <w:szCs w:val="24"/>
          <w:highlight w:val="none"/>
          <w:lang w:eastAsia="zh-CN"/>
        </w:rPr>
      </w:pPr>
    </w:p>
    <w:p w14:paraId="3C6D9388">
      <w:pPr>
        <w:pStyle w:val="13"/>
        <w:rPr>
          <w:rFonts w:hint="eastAsia" w:ascii="仿宋" w:hAnsi="仿宋" w:eastAsia="仿宋" w:cs="仿宋"/>
          <w:color w:val="auto"/>
          <w:sz w:val="24"/>
          <w:szCs w:val="24"/>
          <w:highlight w:val="none"/>
          <w:lang w:eastAsia="zh-CN"/>
        </w:rPr>
      </w:pPr>
    </w:p>
    <w:p w14:paraId="6912E08D">
      <w:pPr>
        <w:rPr>
          <w:rFonts w:hint="eastAsia"/>
          <w:color w:val="auto"/>
          <w:highlight w:val="none"/>
          <w:lang w:eastAsia="zh-CN"/>
        </w:rPr>
      </w:pPr>
    </w:p>
    <w:p w14:paraId="3915A71C">
      <w:pPr>
        <w:keepNext w:val="0"/>
        <w:keepLines w:val="0"/>
        <w:pageBreakBefore w:val="0"/>
        <w:widowControl w:val="0"/>
        <w:kinsoku/>
        <w:wordWrap/>
        <w:overflowPunct/>
        <w:topLinePunct w:val="0"/>
        <w:bidi w:val="0"/>
        <w:spacing w:line="360" w:lineRule="auto"/>
        <w:jc w:val="center"/>
        <w:textAlignment w:val="auto"/>
        <w:outlineLvl w:val="9"/>
        <w:rPr>
          <w:rFonts w:hint="eastAsia" w:ascii="仿宋" w:hAnsi="仿宋" w:eastAsia="仿宋" w:cs="仿宋"/>
          <w:b/>
          <w:bCs/>
          <w:color w:val="auto"/>
          <w:sz w:val="40"/>
          <w:szCs w:val="40"/>
          <w:highlight w:val="none"/>
          <w:lang w:eastAsia="zh-CN"/>
        </w:rPr>
      </w:pPr>
      <w:r>
        <w:rPr>
          <w:rFonts w:hint="eastAsia" w:ascii="仿宋" w:hAnsi="仿宋" w:eastAsia="仿宋" w:cs="仿宋"/>
          <w:b/>
          <w:bCs/>
          <w:color w:val="auto"/>
          <w:sz w:val="40"/>
          <w:szCs w:val="40"/>
          <w:highlight w:val="none"/>
          <w:lang w:eastAsia="zh-CN"/>
        </w:rPr>
        <w:t>自治区应急管理厅绩效监控评估项目</w:t>
      </w:r>
    </w:p>
    <w:p w14:paraId="6219AF4D">
      <w:pPr>
        <w:keepNext w:val="0"/>
        <w:keepLines w:val="0"/>
        <w:pageBreakBefore w:val="0"/>
        <w:widowControl w:val="0"/>
        <w:kinsoku/>
        <w:wordWrap/>
        <w:overflowPunct/>
        <w:topLinePunct w:val="0"/>
        <w:bidi w:val="0"/>
        <w:spacing w:line="360" w:lineRule="auto"/>
        <w:jc w:val="center"/>
        <w:textAlignment w:val="auto"/>
        <w:outlineLvl w:val="9"/>
        <w:rPr>
          <w:rFonts w:hint="eastAsia" w:ascii="仿宋" w:hAnsi="仿宋" w:eastAsia="仿宋" w:cs="仿宋"/>
          <w:b/>
          <w:bCs/>
          <w:color w:val="auto"/>
          <w:sz w:val="40"/>
          <w:szCs w:val="40"/>
          <w:highlight w:val="none"/>
          <w:lang w:eastAsia="zh-CN"/>
        </w:rPr>
      </w:pPr>
      <w:r>
        <w:rPr>
          <w:rFonts w:hint="eastAsia" w:ascii="仿宋" w:hAnsi="仿宋" w:eastAsia="仿宋" w:cs="仿宋"/>
          <w:b/>
          <w:bCs/>
          <w:color w:val="auto"/>
          <w:sz w:val="40"/>
          <w:szCs w:val="40"/>
          <w:highlight w:val="none"/>
          <w:lang w:eastAsia="zh-CN"/>
        </w:rPr>
        <w:t>合同</w:t>
      </w:r>
    </w:p>
    <w:p w14:paraId="0C8542A8">
      <w:pPr>
        <w:keepNext w:val="0"/>
        <w:keepLines w:val="0"/>
        <w:pageBreakBefore w:val="0"/>
        <w:widowControl w:val="0"/>
        <w:kinsoku/>
        <w:wordWrap/>
        <w:overflowPunct/>
        <w:topLinePunct w:val="0"/>
        <w:bidi w:val="0"/>
        <w:spacing w:line="360" w:lineRule="auto"/>
        <w:jc w:val="center"/>
        <w:textAlignment w:val="auto"/>
        <w:outlineLvl w:val="9"/>
        <w:rPr>
          <w:rFonts w:hint="eastAsia" w:ascii="仿宋" w:hAnsi="仿宋" w:eastAsia="仿宋" w:cs="仿宋"/>
          <w:b/>
          <w:bCs/>
          <w:color w:val="auto"/>
          <w:sz w:val="24"/>
          <w:szCs w:val="24"/>
          <w:highlight w:val="none"/>
          <w:lang w:eastAsia="zh-CN"/>
        </w:rPr>
      </w:pPr>
    </w:p>
    <w:p w14:paraId="166DD3FF">
      <w:pPr>
        <w:keepNext w:val="0"/>
        <w:keepLines w:val="0"/>
        <w:pageBreakBefore w:val="0"/>
        <w:widowControl w:val="0"/>
        <w:kinsoku/>
        <w:wordWrap/>
        <w:overflowPunct/>
        <w:topLinePunct w:val="0"/>
        <w:bidi w:val="0"/>
        <w:spacing w:line="360" w:lineRule="auto"/>
        <w:jc w:val="center"/>
        <w:textAlignment w:val="auto"/>
        <w:outlineLvl w:val="9"/>
        <w:rPr>
          <w:rFonts w:hint="eastAsia" w:ascii="仿宋" w:hAnsi="仿宋" w:eastAsia="仿宋" w:cs="仿宋"/>
          <w:color w:val="auto"/>
          <w:sz w:val="24"/>
          <w:szCs w:val="24"/>
          <w:highlight w:val="none"/>
          <w:lang w:eastAsia="zh-CN"/>
        </w:rPr>
      </w:pPr>
    </w:p>
    <w:p w14:paraId="747F8673">
      <w:pPr>
        <w:keepNext w:val="0"/>
        <w:keepLines w:val="0"/>
        <w:pageBreakBefore w:val="0"/>
        <w:widowControl w:val="0"/>
        <w:kinsoku/>
        <w:wordWrap/>
        <w:overflowPunct/>
        <w:topLinePunct w:val="0"/>
        <w:bidi w:val="0"/>
        <w:spacing w:line="360" w:lineRule="auto"/>
        <w:jc w:val="center"/>
        <w:textAlignment w:val="auto"/>
        <w:outlineLvl w:val="9"/>
        <w:rPr>
          <w:rFonts w:hint="eastAsia" w:ascii="仿宋" w:hAnsi="仿宋" w:eastAsia="仿宋" w:cs="仿宋"/>
          <w:color w:val="auto"/>
          <w:sz w:val="24"/>
          <w:szCs w:val="24"/>
          <w:highlight w:val="none"/>
          <w:lang w:eastAsia="zh-CN"/>
        </w:rPr>
      </w:pPr>
    </w:p>
    <w:p w14:paraId="64A92867">
      <w:pPr>
        <w:keepNext w:val="0"/>
        <w:keepLines w:val="0"/>
        <w:pageBreakBefore w:val="0"/>
        <w:widowControl w:val="0"/>
        <w:kinsoku/>
        <w:wordWrap/>
        <w:overflowPunct/>
        <w:topLinePunct w:val="0"/>
        <w:bidi w:val="0"/>
        <w:spacing w:line="360" w:lineRule="auto"/>
        <w:ind w:left="2340" w:right="-31" w:rightChars="-15" w:hanging="1560" w:hangingChars="650"/>
        <w:textAlignment w:val="auto"/>
        <w:outlineLvl w:val="9"/>
        <w:rPr>
          <w:rFonts w:hint="eastAsia" w:ascii="仿宋" w:hAnsi="仿宋" w:eastAsia="仿宋" w:cs="仿宋"/>
          <w:color w:val="auto"/>
          <w:sz w:val="24"/>
          <w:szCs w:val="24"/>
          <w:highlight w:val="none"/>
          <w:lang w:eastAsia="zh-CN"/>
        </w:rPr>
      </w:pPr>
    </w:p>
    <w:p w14:paraId="28E7BFB6">
      <w:pPr>
        <w:keepNext w:val="0"/>
        <w:keepLines w:val="0"/>
        <w:pageBreakBefore w:val="0"/>
        <w:widowControl w:val="0"/>
        <w:kinsoku/>
        <w:wordWrap/>
        <w:overflowPunct/>
        <w:topLinePunct w:val="0"/>
        <w:bidi w:val="0"/>
        <w:spacing w:line="360" w:lineRule="auto"/>
        <w:ind w:right="-31" w:rightChars="-15"/>
        <w:textAlignment w:val="auto"/>
        <w:outlineLvl w:val="9"/>
        <w:rPr>
          <w:rFonts w:hint="eastAsia" w:ascii="仿宋" w:hAnsi="仿宋" w:eastAsia="仿宋" w:cs="仿宋"/>
          <w:color w:val="auto"/>
          <w:sz w:val="24"/>
          <w:szCs w:val="24"/>
          <w:highlight w:val="none"/>
          <w:lang w:eastAsia="zh-CN"/>
        </w:rPr>
      </w:pPr>
    </w:p>
    <w:p w14:paraId="03EA53B9">
      <w:pPr>
        <w:pStyle w:val="13"/>
        <w:rPr>
          <w:rFonts w:hint="eastAsia" w:ascii="仿宋" w:hAnsi="仿宋" w:eastAsia="仿宋" w:cs="仿宋"/>
          <w:color w:val="auto"/>
          <w:sz w:val="24"/>
          <w:szCs w:val="24"/>
          <w:highlight w:val="none"/>
          <w:lang w:eastAsia="zh-CN"/>
        </w:rPr>
      </w:pPr>
    </w:p>
    <w:p w14:paraId="3A64CF23">
      <w:pPr>
        <w:rPr>
          <w:rFonts w:hint="eastAsia" w:ascii="仿宋" w:hAnsi="仿宋" w:eastAsia="仿宋" w:cs="仿宋"/>
          <w:color w:val="auto"/>
          <w:sz w:val="24"/>
          <w:szCs w:val="24"/>
          <w:highlight w:val="none"/>
          <w:lang w:eastAsia="zh-CN"/>
        </w:rPr>
      </w:pPr>
    </w:p>
    <w:p w14:paraId="4F40E42A">
      <w:pPr>
        <w:pStyle w:val="13"/>
        <w:rPr>
          <w:rFonts w:hint="eastAsia" w:ascii="仿宋" w:hAnsi="仿宋" w:eastAsia="仿宋" w:cs="仿宋"/>
          <w:color w:val="auto"/>
          <w:sz w:val="24"/>
          <w:szCs w:val="24"/>
          <w:highlight w:val="none"/>
          <w:lang w:eastAsia="zh-CN"/>
        </w:rPr>
      </w:pPr>
    </w:p>
    <w:p w14:paraId="5733BDF3">
      <w:pPr>
        <w:rPr>
          <w:rFonts w:hint="eastAsia"/>
          <w:color w:val="auto"/>
          <w:highlight w:val="none"/>
          <w:lang w:eastAsia="zh-CN"/>
        </w:rPr>
      </w:pPr>
    </w:p>
    <w:p w14:paraId="40171422">
      <w:pPr>
        <w:rPr>
          <w:rFonts w:hint="eastAsia" w:ascii="仿宋" w:hAnsi="仿宋" w:eastAsia="仿宋" w:cs="仿宋"/>
          <w:color w:val="auto"/>
          <w:sz w:val="24"/>
          <w:szCs w:val="24"/>
          <w:highlight w:val="none"/>
          <w:lang w:eastAsia="zh-CN"/>
        </w:rPr>
      </w:pPr>
    </w:p>
    <w:p w14:paraId="4ED7D8DF">
      <w:pPr>
        <w:pStyle w:val="13"/>
        <w:rPr>
          <w:rFonts w:hint="eastAsia" w:ascii="仿宋" w:hAnsi="仿宋" w:eastAsia="仿宋" w:cs="仿宋"/>
          <w:color w:val="auto"/>
          <w:sz w:val="24"/>
          <w:szCs w:val="24"/>
          <w:highlight w:val="none"/>
          <w:lang w:eastAsia="zh-CN"/>
        </w:rPr>
      </w:pPr>
    </w:p>
    <w:p w14:paraId="13233AFC">
      <w:pPr>
        <w:rPr>
          <w:rFonts w:hint="eastAsia"/>
          <w:color w:val="auto"/>
          <w:highlight w:val="none"/>
          <w:lang w:eastAsia="zh-CN"/>
        </w:rPr>
      </w:pPr>
    </w:p>
    <w:p w14:paraId="5273CE19">
      <w:pPr>
        <w:keepNext w:val="0"/>
        <w:keepLines w:val="0"/>
        <w:pageBreakBefore w:val="0"/>
        <w:widowControl w:val="0"/>
        <w:kinsoku/>
        <w:wordWrap/>
        <w:overflowPunct/>
        <w:topLinePunct w:val="0"/>
        <w:bidi w:val="0"/>
        <w:spacing w:line="360" w:lineRule="auto"/>
        <w:ind w:right="-15"/>
        <w:textAlignment w:val="auto"/>
        <w:outlineLvl w:val="9"/>
        <w:rPr>
          <w:rFonts w:hint="eastAsia" w:ascii="仿宋" w:hAnsi="仿宋" w:eastAsia="仿宋" w:cs="仿宋"/>
          <w:color w:val="auto"/>
          <w:sz w:val="28"/>
          <w:szCs w:val="28"/>
          <w:highlight w:val="none"/>
          <w:u w:val="single"/>
          <w:lang w:eastAsia="zh-CN"/>
        </w:rPr>
      </w:pPr>
      <w:r>
        <w:rPr>
          <w:rFonts w:hint="eastAsia" w:ascii="仿宋" w:hAnsi="仿宋" w:eastAsia="仿宋" w:cs="仿宋"/>
          <w:b/>
          <w:bCs/>
          <w:color w:val="auto"/>
          <w:sz w:val="28"/>
          <w:szCs w:val="28"/>
          <w:highlight w:val="none"/>
          <w:lang w:eastAsia="zh-CN"/>
        </w:rPr>
        <w:t>甲方（委托方）：新疆维吾尔自治区应急管理厅</w:t>
      </w:r>
    </w:p>
    <w:p w14:paraId="4DB4CD9F">
      <w:pPr>
        <w:keepNext w:val="0"/>
        <w:keepLines w:val="0"/>
        <w:pageBreakBefore w:val="0"/>
        <w:widowControl w:val="0"/>
        <w:kinsoku/>
        <w:wordWrap/>
        <w:overflowPunct/>
        <w:topLinePunct w:val="0"/>
        <w:bidi w:val="0"/>
        <w:spacing w:line="360" w:lineRule="auto"/>
        <w:ind w:right="-15" w:firstLine="280" w:firstLineChars="100"/>
        <w:textAlignment w:val="auto"/>
        <w:outlineLvl w:val="9"/>
        <w:rPr>
          <w:rFonts w:hint="eastAsia" w:ascii="仿宋" w:hAnsi="仿宋" w:eastAsia="仿宋" w:cs="仿宋"/>
          <w:color w:val="auto"/>
          <w:sz w:val="28"/>
          <w:szCs w:val="28"/>
          <w:highlight w:val="none"/>
          <w:lang w:eastAsia="zh-CN"/>
        </w:rPr>
      </w:pPr>
    </w:p>
    <w:p w14:paraId="3EBBAEA2">
      <w:pPr>
        <w:keepNext w:val="0"/>
        <w:keepLines w:val="0"/>
        <w:pageBreakBefore w:val="0"/>
        <w:widowControl w:val="0"/>
        <w:kinsoku/>
        <w:wordWrap/>
        <w:overflowPunct/>
        <w:topLinePunct w:val="0"/>
        <w:bidi w:val="0"/>
        <w:spacing w:line="360" w:lineRule="auto"/>
        <w:ind w:right="-15"/>
        <w:textAlignment w:val="auto"/>
        <w:outlineLvl w:val="9"/>
        <w:rPr>
          <w:rFonts w:hint="eastAsia" w:ascii="仿宋" w:hAnsi="仿宋" w:eastAsia="仿宋" w:cs="仿宋"/>
          <w:color w:val="auto"/>
          <w:sz w:val="28"/>
          <w:szCs w:val="28"/>
          <w:highlight w:val="none"/>
          <w:u w:val="single"/>
          <w:lang w:eastAsia="zh-CN"/>
        </w:rPr>
      </w:pPr>
      <w:r>
        <w:rPr>
          <w:rFonts w:hint="eastAsia" w:ascii="仿宋" w:hAnsi="仿宋" w:eastAsia="仿宋" w:cs="仿宋"/>
          <w:b/>
          <w:bCs/>
          <w:color w:val="auto"/>
          <w:sz w:val="28"/>
          <w:szCs w:val="28"/>
          <w:highlight w:val="none"/>
          <w:lang w:eastAsia="zh-CN"/>
        </w:rPr>
        <w:t>乙方（受托方）：</w:t>
      </w:r>
      <w:r>
        <w:rPr>
          <w:rFonts w:hint="eastAsia" w:ascii="仿宋" w:hAnsi="仿宋" w:eastAsia="仿宋" w:cs="仿宋"/>
          <w:b/>
          <w:bCs/>
          <w:color w:val="auto"/>
          <w:sz w:val="28"/>
          <w:szCs w:val="28"/>
          <w:highlight w:val="none"/>
          <w:lang w:eastAsia="zh-CN"/>
        </w:rPr>
        <w:tab/>
      </w:r>
    </w:p>
    <w:p w14:paraId="64DD9C85">
      <w:pPr>
        <w:keepNext w:val="0"/>
        <w:keepLines w:val="0"/>
        <w:pageBreakBefore w:val="0"/>
        <w:widowControl w:val="0"/>
        <w:kinsoku/>
        <w:wordWrap/>
        <w:overflowPunct/>
        <w:topLinePunct w:val="0"/>
        <w:bidi w:val="0"/>
        <w:spacing w:line="360" w:lineRule="auto"/>
        <w:ind w:left="-180" w:right="-15"/>
        <w:textAlignment w:val="auto"/>
        <w:outlineLvl w:val="9"/>
        <w:rPr>
          <w:rFonts w:hint="eastAsia" w:ascii="仿宋" w:hAnsi="仿宋" w:eastAsia="仿宋" w:cs="仿宋"/>
          <w:color w:val="auto"/>
          <w:sz w:val="28"/>
          <w:szCs w:val="28"/>
          <w:highlight w:val="none"/>
          <w:lang w:eastAsia="zh-CN"/>
        </w:rPr>
      </w:pPr>
    </w:p>
    <w:p w14:paraId="18D867B8">
      <w:pPr>
        <w:keepNext w:val="0"/>
        <w:keepLines w:val="0"/>
        <w:pageBreakBefore w:val="0"/>
        <w:widowControl w:val="0"/>
        <w:kinsoku/>
        <w:wordWrap/>
        <w:overflowPunct/>
        <w:topLinePunct w:val="0"/>
        <w:bidi w:val="0"/>
        <w:spacing w:line="360" w:lineRule="auto"/>
        <w:ind w:right="-15"/>
        <w:textAlignment w:val="auto"/>
        <w:outlineLvl w:val="9"/>
        <w:rPr>
          <w:rFonts w:hint="eastAsia" w:ascii="仿宋" w:hAnsi="仿宋" w:eastAsia="仿宋" w:cs="仿宋"/>
          <w:b/>
          <w:color w:val="auto"/>
          <w:sz w:val="28"/>
          <w:szCs w:val="28"/>
          <w:highlight w:val="none"/>
          <w:u w:val="single"/>
          <w:lang w:eastAsia="zh-CN"/>
        </w:rPr>
      </w:pPr>
      <w:r>
        <w:rPr>
          <w:rFonts w:hint="eastAsia" w:ascii="仿宋" w:hAnsi="仿宋" w:eastAsia="仿宋" w:cs="仿宋"/>
          <w:b/>
          <w:bCs/>
          <w:color w:val="auto"/>
          <w:sz w:val="28"/>
          <w:szCs w:val="28"/>
          <w:highlight w:val="none"/>
          <w:lang w:eastAsia="zh-CN"/>
        </w:rPr>
        <w:t>签订日期：</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lang w:eastAsia="zh-CN"/>
        </w:rPr>
        <w:t xml:space="preserve"> 年   月   日</w:t>
      </w:r>
    </w:p>
    <w:p w14:paraId="1070D3F0">
      <w:pPr>
        <w:keepNext w:val="0"/>
        <w:keepLines w:val="0"/>
        <w:pageBreakBefore w:val="0"/>
        <w:widowControl w:val="0"/>
        <w:kinsoku/>
        <w:wordWrap/>
        <w:overflowPunct/>
        <w:topLinePunct w:val="0"/>
        <w:bidi w:val="0"/>
        <w:spacing w:line="360" w:lineRule="auto"/>
        <w:ind w:right="-15"/>
        <w:textAlignment w:val="auto"/>
        <w:outlineLvl w:val="9"/>
        <w:rPr>
          <w:rFonts w:hint="eastAsia" w:ascii="仿宋" w:hAnsi="仿宋" w:eastAsia="仿宋" w:cs="仿宋"/>
          <w:b/>
          <w:bCs/>
          <w:color w:val="auto"/>
          <w:sz w:val="28"/>
          <w:szCs w:val="28"/>
          <w:highlight w:val="none"/>
          <w:u w:val="single"/>
          <w:lang w:eastAsia="zh-CN"/>
        </w:rPr>
      </w:pPr>
      <w:r>
        <w:rPr>
          <w:rFonts w:hint="eastAsia" w:ascii="仿宋" w:hAnsi="仿宋" w:eastAsia="仿宋" w:cs="仿宋"/>
          <w:b/>
          <w:bCs/>
          <w:color w:val="auto"/>
          <w:sz w:val="28"/>
          <w:szCs w:val="28"/>
          <w:highlight w:val="none"/>
          <w:lang w:eastAsia="zh-CN"/>
        </w:rPr>
        <w:t>签订地点：新疆维吾尔自治区乌鲁木齐市</w:t>
      </w:r>
    </w:p>
    <w:p w14:paraId="6393267F">
      <w:pPr>
        <w:keepNext w:val="0"/>
        <w:keepLines w:val="0"/>
        <w:pageBreakBefore w:val="0"/>
        <w:widowControl w:val="0"/>
        <w:kinsoku/>
        <w:wordWrap/>
        <w:overflowPunct/>
        <w:topLinePunct w:val="0"/>
        <w:bidi w:val="0"/>
        <w:spacing w:line="360" w:lineRule="auto"/>
        <w:ind w:right="-15"/>
        <w:textAlignment w:val="auto"/>
        <w:outlineLvl w:val="9"/>
        <w:rPr>
          <w:rFonts w:hint="eastAsia" w:ascii="仿宋" w:hAnsi="仿宋" w:eastAsia="仿宋" w:cs="仿宋"/>
          <w:color w:val="auto"/>
          <w:sz w:val="24"/>
          <w:szCs w:val="24"/>
          <w:highlight w:val="none"/>
          <w:lang w:eastAsia="zh-CN"/>
        </w:rPr>
        <w:sectPr>
          <w:footerReference r:id="rId8" w:type="default"/>
          <w:pgSz w:w="11906" w:h="16838"/>
          <w:pgMar w:top="1440" w:right="1416" w:bottom="1440" w:left="1800" w:header="851" w:footer="992" w:gutter="0"/>
          <w:pgNumType w:start="1"/>
          <w:cols w:space="425" w:num="1"/>
          <w:titlePg/>
          <w:docGrid w:type="lines" w:linePitch="312" w:charSpace="0"/>
        </w:sectPr>
      </w:pPr>
    </w:p>
    <w:p w14:paraId="5266D59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根据《中华人民共和国民法典》及《中华人民共和国政府采购法》等相关法律制度，双方经过自愿、平等的协商，本着互惠互利、诚实信用的原则，就应急管理厅绩效监控评估项目，项目编号：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（以下简称“本项目”），订立如下合同条款，甲、乙双方同意按下述条款和条件签署本合同：</w:t>
      </w:r>
    </w:p>
    <w:p w14:paraId="169AC633">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bookmarkStart w:id="36" w:name="bookmark8"/>
      <w:bookmarkStart w:id="37" w:name="bookmark6"/>
      <w:bookmarkStart w:id="38" w:name="bookmark7"/>
      <w:r>
        <w:rPr>
          <w:rFonts w:hint="eastAsia" w:ascii="仿宋" w:hAnsi="仿宋" w:eastAsia="仿宋" w:cs="仿宋"/>
          <w:b/>
          <w:bCs/>
          <w:color w:val="auto"/>
          <w:sz w:val="24"/>
          <w:szCs w:val="24"/>
          <w:highlight w:val="none"/>
          <w:lang w:eastAsia="zh-CN"/>
        </w:rPr>
        <w:t>第一条 服务范围</w:t>
      </w:r>
      <w:bookmarkEnd w:id="36"/>
      <w:bookmarkEnd w:id="37"/>
      <w:bookmarkEnd w:id="38"/>
    </w:p>
    <w:p w14:paraId="0B043D1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甲方聘请乙方提供以下服务：</w:t>
      </w:r>
    </w:p>
    <w:p w14:paraId="734EA15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（1）本合同项下的服务指：“自治区应急管理厅绩效监控评估项目”。</w:t>
      </w:r>
    </w:p>
    <w:p w14:paraId="41A27739">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sz w:val="24"/>
          <w:szCs w:val="24"/>
          <w:highlight w:val="none"/>
          <w:lang w:eastAsia="zh-CN"/>
        </w:rPr>
        <w:t>（2）服务内容：</w:t>
      </w:r>
      <w:r>
        <w:rPr>
          <w:rFonts w:hint="eastAsia" w:ascii="仿宋" w:hAnsi="仿宋" w:eastAsia="仿宋" w:cs="仿宋"/>
          <w:color w:val="auto"/>
          <w:sz w:val="24"/>
          <w:szCs w:val="32"/>
          <w:highlight w:val="none"/>
          <w:lang w:val="en-US" w:eastAsia="zh-CN"/>
        </w:rPr>
        <w:t>按时完成2025年度部门整体绩效评价、预算内所有项目绩效目标设定、绩效监控、绩效自评全过程绩效管理以及2026年预算申报绩效目标设置等咨询服务，</w:t>
      </w:r>
      <w:r>
        <w:rPr>
          <w:rFonts w:hint="eastAsia" w:ascii="仿宋" w:hAnsi="仿宋" w:eastAsia="仿宋" w:cs="仿宋"/>
          <w:color w:val="auto"/>
          <w:kern w:val="0"/>
          <w:sz w:val="24"/>
          <w:szCs w:val="24"/>
          <w:highlight w:val="none"/>
          <w:shd w:val="clear" w:color="auto" w:fill="FFFFFF" w:themeFill="background1"/>
          <w:lang w:val="en-US" w:eastAsia="zh-CN"/>
        </w:rPr>
        <w:t>并根据绩效审核情况提出相关意见建议，提供技术咨询、培训等各项绩效管理服务，以及预算管理等其他辅助性服务。</w:t>
      </w:r>
    </w:p>
    <w:p w14:paraId="0D7D3AD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）服务标准：乙方提供的服务符合国家标准、行业标准和规范要求及标书规定的服务质量标准和有关要求，并通过自治区应急管理厅审核工作。</w:t>
      </w:r>
    </w:p>
    <w:p w14:paraId="584E3FE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）交付时间、地点：甲方指定。</w:t>
      </w:r>
    </w:p>
    <w:p w14:paraId="341B7684">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color w:val="auto"/>
          <w:sz w:val="24"/>
          <w:szCs w:val="24"/>
          <w:highlight w:val="none"/>
          <w:lang w:val="en-US" w:eastAsia="zh-CN"/>
        </w:rPr>
      </w:pPr>
      <w:bookmarkStart w:id="39" w:name="bookmark15"/>
      <w:bookmarkStart w:id="40" w:name="bookmark14"/>
      <w:bookmarkStart w:id="41" w:name="bookmark13"/>
      <w:r>
        <w:rPr>
          <w:rFonts w:hint="eastAsia" w:ascii="仿宋" w:hAnsi="仿宋" w:eastAsia="仿宋" w:cs="仿宋"/>
          <w:b/>
          <w:bCs/>
          <w:color w:val="auto"/>
          <w:sz w:val="24"/>
          <w:szCs w:val="24"/>
          <w:highlight w:val="none"/>
          <w:lang w:eastAsia="zh-CN"/>
        </w:rPr>
        <w:t>第二条 服务期限</w:t>
      </w:r>
      <w:bookmarkEnd w:id="39"/>
      <w:bookmarkEnd w:id="40"/>
      <w:bookmarkEnd w:id="41"/>
      <w:bookmarkStart w:id="42" w:name="bookmark18"/>
      <w:bookmarkStart w:id="43" w:name="bookmark17"/>
      <w:bookmarkStart w:id="44" w:name="bookmark16"/>
      <w:r>
        <w:rPr>
          <w:rFonts w:hint="eastAsia" w:ascii="仿宋" w:hAnsi="仿宋" w:eastAsia="仿宋" w:cs="仿宋"/>
          <w:b/>
          <w:bCs/>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p>
    <w:p w14:paraId="73E96CF4">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第三条 服务价款及付款方式</w:t>
      </w:r>
      <w:bookmarkEnd w:id="42"/>
      <w:bookmarkEnd w:id="43"/>
      <w:bookmarkEnd w:id="44"/>
    </w:p>
    <w:p w14:paraId="1BC2144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1、总价（</w:t>
      </w:r>
      <w:r>
        <w:rPr>
          <w:rFonts w:hint="eastAsia" w:ascii="仿宋" w:hAnsi="仿宋" w:eastAsia="仿宋" w:cs="仿宋"/>
          <w:color w:val="auto"/>
          <w:sz w:val="24"/>
          <w:szCs w:val="24"/>
          <w:highlight w:val="none"/>
        </w:rPr>
        <w:t>上述合同总金额包括税费、服务人员的劳务费、交通费、食宿费等乙方提供服务并经甲方验收合格所需的全部费用，甲方不再另行支付其他任何费用</w:t>
      </w:r>
      <w:r>
        <w:rPr>
          <w:rFonts w:hint="eastAsia" w:ascii="仿宋" w:hAnsi="仿宋" w:eastAsia="仿宋" w:cs="仿宋"/>
          <w:color w:val="auto"/>
          <w:sz w:val="24"/>
          <w:szCs w:val="24"/>
          <w:highlight w:val="none"/>
          <w:lang w:eastAsia="zh-CN"/>
        </w:rPr>
        <w:t>）：</w:t>
      </w:r>
    </w:p>
    <w:p w14:paraId="1C4E6F9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总金额，即人民币(大写)：</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w:t>
      </w:r>
    </w:p>
    <w:p w14:paraId="2119ABCA">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其中不含税金额为：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元。增值税额为：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w:t>
      </w:r>
    </w:p>
    <w:p w14:paraId="53CABDD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2、付款方式：</w:t>
      </w:r>
    </w:p>
    <w:p w14:paraId="2AD844D2">
      <w:pPr>
        <w:keepNext w:val="0"/>
        <w:keepLines w:val="0"/>
        <w:pageBreakBefore w:val="0"/>
        <w:widowControl w:val="0"/>
        <w:kinsoku/>
        <w:wordWrap/>
        <w:overflowPunct/>
        <w:topLinePunct w:val="0"/>
        <w:autoSpaceDE/>
        <w:autoSpaceDN/>
        <w:bidi w:val="0"/>
        <w:adjustRightInd/>
        <w:snapToGrid w:val="0"/>
        <w:spacing w:line="360" w:lineRule="auto"/>
        <w:ind w:left="719" w:leftChars="228" w:hanging="240" w:hangingChars="100"/>
        <w:textAlignment w:val="auto"/>
        <w:outlineLvl w:val="9"/>
        <w:rPr>
          <w:rFonts w:hint="eastAsia" w:ascii="仿宋" w:hAnsi="仿宋" w:eastAsia="仿宋" w:cs="仿宋"/>
          <w:color w:val="auto"/>
          <w:sz w:val="24"/>
          <w:szCs w:val="24"/>
          <w:highlight w:val="none"/>
          <w:lang w:val="en-US" w:eastAsia="zh-CN"/>
        </w:rPr>
      </w:pPr>
      <w:bookmarkStart w:id="45" w:name="bookmark22"/>
      <w:bookmarkEnd w:id="45"/>
      <w:bookmarkStart w:id="46" w:name="bookmark21"/>
      <w:bookmarkEnd w:id="46"/>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1）合同签订15个工作日内</w:t>
      </w:r>
      <w:r>
        <w:rPr>
          <w:rFonts w:hint="eastAsia" w:ascii="仿宋" w:hAnsi="仿宋" w:eastAsia="仿宋" w:cs="仿宋"/>
          <w:color w:val="auto"/>
          <w:sz w:val="24"/>
          <w:szCs w:val="24"/>
          <w:highlight w:val="none"/>
          <w:lang w:eastAsia="zh-CN"/>
        </w:rPr>
        <w:t>，甲方向乙方支付合同金额的</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0%,即人民币(大写):</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)至乙方账户。</w:t>
      </w:r>
    </w:p>
    <w:p w14:paraId="1DD949DF">
      <w:pPr>
        <w:pStyle w:val="14"/>
        <w:keepNext w:val="0"/>
        <w:keepLines w:val="0"/>
        <w:pageBreakBefore w:val="0"/>
        <w:widowControl w:val="0"/>
        <w:kinsoku/>
        <w:wordWrap/>
        <w:overflowPunct/>
        <w:topLinePunct w:val="0"/>
        <w:bidi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年11月30日前，甲方组织开展阶段性验收工作，验收合格后，向乙方支付合同金额的40%,即人民币(大写):</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)至乙方账户。</w:t>
      </w:r>
    </w:p>
    <w:p w14:paraId="789EEF86">
      <w:pPr>
        <w:pStyle w:val="14"/>
        <w:keepNext w:val="0"/>
        <w:keepLines w:val="0"/>
        <w:pageBreakBefore w:val="0"/>
        <w:widowControl w:val="0"/>
        <w:kinsoku/>
        <w:wordWrap/>
        <w:overflowPunct/>
        <w:topLinePunct w:val="0"/>
        <w:bidi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）在甲方支付费用前，乙方应提供合同总金额5%的保函于甲方，甲方收到保函后予以付款，履约保函（履约保函种类为见索即付不可撤销银行保函）有效期自开立之日起至该项目合同全面完成并经甲方验收合格）</w:t>
      </w:r>
    </w:p>
    <w:p w14:paraId="5C9C1F0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乙方开户银行名称、行号和账号为：</w:t>
      </w:r>
    </w:p>
    <w:p w14:paraId="6BD6FD0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开户银行：</w:t>
      </w:r>
      <w:r>
        <w:rPr>
          <w:rFonts w:hint="eastAsia" w:ascii="仿宋" w:hAnsi="仿宋" w:eastAsia="仿宋" w:cs="仿宋"/>
          <w:color w:val="auto"/>
          <w:sz w:val="24"/>
          <w:szCs w:val="24"/>
          <w:highlight w:val="none"/>
          <w:u w:val="single"/>
          <w:lang w:val="en-US" w:eastAsia="zh-CN"/>
        </w:rPr>
        <w:t xml:space="preserve">              </w:t>
      </w:r>
    </w:p>
    <w:p w14:paraId="712BCD46">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行    号：</w:t>
      </w:r>
      <w:r>
        <w:rPr>
          <w:rFonts w:hint="eastAsia" w:ascii="仿宋" w:hAnsi="仿宋" w:eastAsia="仿宋" w:cs="仿宋"/>
          <w:color w:val="auto"/>
          <w:sz w:val="24"/>
          <w:szCs w:val="24"/>
          <w:highlight w:val="none"/>
          <w:u w:val="single"/>
          <w:lang w:val="en-US" w:eastAsia="zh-CN"/>
        </w:rPr>
        <w:t xml:space="preserve">              </w:t>
      </w:r>
    </w:p>
    <w:p w14:paraId="6E68853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账    号：</w:t>
      </w:r>
      <w:bookmarkStart w:id="47" w:name="bookmark25"/>
      <w:bookmarkStart w:id="48" w:name="bookmark24"/>
      <w:bookmarkStart w:id="49" w:name="bookmark23"/>
      <w:r>
        <w:rPr>
          <w:rFonts w:hint="eastAsia" w:ascii="仿宋" w:hAnsi="仿宋" w:eastAsia="仿宋" w:cs="仿宋"/>
          <w:color w:val="auto"/>
          <w:sz w:val="24"/>
          <w:szCs w:val="24"/>
          <w:highlight w:val="none"/>
          <w:u w:val="single"/>
          <w:lang w:val="en-US" w:eastAsia="zh-CN"/>
        </w:rPr>
        <w:t xml:space="preserve">              </w:t>
      </w:r>
    </w:p>
    <w:p w14:paraId="2D481BBA">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eastAsia="zh-CN"/>
        </w:rPr>
        <w:t>第四条 服务质量、成果要求</w:t>
      </w:r>
      <w:bookmarkEnd w:id="47"/>
      <w:bookmarkEnd w:id="48"/>
      <w:bookmarkEnd w:id="49"/>
    </w:p>
    <w:p w14:paraId="5EA82AD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项目完成后甲方将组织专业人员进行项目的验收工作,如存在问题,乙方应</w:t>
      </w:r>
      <w:r>
        <w:rPr>
          <w:rFonts w:hint="eastAsia" w:ascii="仿宋" w:hAnsi="仿宋" w:eastAsia="仿宋" w:cs="仿宋"/>
          <w:color w:val="auto"/>
          <w:sz w:val="24"/>
          <w:szCs w:val="24"/>
          <w:highlight w:val="none"/>
          <w:lang w:val="en-US" w:eastAsia="zh-CN"/>
        </w:rPr>
        <w:t>按照要求</w:t>
      </w:r>
      <w:r>
        <w:rPr>
          <w:rFonts w:hint="eastAsia" w:ascii="仿宋" w:hAnsi="仿宋" w:eastAsia="仿宋" w:cs="仿宋"/>
          <w:color w:val="auto"/>
          <w:sz w:val="24"/>
          <w:szCs w:val="24"/>
          <w:highlight w:val="none"/>
          <w:lang w:eastAsia="zh-CN"/>
        </w:rPr>
        <w:t>进行改进，直至验收合格为</w:t>
      </w:r>
      <w:r>
        <w:rPr>
          <w:rFonts w:hint="eastAsia" w:ascii="仿宋" w:hAnsi="仿宋" w:eastAsia="仿宋" w:cs="仿宋"/>
          <w:color w:val="auto"/>
          <w:sz w:val="24"/>
          <w:szCs w:val="24"/>
          <w:highlight w:val="none"/>
          <w:lang w:val="en-US" w:eastAsia="zh-CN"/>
        </w:rPr>
        <w:t>止</w:t>
      </w:r>
      <w:r>
        <w:rPr>
          <w:rFonts w:hint="eastAsia" w:ascii="仿宋" w:hAnsi="仿宋" w:eastAsia="仿宋" w:cs="仿宋"/>
          <w:color w:val="auto"/>
          <w:sz w:val="24"/>
          <w:szCs w:val="24"/>
          <w:highlight w:val="none"/>
          <w:lang w:eastAsia="zh-CN"/>
        </w:rPr>
        <w:t>。</w:t>
      </w:r>
    </w:p>
    <w:p w14:paraId="5F867B71">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第五条 甲、乙双方权利义务</w:t>
      </w:r>
    </w:p>
    <w:p w14:paraId="07F2F37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bookmarkStart w:id="50" w:name="bookmark12"/>
      <w:r>
        <w:rPr>
          <w:rFonts w:hint="eastAsia" w:ascii="仿宋" w:hAnsi="仿宋" w:eastAsia="仿宋" w:cs="仿宋"/>
          <w:color w:val="auto"/>
          <w:sz w:val="24"/>
          <w:szCs w:val="24"/>
          <w:highlight w:val="none"/>
          <w:lang w:eastAsia="zh-CN"/>
        </w:rPr>
        <w:t>1</w:t>
      </w:r>
      <w:bookmarkEnd w:id="50"/>
      <w:r>
        <w:rPr>
          <w:rFonts w:hint="eastAsia" w:ascii="仿宋" w:hAnsi="仿宋" w:eastAsia="仿宋" w:cs="仿宋"/>
          <w:color w:val="auto"/>
          <w:sz w:val="24"/>
          <w:szCs w:val="24"/>
          <w:highlight w:val="none"/>
          <w:lang w:eastAsia="zh-CN"/>
        </w:rPr>
        <w:t>、甲方应当为保证项目服务的完成，给予乙方积极支持，为乙方提供项目实施的必要条件。</w:t>
      </w:r>
    </w:p>
    <w:p w14:paraId="71850BC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2、甲方应当按照本合同约定按时支付合同金额。</w:t>
      </w:r>
    </w:p>
    <w:p w14:paraId="406C477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3、乙方提交的服务成果未经甲方书面许可，不得向任何第三方泄露。</w:t>
      </w:r>
    </w:p>
    <w:p w14:paraId="0B095B3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zh-CN" w:eastAsia="zh-CN"/>
        </w:rPr>
        <w:t>4、</w:t>
      </w:r>
      <w:r>
        <w:rPr>
          <w:rFonts w:hint="eastAsia" w:ascii="仿宋" w:hAnsi="仿宋" w:eastAsia="仿宋" w:cs="仿宋"/>
          <w:color w:val="auto"/>
          <w:sz w:val="24"/>
          <w:szCs w:val="24"/>
          <w:highlight w:val="none"/>
          <w:lang w:eastAsia="zh-CN"/>
        </w:rPr>
        <w:t>乙方提供必要的技术培训，协助甲方完成其他需要乙方配合的与本项目相关服务。</w:t>
      </w:r>
    </w:p>
    <w:p w14:paraId="5E8603F0">
      <w:pPr>
        <w:keepNext w:val="0"/>
        <w:keepLines w:val="0"/>
        <w:pageBreakBefore w:val="0"/>
        <w:widowControl w:val="0"/>
        <w:numPr>
          <w:ilvl w:val="0"/>
          <w:numId w:val="2"/>
        </w:numPr>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乙方根据国家标准、行业标准和规范要求及标书规定的服务质量标准和有关要求，保质保量地完成服务工作。</w:t>
      </w:r>
    </w:p>
    <w:p w14:paraId="57A5F160">
      <w:pPr>
        <w:keepNext w:val="0"/>
        <w:keepLines w:val="0"/>
        <w:pageBreakBefore w:val="0"/>
        <w:widowControl w:val="0"/>
        <w:numPr>
          <w:ilvl w:val="0"/>
          <w:numId w:val="2"/>
        </w:numPr>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保证1名固定人员与各部门单位、人员的工作对接，</w:t>
      </w:r>
      <w:r>
        <w:rPr>
          <w:rFonts w:hint="eastAsia" w:ascii="仿宋" w:hAnsi="仿宋" w:eastAsia="仿宋" w:cs="仿宋"/>
          <w:color w:val="auto"/>
          <w:sz w:val="24"/>
          <w:szCs w:val="24"/>
          <w:highlight w:val="none"/>
          <w:lang w:val="en-US" w:eastAsia="zh-CN"/>
        </w:rPr>
        <w:t>提供驻场服务，</w:t>
      </w:r>
      <w:r>
        <w:rPr>
          <w:rFonts w:hint="eastAsia" w:ascii="仿宋" w:hAnsi="仿宋" w:eastAsia="仿宋" w:cs="仿宋"/>
          <w:color w:val="auto"/>
          <w:sz w:val="24"/>
          <w:szCs w:val="24"/>
          <w:highlight w:val="none"/>
          <w:lang w:eastAsia="zh-CN"/>
        </w:rPr>
        <w:t>完成对绩效管理相关工作的</w:t>
      </w:r>
      <w:r>
        <w:rPr>
          <w:rFonts w:hint="eastAsia" w:ascii="仿宋" w:hAnsi="仿宋" w:eastAsia="仿宋" w:cs="仿宋"/>
          <w:color w:val="auto"/>
          <w:sz w:val="24"/>
          <w:szCs w:val="24"/>
          <w:highlight w:val="none"/>
          <w:lang w:val="en-US" w:eastAsia="zh-CN"/>
        </w:rPr>
        <w:t>咨询服务</w:t>
      </w:r>
      <w:r>
        <w:rPr>
          <w:rFonts w:hint="eastAsia" w:ascii="仿宋" w:hAnsi="仿宋" w:eastAsia="仿宋" w:cs="仿宋"/>
          <w:color w:val="auto"/>
          <w:sz w:val="24"/>
          <w:szCs w:val="24"/>
          <w:highlight w:val="none"/>
          <w:lang w:eastAsia="zh-CN"/>
        </w:rPr>
        <w:t>，并最终形成相关报表、报告；在预算绩效管理重要节点，工作紧迫时能及时增调工作人员完成工作；按要求完成部门整体及项目支出绩效管理工作任务。</w:t>
      </w:r>
    </w:p>
    <w:p w14:paraId="1C5BADE6">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第六条 保密条款</w:t>
      </w:r>
    </w:p>
    <w:p w14:paraId="6EF691C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甲乙双方对在本合同签订、履行过程中知悉的对方资料和信息,除该方作相反的书面说明外，均应视为该方的国家秘密，未经该方书面同意，不得向任何第三方泄露。任何一方因违反国家保密规定及承诺而给另一方造成损失的，应负相应的法律及赔偿责任，无论合同是否变更、解除或终止，合同的保密条款不受其限制而继续有效，双方都应继续承担保密条款约定的保密义务。</w:t>
      </w:r>
      <w:r>
        <w:rPr>
          <w:rFonts w:hint="eastAsia" w:ascii="仿宋" w:hAnsi="仿宋" w:eastAsia="仿宋" w:cs="仿宋"/>
          <w:color w:val="auto"/>
          <w:sz w:val="24"/>
          <w:szCs w:val="24"/>
          <w:highlight w:val="none"/>
          <w:lang w:val="en-US" w:eastAsia="zh-CN"/>
        </w:rPr>
        <w:t>详情见附件一。</w:t>
      </w:r>
    </w:p>
    <w:p w14:paraId="3E39A5EA">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第七条 风险责任</w:t>
      </w:r>
    </w:p>
    <w:p w14:paraId="05A719E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根据甲乙双方协商确定。乙方在项目服务期间应制定项目安全实施管理措施，并严格遵守安全管理要求，乙方在项目服务过程中因管理不当、维护措施不当等因素或不按安全管理要求，造成人员安全或财产损失事故的，其责任均由乙方承担，甲方不承担责任。</w:t>
      </w:r>
    </w:p>
    <w:p w14:paraId="4EFBC3A8">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第八条 合同的变更和终止</w:t>
      </w:r>
    </w:p>
    <w:p w14:paraId="639676C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1、本合同一经签订，甲乙双方不得擅自变更、中止或终止合同。</w:t>
      </w:r>
    </w:p>
    <w:p w14:paraId="7C7FEB5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2、除发生法律规定的不能预见、不能避免并不能克服的客观情况外，甲乙双方不得放弃或拒绝履行合同。乙方放弃或拒绝履行合同,保证金不予退还。</w:t>
      </w:r>
    </w:p>
    <w:p w14:paraId="32BA378C">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第九条 合同的转让</w:t>
      </w:r>
    </w:p>
    <w:p w14:paraId="4374277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bookmarkStart w:id="51" w:name="bookmark19"/>
      <w:r>
        <w:rPr>
          <w:rFonts w:hint="eastAsia" w:ascii="仿宋" w:hAnsi="仿宋" w:eastAsia="仿宋" w:cs="仿宋"/>
          <w:color w:val="auto"/>
          <w:sz w:val="24"/>
          <w:szCs w:val="24"/>
          <w:highlight w:val="none"/>
          <w:lang w:eastAsia="zh-CN"/>
        </w:rPr>
        <w:t>1</w:t>
      </w:r>
      <w:bookmarkEnd w:id="51"/>
      <w:r>
        <w:rPr>
          <w:rFonts w:hint="eastAsia" w:ascii="仿宋" w:hAnsi="仿宋" w:eastAsia="仿宋" w:cs="仿宋"/>
          <w:color w:val="auto"/>
          <w:sz w:val="24"/>
          <w:szCs w:val="24"/>
          <w:highlight w:val="none"/>
          <w:lang w:eastAsia="zh-CN"/>
        </w:rPr>
        <w:t>、乙方不得擅自部分或全部转让其应履行的合同义务。</w:t>
      </w:r>
    </w:p>
    <w:p w14:paraId="5486756A">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bookmarkStart w:id="52" w:name="bookmark20"/>
      <w:r>
        <w:rPr>
          <w:rFonts w:hint="eastAsia" w:ascii="仿宋" w:hAnsi="仿宋" w:eastAsia="仿宋" w:cs="仿宋"/>
          <w:color w:val="auto"/>
          <w:sz w:val="24"/>
          <w:szCs w:val="24"/>
          <w:highlight w:val="none"/>
          <w:lang w:eastAsia="zh-CN"/>
        </w:rPr>
        <w:t>2</w:t>
      </w:r>
      <w:bookmarkEnd w:id="52"/>
      <w:r>
        <w:rPr>
          <w:rFonts w:hint="eastAsia" w:ascii="仿宋" w:hAnsi="仿宋" w:eastAsia="仿宋" w:cs="仿宋"/>
          <w:color w:val="auto"/>
          <w:sz w:val="24"/>
          <w:szCs w:val="24"/>
          <w:highlight w:val="none"/>
          <w:lang w:eastAsia="zh-CN"/>
        </w:rPr>
        <w:t>、乙方在履行合同过程中，不得将服务项目委托给第三方。</w:t>
      </w:r>
    </w:p>
    <w:p w14:paraId="221D5525">
      <w:pPr>
        <w:pStyle w:val="13"/>
        <w:keepNext w:val="0"/>
        <w:keepLines w:val="0"/>
        <w:pageBreakBefore w:val="0"/>
        <w:widowControl w:val="0"/>
        <w:kinsoku/>
        <w:wordWrap/>
        <w:overflowPunct/>
        <w:topLinePunct w:val="0"/>
        <w:bidi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3、乙方擅自部分或者全部转让或者将服务项目委托给第三方实施的，甲方有权单方解除合同，要求乙方退还全部已付费用，并承担合同总金额30%的违约金。</w:t>
      </w:r>
    </w:p>
    <w:p w14:paraId="1A377A7B">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第十条 违约责任</w:t>
      </w:r>
    </w:p>
    <w:p w14:paraId="3529846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1、在合同生效后，甲方无理由要求终止服务的，应向乙方偿付合同总价款的5%，作为违约金，但最多不能超过合同总金额的5%（支付违约金或损失赔偿额的计算方法）。</w:t>
      </w:r>
    </w:p>
    <w:p w14:paraId="039E671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2、甲方无正当理由逾期支付合同价款，经乙方合理催告后逾期支付的，按照合同签订时一年期贷款市场报价利率向乙方支付逾期利息。</w:t>
      </w:r>
    </w:p>
    <w:p w14:paraId="427D4F3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3、乙方逾期提供服务，每逾期一日，承担合同总价款1%的违约金，逾期超过二十日的，甲方有权解除合同，并要求乙方承担合同总价款30%的违约金。</w:t>
      </w:r>
    </w:p>
    <w:p w14:paraId="43C07E96">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4、乙方提供服务不符合合同约定或者验收不合格的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包括因乙方提供咨询服务不达标，甲方此项工作受到行业主管部门负面评价的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，甲方有权责令乙方进行整改，乙方拒不整改或者整改后仍存在上述问题的，甲方有权解除合同，并要求乙方承担合同总价款30%的违约金。</w:t>
      </w:r>
    </w:p>
    <w:p w14:paraId="4A5AFAB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5、乙方违反本合同约定的保密义务，应当承担合同总价款30%的违约金，并赔偿由此给甲方造成的全部损失，包括直接损失与间接损失。</w:t>
      </w:r>
    </w:p>
    <w:p w14:paraId="1A1C99F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6、违约方除承担上述违约责任外，守约方为维护自身合法权益所支出的一切费用，包括但不限于律师费、诉讼费、保全费、担保费、鉴定费等均由违约方承担”。</w:t>
      </w:r>
    </w:p>
    <w:p w14:paraId="1AB9050B">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第十一条 不可抗力</w:t>
      </w:r>
    </w:p>
    <w:p w14:paraId="006C061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甲、乙方中任何一方，因不可抗力不能按时或完全履行合同的,应及时通知对方，并在</w:t>
      </w:r>
      <w:r>
        <w:rPr>
          <w:rFonts w:hint="eastAsia" w:ascii="仿宋" w:hAnsi="仿宋" w:eastAsia="仿宋" w:cs="仿宋"/>
          <w:color w:val="auto"/>
          <w:sz w:val="24"/>
          <w:szCs w:val="24"/>
          <w:highlight w:val="none"/>
          <w:u w:val="single"/>
          <w:lang w:eastAsia="zh-CN"/>
        </w:rPr>
        <w:t>10</w:t>
      </w:r>
      <w:r>
        <w:rPr>
          <w:rFonts w:hint="eastAsia" w:ascii="仿宋" w:hAnsi="仿宋" w:eastAsia="仿宋" w:cs="仿宋"/>
          <w:color w:val="auto"/>
          <w:sz w:val="24"/>
          <w:szCs w:val="24"/>
          <w:highlight w:val="none"/>
          <w:lang w:eastAsia="zh-CN"/>
        </w:rPr>
        <w:t>个工作日内提供相应证明。未履行完合同部分是否继续履行、如何履行等问题，可由双方初步协商，并向主管部门和政府采购管理部门报告。确定为不可抗力原因造成的损失，可以部分或全部免除责任。</w:t>
      </w:r>
    </w:p>
    <w:p w14:paraId="2515AC8F">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因合同一方迟延履行后发生不可抗力的，不能免除责任。</w:t>
      </w:r>
    </w:p>
    <w:p w14:paraId="1FB71233">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第十二条 争议的解决</w:t>
      </w:r>
    </w:p>
    <w:p w14:paraId="606577C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、因履行本合同引起的或与本合同有关的争议，甲、乙双方应首先通过友好协商解决，如果协商不能解决争议，则采取以下第（1）种方式解决争议：</w:t>
      </w:r>
    </w:p>
    <w:p w14:paraId="450B822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（1）向甲方所在地有管辖权的人民法院提起诉讼；</w:t>
      </w:r>
    </w:p>
    <w:p w14:paraId="0097334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bookmarkStart w:id="53" w:name="bookmark28"/>
      <w:bookmarkEnd w:id="53"/>
      <w:r>
        <w:rPr>
          <w:rFonts w:hint="eastAsia" w:ascii="仿宋" w:hAnsi="仿宋" w:eastAsia="仿宋" w:cs="仿宋"/>
          <w:color w:val="auto"/>
          <w:sz w:val="24"/>
          <w:szCs w:val="24"/>
          <w:highlight w:val="none"/>
          <w:lang w:eastAsia="zh-CN"/>
        </w:rPr>
        <w:t>（2）向甲方所在地仲裁委员会按其仲裁规则申请仲裁；</w:t>
      </w:r>
    </w:p>
    <w:p w14:paraId="7337671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、在法院审理和仲裁期间，除有争议部分外，本合同其他部分应继续履行。</w:t>
      </w:r>
    </w:p>
    <w:p w14:paraId="10E3CA1A">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eastAsia="zh-CN"/>
        </w:rPr>
        <w:t xml:space="preserve">第十三条 </w:t>
      </w:r>
      <w:r>
        <w:rPr>
          <w:rFonts w:hint="eastAsia" w:ascii="仿宋" w:hAnsi="仿宋" w:eastAsia="仿宋" w:cs="仿宋"/>
          <w:b/>
          <w:bCs/>
          <w:color w:val="auto"/>
          <w:sz w:val="24"/>
          <w:szCs w:val="24"/>
          <w:highlight w:val="none"/>
          <w:lang w:val="en-US" w:eastAsia="zh-CN"/>
        </w:rPr>
        <w:t>通知送达</w:t>
      </w:r>
    </w:p>
    <w:p w14:paraId="56EA9A3D">
      <w:pPr>
        <w:keepNext w:val="0"/>
        <w:keepLines w:val="0"/>
        <w:pageBreakBefore w:val="0"/>
        <w:widowControl w:val="0"/>
        <w:kinsoku/>
        <w:wordWrap/>
        <w:overflowPunct/>
        <w:topLinePunct w:val="0"/>
        <w:bidi w:val="0"/>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合同载明的双方（包括联系人）地址、电话、邮箱等联系方式，系双方的有效联系方式，如发生变更，应提前3日书面告知对方。否则一方按照本合同约定联系方式或双方工商登记备案的地址、邮箱等任一联系方式给另一方发出相关文书（包括诉讼、仲裁各阶段相关法律文书）的，邮政信函于投寄之日起第三日或退回之日即视为已送达；派人专程递送的，签收日视为送达；以邮箱、彩信、短信及其他方式发出的，发出之日即视为送达。</w:t>
      </w:r>
    </w:p>
    <w:p w14:paraId="3F5D401E">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 xml:space="preserve">第十四条 </w:t>
      </w:r>
      <w:r>
        <w:rPr>
          <w:rFonts w:hint="eastAsia" w:ascii="仿宋" w:hAnsi="仿宋" w:eastAsia="仿宋" w:cs="仿宋"/>
          <w:b/>
          <w:bCs/>
          <w:color w:val="auto"/>
          <w:sz w:val="24"/>
          <w:szCs w:val="24"/>
          <w:highlight w:val="none"/>
          <w:lang w:eastAsia="zh-CN"/>
        </w:rPr>
        <w:t>合同生效及其他</w:t>
      </w:r>
    </w:p>
    <w:p w14:paraId="4325A25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bookmarkStart w:id="54" w:name="bookmark30"/>
      <w:r>
        <w:rPr>
          <w:rFonts w:hint="eastAsia" w:ascii="仿宋" w:hAnsi="仿宋" w:eastAsia="仿宋" w:cs="仿宋"/>
          <w:color w:val="auto"/>
          <w:sz w:val="24"/>
          <w:szCs w:val="24"/>
          <w:highlight w:val="none"/>
          <w:lang w:eastAsia="zh-CN"/>
        </w:rPr>
        <w:t>1</w:t>
      </w:r>
      <w:bookmarkEnd w:id="54"/>
      <w:r>
        <w:rPr>
          <w:rFonts w:hint="eastAsia" w:ascii="仿宋" w:hAnsi="仿宋" w:eastAsia="仿宋" w:cs="仿宋"/>
          <w:color w:val="auto"/>
          <w:sz w:val="24"/>
          <w:szCs w:val="24"/>
          <w:highlight w:val="none"/>
          <w:lang w:eastAsia="zh-CN"/>
        </w:rPr>
        <w:t>、本合同自经甲乙双方授权代表签订并加盖公章后，自签订之日起生效。</w:t>
      </w:r>
    </w:p>
    <w:p w14:paraId="42DBD546">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bookmarkStart w:id="55" w:name="bookmark31"/>
      <w:r>
        <w:rPr>
          <w:rFonts w:hint="eastAsia" w:ascii="仿宋" w:hAnsi="仿宋" w:eastAsia="仿宋" w:cs="仿宋"/>
          <w:color w:val="auto"/>
          <w:sz w:val="24"/>
          <w:szCs w:val="24"/>
          <w:highlight w:val="none"/>
          <w:lang w:eastAsia="zh-CN"/>
        </w:rPr>
        <w:t>2</w:t>
      </w:r>
      <w:bookmarkEnd w:id="55"/>
      <w:r>
        <w:rPr>
          <w:rFonts w:hint="eastAsia" w:ascii="仿宋" w:hAnsi="仿宋" w:eastAsia="仿宋" w:cs="仿宋"/>
          <w:color w:val="auto"/>
          <w:sz w:val="24"/>
          <w:szCs w:val="24"/>
          <w:highlight w:val="none"/>
          <w:lang w:eastAsia="zh-CN"/>
        </w:rPr>
        <w:t>、因保密工作要求，本合同不允许作为业绩合同用于其他任何用途。</w:t>
      </w:r>
    </w:p>
    <w:p w14:paraId="7E84FFA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bookmarkStart w:id="56" w:name="bookmark32"/>
      <w:r>
        <w:rPr>
          <w:rFonts w:hint="eastAsia" w:ascii="仿宋" w:hAnsi="仿宋" w:eastAsia="仿宋" w:cs="仿宋"/>
          <w:color w:val="auto"/>
          <w:sz w:val="24"/>
          <w:szCs w:val="24"/>
          <w:highlight w:val="none"/>
          <w:lang w:eastAsia="zh-CN"/>
        </w:rPr>
        <w:t>3</w:t>
      </w:r>
      <w:bookmarkEnd w:id="56"/>
      <w:r>
        <w:rPr>
          <w:rFonts w:hint="eastAsia" w:ascii="仿宋" w:hAnsi="仿宋" w:eastAsia="仿宋" w:cs="仿宋"/>
          <w:color w:val="auto"/>
          <w:sz w:val="24"/>
          <w:szCs w:val="24"/>
          <w:highlight w:val="none"/>
          <w:lang w:eastAsia="zh-CN"/>
        </w:rPr>
        <w:t>、本合同</w:t>
      </w:r>
      <w:r>
        <w:rPr>
          <w:rFonts w:hint="eastAsia" w:ascii="仿宋" w:hAnsi="仿宋" w:eastAsia="仿宋" w:cs="仿宋"/>
          <w:color w:val="auto"/>
          <w:sz w:val="24"/>
          <w:szCs w:val="24"/>
          <w:highlight w:val="none"/>
          <w:lang w:val="en-US" w:eastAsia="zh-CN"/>
        </w:rPr>
        <w:t>壹</w:t>
      </w:r>
      <w:r>
        <w:rPr>
          <w:rFonts w:hint="eastAsia" w:ascii="仿宋" w:hAnsi="仿宋" w:eastAsia="仿宋" w:cs="仿宋"/>
          <w:color w:val="auto"/>
          <w:sz w:val="24"/>
          <w:szCs w:val="24"/>
          <w:highlight w:val="none"/>
          <w:lang w:eastAsia="zh-CN"/>
        </w:rPr>
        <w:t>式</w:t>
      </w:r>
      <w:r>
        <w:rPr>
          <w:rFonts w:hint="eastAsia" w:ascii="仿宋" w:hAnsi="仿宋" w:eastAsia="仿宋" w:cs="仿宋"/>
          <w:color w:val="auto"/>
          <w:sz w:val="24"/>
          <w:szCs w:val="24"/>
          <w:highlight w:val="none"/>
          <w:lang w:val="en-US" w:eastAsia="zh-CN"/>
        </w:rPr>
        <w:t>肆</w:t>
      </w:r>
      <w:r>
        <w:rPr>
          <w:rFonts w:hint="eastAsia" w:ascii="仿宋" w:hAnsi="仿宋" w:eastAsia="仿宋" w:cs="仿宋"/>
          <w:color w:val="auto"/>
          <w:sz w:val="24"/>
          <w:szCs w:val="24"/>
          <w:highlight w:val="none"/>
          <w:lang w:eastAsia="zh-CN"/>
        </w:rPr>
        <w:t>份，甲乙双方各执</w:t>
      </w:r>
      <w:r>
        <w:rPr>
          <w:rFonts w:hint="eastAsia" w:ascii="仿宋" w:hAnsi="仿宋" w:eastAsia="仿宋" w:cs="仿宋"/>
          <w:color w:val="auto"/>
          <w:sz w:val="24"/>
          <w:szCs w:val="24"/>
          <w:highlight w:val="none"/>
          <w:lang w:val="en-US" w:eastAsia="zh-CN"/>
        </w:rPr>
        <w:t>贰</w:t>
      </w:r>
      <w:r>
        <w:rPr>
          <w:rFonts w:hint="eastAsia" w:ascii="仿宋" w:hAnsi="仿宋" w:eastAsia="仿宋" w:cs="仿宋"/>
          <w:color w:val="auto"/>
          <w:sz w:val="24"/>
          <w:szCs w:val="24"/>
          <w:highlight w:val="none"/>
          <w:lang w:eastAsia="zh-CN"/>
        </w:rPr>
        <w:t>份，</w:t>
      </w:r>
      <w:r>
        <w:rPr>
          <w:rFonts w:hint="eastAsia" w:ascii="仿宋" w:hAnsi="仿宋" w:eastAsia="仿宋" w:cs="仿宋"/>
          <w:color w:val="auto"/>
          <w:sz w:val="24"/>
          <w:szCs w:val="24"/>
          <w:highlight w:val="none"/>
          <w:lang w:val="en-US" w:eastAsia="zh-CN"/>
        </w:rPr>
        <w:t>具有同等法律效力</w:t>
      </w:r>
      <w:r>
        <w:rPr>
          <w:rFonts w:hint="eastAsia" w:ascii="仿宋" w:hAnsi="仿宋" w:eastAsia="仿宋" w:cs="仿宋"/>
          <w:color w:val="auto"/>
          <w:sz w:val="24"/>
          <w:szCs w:val="24"/>
          <w:highlight w:val="none"/>
          <w:lang w:eastAsia="zh-CN"/>
        </w:rPr>
        <w:t>。</w:t>
      </w:r>
    </w:p>
    <w:p w14:paraId="4A37F8C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以下无正文，本合同正文共</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页</w:t>
      </w:r>
    </w:p>
    <w:p w14:paraId="00956C7C">
      <w:pPr>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br w:type="page"/>
      </w:r>
    </w:p>
    <w:p w14:paraId="0723D837">
      <w:pPr>
        <w:keepNext w:val="0"/>
        <w:keepLines w:val="0"/>
        <w:pageBreakBefore w:val="0"/>
        <w:widowControl w:val="0"/>
        <w:kinsoku/>
        <w:wordWrap/>
        <w:overflowPunct/>
        <w:topLinePunct w:val="0"/>
        <w:bidi w:val="0"/>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合同签署页</w:t>
      </w:r>
    </w:p>
    <w:p w14:paraId="21DB0FBE">
      <w:pPr>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lang w:eastAsia="zh-CN"/>
        </w:rPr>
      </w:pPr>
    </w:p>
    <w:tbl>
      <w:tblPr>
        <w:tblStyle w:val="44"/>
        <w:tblW w:w="9166" w:type="dxa"/>
        <w:tblInd w:w="-31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303"/>
        <w:gridCol w:w="4863"/>
      </w:tblGrid>
      <w:tr w14:paraId="2A934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01BD710C">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甲方（采购人）：（盖章）</w:t>
            </w:r>
          </w:p>
        </w:tc>
        <w:tc>
          <w:tcPr>
            <w:tcW w:w="4863" w:type="dxa"/>
            <w:vAlign w:val="top"/>
          </w:tcPr>
          <w:p w14:paraId="12603E4B">
            <w:pPr>
              <w:keepNext w:val="0"/>
              <w:keepLines w:val="0"/>
              <w:pageBreakBefore w:val="0"/>
              <w:widowControl w:val="0"/>
              <w:kinsoku/>
              <w:wordWrap/>
              <w:overflowPunct/>
              <w:topLinePunct w:val="0"/>
              <w:bidi w:val="0"/>
              <w:adjustRightInd w:val="0"/>
              <w:snapToGrid w:val="0"/>
              <w:spacing w:line="360" w:lineRule="auto"/>
              <w:ind w:left="1960" w:hanging="1680" w:hangingChars="7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乙方（供应商）：（盖章）</w:t>
            </w:r>
          </w:p>
        </w:tc>
      </w:tr>
      <w:tr w14:paraId="2F327C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286BC40B">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代表人：</w:t>
            </w:r>
          </w:p>
        </w:tc>
        <w:tc>
          <w:tcPr>
            <w:tcW w:w="4863" w:type="dxa"/>
            <w:vAlign w:val="top"/>
          </w:tcPr>
          <w:p w14:paraId="3EED6DEC">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代表人： </w:t>
            </w:r>
          </w:p>
        </w:tc>
      </w:tr>
      <w:tr w14:paraId="2ABD10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7678306D">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p>
        </w:tc>
        <w:tc>
          <w:tcPr>
            <w:tcW w:w="4863" w:type="dxa"/>
            <w:vAlign w:val="top"/>
          </w:tcPr>
          <w:p w14:paraId="67391CB3">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电    话：</w:t>
            </w:r>
          </w:p>
        </w:tc>
      </w:tr>
      <w:tr w14:paraId="1806CB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7F97C65E">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4863" w:type="dxa"/>
            <w:vAlign w:val="top"/>
          </w:tcPr>
          <w:p w14:paraId="19899357">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开户银行：</w:t>
            </w:r>
          </w:p>
        </w:tc>
      </w:tr>
      <w:tr w14:paraId="0DC85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2CF949FD">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行    号：</w:t>
            </w:r>
          </w:p>
          <w:p w14:paraId="1EFB33DE">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p>
          <w:p w14:paraId="7667F890">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    号：</w:t>
            </w:r>
          </w:p>
        </w:tc>
        <w:tc>
          <w:tcPr>
            <w:tcW w:w="4863" w:type="dxa"/>
            <w:vAlign w:val="top"/>
          </w:tcPr>
          <w:p w14:paraId="03F8239E">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行    号：</w:t>
            </w:r>
          </w:p>
          <w:p w14:paraId="15A9551B">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p>
          <w:p w14:paraId="03A949BE">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    号：</w:t>
            </w:r>
          </w:p>
        </w:tc>
      </w:tr>
      <w:tr w14:paraId="2AF03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508518FC">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tc>
        <w:tc>
          <w:tcPr>
            <w:tcW w:w="4863" w:type="dxa"/>
            <w:vAlign w:val="top"/>
          </w:tcPr>
          <w:p w14:paraId="50FC2005">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tc>
      </w:tr>
    </w:tbl>
    <w:p w14:paraId="1776F1F7">
      <w:pPr>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rPr>
      </w:pPr>
    </w:p>
    <w:p w14:paraId="091D8F0E">
      <w:pPr>
        <w:pStyle w:val="178"/>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rPr>
      </w:pPr>
    </w:p>
    <w:p w14:paraId="2CFB40B2">
      <w:pPr>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63BE9C91">
      <w:pPr>
        <w:pStyle w:val="178"/>
        <w:keepNext w:val="0"/>
        <w:keepLines w:val="0"/>
        <w:pageBreakBefore w:val="0"/>
        <w:widowControl w:val="0"/>
        <w:kinsoku/>
        <w:wordWrap/>
        <w:overflowPunct/>
        <w:topLinePunct w:val="0"/>
        <w:bidi w:val="0"/>
        <w:spacing w:line="360" w:lineRule="auto"/>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附件一：</w:t>
      </w:r>
    </w:p>
    <w:p w14:paraId="22177FD8">
      <w:pPr>
        <w:pStyle w:val="178"/>
        <w:keepNext w:val="0"/>
        <w:keepLines w:val="0"/>
        <w:pageBreakBefore w:val="0"/>
        <w:widowControl w:val="0"/>
        <w:kinsoku/>
        <w:wordWrap/>
        <w:overflowPunct/>
        <w:topLinePunct w:val="0"/>
        <w:bidi w:val="0"/>
        <w:spacing w:line="360" w:lineRule="auto"/>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保密协议</w:t>
      </w:r>
    </w:p>
    <w:p w14:paraId="6150D6D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甲乙双方经友好协商，就甲方委托乙方开展的【自治区应急管理厅绩效监控评估项目】项目(以下简称“项目”)保密事宜，达成以下协议:</w:t>
      </w:r>
    </w:p>
    <w:p w14:paraId="7CAE61B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保密信息的范围</w:t>
      </w:r>
    </w:p>
    <w:p w14:paraId="128F5BF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1.保密信息指甲方在本协议生效前、生效后以及与乙方洽谈过程中，向乙方披露的任何信息或者乙方从其他渠道获取的，以及虽属于第三方但甲方承担保密义务的信息，包括但不限于:</w:t>
      </w:r>
    </w:p>
    <w:p w14:paraId="7A7C976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(1)甲方提供的项目相关的资料、文件等信息;</w:t>
      </w:r>
    </w:p>
    <w:p w14:paraId="63624B0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(2)为完成委托事项，乙方通过调研等方式获取的项目相关数据、资料、信息等;</w:t>
      </w:r>
    </w:p>
    <w:p w14:paraId="0AFDBC9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(3)乙方为完成项目相关工作形成的任何研究成果、结论性意见、项目报告等成果性文件:</w:t>
      </w:r>
    </w:p>
    <w:p w14:paraId="02C5F936">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(4)甲乙双方为完成项目签订或形成的任何合同、协议、会议纪要、备忘录,</w:t>
      </w:r>
    </w:p>
    <w:p w14:paraId="7966D71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2.保密信息无论以何种形式存在(包括但不限于书面材料、视听资料、电子数据)，也无论是以口头、文件、演示或其他形式提供，也无论是否记载或标注为保密信息，均不影响其在本协议项下的保密性质。</w:t>
      </w:r>
    </w:p>
    <w:p w14:paraId="241E410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3.披露此类保密信息的方式包括但不限于:口头、书面、电子文件或任何其他方式</w:t>
      </w:r>
    </w:p>
    <w:p w14:paraId="56CD8C6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4.本协议所称保密信息不包括:</w:t>
      </w:r>
    </w:p>
    <w:p w14:paraId="6B3EF18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(1)在不违反本协议的情形下，已为公众所知的信息;</w:t>
      </w:r>
    </w:p>
    <w:p w14:paraId="318DDAD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(2)在甲方向乙方披露该保密信息时，乙方已经知悉该保密信息且对此无保密义务(但甲方表示乙方必须就该等保密信息予以保密的除外);</w:t>
      </w:r>
    </w:p>
    <w:p w14:paraId="14CF289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(3)乙方合法地从第三方处得知的信息，并且该第三方向乙方做出的披露并不违反任何其应当承担的保密义务;</w:t>
      </w:r>
    </w:p>
    <w:p w14:paraId="2790637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(4)甲方明确表示该信息已不属于其保密范围之内,</w:t>
      </w:r>
    </w:p>
    <w:p w14:paraId="107EA1A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二、乙方保密义务</w:t>
      </w:r>
    </w:p>
    <w:p w14:paraId="21AD7D3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1.乙方应妥善保存甲方提供的保密信息，并采取一切必要措施以确保保密信息不被第三方直接或间接接触、获悉;未经甲方书面许可，乙方不得向第三方透露或允许第三方使用保密信息。</w:t>
      </w:r>
    </w:p>
    <w:p w14:paraId="2FE2029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2.除以下情况外，不得将保密信息用于委托事项以外的其他目的，也不得将保密信息再披露给本协议以外的第三方:</w:t>
      </w:r>
    </w:p>
    <w:p w14:paraId="4E98E71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(1)根据我国法律、法规的规定，或司法、行政部门的合法要求对其披露，但应在收到相关披露要求后4小时内通知甲方;</w:t>
      </w:r>
    </w:p>
    <w:p w14:paraId="340A23E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(2)向与委托事项有关的、确需接触保密信息和负责处理保密信息的乙方工作人员提供保密信息;</w:t>
      </w:r>
    </w:p>
    <w:p w14:paraId="305F23F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(3)经甲方书面同意而对外披露</w:t>
      </w:r>
    </w:p>
    <w:p w14:paraId="1E08E2F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乙方对甲方提供的保密信息负管理责任，对因工作必须接触、使用保密信息的工作人员，应当告知保密信息的保密性和应承担的义务，并保证上述人员以书面形式同意接受本协议的约束，确保上述人员承担保密责任的程度不低于本协议规定的程度。乙方工作人员违反本协议所规定的保密义务，视同于乙方违反本协议，并应由乙方承担本协议所约定的违约责任。</w:t>
      </w:r>
    </w:p>
    <w:p w14:paraId="7C84490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4.除为进行委托事项所必需以外，不得复制或部分复制甲方提供的保密信息，或以其他方式制作副本、备份等。</w:t>
      </w:r>
    </w:p>
    <w:p w14:paraId="1275609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5.如甲方提出要求或合同解除、终止，乙方应在接到甲方的指示后3日内将记录保密信息的所有载体归还给甲方，或者按照甲方的指示予以销毁，</w:t>
      </w:r>
    </w:p>
    <w:p w14:paraId="3E585C5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因任何原因发生保密信息泄露事件，乙方应立即向甲方告知保密信息泄露的情况，调查泄密原因并采取积极、有效的措施防止保密信息的进一步泄露:调查完成后应向甲方提交泄密调查报告，并承担相应违约责任。</w:t>
      </w:r>
    </w:p>
    <w:p w14:paraId="572DFE9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三、保密期限</w:t>
      </w:r>
    </w:p>
    <w:p w14:paraId="714FD0A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乙方承担保密义务的期限自双方签字盖章生效之日起，至甲方书面通知乙方解除保密义务或保密信息成为公开信息之日止。</w:t>
      </w:r>
    </w:p>
    <w:p w14:paraId="73AD4F0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四、违约责任</w:t>
      </w:r>
    </w:p>
    <w:p w14:paraId="252E97B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乙,方或其工作人员违反本协议约定保密义务，甲方有权解除合同，乙方应向甲方支付人民币合同价款10%元作为违约金，违约金不足以弥补甲方损失的还应赔偿损失。甲方损失包括但不限于因泄密给甲方造成的损失和甲方因采取措施防止保密信息的进一步泄露以及调查泄密事件所支出的费用，如调查费、律师费、公证费等。</w:t>
      </w:r>
    </w:p>
    <w:p w14:paraId="0BC974F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2.上述条款所规定的责任并不免除乙方应当承担的其他责任，甲方有权采取其他法律允许的救济措施。</w:t>
      </w:r>
    </w:p>
    <w:p w14:paraId="2BBA447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五、争议解决</w:t>
      </w:r>
    </w:p>
    <w:p w14:paraId="781B9BF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对协议中未约定的事项及对本协议的约定产生疑问、争议时，由甲乙双方友好协商解决。协商不成时，应向甲方住所地有管辖权的人民法院提起诉讼。</w:t>
      </w:r>
    </w:p>
    <w:p w14:paraId="0CD9953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六、其他</w:t>
      </w:r>
    </w:p>
    <w:p w14:paraId="3F8025D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1.本协议作为合同附件，是合同的有效组成部分，与合同具有同等法律效力</w:t>
      </w:r>
    </w:p>
    <w:p w14:paraId="446813B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2.本协议自双方签字盖章之日起生效，壹式贰份，甲乙双方各执壹份，具有同等法律效力。</w:t>
      </w:r>
    </w:p>
    <w:p w14:paraId="47B85D2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以下无正文。</w:t>
      </w:r>
    </w:p>
    <w:p w14:paraId="0708604A">
      <w:pPr>
        <w:keepNext w:val="0"/>
        <w:keepLines w:val="0"/>
        <w:pageBreakBefore w:val="0"/>
        <w:widowControl w:val="0"/>
        <w:kinsoku/>
        <w:wordWrap/>
        <w:overflowPunct/>
        <w:topLinePunct w:val="0"/>
        <w:bidi w:val="0"/>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p>
    <w:p w14:paraId="26F358F9">
      <w:pPr>
        <w:keepNext w:val="0"/>
        <w:keepLines w:val="0"/>
        <w:pageBreakBefore w:val="0"/>
        <w:widowControl w:val="0"/>
        <w:kinsoku/>
        <w:wordWrap/>
        <w:overflowPunct/>
        <w:topLinePunct w:val="0"/>
        <w:bidi w:val="0"/>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p>
    <w:p w14:paraId="3D839858">
      <w:pPr>
        <w:keepNext w:val="0"/>
        <w:keepLines w:val="0"/>
        <w:pageBreakBefore w:val="0"/>
        <w:widowControl w:val="0"/>
        <w:kinsoku/>
        <w:wordWrap/>
        <w:overflowPunct/>
        <w:topLinePunct w:val="0"/>
        <w:bidi w:val="0"/>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p>
    <w:p w14:paraId="2C2DA539">
      <w:pPr>
        <w:keepNext w:val="0"/>
        <w:keepLines w:val="0"/>
        <w:pageBreakBefore w:val="0"/>
        <w:widowControl w:val="0"/>
        <w:kinsoku/>
        <w:wordWrap/>
        <w:overflowPunct/>
        <w:topLinePunct w:val="0"/>
        <w:bidi w:val="0"/>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p>
    <w:p w14:paraId="2DA4008B">
      <w:pPr>
        <w:keepNext w:val="0"/>
        <w:keepLines w:val="0"/>
        <w:pageBreakBefore w:val="0"/>
        <w:widowControl w:val="0"/>
        <w:kinsoku/>
        <w:wordWrap/>
        <w:overflowPunct/>
        <w:topLinePunct w:val="0"/>
        <w:bidi w:val="0"/>
        <w:snapToGrid w:val="0"/>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合同签署页</w:t>
      </w:r>
    </w:p>
    <w:p w14:paraId="53E544F2">
      <w:pPr>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lang w:eastAsia="zh-CN"/>
        </w:rPr>
      </w:pPr>
    </w:p>
    <w:tbl>
      <w:tblPr>
        <w:tblStyle w:val="44"/>
        <w:tblW w:w="9166" w:type="dxa"/>
        <w:tblInd w:w="-31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303"/>
        <w:gridCol w:w="4863"/>
      </w:tblGrid>
      <w:tr w14:paraId="3F4D44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71A1AA82">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甲方（采购人）：（盖章）</w:t>
            </w:r>
          </w:p>
        </w:tc>
        <w:tc>
          <w:tcPr>
            <w:tcW w:w="4863" w:type="dxa"/>
            <w:vAlign w:val="top"/>
          </w:tcPr>
          <w:p w14:paraId="606C8382">
            <w:pPr>
              <w:keepNext w:val="0"/>
              <w:keepLines w:val="0"/>
              <w:pageBreakBefore w:val="0"/>
              <w:widowControl w:val="0"/>
              <w:kinsoku/>
              <w:wordWrap/>
              <w:overflowPunct/>
              <w:topLinePunct w:val="0"/>
              <w:bidi w:val="0"/>
              <w:adjustRightInd w:val="0"/>
              <w:snapToGrid w:val="0"/>
              <w:spacing w:line="360" w:lineRule="auto"/>
              <w:ind w:left="1960" w:hanging="1680" w:hangingChars="7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乙方（供应商）：（盖章）</w:t>
            </w:r>
          </w:p>
        </w:tc>
      </w:tr>
      <w:tr w14:paraId="6A127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6A269CA6">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代表人：</w:t>
            </w:r>
          </w:p>
        </w:tc>
        <w:tc>
          <w:tcPr>
            <w:tcW w:w="4863" w:type="dxa"/>
            <w:vAlign w:val="top"/>
          </w:tcPr>
          <w:p w14:paraId="7AAF9F27">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代表人： </w:t>
            </w:r>
          </w:p>
        </w:tc>
      </w:tr>
      <w:tr w14:paraId="15030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397801E9">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p>
        </w:tc>
        <w:tc>
          <w:tcPr>
            <w:tcW w:w="4863" w:type="dxa"/>
            <w:vAlign w:val="top"/>
          </w:tcPr>
          <w:p w14:paraId="2716E25B">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电    话：</w:t>
            </w:r>
          </w:p>
        </w:tc>
      </w:tr>
      <w:tr w14:paraId="02592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6BCAD105">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4863" w:type="dxa"/>
            <w:vAlign w:val="top"/>
          </w:tcPr>
          <w:p w14:paraId="6E9A5A7B">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开户银行：</w:t>
            </w:r>
          </w:p>
        </w:tc>
      </w:tr>
      <w:tr w14:paraId="1B027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48CD165A">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行    号：</w:t>
            </w:r>
          </w:p>
          <w:p w14:paraId="7FDA254B">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p>
          <w:p w14:paraId="33A36F17">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    号：</w:t>
            </w:r>
          </w:p>
        </w:tc>
        <w:tc>
          <w:tcPr>
            <w:tcW w:w="4863" w:type="dxa"/>
            <w:vAlign w:val="top"/>
          </w:tcPr>
          <w:p w14:paraId="520A8CA2">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行    号：</w:t>
            </w:r>
          </w:p>
          <w:p w14:paraId="7932FCFF">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p>
          <w:p w14:paraId="20DAA0D7">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    号：</w:t>
            </w:r>
          </w:p>
        </w:tc>
      </w:tr>
      <w:tr w14:paraId="3B755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303" w:type="dxa"/>
            <w:vAlign w:val="top"/>
          </w:tcPr>
          <w:p w14:paraId="6C1FDA81">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tc>
        <w:tc>
          <w:tcPr>
            <w:tcW w:w="4863" w:type="dxa"/>
            <w:vAlign w:val="top"/>
          </w:tcPr>
          <w:p w14:paraId="1707B329">
            <w:pPr>
              <w:keepNext w:val="0"/>
              <w:keepLines w:val="0"/>
              <w:pageBreakBefore w:val="0"/>
              <w:widowControl w:val="0"/>
              <w:kinsoku/>
              <w:wordWrap/>
              <w:overflowPunct/>
              <w:topLinePunct w:val="0"/>
              <w:bidi w:val="0"/>
              <w:adjustRightInd w:val="0"/>
              <w:snapToGrid w:val="0"/>
              <w:spacing w:line="36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tc>
      </w:tr>
    </w:tbl>
    <w:p w14:paraId="2DF414B7">
      <w:pPr>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rPr>
      </w:pPr>
    </w:p>
    <w:p w14:paraId="69C6A345">
      <w:pPr>
        <w:pStyle w:val="178"/>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rPr>
      </w:pPr>
    </w:p>
    <w:p w14:paraId="5E537B7A">
      <w:pPr>
        <w:pStyle w:val="13"/>
        <w:keepNext w:val="0"/>
        <w:keepLines w:val="0"/>
        <w:pageBreakBefore w:val="0"/>
        <w:widowControl w:val="0"/>
        <w:kinsoku/>
        <w:wordWrap/>
        <w:overflowPunct/>
        <w:topLinePunct w:val="0"/>
        <w:bidi w:val="0"/>
        <w:spacing w:line="360" w:lineRule="auto"/>
        <w:textAlignment w:val="auto"/>
        <w:outlineLvl w:val="9"/>
        <w:rPr>
          <w:rFonts w:hint="eastAsia" w:ascii="仿宋" w:hAnsi="仿宋" w:eastAsia="仿宋" w:cs="仿宋"/>
          <w:color w:val="auto"/>
          <w:sz w:val="24"/>
          <w:szCs w:val="24"/>
          <w:highlight w:val="none"/>
          <w:lang w:val="en-US" w:eastAsia="zh-CN"/>
        </w:rPr>
      </w:pPr>
    </w:p>
    <w:p w14:paraId="548CCDBB">
      <w:pPr>
        <w:outlineLvl w:val="9"/>
        <w:rPr>
          <w:rFonts w:hint="eastAsia" w:ascii="仿宋" w:hAnsi="仿宋" w:eastAsia="仿宋" w:cs="仿宋"/>
          <w:b/>
          <w:color w:val="auto"/>
          <w:sz w:val="24"/>
          <w:szCs w:val="24"/>
          <w:highlight w:val="none"/>
          <w:shd w:val="clear" w:color="auto" w:fill="FFFFFF" w:themeFill="background1"/>
        </w:rPr>
      </w:pPr>
    </w:p>
    <w:p w14:paraId="15631F37">
      <w:pPr>
        <w:rPr>
          <w:rFonts w:hint="eastAsia" w:ascii="仿宋" w:hAnsi="仿宋" w:eastAsia="仿宋" w:cs="仿宋"/>
          <w:b/>
          <w:color w:val="auto"/>
          <w:sz w:val="24"/>
          <w:szCs w:val="24"/>
          <w:highlight w:val="none"/>
          <w:shd w:val="clear" w:color="auto" w:fill="FFFFFF" w:themeFill="background1"/>
        </w:rPr>
      </w:pPr>
      <w:bookmarkStart w:id="57" w:name="_Toc29369"/>
      <w:r>
        <w:rPr>
          <w:rFonts w:hint="eastAsia" w:ascii="仿宋" w:hAnsi="仿宋" w:eastAsia="仿宋" w:cs="仿宋"/>
          <w:b/>
          <w:color w:val="auto"/>
          <w:sz w:val="24"/>
          <w:szCs w:val="24"/>
          <w:highlight w:val="none"/>
          <w:shd w:val="clear" w:color="auto" w:fill="FFFFFF" w:themeFill="background1"/>
        </w:rPr>
        <w:br w:type="page"/>
      </w:r>
    </w:p>
    <w:p w14:paraId="1D61D0E2">
      <w:pPr>
        <w:keepLines w:val="0"/>
        <w:pageBreakBefore w:val="0"/>
        <w:kinsoku/>
        <w:overflowPunct/>
        <w:topLinePunct w:val="0"/>
        <w:bidi w:val="0"/>
        <w:spacing w:beforeAutospacing="0" w:afterAutospacing="0" w:line="360" w:lineRule="auto"/>
        <w:jc w:val="center"/>
        <w:textAlignment w:val="auto"/>
        <w:outlineLvl w:val="0"/>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rPr>
        <w:t>第四章 服务标准和要求</w:t>
      </w:r>
      <w:bookmarkEnd w:id="57"/>
    </w:p>
    <w:p w14:paraId="110075D7">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bookmarkStart w:id="58" w:name="_Toc21297"/>
      <w:r>
        <w:rPr>
          <w:rFonts w:hint="eastAsia" w:ascii="仿宋" w:hAnsi="仿宋" w:eastAsia="仿宋" w:cs="仿宋"/>
          <w:color w:val="auto"/>
          <w:kern w:val="0"/>
          <w:sz w:val="24"/>
          <w:szCs w:val="24"/>
          <w:highlight w:val="none"/>
          <w:shd w:val="clear" w:color="auto" w:fill="FFFFFF" w:themeFill="background1"/>
          <w:lang w:val="en-US" w:eastAsia="zh-CN"/>
        </w:rPr>
        <w:t>一、服务内容</w:t>
      </w:r>
    </w:p>
    <w:p w14:paraId="23307CD4">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sz w:val="24"/>
          <w:szCs w:val="32"/>
          <w:highlight w:val="none"/>
          <w:lang w:val="en-US" w:eastAsia="zh-CN"/>
        </w:rPr>
        <w:t>按时完成2025年度部门整体绩效评价、预算内所有项目绩效目标设定、绩效监控、绩效自评全过程绩效管理以及2026年预算申报绩效目标设置等咨询服务，</w:t>
      </w:r>
      <w:r>
        <w:rPr>
          <w:rFonts w:hint="eastAsia" w:ascii="仿宋" w:hAnsi="仿宋" w:eastAsia="仿宋" w:cs="仿宋"/>
          <w:color w:val="auto"/>
          <w:kern w:val="0"/>
          <w:sz w:val="24"/>
          <w:szCs w:val="24"/>
          <w:highlight w:val="none"/>
          <w:shd w:val="clear" w:color="auto" w:fill="FFFFFF" w:themeFill="background1"/>
          <w:lang w:val="en-US" w:eastAsia="zh-CN"/>
        </w:rPr>
        <w:t>并根据绩效审核情况提出相关意见建议，提供技术咨询、培训等各项绩效管理服务，以及预算管理等其他辅助性服务。</w:t>
      </w:r>
    </w:p>
    <w:p w14:paraId="728606DA">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二、具体工作要求</w:t>
      </w:r>
    </w:p>
    <w:p w14:paraId="7DC820BB">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1、部门整体绩效管理</w:t>
      </w:r>
    </w:p>
    <w:p w14:paraId="6FF3A601">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（1）指导编制部门整体绩效目标表，并审核出具汇总部门整体绩效目标审核报告。</w:t>
      </w:r>
    </w:p>
    <w:p w14:paraId="6749B2BD">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（2）按照文件要求，开展绩效运行监控节点的绩效监控，并对绩效监控应征材料及监控结果进行审核，出具绩效监控汇总审核报告。</w:t>
      </w:r>
    </w:p>
    <w:p w14:paraId="39A0C3F1">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（3）绩效自评审核工作，包括指导编制绩效自评表、对自评报告进行审核，出具绩效自评汇总审核报告。</w:t>
      </w:r>
    </w:p>
    <w:p w14:paraId="7C0EE17E">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2、项目绩效管理服务</w:t>
      </w:r>
    </w:p>
    <w:p w14:paraId="5D25E954">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（1）根据项目要求，协助完成事前项目评估报告编制。</w:t>
      </w:r>
    </w:p>
    <w:p w14:paraId="7776A34F">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（2）指导编制项目绩效目标表，并审核出具绩效目标汇总审核报告。</w:t>
      </w:r>
    </w:p>
    <w:p w14:paraId="0BFB9767">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（3）审核绩效运行监控的各时间节点的绩效监控结果，出具绩效监控汇总审核报告。监控的节点根据具体的项目类型及自治区下达最新的文件时间节点为准。</w:t>
      </w:r>
    </w:p>
    <w:p w14:paraId="0F1F2C18">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1)常规审核。审核部门单位报送的监控结果，并出具监控审核报告。</w:t>
      </w:r>
    </w:p>
    <w:p w14:paraId="40D7A64E">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2)重点跟踪。以重大政策、项目为重点监控审核对象，除开展常规审核外，根据具体情况采用数据信息分析、资料调阅、电话间询等方式进行复核跟踪，必要时采取实地调查的方式进行核查。（重点监控对象范围与采购人沟通确定）</w:t>
      </w:r>
    </w:p>
    <w:p w14:paraId="0D47D324">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（4）审核绩效自评报告，包括对已编制的绩效自评表、自评报告进行审核，出具绩效自评汇总审核报告。</w:t>
      </w:r>
    </w:p>
    <w:p w14:paraId="30FA76BF">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（5)重点项目绩效评价工作，对选定重点项目进行绩效评价，出具项目绩效评价报告。</w:t>
      </w:r>
    </w:p>
    <w:p w14:paraId="13AC742C">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3、完成中央、自治区转移支付项目绩效评价管理等工作。</w:t>
      </w:r>
    </w:p>
    <w:p w14:paraId="7C6514E8">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4、绩效管理培训</w:t>
      </w:r>
    </w:p>
    <w:p w14:paraId="663D7832">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根据采购人需要，对部门单位相关工作人员进行绩效管理培训，培训5次/年，每次2-4个课时，分别是事前评估阶段（1次）、绩效目标阶段（1）、绩效监控阶段（2次）、绩效自评阶段（1次）。</w:t>
      </w:r>
    </w:p>
    <w:p w14:paraId="0B63E92D">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5、绩效档案管理</w:t>
      </w:r>
    </w:p>
    <w:p w14:paraId="00B66A7F">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对上述（1）部门整体绩效管理及（2）项目绩效管理服务的预算绩效管理工作的结果进行整理并立卷归档。每项工作完成后需甲方书面验收确认，全部工作完成后，档案书面移交采购人。服务期间完整、准确、真实地反映和记录工作情况，做好所有工作留痕，有档可查，并分类建立纸质、电子档案。</w:t>
      </w:r>
    </w:p>
    <w:p w14:paraId="5926F4B6">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6、财政厅及本单位安排的其他全面实施绩效管理工作。</w:t>
      </w:r>
    </w:p>
    <w:p w14:paraId="5A5B0BE1">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default"/>
          <w:color w:val="auto"/>
          <w:highlight w:val="none"/>
          <w:lang w:val="en-US" w:eastAsia="zh-CN"/>
        </w:rPr>
      </w:pPr>
      <w:r>
        <w:rPr>
          <w:rFonts w:hint="eastAsia" w:ascii="仿宋" w:hAnsi="仿宋" w:eastAsia="仿宋" w:cs="仿宋"/>
          <w:color w:val="auto"/>
          <w:kern w:val="0"/>
          <w:sz w:val="24"/>
          <w:szCs w:val="24"/>
          <w:highlight w:val="none"/>
          <w:shd w:val="clear" w:color="auto" w:fill="FFFFFF" w:themeFill="background1"/>
          <w:lang w:val="en-US" w:eastAsia="zh-CN"/>
        </w:rPr>
        <w:t>7、服务方需组成不少于3名工作人员（含项目负责人）的项目服务团队，保障采购人部门单位业务需要，确保及时响应；未经采购人同意不得随意更换项目负责人。</w:t>
      </w:r>
    </w:p>
    <w:p w14:paraId="6027C032">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lang w:val="en-US" w:eastAsia="zh-CN"/>
        </w:rPr>
      </w:pPr>
    </w:p>
    <w:p w14:paraId="7A251A9C">
      <w:pPr>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rPr>
        <w:br w:type="page"/>
      </w:r>
    </w:p>
    <w:p w14:paraId="091EB440">
      <w:pPr>
        <w:keepLines w:val="0"/>
        <w:pageBreakBefore w:val="0"/>
        <w:kinsoku/>
        <w:overflowPunct/>
        <w:topLinePunct w:val="0"/>
        <w:bidi w:val="0"/>
        <w:spacing w:beforeAutospacing="0" w:afterAutospacing="0" w:line="360" w:lineRule="auto"/>
        <w:jc w:val="center"/>
        <w:textAlignment w:val="auto"/>
        <w:outlineLvl w:val="0"/>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rPr>
        <w:t>第五章 响应文件格式</w:t>
      </w:r>
      <w:bookmarkEnd w:id="58"/>
    </w:p>
    <w:p w14:paraId="3B27E945">
      <w:pPr>
        <w:keepLines w:val="0"/>
        <w:pageBreakBefore w:val="0"/>
        <w:kinsoku/>
        <w:overflowPunct/>
        <w:topLinePunct w:val="0"/>
        <w:bidi w:val="0"/>
        <w:spacing w:beforeAutospacing="0" w:afterAutospacing="0" w:line="360" w:lineRule="auto"/>
        <w:textAlignment w:val="auto"/>
        <w:rPr>
          <w:rFonts w:hint="eastAsia" w:ascii="仿宋" w:hAnsi="仿宋" w:eastAsia="仿宋" w:cs="仿宋"/>
          <w:b/>
          <w:color w:val="auto"/>
          <w:sz w:val="24"/>
          <w:szCs w:val="24"/>
          <w:highlight w:val="none"/>
          <w:shd w:val="clear" w:color="auto" w:fill="FFFFFF" w:themeFill="background1"/>
        </w:rPr>
      </w:pPr>
    </w:p>
    <w:p w14:paraId="1A5B4023">
      <w:pPr>
        <w:keepLines w:val="0"/>
        <w:pageBreakBefore w:val="0"/>
        <w:kinsoku/>
        <w:overflowPunct/>
        <w:topLinePunct w:val="0"/>
        <w:bidi w:val="0"/>
        <w:spacing w:beforeAutospacing="0" w:afterAutospacing="0" w:line="360" w:lineRule="auto"/>
        <w:textAlignment w:val="auto"/>
        <w:rPr>
          <w:rFonts w:hint="eastAsia" w:ascii="仿宋" w:hAnsi="仿宋" w:eastAsia="仿宋" w:cs="仿宋"/>
          <w:b/>
          <w:color w:val="auto"/>
          <w:sz w:val="24"/>
          <w:szCs w:val="24"/>
          <w:highlight w:val="none"/>
          <w:shd w:val="clear" w:color="auto" w:fill="FFFFFF" w:themeFill="background1"/>
        </w:rPr>
      </w:pPr>
    </w:p>
    <w:p w14:paraId="324CF98D">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u w:val="single"/>
          <w:shd w:val="clear" w:color="auto" w:fill="FFFFFF" w:themeFill="background1"/>
        </w:rPr>
      </w:pPr>
      <w:r>
        <w:rPr>
          <w:rFonts w:hint="eastAsia" w:ascii="仿宋" w:hAnsi="仿宋" w:eastAsia="仿宋" w:cs="仿宋"/>
          <w:color w:val="auto"/>
          <w:sz w:val="24"/>
          <w:szCs w:val="24"/>
          <w:highlight w:val="none"/>
          <w:u w:val="single"/>
          <w:shd w:val="clear" w:color="auto" w:fill="FFFFFF" w:themeFill="background1"/>
        </w:rPr>
        <w:t>响应文件封面示例</w:t>
      </w:r>
    </w:p>
    <w:p w14:paraId="178A01F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z w:val="24"/>
          <w:szCs w:val="24"/>
          <w:highlight w:val="none"/>
          <w:bdr w:val="single" w:color="auto" w:sz="4" w:space="0"/>
          <w:shd w:val="clear" w:color="auto" w:fill="FFFFFF" w:themeFill="background1"/>
        </w:rPr>
      </w:pPr>
    </w:p>
    <w:p w14:paraId="30B65A3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z w:val="24"/>
          <w:szCs w:val="24"/>
          <w:highlight w:val="none"/>
          <w:bdr w:val="single" w:color="auto" w:sz="4" w:space="0"/>
          <w:shd w:val="clear" w:color="auto" w:fill="FFFFFF" w:themeFill="background1"/>
        </w:rPr>
      </w:pPr>
    </w:p>
    <w:p w14:paraId="411AF98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z w:val="24"/>
          <w:szCs w:val="24"/>
          <w:highlight w:val="none"/>
          <w:bdr w:val="single" w:color="auto" w:sz="4" w:space="0"/>
          <w:shd w:val="clear" w:color="auto" w:fill="FFFFFF" w:themeFill="background1"/>
        </w:rPr>
      </w:pPr>
    </w:p>
    <w:p w14:paraId="11B77DA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 w:val="24"/>
          <w:szCs w:val="24"/>
          <w:highlight w:val="none"/>
          <w:u w:val="single"/>
          <w:shd w:val="clear" w:color="auto" w:fill="FFFFFF" w:themeFill="background1"/>
        </w:rPr>
      </w:pPr>
      <w:r>
        <w:rPr>
          <w:rFonts w:hint="eastAsia" w:ascii="仿宋" w:hAnsi="仿宋" w:eastAsia="仿宋" w:cs="仿宋"/>
          <w:b/>
          <w:bCs/>
          <w:color w:val="auto"/>
          <w:sz w:val="24"/>
          <w:szCs w:val="24"/>
          <w:highlight w:val="none"/>
          <w:u w:val="single"/>
          <w:shd w:val="clear" w:color="auto" w:fill="FFFFFF" w:themeFill="background1"/>
        </w:rPr>
        <w:t>（项目名称）</w:t>
      </w:r>
    </w:p>
    <w:p w14:paraId="60875C9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 w:val="24"/>
          <w:szCs w:val="24"/>
          <w:highlight w:val="none"/>
          <w:u w:val="single"/>
          <w:shd w:val="clear" w:color="auto" w:fill="FFFFFF" w:themeFill="background1"/>
        </w:rPr>
      </w:pPr>
      <w:r>
        <w:rPr>
          <w:rFonts w:hint="eastAsia" w:ascii="仿宋" w:hAnsi="仿宋" w:eastAsia="仿宋" w:cs="仿宋"/>
          <w:b/>
          <w:bCs/>
          <w:color w:val="auto"/>
          <w:sz w:val="24"/>
          <w:szCs w:val="24"/>
          <w:highlight w:val="none"/>
          <w:u w:val="single"/>
          <w:shd w:val="clear" w:color="auto" w:fill="FFFFFF" w:themeFill="background1"/>
        </w:rPr>
        <w:t>（项目编号）</w:t>
      </w:r>
    </w:p>
    <w:p w14:paraId="0230DFA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 w:val="24"/>
          <w:szCs w:val="24"/>
          <w:highlight w:val="none"/>
          <w:shd w:val="clear" w:color="auto" w:fill="FFFFFF" w:themeFill="background1"/>
        </w:rPr>
      </w:pPr>
    </w:p>
    <w:p w14:paraId="5816B7C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 w:val="24"/>
          <w:szCs w:val="24"/>
          <w:highlight w:val="none"/>
          <w:shd w:val="clear" w:color="auto" w:fill="FFFFFF" w:themeFill="background1"/>
        </w:rPr>
      </w:pPr>
    </w:p>
    <w:p w14:paraId="7A61329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 w:val="24"/>
          <w:szCs w:val="24"/>
          <w:highlight w:val="none"/>
          <w:shd w:val="clear" w:color="auto" w:fill="FFFFFF" w:themeFill="background1"/>
        </w:rPr>
      </w:pPr>
      <w:r>
        <w:rPr>
          <w:rFonts w:hint="eastAsia" w:ascii="仿宋" w:hAnsi="仿宋" w:eastAsia="仿宋" w:cs="仿宋"/>
          <w:b/>
          <w:bCs/>
          <w:color w:val="auto"/>
          <w:sz w:val="24"/>
          <w:szCs w:val="24"/>
          <w:highlight w:val="none"/>
          <w:shd w:val="clear" w:color="auto" w:fill="FFFFFF" w:themeFill="background1"/>
        </w:rPr>
        <w:t>响应文件</w:t>
      </w:r>
    </w:p>
    <w:p w14:paraId="1C42B096">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73DF94E7">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003BEEE7">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4D5B2AF1">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供应商：（盖章）</w:t>
      </w:r>
    </w:p>
    <w:p w14:paraId="2A098647">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121EFF42">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法定代表人：</w:t>
      </w:r>
      <w:r>
        <w:rPr>
          <w:rFonts w:hint="eastAsia" w:ascii="仿宋" w:hAnsi="仿宋" w:eastAsia="仿宋" w:cs="仿宋"/>
          <w:color w:val="auto"/>
          <w:kern w:val="0"/>
          <w:sz w:val="24"/>
          <w:szCs w:val="24"/>
          <w:highlight w:val="none"/>
          <w:shd w:val="clear" w:color="auto" w:fill="FFFFFF" w:themeFill="background1"/>
        </w:rPr>
        <w:t>（盖章）</w:t>
      </w:r>
    </w:p>
    <w:p w14:paraId="5D02F63C">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176F89A1">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单位地址：</w:t>
      </w:r>
    </w:p>
    <w:p w14:paraId="6C08D1F2">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5DF47CCA">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邮政编码：</w:t>
      </w:r>
    </w:p>
    <w:p w14:paraId="3AFDBF62">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2FC7EF58">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联系人：</w:t>
      </w:r>
    </w:p>
    <w:p w14:paraId="4C2C0128">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1C6DEB56">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联系电话：</w:t>
      </w:r>
    </w:p>
    <w:p w14:paraId="3502971A">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1589764F">
      <w:pPr>
        <w:keepLines w:val="0"/>
        <w:pageBreakBefore w:val="0"/>
        <w:kinsoku/>
        <w:overflowPunct/>
        <w:topLinePunct w:val="0"/>
        <w:bidi w:val="0"/>
        <w:spacing w:beforeAutospacing="0" w:afterAutospacing="0" w:line="360" w:lineRule="auto"/>
        <w:ind w:firstLine="2" w:firstLineChars="1"/>
        <w:jc w:val="center"/>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年  月  日</w:t>
      </w:r>
    </w:p>
    <w:p w14:paraId="39B8A7AC">
      <w:pPr>
        <w:keepLines w:val="0"/>
        <w:pageBreakBefore w:val="0"/>
        <w:kinsoku/>
        <w:overflowPunct/>
        <w:topLinePunct w:val="0"/>
        <w:bidi w:val="0"/>
        <w:spacing w:beforeAutospacing="0" w:afterAutospacing="0" w:line="360" w:lineRule="auto"/>
        <w:ind w:firstLine="2" w:firstLineChars="1"/>
        <w:jc w:val="center"/>
        <w:textAlignment w:val="auto"/>
        <w:rPr>
          <w:rFonts w:hint="eastAsia" w:ascii="仿宋" w:hAnsi="仿宋" w:eastAsia="仿宋" w:cs="仿宋"/>
          <w:color w:val="auto"/>
          <w:sz w:val="24"/>
          <w:szCs w:val="24"/>
          <w:highlight w:val="none"/>
          <w:shd w:val="clear" w:color="auto" w:fill="FFFFFF" w:themeFill="background1"/>
        </w:rPr>
      </w:pPr>
    </w:p>
    <w:p w14:paraId="7846E9D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br w:type="page"/>
      </w:r>
      <w:bookmarkStart w:id="59" w:name="_Toc38910521"/>
      <w:bookmarkStart w:id="60" w:name="_Toc38446469"/>
      <w:r>
        <w:rPr>
          <w:rFonts w:hint="eastAsia" w:ascii="仿宋" w:hAnsi="仿宋" w:eastAsia="仿宋" w:cs="仿宋"/>
          <w:color w:val="auto"/>
          <w:sz w:val="24"/>
          <w:szCs w:val="24"/>
          <w:highlight w:val="none"/>
          <w:shd w:val="clear" w:color="auto" w:fill="FFFFFF" w:themeFill="background1"/>
        </w:rPr>
        <w:t>目录</w:t>
      </w:r>
      <w:bookmarkEnd w:id="59"/>
      <w:bookmarkEnd w:id="60"/>
    </w:p>
    <w:p w14:paraId="354AE77D">
      <w:pPr>
        <w:keepLines w:val="0"/>
        <w:pageBreakBefore w:val="0"/>
        <w:kinsoku/>
        <w:overflowPunct/>
        <w:topLinePunct w:val="0"/>
        <w:bidi w:val="0"/>
        <w:spacing w:beforeAutospacing="0" w:afterAutospacing="0" w:line="360" w:lineRule="auto"/>
        <w:textAlignment w:val="auto"/>
        <w:rPr>
          <w:rFonts w:hint="eastAsia" w:ascii="仿宋" w:hAnsi="仿宋" w:eastAsia="仿宋" w:cs="仿宋"/>
          <w:bCs/>
          <w:color w:val="auto"/>
          <w:sz w:val="24"/>
          <w:szCs w:val="24"/>
          <w:highlight w:val="none"/>
          <w:shd w:val="clear" w:color="auto" w:fill="FFFFFF" w:themeFill="background1"/>
        </w:rPr>
      </w:pPr>
    </w:p>
    <w:p w14:paraId="3789CE75">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一、投标函</w:t>
      </w:r>
    </w:p>
    <w:p w14:paraId="6931A6CF">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二、磋商价格明细表</w:t>
      </w:r>
    </w:p>
    <w:p w14:paraId="7954EEF0">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三、商务条款偏离表</w:t>
      </w:r>
    </w:p>
    <w:p w14:paraId="19D6FA22">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四、技术条款偏离表</w:t>
      </w:r>
    </w:p>
    <w:p w14:paraId="6F4C9FC8">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五、法定代表人身份证明书</w:t>
      </w:r>
    </w:p>
    <w:p w14:paraId="4A247C3C">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六、法定代表人授权委托书</w:t>
      </w:r>
    </w:p>
    <w:p w14:paraId="1F463B9F">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七、供应商资格条件证明材料</w:t>
      </w:r>
    </w:p>
    <w:p w14:paraId="747D25BF">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八、供应商近年类似项目业绩表</w:t>
      </w:r>
    </w:p>
    <w:p w14:paraId="3C994218">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九、</w:t>
      </w:r>
      <w:r>
        <w:rPr>
          <w:rFonts w:hint="eastAsia" w:ascii="仿宋" w:hAnsi="仿宋" w:eastAsia="仿宋" w:cs="仿宋"/>
          <w:bCs/>
          <w:color w:val="auto"/>
          <w:sz w:val="24"/>
          <w:szCs w:val="24"/>
          <w:highlight w:val="none"/>
          <w:shd w:val="clear" w:color="auto" w:fill="FFFFFF" w:themeFill="background1"/>
          <w:lang w:eastAsia="zh-CN"/>
        </w:rPr>
        <w:t>项目负责人</w:t>
      </w:r>
      <w:r>
        <w:rPr>
          <w:rFonts w:hint="eastAsia" w:ascii="仿宋" w:hAnsi="仿宋" w:eastAsia="仿宋" w:cs="仿宋"/>
          <w:bCs/>
          <w:color w:val="auto"/>
          <w:sz w:val="24"/>
          <w:szCs w:val="24"/>
          <w:highlight w:val="none"/>
          <w:shd w:val="clear" w:color="auto" w:fill="FFFFFF" w:themeFill="background1"/>
        </w:rPr>
        <w:t>简历表</w:t>
      </w:r>
    </w:p>
    <w:p w14:paraId="41D76AD6">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十、</w:t>
      </w:r>
      <w:r>
        <w:rPr>
          <w:rFonts w:hint="eastAsia" w:ascii="仿宋" w:hAnsi="仿宋" w:eastAsia="仿宋" w:cs="仿宋"/>
          <w:bCs/>
          <w:color w:val="auto"/>
          <w:sz w:val="24"/>
          <w:szCs w:val="24"/>
          <w:highlight w:val="none"/>
          <w:shd w:val="clear" w:color="auto" w:fill="FFFFFF" w:themeFill="background1"/>
          <w:lang w:eastAsia="zh-CN"/>
        </w:rPr>
        <w:t>拟派主要服务人员</w:t>
      </w:r>
    </w:p>
    <w:p w14:paraId="776132AC">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lang w:eastAsia="zh-CN"/>
        </w:rPr>
      </w:pPr>
      <w:r>
        <w:rPr>
          <w:rFonts w:hint="eastAsia" w:ascii="仿宋" w:hAnsi="仿宋" w:eastAsia="仿宋" w:cs="仿宋"/>
          <w:bCs/>
          <w:color w:val="auto"/>
          <w:sz w:val="24"/>
          <w:szCs w:val="24"/>
          <w:highlight w:val="none"/>
          <w:shd w:val="clear" w:color="auto" w:fill="FFFFFF" w:themeFill="background1"/>
        </w:rPr>
        <w:t>十一、服务方案</w:t>
      </w:r>
    </w:p>
    <w:p w14:paraId="074EE5B7">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十二、其他需要提交的资料</w:t>
      </w:r>
    </w:p>
    <w:p w14:paraId="4E0CBA83">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ab/>
      </w:r>
    </w:p>
    <w:p w14:paraId="5365A668">
      <w:pPr>
        <w:keepLines w:val="0"/>
        <w:pageBreakBefore w:val="0"/>
        <w:kinsoku/>
        <w:overflowPunct/>
        <w:topLinePunct w:val="0"/>
        <w:bidi w:val="0"/>
        <w:spacing w:beforeAutospacing="0" w:afterAutospacing="0" w:line="360" w:lineRule="auto"/>
        <w:textAlignment w:val="auto"/>
        <w:rPr>
          <w:rFonts w:hint="eastAsia" w:ascii="仿宋" w:hAnsi="仿宋" w:eastAsia="仿宋" w:cs="仿宋"/>
          <w:bCs/>
          <w:color w:val="auto"/>
          <w:sz w:val="24"/>
          <w:szCs w:val="24"/>
          <w:highlight w:val="none"/>
          <w:shd w:val="clear" w:color="auto" w:fill="FFFFFF" w:themeFill="background1"/>
        </w:rPr>
      </w:pPr>
    </w:p>
    <w:p w14:paraId="1B9855F0">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rPr>
        <w:t>注：为了便于查找，请按上述顺序编制</w:t>
      </w:r>
      <w:r>
        <w:rPr>
          <w:rFonts w:hint="eastAsia" w:ascii="仿宋" w:hAnsi="仿宋" w:eastAsia="仿宋" w:cs="仿宋"/>
          <w:color w:val="auto"/>
          <w:sz w:val="24"/>
          <w:szCs w:val="24"/>
          <w:highlight w:val="none"/>
          <w:shd w:val="clear" w:color="auto" w:fill="FFFFFF" w:themeFill="background1"/>
        </w:rPr>
        <w:t>响应文件</w:t>
      </w:r>
      <w:r>
        <w:rPr>
          <w:rFonts w:hint="eastAsia" w:ascii="仿宋" w:hAnsi="仿宋" w:eastAsia="仿宋" w:cs="仿宋"/>
          <w:bCs/>
          <w:color w:val="auto"/>
          <w:sz w:val="24"/>
          <w:szCs w:val="24"/>
          <w:highlight w:val="none"/>
          <w:shd w:val="clear" w:color="auto" w:fill="FFFFFF" w:themeFill="background1"/>
        </w:rPr>
        <w:t>内容，并在目录中标明每项内容的起始页码。</w:t>
      </w:r>
    </w:p>
    <w:p w14:paraId="22254EF3">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rPr>
        <w:br w:type="page"/>
      </w:r>
      <w:bookmarkStart w:id="61" w:name="_Toc28929"/>
      <w:bookmarkStart w:id="62" w:name="_Toc533503181"/>
      <w:bookmarkStart w:id="63" w:name="_Toc38446470"/>
      <w:bookmarkStart w:id="64" w:name="_Toc507586166"/>
      <w:r>
        <w:rPr>
          <w:rFonts w:hint="eastAsia" w:ascii="仿宋" w:hAnsi="仿宋" w:eastAsia="仿宋" w:cs="仿宋"/>
          <w:b/>
          <w:color w:val="auto"/>
          <w:sz w:val="24"/>
          <w:szCs w:val="24"/>
          <w:highlight w:val="none"/>
          <w:shd w:val="clear" w:color="auto" w:fill="FFFFFF" w:themeFill="background1"/>
        </w:rPr>
        <w:t>一、投标函</w:t>
      </w:r>
      <w:bookmarkEnd w:id="61"/>
      <w:bookmarkEnd w:id="62"/>
      <w:bookmarkEnd w:id="63"/>
      <w:bookmarkEnd w:id="64"/>
    </w:p>
    <w:p w14:paraId="3DDC972A">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2B815ECA">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致：</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（采购人名称）</w:t>
      </w:r>
    </w:p>
    <w:p w14:paraId="45EE8191">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根据已收到的</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项目的</w:t>
      </w:r>
      <w:r>
        <w:rPr>
          <w:rFonts w:hint="eastAsia" w:ascii="仿宋" w:hAnsi="仿宋" w:eastAsia="仿宋" w:cs="仿宋"/>
          <w:color w:val="auto"/>
          <w:sz w:val="24"/>
          <w:szCs w:val="24"/>
          <w:highlight w:val="none"/>
          <w:shd w:val="clear" w:color="auto" w:fill="FFFFFF" w:themeFill="background1"/>
        </w:rPr>
        <w:t>磋商文件</w:t>
      </w:r>
      <w:r>
        <w:rPr>
          <w:rFonts w:hint="eastAsia" w:ascii="仿宋" w:hAnsi="仿宋" w:eastAsia="仿宋" w:cs="仿宋"/>
          <w:color w:val="auto"/>
          <w:kern w:val="0"/>
          <w:sz w:val="24"/>
          <w:szCs w:val="24"/>
          <w:highlight w:val="none"/>
          <w:shd w:val="clear" w:color="auto" w:fill="FFFFFF" w:themeFill="background1"/>
        </w:rPr>
        <w:t>，遵照《中华人民共和国政府采购法》等有关法律法规的规定，经考察现场和充分研究贵方的</w:t>
      </w:r>
      <w:r>
        <w:rPr>
          <w:rFonts w:hint="eastAsia" w:ascii="仿宋" w:hAnsi="仿宋" w:eastAsia="仿宋" w:cs="仿宋"/>
          <w:color w:val="auto"/>
          <w:sz w:val="24"/>
          <w:szCs w:val="24"/>
          <w:highlight w:val="none"/>
          <w:shd w:val="clear" w:color="auto" w:fill="FFFFFF" w:themeFill="background1"/>
        </w:rPr>
        <w:t>磋商文件</w:t>
      </w:r>
      <w:r>
        <w:rPr>
          <w:rFonts w:hint="eastAsia" w:ascii="仿宋" w:hAnsi="仿宋" w:eastAsia="仿宋" w:cs="仿宋"/>
          <w:color w:val="auto"/>
          <w:kern w:val="0"/>
          <w:sz w:val="24"/>
          <w:szCs w:val="24"/>
          <w:highlight w:val="none"/>
          <w:shd w:val="clear" w:color="auto" w:fill="FFFFFF" w:themeFill="background1"/>
        </w:rPr>
        <w:t>的全部内容后，我方郑重承诺如下：</w:t>
      </w:r>
    </w:p>
    <w:p w14:paraId="6B479D02">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default" w:ascii="仿宋" w:hAnsi="仿宋" w:eastAsia="仿宋" w:cs="仿宋"/>
          <w:color w:val="auto"/>
          <w:kern w:val="0"/>
          <w:sz w:val="24"/>
          <w:szCs w:val="24"/>
          <w:highlight w:val="none"/>
          <w:u w:val="none"/>
          <w:shd w:val="clear" w:color="auto" w:fill="FFFFFF" w:themeFill="background1"/>
          <w:lang w:val="en-US" w:eastAsia="zh-CN"/>
        </w:rPr>
      </w:pPr>
      <w:r>
        <w:rPr>
          <w:rFonts w:hint="eastAsia" w:ascii="仿宋" w:hAnsi="仿宋" w:eastAsia="仿宋" w:cs="仿宋"/>
          <w:color w:val="auto"/>
          <w:kern w:val="0"/>
          <w:sz w:val="24"/>
          <w:szCs w:val="24"/>
          <w:highlight w:val="none"/>
          <w:shd w:val="clear" w:color="auto" w:fill="FFFFFF" w:themeFill="background1"/>
        </w:rPr>
        <w:t>1</w:t>
      </w:r>
      <w:r>
        <w:rPr>
          <w:rFonts w:hint="eastAsia" w:ascii="仿宋" w:hAnsi="仿宋" w:eastAsia="仿宋" w:cs="仿宋"/>
          <w:color w:val="auto"/>
          <w:kern w:val="0"/>
          <w:sz w:val="24"/>
          <w:szCs w:val="24"/>
          <w:highlight w:val="none"/>
          <w:shd w:val="clear" w:color="auto" w:fill="FFFFFF" w:themeFill="background1"/>
          <w:lang w:eastAsia="zh-CN"/>
        </w:rPr>
        <w:t>、</w:t>
      </w:r>
      <w:r>
        <w:rPr>
          <w:rFonts w:hint="eastAsia" w:ascii="仿宋" w:hAnsi="仿宋" w:eastAsia="仿宋" w:cs="仿宋"/>
          <w:color w:val="auto"/>
          <w:kern w:val="0"/>
          <w:sz w:val="24"/>
          <w:szCs w:val="24"/>
          <w:highlight w:val="none"/>
          <w:shd w:val="clear" w:color="auto" w:fill="FFFFFF" w:themeFill="background1"/>
        </w:rPr>
        <w:t>我方磋商价格为人民币</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元（大写：</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）；服务周期为</w:t>
      </w:r>
      <w:r>
        <w:rPr>
          <w:rFonts w:hint="eastAsia" w:ascii="仿宋" w:hAnsi="仿宋" w:eastAsia="仿宋" w:cs="仿宋"/>
          <w:color w:val="auto"/>
          <w:kern w:val="0"/>
          <w:sz w:val="24"/>
          <w:szCs w:val="24"/>
          <w:highlight w:val="none"/>
          <w:u w:val="single"/>
          <w:shd w:val="clear" w:color="auto" w:fill="FFFFFF" w:themeFill="background1"/>
          <w:lang w:val="en-US" w:eastAsia="zh-CN"/>
        </w:rPr>
        <w:t>自合同签订之日起至2026年绩效前期准备工作完成结束</w:t>
      </w:r>
      <w:r>
        <w:rPr>
          <w:rFonts w:hint="eastAsia" w:ascii="仿宋" w:hAnsi="仿宋" w:eastAsia="仿宋" w:cs="仿宋"/>
          <w:color w:val="auto"/>
          <w:kern w:val="0"/>
          <w:sz w:val="24"/>
          <w:szCs w:val="24"/>
          <w:highlight w:val="none"/>
          <w:u w:val="none"/>
          <w:shd w:val="clear" w:color="auto" w:fill="FFFFFF" w:themeFill="background1"/>
          <w:lang w:val="en-US" w:eastAsia="zh-CN"/>
        </w:rPr>
        <w:t>。</w:t>
      </w:r>
    </w:p>
    <w:p w14:paraId="1395C195">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lang w:val="en-US" w:eastAsia="zh-CN"/>
        </w:rPr>
        <w:t>2、我方所递交的响应文件及有关资料内容完整、真实和准确，且不存在供应商须知前附表规定的供应商不得存在的任何一种情形。</w:t>
      </w:r>
    </w:p>
    <w:p w14:paraId="57098533">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lang w:val="en-US" w:eastAsia="zh-CN"/>
        </w:rPr>
        <w:t>3、</w:t>
      </w:r>
      <w:r>
        <w:rPr>
          <w:rFonts w:hint="eastAsia" w:ascii="仿宋" w:hAnsi="仿宋" w:eastAsia="仿宋" w:cs="仿宋"/>
          <w:color w:val="auto"/>
          <w:kern w:val="0"/>
          <w:sz w:val="24"/>
          <w:szCs w:val="24"/>
          <w:highlight w:val="none"/>
          <w:shd w:val="clear" w:color="auto" w:fill="FFFFFF" w:themeFill="background1"/>
        </w:rPr>
        <w:t>如果我方成交，我方将在</w:t>
      </w:r>
      <w:r>
        <w:rPr>
          <w:rFonts w:hint="eastAsia" w:ascii="仿宋" w:hAnsi="仿宋" w:eastAsia="仿宋" w:cs="仿宋"/>
          <w:color w:val="auto"/>
          <w:sz w:val="24"/>
          <w:szCs w:val="24"/>
          <w:highlight w:val="none"/>
          <w:shd w:val="clear" w:color="auto" w:fill="FFFFFF" w:themeFill="background1"/>
        </w:rPr>
        <w:t>磋商文件</w:t>
      </w:r>
      <w:r>
        <w:rPr>
          <w:rFonts w:hint="eastAsia" w:ascii="仿宋" w:hAnsi="仿宋" w:eastAsia="仿宋" w:cs="仿宋"/>
          <w:color w:val="auto"/>
          <w:kern w:val="0"/>
          <w:sz w:val="24"/>
          <w:szCs w:val="24"/>
          <w:highlight w:val="none"/>
          <w:shd w:val="clear" w:color="auto" w:fill="FFFFFF" w:themeFill="background1"/>
        </w:rPr>
        <w:t>规定的时间内签订合同。如果我方违约，除没收投标保证金外，贵方有权终止我方成交并选择其它成交供应商。</w:t>
      </w:r>
    </w:p>
    <w:p w14:paraId="206B7198">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lang w:val="en-US" w:eastAsia="zh-CN"/>
        </w:rPr>
        <w:t>4、</w:t>
      </w:r>
      <w:r>
        <w:rPr>
          <w:rFonts w:hint="eastAsia" w:ascii="仿宋" w:hAnsi="仿宋" w:eastAsia="仿宋" w:cs="仿宋"/>
          <w:color w:val="auto"/>
          <w:kern w:val="0"/>
          <w:sz w:val="24"/>
          <w:szCs w:val="24"/>
          <w:highlight w:val="none"/>
          <w:shd w:val="clear" w:color="auto" w:fill="FFFFFF" w:themeFill="background1"/>
        </w:rPr>
        <w:t>本</w:t>
      </w:r>
      <w:r>
        <w:rPr>
          <w:rFonts w:hint="eastAsia" w:ascii="仿宋" w:hAnsi="仿宋" w:eastAsia="仿宋" w:cs="仿宋"/>
          <w:color w:val="auto"/>
          <w:sz w:val="24"/>
          <w:szCs w:val="24"/>
          <w:highlight w:val="none"/>
          <w:shd w:val="clear" w:color="auto" w:fill="FFFFFF" w:themeFill="background1"/>
        </w:rPr>
        <w:t>响应文件</w:t>
      </w:r>
      <w:r>
        <w:rPr>
          <w:rFonts w:hint="eastAsia" w:ascii="仿宋" w:hAnsi="仿宋" w:eastAsia="仿宋" w:cs="仿宋"/>
          <w:color w:val="auto"/>
          <w:kern w:val="0"/>
          <w:sz w:val="24"/>
          <w:szCs w:val="24"/>
          <w:highlight w:val="none"/>
          <w:shd w:val="clear" w:color="auto" w:fill="FFFFFF" w:themeFill="background1"/>
        </w:rPr>
        <w:t>在</w:t>
      </w:r>
      <w:r>
        <w:rPr>
          <w:rFonts w:hint="eastAsia" w:ascii="仿宋" w:hAnsi="仿宋" w:eastAsia="仿宋" w:cs="仿宋"/>
          <w:color w:val="auto"/>
          <w:sz w:val="24"/>
          <w:szCs w:val="24"/>
          <w:highlight w:val="none"/>
          <w:shd w:val="clear" w:color="auto" w:fill="FFFFFF" w:themeFill="background1"/>
        </w:rPr>
        <w:t>磋商文件</w:t>
      </w:r>
      <w:r>
        <w:rPr>
          <w:rFonts w:hint="eastAsia" w:ascii="仿宋" w:hAnsi="仿宋" w:eastAsia="仿宋" w:cs="仿宋"/>
          <w:color w:val="auto"/>
          <w:kern w:val="0"/>
          <w:sz w:val="24"/>
          <w:szCs w:val="24"/>
          <w:highlight w:val="none"/>
          <w:shd w:val="clear" w:color="auto" w:fill="FFFFFF" w:themeFill="background1"/>
        </w:rPr>
        <w:t>规定的投标有效期内对我方具有约束力，如果我方在投标有效期内撤销投标，其投标保证金将被贵方没收。</w:t>
      </w:r>
    </w:p>
    <w:p w14:paraId="6CD83D64">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shd w:val="clear" w:color="auto" w:fill="FFFFFF" w:themeFill="background1"/>
          <w:lang w:val="en-US" w:eastAsia="zh-CN"/>
        </w:rPr>
        <w:t>5、</w:t>
      </w:r>
      <w:r>
        <w:rPr>
          <w:rFonts w:hint="eastAsia" w:ascii="仿宋" w:hAnsi="仿宋" w:eastAsia="仿宋" w:cs="仿宋"/>
          <w:color w:val="auto"/>
          <w:kern w:val="0"/>
          <w:sz w:val="24"/>
          <w:szCs w:val="24"/>
          <w:highlight w:val="none"/>
        </w:rPr>
        <w:t>我方已完全理解竞争性</w:t>
      </w:r>
      <w:r>
        <w:rPr>
          <w:rFonts w:hint="eastAsia" w:ascii="仿宋" w:hAnsi="仿宋" w:eastAsia="仿宋" w:cs="仿宋"/>
          <w:color w:val="auto"/>
          <w:sz w:val="24"/>
          <w:szCs w:val="24"/>
          <w:highlight w:val="none"/>
          <w:shd w:val="clear" w:color="auto" w:fill="FFFFFF" w:themeFill="background1"/>
        </w:rPr>
        <w:t>磋商</w:t>
      </w:r>
      <w:r>
        <w:rPr>
          <w:rFonts w:hint="eastAsia" w:ascii="仿宋" w:hAnsi="仿宋" w:eastAsia="仿宋" w:cs="仿宋"/>
          <w:color w:val="auto"/>
          <w:kern w:val="0"/>
          <w:sz w:val="24"/>
          <w:szCs w:val="24"/>
          <w:highlight w:val="none"/>
        </w:rPr>
        <w:t>文件的全部内容，并无异议</w:t>
      </w:r>
      <w:r>
        <w:rPr>
          <w:rFonts w:hint="eastAsia" w:ascii="仿宋" w:hAnsi="仿宋" w:eastAsia="仿宋" w:cs="仿宋"/>
          <w:color w:val="auto"/>
          <w:kern w:val="0"/>
          <w:sz w:val="24"/>
          <w:szCs w:val="24"/>
          <w:highlight w:val="none"/>
          <w:lang w:eastAsia="zh-CN"/>
        </w:rPr>
        <w:t>。</w:t>
      </w:r>
    </w:p>
    <w:p w14:paraId="239B6617">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lang w:val="en-US" w:eastAsia="zh-CN"/>
        </w:rPr>
        <w:t>6、</w:t>
      </w:r>
      <w:r>
        <w:rPr>
          <w:rFonts w:hint="eastAsia" w:ascii="仿宋" w:hAnsi="仿宋" w:eastAsia="仿宋" w:cs="仿宋"/>
          <w:color w:val="auto"/>
          <w:kern w:val="0"/>
          <w:sz w:val="24"/>
          <w:szCs w:val="24"/>
          <w:highlight w:val="none"/>
          <w:shd w:val="clear" w:color="auto" w:fill="FFFFFF" w:themeFill="background1"/>
        </w:rPr>
        <w:t>我方保证</w:t>
      </w:r>
      <w:r>
        <w:rPr>
          <w:rFonts w:hint="eastAsia" w:ascii="仿宋" w:hAnsi="仿宋" w:eastAsia="仿宋" w:cs="仿宋"/>
          <w:color w:val="auto"/>
          <w:sz w:val="24"/>
          <w:szCs w:val="24"/>
          <w:highlight w:val="none"/>
          <w:shd w:val="clear" w:color="auto" w:fill="FFFFFF" w:themeFill="background1"/>
        </w:rPr>
        <w:t>响应文件</w:t>
      </w:r>
      <w:r>
        <w:rPr>
          <w:rFonts w:hint="eastAsia" w:ascii="仿宋" w:hAnsi="仿宋" w:eastAsia="仿宋" w:cs="仿宋"/>
          <w:color w:val="auto"/>
          <w:kern w:val="0"/>
          <w:sz w:val="24"/>
          <w:szCs w:val="24"/>
          <w:highlight w:val="none"/>
          <w:shd w:val="clear" w:color="auto" w:fill="FFFFFF" w:themeFill="background1"/>
        </w:rPr>
        <w:t>内容无任何虚假、未侵犯他人知识产权。如有虚假，同意废除成交资格并被没收投标担保，承担因侵犯他人知识产权而由此引起的全部法律责任和经济责任。</w:t>
      </w:r>
    </w:p>
    <w:p w14:paraId="5655B814">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lang w:val="en-US" w:eastAsia="zh-CN"/>
        </w:rPr>
        <w:t>7</w:t>
      </w:r>
      <w:r>
        <w:rPr>
          <w:rFonts w:hint="eastAsia" w:ascii="仿宋" w:hAnsi="仿宋" w:eastAsia="仿宋" w:cs="仿宋"/>
          <w:color w:val="auto"/>
          <w:kern w:val="0"/>
          <w:sz w:val="24"/>
          <w:szCs w:val="24"/>
          <w:highlight w:val="none"/>
          <w:shd w:val="clear" w:color="auto" w:fill="FFFFFF" w:themeFill="background1"/>
          <w:lang w:eastAsia="zh-CN"/>
        </w:rPr>
        <w:t>、</w:t>
      </w:r>
      <w:r>
        <w:rPr>
          <w:rFonts w:hint="eastAsia" w:ascii="仿宋" w:hAnsi="仿宋" w:eastAsia="仿宋" w:cs="仿宋"/>
          <w:color w:val="auto"/>
          <w:kern w:val="0"/>
          <w:sz w:val="24"/>
          <w:szCs w:val="24"/>
          <w:highlight w:val="none"/>
          <w:shd w:val="clear" w:color="auto" w:fill="FFFFFF" w:themeFill="background1"/>
        </w:rPr>
        <w:t>我方愿意提供贵方可能要求的与投标有关的一切数据或资料，完全理解贵方不一定接受最低投标报价的投标或收到的任何投标。</w:t>
      </w:r>
    </w:p>
    <w:p w14:paraId="5F47D680">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8</w:t>
      </w:r>
      <w:r>
        <w:rPr>
          <w:rFonts w:hint="eastAsia" w:ascii="仿宋" w:hAnsi="仿宋" w:eastAsia="仿宋" w:cs="仿宋"/>
          <w:color w:val="auto"/>
          <w:kern w:val="0"/>
          <w:sz w:val="24"/>
          <w:szCs w:val="24"/>
          <w:highlight w:val="none"/>
          <w:shd w:val="clear" w:color="auto" w:fill="FFFFFF" w:themeFill="background1"/>
          <w:lang w:eastAsia="zh-CN"/>
        </w:rPr>
        <w:t>、</w:t>
      </w:r>
      <w:r>
        <w:rPr>
          <w:rFonts w:hint="eastAsia" w:ascii="仿宋" w:hAnsi="仿宋" w:eastAsia="仿宋" w:cs="仿宋"/>
          <w:color w:val="auto"/>
          <w:kern w:val="0"/>
          <w:sz w:val="24"/>
          <w:szCs w:val="24"/>
          <w:highlight w:val="none"/>
          <w:shd w:val="clear" w:color="auto" w:fill="FFFFFF" w:themeFill="background1"/>
        </w:rPr>
        <w:t>如我方成交，我方自愿向采购代理机构支付咨询费，并在合同签订后3个工作日内向采购代理机构提供采购合同原件一份用于采购资料备案工作。</w:t>
      </w:r>
    </w:p>
    <w:p w14:paraId="0112D1EF">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177F9933">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p>
    <w:p w14:paraId="4E1A0D2D">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4A629953">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法定代表人：</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r>
        <w:rPr>
          <w:rFonts w:hint="eastAsia" w:ascii="仿宋" w:hAnsi="仿宋" w:eastAsia="仿宋" w:cs="仿宋"/>
          <w:color w:val="auto"/>
          <w:kern w:val="0"/>
          <w:sz w:val="24"/>
          <w:szCs w:val="24"/>
          <w:highlight w:val="none"/>
          <w:shd w:val="clear" w:color="auto" w:fill="FFFFFF" w:themeFill="background1"/>
          <w:lang w:val="en-US" w:eastAsia="zh-CN"/>
        </w:rPr>
        <w:t>或签名</w:t>
      </w:r>
      <w:r>
        <w:rPr>
          <w:rFonts w:hint="eastAsia" w:ascii="仿宋" w:hAnsi="仿宋" w:eastAsia="仿宋" w:cs="仿宋"/>
          <w:color w:val="auto"/>
          <w:kern w:val="0"/>
          <w:sz w:val="24"/>
          <w:szCs w:val="24"/>
          <w:highlight w:val="none"/>
          <w:shd w:val="clear" w:color="auto" w:fill="FFFFFF" w:themeFill="background1"/>
        </w:rPr>
        <w:t xml:space="preserve">）                       </w:t>
      </w:r>
    </w:p>
    <w:p w14:paraId="434F7AAF">
      <w:pPr>
        <w:keepLines w:val="0"/>
        <w:pageBreakBefore w:val="0"/>
        <w:widowControl/>
        <w:shd w:val="clear" w:color="auto" w:fill="FFFFFF"/>
        <w:kinsoku/>
        <w:overflowPunct/>
        <w:topLinePunct w:val="0"/>
        <w:bidi w:val="0"/>
        <w:snapToGrid w:val="0"/>
        <w:spacing w:beforeAutospacing="0" w:afterAutospacing="0" w:line="360" w:lineRule="auto"/>
        <w:jc w:val="righ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    日期：年 月 日</w:t>
      </w:r>
    </w:p>
    <w:p w14:paraId="18539434">
      <w:pPr>
        <w:keepLines w:val="0"/>
        <w:pageBreakBefore w:val="0"/>
        <w:kinsoku/>
        <w:overflowPunct/>
        <w:topLinePunct w:val="0"/>
        <w:bidi w:val="0"/>
        <w:spacing w:beforeAutospacing="0" w:afterAutospacing="0"/>
        <w:textAlignment w:val="auto"/>
        <w:rPr>
          <w:rFonts w:hint="eastAsia" w:ascii="仿宋" w:hAnsi="仿宋" w:eastAsia="仿宋" w:cs="仿宋"/>
          <w:color w:val="auto"/>
          <w:highlight w:val="none"/>
        </w:rPr>
      </w:pPr>
      <w:r>
        <w:rPr>
          <w:rFonts w:hint="eastAsia" w:ascii="仿宋" w:hAnsi="仿宋" w:eastAsia="仿宋" w:cs="仿宋"/>
          <w:color w:val="auto"/>
          <w:highlight w:val="none"/>
        </w:rPr>
        <w:br w:type="page"/>
      </w:r>
      <w:bookmarkStart w:id="65" w:name="_Toc38446474"/>
      <w:bookmarkStart w:id="66" w:name="_Toc533503184"/>
      <w:bookmarkStart w:id="67" w:name="_Toc507586169"/>
    </w:p>
    <w:p w14:paraId="486AF143">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color w:val="auto"/>
          <w:kern w:val="0"/>
          <w:sz w:val="24"/>
          <w:szCs w:val="24"/>
          <w:highlight w:val="none"/>
          <w:shd w:val="clear" w:color="auto" w:fill="FFFFFF" w:themeFill="background1"/>
        </w:rPr>
      </w:pPr>
      <w:bookmarkStart w:id="68" w:name="_Toc3477"/>
      <w:r>
        <w:rPr>
          <w:rFonts w:hint="eastAsia" w:ascii="仿宋" w:hAnsi="仿宋" w:eastAsia="仿宋" w:cs="仿宋"/>
          <w:b/>
          <w:color w:val="auto"/>
          <w:sz w:val="24"/>
          <w:szCs w:val="24"/>
          <w:highlight w:val="none"/>
          <w:shd w:val="clear" w:color="auto" w:fill="FFFFFF" w:themeFill="background1"/>
        </w:rPr>
        <w:t>二、磋商价格明细表</w:t>
      </w:r>
      <w:bookmarkEnd w:id="68"/>
    </w:p>
    <w:tbl>
      <w:tblPr>
        <w:tblStyle w:val="43"/>
        <w:tblW w:w="82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63"/>
        <w:gridCol w:w="3282"/>
        <w:gridCol w:w="2194"/>
        <w:gridCol w:w="1560"/>
      </w:tblGrid>
      <w:tr w14:paraId="290B70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15FE4C4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序号</w:t>
            </w:r>
          </w:p>
        </w:tc>
        <w:tc>
          <w:tcPr>
            <w:tcW w:w="3282" w:type="dxa"/>
            <w:vAlign w:val="center"/>
          </w:tcPr>
          <w:p w14:paraId="6C03F2B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名称</w:t>
            </w:r>
          </w:p>
        </w:tc>
        <w:tc>
          <w:tcPr>
            <w:tcW w:w="2194" w:type="dxa"/>
            <w:vAlign w:val="center"/>
          </w:tcPr>
          <w:p w14:paraId="02EEED1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小计（元）</w:t>
            </w:r>
          </w:p>
        </w:tc>
        <w:tc>
          <w:tcPr>
            <w:tcW w:w="1560" w:type="dxa"/>
            <w:vAlign w:val="center"/>
          </w:tcPr>
          <w:p w14:paraId="59C56F6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备注</w:t>
            </w:r>
          </w:p>
        </w:tc>
      </w:tr>
      <w:tr w14:paraId="0289ED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7E2CC8B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1</w:t>
            </w:r>
          </w:p>
        </w:tc>
        <w:tc>
          <w:tcPr>
            <w:tcW w:w="3282" w:type="dxa"/>
            <w:vAlign w:val="center"/>
          </w:tcPr>
          <w:p w14:paraId="0E51155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94" w:type="dxa"/>
            <w:vAlign w:val="center"/>
          </w:tcPr>
          <w:p w14:paraId="0D23C10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560" w:type="dxa"/>
            <w:vAlign w:val="center"/>
          </w:tcPr>
          <w:p w14:paraId="1ECEAF6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6A0D64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0C8EA57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2</w:t>
            </w:r>
          </w:p>
        </w:tc>
        <w:tc>
          <w:tcPr>
            <w:tcW w:w="3282" w:type="dxa"/>
            <w:vAlign w:val="center"/>
          </w:tcPr>
          <w:p w14:paraId="20BD8B2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94" w:type="dxa"/>
            <w:vAlign w:val="center"/>
          </w:tcPr>
          <w:p w14:paraId="64FCBDF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560" w:type="dxa"/>
            <w:vAlign w:val="center"/>
          </w:tcPr>
          <w:p w14:paraId="6078EF2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76C1CE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4E54E68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3</w:t>
            </w:r>
          </w:p>
        </w:tc>
        <w:tc>
          <w:tcPr>
            <w:tcW w:w="3282" w:type="dxa"/>
            <w:vAlign w:val="center"/>
          </w:tcPr>
          <w:p w14:paraId="26D93EB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94" w:type="dxa"/>
            <w:vAlign w:val="center"/>
          </w:tcPr>
          <w:p w14:paraId="1E8F22C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560" w:type="dxa"/>
            <w:vAlign w:val="center"/>
          </w:tcPr>
          <w:p w14:paraId="6D674FA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574DAB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16C8585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4</w:t>
            </w:r>
          </w:p>
        </w:tc>
        <w:tc>
          <w:tcPr>
            <w:tcW w:w="3282" w:type="dxa"/>
            <w:vAlign w:val="center"/>
          </w:tcPr>
          <w:p w14:paraId="4AD3064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94" w:type="dxa"/>
            <w:vAlign w:val="center"/>
          </w:tcPr>
          <w:p w14:paraId="0C028C1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560" w:type="dxa"/>
            <w:vAlign w:val="center"/>
          </w:tcPr>
          <w:p w14:paraId="6B35292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5EB4A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1263" w:type="dxa"/>
            <w:vAlign w:val="center"/>
          </w:tcPr>
          <w:p w14:paraId="6D9D1F1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w:t>
            </w:r>
          </w:p>
        </w:tc>
        <w:tc>
          <w:tcPr>
            <w:tcW w:w="3282" w:type="dxa"/>
            <w:vAlign w:val="center"/>
          </w:tcPr>
          <w:p w14:paraId="1B40591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94" w:type="dxa"/>
            <w:vAlign w:val="center"/>
          </w:tcPr>
          <w:p w14:paraId="02B88C0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560" w:type="dxa"/>
            <w:vAlign w:val="center"/>
          </w:tcPr>
          <w:p w14:paraId="671B79B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346956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545" w:type="dxa"/>
            <w:gridSpan w:val="2"/>
            <w:vAlign w:val="center"/>
          </w:tcPr>
          <w:p w14:paraId="17C3761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合计</w:t>
            </w:r>
          </w:p>
        </w:tc>
        <w:tc>
          <w:tcPr>
            <w:tcW w:w="2194" w:type="dxa"/>
            <w:vAlign w:val="center"/>
          </w:tcPr>
          <w:p w14:paraId="760C310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560" w:type="dxa"/>
            <w:vAlign w:val="center"/>
          </w:tcPr>
          <w:p w14:paraId="16FB4D0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bl>
    <w:p w14:paraId="64926669">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highlight w:val="none"/>
          <w:shd w:val="clear" w:color="auto" w:fill="FFFFFF" w:themeFill="background1"/>
        </w:rPr>
      </w:pPr>
    </w:p>
    <w:p w14:paraId="430698C0">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highlight w:val="none"/>
          <w:shd w:val="clear" w:color="auto" w:fill="FFFFFF" w:themeFill="background1"/>
        </w:rPr>
      </w:pPr>
      <w:r>
        <w:rPr>
          <w:rFonts w:hint="eastAsia" w:ascii="仿宋" w:hAnsi="仿宋" w:eastAsia="仿宋" w:cs="仿宋"/>
          <w:color w:val="auto"/>
          <w:highlight w:val="none"/>
          <w:shd w:val="clear" w:color="auto" w:fill="FFFFFF" w:themeFill="background1"/>
        </w:rPr>
        <w:t>注：</w:t>
      </w:r>
    </w:p>
    <w:p w14:paraId="63DD9338">
      <w:pPr>
        <w:keepLines w:val="0"/>
        <w:pageBreakBefore w:val="0"/>
        <w:kinsoku/>
        <w:overflowPunct/>
        <w:topLinePunct w:val="0"/>
        <w:bidi w:val="0"/>
        <w:spacing w:beforeAutospacing="0" w:afterAutospacing="0" w:line="360" w:lineRule="auto"/>
        <w:ind w:firstLine="420" w:firstLineChars="200"/>
        <w:jc w:val="left"/>
        <w:textAlignment w:val="auto"/>
        <w:rPr>
          <w:rFonts w:hint="eastAsia" w:ascii="仿宋" w:hAnsi="仿宋" w:eastAsia="仿宋" w:cs="仿宋"/>
          <w:color w:val="auto"/>
          <w:highlight w:val="none"/>
          <w:shd w:val="clear" w:color="auto" w:fill="FFFFFF" w:themeFill="background1"/>
        </w:rPr>
      </w:pPr>
      <w:r>
        <w:rPr>
          <w:rFonts w:hint="eastAsia" w:ascii="仿宋" w:hAnsi="仿宋" w:eastAsia="仿宋" w:cs="仿宋"/>
          <w:color w:val="auto"/>
          <w:highlight w:val="none"/>
          <w:shd w:val="clear" w:color="auto" w:fill="FFFFFF" w:themeFill="background1"/>
        </w:rPr>
        <w:t>1、供应商填报磋商价格合计应与投标函载明价格一致，若不一致，应按照第二章评审办法修正原则进行修正。</w:t>
      </w:r>
    </w:p>
    <w:p w14:paraId="6605335B">
      <w:pPr>
        <w:keepLines w:val="0"/>
        <w:pageBreakBefore w:val="0"/>
        <w:kinsoku/>
        <w:overflowPunct/>
        <w:topLinePunct w:val="0"/>
        <w:bidi w:val="0"/>
        <w:spacing w:beforeAutospacing="0" w:afterAutospacing="0" w:line="360" w:lineRule="auto"/>
        <w:ind w:firstLine="420" w:firstLineChars="200"/>
        <w:jc w:val="left"/>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highlight w:val="none"/>
          <w:shd w:val="clear" w:color="auto" w:fill="FFFFFF" w:themeFill="background1"/>
        </w:rPr>
        <w:t>2、供应商的服务只允许有一个报价，采购人不接受有任何选择的报价。磋商价格应包括供应商履行本项目合同（如果成交）所必须的所有成本费用和成交供应商应承担的一切费用，包括但不仅限于必要资料、交通、保险、人工费、税费等一切费用。未列和没有填写的项目费用，采购人将视为已包括在磋商价格中。</w:t>
      </w:r>
    </w:p>
    <w:p w14:paraId="6CCD0067">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p w14:paraId="7B6038C7">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p>
    <w:p w14:paraId="4AE2B148">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3E08C1C1">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法定代表人：</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r>
        <w:rPr>
          <w:rFonts w:hint="eastAsia" w:ascii="仿宋" w:hAnsi="仿宋" w:eastAsia="仿宋" w:cs="仿宋"/>
          <w:color w:val="auto"/>
          <w:kern w:val="0"/>
          <w:sz w:val="24"/>
          <w:szCs w:val="24"/>
          <w:highlight w:val="none"/>
          <w:shd w:val="clear" w:color="auto" w:fill="FFFFFF" w:themeFill="background1"/>
          <w:lang w:val="en-US" w:eastAsia="zh-CN"/>
        </w:rPr>
        <w:t>或签名</w:t>
      </w:r>
      <w:r>
        <w:rPr>
          <w:rFonts w:hint="eastAsia" w:ascii="仿宋" w:hAnsi="仿宋" w:eastAsia="仿宋" w:cs="仿宋"/>
          <w:color w:val="auto"/>
          <w:kern w:val="0"/>
          <w:sz w:val="24"/>
          <w:szCs w:val="24"/>
          <w:highlight w:val="none"/>
          <w:shd w:val="clear" w:color="auto" w:fill="FFFFFF" w:themeFill="background1"/>
        </w:rPr>
        <w:t>）</w:t>
      </w:r>
    </w:p>
    <w:p w14:paraId="3F1C931B">
      <w:pPr>
        <w:keepLines w:val="0"/>
        <w:pageBreakBefore w:val="0"/>
        <w:widowControl/>
        <w:shd w:val="clear" w:color="auto" w:fill="FFFFFF"/>
        <w:kinsoku/>
        <w:overflowPunct/>
        <w:topLinePunct w:val="0"/>
        <w:bidi w:val="0"/>
        <w:snapToGrid w:val="0"/>
        <w:spacing w:beforeAutospacing="0" w:afterAutospacing="0" w:line="360" w:lineRule="auto"/>
        <w:ind w:firstLine="42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                                               日期： 年  月  日</w:t>
      </w:r>
    </w:p>
    <w:p w14:paraId="6E605B30">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bCs/>
          <w:color w:val="auto"/>
          <w:kern w:val="36"/>
          <w:sz w:val="24"/>
          <w:szCs w:val="24"/>
          <w:highlight w:val="none"/>
          <w:shd w:val="clear" w:color="auto" w:fill="FFFFFF" w:themeFill="background1"/>
        </w:rPr>
        <w:br w:type="page"/>
      </w:r>
    </w:p>
    <w:p w14:paraId="5F1FEBC7">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color w:val="auto"/>
          <w:kern w:val="0"/>
          <w:sz w:val="24"/>
          <w:szCs w:val="24"/>
          <w:highlight w:val="none"/>
          <w:shd w:val="clear" w:color="auto" w:fill="FFFFFF" w:themeFill="background1"/>
        </w:rPr>
      </w:pPr>
      <w:bookmarkStart w:id="69" w:name="_Toc31421"/>
      <w:r>
        <w:rPr>
          <w:rFonts w:hint="eastAsia" w:ascii="仿宋" w:hAnsi="仿宋" w:eastAsia="仿宋" w:cs="仿宋"/>
          <w:b/>
          <w:color w:val="auto"/>
          <w:sz w:val="24"/>
          <w:szCs w:val="24"/>
          <w:highlight w:val="none"/>
          <w:shd w:val="clear" w:color="auto" w:fill="FFFFFF" w:themeFill="background1"/>
        </w:rPr>
        <w:t>三、商务条款偏离表</w:t>
      </w:r>
      <w:bookmarkEnd w:id="65"/>
      <w:bookmarkEnd w:id="66"/>
      <w:bookmarkEnd w:id="67"/>
      <w:bookmarkEnd w:id="69"/>
    </w:p>
    <w:tbl>
      <w:tblPr>
        <w:tblStyle w:val="43"/>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33"/>
        <w:gridCol w:w="1814"/>
        <w:gridCol w:w="2083"/>
        <w:gridCol w:w="2182"/>
        <w:gridCol w:w="1155"/>
        <w:gridCol w:w="1219"/>
      </w:tblGrid>
      <w:tr w14:paraId="1F0EE62E">
        <w:tblPrEx>
          <w:tblCellMar>
            <w:top w:w="0" w:type="dxa"/>
            <w:left w:w="108" w:type="dxa"/>
            <w:bottom w:w="0" w:type="dxa"/>
            <w:right w:w="108" w:type="dxa"/>
          </w:tblCellMar>
        </w:tblPrEx>
        <w:trPr>
          <w:trHeight w:val="567" w:hRule="atLeast"/>
          <w:jc w:val="center"/>
        </w:trPr>
        <w:tc>
          <w:tcPr>
            <w:tcW w:w="833" w:type="dxa"/>
            <w:vAlign w:val="center"/>
          </w:tcPr>
          <w:p w14:paraId="538ED89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序号</w:t>
            </w:r>
          </w:p>
        </w:tc>
        <w:tc>
          <w:tcPr>
            <w:tcW w:w="1814" w:type="dxa"/>
            <w:vAlign w:val="center"/>
          </w:tcPr>
          <w:p w14:paraId="1A68D45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竞争性磋商文件条目号</w:t>
            </w:r>
          </w:p>
        </w:tc>
        <w:tc>
          <w:tcPr>
            <w:tcW w:w="2083" w:type="dxa"/>
            <w:vAlign w:val="center"/>
          </w:tcPr>
          <w:p w14:paraId="67AF52B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竞争性磋商文件的商务条款</w:t>
            </w:r>
          </w:p>
        </w:tc>
        <w:tc>
          <w:tcPr>
            <w:tcW w:w="2182" w:type="dxa"/>
            <w:vAlign w:val="center"/>
          </w:tcPr>
          <w:p w14:paraId="09CA0F2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响应文件的商务条款</w:t>
            </w:r>
          </w:p>
        </w:tc>
        <w:tc>
          <w:tcPr>
            <w:tcW w:w="1155" w:type="dxa"/>
            <w:vAlign w:val="center"/>
          </w:tcPr>
          <w:p w14:paraId="6DA1B0A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偏离</w:t>
            </w:r>
          </w:p>
        </w:tc>
        <w:tc>
          <w:tcPr>
            <w:tcW w:w="1219" w:type="dxa"/>
            <w:vAlign w:val="center"/>
          </w:tcPr>
          <w:p w14:paraId="51CCA33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说明</w:t>
            </w:r>
          </w:p>
        </w:tc>
      </w:tr>
      <w:tr w14:paraId="662527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F4A736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4FA1E49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53A705A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60E6007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0878E60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1C42584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3394B5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0CEEC8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4DEE26B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5002F6E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3457602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14CDBD0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31933AE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3769A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3A445F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3A50931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7EE0E6F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4F8B265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6A5A90C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3ECB438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1F1E9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3F53FB5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175DC3A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1035020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668C8B1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40016A4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0ECE338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28F7F9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8047A9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47CBC4B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451A561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052B61C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0041EB2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097A878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bl>
    <w:p w14:paraId="4AD832A1">
      <w:pPr>
        <w:keepLines w:val="0"/>
        <w:pageBreakBefore w:val="0"/>
        <w:kinsoku/>
        <w:overflowPunct/>
        <w:topLinePunct w:val="0"/>
        <w:bidi w:val="0"/>
        <w:spacing w:beforeAutospacing="0" w:afterAutospacing="0" w:line="360" w:lineRule="auto"/>
        <w:ind w:firstLine="420" w:firstLineChars="200"/>
        <w:jc w:val="left"/>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Cs w:val="24"/>
          <w:highlight w:val="none"/>
          <w:shd w:val="clear" w:color="auto" w:fill="FFFFFF" w:themeFill="background1"/>
        </w:rPr>
        <w:t>注：供应商对磋商文件商务条款有偏离的，应在此表中列明实际响应的内容并加以说明，以便查对。请在此偏离表“偏离”中填写无偏离或正偏离或负偏离。</w:t>
      </w:r>
    </w:p>
    <w:p w14:paraId="1DCA3360">
      <w:pPr>
        <w:keepLines w:val="0"/>
        <w:pageBreakBefore w:val="0"/>
        <w:kinsoku/>
        <w:overflowPunct/>
        <w:topLinePunct w:val="0"/>
        <w:bidi w:val="0"/>
        <w:spacing w:beforeAutospacing="0" w:afterAutospacing="0" w:line="360" w:lineRule="auto"/>
        <w:ind w:firstLine="480" w:firstLineChars="200"/>
        <w:jc w:val="left"/>
        <w:textAlignment w:val="auto"/>
        <w:rPr>
          <w:rFonts w:hint="eastAsia" w:ascii="仿宋" w:hAnsi="仿宋" w:eastAsia="仿宋" w:cs="仿宋"/>
          <w:color w:val="auto"/>
          <w:sz w:val="24"/>
          <w:szCs w:val="24"/>
          <w:highlight w:val="none"/>
          <w:shd w:val="clear" w:color="auto" w:fill="FFFFFF" w:themeFill="background1"/>
        </w:rPr>
      </w:pPr>
    </w:p>
    <w:p w14:paraId="5ED5306F">
      <w:pPr>
        <w:keepLines w:val="0"/>
        <w:pageBreakBefore w:val="0"/>
        <w:kinsoku/>
        <w:overflowPunct/>
        <w:topLinePunct w:val="0"/>
        <w:bidi w:val="0"/>
        <w:spacing w:beforeAutospacing="0" w:afterAutospacing="0" w:line="360" w:lineRule="auto"/>
        <w:ind w:firstLine="480" w:firstLineChars="200"/>
        <w:jc w:val="left"/>
        <w:textAlignment w:val="auto"/>
        <w:rPr>
          <w:rFonts w:hint="eastAsia" w:ascii="仿宋" w:hAnsi="仿宋" w:eastAsia="仿宋" w:cs="仿宋"/>
          <w:color w:val="auto"/>
          <w:sz w:val="24"/>
          <w:szCs w:val="24"/>
          <w:highlight w:val="none"/>
          <w:shd w:val="clear" w:color="auto" w:fill="FFFFFF" w:themeFill="background1"/>
        </w:rPr>
      </w:pPr>
    </w:p>
    <w:p w14:paraId="3503CEE5">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p w14:paraId="14F84F26">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p w14:paraId="1922C869">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p w14:paraId="6CEE6775">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p>
    <w:p w14:paraId="0FD4357B">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650FC793">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法定代表人：</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r>
        <w:rPr>
          <w:rFonts w:hint="eastAsia" w:ascii="仿宋" w:hAnsi="仿宋" w:eastAsia="仿宋" w:cs="仿宋"/>
          <w:color w:val="auto"/>
          <w:kern w:val="0"/>
          <w:sz w:val="24"/>
          <w:szCs w:val="24"/>
          <w:highlight w:val="none"/>
          <w:shd w:val="clear" w:color="auto" w:fill="FFFFFF" w:themeFill="background1"/>
          <w:lang w:val="en-US" w:eastAsia="zh-CN"/>
        </w:rPr>
        <w:t>或签名</w:t>
      </w:r>
      <w:r>
        <w:rPr>
          <w:rFonts w:hint="eastAsia" w:ascii="仿宋" w:hAnsi="仿宋" w:eastAsia="仿宋" w:cs="仿宋"/>
          <w:color w:val="auto"/>
          <w:kern w:val="0"/>
          <w:sz w:val="24"/>
          <w:szCs w:val="24"/>
          <w:highlight w:val="none"/>
          <w:shd w:val="clear" w:color="auto" w:fill="FFFFFF" w:themeFill="background1"/>
        </w:rPr>
        <w:t>）</w:t>
      </w:r>
    </w:p>
    <w:p w14:paraId="0372EDA7">
      <w:pPr>
        <w:keepLines w:val="0"/>
        <w:pageBreakBefore w:val="0"/>
        <w:widowControl/>
        <w:shd w:val="clear" w:color="auto" w:fill="FFFFFF"/>
        <w:kinsoku/>
        <w:overflowPunct/>
        <w:topLinePunct w:val="0"/>
        <w:bidi w:val="0"/>
        <w:snapToGrid w:val="0"/>
        <w:spacing w:beforeAutospacing="0" w:afterAutospacing="0" w:line="360" w:lineRule="auto"/>
        <w:ind w:firstLine="42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                                               日期： 年  月  日</w:t>
      </w:r>
    </w:p>
    <w:p w14:paraId="7B7537A6">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b/>
          <w:bCs/>
          <w:color w:val="auto"/>
          <w:kern w:val="36"/>
          <w:sz w:val="24"/>
          <w:szCs w:val="24"/>
          <w:highlight w:val="none"/>
          <w:shd w:val="clear" w:color="auto" w:fill="FFFFFF" w:themeFill="background1"/>
        </w:rPr>
      </w:pPr>
      <w:r>
        <w:rPr>
          <w:rFonts w:hint="eastAsia" w:ascii="仿宋" w:hAnsi="仿宋" w:eastAsia="仿宋" w:cs="仿宋"/>
          <w:b/>
          <w:bCs/>
          <w:color w:val="auto"/>
          <w:kern w:val="36"/>
          <w:sz w:val="24"/>
          <w:szCs w:val="24"/>
          <w:highlight w:val="none"/>
          <w:shd w:val="clear" w:color="auto" w:fill="FFFFFF" w:themeFill="background1"/>
        </w:rPr>
        <w:br w:type="page"/>
      </w:r>
    </w:p>
    <w:p w14:paraId="38FF0643">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color w:val="auto"/>
          <w:kern w:val="0"/>
          <w:sz w:val="24"/>
          <w:szCs w:val="24"/>
          <w:highlight w:val="none"/>
          <w:shd w:val="clear" w:color="auto" w:fill="FFFFFF" w:themeFill="background1"/>
        </w:rPr>
      </w:pPr>
      <w:bookmarkStart w:id="70" w:name="_Toc15308"/>
      <w:r>
        <w:rPr>
          <w:rFonts w:hint="eastAsia" w:ascii="仿宋" w:hAnsi="仿宋" w:eastAsia="仿宋" w:cs="仿宋"/>
          <w:b/>
          <w:color w:val="auto"/>
          <w:sz w:val="24"/>
          <w:szCs w:val="24"/>
          <w:highlight w:val="none"/>
          <w:shd w:val="clear" w:color="auto" w:fill="FFFFFF" w:themeFill="background1"/>
        </w:rPr>
        <w:t>四、技术条款偏离表</w:t>
      </w:r>
      <w:bookmarkEnd w:id="70"/>
    </w:p>
    <w:tbl>
      <w:tblPr>
        <w:tblStyle w:val="43"/>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33"/>
        <w:gridCol w:w="1814"/>
        <w:gridCol w:w="2083"/>
        <w:gridCol w:w="2182"/>
        <w:gridCol w:w="1155"/>
        <w:gridCol w:w="1219"/>
      </w:tblGrid>
      <w:tr w14:paraId="3F375B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5B361A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序号</w:t>
            </w:r>
          </w:p>
        </w:tc>
        <w:tc>
          <w:tcPr>
            <w:tcW w:w="1814" w:type="dxa"/>
            <w:vAlign w:val="center"/>
          </w:tcPr>
          <w:p w14:paraId="513581F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竞争性磋商文件条目号</w:t>
            </w:r>
          </w:p>
        </w:tc>
        <w:tc>
          <w:tcPr>
            <w:tcW w:w="2083" w:type="dxa"/>
            <w:vAlign w:val="center"/>
          </w:tcPr>
          <w:p w14:paraId="5B2F780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竞争性磋商文件的技术条款</w:t>
            </w:r>
          </w:p>
        </w:tc>
        <w:tc>
          <w:tcPr>
            <w:tcW w:w="2182" w:type="dxa"/>
            <w:vAlign w:val="center"/>
          </w:tcPr>
          <w:p w14:paraId="3CE68DF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响应文件的技术条款</w:t>
            </w:r>
          </w:p>
        </w:tc>
        <w:tc>
          <w:tcPr>
            <w:tcW w:w="1155" w:type="dxa"/>
            <w:vAlign w:val="center"/>
          </w:tcPr>
          <w:p w14:paraId="63A199F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偏离</w:t>
            </w:r>
          </w:p>
        </w:tc>
        <w:tc>
          <w:tcPr>
            <w:tcW w:w="1219" w:type="dxa"/>
            <w:vAlign w:val="center"/>
          </w:tcPr>
          <w:p w14:paraId="6C81567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说明</w:t>
            </w:r>
          </w:p>
        </w:tc>
      </w:tr>
      <w:tr w14:paraId="6D3B2D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05C8B56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2136C28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54B5950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15213F8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00B5007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56E0E49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14604E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5B1D6B6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7F2B5FA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63060CF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20BFC16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7CCC2B3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0FA5C8E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7DFFE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73448E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4D42751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4E413DF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0DB210F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5165B4D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4DD69DF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1E5C6E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85FBF7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421CAF5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1C56761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5DB2F42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3F89D47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480BD88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7207A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045F62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814" w:type="dxa"/>
            <w:vAlign w:val="center"/>
          </w:tcPr>
          <w:p w14:paraId="3B67FFF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083" w:type="dxa"/>
            <w:vAlign w:val="center"/>
          </w:tcPr>
          <w:p w14:paraId="493AA3D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2182" w:type="dxa"/>
            <w:vAlign w:val="center"/>
          </w:tcPr>
          <w:p w14:paraId="26F489E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155" w:type="dxa"/>
            <w:vAlign w:val="center"/>
          </w:tcPr>
          <w:p w14:paraId="3228897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1219" w:type="dxa"/>
            <w:vAlign w:val="center"/>
          </w:tcPr>
          <w:p w14:paraId="7C5CF82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bl>
    <w:p w14:paraId="4AC8F707">
      <w:pPr>
        <w:keepLines w:val="0"/>
        <w:pageBreakBefore w:val="0"/>
        <w:kinsoku/>
        <w:overflowPunct/>
        <w:topLinePunct w:val="0"/>
        <w:bidi w:val="0"/>
        <w:spacing w:beforeAutospacing="0" w:afterAutospacing="0" w:line="360" w:lineRule="auto"/>
        <w:ind w:firstLine="420" w:firstLineChars="200"/>
        <w:jc w:val="left"/>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Cs w:val="24"/>
          <w:highlight w:val="none"/>
          <w:shd w:val="clear" w:color="auto" w:fill="FFFFFF" w:themeFill="background1"/>
        </w:rPr>
        <w:t>注：供应商对磋商文件</w:t>
      </w:r>
      <w:r>
        <w:rPr>
          <w:rFonts w:hint="eastAsia" w:ascii="仿宋" w:hAnsi="仿宋" w:eastAsia="仿宋" w:cs="仿宋"/>
          <w:bCs/>
          <w:color w:val="auto"/>
          <w:szCs w:val="21"/>
          <w:highlight w:val="none"/>
          <w:shd w:val="clear" w:color="auto" w:fill="FFFFFF" w:themeFill="background1"/>
        </w:rPr>
        <w:t>技术</w:t>
      </w:r>
      <w:r>
        <w:rPr>
          <w:rFonts w:hint="eastAsia" w:ascii="仿宋" w:hAnsi="仿宋" w:eastAsia="仿宋" w:cs="仿宋"/>
          <w:color w:val="auto"/>
          <w:szCs w:val="24"/>
          <w:highlight w:val="none"/>
          <w:shd w:val="clear" w:color="auto" w:fill="FFFFFF" w:themeFill="background1"/>
        </w:rPr>
        <w:t>条款有偏离的，应在此表中列明实际响应的内容并加以说明，以便查对。请在此偏离表“偏离”中填写无偏离或正偏离或负偏离。</w:t>
      </w:r>
    </w:p>
    <w:p w14:paraId="106B05E2">
      <w:pPr>
        <w:keepLines w:val="0"/>
        <w:pageBreakBefore w:val="0"/>
        <w:kinsoku/>
        <w:overflowPunct/>
        <w:topLinePunct w:val="0"/>
        <w:bidi w:val="0"/>
        <w:spacing w:beforeAutospacing="0" w:afterAutospacing="0" w:line="360" w:lineRule="auto"/>
        <w:ind w:firstLine="480" w:firstLineChars="200"/>
        <w:jc w:val="left"/>
        <w:textAlignment w:val="auto"/>
        <w:rPr>
          <w:rFonts w:hint="eastAsia" w:ascii="仿宋" w:hAnsi="仿宋" w:eastAsia="仿宋" w:cs="仿宋"/>
          <w:color w:val="auto"/>
          <w:sz w:val="24"/>
          <w:szCs w:val="24"/>
          <w:highlight w:val="none"/>
          <w:shd w:val="clear" w:color="auto" w:fill="FFFFFF" w:themeFill="background1"/>
        </w:rPr>
      </w:pPr>
    </w:p>
    <w:p w14:paraId="29D737EC">
      <w:pPr>
        <w:keepLines w:val="0"/>
        <w:pageBreakBefore w:val="0"/>
        <w:kinsoku/>
        <w:overflowPunct/>
        <w:topLinePunct w:val="0"/>
        <w:bidi w:val="0"/>
        <w:spacing w:beforeAutospacing="0" w:afterAutospacing="0" w:line="360" w:lineRule="auto"/>
        <w:ind w:firstLine="480" w:firstLineChars="200"/>
        <w:jc w:val="left"/>
        <w:textAlignment w:val="auto"/>
        <w:rPr>
          <w:rFonts w:hint="eastAsia" w:ascii="仿宋" w:hAnsi="仿宋" w:eastAsia="仿宋" w:cs="仿宋"/>
          <w:color w:val="auto"/>
          <w:sz w:val="24"/>
          <w:szCs w:val="24"/>
          <w:highlight w:val="none"/>
          <w:shd w:val="clear" w:color="auto" w:fill="FFFFFF" w:themeFill="background1"/>
        </w:rPr>
      </w:pPr>
    </w:p>
    <w:p w14:paraId="5780F832">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p w14:paraId="7FF173D8">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p w14:paraId="1B1A0B87">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p w14:paraId="36D56DF5">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p>
    <w:p w14:paraId="7E9ABC59">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1E65A3CF">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法定代表人：</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r>
        <w:rPr>
          <w:rFonts w:hint="eastAsia" w:ascii="仿宋" w:hAnsi="仿宋" w:eastAsia="仿宋" w:cs="仿宋"/>
          <w:color w:val="auto"/>
          <w:kern w:val="0"/>
          <w:sz w:val="24"/>
          <w:szCs w:val="24"/>
          <w:highlight w:val="none"/>
          <w:shd w:val="clear" w:color="auto" w:fill="FFFFFF" w:themeFill="background1"/>
          <w:lang w:val="en-US" w:eastAsia="zh-CN"/>
        </w:rPr>
        <w:t>或签名</w:t>
      </w:r>
      <w:r>
        <w:rPr>
          <w:rFonts w:hint="eastAsia" w:ascii="仿宋" w:hAnsi="仿宋" w:eastAsia="仿宋" w:cs="仿宋"/>
          <w:color w:val="auto"/>
          <w:kern w:val="0"/>
          <w:sz w:val="24"/>
          <w:szCs w:val="24"/>
          <w:highlight w:val="none"/>
          <w:shd w:val="clear" w:color="auto" w:fill="FFFFFF" w:themeFill="background1"/>
        </w:rPr>
        <w:t>）</w:t>
      </w:r>
    </w:p>
    <w:p w14:paraId="24918D42">
      <w:pPr>
        <w:keepLines w:val="0"/>
        <w:pageBreakBefore w:val="0"/>
        <w:widowControl/>
        <w:shd w:val="clear" w:color="auto" w:fill="FFFFFF"/>
        <w:kinsoku/>
        <w:overflowPunct/>
        <w:topLinePunct w:val="0"/>
        <w:bidi w:val="0"/>
        <w:snapToGrid w:val="0"/>
        <w:spacing w:beforeAutospacing="0" w:afterAutospacing="0" w:line="360" w:lineRule="auto"/>
        <w:ind w:firstLine="42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                                               日期： 年  月  日</w:t>
      </w:r>
    </w:p>
    <w:p w14:paraId="634D7C66">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bCs/>
          <w:color w:val="auto"/>
          <w:kern w:val="36"/>
          <w:sz w:val="24"/>
          <w:szCs w:val="24"/>
          <w:highlight w:val="none"/>
          <w:shd w:val="clear" w:color="auto" w:fill="FFFFFF" w:themeFill="background1"/>
        </w:rPr>
        <w:br w:type="page"/>
      </w:r>
      <w:bookmarkStart w:id="71" w:name="_Toc38446475"/>
      <w:bookmarkStart w:id="72" w:name="_Toc507586170"/>
      <w:bookmarkStart w:id="73" w:name="_Toc11126"/>
      <w:bookmarkStart w:id="74" w:name="_Toc533503185"/>
      <w:r>
        <w:rPr>
          <w:rFonts w:hint="eastAsia" w:ascii="仿宋" w:hAnsi="仿宋" w:eastAsia="仿宋" w:cs="仿宋"/>
          <w:b/>
          <w:color w:val="auto"/>
          <w:sz w:val="24"/>
          <w:szCs w:val="24"/>
          <w:highlight w:val="none"/>
          <w:shd w:val="clear" w:color="auto" w:fill="FFFFFF" w:themeFill="background1"/>
        </w:rPr>
        <w:t>五、法定代表人身份证明书</w:t>
      </w:r>
      <w:bookmarkEnd w:id="71"/>
      <w:bookmarkEnd w:id="72"/>
      <w:bookmarkEnd w:id="73"/>
      <w:bookmarkEnd w:id="74"/>
    </w:p>
    <w:p w14:paraId="3D157862">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7AF2A1DF">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投 标 人：</w:t>
      </w:r>
      <w:r>
        <w:rPr>
          <w:rFonts w:hint="eastAsia" w:ascii="仿宋" w:hAnsi="仿宋" w:eastAsia="仿宋" w:cs="仿宋"/>
          <w:color w:val="auto"/>
          <w:kern w:val="0"/>
          <w:sz w:val="24"/>
          <w:szCs w:val="24"/>
          <w:highlight w:val="none"/>
          <w:u w:val="single"/>
          <w:shd w:val="clear" w:color="auto" w:fill="FFFFFF" w:themeFill="background1"/>
        </w:rPr>
        <w:t xml:space="preserve">                              </w:t>
      </w:r>
    </w:p>
    <w:p w14:paraId="7AF5093C">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单位性质：</w:t>
      </w:r>
      <w:r>
        <w:rPr>
          <w:rFonts w:hint="eastAsia" w:ascii="仿宋" w:hAnsi="仿宋" w:eastAsia="仿宋" w:cs="仿宋"/>
          <w:color w:val="auto"/>
          <w:kern w:val="0"/>
          <w:sz w:val="24"/>
          <w:szCs w:val="24"/>
          <w:highlight w:val="none"/>
          <w:u w:val="single"/>
          <w:shd w:val="clear" w:color="auto" w:fill="FFFFFF" w:themeFill="background1"/>
        </w:rPr>
        <w:t xml:space="preserve">                              </w:t>
      </w:r>
    </w:p>
    <w:p w14:paraId="5FC58D50">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地    址：</w:t>
      </w:r>
      <w:r>
        <w:rPr>
          <w:rFonts w:hint="eastAsia" w:ascii="仿宋" w:hAnsi="仿宋" w:eastAsia="仿宋" w:cs="仿宋"/>
          <w:color w:val="auto"/>
          <w:kern w:val="0"/>
          <w:sz w:val="24"/>
          <w:szCs w:val="24"/>
          <w:highlight w:val="none"/>
          <w:u w:val="single"/>
          <w:shd w:val="clear" w:color="auto" w:fill="FFFFFF" w:themeFill="background1"/>
        </w:rPr>
        <w:t xml:space="preserve">                              </w:t>
      </w:r>
    </w:p>
    <w:p w14:paraId="5393A05F">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成立时间：</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年</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月</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日</w:t>
      </w:r>
    </w:p>
    <w:p w14:paraId="625E10C9">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经营期限：</w:t>
      </w:r>
      <w:r>
        <w:rPr>
          <w:rFonts w:hint="eastAsia" w:ascii="仿宋" w:hAnsi="仿宋" w:eastAsia="仿宋" w:cs="仿宋"/>
          <w:color w:val="auto"/>
          <w:kern w:val="0"/>
          <w:sz w:val="24"/>
          <w:szCs w:val="24"/>
          <w:highlight w:val="none"/>
          <w:u w:val="single"/>
          <w:shd w:val="clear" w:color="auto" w:fill="FFFFFF" w:themeFill="background1"/>
        </w:rPr>
        <w:t xml:space="preserve">                              </w:t>
      </w:r>
    </w:p>
    <w:p w14:paraId="4C6509BA">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69EBB451">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姓名：</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性别：</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年龄：</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职务：</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系</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（供应商名称）的法定代表人。</w:t>
      </w:r>
    </w:p>
    <w:p w14:paraId="109569E2">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特此证明。</w:t>
      </w:r>
    </w:p>
    <w:p w14:paraId="7705B39C">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75BC6795">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附：法定代表人身份证明</w:t>
      </w:r>
    </w:p>
    <w:p w14:paraId="5F5DF161">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tbl>
      <w:tblPr>
        <w:tblStyle w:val="43"/>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74C0D6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438" w:hRule="exact"/>
        </w:trPr>
        <w:tc>
          <w:tcPr>
            <w:tcW w:w="3969" w:type="dxa"/>
            <w:vAlign w:val="center"/>
          </w:tcPr>
          <w:p w14:paraId="045623C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法定代表人身份证复印件（正面）</w:t>
            </w:r>
          </w:p>
        </w:tc>
      </w:tr>
    </w:tbl>
    <w:p w14:paraId="2A9F25EA">
      <w:pPr>
        <w:keepLines w:val="0"/>
        <w:pageBreakBefore w:val="0"/>
        <w:kinsoku/>
        <w:overflowPunct/>
        <w:topLinePunct w:val="0"/>
        <w:bidi w:val="0"/>
        <w:spacing w:beforeAutospacing="0" w:afterAutospacing="0" w:line="360" w:lineRule="auto"/>
        <w:textAlignment w:val="auto"/>
        <w:rPr>
          <w:rFonts w:hint="eastAsia" w:ascii="仿宋" w:hAnsi="仿宋" w:eastAsia="仿宋" w:cs="仿宋"/>
          <w:vanish/>
          <w:color w:val="auto"/>
          <w:sz w:val="24"/>
          <w:szCs w:val="24"/>
          <w:highlight w:val="none"/>
          <w:shd w:val="clear" w:color="auto" w:fill="FFFFFF" w:themeFill="background1"/>
        </w:rPr>
      </w:pPr>
    </w:p>
    <w:tbl>
      <w:tblPr>
        <w:tblStyle w:val="43"/>
        <w:tblpPr w:leftFromText="180" w:rightFromText="180" w:vertAnchor="text" w:horzAnchor="page" w:tblpX="5971" w:tblpY="-2431"/>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0BCA4D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60901EA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法定代表人身份证复印件（反面）</w:t>
            </w:r>
          </w:p>
        </w:tc>
      </w:tr>
    </w:tbl>
    <w:p w14:paraId="791EEC0F">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   </w:t>
      </w:r>
    </w:p>
    <w:p w14:paraId="0A3066A7">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4612A48E">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p>
    <w:p w14:paraId="70556A6C">
      <w:pPr>
        <w:keepLines w:val="0"/>
        <w:pageBreakBefore w:val="0"/>
        <w:widowControl/>
        <w:shd w:val="clear" w:color="auto" w:fill="FFFFFF"/>
        <w:kinsoku/>
        <w:wordWrap w:val="0"/>
        <w:overflowPunct/>
        <w:topLinePunct w:val="0"/>
        <w:bidi w:val="0"/>
        <w:snapToGrid w:val="0"/>
        <w:spacing w:beforeAutospacing="0" w:afterAutospacing="0" w:line="360" w:lineRule="auto"/>
        <w:jc w:val="righ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日期：</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年</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月</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 xml:space="preserve">日 </w:t>
      </w:r>
    </w:p>
    <w:p w14:paraId="15C053E5">
      <w:pPr>
        <w:keepLines w:val="0"/>
        <w:pageBreakBefore w:val="0"/>
        <w:widowControl/>
        <w:shd w:val="clear" w:color="auto" w:fill="FFFFFF"/>
        <w:kinsoku/>
        <w:overflowPunct/>
        <w:topLinePunct w:val="0"/>
        <w:bidi w:val="0"/>
        <w:snapToGrid w:val="0"/>
        <w:spacing w:beforeAutospacing="0" w:afterAutospacing="0" w:line="360" w:lineRule="auto"/>
        <w:jc w:val="right"/>
        <w:textAlignment w:val="auto"/>
        <w:rPr>
          <w:rFonts w:hint="eastAsia" w:ascii="仿宋" w:hAnsi="仿宋" w:eastAsia="仿宋" w:cs="仿宋"/>
          <w:color w:val="auto"/>
          <w:kern w:val="0"/>
          <w:sz w:val="24"/>
          <w:szCs w:val="24"/>
          <w:highlight w:val="none"/>
          <w:shd w:val="clear" w:color="auto" w:fill="FFFFFF" w:themeFill="background1"/>
        </w:rPr>
      </w:pPr>
    </w:p>
    <w:p w14:paraId="20E69D67">
      <w:pPr>
        <w:keepLines w:val="0"/>
        <w:pageBreakBefore w:val="0"/>
        <w:widowControl/>
        <w:shd w:val="clear" w:color="auto" w:fill="FFFFFF"/>
        <w:kinsoku/>
        <w:overflowPunct/>
        <w:topLinePunct w:val="0"/>
        <w:bidi w:val="0"/>
        <w:snapToGrid w:val="0"/>
        <w:spacing w:beforeAutospacing="0" w:afterAutospacing="0" w:line="360" w:lineRule="auto"/>
        <w:jc w:val="right"/>
        <w:textAlignment w:val="auto"/>
        <w:rPr>
          <w:rFonts w:hint="eastAsia" w:ascii="仿宋" w:hAnsi="仿宋" w:eastAsia="仿宋" w:cs="仿宋"/>
          <w:color w:val="auto"/>
          <w:kern w:val="0"/>
          <w:sz w:val="24"/>
          <w:szCs w:val="24"/>
          <w:highlight w:val="none"/>
          <w:shd w:val="clear" w:color="auto" w:fill="FFFFFF" w:themeFill="background1"/>
        </w:rPr>
      </w:pPr>
    </w:p>
    <w:p w14:paraId="7200DB29">
      <w:pPr>
        <w:keepLines w:val="0"/>
        <w:pageBreakBefore w:val="0"/>
        <w:widowControl/>
        <w:shd w:val="clear" w:color="auto" w:fill="FFFFFF"/>
        <w:kinsoku/>
        <w:overflowPunct/>
        <w:topLinePunct w:val="0"/>
        <w:bidi w:val="0"/>
        <w:snapToGrid w:val="0"/>
        <w:spacing w:beforeAutospacing="0" w:afterAutospacing="0" w:line="360" w:lineRule="auto"/>
        <w:jc w:val="right"/>
        <w:textAlignment w:val="auto"/>
        <w:rPr>
          <w:rFonts w:hint="eastAsia" w:ascii="仿宋" w:hAnsi="仿宋" w:eastAsia="仿宋" w:cs="仿宋"/>
          <w:color w:val="auto"/>
          <w:kern w:val="0"/>
          <w:sz w:val="24"/>
          <w:szCs w:val="24"/>
          <w:highlight w:val="none"/>
          <w:shd w:val="clear" w:color="auto" w:fill="FFFFFF" w:themeFill="background1"/>
        </w:rPr>
      </w:pPr>
    </w:p>
    <w:p w14:paraId="45D0894D">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bCs/>
          <w:color w:val="auto"/>
          <w:kern w:val="0"/>
          <w:sz w:val="24"/>
          <w:szCs w:val="24"/>
          <w:highlight w:val="none"/>
          <w:shd w:val="clear" w:color="auto" w:fill="FFFFFF" w:themeFill="background1"/>
        </w:rPr>
        <w:br w:type="page"/>
      </w:r>
      <w:bookmarkStart w:id="75" w:name="_Toc507586171"/>
      <w:bookmarkStart w:id="76" w:name="_Toc38446476"/>
      <w:bookmarkStart w:id="77" w:name="_Toc7844"/>
      <w:bookmarkStart w:id="78" w:name="_Toc533503186"/>
      <w:r>
        <w:rPr>
          <w:rFonts w:hint="eastAsia" w:ascii="仿宋" w:hAnsi="仿宋" w:eastAsia="仿宋" w:cs="仿宋"/>
          <w:b/>
          <w:color w:val="auto"/>
          <w:sz w:val="24"/>
          <w:szCs w:val="24"/>
          <w:highlight w:val="none"/>
          <w:shd w:val="clear" w:color="auto" w:fill="FFFFFF" w:themeFill="background1"/>
        </w:rPr>
        <w:t>六、法定代表人授权委托书</w:t>
      </w:r>
      <w:bookmarkEnd w:id="75"/>
      <w:bookmarkEnd w:id="76"/>
      <w:bookmarkEnd w:id="77"/>
      <w:bookmarkEnd w:id="78"/>
    </w:p>
    <w:p w14:paraId="61136E9B">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401C614D">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本人</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（姓名）系</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 xml:space="preserve"> （供应商名称）的法定代表人，现拟派我单位</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（姓名）为我方委托代理人。委托代理人根据授权，就</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（招标项目名称）的投标，以本公司名义处理一切与之有关的事务，其法律后果由我方承担。</w:t>
      </w:r>
    </w:p>
    <w:p w14:paraId="6610B108">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u w:val="singl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代理人：</w:t>
      </w:r>
      <w:r>
        <w:rPr>
          <w:rFonts w:hint="eastAsia" w:ascii="仿宋" w:hAnsi="仿宋" w:eastAsia="仿宋" w:cs="仿宋"/>
          <w:i/>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性别：</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 xml:space="preserve"> 年龄：</w:t>
      </w:r>
      <w:r>
        <w:rPr>
          <w:rFonts w:hint="eastAsia" w:ascii="仿宋" w:hAnsi="仿宋" w:eastAsia="仿宋" w:cs="仿宋"/>
          <w:color w:val="auto"/>
          <w:kern w:val="0"/>
          <w:sz w:val="24"/>
          <w:szCs w:val="24"/>
          <w:highlight w:val="none"/>
          <w:u w:val="single"/>
          <w:shd w:val="clear" w:color="auto" w:fill="FFFFFF" w:themeFill="background1"/>
        </w:rPr>
        <w:t xml:space="preserve">                    </w:t>
      </w:r>
    </w:p>
    <w:p w14:paraId="2A2FB3FC">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单  位：</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部门：</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 xml:space="preserve"> 职务：</w:t>
      </w:r>
      <w:r>
        <w:rPr>
          <w:rFonts w:hint="eastAsia" w:ascii="仿宋" w:hAnsi="仿宋" w:eastAsia="仿宋" w:cs="仿宋"/>
          <w:color w:val="auto"/>
          <w:kern w:val="0"/>
          <w:sz w:val="24"/>
          <w:szCs w:val="24"/>
          <w:highlight w:val="none"/>
          <w:u w:val="single"/>
          <w:shd w:val="clear" w:color="auto" w:fill="FFFFFF" w:themeFill="background1"/>
        </w:rPr>
        <w:t xml:space="preserve">                    </w:t>
      </w:r>
    </w:p>
    <w:p w14:paraId="2EA039A3">
      <w:pPr>
        <w:keepLines w:val="0"/>
        <w:pageBreakBefore w:val="0"/>
        <w:widowControl/>
        <w:shd w:val="clear" w:color="auto" w:fill="FFFFFF"/>
        <w:kinsoku/>
        <w:overflowPunct/>
        <w:topLinePunct w:val="0"/>
        <w:bidi w:val="0"/>
        <w:snapToGri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代理人无转委权，特此申明。</w:t>
      </w:r>
    </w:p>
    <w:p w14:paraId="4594D1D6">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4B07AF74">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附：委托代理人身份证明。</w:t>
      </w:r>
    </w:p>
    <w:tbl>
      <w:tblPr>
        <w:tblStyle w:val="43"/>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100B50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7425848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委托代理人身份证复印件（正面）</w:t>
            </w:r>
          </w:p>
        </w:tc>
      </w:tr>
    </w:tbl>
    <w:tbl>
      <w:tblPr>
        <w:tblStyle w:val="43"/>
        <w:tblpPr w:leftFromText="180" w:rightFromText="180" w:vertAnchor="text" w:horzAnchor="margin" w:tblpXSpec="right" w:tblpY="-2443"/>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39E10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6653206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委托代理人身份证复印件（反面）</w:t>
            </w:r>
          </w:p>
        </w:tc>
      </w:tr>
    </w:tbl>
    <w:p w14:paraId="792AF9DF">
      <w:pPr>
        <w:keepLines w:val="0"/>
        <w:pageBreakBefore w:val="0"/>
        <w:kinsoku/>
        <w:overflowPunct/>
        <w:topLinePunct w:val="0"/>
        <w:bidi w:val="0"/>
        <w:spacing w:beforeAutospacing="0" w:afterAutospacing="0" w:line="360" w:lineRule="auto"/>
        <w:textAlignment w:val="auto"/>
        <w:rPr>
          <w:rFonts w:hint="eastAsia" w:ascii="仿宋" w:hAnsi="仿宋" w:eastAsia="仿宋" w:cs="仿宋"/>
          <w:vanish/>
          <w:color w:val="auto"/>
          <w:sz w:val="24"/>
          <w:szCs w:val="24"/>
          <w:highlight w:val="none"/>
          <w:shd w:val="clear" w:color="auto" w:fill="FFFFFF" w:themeFill="background1"/>
        </w:rPr>
      </w:pPr>
    </w:p>
    <w:p w14:paraId="28B342D9">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5579A17F">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b/>
          <w:bCs/>
          <w:color w:val="auto"/>
          <w:kern w:val="0"/>
          <w:sz w:val="24"/>
          <w:szCs w:val="24"/>
          <w:highlight w:val="none"/>
          <w:shd w:val="clear" w:color="auto" w:fill="FFFFFF" w:themeFill="background1"/>
        </w:rPr>
      </w:pPr>
    </w:p>
    <w:p w14:paraId="51598F68">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29874A21">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p>
    <w:p w14:paraId="50982EC8">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6469426F">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法定代表人：</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r>
        <w:rPr>
          <w:rFonts w:hint="eastAsia" w:ascii="仿宋" w:hAnsi="仿宋" w:eastAsia="仿宋" w:cs="仿宋"/>
          <w:color w:val="auto"/>
          <w:kern w:val="0"/>
          <w:sz w:val="24"/>
          <w:szCs w:val="24"/>
          <w:highlight w:val="none"/>
          <w:shd w:val="clear" w:color="auto" w:fill="FFFFFF" w:themeFill="background1"/>
          <w:lang w:val="en-US" w:eastAsia="zh-CN"/>
        </w:rPr>
        <w:t>或签名</w:t>
      </w:r>
      <w:r>
        <w:rPr>
          <w:rFonts w:hint="eastAsia" w:ascii="仿宋" w:hAnsi="仿宋" w:eastAsia="仿宋" w:cs="仿宋"/>
          <w:color w:val="auto"/>
          <w:kern w:val="0"/>
          <w:sz w:val="24"/>
          <w:szCs w:val="24"/>
          <w:highlight w:val="none"/>
          <w:shd w:val="clear" w:color="auto" w:fill="FFFFFF" w:themeFill="background1"/>
        </w:rPr>
        <w:t>）</w:t>
      </w:r>
    </w:p>
    <w:p w14:paraId="18E328D2">
      <w:pPr>
        <w:keepLines w:val="0"/>
        <w:pageBreakBefore w:val="0"/>
        <w:widowControl/>
        <w:shd w:val="clear" w:color="auto" w:fill="FFFFFF"/>
        <w:kinsoku/>
        <w:overflowPunct/>
        <w:topLinePunct w:val="0"/>
        <w:bidi w:val="0"/>
        <w:snapToGrid w:val="0"/>
        <w:spacing w:beforeAutospacing="0" w:afterAutospacing="0" w:line="360" w:lineRule="auto"/>
        <w:ind w:firstLine="42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                                               日期： 年  月  日</w:t>
      </w:r>
    </w:p>
    <w:p w14:paraId="1A4D7CAE">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4FC7B9FF">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 xml:space="preserve"> </w:t>
      </w:r>
    </w:p>
    <w:p w14:paraId="778C4924">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79" w:name="_Toc507586173"/>
      <w:r>
        <w:rPr>
          <w:rFonts w:hint="eastAsia" w:ascii="仿宋" w:hAnsi="仿宋" w:eastAsia="仿宋" w:cs="仿宋"/>
          <w:b/>
          <w:color w:val="auto"/>
          <w:sz w:val="24"/>
          <w:szCs w:val="24"/>
          <w:highlight w:val="none"/>
          <w:shd w:val="clear" w:color="auto" w:fill="FFFFFF" w:themeFill="background1"/>
        </w:rPr>
        <w:br w:type="page"/>
      </w:r>
      <w:bookmarkStart w:id="80" w:name="_Toc11912"/>
      <w:bookmarkStart w:id="81" w:name="_Toc38446478"/>
      <w:bookmarkStart w:id="82" w:name="_Toc533503189"/>
      <w:r>
        <w:rPr>
          <w:rFonts w:hint="eastAsia" w:ascii="仿宋" w:hAnsi="仿宋" w:eastAsia="仿宋" w:cs="仿宋"/>
          <w:b/>
          <w:color w:val="auto"/>
          <w:sz w:val="24"/>
          <w:szCs w:val="24"/>
          <w:highlight w:val="none"/>
          <w:shd w:val="clear" w:color="auto" w:fill="FFFFFF" w:themeFill="background1"/>
        </w:rPr>
        <w:t>七、</w:t>
      </w:r>
      <w:r>
        <w:rPr>
          <w:rFonts w:hint="eastAsia" w:ascii="仿宋" w:hAnsi="仿宋" w:eastAsia="仿宋" w:cs="仿宋"/>
          <w:b/>
          <w:bCs/>
          <w:color w:val="auto"/>
          <w:sz w:val="24"/>
          <w:szCs w:val="24"/>
          <w:highlight w:val="none"/>
          <w:shd w:val="clear" w:color="auto" w:fill="FFFFFF" w:themeFill="background1"/>
        </w:rPr>
        <w:t>供应商资格条件证明材料</w:t>
      </w:r>
      <w:bookmarkEnd w:id="79"/>
      <w:bookmarkEnd w:id="80"/>
      <w:bookmarkEnd w:id="81"/>
      <w:bookmarkEnd w:id="82"/>
    </w:p>
    <w:p w14:paraId="60E45630">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tbl>
      <w:tblPr>
        <w:tblStyle w:val="43"/>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6C3AF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11BF3902">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供应商名称</w:t>
            </w:r>
          </w:p>
        </w:tc>
        <w:tc>
          <w:tcPr>
            <w:tcW w:w="7300" w:type="dxa"/>
            <w:gridSpan w:val="3"/>
            <w:vAlign w:val="center"/>
          </w:tcPr>
          <w:p w14:paraId="5A0B1ACF">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p>
        </w:tc>
      </w:tr>
      <w:tr w14:paraId="552B6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5082E892">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注册地址</w:t>
            </w:r>
          </w:p>
        </w:tc>
        <w:tc>
          <w:tcPr>
            <w:tcW w:w="3165" w:type="dxa"/>
            <w:vAlign w:val="center"/>
          </w:tcPr>
          <w:p w14:paraId="2139DE4E">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995" w:type="dxa"/>
            <w:vAlign w:val="center"/>
          </w:tcPr>
          <w:p w14:paraId="2B3CE0F3">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邮政编码</w:t>
            </w:r>
          </w:p>
        </w:tc>
        <w:tc>
          <w:tcPr>
            <w:tcW w:w="2140" w:type="dxa"/>
            <w:vAlign w:val="center"/>
          </w:tcPr>
          <w:p w14:paraId="61F33AD5">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217F1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0EC5D5D0">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成立时间</w:t>
            </w:r>
          </w:p>
        </w:tc>
        <w:tc>
          <w:tcPr>
            <w:tcW w:w="3165" w:type="dxa"/>
            <w:vAlign w:val="center"/>
          </w:tcPr>
          <w:p w14:paraId="366C23DA">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995" w:type="dxa"/>
            <w:vAlign w:val="center"/>
          </w:tcPr>
          <w:p w14:paraId="458E7318">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企业性质</w:t>
            </w:r>
          </w:p>
        </w:tc>
        <w:tc>
          <w:tcPr>
            <w:tcW w:w="2140" w:type="dxa"/>
            <w:vAlign w:val="center"/>
          </w:tcPr>
          <w:p w14:paraId="063AA8F2">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3E449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752A3FD6">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营业执照号</w:t>
            </w:r>
          </w:p>
        </w:tc>
        <w:tc>
          <w:tcPr>
            <w:tcW w:w="3165" w:type="dxa"/>
            <w:vAlign w:val="center"/>
          </w:tcPr>
          <w:p w14:paraId="4DD1E770">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995" w:type="dxa"/>
            <w:vAlign w:val="center"/>
          </w:tcPr>
          <w:p w14:paraId="6324CF7E">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注册资金</w:t>
            </w:r>
          </w:p>
        </w:tc>
        <w:tc>
          <w:tcPr>
            <w:tcW w:w="2140" w:type="dxa"/>
            <w:vAlign w:val="center"/>
          </w:tcPr>
          <w:p w14:paraId="56AC56AF">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0B5E2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1E6F7FB6">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法定代表人</w:t>
            </w:r>
          </w:p>
        </w:tc>
        <w:tc>
          <w:tcPr>
            <w:tcW w:w="3165" w:type="dxa"/>
            <w:vAlign w:val="center"/>
          </w:tcPr>
          <w:p w14:paraId="62287D85">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995" w:type="dxa"/>
            <w:vAlign w:val="center"/>
          </w:tcPr>
          <w:p w14:paraId="4A40D240">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电话</w:t>
            </w:r>
          </w:p>
        </w:tc>
        <w:tc>
          <w:tcPr>
            <w:tcW w:w="2140" w:type="dxa"/>
            <w:vAlign w:val="center"/>
          </w:tcPr>
          <w:p w14:paraId="447552E8">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6BC66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5BFA3F6">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联系人</w:t>
            </w:r>
          </w:p>
        </w:tc>
        <w:tc>
          <w:tcPr>
            <w:tcW w:w="3165" w:type="dxa"/>
            <w:vAlign w:val="center"/>
          </w:tcPr>
          <w:p w14:paraId="333652ED">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995" w:type="dxa"/>
            <w:vAlign w:val="center"/>
          </w:tcPr>
          <w:p w14:paraId="150CDF98">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电话</w:t>
            </w:r>
          </w:p>
        </w:tc>
        <w:tc>
          <w:tcPr>
            <w:tcW w:w="2140" w:type="dxa"/>
            <w:vAlign w:val="center"/>
          </w:tcPr>
          <w:p w14:paraId="6BE1ECA4">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7BCE0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7C1183BF">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传真</w:t>
            </w:r>
          </w:p>
        </w:tc>
        <w:tc>
          <w:tcPr>
            <w:tcW w:w="3165" w:type="dxa"/>
            <w:vAlign w:val="center"/>
          </w:tcPr>
          <w:p w14:paraId="7D614A66">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995" w:type="dxa"/>
            <w:vAlign w:val="center"/>
          </w:tcPr>
          <w:p w14:paraId="5B0682F5">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网址</w:t>
            </w:r>
          </w:p>
        </w:tc>
        <w:tc>
          <w:tcPr>
            <w:tcW w:w="2140" w:type="dxa"/>
            <w:vAlign w:val="center"/>
          </w:tcPr>
          <w:p w14:paraId="439CB3F9">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101EE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32C88D2">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开户银行</w:t>
            </w:r>
          </w:p>
        </w:tc>
        <w:tc>
          <w:tcPr>
            <w:tcW w:w="3165" w:type="dxa"/>
            <w:vAlign w:val="center"/>
          </w:tcPr>
          <w:p w14:paraId="3C39A44C">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p>
        </w:tc>
        <w:tc>
          <w:tcPr>
            <w:tcW w:w="1995" w:type="dxa"/>
            <w:vAlign w:val="center"/>
          </w:tcPr>
          <w:p w14:paraId="1595B837">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银行帐号</w:t>
            </w:r>
          </w:p>
        </w:tc>
        <w:tc>
          <w:tcPr>
            <w:tcW w:w="2140" w:type="dxa"/>
            <w:vAlign w:val="center"/>
          </w:tcPr>
          <w:p w14:paraId="01832518">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329EE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6678C9AD">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职工概况</w:t>
            </w:r>
          </w:p>
        </w:tc>
        <w:tc>
          <w:tcPr>
            <w:tcW w:w="7300" w:type="dxa"/>
            <w:gridSpan w:val="3"/>
            <w:vAlign w:val="center"/>
          </w:tcPr>
          <w:p w14:paraId="40232C98">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75F40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719013AB">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Cs w:val="21"/>
                <w:highlight w:val="none"/>
                <w:shd w:val="clear" w:color="auto" w:fill="FFFFFF" w:themeFill="background1"/>
              </w:rPr>
              <w:t>经营范围</w:t>
            </w:r>
          </w:p>
        </w:tc>
        <w:tc>
          <w:tcPr>
            <w:tcW w:w="7300" w:type="dxa"/>
            <w:gridSpan w:val="3"/>
            <w:vAlign w:val="center"/>
          </w:tcPr>
          <w:p w14:paraId="2B7BB94D">
            <w:pPr>
              <w:keepLines w:val="0"/>
              <w:pageBreakBefore w:val="0"/>
              <w:kinsoku/>
              <w:overflowPunct/>
              <w:topLinePunct w:val="0"/>
              <w:autoSpaceDE w:val="0"/>
              <w:autoSpaceDN w:val="0"/>
              <w:bidi w:val="0"/>
              <w:adjustRightInd w:val="0"/>
              <w:snapToGrid w:val="0"/>
              <w:spacing w:beforeAutospacing="0" w:afterAutospacing="0" w:line="360" w:lineRule="auto"/>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4A324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471A4880">
            <w:pPr>
              <w:autoSpaceDE w:val="0"/>
              <w:autoSpaceDN w:val="0"/>
              <w:adjustRightInd w:val="0"/>
              <w:snapToGrid w:val="0"/>
              <w:spacing w:line="520" w:lineRule="exact"/>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关联单位</w:t>
            </w:r>
          </w:p>
          <w:p w14:paraId="1DF05A6F">
            <w:pPr>
              <w:autoSpaceDE w:val="0"/>
              <w:autoSpaceDN w:val="0"/>
              <w:adjustRightInd w:val="0"/>
              <w:snapToGrid w:val="0"/>
              <w:spacing w:line="520" w:lineRule="exact"/>
              <w:jc w:val="center"/>
              <w:rPr>
                <w:rFonts w:hint="eastAsia" w:ascii="仿宋" w:hAnsi="仿宋" w:eastAsia="仿宋" w:cs="仿宋"/>
                <w:color w:val="auto"/>
                <w:kern w:val="0"/>
                <w:szCs w:val="21"/>
                <w:highlight w:val="none"/>
                <w:shd w:val="clear" w:color="auto" w:fill="FFFFFF" w:themeFill="background1"/>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如有</w:t>
            </w:r>
            <w:r>
              <w:rPr>
                <w:rFonts w:hint="eastAsia" w:ascii="仿宋" w:hAnsi="仿宋" w:eastAsia="仿宋" w:cs="仿宋"/>
                <w:color w:val="auto"/>
                <w:kern w:val="0"/>
                <w:sz w:val="24"/>
                <w:szCs w:val="24"/>
                <w:highlight w:val="none"/>
                <w:lang w:eastAsia="zh-CN"/>
              </w:rPr>
              <w:t>）</w:t>
            </w:r>
          </w:p>
        </w:tc>
        <w:tc>
          <w:tcPr>
            <w:tcW w:w="7300" w:type="dxa"/>
            <w:gridSpan w:val="3"/>
            <w:vAlign w:val="center"/>
          </w:tcPr>
          <w:p w14:paraId="3BC4A967">
            <w:pPr>
              <w:autoSpaceDE w:val="0"/>
              <w:autoSpaceDN w:val="0"/>
              <w:adjustRightInd w:val="0"/>
              <w:snapToGrid w:val="0"/>
              <w:spacing w:line="520" w:lineRule="exact"/>
              <w:jc w:val="both"/>
              <w:rPr>
                <w:rFonts w:hint="eastAsia" w:ascii="仿宋" w:hAnsi="仿宋" w:eastAsia="仿宋" w:cs="仿宋"/>
                <w:color w:val="auto"/>
                <w:kern w:val="0"/>
                <w:sz w:val="24"/>
                <w:szCs w:val="24"/>
                <w:highlight w:val="none"/>
                <w:lang w:val="en-US" w:eastAsia="zh-CN"/>
              </w:rPr>
            </w:pPr>
          </w:p>
          <w:p w14:paraId="483C9ED5">
            <w:pPr>
              <w:autoSpaceDE w:val="0"/>
              <w:autoSpaceDN w:val="0"/>
              <w:adjustRightInd w:val="0"/>
              <w:snapToGrid w:val="0"/>
              <w:spacing w:line="520" w:lineRule="exact"/>
              <w:jc w:val="left"/>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1"/>
                <w:szCs w:val="21"/>
                <w:highlight w:val="none"/>
                <w:lang w:val="en-US" w:eastAsia="zh-CN"/>
              </w:rPr>
              <w:t>注：此处</w:t>
            </w:r>
            <w:r>
              <w:rPr>
                <w:rFonts w:hint="eastAsia" w:ascii="仿宋" w:hAnsi="仿宋" w:eastAsia="仿宋" w:cs="仿宋"/>
                <w:color w:val="auto"/>
                <w:kern w:val="0"/>
                <w:sz w:val="21"/>
                <w:szCs w:val="21"/>
                <w:highlight w:val="none"/>
              </w:rPr>
              <w:t>关联单位</w:t>
            </w:r>
            <w:r>
              <w:rPr>
                <w:rFonts w:hint="eastAsia" w:ascii="仿宋" w:hAnsi="仿宋" w:eastAsia="仿宋" w:cs="仿宋"/>
                <w:color w:val="auto"/>
                <w:kern w:val="0"/>
                <w:sz w:val="21"/>
                <w:szCs w:val="21"/>
                <w:highlight w:val="none"/>
                <w:lang w:val="en-US" w:eastAsia="zh-CN"/>
              </w:rPr>
              <w:t>指单位负责人为同一人或者存在直接控股、管理关系的不同</w:t>
            </w:r>
            <w:r>
              <w:rPr>
                <w:rFonts w:hint="eastAsia" w:ascii="仿宋" w:hAnsi="仿宋" w:eastAsia="仿宋" w:cs="仿宋"/>
                <w:color w:val="auto"/>
                <w:kern w:val="0"/>
                <w:sz w:val="21"/>
                <w:szCs w:val="21"/>
                <w:highlight w:val="none"/>
              </w:rPr>
              <w:t>单位</w:t>
            </w:r>
            <w:r>
              <w:rPr>
                <w:rFonts w:hint="eastAsia" w:ascii="仿宋" w:hAnsi="仿宋" w:eastAsia="仿宋" w:cs="仿宋"/>
                <w:color w:val="auto"/>
                <w:kern w:val="0"/>
                <w:sz w:val="21"/>
                <w:szCs w:val="21"/>
                <w:highlight w:val="none"/>
                <w:lang w:eastAsia="zh-CN"/>
              </w:rPr>
              <w:t>。</w:t>
            </w:r>
          </w:p>
        </w:tc>
      </w:tr>
    </w:tbl>
    <w:p w14:paraId="1E847408">
      <w:pPr>
        <w:keepLines w:val="0"/>
        <w:pageBreakBefore w:val="0"/>
        <w:kinsoku/>
        <w:overflowPunct/>
        <w:topLinePunct w:val="0"/>
        <w:bidi w:val="0"/>
        <w:spacing w:beforeAutospacing="0" w:afterAutospacing="0" w:line="360" w:lineRule="auto"/>
        <w:ind w:firstLine="504" w:firstLineChars="200"/>
        <w:textAlignment w:val="auto"/>
        <w:rPr>
          <w:rFonts w:hint="eastAsia" w:ascii="仿宋" w:hAnsi="仿宋" w:eastAsia="仿宋" w:cs="仿宋"/>
          <w:color w:val="auto"/>
          <w:spacing w:val="6"/>
          <w:sz w:val="24"/>
          <w:szCs w:val="24"/>
          <w:highlight w:val="none"/>
          <w:shd w:val="clear" w:color="auto" w:fill="FFFFFF" w:themeFill="background1"/>
        </w:rPr>
      </w:pPr>
    </w:p>
    <w:p w14:paraId="608142CC">
      <w:pPr>
        <w:keepLines w:val="0"/>
        <w:pageBreakBefore w:val="0"/>
        <w:widowControl/>
        <w:kinsoku/>
        <w:overflowPunct/>
        <w:topLinePunct w:val="0"/>
        <w:bidi w:val="0"/>
        <w:spacing w:beforeAutospacing="0" w:afterAutospacing="0"/>
        <w:jc w:val="left"/>
        <w:textAlignment w:val="auto"/>
        <w:rPr>
          <w:rFonts w:hint="eastAsia" w:ascii="仿宋" w:hAnsi="仿宋" w:eastAsia="仿宋" w:cs="仿宋"/>
          <w:color w:val="auto"/>
          <w:spacing w:val="6"/>
          <w:sz w:val="24"/>
          <w:szCs w:val="24"/>
          <w:highlight w:val="none"/>
          <w:shd w:val="clear" w:color="auto" w:fill="FFFFFF" w:themeFill="background1"/>
        </w:rPr>
      </w:pPr>
      <w:r>
        <w:rPr>
          <w:rFonts w:hint="eastAsia" w:ascii="仿宋" w:hAnsi="仿宋" w:eastAsia="仿宋" w:cs="仿宋"/>
          <w:color w:val="auto"/>
          <w:spacing w:val="6"/>
          <w:sz w:val="24"/>
          <w:szCs w:val="24"/>
          <w:highlight w:val="none"/>
          <w:shd w:val="clear" w:color="auto" w:fill="FFFFFF" w:themeFill="background1"/>
        </w:rPr>
        <w:br w:type="page"/>
      </w:r>
    </w:p>
    <w:p w14:paraId="7A7225C3">
      <w:pPr>
        <w:keepLines w:val="0"/>
        <w:pageBreakBefore w:val="0"/>
        <w:kinsoku/>
        <w:overflowPunct/>
        <w:topLinePunct w:val="0"/>
        <w:bidi w:val="0"/>
        <w:spacing w:beforeAutospacing="0" w:afterAutospacing="0"/>
        <w:textAlignment w:val="auto"/>
        <w:rPr>
          <w:rFonts w:hint="eastAsia" w:ascii="仿宋" w:hAnsi="仿宋" w:eastAsia="仿宋" w:cs="仿宋"/>
          <w:color w:val="auto"/>
          <w:highlight w:val="none"/>
          <w:shd w:val="clear" w:color="auto" w:fill="FFFFFF" w:themeFill="background1"/>
        </w:rPr>
      </w:pPr>
      <w:bookmarkStart w:id="83" w:name="_Toc109143671"/>
      <w:bookmarkStart w:id="84" w:name="_Toc32366"/>
      <w:bookmarkStart w:id="85" w:name="_Toc107422184"/>
      <w:bookmarkStart w:id="86" w:name="_Toc11207"/>
      <w:bookmarkStart w:id="87" w:name="_Toc111556487"/>
    </w:p>
    <w:p w14:paraId="25FB1F96">
      <w:pPr>
        <w:keepLines w:val="0"/>
        <w:pageBreakBefore w:val="0"/>
        <w:kinsoku/>
        <w:overflowPunct/>
        <w:topLinePunct w:val="0"/>
        <w:bidi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88" w:name="_Toc128476878"/>
      <w:bookmarkStart w:id="89" w:name="_Toc20683"/>
      <w:bookmarkStart w:id="90" w:name="_Toc113901849"/>
      <w:bookmarkStart w:id="91" w:name="_Toc22428"/>
      <w:bookmarkStart w:id="92" w:name="_Toc29377"/>
      <w:bookmarkStart w:id="93" w:name="_Toc15861"/>
      <w:bookmarkStart w:id="94" w:name="_Toc1895"/>
      <w:bookmarkStart w:id="95" w:name="_Toc24572"/>
      <w:bookmarkStart w:id="96" w:name="_Toc30680"/>
      <w:bookmarkStart w:id="97" w:name="_Toc17516"/>
      <w:bookmarkStart w:id="98" w:name="_Toc156750399"/>
      <w:bookmarkStart w:id="99" w:name="_Toc18683"/>
      <w:r>
        <w:rPr>
          <w:rFonts w:hint="eastAsia" w:ascii="仿宋" w:hAnsi="仿宋" w:eastAsia="仿宋" w:cs="仿宋"/>
          <w:b/>
          <w:color w:val="auto"/>
          <w:sz w:val="24"/>
          <w:szCs w:val="24"/>
          <w:highlight w:val="none"/>
          <w:shd w:val="clear" w:color="auto" w:fill="FFFFFF" w:themeFill="background1"/>
          <w:lang w:val="en-US" w:eastAsia="zh-CN"/>
        </w:rPr>
        <w:t>7.</w:t>
      </w:r>
      <w:r>
        <w:rPr>
          <w:rFonts w:hint="eastAsia" w:ascii="仿宋" w:hAnsi="仿宋" w:eastAsia="仿宋" w:cs="仿宋"/>
          <w:b/>
          <w:color w:val="auto"/>
          <w:sz w:val="24"/>
          <w:szCs w:val="24"/>
          <w:highlight w:val="none"/>
          <w:shd w:val="clear" w:color="auto" w:fill="FFFFFF" w:themeFill="background1"/>
        </w:rPr>
        <w:t>1、</w:t>
      </w:r>
      <w:bookmarkEnd w:id="83"/>
      <w:bookmarkEnd w:id="84"/>
      <w:bookmarkEnd w:id="85"/>
      <w:bookmarkEnd w:id="86"/>
      <w:r>
        <w:rPr>
          <w:rFonts w:hint="eastAsia" w:ascii="仿宋" w:hAnsi="仿宋" w:eastAsia="仿宋" w:cs="仿宋"/>
          <w:b/>
          <w:color w:val="auto"/>
          <w:sz w:val="24"/>
          <w:szCs w:val="24"/>
          <w:highlight w:val="none"/>
          <w:shd w:val="clear" w:color="auto" w:fill="FFFFFF" w:themeFill="background1"/>
        </w:rPr>
        <w:t>法人或者其他组织的营业执照等证明文件，自然人的身份证明</w:t>
      </w:r>
      <w:bookmarkEnd w:id="88"/>
      <w:bookmarkEnd w:id="89"/>
      <w:bookmarkEnd w:id="90"/>
      <w:bookmarkEnd w:id="91"/>
      <w:bookmarkEnd w:id="92"/>
      <w:bookmarkEnd w:id="93"/>
      <w:bookmarkEnd w:id="94"/>
      <w:bookmarkEnd w:id="95"/>
      <w:bookmarkEnd w:id="96"/>
      <w:bookmarkEnd w:id="97"/>
      <w:bookmarkEnd w:id="98"/>
      <w:bookmarkEnd w:id="99"/>
    </w:p>
    <w:p w14:paraId="421326E0">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7F9889A4">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一、如供应商是企业（包括合伙企业)，应提供在工商部门注册的有效“企业法人营业执照”或“营业执照”;</w:t>
      </w:r>
    </w:p>
    <w:p w14:paraId="4156D01E">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二、如供应商是事业单位，应提供有效的“事业单位法人证书”;</w:t>
      </w:r>
    </w:p>
    <w:p w14:paraId="12105829">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三、供应商是非企业专业服务机构的，应提供执业许可证等证明文件;</w:t>
      </w:r>
    </w:p>
    <w:p w14:paraId="621E9D62">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四、如供应商是个体工商户，应提供有效的“个体工商户营业执照”;</w:t>
      </w:r>
    </w:p>
    <w:p w14:paraId="23C028B5">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五、如供应商是自然人，应提供有效的自然人身份证明。</w:t>
      </w:r>
    </w:p>
    <w:p w14:paraId="2A3B8745">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6B44598B">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6454F6E0">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rPr>
        <w:br w:type="page"/>
      </w:r>
    </w:p>
    <w:p w14:paraId="44C0ECDD">
      <w:pPr>
        <w:keepLines w:val="0"/>
        <w:pageBreakBefore w:val="0"/>
        <w:kinsoku/>
        <w:overflowPunct/>
        <w:topLinePunct w:val="0"/>
        <w:bidi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100" w:name="_Toc15683"/>
      <w:bookmarkStart w:id="101" w:name="_Toc10010"/>
      <w:bookmarkStart w:id="102" w:name="_Toc128476879"/>
      <w:bookmarkStart w:id="103" w:name="_Toc2389"/>
      <w:bookmarkStart w:id="104" w:name="_Toc20271"/>
      <w:bookmarkStart w:id="105" w:name="_Toc156750400"/>
      <w:bookmarkStart w:id="106" w:name="_Toc10441"/>
      <w:bookmarkStart w:id="107" w:name="_Toc18504"/>
      <w:bookmarkStart w:id="108" w:name="_Toc4484"/>
      <w:bookmarkStart w:id="109" w:name="_Toc113901850"/>
      <w:bookmarkStart w:id="110" w:name="_Toc9294"/>
      <w:bookmarkStart w:id="111" w:name="_Toc31191"/>
      <w:r>
        <w:rPr>
          <w:rFonts w:hint="eastAsia" w:ascii="仿宋" w:hAnsi="仿宋" w:eastAsia="仿宋" w:cs="仿宋"/>
          <w:b/>
          <w:color w:val="auto"/>
          <w:sz w:val="24"/>
          <w:szCs w:val="24"/>
          <w:highlight w:val="none"/>
          <w:shd w:val="clear" w:color="auto" w:fill="FFFFFF" w:themeFill="background1"/>
          <w:lang w:val="en-US" w:eastAsia="zh-CN"/>
        </w:rPr>
        <w:t>7</w:t>
      </w:r>
      <w:r>
        <w:rPr>
          <w:rFonts w:hint="eastAsia" w:ascii="仿宋" w:hAnsi="仿宋" w:eastAsia="仿宋" w:cs="仿宋"/>
          <w:b/>
          <w:color w:val="auto"/>
          <w:sz w:val="24"/>
          <w:szCs w:val="24"/>
          <w:highlight w:val="none"/>
          <w:shd w:val="clear" w:color="auto" w:fill="FFFFFF" w:themeFill="background1"/>
        </w:rPr>
        <w:t>.2、</w:t>
      </w:r>
      <w:bookmarkEnd w:id="87"/>
      <w:r>
        <w:rPr>
          <w:rFonts w:hint="eastAsia" w:ascii="仿宋" w:hAnsi="仿宋" w:eastAsia="仿宋" w:cs="仿宋"/>
          <w:b/>
          <w:color w:val="auto"/>
          <w:sz w:val="24"/>
          <w:szCs w:val="24"/>
          <w:highlight w:val="none"/>
          <w:shd w:val="clear" w:color="auto" w:fill="FFFFFF" w:themeFill="background1"/>
        </w:rPr>
        <w:t>财务状况报告，依法缴纳税收和社会保障资金的相关材料</w:t>
      </w:r>
      <w:bookmarkEnd w:id="100"/>
      <w:bookmarkEnd w:id="101"/>
      <w:bookmarkEnd w:id="102"/>
      <w:bookmarkEnd w:id="103"/>
      <w:bookmarkEnd w:id="104"/>
      <w:bookmarkEnd w:id="105"/>
      <w:bookmarkEnd w:id="106"/>
      <w:bookmarkEnd w:id="107"/>
      <w:bookmarkEnd w:id="108"/>
      <w:bookmarkEnd w:id="109"/>
      <w:bookmarkEnd w:id="110"/>
      <w:bookmarkEnd w:id="111"/>
    </w:p>
    <w:p w14:paraId="6D12E187">
      <w:pPr>
        <w:pStyle w:val="16"/>
        <w:keepLines w:val="0"/>
        <w:pageBreakBefore w:val="0"/>
        <w:kinsoku/>
        <w:overflowPunct/>
        <w:topLinePunct w:val="0"/>
        <w:bidi w:val="0"/>
        <w:spacing w:beforeAutospacing="0" w:after="0" w:afterAutospacing="0" w:line="360" w:lineRule="auto"/>
        <w:textAlignment w:val="auto"/>
        <w:rPr>
          <w:rFonts w:hint="eastAsia" w:ascii="仿宋" w:hAnsi="仿宋" w:eastAsia="仿宋" w:cs="仿宋"/>
          <w:color w:val="auto"/>
          <w:spacing w:val="10"/>
          <w:szCs w:val="24"/>
          <w:highlight w:val="none"/>
          <w:shd w:val="clear" w:color="auto" w:fill="FFFFFF" w:themeFill="background1"/>
        </w:rPr>
      </w:pPr>
    </w:p>
    <w:p w14:paraId="43BF3F4F">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一、财务状况报告（满足下述一条要求即可）：</w:t>
      </w:r>
    </w:p>
    <w:p w14:paraId="51376B45">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要求1、</w:t>
      </w:r>
      <w:r>
        <w:rPr>
          <w:rFonts w:hint="eastAsia" w:ascii="仿宋" w:hAnsi="仿宋" w:eastAsia="仿宋" w:cs="仿宋"/>
          <w:color w:val="auto"/>
          <w:spacing w:val="10"/>
          <w:szCs w:val="24"/>
          <w:highlight w:val="none"/>
          <w:shd w:val="clear" w:color="auto" w:fill="FFFFFF" w:themeFill="background1"/>
          <w:lang w:val="en-US" w:eastAsia="zh-CN"/>
        </w:rPr>
        <w:t>经</w:t>
      </w:r>
      <w:r>
        <w:rPr>
          <w:rFonts w:hint="eastAsia" w:ascii="仿宋" w:hAnsi="仿宋" w:eastAsia="仿宋" w:cs="仿宋"/>
          <w:color w:val="auto"/>
          <w:spacing w:val="10"/>
          <w:szCs w:val="24"/>
          <w:highlight w:val="none"/>
          <w:shd w:val="clear" w:color="auto" w:fill="FFFFFF" w:themeFill="background1"/>
        </w:rPr>
        <w:t>审计的财务报告（202</w:t>
      </w:r>
      <w:r>
        <w:rPr>
          <w:rFonts w:hint="eastAsia" w:ascii="仿宋" w:hAnsi="仿宋" w:eastAsia="仿宋" w:cs="仿宋"/>
          <w:color w:val="auto"/>
          <w:spacing w:val="10"/>
          <w:szCs w:val="24"/>
          <w:highlight w:val="none"/>
          <w:shd w:val="clear" w:color="auto" w:fill="FFFFFF" w:themeFill="background1"/>
          <w:lang w:val="en-US" w:eastAsia="zh-CN"/>
        </w:rPr>
        <w:t>3</w:t>
      </w:r>
      <w:r>
        <w:rPr>
          <w:rFonts w:hint="eastAsia" w:ascii="仿宋" w:hAnsi="仿宋" w:eastAsia="仿宋" w:cs="仿宋"/>
          <w:color w:val="auto"/>
          <w:spacing w:val="10"/>
          <w:szCs w:val="24"/>
          <w:highlight w:val="none"/>
          <w:shd w:val="clear" w:color="auto" w:fill="FFFFFF" w:themeFill="background1"/>
        </w:rPr>
        <w:t>年度</w:t>
      </w:r>
      <w:r>
        <w:rPr>
          <w:rFonts w:hint="eastAsia" w:ascii="仿宋" w:hAnsi="仿宋" w:eastAsia="仿宋" w:cs="仿宋"/>
          <w:color w:val="auto"/>
          <w:spacing w:val="10"/>
          <w:szCs w:val="24"/>
          <w:highlight w:val="none"/>
          <w:shd w:val="clear" w:color="auto" w:fill="FFFFFF" w:themeFill="background1"/>
          <w:lang w:val="en-US" w:eastAsia="zh-CN"/>
        </w:rPr>
        <w:t>或2024</w:t>
      </w:r>
      <w:r>
        <w:rPr>
          <w:rFonts w:hint="eastAsia" w:ascii="仿宋" w:hAnsi="仿宋" w:eastAsia="仿宋" w:cs="仿宋"/>
          <w:color w:val="auto"/>
          <w:spacing w:val="10"/>
          <w:szCs w:val="24"/>
          <w:highlight w:val="none"/>
          <w:shd w:val="clear" w:color="auto" w:fill="FFFFFF" w:themeFill="background1"/>
        </w:rPr>
        <w:t>年度</w:t>
      </w:r>
      <w:r>
        <w:rPr>
          <w:rFonts w:hint="eastAsia" w:ascii="仿宋" w:hAnsi="仿宋" w:eastAsia="仿宋" w:cs="仿宋"/>
          <w:color w:val="auto"/>
          <w:spacing w:val="10"/>
          <w:szCs w:val="24"/>
          <w:highlight w:val="none"/>
          <w:shd w:val="clear" w:color="auto" w:fill="FFFFFF" w:themeFill="background1"/>
          <w:lang w:eastAsia="zh-CN"/>
        </w:rPr>
        <w:t>，</w:t>
      </w:r>
      <w:r>
        <w:rPr>
          <w:rFonts w:hint="eastAsia" w:ascii="仿宋" w:hAnsi="仿宋" w:eastAsia="仿宋" w:cs="仿宋"/>
          <w:color w:val="auto"/>
          <w:spacing w:val="10"/>
          <w:szCs w:val="24"/>
          <w:highlight w:val="none"/>
          <w:shd w:val="clear" w:color="auto" w:fill="FFFFFF" w:themeFill="background1"/>
        </w:rPr>
        <w:t>包括“四表-注”，即资产负债表、利润表、现金流量表、所有者权益变动表及其附注</w:t>
      </w:r>
      <w:r>
        <w:rPr>
          <w:rFonts w:hint="eastAsia" w:ascii="仿宋" w:hAnsi="仿宋" w:eastAsia="仿宋" w:cs="仿宋"/>
          <w:color w:val="auto"/>
          <w:spacing w:val="10"/>
          <w:szCs w:val="24"/>
          <w:highlight w:val="none"/>
          <w:shd w:val="clear" w:color="auto" w:fill="FFFFFF" w:themeFill="background1"/>
          <w:lang w:eastAsia="zh-CN"/>
        </w:rPr>
        <w:t>）</w:t>
      </w:r>
      <w:r>
        <w:rPr>
          <w:rFonts w:hint="eastAsia" w:ascii="仿宋" w:hAnsi="仿宋" w:eastAsia="仿宋" w:cs="仿宋"/>
          <w:color w:val="auto"/>
          <w:spacing w:val="10"/>
          <w:szCs w:val="24"/>
          <w:highlight w:val="none"/>
          <w:shd w:val="clear" w:color="auto" w:fill="FFFFFF" w:themeFill="background1"/>
        </w:rPr>
        <w:t>或银行出具的资信证明。</w:t>
      </w:r>
    </w:p>
    <w:p w14:paraId="222B92B5">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要求2、财政部门认可的政府采购专业担保机构出具的有效期内的投标担保函。</w:t>
      </w:r>
    </w:p>
    <w:p w14:paraId="47C956B0">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要求3、成立不足一个月（以响应文件递交截止之日为期限）的供应商无需提供。</w:t>
      </w:r>
    </w:p>
    <w:p w14:paraId="7EAE4C6F">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二、依法缴纳税收和社会保障资金的相关材料：</w:t>
      </w:r>
    </w:p>
    <w:p w14:paraId="656C49D1">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2.1、依法缴纳税收的证明材料：</w:t>
      </w:r>
    </w:p>
    <w:p w14:paraId="738DB24D">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供应商参加政府采购活动前一段时间（响应文件递交截止之日前六个月内任一个月）内缴纳税收的完税凭证（指各种完税证、缴款书、印花税票、扣（收）税凭证以及其他完税证明）。</w:t>
      </w:r>
    </w:p>
    <w:p w14:paraId="7C6CF803">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2.2、依法缴纳社会保障资金的证明材料：</w:t>
      </w:r>
    </w:p>
    <w:p w14:paraId="2052E034">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供应商参加政府采购活动前一段时间（响应文件递交截止之日前六个月内任一个月）内缴纳社会保险的凭据，其他组织和自然人也需要提供缴纳税收的凭据和缴纳社会保险的凭据。</w:t>
      </w:r>
    </w:p>
    <w:p w14:paraId="67E7A844">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2.3、依法免税或不需要缴纳社会保障资金的供应商，应提供相应文件证明其依法免税或不需要缴纳社会保障资金。</w:t>
      </w:r>
    </w:p>
    <w:p w14:paraId="1A3D3A1F">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三、注：</w:t>
      </w:r>
    </w:p>
    <w:p w14:paraId="327BC08D">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3.1、如因有关主管部门政策调整，部分证明材料有所增减，以最新政策要求为准；</w:t>
      </w:r>
    </w:p>
    <w:p w14:paraId="57077B5B">
      <w:pPr>
        <w:pStyle w:val="16"/>
        <w:keepLines w:val="0"/>
        <w:pageBreakBefore w:val="0"/>
        <w:kinsoku/>
        <w:overflowPunct/>
        <w:topLinePunct w:val="0"/>
        <w:bidi w:val="0"/>
        <w:spacing w:beforeAutospacing="0" w:after="0" w:afterAutospacing="0" w:line="360" w:lineRule="auto"/>
        <w:ind w:firstLine="520" w:firstLineChars="200"/>
        <w:textAlignment w:val="auto"/>
        <w:rPr>
          <w:rFonts w:hint="eastAsia" w:ascii="仿宋" w:hAnsi="仿宋" w:eastAsia="仿宋" w:cs="仿宋"/>
          <w:color w:val="auto"/>
          <w:spacing w:val="10"/>
          <w:szCs w:val="24"/>
          <w:highlight w:val="none"/>
          <w:shd w:val="clear" w:color="auto" w:fill="FFFFFF" w:themeFill="background1"/>
        </w:rPr>
      </w:pPr>
      <w:r>
        <w:rPr>
          <w:rFonts w:hint="eastAsia" w:ascii="仿宋" w:hAnsi="仿宋" w:eastAsia="仿宋" w:cs="仿宋"/>
          <w:color w:val="auto"/>
          <w:spacing w:val="10"/>
          <w:szCs w:val="24"/>
          <w:highlight w:val="none"/>
          <w:shd w:val="clear" w:color="auto" w:fill="FFFFFF" w:themeFill="background1"/>
        </w:rPr>
        <w:t>3.2、如供应商所在地有关主管部门反馈的证明材料与本文中要求不一致时，以当地要求为准，但须供应商提供文字说明。</w:t>
      </w:r>
    </w:p>
    <w:p w14:paraId="21ABDCAF">
      <w:pPr>
        <w:keepLines w:val="0"/>
        <w:pageBreakBefore w:val="0"/>
        <w:widowControl/>
        <w:kinsoku/>
        <w:overflowPunct/>
        <w:topLinePunct w:val="0"/>
        <w:bidi w:val="0"/>
        <w:spacing w:beforeAutospacing="0" w:afterAutospacing="0"/>
        <w:jc w:val="left"/>
        <w:textAlignment w:val="auto"/>
        <w:rPr>
          <w:rFonts w:hint="eastAsia" w:ascii="仿宋" w:hAnsi="仿宋" w:eastAsia="仿宋" w:cs="仿宋"/>
          <w:b/>
          <w:color w:val="auto"/>
          <w:sz w:val="24"/>
          <w:szCs w:val="24"/>
          <w:highlight w:val="none"/>
          <w:shd w:val="clear" w:color="auto" w:fill="FFFFFF" w:themeFill="background1"/>
        </w:rPr>
      </w:pPr>
      <w:bookmarkStart w:id="112" w:name="_Toc128476880"/>
      <w:bookmarkStart w:id="113" w:name="_Toc113901851"/>
      <w:bookmarkStart w:id="114" w:name="_Toc30348"/>
      <w:bookmarkStart w:id="115" w:name="_Toc111556488"/>
      <w:r>
        <w:rPr>
          <w:rFonts w:hint="eastAsia" w:ascii="仿宋" w:hAnsi="仿宋" w:eastAsia="仿宋" w:cs="仿宋"/>
          <w:b/>
          <w:color w:val="auto"/>
          <w:sz w:val="24"/>
          <w:szCs w:val="24"/>
          <w:highlight w:val="none"/>
          <w:shd w:val="clear" w:color="auto" w:fill="FFFFFF" w:themeFill="background1"/>
        </w:rPr>
        <w:br w:type="page"/>
      </w:r>
    </w:p>
    <w:p w14:paraId="1CD79F81">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116" w:name="_Toc30026"/>
      <w:bookmarkStart w:id="117" w:name="_Toc26275"/>
      <w:bookmarkStart w:id="118" w:name="_Toc156750401"/>
      <w:bookmarkStart w:id="119" w:name="_Toc25022"/>
      <w:bookmarkStart w:id="120" w:name="_Toc6914"/>
      <w:bookmarkStart w:id="121" w:name="_Toc12437"/>
      <w:bookmarkStart w:id="122" w:name="_Toc26412"/>
      <w:bookmarkStart w:id="123" w:name="_Toc11771"/>
      <w:bookmarkStart w:id="124" w:name="_Toc10694"/>
      <w:r>
        <w:rPr>
          <w:rFonts w:hint="eastAsia" w:ascii="仿宋" w:hAnsi="仿宋" w:eastAsia="仿宋" w:cs="仿宋"/>
          <w:b/>
          <w:color w:val="auto"/>
          <w:sz w:val="24"/>
          <w:szCs w:val="24"/>
          <w:highlight w:val="none"/>
          <w:shd w:val="clear" w:color="auto" w:fill="FFFFFF" w:themeFill="background1"/>
          <w:lang w:val="en-US" w:eastAsia="zh-CN"/>
        </w:rPr>
        <w:t>7</w:t>
      </w:r>
      <w:r>
        <w:rPr>
          <w:rFonts w:hint="eastAsia" w:ascii="仿宋" w:hAnsi="仿宋" w:eastAsia="仿宋" w:cs="仿宋"/>
          <w:b/>
          <w:color w:val="auto"/>
          <w:sz w:val="24"/>
          <w:szCs w:val="24"/>
          <w:highlight w:val="none"/>
          <w:shd w:val="clear" w:color="auto" w:fill="FFFFFF" w:themeFill="background1"/>
        </w:rPr>
        <w:t>.3、具备履行合同所必需的设备和专业技术能力的证明材料</w:t>
      </w:r>
      <w:bookmarkEnd w:id="112"/>
      <w:bookmarkEnd w:id="113"/>
      <w:bookmarkEnd w:id="114"/>
      <w:bookmarkEnd w:id="116"/>
      <w:bookmarkEnd w:id="117"/>
      <w:bookmarkEnd w:id="118"/>
      <w:bookmarkEnd w:id="119"/>
      <w:bookmarkEnd w:id="120"/>
      <w:bookmarkEnd w:id="121"/>
      <w:bookmarkEnd w:id="122"/>
      <w:bookmarkEnd w:id="123"/>
      <w:bookmarkEnd w:id="124"/>
    </w:p>
    <w:p w14:paraId="71D5392E">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1CDF7C5C">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24625B8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b/>
          <w:color w:val="auto"/>
          <w:sz w:val="24"/>
          <w:szCs w:val="24"/>
          <w:highlight w:val="none"/>
          <w:shd w:val="clear" w:color="auto" w:fill="FFFFFF" w:themeFill="background1"/>
        </w:rPr>
        <w:t>具有履行合同所必需的设备和专业技术能力的承诺</w:t>
      </w:r>
      <w:bookmarkEnd w:id="115"/>
      <w:r>
        <w:rPr>
          <w:rFonts w:hint="eastAsia" w:ascii="仿宋" w:hAnsi="仿宋" w:eastAsia="仿宋" w:cs="仿宋"/>
          <w:b/>
          <w:color w:val="auto"/>
          <w:sz w:val="24"/>
          <w:szCs w:val="24"/>
          <w:highlight w:val="none"/>
          <w:shd w:val="clear" w:color="auto" w:fill="FFFFFF" w:themeFill="background1"/>
        </w:rPr>
        <w:t>函</w:t>
      </w:r>
    </w:p>
    <w:p w14:paraId="0A2215FE">
      <w:pPr>
        <w:keepLines w:val="0"/>
        <w:pageBreakBefore w:val="0"/>
        <w:kinsoku/>
        <w:overflowPunct/>
        <w:topLinePunct w:val="0"/>
        <w:bidi w:val="0"/>
        <w:adjustRightInd w:val="0"/>
        <w:snapToGrid w:val="0"/>
        <w:spacing w:beforeAutospacing="0" w:afterAutospacing="0" w:line="360" w:lineRule="auto"/>
        <w:ind w:firstLine="480" w:firstLineChars="200"/>
        <w:jc w:val="center"/>
        <w:textAlignment w:val="auto"/>
        <w:rPr>
          <w:rFonts w:hint="eastAsia" w:ascii="仿宋" w:hAnsi="仿宋" w:eastAsia="仿宋" w:cs="仿宋"/>
          <w:color w:val="auto"/>
          <w:sz w:val="24"/>
          <w:szCs w:val="24"/>
          <w:highlight w:val="none"/>
          <w:shd w:val="clear" w:color="auto" w:fill="FFFFFF" w:themeFill="background1"/>
        </w:rPr>
      </w:pPr>
    </w:p>
    <w:p w14:paraId="65CC6603">
      <w:pPr>
        <w:keepLines w:val="0"/>
        <w:pageBreakBefore w:val="0"/>
        <w:kinsoku/>
        <w:overflowPunct/>
        <w:topLinePunct w:val="0"/>
        <w:autoSpaceDE w:val="0"/>
        <w:autoSpaceDN w:val="0"/>
        <w:bidi w:val="0"/>
        <w:adjustRightIn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致：</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（采购人名称）</w:t>
      </w:r>
    </w:p>
    <w:p w14:paraId="210AF7AE">
      <w:pPr>
        <w:keepLines w:val="0"/>
        <w:pageBreakBefore w:val="0"/>
        <w:kinsoku/>
        <w:overflowPunct/>
        <w:topLinePunct w:val="0"/>
        <w:autoSpaceDE w:val="0"/>
        <w:autoSpaceDN w:val="0"/>
        <w:bidi w:val="0"/>
        <w:adjustRightIn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p>
    <w:p w14:paraId="43E5A2B3">
      <w:pPr>
        <w:keepLines w:val="0"/>
        <w:pageBreakBefore w:val="0"/>
        <w:kinsoku/>
        <w:overflowPunct/>
        <w:topLinePunct w:val="0"/>
        <w:autoSpaceDE w:val="0"/>
        <w:autoSpaceDN w:val="0"/>
        <w:bidi w:val="0"/>
        <w:adjustRightIn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我单位郑重承诺： </w:t>
      </w:r>
    </w:p>
    <w:p w14:paraId="527B811D">
      <w:pPr>
        <w:keepLines w:val="0"/>
        <w:pageBreakBefore w:val="0"/>
        <w:kinsoku/>
        <w:overflowPunct/>
        <w:topLinePunct w:val="0"/>
        <w:autoSpaceDE w:val="0"/>
        <w:autoSpaceDN w:val="0"/>
        <w:bidi w:val="0"/>
        <w:adjustRightIn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我单位具备履行</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（项目名称）合同所必需的设备和专业技术能力；</w:t>
      </w:r>
    </w:p>
    <w:p w14:paraId="0B2D8747">
      <w:pPr>
        <w:keepLines w:val="0"/>
        <w:pageBreakBefore w:val="0"/>
        <w:kinsoku/>
        <w:overflowPunct/>
        <w:topLinePunct w:val="0"/>
        <w:autoSpaceDE w:val="0"/>
        <w:autoSpaceDN w:val="0"/>
        <w:bidi w:val="0"/>
        <w:adjustRightIn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特此承诺。 </w:t>
      </w:r>
    </w:p>
    <w:p w14:paraId="0699CA92">
      <w:pPr>
        <w:keepLines w:val="0"/>
        <w:pageBreakBefore w:val="0"/>
        <w:kinsoku/>
        <w:overflowPunct/>
        <w:topLinePunct w:val="0"/>
        <w:autoSpaceDE w:val="0"/>
        <w:autoSpaceDN w:val="0"/>
        <w:bidi w:val="0"/>
        <w:adjustRightIn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181CCF23">
      <w:pPr>
        <w:keepLines w:val="0"/>
        <w:pageBreakBefore w:val="0"/>
        <w:kinsoku/>
        <w:overflowPunct/>
        <w:topLinePunct w:val="0"/>
        <w:autoSpaceDE w:val="0"/>
        <w:autoSpaceDN w:val="0"/>
        <w:bidi w:val="0"/>
        <w:adjustRightIn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5B2BDA87">
      <w:pPr>
        <w:keepLines w:val="0"/>
        <w:pageBreakBefore w:val="0"/>
        <w:kinsoku/>
        <w:overflowPunct/>
        <w:topLinePunct w:val="0"/>
        <w:autoSpaceDE w:val="0"/>
        <w:autoSpaceDN w:val="0"/>
        <w:bidi w:val="0"/>
        <w:adjustRightIn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4F571BC1">
      <w:pPr>
        <w:keepLines w:val="0"/>
        <w:pageBreakBefore w:val="0"/>
        <w:kinsoku/>
        <w:overflowPunct/>
        <w:topLinePunct w:val="0"/>
        <w:autoSpaceDE w:val="0"/>
        <w:autoSpaceDN w:val="0"/>
        <w:bidi w:val="0"/>
        <w:adjustRightIn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451E1281">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p>
    <w:p w14:paraId="41878960">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763698E3">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p>
    <w:p w14:paraId="13D3BF89">
      <w:pPr>
        <w:keepLines w:val="0"/>
        <w:pageBreakBefore w:val="0"/>
        <w:widowControl/>
        <w:shd w:val="clear" w:color="auto" w:fill="FFFFFF"/>
        <w:kinsoku/>
        <w:overflowPunct/>
        <w:topLinePunct w:val="0"/>
        <w:bidi w:val="0"/>
        <w:snapToGrid w:val="0"/>
        <w:spacing w:beforeAutospacing="0" w:afterAutospacing="0" w:line="360" w:lineRule="auto"/>
        <w:ind w:firstLine="42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                                               日期： 年  月  日</w:t>
      </w:r>
    </w:p>
    <w:p w14:paraId="7F4496A4">
      <w:pPr>
        <w:keepLines w:val="0"/>
        <w:pageBreakBefore w:val="0"/>
        <w:kinsoku/>
        <w:overflowPunct/>
        <w:topLinePunct w:val="0"/>
        <w:bidi w:val="0"/>
        <w:adjustRightInd w:val="0"/>
        <w:snapToGrid w:val="0"/>
        <w:spacing w:beforeAutospacing="0" w:afterAutospacing="0" w:line="360" w:lineRule="auto"/>
        <w:textAlignment w:val="auto"/>
        <w:rPr>
          <w:rFonts w:hint="eastAsia" w:ascii="仿宋" w:hAnsi="仿宋" w:eastAsia="仿宋" w:cs="仿宋"/>
          <w:bCs/>
          <w:color w:val="auto"/>
          <w:sz w:val="24"/>
          <w:szCs w:val="24"/>
          <w:highlight w:val="none"/>
          <w:shd w:val="clear" w:color="auto" w:fill="FFFFFF" w:themeFill="background1"/>
        </w:rPr>
      </w:pPr>
    </w:p>
    <w:p w14:paraId="3AF0302D">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3D7BFD97">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4B3FEF68">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7622CE48">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4C3B9A60">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45609526">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4E5F6E11">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br w:type="page"/>
      </w:r>
    </w:p>
    <w:p w14:paraId="68959C74">
      <w:pPr>
        <w:keepLines w:val="0"/>
        <w:pageBreakBefore w:val="0"/>
        <w:kinsoku/>
        <w:overflowPunct/>
        <w:topLinePunct w:val="0"/>
        <w:bidi w:val="0"/>
        <w:adjustRightInd w:val="0"/>
        <w:snapToGrid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125" w:name="_Toc18842"/>
      <w:bookmarkStart w:id="126" w:name="_Toc156750402"/>
      <w:bookmarkStart w:id="127" w:name="_Toc30447"/>
      <w:bookmarkStart w:id="128" w:name="_Toc18306"/>
      <w:bookmarkStart w:id="129" w:name="_Toc27352"/>
      <w:bookmarkStart w:id="130" w:name="_Toc9191"/>
      <w:bookmarkStart w:id="131" w:name="_Toc128476881"/>
      <w:bookmarkStart w:id="132" w:name="_Toc5703"/>
      <w:bookmarkStart w:id="133" w:name="_Toc24077"/>
      <w:bookmarkStart w:id="134" w:name="_Toc16168"/>
      <w:bookmarkStart w:id="135" w:name="_Toc8030"/>
      <w:bookmarkStart w:id="136" w:name="_Toc113901852"/>
      <w:bookmarkStart w:id="137" w:name="_Toc111556490"/>
      <w:r>
        <w:rPr>
          <w:rFonts w:hint="eastAsia" w:ascii="仿宋" w:hAnsi="仿宋" w:eastAsia="仿宋" w:cs="仿宋"/>
          <w:b/>
          <w:color w:val="auto"/>
          <w:sz w:val="24"/>
          <w:szCs w:val="24"/>
          <w:highlight w:val="none"/>
          <w:shd w:val="clear" w:color="auto" w:fill="FFFFFF" w:themeFill="background1"/>
          <w:lang w:val="en-US" w:eastAsia="zh-CN"/>
        </w:rPr>
        <w:t>7</w:t>
      </w:r>
      <w:r>
        <w:rPr>
          <w:rFonts w:hint="eastAsia" w:ascii="仿宋" w:hAnsi="仿宋" w:eastAsia="仿宋" w:cs="仿宋"/>
          <w:b/>
          <w:color w:val="auto"/>
          <w:sz w:val="24"/>
          <w:szCs w:val="24"/>
          <w:highlight w:val="none"/>
          <w:shd w:val="clear" w:color="auto" w:fill="FFFFFF" w:themeFill="background1"/>
        </w:rPr>
        <w:t>.4、参加政府采购活动前3年内在经营活动中没有重大违法记录的书面声明</w:t>
      </w:r>
      <w:bookmarkEnd w:id="125"/>
      <w:bookmarkEnd w:id="126"/>
      <w:bookmarkEnd w:id="127"/>
      <w:bookmarkEnd w:id="128"/>
      <w:bookmarkEnd w:id="129"/>
      <w:bookmarkEnd w:id="130"/>
      <w:bookmarkEnd w:id="131"/>
      <w:bookmarkEnd w:id="132"/>
      <w:bookmarkEnd w:id="133"/>
      <w:bookmarkEnd w:id="134"/>
      <w:bookmarkEnd w:id="135"/>
      <w:bookmarkEnd w:id="136"/>
    </w:p>
    <w:bookmarkEnd w:id="137"/>
    <w:p w14:paraId="15F12EBD">
      <w:pPr>
        <w:keepLines w:val="0"/>
        <w:pageBreakBefore w:val="0"/>
        <w:widowControl/>
        <w:kinsoku/>
        <w:overflowPunct/>
        <w:topLinePunct w:val="0"/>
        <w:bidi w:val="0"/>
        <w:adjustRightInd w:val="0"/>
        <w:snapToGrid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2C691812">
      <w:pPr>
        <w:keepLines w:val="0"/>
        <w:pageBreakBefore w:val="0"/>
        <w:kinsoku/>
        <w:overflowPunct/>
        <w:topLinePunct w:val="0"/>
        <w:autoSpaceDE w:val="0"/>
        <w:autoSpaceDN w:val="0"/>
        <w:bidi w:val="0"/>
        <w:adjustRightInd w:val="0"/>
        <w:spacing w:beforeAutospacing="0" w:afterAutospacing="0" w:line="360" w:lineRule="auto"/>
        <w:ind w:firstLine="480" w:firstLineChars="20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致：</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（采购人名称）</w:t>
      </w:r>
    </w:p>
    <w:p w14:paraId="06FA0A8E">
      <w:pPr>
        <w:keepLines w:val="0"/>
        <w:pageBreakBefore w:val="0"/>
        <w:kinsoku/>
        <w:overflowPunct/>
        <w:topLinePunct w:val="0"/>
        <w:bidi w:val="0"/>
        <w:adjustRightInd w:val="0"/>
        <w:snapToGrid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1C91897A">
      <w:pPr>
        <w:keepLines w:val="0"/>
        <w:pageBreakBefore w:val="0"/>
        <w:kinsoku/>
        <w:overflowPunct/>
        <w:topLinePunct w:val="0"/>
        <w:bidi w:val="0"/>
        <w:adjustRightInd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我单位在参与</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sz w:val="24"/>
          <w:szCs w:val="24"/>
          <w:highlight w:val="none"/>
          <w:shd w:val="clear" w:color="auto" w:fill="FFFFFF" w:themeFill="background1"/>
        </w:rPr>
        <w:t>（项目名称）</w:t>
      </w:r>
      <w:r>
        <w:rPr>
          <w:rFonts w:hint="eastAsia" w:ascii="仿宋" w:hAnsi="仿宋" w:eastAsia="仿宋" w:cs="仿宋"/>
          <w:color w:val="auto"/>
          <w:kern w:val="0"/>
          <w:sz w:val="24"/>
          <w:szCs w:val="24"/>
          <w:highlight w:val="none"/>
          <w:shd w:val="clear" w:color="auto" w:fill="FFFFFF" w:themeFill="background1"/>
        </w:rPr>
        <w:t>前三年内（以</w:t>
      </w:r>
      <w:r>
        <w:rPr>
          <w:rFonts w:hint="eastAsia" w:ascii="仿宋" w:hAnsi="仿宋" w:eastAsia="仿宋" w:cs="仿宋"/>
          <w:color w:val="auto"/>
          <w:sz w:val="24"/>
          <w:szCs w:val="24"/>
          <w:highlight w:val="none"/>
          <w:shd w:val="clear" w:color="auto" w:fill="FFFFFF" w:themeFill="background1"/>
        </w:rPr>
        <w:t>响应文件递交截止之日为期限</w:t>
      </w:r>
      <w:r>
        <w:rPr>
          <w:rFonts w:hint="eastAsia" w:ascii="仿宋" w:hAnsi="仿宋" w:eastAsia="仿宋" w:cs="仿宋"/>
          <w:color w:val="auto"/>
          <w:kern w:val="0"/>
          <w:sz w:val="24"/>
          <w:szCs w:val="24"/>
          <w:highlight w:val="none"/>
          <w:shd w:val="clear" w:color="auto" w:fill="FFFFFF" w:themeFill="background1"/>
        </w:rPr>
        <w:t>）在经营活动中没有重大违法记录。</w:t>
      </w:r>
    </w:p>
    <w:p w14:paraId="6AB404C7">
      <w:pPr>
        <w:keepLines w:val="0"/>
        <w:pageBreakBefore w:val="0"/>
        <w:kinsoku/>
        <w:overflowPunct/>
        <w:topLinePunct w:val="0"/>
        <w:bidi w:val="0"/>
        <w:adjustRightInd w:val="0"/>
        <w:snapToGrid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若贵方在本项目采购过程中发现我方参加政府采购活动前三年内有重大违法记录；</w:t>
      </w:r>
      <w:r>
        <w:rPr>
          <w:rFonts w:hint="eastAsia" w:ascii="仿宋" w:hAnsi="仿宋" w:eastAsia="仿宋" w:cs="仿宋"/>
          <w:color w:val="auto"/>
          <w:kern w:val="0"/>
          <w:sz w:val="24"/>
          <w:szCs w:val="24"/>
          <w:highlight w:val="none"/>
          <w:shd w:val="clear" w:color="auto" w:fill="FFFFFF" w:themeFill="background1"/>
        </w:rPr>
        <w:t>我单位</w:t>
      </w:r>
      <w:r>
        <w:rPr>
          <w:rFonts w:hint="eastAsia" w:ascii="仿宋" w:hAnsi="仿宋" w:eastAsia="仿宋" w:cs="仿宋"/>
          <w:color w:val="auto"/>
          <w:sz w:val="24"/>
          <w:szCs w:val="24"/>
          <w:highlight w:val="none"/>
          <w:shd w:val="clear" w:color="auto" w:fill="FFFFFF" w:themeFill="background1"/>
        </w:rPr>
        <w:t>将无条件退出本项目的投标，并承担因此引起的一切后果。我方对此声明负全部法律责任。</w:t>
      </w:r>
    </w:p>
    <w:p w14:paraId="51815F65">
      <w:pPr>
        <w:keepLines w:val="0"/>
        <w:pageBreakBefore w:val="0"/>
        <w:kinsoku/>
        <w:overflowPunct/>
        <w:topLinePunct w:val="0"/>
        <w:bidi w:val="0"/>
        <w:adjustRightInd w:val="0"/>
        <w:snapToGrid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特此声明！</w:t>
      </w:r>
    </w:p>
    <w:p w14:paraId="140A6AB0">
      <w:pPr>
        <w:keepLines w:val="0"/>
        <w:pageBreakBefore w:val="0"/>
        <w:kinsoku/>
        <w:overflowPunct/>
        <w:topLinePunct w:val="0"/>
        <w:bidi w:val="0"/>
        <w:adjustRightInd w:val="0"/>
        <w:snapToGrid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6CA2EA2B">
      <w:pPr>
        <w:keepLines w:val="0"/>
        <w:pageBreakBefore w:val="0"/>
        <w:kinsoku/>
        <w:overflowPunct/>
        <w:topLinePunct w:val="0"/>
        <w:bidi w:val="0"/>
        <w:adjustRightInd w:val="0"/>
        <w:snapToGrid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24E3D9C8">
      <w:pPr>
        <w:keepLines w:val="0"/>
        <w:pageBreakBefore w:val="0"/>
        <w:kinsoku/>
        <w:overflowPunct/>
        <w:topLinePunct w:val="0"/>
        <w:bidi w:val="0"/>
        <w:adjustRightInd w:val="0"/>
        <w:snapToGrid w:val="0"/>
        <w:spacing w:beforeAutospacing="0" w:afterAutospacing="0" w:line="360" w:lineRule="auto"/>
        <w:ind w:firstLine="420" w:firstLineChars="200"/>
        <w:textAlignment w:val="auto"/>
        <w:rPr>
          <w:rFonts w:hint="eastAsia" w:ascii="仿宋" w:hAnsi="仿宋" w:eastAsia="仿宋" w:cs="仿宋"/>
          <w:color w:val="auto"/>
          <w:szCs w:val="24"/>
          <w:highlight w:val="none"/>
          <w:shd w:val="clear" w:color="auto" w:fill="FFFFFF" w:themeFill="background1"/>
        </w:rPr>
      </w:pPr>
      <w:r>
        <w:rPr>
          <w:rFonts w:hint="eastAsia" w:ascii="仿宋" w:hAnsi="仿宋" w:eastAsia="仿宋" w:cs="仿宋"/>
          <w:color w:val="auto"/>
          <w:szCs w:val="24"/>
          <w:highlight w:val="none"/>
          <w:shd w:val="clear" w:color="auto" w:fill="FFFFFF" w:themeFill="background1"/>
        </w:rPr>
        <w:t>注：</w:t>
      </w:r>
    </w:p>
    <w:p w14:paraId="05310700">
      <w:pPr>
        <w:keepLines w:val="0"/>
        <w:pageBreakBefore w:val="0"/>
        <w:kinsoku/>
        <w:overflowPunct/>
        <w:topLinePunct w:val="0"/>
        <w:bidi w:val="0"/>
        <w:adjustRightInd w:val="0"/>
        <w:snapToGrid w:val="0"/>
        <w:spacing w:beforeAutospacing="0" w:afterAutospacing="0" w:line="360" w:lineRule="auto"/>
        <w:ind w:firstLine="42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Cs w:val="24"/>
          <w:highlight w:val="none"/>
          <w:shd w:val="clear" w:color="auto" w:fill="FFFFFF" w:themeFill="background1"/>
        </w:rPr>
        <w:t>若供应商在响应文件递交截止之日成立时间不足三年，以自成立以来的时间计取。</w:t>
      </w:r>
    </w:p>
    <w:p w14:paraId="31E9347C">
      <w:pPr>
        <w:keepLines w:val="0"/>
        <w:pageBreakBefore w:val="0"/>
        <w:kinsoku/>
        <w:overflowPunct/>
        <w:topLinePunct w:val="0"/>
        <w:bidi w:val="0"/>
        <w:adjustRightInd w:val="0"/>
        <w:snapToGrid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p>
    <w:p w14:paraId="5E9E4D75">
      <w:pPr>
        <w:keepLines w:val="0"/>
        <w:pageBreakBefore w:val="0"/>
        <w:kinsoku/>
        <w:overflowPunct/>
        <w:topLinePunct w:val="0"/>
        <w:bidi w:val="0"/>
        <w:adjustRightInd w:val="0"/>
        <w:snapToGrid w:val="0"/>
        <w:spacing w:beforeAutospacing="0" w:afterAutospacing="0" w:line="360" w:lineRule="auto"/>
        <w:ind w:firstLine="3112" w:firstLineChars="1297"/>
        <w:textAlignment w:val="auto"/>
        <w:rPr>
          <w:rFonts w:hint="eastAsia" w:ascii="仿宋" w:hAnsi="仿宋" w:eastAsia="仿宋" w:cs="仿宋"/>
          <w:color w:val="auto"/>
          <w:sz w:val="24"/>
          <w:szCs w:val="24"/>
          <w:highlight w:val="none"/>
          <w:shd w:val="clear" w:color="auto" w:fill="FFFFFF" w:themeFill="background1"/>
        </w:rPr>
      </w:pPr>
    </w:p>
    <w:p w14:paraId="0A9CAF0A">
      <w:pPr>
        <w:keepLines w:val="0"/>
        <w:pageBreakBefore w:val="0"/>
        <w:widowControl/>
        <w:shd w:val="clear" w:color="auto" w:fill="FFFFFF"/>
        <w:kinsoku/>
        <w:overflowPunct/>
        <w:topLinePunct w:val="0"/>
        <w:bidi w:val="0"/>
        <w:snapToGrid w:val="0"/>
        <w:spacing w:beforeAutospacing="0" w:afterAutospacing="0" w:line="360" w:lineRule="auto"/>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供应商：</w:t>
      </w:r>
      <w:r>
        <w:rPr>
          <w:rFonts w:hint="eastAsia" w:ascii="仿宋" w:hAnsi="仿宋" w:eastAsia="仿宋" w:cs="仿宋"/>
          <w:color w:val="auto"/>
          <w:kern w:val="0"/>
          <w:sz w:val="24"/>
          <w:szCs w:val="24"/>
          <w:highlight w:val="none"/>
          <w:u w:val="single"/>
          <w:shd w:val="clear" w:color="auto" w:fill="FFFFFF" w:themeFill="background1"/>
        </w:rPr>
        <w:t xml:space="preserve">               </w:t>
      </w:r>
      <w:r>
        <w:rPr>
          <w:rFonts w:hint="eastAsia" w:ascii="仿宋" w:hAnsi="仿宋" w:eastAsia="仿宋" w:cs="仿宋"/>
          <w:color w:val="auto"/>
          <w:kern w:val="0"/>
          <w:sz w:val="24"/>
          <w:szCs w:val="24"/>
          <w:highlight w:val="none"/>
          <w:shd w:val="clear" w:color="auto" w:fill="FFFFFF" w:themeFill="background1"/>
        </w:rPr>
        <w:t>（盖章）</w:t>
      </w:r>
    </w:p>
    <w:p w14:paraId="734A1993">
      <w:pPr>
        <w:keepLines w:val="0"/>
        <w:pageBreakBefore w:val="0"/>
        <w:widowControl/>
        <w:shd w:val="clear" w:color="auto" w:fill="FFFFFF"/>
        <w:kinsoku/>
        <w:overflowPunct/>
        <w:topLinePunct w:val="0"/>
        <w:bidi w:val="0"/>
        <w:snapToGrid w:val="0"/>
        <w:spacing w:beforeAutospacing="0" w:afterAutospacing="0" w:line="360" w:lineRule="auto"/>
        <w:ind w:firstLine="420"/>
        <w:jc w:val="center"/>
        <w:textAlignment w:val="auto"/>
        <w:rPr>
          <w:rFonts w:hint="eastAsia" w:ascii="仿宋" w:hAnsi="仿宋" w:eastAsia="仿宋" w:cs="仿宋"/>
          <w:color w:val="auto"/>
          <w:kern w:val="0"/>
          <w:sz w:val="24"/>
          <w:szCs w:val="24"/>
          <w:highlight w:val="none"/>
          <w:shd w:val="clear" w:color="auto" w:fill="FFFFFF" w:themeFill="background1"/>
        </w:rPr>
      </w:pPr>
    </w:p>
    <w:p w14:paraId="2CC5C62B">
      <w:pPr>
        <w:keepLines w:val="0"/>
        <w:pageBreakBefore w:val="0"/>
        <w:widowControl/>
        <w:shd w:val="clear" w:color="auto" w:fill="FFFFFF"/>
        <w:kinsoku/>
        <w:overflowPunct/>
        <w:topLinePunct w:val="0"/>
        <w:bidi w:val="0"/>
        <w:snapToGrid w:val="0"/>
        <w:spacing w:beforeAutospacing="0" w:afterAutospacing="0" w:line="360" w:lineRule="auto"/>
        <w:ind w:firstLine="420"/>
        <w:jc w:val="center"/>
        <w:textAlignment w:val="auto"/>
        <w:rPr>
          <w:rFonts w:hint="eastAsia" w:ascii="仿宋" w:hAnsi="仿宋" w:eastAsia="仿宋" w:cs="仿宋"/>
          <w:color w:val="auto"/>
          <w:kern w:val="0"/>
          <w:sz w:val="24"/>
          <w:szCs w:val="24"/>
          <w:highlight w:val="none"/>
          <w:shd w:val="clear" w:color="auto" w:fill="FFFFFF" w:themeFill="background1"/>
        </w:rPr>
      </w:pPr>
    </w:p>
    <w:p w14:paraId="00D716CE">
      <w:pPr>
        <w:keepLines w:val="0"/>
        <w:pageBreakBefore w:val="0"/>
        <w:widowControl/>
        <w:shd w:val="clear" w:color="auto" w:fill="FFFFFF"/>
        <w:kinsoku/>
        <w:overflowPunct/>
        <w:topLinePunct w:val="0"/>
        <w:bidi w:val="0"/>
        <w:snapToGrid w:val="0"/>
        <w:spacing w:beforeAutospacing="0" w:afterAutospacing="0" w:line="360" w:lineRule="auto"/>
        <w:ind w:firstLine="42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                                               日期： 年  月  日</w:t>
      </w:r>
    </w:p>
    <w:p w14:paraId="3451122F">
      <w:pPr>
        <w:keepLines w:val="0"/>
        <w:pageBreakBefore w:val="0"/>
        <w:widowControl/>
        <w:shd w:val="clear" w:color="auto" w:fill="FFFFFF"/>
        <w:kinsoku/>
        <w:overflowPunct/>
        <w:topLinePunct w:val="0"/>
        <w:bidi w:val="0"/>
        <w:snapToGrid w:val="0"/>
        <w:spacing w:beforeAutospacing="0" w:afterAutospacing="0" w:line="360" w:lineRule="auto"/>
        <w:ind w:firstLine="420"/>
        <w:textAlignment w:val="auto"/>
        <w:rPr>
          <w:rFonts w:hint="eastAsia" w:ascii="仿宋" w:hAnsi="仿宋" w:eastAsia="仿宋" w:cs="仿宋"/>
          <w:color w:val="auto"/>
          <w:kern w:val="0"/>
          <w:sz w:val="24"/>
          <w:szCs w:val="24"/>
          <w:highlight w:val="none"/>
          <w:shd w:val="clear" w:color="auto" w:fill="FFFFFF" w:themeFill="background1"/>
        </w:rPr>
      </w:pPr>
    </w:p>
    <w:p w14:paraId="6A78B19B">
      <w:pPr>
        <w:keepLines w:val="0"/>
        <w:pageBreakBefore w:val="0"/>
        <w:widowControl/>
        <w:kinsoku/>
        <w:overflowPunct/>
        <w:topLinePunct w:val="0"/>
        <w:bidi w:val="0"/>
        <w:spacing w:beforeAutospacing="0" w:afterAutospacing="0"/>
        <w:jc w:val="left"/>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br w:type="page"/>
      </w:r>
    </w:p>
    <w:p w14:paraId="662B8751">
      <w:pPr>
        <w:keepLines w:val="0"/>
        <w:pageBreakBefore w:val="0"/>
        <w:kinsoku/>
        <w:overflowPunct/>
        <w:topLinePunct w:val="0"/>
        <w:bidi w:val="0"/>
        <w:adjustRightInd w:val="0"/>
        <w:snapToGrid w:val="0"/>
        <w:spacing w:beforeAutospacing="0" w:afterAutospacing="0" w:line="360" w:lineRule="auto"/>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138" w:name="_Toc10130"/>
      <w:bookmarkStart w:id="139" w:name="_Toc113901853"/>
      <w:bookmarkStart w:id="140" w:name="_Toc5886"/>
      <w:bookmarkStart w:id="141" w:name="_Toc21901"/>
      <w:bookmarkStart w:id="142" w:name="_Toc31476"/>
      <w:bookmarkStart w:id="143" w:name="_Toc156750403"/>
      <w:bookmarkStart w:id="144" w:name="_Toc23458"/>
      <w:bookmarkStart w:id="145" w:name="_Toc25682"/>
      <w:bookmarkStart w:id="146" w:name="_Toc15699"/>
      <w:bookmarkStart w:id="147" w:name="_Toc6166"/>
      <w:bookmarkStart w:id="148" w:name="_Toc128476882"/>
      <w:bookmarkStart w:id="149" w:name="_Toc16470"/>
      <w:r>
        <w:rPr>
          <w:rFonts w:hint="eastAsia" w:ascii="仿宋" w:hAnsi="仿宋" w:eastAsia="仿宋" w:cs="仿宋"/>
          <w:b/>
          <w:color w:val="auto"/>
          <w:sz w:val="24"/>
          <w:szCs w:val="24"/>
          <w:highlight w:val="none"/>
          <w:shd w:val="clear" w:color="auto" w:fill="FFFFFF" w:themeFill="background1"/>
          <w:lang w:val="en-US" w:eastAsia="zh-CN"/>
        </w:rPr>
        <w:t>7</w:t>
      </w:r>
      <w:r>
        <w:rPr>
          <w:rFonts w:hint="eastAsia" w:ascii="仿宋" w:hAnsi="仿宋" w:eastAsia="仿宋" w:cs="仿宋"/>
          <w:b/>
          <w:color w:val="auto"/>
          <w:sz w:val="24"/>
          <w:szCs w:val="24"/>
          <w:highlight w:val="none"/>
          <w:shd w:val="clear" w:color="auto" w:fill="FFFFFF" w:themeFill="background1"/>
        </w:rPr>
        <w:t>.5、具备法律、行政法规规定的其他条件的证明材料</w:t>
      </w:r>
      <w:bookmarkEnd w:id="138"/>
      <w:bookmarkEnd w:id="139"/>
      <w:bookmarkEnd w:id="140"/>
      <w:bookmarkEnd w:id="141"/>
      <w:bookmarkEnd w:id="142"/>
      <w:bookmarkEnd w:id="143"/>
      <w:bookmarkEnd w:id="144"/>
      <w:bookmarkEnd w:id="145"/>
      <w:bookmarkEnd w:id="146"/>
      <w:bookmarkEnd w:id="147"/>
      <w:bookmarkEnd w:id="148"/>
      <w:bookmarkEnd w:id="149"/>
    </w:p>
    <w:p w14:paraId="79924A73">
      <w:pPr>
        <w:keepLines w:val="0"/>
        <w:pageBreakBefore w:val="0"/>
        <w:widowControl/>
        <w:kinsoku/>
        <w:overflowPunct/>
        <w:topLinePunct w:val="0"/>
        <w:bidi w:val="0"/>
        <w:adjustRightInd w:val="0"/>
        <w:snapToGrid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21F194B3">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国家有关主管部门的行政许可（如有时）。</w:t>
      </w:r>
    </w:p>
    <w:p w14:paraId="1578188F">
      <w:pPr>
        <w:keepLines w:val="0"/>
        <w:pageBreakBefore w:val="0"/>
        <w:widowControl/>
        <w:numPr>
          <w:ilvl w:val="0"/>
          <w:numId w:val="0"/>
        </w:numPr>
        <w:kinsoku/>
        <w:overflowPunct/>
        <w:topLinePunct w:val="0"/>
        <w:bidi w:val="0"/>
        <w:adjustRightInd w:val="0"/>
        <w:snapToGrid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lang w:val="en-US" w:eastAsia="zh-CN"/>
        </w:rPr>
      </w:pPr>
      <w:r>
        <w:rPr>
          <w:rFonts w:hint="eastAsia" w:ascii="仿宋" w:hAnsi="仿宋" w:eastAsia="仿宋" w:cs="仿宋"/>
          <w:color w:val="auto"/>
          <w:sz w:val="24"/>
          <w:szCs w:val="24"/>
          <w:highlight w:val="none"/>
        </w:rPr>
        <w:t>2、中小企业声明函/残疾人福利性单位声明函/监狱企业证明文件（如有时）。</w:t>
      </w:r>
      <w:r>
        <w:rPr>
          <w:rFonts w:hint="eastAsia" w:ascii="仿宋" w:hAnsi="仿宋" w:eastAsia="仿宋" w:cs="仿宋"/>
          <w:color w:val="auto"/>
          <w:sz w:val="24"/>
          <w:szCs w:val="24"/>
          <w:highlight w:val="none"/>
        </w:rPr>
        <w:br w:type="page"/>
      </w:r>
    </w:p>
    <w:p w14:paraId="17B14C34">
      <w:pPr>
        <w:pStyle w:val="38"/>
        <w:keepLines w:val="0"/>
        <w:pageBreakBefore w:val="0"/>
        <w:kinsoku/>
        <w:overflowPunct/>
        <w:topLinePunct w:val="0"/>
        <w:bidi w:val="0"/>
        <w:spacing w:before="0" w:beforeAutospacing="0" w:after="0" w:afterAutospacing="0" w:line="360" w:lineRule="auto"/>
        <w:textAlignment w:val="auto"/>
        <w:rPr>
          <w:rStyle w:val="46"/>
          <w:rFonts w:hint="eastAsia" w:ascii="仿宋" w:hAnsi="仿宋" w:eastAsia="仿宋" w:cs="仿宋"/>
          <w:color w:val="auto"/>
          <w:highlight w:val="none"/>
          <w:shd w:val="clear" w:color="auto" w:fill="FFFFFF" w:themeFill="background1"/>
        </w:rPr>
      </w:pPr>
      <w:r>
        <w:rPr>
          <w:rStyle w:val="46"/>
          <w:rFonts w:hint="eastAsia" w:ascii="仿宋" w:hAnsi="仿宋" w:eastAsia="仿宋" w:cs="仿宋"/>
          <w:color w:val="auto"/>
          <w:highlight w:val="none"/>
          <w:shd w:val="clear" w:color="auto" w:fill="FFFFFF" w:themeFill="background1"/>
        </w:rPr>
        <w:t xml:space="preserve">附表一、                  </w:t>
      </w:r>
    </w:p>
    <w:p w14:paraId="6804CB8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pacing w:val="6"/>
          <w:sz w:val="24"/>
          <w:szCs w:val="24"/>
          <w:highlight w:val="none"/>
          <w:shd w:val="clear" w:color="auto" w:fill="FFFFFF" w:themeFill="background1"/>
        </w:rPr>
      </w:pPr>
    </w:p>
    <w:p w14:paraId="5211375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pacing w:val="6"/>
          <w:sz w:val="24"/>
          <w:szCs w:val="24"/>
          <w:highlight w:val="none"/>
          <w:shd w:val="clear" w:color="auto" w:fill="FFFFFF" w:themeFill="background1"/>
        </w:rPr>
      </w:pPr>
      <w:r>
        <w:rPr>
          <w:rFonts w:hint="eastAsia" w:ascii="仿宋" w:hAnsi="仿宋" w:eastAsia="仿宋" w:cs="仿宋"/>
          <w:b/>
          <w:color w:val="auto"/>
          <w:spacing w:val="6"/>
          <w:sz w:val="24"/>
          <w:szCs w:val="24"/>
          <w:highlight w:val="none"/>
          <w:shd w:val="clear" w:color="auto" w:fill="FFFFFF" w:themeFill="background1"/>
        </w:rPr>
        <w:t>中小企业声明函（工程、服务）</w:t>
      </w:r>
    </w:p>
    <w:p w14:paraId="79113BF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pacing w:val="6"/>
          <w:sz w:val="24"/>
          <w:szCs w:val="24"/>
          <w:highlight w:val="none"/>
          <w:shd w:val="clear" w:color="auto" w:fill="FFFFFF" w:themeFill="background1"/>
        </w:rPr>
      </w:pPr>
    </w:p>
    <w:p w14:paraId="20076B19">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本公司（联合体）郑重声明，根据《政府采购促进中小企业发展管理办法》（财库﹝2020﹞46 号）的规定，本公司</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（联合体）</w:t>
      </w:r>
      <w:r>
        <w:rPr>
          <w:rFonts w:hint="eastAsia" w:ascii="仿宋" w:hAnsi="仿宋" w:eastAsia="仿宋" w:cs="仿宋"/>
          <w:color w:val="auto"/>
          <w:kern w:val="0"/>
          <w:sz w:val="24"/>
          <w:szCs w:val="24"/>
          <w:highlight w:val="none"/>
          <w:shd w:val="clear" w:color="auto" w:fill="FFFFFF" w:themeFill="background1"/>
        </w:rPr>
        <w:t>参加</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（单位名称）</w:t>
      </w:r>
      <w:r>
        <w:rPr>
          <w:rFonts w:hint="eastAsia" w:ascii="仿宋" w:hAnsi="仿宋" w:eastAsia="仿宋" w:cs="仿宋"/>
          <w:color w:val="auto"/>
          <w:kern w:val="0"/>
          <w:sz w:val="24"/>
          <w:szCs w:val="24"/>
          <w:highlight w:val="none"/>
          <w:shd w:val="clear" w:color="auto" w:fill="FFFFFF" w:themeFill="background1"/>
        </w:rPr>
        <w:t>的</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（项目名称）</w:t>
      </w:r>
      <w:r>
        <w:rPr>
          <w:rFonts w:hint="eastAsia" w:ascii="仿宋" w:hAnsi="仿宋" w:eastAsia="仿宋" w:cs="仿宋"/>
          <w:color w:val="auto"/>
          <w:kern w:val="0"/>
          <w:sz w:val="24"/>
          <w:szCs w:val="24"/>
          <w:highlight w:val="none"/>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14:paraId="25522B49">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1. </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（标的名称）</w:t>
      </w:r>
      <w:r>
        <w:rPr>
          <w:rFonts w:hint="eastAsia" w:ascii="仿宋" w:hAnsi="仿宋" w:eastAsia="仿宋" w:cs="仿宋"/>
          <w:color w:val="auto"/>
          <w:kern w:val="0"/>
          <w:sz w:val="24"/>
          <w:szCs w:val="24"/>
          <w:highlight w:val="none"/>
          <w:shd w:val="clear" w:color="auto" w:fill="FFFFFF" w:themeFill="background1"/>
        </w:rPr>
        <w:t xml:space="preserve"> ，属于</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（采购文件中明确的所属行业）</w:t>
      </w:r>
      <w:r>
        <w:rPr>
          <w:rFonts w:hint="eastAsia" w:ascii="仿宋" w:hAnsi="仿宋" w:eastAsia="仿宋" w:cs="仿宋"/>
          <w:color w:val="auto"/>
          <w:kern w:val="0"/>
          <w:sz w:val="24"/>
          <w:szCs w:val="24"/>
          <w:highlight w:val="none"/>
          <w:shd w:val="clear" w:color="auto" w:fill="FFFFFF" w:themeFill="background1"/>
        </w:rPr>
        <w:t>；承建（承接）企业为</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（企业名称）</w:t>
      </w:r>
      <w:r>
        <w:rPr>
          <w:rFonts w:hint="eastAsia" w:ascii="仿宋" w:hAnsi="仿宋" w:eastAsia="仿宋" w:cs="仿宋"/>
          <w:color w:val="auto"/>
          <w:kern w:val="0"/>
          <w:sz w:val="24"/>
          <w:szCs w:val="24"/>
          <w:highlight w:val="none"/>
          <w:shd w:val="clear" w:color="auto" w:fill="FFFFFF" w:themeFill="background1"/>
        </w:rPr>
        <w:t>，从业人员</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shd w:val="clear" w:color="auto" w:fill="FFFFFF" w:themeFill="background1"/>
        </w:rPr>
        <w:t>人，营业收入为</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shd w:val="clear" w:color="auto" w:fill="FFFFFF" w:themeFill="background1"/>
        </w:rPr>
        <w:t>万元，资产总额为</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shd w:val="clear" w:color="auto" w:fill="FFFFFF" w:themeFill="background1"/>
        </w:rPr>
        <w:t>万元，属于</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（中型企业、小型企业、微型企业</w:t>
      </w:r>
      <w:r>
        <w:rPr>
          <w:rFonts w:hint="eastAsia" w:ascii="仿宋" w:hAnsi="仿宋" w:eastAsia="仿宋" w:cs="仿宋"/>
          <w:color w:val="auto"/>
          <w:kern w:val="0"/>
          <w:sz w:val="24"/>
          <w:szCs w:val="24"/>
          <w:highlight w:val="none"/>
          <w:shd w:val="clear" w:color="auto" w:fill="FFFFFF" w:themeFill="background1"/>
        </w:rPr>
        <w:t>）；</w:t>
      </w:r>
    </w:p>
    <w:p w14:paraId="6F64E69F">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 xml:space="preserve">2.  </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（标的名称）</w:t>
      </w:r>
      <w:r>
        <w:rPr>
          <w:rFonts w:hint="eastAsia" w:ascii="仿宋" w:hAnsi="仿宋" w:eastAsia="仿宋" w:cs="仿宋"/>
          <w:color w:val="auto"/>
          <w:kern w:val="0"/>
          <w:sz w:val="24"/>
          <w:szCs w:val="24"/>
          <w:highlight w:val="none"/>
          <w:shd w:val="clear" w:color="auto" w:fill="FFFFFF" w:themeFill="background1"/>
        </w:rPr>
        <w:t xml:space="preserve"> ，属于</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（采购文件中明确的所属行业）</w:t>
      </w:r>
      <w:r>
        <w:rPr>
          <w:rFonts w:hint="eastAsia" w:ascii="仿宋" w:hAnsi="仿宋" w:eastAsia="仿宋" w:cs="仿宋"/>
          <w:color w:val="auto"/>
          <w:kern w:val="0"/>
          <w:sz w:val="24"/>
          <w:szCs w:val="24"/>
          <w:highlight w:val="none"/>
          <w:shd w:val="clear" w:color="auto" w:fill="FFFFFF" w:themeFill="background1"/>
        </w:rPr>
        <w:t>；承建（承接）企业为</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（企业名称）</w:t>
      </w:r>
      <w:r>
        <w:rPr>
          <w:rFonts w:hint="eastAsia" w:ascii="仿宋" w:hAnsi="仿宋" w:eastAsia="仿宋" w:cs="仿宋"/>
          <w:color w:val="auto"/>
          <w:kern w:val="0"/>
          <w:sz w:val="24"/>
          <w:szCs w:val="24"/>
          <w:highlight w:val="none"/>
          <w:shd w:val="clear" w:color="auto" w:fill="FFFFFF" w:themeFill="background1"/>
        </w:rPr>
        <w:t>，从业人员</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shd w:val="clear" w:color="auto" w:fill="FFFFFF" w:themeFill="background1"/>
        </w:rPr>
        <w:t>人，营业收入为</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shd w:val="clear" w:color="auto" w:fill="FFFFFF" w:themeFill="background1"/>
        </w:rPr>
        <w:t>万元，资产总额为</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shd w:val="clear" w:color="auto" w:fill="FFFFFF" w:themeFill="background1"/>
        </w:rPr>
        <w:t>万元，属于</w:t>
      </w:r>
      <w:r>
        <w:rPr>
          <w:rFonts w:hint="eastAsia" w:ascii="仿宋" w:hAnsi="仿宋" w:eastAsia="仿宋" w:cs="仿宋"/>
          <w:color w:val="auto"/>
          <w:kern w:val="0"/>
          <w:sz w:val="24"/>
          <w:szCs w:val="24"/>
          <w:highlight w:val="none"/>
          <w:u w:val="single"/>
          <w:shd w:val="clear" w:color="auto" w:fill="FFFFFF" w:themeFill="background1"/>
          <w:lang w:val="en-US" w:eastAsia="zh-CN"/>
        </w:rPr>
        <w:t xml:space="preserve">   </w:t>
      </w:r>
      <w:r>
        <w:rPr>
          <w:rFonts w:hint="eastAsia" w:ascii="仿宋" w:hAnsi="仿宋" w:eastAsia="仿宋" w:cs="仿宋"/>
          <w:color w:val="auto"/>
          <w:kern w:val="0"/>
          <w:sz w:val="24"/>
          <w:szCs w:val="24"/>
          <w:highlight w:val="none"/>
          <w:u w:val="single"/>
          <w:shd w:val="clear" w:color="auto" w:fill="FFFFFF" w:themeFill="background1"/>
        </w:rPr>
        <w:t>（中型企业、小型企业、微型企业</w:t>
      </w:r>
      <w:r>
        <w:rPr>
          <w:rFonts w:hint="eastAsia" w:ascii="仿宋" w:hAnsi="仿宋" w:eastAsia="仿宋" w:cs="仿宋"/>
          <w:color w:val="auto"/>
          <w:kern w:val="0"/>
          <w:sz w:val="24"/>
          <w:szCs w:val="24"/>
          <w:highlight w:val="none"/>
          <w:shd w:val="clear" w:color="auto" w:fill="FFFFFF" w:themeFill="background1"/>
        </w:rPr>
        <w:t>）；</w:t>
      </w:r>
    </w:p>
    <w:p w14:paraId="5A012E24">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w:t>
      </w:r>
    </w:p>
    <w:p w14:paraId="72475084">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以上企业，不属于大企业的分支机构，不存在控股股东为大企业的情形，也不存在与大企业的负责人为同一人的情形。</w:t>
      </w:r>
    </w:p>
    <w:p w14:paraId="6DB211E5">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本企业对上述声明内容的真实性负责。如有虚假，将依法承担相应责任。</w:t>
      </w:r>
    </w:p>
    <w:p w14:paraId="6C478A47">
      <w:pPr>
        <w:keepLines w:val="0"/>
        <w:pageBreakBefore w:val="0"/>
        <w:kinsoku/>
        <w:overflowPunct/>
        <w:topLinePunct w:val="0"/>
        <w:bidi w:val="0"/>
        <w:spacing w:beforeAutospacing="0" w:afterAutospacing="0" w:line="360" w:lineRule="auto"/>
        <w:ind w:firstLine="480" w:firstLineChars="200"/>
        <w:jc w:val="right"/>
        <w:textAlignment w:val="auto"/>
        <w:rPr>
          <w:rFonts w:hint="eastAsia" w:ascii="仿宋" w:hAnsi="仿宋" w:eastAsia="仿宋" w:cs="仿宋"/>
          <w:color w:val="auto"/>
          <w:kern w:val="0"/>
          <w:sz w:val="24"/>
          <w:szCs w:val="24"/>
          <w:highlight w:val="none"/>
          <w:shd w:val="clear" w:color="auto" w:fill="FFFFFF" w:themeFill="background1"/>
        </w:rPr>
      </w:pPr>
    </w:p>
    <w:p w14:paraId="4F58401A">
      <w:pPr>
        <w:keepLines w:val="0"/>
        <w:pageBreakBefore w:val="0"/>
        <w:kinsoku/>
        <w:overflowPunct/>
        <w:topLinePunct w:val="0"/>
        <w:bidi w:val="0"/>
        <w:spacing w:beforeAutospacing="0" w:afterAutospacing="0" w:line="360" w:lineRule="auto"/>
        <w:ind w:firstLine="480" w:firstLineChars="20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lang w:val="en-US" w:eastAsia="zh-CN"/>
        </w:rPr>
        <w:t xml:space="preserve">                      </w:t>
      </w:r>
      <w:r>
        <w:rPr>
          <w:rFonts w:hint="eastAsia" w:ascii="仿宋" w:hAnsi="仿宋" w:eastAsia="仿宋" w:cs="仿宋"/>
          <w:color w:val="auto"/>
          <w:kern w:val="0"/>
          <w:sz w:val="24"/>
          <w:szCs w:val="24"/>
          <w:highlight w:val="none"/>
          <w:shd w:val="clear" w:color="auto" w:fill="FFFFFF" w:themeFill="background1"/>
        </w:rPr>
        <w:t>企业名称（盖章）：</w:t>
      </w:r>
    </w:p>
    <w:p w14:paraId="445C230D">
      <w:pPr>
        <w:keepLines w:val="0"/>
        <w:pageBreakBefore w:val="0"/>
        <w:kinsoku/>
        <w:overflowPunct/>
        <w:topLinePunct w:val="0"/>
        <w:bidi w:val="0"/>
        <w:spacing w:beforeAutospacing="0" w:afterAutospacing="0" w:line="360" w:lineRule="auto"/>
        <w:ind w:right="480" w:firstLine="480" w:firstLineChars="200"/>
        <w:jc w:val="center"/>
        <w:textAlignment w:val="auto"/>
        <w:rPr>
          <w:rFonts w:hint="eastAsia" w:ascii="仿宋" w:hAnsi="仿宋" w:eastAsia="仿宋" w:cs="仿宋"/>
          <w:b/>
          <w:color w:val="auto"/>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lang w:val="en-US" w:eastAsia="zh-CN"/>
        </w:rPr>
        <w:t xml:space="preserve">             </w:t>
      </w:r>
      <w:r>
        <w:rPr>
          <w:rFonts w:hint="eastAsia" w:ascii="仿宋" w:hAnsi="仿宋" w:eastAsia="仿宋" w:cs="仿宋"/>
          <w:color w:val="auto"/>
          <w:kern w:val="0"/>
          <w:sz w:val="24"/>
          <w:szCs w:val="24"/>
          <w:highlight w:val="none"/>
          <w:shd w:val="clear" w:color="auto" w:fill="FFFFFF" w:themeFill="background1"/>
        </w:rPr>
        <w:t>日期：</w:t>
      </w:r>
    </w:p>
    <w:p w14:paraId="2BBF51B2">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kern w:val="0"/>
          <w:sz w:val="24"/>
          <w:szCs w:val="24"/>
          <w:highlight w:val="none"/>
          <w:shd w:val="clear" w:color="auto" w:fill="FFFFFF" w:themeFill="background1"/>
        </w:rPr>
      </w:pPr>
    </w:p>
    <w:p w14:paraId="1869C2CA">
      <w:pPr>
        <w:keepLines w:val="0"/>
        <w:pageBreakBefore w:val="0"/>
        <w:kinsoku/>
        <w:overflowPunct/>
        <w:topLinePunct w:val="0"/>
        <w:bidi w:val="0"/>
        <w:spacing w:beforeAutospacing="0" w:afterAutospacing="0" w:line="360" w:lineRule="auto"/>
        <w:textAlignment w:val="auto"/>
        <w:rPr>
          <w:rStyle w:val="46"/>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注：人员、营业收入、资产总额填报上一年度数据，无上一年度数据的新成立企业可不填报。</w:t>
      </w:r>
    </w:p>
    <w:p w14:paraId="53E1BD6F">
      <w:pPr>
        <w:pStyle w:val="16"/>
        <w:keepLines w:val="0"/>
        <w:pageBreakBefore w:val="0"/>
        <w:kinsoku/>
        <w:overflowPunct/>
        <w:topLinePunct w:val="0"/>
        <w:bidi w:val="0"/>
        <w:spacing w:beforeAutospacing="0" w:after="0" w:afterAutospacing="0"/>
        <w:ind w:firstLine="48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highlight w:val="none"/>
        </w:rPr>
        <w:br w:type="page"/>
      </w:r>
    </w:p>
    <w:p w14:paraId="25A7EE4D">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color w:val="auto"/>
          <w:spacing w:val="6"/>
          <w:sz w:val="24"/>
          <w:szCs w:val="24"/>
          <w:highlight w:val="none"/>
          <w:shd w:val="clear" w:color="auto" w:fill="FFFFFF" w:themeFill="background1"/>
        </w:rPr>
      </w:pPr>
      <w:r>
        <w:rPr>
          <w:rStyle w:val="46"/>
          <w:rFonts w:hint="eastAsia" w:ascii="仿宋" w:hAnsi="仿宋" w:eastAsia="仿宋" w:cs="仿宋"/>
          <w:color w:val="auto"/>
          <w:kern w:val="0"/>
          <w:sz w:val="24"/>
          <w:szCs w:val="24"/>
          <w:highlight w:val="none"/>
          <w:shd w:val="clear" w:color="auto" w:fill="FFFFFF" w:themeFill="background1"/>
        </w:rPr>
        <w:t>附表二、</w:t>
      </w:r>
    </w:p>
    <w:p w14:paraId="7A0DC99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color w:val="auto"/>
          <w:spacing w:val="6"/>
          <w:sz w:val="24"/>
          <w:szCs w:val="24"/>
          <w:highlight w:val="none"/>
          <w:shd w:val="clear" w:color="auto" w:fill="FFFFFF" w:themeFill="background1"/>
        </w:rPr>
      </w:pPr>
      <w:r>
        <w:rPr>
          <w:rFonts w:hint="eastAsia" w:ascii="仿宋" w:hAnsi="仿宋" w:eastAsia="仿宋" w:cs="仿宋"/>
          <w:b/>
          <w:color w:val="auto"/>
          <w:spacing w:val="6"/>
          <w:sz w:val="24"/>
          <w:szCs w:val="24"/>
          <w:highlight w:val="none"/>
          <w:shd w:val="clear" w:color="auto" w:fill="FFFFFF" w:themeFill="background1"/>
        </w:rPr>
        <w:t>残疾人福利性单位声明函</w:t>
      </w:r>
    </w:p>
    <w:p w14:paraId="68F21F6A">
      <w:pPr>
        <w:keepLines w:val="0"/>
        <w:pageBreakBefore w:val="0"/>
        <w:kinsoku/>
        <w:overflowPunct/>
        <w:topLinePunct w:val="0"/>
        <w:bidi w:val="0"/>
        <w:spacing w:beforeAutospacing="0" w:afterAutospacing="0" w:line="360" w:lineRule="auto"/>
        <w:textAlignment w:val="auto"/>
        <w:rPr>
          <w:rFonts w:hint="eastAsia" w:ascii="仿宋" w:hAnsi="仿宋" w:eastAsia="仿宋" w:cs="仿宋"/>
          <w:b/>
          <w:color w:val="auto"/>
          <w:spacing w:val="6"/>
          <w:sz w:val="24"/>
          <w:szCs w:val="24"/>
          <w:highlight w:val="none"/>
          <w:shd w:val="clear" w:color="auto" w:fill="FFFFFF" w:themeFill="background1"/>
        </w:rPr>
      </w:pPr>
    </w:p>
    <w:p w14:paraId="10B644E1">
      <w:pPr>
        <w:keepLines w:val="0"/>
        <w:pageBreakBefore w:val="0"/>
        <w:kinsoku/>
        <w:overflowPunct/>
        <w:topLinePunct w:val="0"/>
        <w:bidi w:val="0"/>
        <w:spacing w:beforeAutospacing="0" w:afterAutospacing="0" w:line="360" w:lineRule="auto"/>
        <w:ind w:firstLine="504" w:firstLineChars="200"/>
        <w:textAlignment w:val="auto"/>
        <w:rPr>
          <w:rFonts w:hint="eastAsia" w:ascii="仿宋" w:hAnsi="仿宋" w:eastAsia="仿宋" w:cs="仿宋"/>
          <w:color w:val="auto"/>
          <w:spacing w:val="6"/>
          <w:sz w:val="24"/>
          <w:szCs w:val="24"/>
          <w:highlight w:val="none"/>
          <w:shd w:val="clear" w:color="auto" w:fill="FFFFFF" w:themeFill="background1"/>
        </w:rPr>
      </w:pPr>
      <w:r>
        <w:rPr>
          <w:rFonts w:hint="eastAsia" w:ascii="仿宋" w:hAnsi="仿宋" w:eastAsia="仿宋" w:cs="仿宋"/>
          <w:color w:val="auto"/>
          <w:spacing w:val="6"/>
          <w:sz w:val="24"/>
          <w:szCs w:val="24"/>
          <w:highlight w:val="none"/>
          <w:shd w:val="clear" w:color="auto" w:fill="FFFFFF" w:themeFill="background1"/>
        </w:rPr>
        <w:t>本单位郑重声明，根据《财政部 民政部 中国残疾人联合会关于促进残疾人就业政府采购政策的通知》（财库</w:t>
      </w:r>
      <w:r>
        <w:rPr>
          <w:rFonts w:hint="eastAsia" w:ascii="仿宋" w:hAnsi="仿宋" w:eastAsia="仿宋" w:cs="仿宋"/>
          <w:color w:val="auto"/>
          <w:sz w:val="24"/>
          <w:szCs w:val="24"/>
          <w:highlight w:val="none"/>
          <w:shd w:val="clear" w:color="auto" w:fill="FFFFFF" w:themeFill="background1"/>
        </w:rPr>
        <w:t>〔2017〕 141</w:t>
      </w:r>
      <w:r>
        <w:rPr>
          <w:rFonts w:hint="eastAsia" w:ascii="仿宋" w:hAnsi="仿宋" w:eastAsia="仿宋" w:cs="仿宋"/>
          <w:color w:val="auto"/>
          <w:spacing w:val="6"/>
          <w:sz w:val="24"/>
          <w:szCs w:val="24"/>
          <w:highlight w:val="none"/>
          <w:shd w:val="clear" w:color="auto" w:fill="FFFFFF" w:themeFill="background1"/>
        </w:rPr>
        <w:t>号）的规定，本单位为符合条件的残疾人福利性单位，且本单位参加</w:t>
      </w:r>
      <w:r>
        <w:rPr>
          <w:rFonts w:hint="eastAsia" w:ascii="仿宋" w:hAnsi="仿宋" w:eastAsia="仿宋" w:cs="仿宋"/>
          <w:color w:val="auto"/>
          <w:spacing w:val="6"/>
          <w:sz w:val="24"/>
          <w:szCs w:val="24"/>
          <w:highlight w:val="none"/>
          <w:u w:val="single"/>
          <w:shd w:val="clear" w:color="auto" w:fill="FFFFFF" w:themeFill="background1"/>
          <w:lang w:val="en-US" w:eastAsia="zh-CN"/>
        </w:rPr>
        <w:t xml:space="preserve">   </w:t>
      </w:r>
      <w:r>
        <w:rPr>
          <w:rFonts w:hint="eastAsia" w:ascii="仿宋" w:hAnsi="仿宋" w:eastAsia="仿宋" w:cs="仿宋"/>
          <w:color w:val="auto"/>
          <w:spacing w:val="6"/>
          <w:sz w:val="24"/>
          <w:szCs w:val="24"/>
          <w:highlight w:val="none"/>
          <w:shd w:val="clear" w:color="auto" w:fill="FFFFFF" w:themeFill="background1"/>
        </w:rPr>
        <w:t>单位的</w:t>
      </w:r>
      <w:r>
        <w:rPr>
          <w:rFonts w:hint="eastAsia" w:ascii="仿宋" w:hAnsi="仿宋" w:eastAsia="仿宋" w:cs="仿宋"/>
          <w:color w:val="auto"/>
          <w:spacing w:val="6"/>
          <w:sz w:val="24"/>
          <w:szCs w:val="24"/>
          <w:highlight w:val="none"/>
          <w:u w:val="single"/>
          <w:shd w:val="clear" w:color="auto" w:fill="FFFFFF" w:themeFill="background1"/>
          <w:lang w:val="en-US" w:eastAsia="zh-CN"/>
        </w:rPr>
        <w:t xml:space="preserve">   </w:t>
      </w:r>
      <w:r>
        <w:rPr>
          <w:rFonts w:hint="eastAsia" w:ascii="仿宋" w:hAnsi="仿宋" w:eastAsia="仿宋" w:cs="仿宋"/>
          <w:color w:val="auto"/>
          <w:spacing w:val="6"/>
          <w:sz w:val="24"/>
          <w:szCs w:val="24"/>
          <w:highlight w:val="none"/>
          <w:shd w:val="clear" w:color="auto" w:fill="FFFFFF" w:themeFill="background1"/>
        </w:rPr>
        <w:t>项目采购活动提供本单位制造的货物（由本单位承担工程/提供服务），或者提供其他残疾人福利性单位制造的货物（不包括使用非残疾人福利性单位注册商标的货物）。</w:t>
      </w:r>
    </w:p>
    <w:p w14:paraId="0068ABB0">
      <w:pPr>
        <w:keepLines w:val="0"/>
        <w:pageBreakBefore w:val="0"/>
        <w:kinsoku/>
        <w:overflowPunct/>
        <w:topLinePunct w:val="0"/>
        <w:bidi w:val="0"/>
        <w:spacing w:beforeAutospacing="0" w:afterAutospacing="0" w:line="360" w:lineRule="auto"/>
        <w:ind w:firstLine="504" w:firstLineChars="200"/>
        <w:textAlignment w:val="auto"/>
        <w:rPr>
          <w:rFonts w:hint="eastAsia" w:ascii="仿宋" w:hAnsi="仿宋" w:eastAsia="仿宋" w:cs="仿宋"/>
          <w:color w:val="auto"/>
          <w:spacing w:val="6"/>
          <w:sz w:val="24"/>
          <w:szCs w:val="24"/>
          <w:highlight w:val="none"/>
          <w:shd w:val="clear" w:color="auto" w:fill="FFFFFF" w:themeFill="background1"/>
        </w:rPr>
      </w:pPr>
      <w:r>
        <w:rPr>
          <w:rFonts w:hint="eastAsia" w:ascii="仿宋" w:hAnsi="仿宋" w:eastAsia="仿宋" w:cs="仿宋"/>
          <w:color w:val="auto"/>
          <w:spacing w:val="6"/>
          <w:sz w:val="24"/>
          <w:szCs w:val="24"/>
          <w:highlight w:val="none"/>
          <w:shd w:val="clear" w:color="auto" w:fill="FFFFFF" w:themeFill="background1"/>
        </w:rPr>
        <w:t>本单位对上述声明的真实性负责。如有虚假，将依法承担相应责任。</w:t>
      </w:r>
    </w:p>
    <w:p w14:paraId="55A303EE">
      <w:pPr>
        <w:keepLines w:val="0"/>
        <w:pageBreakBefore w:val="0"/>
        <w:kinsoku/>
        <w:overflowPunct/>
        <w:topLinePunct w:val="0"/>
        <w:bidi w:val="0"/>
        <w:spacing w:beforeAutospacing="0" w:afterAutospacing="0" w:line="360" w:lineRule="auto"/>
        <w:ind w:firstLine="504" w:firstLineChars="200"/>
        <w:textAlignment w:val="auto"/>
        <w:rPr>
          <w:rFonts w:hint="eastAsia" w:ascii="仿宋" w:hAnsi="仿宋" w:eastAsia="仿宋" w:cs="仿宋"/>
          <w:color w:val="auto"/>
          <w:spacing w:val="6"/>
          <w:sz w:val="24"/>
          <w:szCs w:val="24"/>
          <w:highlight w:val="none"/>
          <w:shd w:val="clear" w:color="auto" w:fill="FFFFFF" w:themeFill="background1"/>
        </w:rPr>
      </w:pPr>
    </w:p>
    <w:p w14:paraId="510610D5">
      <w:pPr>
        <w:keepLines w:val="0"/>
        <w:pageBreakBefore w:val="0"/>
        <w:kinsoku/>
        <w:overflowPunct/>
        <w:topLinePunct w:val="0"/>
        <w:bidi w:val="0"/>
        <w:spacing w:beforeAutospacing="0" w:afterAutospacing="0" w:line="360" w:lineRule="auto"/>
        <w:ind w:firstLine="504" w:firstLineChars="200"/>
        <w:textAlignment w:val="auto"/>
        <w:rPr>
          <w:rFonts w:hint="eastAsia" w:ascii="仿宋" w:hAnsi="仿宋" w:eastAsia="仿宋" w:cs="仿宋"/>
          <w:color w:val="auto"/>
          <w:spacing w:val="6"/>
          <w:sz w:val="24"/>
          <w:szCs w:val="24"/>
          <w:highlight w:val="none"/>
          <w:shd w:val="clear" w:color="auto" w:fill="FFFFFF" w:themeFill="background1"/>
        </w:rPr>
      </w:pPr>
    </w:p>
    <w:p w14:paraId="542F1604">
      <w:pPr>
        <w:keepLines w:val="0"/>
        <w:pageBreakBefore w:val="0"/>
        <w:tabs>
          <w:tab w:val="left" w:pos="4860"/>
        </w:tabs>
        <w:kinsoku/>
        <w:overflowPunct/>
        <w:topLinePunct w:val="0"/>
        <w:bidi w:val="0"/>
        <w:spacing w:beforeAutospacing="0" w:afterAutospacing="0" w:line="360" w:lineRule="auto"/>
        <w:ind w:right="1560" w:firstLine="504" w:firstLineChars="200"/>
        <w:textAlignment w:val="auto"/>
        <w:rPr>
          <w:rFonts w:hint="eastAsia" w:ascii="仿宋" w:hAnsi="仿宋" w:eastAsia="仿宋" w:cs="仿宋"/>
          <w:color w:val="auto"/>
          <w:spacing w:val="6"/>
          <w:sz w:val="24"/>
          <w:szCs w:val="24"/>
          <w:highlight w:val="none"/>
          <w:shd w:val="clear" w:color="auto" w:fill="FFFFFF" w:themeFill="background1"/>
        </w:rPr>
      </w:pPr>
      <w:r>
        <w:rPr>
          <w:rFonts w:hint="eastAsia" w:ascii="仿宋" w:hAnsi="仿宋" w:eastAsia="仿宋" w:cs="仿宋"/>
          <w:color w:val="auto"/>
          <w:spacing w:val="6"/>
          <w:sz w:val="24"/>
          <w:szCs w:val="24"/>
          <w:highlight w:val="none"/>
          <w:shd w:val="clear" w:color="auto" w:fill="FFFFFF" w:themeFill="background1"/>
        </w:rPr>
        <w:t>单位名称（盖章）：</w:t>
      </w:r>
    </w:p>
    <w:p w14:paraId="7A10F1BA">
      <w:pPr>
        <w:keepLines w:val="0"/>
        <w:pageBreakBefore w:val="0"/>
        <w:tabs>
          <w:tab w:val="left" w:pos="4860"/>
        </w:tabs>
        <w:kinsoku/>
        <w:overflowPunct/>
        <w:topLinePunct w:val="0"/>
        <w:bidi w:val="0"/>
        <w:spacing w:beforeAutospacing="0" w:afterAutospacing="0" w:line="360" w:lineRule="auto"/>
        <w:ind w:right="1560" w:firstLine="504" w:firstLineChars="200"/>
        <w:jc w:val="center"/>
        <w:textAlignment w:val="auto"/>
        <w:rPr>
          <w:rFonts w:hint="eastAsia" w:ascii="仿宋" w:hAnsi="仿宋" w:eastAsia="仿宋" w:cs="仿宋"/>
          <w:color w:val="auto"/>
          <w:spacing w:val="6"/>
          <w:sz w:val="24"/>
          <w:szCs w:val="24"/>
          <w:highlight w:val="none"/>
          <w:shd w:val="clear" w:color="auto" w:fill="FFFFFF" w:themeFill="background1"/>
        </w:rPr>
      </w:pPr>
      <w:r>
        <w:rPr>
          <w:rFonts w:hint="eastAsia" w:ascii="仿宋" w:hAnsi="仿宋" w:eastAsia="仿宋" w:cs="仿宋"/>
          <w:color w:val="auto"/>
          <w:spacing w:val="6"/>
          <w:sz w:val="24"/>
          <w:szCs w:val="24"/>
          <w:highlight w:val="none"/>
          <w:shd w:val="clear" w:color="auto" w:fill="FFFFFF" w:themeFill="background1"/>
        </w:rPr>
        <w:t xml:space="preserve">                                           日  期：</w:t>
      </w:r>
    </w:p>
    <w:p w14:paraId="5DE934AF">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0D6E17FF">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533356F9">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49563ABA">
      <w:pPr>
        <w:keepLines w:val="0"/>
        <w:pageBreakBefore w:val="0"/>
        <w:widowControl/>
        <w:kinsoku/>
        <w:overflowPunct/>
        <w:topLinePunct w:val="0"/>
        <w:bidi w:val="0"/>
        <w:spacing w:beforeAutospacing="0" w:afterAutospacing="0" w:line="360" w:lineRule="auto"/>
        <w:jc w:val="left"/>
        <w:textAlignment w:val="auto"/>
        <w:rPr>
          <w:rStyle w:val="46"/>
          <w:rFonts w:hint="eastAsia" w:ascii="仿宋" w:hAnsi="仿宋" w:eastAsia="仿宋" w:cs="仿宋"/>
          <w:b w:val="0"/>
          <w:color w:val="auto"/>
          <w:sz w:val="24"/>
          <w:szCs w:val="24"/>
          <w:highlight w:val="none"/>
          <w:shd w:val="clear" w:color="auto" w:fill="FFFFFF" w:themeFill="background1"/>
        </w:rPr>
      </w:pPr>
      <w:r>
        <w:rPr>
          <w:rStyle w:val="46"/>
          <w:rFonts w:hint="eastAsia" w:ascii="仿宋" w:hAnsi="仿宋" w:eastAsia="仿宋" w:cs="仿宋"/>
          <w:color w:val="auto"/>
          <w:kern w:val="0"/>
          <w:sz w:val="24"/>
          <w:szCs w:val="24"/>
          <w:highlight w:val="none"/>
          <w:shd w:val="clear" w:color="auto" w:fill="FFFFFF" w:themeFill="background1"/>
        </w:rPr>
        <w:t>附表三、</w:t>
      </w:r>
    </w:p>
    <w:p w14:paraId="446BA85D">
      <w:pPr>
        <w:keepLines w:val="0"/>
        <w:pageBreakBefore w:val="0"/>
        <w:kinsoku/>
        <w:overflowPunct/>
        <w:topLinePunct w:val="0"/>
        <w:bidi w:val="0"/>
        <w:spacing w:beforeAutospacing="0" w:afterAutospacing="0" w:line="360" w:lineRule="auto"/>
        <w:jc w:val="center"/>
        <w:textAlignment w:val="auto"/>
        <w:rPr>
          <w:rStyle w:val="46"/>
          <w:rFonts w:hint="eastAsia" w:ascii="仿宋" w:hAnsi="仿宋" w:eastAsia="仿宋" w:cs="仿宋"/>
          <w:b w:val="0"/>
          <w:color w:val="auto"/>
          <w:kern w:val="0"/>
          <w:sz w:val="24"/>
          <w:szCs w:val="24"/>
          <w:highlight w:val="none"/>
          <w:shd w:val="clear" w:color="auto" w:fill="FFFFFF" w:themeFill="background1"/>
        </w:rPr>
      </w:pPr>
      <w:r>
        <w:rPr>
          <w:rStyle w:val="46"/>
          <w:rFonts w:hint="eastAsia" w:ascii="仿宋" w:hAnsi="仿宋" w:eastAsia="仿宋" w:cs="仿宋"/>
          <w:color w:val="auto"/>
          <w:kern w:val="0"/>
          <w:sz w:val="24"/>
          <w:szCs w:val="24"/>
          <w:highlight w:val="none"/>
          <w:shd w:val="clear" w:color="auto" w:fill="FFFFFF" w:themeFill="background1"/>
        </w:rPr>
        <w:t>监狱企业证明文件</w:t>
      </w:r>
    </w:p>
    <w:p w14:paraId="73DC0471">
      <w:pPr>
        <w:keepLines w:val="0"/>
        <w:pageBreakBefore w:val="0"/>
        <w:kinsoku/>
        <w:overflowPunct/>
        <w:topLinePunct w:val="0"/>
        <w:bidi w:val="0"/>
        <w:spacing w:beforeAutospacing="0" w:afterAutospacing="0" w:line="360" w:lineRule="auto"/>
        <w:ind w:firstLine="504" w:firstLineChars="200"/>
        <w:textAlignment w:val="auto"/>
        <w:rPr>
          <w:rFonts w:hint="eastAsia" w:ascii="仿宋" w:hAnsi="仿宋" w:eastAsia="仿宋" w:cs="仿宋"/>
          <w:color w:val="auto"/>
          <w:spacing w:val="6"/>
          <w:sz w:val="24"/>
          <w:szCs w:val="24"/>
          <w:highlight w:val="none"/>
          <w:shd w:val="clear" w:color="auto" w:fill="FFFFFF" w:themeFill="background1"/>
        </w:rPr>
      </w:pPr>
      <w:r>
        <w:rPr>
          <w:rFonts w:hint="eastAsia" w:ascii="仿宋" w:hAnsi="仿宋" w:eastAsia="仿宋" w:cs="仿宋"/>
          <w:color w:val="auto"/>
          <w:spacing w:val="6"/>
          <w:sz w:val="24"/>
          <w:szCs w:val="24"/>
          <w:highlight w:val="none"/>
          <w:shd w:val="clear" w:color="auto" w:fill="FFFFFF" w:themeFill="background1"/>
        </w:rPr>
        <w:t>监狱企业参加政府采购活动时，应当提供由省级以上监狱管理局、戒毒管理局（含新疆生产建设兵团）出具的属于监狱企业的证明文件。</w:t>
      </w:r>
    </w:p>
    <w:p w14:paraId="3B535E6F">
      <w:pPr>
        <w:keepLines w:val="0"/>
        <w:pageBreakBefore w:val="0"/>
        <w:widowControl/>
        <w:kinsoku/>
        <w:overflowPunct/>
        <w:topLinePunct w:val="0"/>
        <w:bidi w:val="0"/>
        <w:adjustRightInd w:val="0"/>
        <w:snapToGrid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01474AE6">
      <w:pPr>
        <w:rPr>
          <w:rFonts w:hint="eastAsia" w:ascii="仿宋" w:hAnsi="仿宋" w:eastAsia="仿宋" w:cs="仿宋"/>
          <w:b/>
          <w:color w:val="auto"/>
          <w:sz w:val="24"/>
          <w:szCs w:val="24"/>
          <w:highlight w:val="none"/>
          <w:shd w:val="clear" w:color="auto" w:fill="FFFFFF" w:themeFill="background1"/>
        </w:rPr>
      </w:pPr>
    </w:p>
    <w:p w14:paraId="7708EDDA">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b/>
          <w:color w:val="auto"/>
          <w:sz w:val="24"/>
          <w:szCs w:val="24"/>
          <w:highlight w:val="none"/>
          <w:shd w:val="clear" w:color="auto" w:fill="FFFFFF" w:themeFill="background1"/>
        </w:rPr>
      </w:pPr>
    </w:p>
    <w:p w14:paraId="5B28A442">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b/>
          <w:color w:val="auto"/>
          <w:sz w:val="24"/>
          <w:szCs w:val="24"/>
          <w:highlight w:val="none"/>
          <w:shd w:val="clear" w:color="auto" w:fill="FFFFFF" w:themeFill="background1"/>
        </w:rPr>
      </w:pPr>
    </w:p>
    <w:p w14:paraId="1DD90F58">
      <w:pPr>
        <w:keepLines w:val="0"/>
        <w:pageBreakBefore w:val="0"/>
        <w:kinsoku/>
        <w:overflowPunct/>
        <w:topLinePunct w:val="0"/>
        <w:bidi w:val="0"/>
        <w:spacing w:beforeAutospacing="0" w:afterAutospacing="0"/>
        <w:textAlignment w:val="auto"/>
        <w:rPr>
          <w:rFonts w:hint="eastAsia" w:ascii="仿宋" w:hAnsi="仿宋" w:eastAsia="仿宋" w:cs="仿宋"/>
          <w:b/>
          <w:color w:val="auto"/>
          <w:sz w:val="24"/>
          <w:szCs w:val="24"/>
          <w:highlight w:val="none"/>
          <w:shd w:val="clear" w:color="auto" w:fill="FFFFFF" w:themeFill="background1"/>
        </w:rPr>
      </w:pPr>
      <w:bookmarkStart w:id="150" w:name="_Toc533503190"/>
      <w:bookmarkStart w:id="151" w:name="_Toc507586174"/>
      <w:bookmarkStart w:id="152" w:name="_Toc38446479"/>
      <w:r>
        <w:rPr>
          <w:rFonts w:hint="eastAsia" w:ascii="仿宋" w:hAnsi="仿宋" w:eastAsia="仿宋" w:cs="仿宋"/>
          <w:b/>
          <w:color w:val="auto"/>
          <w:sz w:val="24"/>
          <w:szCs w:val="24"/>
          <w:highlight w:val="none"/>
          <w:shd w:val="clear" w:color="auto" w:fill="FFFFFF" w:themeFill="background1"/>
        </w:rPr>
        <w:br w:type="page"/>
      </w:r>
    </w:p>
    <w:p w14:paraId="14A2C0E6">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bCs/>
          <w:color w:val="auto"/>
          <w:sz w:val="24"/>
          <w:szCs w:val="24"/>
          <w:highlight w:val="none"/>
          <w:shd w:val="clear" w:color="auto" w:fill="FFFFFF" w:themeFill="background1"/>
        </w:rPr>
      </w:pPr>
      <w:bookmarkStart w:id="153" w:name="_Toc20806"/>
      <w:r>
        <w:rPr>
          <w:rFonts w:hint="eastAsia" w:ascii="仿宋" w:hAnsi="仿宋" w:eastAsia="仿宋" w:cs="仿宋"/>
          <w:b/>
          <w:color w:val="auto"/>
          <w:sz w:val="24"/>
          <w:szCs w:val="24"/>
          <w:highlight w:val="none"/>
          <w:shd w:val="clear" w:color="auto" w:fill="FFFFFF" w:themeFill="background1"/>
          <w:lang w:val="en-US" w:eastAsia="zh-CN"/>
        </w:rPr>
        <w:t>八</w:t>
      </w:r>
      <w:r>
        <w:rPr>
          <w:rFonts w:hint="eastAsia" w:ascii="仿宋" w:hAnsi="仿宋" w:eastAsia="仿宋" w:cs="仿宋"/>
          <w:b/>
          <w:color w:val="auto"/>
          <w:sz w:val="24"/>
          <w:szCs w:val="24"/>
          <w:highlight w:val="none"/>
          <w:shd w:val="clear" w:color="auto" w:fill="FFFFFF" w:themeFill="background1"/>
        </w:rPr>
        <w:t>、</w:t>
      </w:r>
      <w:r>
        <w:rPr>
          <w:rFonts w:hint="eastAsia" w:ascii="仿宋" w:hAnsi="仿宋" w:eastAsia="仿宋" w:cs="仿宋"/>
          <w:b/>
          <w:bCs/>
          <w:color w:val="auto"/>
          <w:sz w:val="24"/>
          <w:szCs w:val="24"/>
          <w:highlight w:val="none"/>
          <w:shd w:val="clear" w:color="auto" w:fill="FFFFFF" w:themeFill="background1"/>
        </w:rPr>
        <w:t>供应商近年类似项目业绩表</w:t>
      </w:r>
      <w:bookmarkEnd w:id="150"/>
      <w:bookmarkEnd w:id="151"/>
      <w:bookmarkEnd w:id="152"/>
      <w:bookmarkEnd w:id="153"/>
    </w:p>
    <w:p w14:paraId="7FE7E841">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tbl>
      <w:tblPr>
        <w:tblStyle w:val="44"/>
        <w:tblW w:w="9320" w:type="dxa"/>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1"/>
        <w:gridCol w:w="1549"/>
        <w:gridCol w:w="1134"/>
        <w:gridCol w:w="1369"/>
        <w:gridCol w:w="1194"/>
        <w:gridCol w:w="1213"/>
        <w:gridCol w:w="1213"/>
        <w:gridCol w:w="787"/>
      </w:tblGrid>
      <w:tr w14:paraId="076BB0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08AC4F5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序号</w:t>
            </w:r>
          </w:p>
        </w:tc>
        <w:tc>
          <w:tcPr>
            <w:tcW w:w="1549" w:type="dxa"/>
            <w:tcBorders>
              <w:top w:val="single" w:color="000000" w:sz="4" w:space="0"/>
              <w:left w:val="single" w:color="000000" w:sz="4" w:space="0"/>
              <w:bottom w:val="single" w:color="000000" w:sz="4" w:space="0"/>
              <w:right w:val="single" w:color="000000" w:sz="4" w:space="0"/>
            </w:tcBorders>
            <w:vAlign w:val="center"/>
          </w:tcPr>
          <w:p w14:paraId="571B8EC6">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项目名称</w:t>
            </w:r>
          </w:p>
        </w:tc>
        <w:tc>
          <w:tcPr>
            <w:tcW w:w="1134" w:type="dxa"/>
            <w:tcBorders>
              <w:top w:val="single" w:color="000000" w:sz="4" w:space="0"/>
              <w:left w:val="single" w:color="000000" w:sz="4" w:space="0"/>
              <w:bottom w:val="single" w:color="000000" w:sz="4" w:space="0"/>
              <w:right w:val="single" w:color="000000" w:sz="4" w:space="0"/>
            </w:tcBorders>
            <w:vAlign w:val="center"/>
          </w:tcPr>
          <w:p w14:paraId="5CB3E9FF">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采购人</w:t>
            </w:r>
          </w:p>
        </w:tc>
        <w:tc>
          <w:tcPr>
            <w:tcW w:w="1369" w:type="dxa"/>
            <w:tcBorders>
              <w:top w:val="single" w:color="000000" w:sz="4" w:space="0"/>
              <w:left w:val="single" w:color="000000" w:sz="4" w:space="0"/>
              <w:bottom w:val="single" w:color="000000" w:sz="4" w:space="0"/>
              <w:right w:val="single" w:color="000000" w:sz="4" w:space="0"/>
            </w:tcBorders>
            <w:vAlign w:val="center"/>
          </w:tcPr>
          <w:p w14:paraId="5575015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采购人</w:t>
            </w:r>
          </w:p>
          <w:p w14:paraId="5458D714">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联系方式</w:t>
            </w:r>
          </w:p>
        </w:tc>
        <w:tc>
          <w:tcPr>
            <w:tcW w:w="1194" w:type="dxa"/>
            <w:tcBorders>
              <w:top w:val="single" w:color="000000" w:sz="4" w:space="0"/>
              <w:left w:val="single" w:color="000000" w:sz="4" w:space="0"/>
              <w:bottom w:val="single" w:color="000000" w:sz="4" w:space="0"/>
              <w:right w:val="single" w:color="000000" w:sz="4" w:space="0"/>
            </w:tcBorders>
            <w:vAlign w:val="center"/>
          </w:tcPr>
          <w:p w14:paraId="12E763E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项目规模</w:t>
            </w:r>
          </w:p>
        </w:tc>
        <w:tc>
          <w:tcPr>
            <w:tcW w:w="1213" w:type="dxa"/>
            <w:tcBorders>
              <w:top w:val="single" w:color="000000" w:sz="4" w:space="0"/>
              <w:left w:val="single" w:color="000000" w:sz="4" w:space="0"/>
              <w:bottom w:val="single" w:color="000000" w:sz="4" w:space="0"/>
              <w:right w:val="single" w:color="000000" w:sz="4" w:space="0"/>
            </w:tcBorders>
            <w:vAlign w:val="center"/>
          </w:tcPr>
          <w:p w14:paraId="1E6431B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合同金额</w:t>
            </w:r>
          </w:p>
        </w:tc>
        <w:tc>
          <w:tcPr>
            <w:tcW w:w="1213" w:type="dxa"/>
            <w:tcBorders>
              <w:top w:val="single" w:color="000000" w:sz="4" w:space="0"/>
              <w:left w:val="single" w:color="000000" w:sz="4" w:space="0"/>
              <w:bottom w:val="single" w:color="000000" w:sz="4" w:space="0"/>
              <w:right w:val="single" w:color="000000" w:sz="4" w:space="0"/>
            </w:tcBorders>
            <w:vAlign w:val="center"/>
          </w:tcPr>
          <w:p w14:paraId="1541AD7D">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合同日期</w:t>
            </w:r>
          </w:p>
        </w:tc>
        <w:tc>
          <w:tcPr>
            <w:tcW w:w="787" w:type="dxa"/>
            <w:tcBorders>
              <w:top w:val="single" w:color="000000" w:sz="4" w:space="0"/>
              <w:left w:val="single" w:color="000000" w:sz="4" w:space="0"/>
              <w:bottom w:val="single" w:color="000000" w:sz="4" w:space="0"/>
              <w:right w:val="single" w:color="000000" w:sz="4" w:space="0"/>
            </w:tcBorders>
            <w:vAlign w:val="center"/>
          </w:tcPr>
          <w:p w14:paraId="158A1F80">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r>
              <w:rPr>
                <w:rFonts w:hint="eastAsia" w:ascii="仿宋" w:hAnsi="仿宋" w:eastAsia="仿宋" w:cs="仿宋"/>
                <w:color w:val="auto"/>
                <w:kern w:val="0"/>
                <w:sz w:val="24"/>
                <w:szCs w:val="24"/>
                <w:highlight w:val="none"/>
                <w:shd w:val="clear" w:color="auto" w:fill="FFFFFF" w:themeFill="background1"/>
              </w:rPr>
              <w:t>备注</w:t>
            </w:r>
          </w:p>
        </w:tc>
      </w:tr>
      <w:tr w14:paraId="22056B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407BE98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34C6590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67D98FCF">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4AF899DB">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0985261B">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4FBB1BD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48804550">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18979AE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2FBA8B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47C62FF5">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68650704">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2014096D">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50572D9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3E983AD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699F0A7E">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F3E2AB0">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0320ED12">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4FF53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3789CA54">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0134F5A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611F83B2">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463EAD7E">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6CA9BB95">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806480E">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F29DB8F">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290B67C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7E247B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681CE20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5DF3D74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0F74405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148D53C5">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13DC630D">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7E464E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54DF7D08">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5038531F">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r>
      <w:tr w14:paraId="4AE06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36937950">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264A2326">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35E5EFA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705291E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5627134E">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232D84D9">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4B79983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7207FBC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kern w:val="0"/>
                <w:sz w:val="24"/>
                <w:szCs w:val="24"/>
                <w:highlight w:val="none"/>
                <w:shd w:val="clear" w:color="auto" w:fill="FFFFFF" w:themeFill="background1"/>
              </w:rPr>
            </w:pPr>
          </w:p>
        </w:tc>
      </w:tr>
    </w:tbl>
    <w:p w14:paraId="0E28403B">
      <w:pPr>
        <w:keepLines w:val="0"/>
        <w:pageBreakBefore w:val="0"/>
        <w:kinsoku/>
        <w:overflowPunct/>
        <w:topLinePunct w:val="0"/>
        <w:bidi w:val="0"/>
        <w:spacing w:beforeAutospacing="0" w:afterAutospacing="0" w:line="360" w:lineRule="auto"/>
        <w:ind w:firstLine="420" w:firstLineChars="200"/>
        <w:textAlignment w:val="auto"/>
        <w:rPr>
          <w:rFonts w:hint="eastAsia" w:ascii="仿宋" w:hAnsi="仿宋" w:eastAsia="仿宋" w:cs="仿宋"/>
          <w:color w:val="auto"/>
          <w:szCs w:val="24"/>
          <w:highlight w:val="none"/>
          <w:u w:val="single"/>
          <w:shd w:val="clear" w:color="auto" w:fill="FFFFFF" w:themeFill="background1"/>
        </w:rPr>
      </w:pPr>
    </w:p>
    <w:p w14:paraId="6B631FF9">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u w:val="single"/>
          <w:shd w:val="clear" w:color="auto" w:fill="FFFFFF" w:themeFill="background1"/>
        </w:rPr>
      </w:pPr>
    </w:p>
    <w:p w14:paraId="469F3413">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br w:type="page"/>
      </w:r>
    </w:p>
    <w:p w14:paraId="675D952F">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bCs/>
          <w:color w:val="auto"/>
          <w:sz w:val="24"/>
          <w:szCs w:val="24"/>
          <w:highlight w:val="none"/>
          <w:shd w:val="clear" w:color="auto" w:fill="FFFFFF" w:themeFill="background1"/>
        </w:rPr>
      </w:pPr>
      <w:bookmarkStart w:id="154" w:name="_Toc27102"/>
      <w:bookmarkStart w:id="155" w:name="_Toc533503191"/>
      <w:bookmarkStart w:id="156" w:name="_Toc507586175"/>
      <w:bookmarkStart w:id="157" w:name="_Toc38446480"/>
      <w:r>
        <w:rPr>
          <w:rFonts w:hint="eastAsia" w:ascii="仿宋" w:hAnsi="仿宋" w:eastAsia="仿宋" w:cs="仿宋"/>
          <w:b/>
          <w:color w:val="auto"/>
          <w:sz w:val="24"/>
          <w:szCs w:val="24"/>
          <w:highlight w:val="none"/>
          <w:shd w:val="clear" w:color="auto" w:fill="FFFFFF" w:themeFill="background1"/>
          <w:lang w:val="en-US" w:eastAsia="zh-CN"/>
        </w:rPr>
        <w:t>九</w:t>
      </w:r>
      <w:r>
        <w:rPr>
          <w:rFonts w:hint="eastAsia" w:ascii="仿宋" w:hAnsi="仿宋" w:eastAsia="仿宋" w:cs="仿宋"/>
          <w:b/>
          <w:color w:val="auto"/>
          <w:sz w:val="24"/>
          <w:szCs w:val="24"/>
          <w:highlight w:val="none"/>
          <w:shd w:val="clear" w:color="auto" w:fill="FFFFFF" w:themeFill="background1"/>
        </w:rPr>
        <w:t>、</w:t>
      </w:r>
      <w:r>
        <w:rPr>
          <w:rFonts w:hint="eastAsia" w:ascii="仿宋" w:hAnsi="仿宋" w:eastAsia="仿宋" w:cs="仿宋"/>
          <w:b/>
          <w:bCs/>
          <w:color w:val="auto"/>
          <w:sz w:val="24"/>
          <w:szCs w:val="24"/>
          <w:highlight w:val="none"/>
          <w:shd w:val="clear" w:color="auto" w:fill="FFFFFF" w:themeFill="background1"/>
          <w:lang w:eastAsia="zh-CN"/>
        </w:rPr>
        <w:t>项目负责人</w:t>
      </w:r>
      <w:r>
        <w:rPr>
          <w:rFonts w:hint="eastAsia" w:ascii="仿宋" w:hAnsi="仿宋" w:eastAsia="仿宋" w:cs="仿宋"/>
          <w:b/>
          <w:bCs/>
          <w:color w:val="auto"/>
          <w:sz w:val="24"/>
          <w:szCs w:val="24"/>
          <w:highlight w:val="none"/>
          <w:shd w:val="clear" w:color="auto" w:fill="FFFFFF" w:themeFill="background1"/>
        </w:rPr>
        <w:t>简历表</w:t>
      </w:r>
      <w:bookmarkEnd w:id="154"/>
      <w:bookmarkEnd w:id="155"/>
      <w:bookmarkEnd w:id="156"/>
      <w:bookmarkEnd w:id="157"/>
    </w:p>
    <w:p w14:paraId="667CB092">
      <w:pPr>
        <w:keepLines w:val="0"/>
        <w:pageBreakBefore w:val="0"/>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tbl>
      <w:tblPr>
        <w:tblStyle w:val="43"/>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1372"/>
        <w:gridCol w:w="1230"/>
        <w:gridCol w:w="233"/>
        <w:gridCol w:w="1702"/>
        <w:gridCol w:w="1275"/>
        <w:gridCol w:w="1364"/>
      </w:tblGrid>
      <w:tr w14:paraId="4D8D0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0A223BA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姓名</w:t>
            </w:r>
          </w:p>
        </w:tc>
        <w:tc>
          <w:tcPr>
            <w:tcW w:w="2602" w:type="dxa"/>
            <w:gridSpan w:val="2"/>
            <w:vAlign w:val="center"/>
          </w:tcPr>
          <w:p w14:paraId="5F86908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935" w:type="dxa"/>
            <w:gridSpan w:val="2"/>
            <w:vAlign w:val="center"/>
          </w:tcPr>
          <w:p w14:paraId="57B2AAA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性别</w:t>
            </w:r>
          </w:p>
        </w:tc>
        <w:tc>
          <w:tcPr>
            <w:tcW w:w="2639" w:type="dxa"/>
            <w:gridSpan w:val="2"/>
            <w:vAlign w:val="center"/>
          </w:tcPr>
          <w:p w14:paraId="0CCA9CD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74B14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70EDEAA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身份证号码</w:t>
            </w:r>
          </w:p>
        </w:tc>
        <w:tc>
          <w:tcPr>
            <w:tcW w:w="2602" w:type="dxa"/>
            <w:gridSpan w:val="2"/>
            <w:vAlign w:val="center"/>
          </w:tcPr>
          <w:p w14:paraId="68CCE49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935" w:type="dxa"/>
            <w:gridSpan w:val="2"/>
            <w:vAlign w:val="center"/>
          </w:tcPr>
          <w:p w14:paraId="1EC3013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学历</w:t>
            </w:r>
          </w:p>
        </w:tc>
        <w:tc>
          <w:tcPr>
            <w:tcW w:w="2639" w:type="dxa"/>
            <w:gridSpan w:val="2"/>
            <w:vAlign w:val="center"/>
          </w:tcPr>
          <w:p w14:paraId="3C9D60D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4B803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744E346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毕业学校</w:t>
            </w:r>
          </w:p>
        </w:tc>
        <w:tc>
          <w:tcPr>
            <w:tcW w:w="2602" w:type="dxa"/>
            <w:gridSpan w:val="2"/>
            <w:vAlign w:val="center"/>
          </w:tcPr>
          <w:p w14:paraId="208F592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935" w:type="dxa"/>
            <w:gridSpan w:val="2"/>
            <w:vAlign w:val="center"/>
          </w:tcPr>
          <w:p w14:paraId="36F7244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专业</w:t>
            </w:r>
          </w:p>
        </w:tc>
        <w:tc>
          <w:tcPr>
            <w:tcW w:w="2639" w:type="dxa"/>
            <w:gridSpan w:val="2"/>
            <w:vAlign w:val="center"/>
          </w:tcPr>
          <w:p w14:paraId="298A70B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3C22F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3E26922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参加工作时间</w:t>
            </w:r>
          </w:p>
        </w:tc>
        <w:tc>
          <w:tcPr>
            <w:tcW w:w="2602" w:type="dxa"/>
            <w:gridSpan w:val="2"/>
            <w:vAlign w:val="center"/>
          </w:tcPr>
          <w:p w14:paraId="661A2CF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935" w:type="dxa"/>
            <w:gridSpan w:val="2"/>
            <w:vAlign w:val="center"/>
          </w:tcPr>
          <w:p w14:paraId="5FCEDB8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从事相关工作年限</w:t>
            </w:r>
          </w:p>
        </w:tc>
        <w:tc>
          <w:tcPr>
            <w:tcW w:w="2639" w:type="dxa"/>
            <w:gridSpan w:val="2"/>
            <w:vAlign w:val="center"/>
          </w:tcPr>
          <w:p w14:paraId="760E660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65F61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55239A5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在公司担任职务</w:t>
            </w:r>
          </w:p>
        </w:tc>
        <w:tc>
          <w:tcPr>
            <w:tcW w:w="2602" w:type="dxa"/>
            <w:gridSpan w:val="2"/>
            <w:vAlign w:val="center"/>
          </w:tcPr>
          <w:p w14:paraId="3AEAAE4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935" w:type="dxa"/>
            <w:gridSpan w:val="2"/>
            <w:vAlign w:val="center"/>
          </w:tcPr>
          <w:p w14:paraId="2803682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联系方式</w:t>
            </w:r>
          </w:p>
        </w:tc>
        <w:tc>
          <w:tcPr>
            <w:tcW w:w="2639" w:type="dxa"/>
            <w:gridSpan w:val="2"/>
            <w:vAlign w:val="center"/>
          </w:tcPr>
          <w:p w14:paraId="09AFFA6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7C34B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7E40AC3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lang w:val="en-US" w:eastAsia="zh-CN"/>
              </w:rPr>
            </w:pPr>
            <w:r>
              <w:rPr>
                <w:rFonts w:hint="eastAsia" w:ascii="仿宋" w:hAnsi="仿宋" w:eastAsia="仿宋" w:cs="仿宋"/>
                <w:color w:val="auto"/>
                <w:szCs w:val="21"/>
                <w:highlight w:val="none"/>
                <w:shd w:val="clear" w:color="auto" w:fill="FFFFFF" w:themeFill="background1"/>
              </w:rPr>
              <w:t>证书</w:t>
            </w:r>
            <w:r>
              <w:rPr>
                <w:rFonts w:hint="eastAsia" w:ascii="仿宋" w:hAnsi="仿宋" w:eastAsia="仿宋" w:cs="仿宋"/>
                <w:color w:val="auto"/>
                <w:szCs w:val="21"/>
                <w:highlight w:val="none"/>
                <w:shd w:val="clear" w:color="auto" w:fill="FFFFFF" w:themeFill="background1"/>
                <w:lang w:val="en-US" w:eastAsia="zh-CN"/>
              </w:rPr>
              <w:t>名称</w:t>
            </w:r>
          </w:p>
        </w:tc>
        <w:tc>
          <w:tcPr>
            <w:tcW w:w="2602" w:type="dxa"/>
            <w:gridSpan w:val="2"/>
            <w:vAlign w:val="center"/>
          </w:tcPr>
          <w:p w14:paraId="13BA692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935" w:type="dxa"/>
            <w:gridSpan w:val="2"/>
            <w:vAlign w:val="center"/>
          </w:tcPr>
          <w:p w14:paraId="31B0145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证书编号</w:t>
            </w:r>
          </w:p>
        </w:tc>
        <w:tc>
          <w:tcPr>
            <w:tcW w:w="2639" w:type="dxa"/>
            <w:gridSpan w:val="2"/>
            <w:vAlign w:val="center"/>
          </w:tcPr>
          <w:p w14:paraId="74E4CC5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1852F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restart"/>
            <w:vAlign w:val="center"/>
          </w:tcPr>
          <w:p w14:paraId="5C64816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近三年类似业绩</w:t>
            </w:r>
          </w:p>
        </w:tc>
        <w:tc>
          <w:tcPr>
            <w:tcW w:w="1372" w:type="dxa"/>
            <w:vAlign w:val="center"/>
          </w:tcPr>
          <w:p w14:paraId="1C4AF30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项目名称</w:t>
            </w:r>
          </w:p>
        </w:tc>
        <w:tc>
          <w:tcPr>
            <w:tcW w:w="1463" w:type="dxa"/>
            <w:gridSpan w:val="2"/>
            <w:vAlign w:val="center"/>
          </w:tcPr>
          <w:p w14:paraId="760473E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采购人</w:t>
            </w:r>
          </w:p>
        </w:tc>
        <w:tc>
          <w:tcPr>
            <w:tcW w:w="1702" w:type="dxa"/>
            <w:vAlign w:val="center"/>
          </w:tcPr>
          <w:p w14:paraId="342E18B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合同内容</w:t>
            </w:r>
          </w:p>
        </w:tc>
        <w:tc>
          <w:tcPr>
            <w:tcW w:w="1275" w:type="dxa"/>
            <w:vAlign w:val="center"/>
          </w:tcPr>
          <w:p w14:paraId="75303E9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合同价格</w:t>
            </w:r>
          </w:p>
        </w:tc>
        <w:tc>
          <w:tcPr>
            <w:tcW w:w="1364" w:type="dxa"/>
            <w:vAlign w:val="center"/>
          </w:tcPr>
          <w:p w14:paraId="5A78814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r>
              <w:rPr>
                <w:rFonts w:hint="eastAsia" w:ascii="仿宋" w:hAnsi="仿宋" w:eastAsia="仿宋" w:cs="仿宋"/>
                <w:color w:val="auto"/>
                <w:szCs w:val="21"/>
                <w:highlight w:val="none"/>
                <w:shd w:val="clear" w:color="auto" w:fill="FFFFFF" w:themeFill="background1"/>
              </w:rPr>
              <w:t>签约日期</w:t>
            </w:r>
          </w:p>
        </w:tc>
      </w:tr>
      <w:tr w14:paraId="42AEE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247CCE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72" w:type="dxa"/>
            <w:vAlign w:val="center"/>
          </w:tcPr>
          <w:p w14:paraId="0623D35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463" w:type="dxa"/>
            <w:gridSpan w:val="2"/>
            <w:vAlign w:val="center"/>
          </w:tcPr>
          <w:p w14:paraId="31342B7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702" w:type="dxa"/>
            <w:vAlign w:val="center"/>
          </w:tcPr>
          <w:p w14:paraId="4BDDD8F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275" w:type="dxa"/>
            <w:vAlign w:val="center"/>
          </w:tcPr>
          <w:p w14:paraId="4C7524B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64" w:type="dxa"/>
            <w:vAlign w:val="center"/>
          </w:tcPr>
          <w:p w14:paraId="1698743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5171F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25427EE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72" w:type="dxa"/>
            <w:vAlign w:val="center"/>
          </w:tcPr>
          <w:p w14:paraId="39C6D6E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463" w:type="dxa"/>
            <w:gridSpan w:val="2"/>
            <w:vAlign w:val="center"/>
          </w:tcPr>
          <w:p w14:paraId="5592587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702" w:type="dxa"/>
            <w:vAlign w:val="center"/>
          </w:tcPr>
          <w:p w14:paraId="452D44F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275" w:type="dxa"/>
            <w:vAlign w:val="center"/>
          </w:tcPr>
          <w:p w14:paraId="01491FE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64" w:type="dxa"/>
            <w:vAlign w:val="center"/>
          </w:tcPr>
          <w:p w14:paraId="6565AA1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493C8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1F4A6C5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72" w:type="dxa"/>
            <w:vAlign w:val="center"/>
          </w:tcPr>
          <w:p w14:paraId="1982620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463" w:type="dxa"/>
            <w:gridSpan w:val="2"/>
            <w:vAlign w:val="center"/>
          </w:tcPr>
          <w:p w14:paraId="430E65E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702" w:type="dxa"/>
            <w:vAlign w:val="center"/>
          </w:tcPr>
          <w:p w14:paraId="431C44A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275" w:type="dxa"/>
            <w:vAlign w:val="center"/>
          </w:tcPr>
          <w:p w14:paraId="72E8928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64" w:type="dxa"/>
            <w:vAlign w:val="center"/>
          </w:tcPr>
          <w:p w14:paraId="0A79EFD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647A7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6711E90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72" w:type="dxa"/>
            <w:vAlign w:val="center"/>
          </w:tcPr>
          <w:p w14:paraId="3F5403C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463" w:type="dxa"/>
            <w:gridSpan w:val="2"/>
            <w:vAlign w:val="center"/>
          </w:tcPr>
          <w:p w14:paraId="38F091C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702" w:type="dxa"/>
            <w:vAlign w:val="center"/>
          </w:tcPr>
          <w:p w14:paraId="2F40942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275" w:type="dxa"/>
            <w:vAlign w:val="center"/>
          </w:tcPr>
          <w:p w14:paraId="3062F05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64" w:type="dxa"/>
            <w:vAlign w:val="center"/>
          </w:tcPr>
          <w:p w14:paraId="759D4E2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r w14:paraId="3827E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BA24AF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72" w:type="dxa"/>
            <w:vAlign w:val="center"/>
          </w:tcPr>
          <w:p w14:paraId="082AF0B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463" w:type="dxa"/>
            <w:gridSpan w:val="2"/>
            <w:vAlign w:val="center"/>
          </w:tcPr>
          <w:p w14:paraId="48877CC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702" w:type="dxa"/>
            <w:vAlign w:val="center"/>
          </w:tcPr>
          <w:p w14:paraId="6D7BAFE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275" w:type="dxa"/>
            <w:vAlign w:val="center"/>
          </w:tcPr>
          <w:p w14:paraId="7B04168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c>
          <w:tcPr>
            <w:tcW w:w="1364" w:type="dxa"/>
            <w:vAlign w:val="center"/>
          </w:tcPr>
          <w:p w14:paraId="7856C8D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color w:val="auto"/>
                <w:szCs w:val="21"/>
                <w:highlight w:val="none"/>
                <w:shd w:val="clear" w:color="auto" w:fill="FFFFFF" w:themeFill="background1"/>
              </w:rPr>
            </w:pPr>
          </w:p>
        </w:tc>
      </w:tr>
    </w:tbl>
    <w:p w14:paraId="2A8C9870">
      <w:pPr>
        <w:keepLines w:val="0"/>
        <w:pageBreakBefore w:val="0"/>
        <w:kinsoku/>
        <w:overflowPunct/>
        <w:topLinePunct w:val="0"/>
        <w:bidi w:val="0"/>
        <w:spacing w:beforeAutospacing="0" w:afterAutospacing="0" w:line="360" w:lineRule="auto"/>
        <w:ind w:firstLine="420" w:firstLineChars="200"/>
        <w:textAlignment w:val="auto"/>
        <w:rPr>
          <w:rFonts w:hint="eastAsia" w:ascii="仿宋" w:hAnsi="仿宋" w:eastAsia="仿宋" w:cs="仿宋"/>
          <w:color w:val="auto"/>
          <w:sz w:val="22"/>
          <w:szCs w:val="22"/>
          <w:highlight w:val="none"/>
          <w:shd w:val="clear" w:color="auto" w:fill="FFFFFF" w:themeFill="background1"/>
        </w:rPr>
      </w:pPr>
      <w:r>
        <w:rPr>
          <w:rFonts w:hint="eastAsia" w:ascii="仿宋" w:hAnsi="仿宋" w:eastAsia="仿宋" w:cs="仿宋"/>
          <w:color w:val="auto"/>
          <w:sz w:val="21"/>
          <w:szCs w:val="21"/>
          <w:highlight w:val="none"/>
          <w:shd w:val="clear" w:color="auto" w:fill="FFFFFF" w:themeFill="background1"/>
        </w:rPr>
        <w:t>注：附身份证等其它相关材料</w:t>
      </w:r>
      <w:r>
        <w:rPr>
          <w:rFonts w:hint="eastAsia" w:ascii="仿宋" w:hAnsi="仿宋" w:eastAsia="仿宋" w:cs="仿宋"/>
          <w:color w:val="auto"/>
          <w:sz w:val="21"/>
          <w:szCs w:val="21"/>
          <w:highlight w:val="none"/>
          <w:shd w:val="clear" w:color="auto" w:fill="FFFFFF" w:themeFill="background1"/>
          <w:lang w:val="en-US" w:eastAsia="zh-CN"/>
        </w:rPr>
        <w:t>扫描件</w:t>
      </w:r>
      <w:r>
        <w:rPr>
          <w:rFonts w:hint="eastAsia" w:ascii="仿宋" w:hAnsi="仿宋" w:eastAsia="仿宋" w:cs="仿宋"/>
          <w:color w:val="auto"/>
          <w:sz w:val="22"/>
          <w:szCs w:val="22"/>
          <w:highlight w:val="none"/>
          <w:shd w:val="clear" w:color="auto" w:fill="FFFFFF" w:themeFill="background1"/>
        </w:rPr>
        <w:t>。</w:t>
      </w:r>
    </w:p>
    <w:p w14:paraId="0C295718">
      <w:pPr>
        <w:keepLines w:val="0"/>
        <w:pageBreakBefore w:val="0"/>
        <w:tabs>
          <w:tab w:val="center" w:pos="4832"/>
          <w:tab w:val="left" w:pos="7140"/>
        </w:tabs>
        <w:kinsoku/>
        <w:overflowPunct/>
        <w:topLinePunct w:val="0"/>
        <w:bidi w:val="0"/>
        <w:spacing w:beforeAutospacing="0" w:afterAutospacing="0" w:line="360" w:lineRule="auto"/>
        <w:jc w:val="center"/>
        <w:textAlignment w:val="auto"/>
        <w:outlineLvl w:val="1"/>
        <w:rPr>
          <w:rFonts w:hint="eastAsia" w:ascii="仿宋" w:hAnsi="仿宋" w:eastAsia="仿宋" w:cs="仿宋"/>
          <w:b/>
          <w:bCs/>
          <w:color w:val="auto"/>
          <w:sz w:val="24"/>
          <w:szCs w:val="24"/>
          <w:highlight w:val="none"/>
          <w:shd w:val="clear" w:color="auto" w:fill="FFFFFF" w:themeFill="background1"/>
          <w:lang w:eastAsia="zh-CN"/>
        </w:rPr>
      </w:pPr>
      <w:bookmarkStart w:id="158" w:name="_Toc507586176"/>
      <w:r>
        <w:rPr>
          <w:rFonts w:hint="eastAsia" w:ascii="仿宋" w:hAnsi="仿宋" w:eastAsia="仿宋" w:cs="仿宋"/>
          <w:b/>
          <w:bCs/>
          <w:color w:val="auto"/>
          <w:sz w:val="24"/>
          <w:szCs w:val="24"/>
          <w:highlight w:val="none"/>
          <w:shd w:val="clear" w:color="auto" w:fill="FFFFFF" w:themeFill="background1"/>
        </w:rPr>
        <w:br w:type="page"/>
      </w:r>
      <w:bookmarkStart w:id="159" w:name="_Toc144993319"/>
      <w:bookmarkStart w:id="160" w:name="_Toc25440"/>
      <w:bookmarkStart w:id="161" w:name="_Toc533503192"/>
      <w:bookmarkStart w:id="162" w:name="_Toc38446481"/>
      <w:r>
        <w:rPr>
          <w:rFonts w:hint="eastAsia" w:ascii="仿宋" w:hAnsi="仿宋" w:eastAsia="仿宋" w:cs="仿宋"/>
          <w:b/>
          <w:bCs/>
          <w:color w:val="auto"/>
          <w:sz w:val="24"/>
          <w:szCs w:val="24"/>
          <w:highlight w:val="none"/>
          <w:shd w:val="clear" w:color="auto" w:fill="FFFFFF" w:themeFill="background1"/>
        </w:rPr>
        <w:t>十、</w:t>
      </w:r>
      <w:bookmarkEnd w:id="159"/>
      <w:r>
        <w:rPr>
          <w:rFonts w:hint="eastAsia" w:ascii="仿宋" w:hAnsi="仿宋" w:eastAsia="仿宋" w:cs="仿宋"/>
          <w:b/>
          <w:bCs/>
          <w:color w:val="auto"/>
          <w:sz w:val="24"/>
          <w:szCs w:val="24"/>
          <w:highlight w:val="none"/>
          <w:shd w:val="clear" w:color="auto" w:fill="FFFFFF" w:themeFill="background1"/>
          <w:lang w:eastAsia="zh-CN"/>
        </w:rPr>
        <w:t>拟派主要服务人员</w:t>
      </w:r>
      <w:bookmarkEnd w:id="160"/>
    </w:p>
    <w:p w14:paraId="6296025D">
      <w:pPr>
        <w:keepLines w:val="0"/>
        <w:pageBreakBefore w:val="0"/>
        <w:kinsoku/>
        <w:overflowPunct/>
        <w:topLinePunct w:val="0"/>
        <w:bidi w:val="0"/>
        <w:spacing w:beforeAutospacing="0" w:afterAutospacing="0"/>
        <w:textAlignment w:val="auto"/>
        <w:rPr>
          <w:rFonts w:hint="eastAsia" w:ascii="仿宋" w:hAnsi="仿宋" w:eastAsia="仿宋" w:cs="仿宋"/>
          <w:color w:val="auto"/>
          <w:sz w:val="24"/>
          <w:szCs w:val="24"/>
          <w:highlight w:val="none"/>
        </w:rPr>
      </w:pPr>
    </w:p>
    <w:tbl>
      <w:tblPr>
        <w:tblStyle w:val="43"/>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0"/>
        <w:gridCol w:w="1172"/>
        <w:gridCol w:w="1144"/>
        <w:gridCol w:w="1172"/>
        <w:gridCol w:w="1172"/>
        <w:gridCol w:w="1146"/>
        <w:gridCol w:w="1172"/>
        <w:gridCol w:w="1138"/>
      </w:tblGrid>
      <w:tr w14:paraId="44564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trPr>
        <w:tc>
          <w:tcPr>
            <w:tcW w:w="1170" w:type="dxa"/>
            <w:vAlign w:val="center"/>
          </w:tcPr>
          <w:p w14:paraId="38A4F38D">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1172" w:type="dxa"/>
            <w:vAlign w:val="center"/>
          </w:tcPr>
          <w:p w14:paraId="6EBE119D">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p>
        </w:tc>
        <w:tc>
          <w:tcPr>
            <w:tcW w:w="1144" w:type="dxa"/>
            <w:vAlign w:val="center"/>
          </w:tcPr>
          <w:p w14:paraId="7A64DB9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性别</w:t>
            </w:r>
          </w:p>
        </w:tc>
        <w:tc>
          <w:tcPr>
            <w:tcW w:w="1172" w:type="dxa"/>
            <w:vAlign w:val="center"/>
          </w:tcPr>
          <w:p w14:paraId="6CA2C35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职称</w:t>
            </w:r>
          </w:p>
        </w:tc>
        <w:tc>
          <w:tcPr>
            <w:tcW w:w="1172" w:type="dxa"/>
            <w:vAlign w:val="center"/>
          </w:tcPr>
          <w:p w14:paraId="71759F68">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tc>
        <w:tc>
          <w:tcPr>
            <w:tcW w:w="1146" w:type="dxa"/>
            <w:vAlign w:val="center"/>
          </w:tcPr>
          <w:p w14:paraId="6647225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专业</w:t>
            </w:r>
          </w:p>
        </w:tc>
        <w:tc>
          <w:tcPr>
            <w:tcW w:w="1172" w:type="dxa"/>
            <w:vAlign w:val="center"/>
          </w:tcPr>
          <w:p w14:paraId="0BB3A065">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从事</w:t>
            </w:r>
            <w:r>
              <w:rPr>
                <w:rFonts w:hint="eastAsia" w:ascii="仿宋" w:hAnsi="仿宋" w:eastAsia="仿宋" w:cs="仿宋"/>
                <w:color w:val="auto"/>
                <w:sz w:val="24"/>
                <w:szCs w:val="24"/>
                <w:highlight w:val="none"/>
                <w:lang w:val="en-US" w:eastAsia="zh-CN"/>
              </w:rPr>
              <w:t>相关</w:t>
            </w:r>
            <w:r>
              <w:rPr>
                <w:rFonts w:hint="eastAsia" w:ascii="仿宋" w:hAnsi="仿宋" w:eastAsia="仿宋" w:cs="仿宋"/>
                <w:color w:val="auto"/>
                <w:sz w:val="24"/>
                <w:szCs w:val="24"/>
                <w:highlight w:val="none"/>
              </w:rPr>
              <w:t>工作年限</w:t>
            </w:r>
          </w:p>
        </w:tc>
        <w:tc>
          <w:tcPr>
            <w:tcW w:w="1138" w:type="dxa"/>
            <w:vAlign w:val="center"/>
          </w:tcPr>
          <w:p w14:paraId="3BCD148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19364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70" w:type="dxa"/>
            <w:vAlign w:val="center"/>
          </w:tcPr>
          <w:p w14:paraId="53D1BDE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6CAB8D6F">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4" w:type="dxa"/>
            <w:vAlign w:val="center"/>
          </w:tcPr>
          <w:p w14:paraId="6F28C066">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785591E6">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1C684DF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6" w:type="dxa"/>
            <w:vAlign w:val="center"/>
          </w:tcPr>
          <w:p w14:paraId="5AC59E85">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2AEB764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38" w:type="dxa"/>
            <w:vAlign w:val="center"/>
          </w:tcPr>
          <w:p w14:paraId="5D4D0DD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r>
      <w:tr w14:paraId="5B85F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170" w:type="dxa"/>
            <w:vAlign w:val="center"/>
          </w:tcPr>
          <w:p w14:paraId="7B6C417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55B0C06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4" w:type="dxa"/>
            <w:vAlign w:val="center"/>
          </w:tcPr>
          <w:p w14:paraId="1019F95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70C9D378">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50DC229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6" w:type="dxa"/>
            <w:vAlign w:val="center"/>
          </w:tcPr>
          <w:p w14:paraId="733DB31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49425E10">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38" w:type="dxa"/>
            <w:vAlign w:val="center"/>
          </w:tcPr>
          <w:p w14:paraId="0111533E">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r>
      <w:tr w14:paraId="61269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70" w:type="dxa"/>
            <w:vAlign w:val="center"/>
          </w:tcPr>
          <w:p w14:paraId="6499E16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6849DF48">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4" w:type="dxa"/>
            <w:vAlign w:val="center"/>
          </w:tcPr>
          <w:p w14:paraId="5C3EFFB6">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76A0EEB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0099D97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6" w:type="dxa"/>
            <w:vAlign w:val="center"/>
          </w:tcPr>
          <w:p w14:paraId="038066FB">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465EDA1B">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38" w:type="dxa"/>
            <w:vAlign w:val="center"/>
          </w:tcPr>
          <w:p w14:paraId="7A175D64">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r>
      <w:tr w14:paraId="5E344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170" w:type="dxa"/>
            <w:vAlign w:val="center"/>
          </w:tcPr>
          <w:p w14:paraId="6307A55F">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5B640636">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4" w:type="dxa"/>
            <w:vAlign w:val="center"/>
          </w:tcPr>
          <w:p w14:paraId="76897FBB">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7E68637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32D5A108">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6" w:type="dxa"/>
            <w:vAlign w:val="center"/>
          </w:tcPr>
          <w:p w14:paraId="7278FB8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21C0C0CF">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38" w:type="dxa"/>
            <w:vAlign w:val="center"/>
          </w:tcPr>
          <w:p w14:paraId="57AB2EEB">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r>
      <w:tr w14:paraId="56DAC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70" w:type="dxa"/>
            <w:vAlign w:val="center"/>
          </w:tcPr>
          <w:p w14:paraId="6C861C0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6E737118">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4" w:type="dxa"/>
            <w:vAlign w:val="center"/>
          </w:tcPr>
          <w:p w14:paraId="48833D9D">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02B9641E">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32399D37">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6" w:type="dxa"/>
            <w:vAlign w:val="center"/>
          </w:tcPr>
          <w:p w14:paraId="059810A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27947EE0">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38" w:type="dxa"/>
            <w:vAlign w:val="center"/>
          </w:tcPr>
          <w:p w14:paraId="5496408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r>
      <w:tr w14:paraId="26FCD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170" w:type="dxa"/>
            <w:vAlign w:val="center"/>
          </w:tcPr>
          <w:p w14:paraId="6796F38A">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61BF13DD">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4" w:type="dxa"/>
            <w:vAlign w:val="center"/>
          </w:tcPr>
          <w:p w14:paraId="165C0B2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1C9810EB">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38EFC09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6" w:type="dxa"/>
            <w:vAlign w:val="center"/>
          </w:tcPr>
          <w:p w14:paraId="617A3BC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2E221DA3">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38" w:type="dxa"/>
            <w:vAlign w:val="center"/>
          </w:tcPr>
          <w:p w14:paraId="7DB4BF35">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r>
      <w:tr w14:paraId="42C9F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70" w:type="dxa"/>
            <w:vAlign w:val="center"/>
          </w:tcPr>
          <w:p w14:paraId="70B7585B">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7AC51DF8">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4" w:type="dxa"/>
            <w:vAlign w:val="center"/>
          </w:tcPr>
          <w:p w14:paraId="428CC964">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0343A65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460C1631">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46" w:type="dxa"/>
            <w:vAlign w:val="center"/>
          </w:tcPr>
          <w:p w14:paraId="095812CC">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72" w:type="dxa"/>
            <w:vAlign w:val="center"/>
          </w:tcPr>
          <w:p w14:paraId="05901E5E">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c>
          <w:tcPr>
            <w:tcW w:w="1138" w:type="dxa"/>
            <w:vAlign w:val="center"/>
          </w:tcPr>
          <w:p w14:paraId="40477E56">
            <w:pPr>
              <w:keepLines w:val="0"/>
              <w:pageBreakBefore w:val="0"/>
              <w:kinsoku/>
              <w:overflowPunct/>
              <w:topLinePunct w:val="0"/>
              <w:bidi w:val="0"/>
              <w:spacing w:beforeAutospacing="0" w:afterAutospacing="0"/>
              <w:jc w:val="center"/>
              <w:textAlignment w:val="auto"/>
              <w:rPr>
                <w:rFonts w:hint="eastAsia" w:ascii="仿宋" w:hAnsi="仿宋" w:eastAsia="仿宋" w:cs="仿宋"/>
                <w:color w:val="auto"/>
                <w:sz w:val="24"/>
                <w:szCs w:val="24"/>
                <w:highlight w:val="none"/>
              </w:rPr>
            </w:pPr>
          </w:p>
        </w:tc>
      </w:tr>
    </w:tbl>
    <w:p w14:paraId="27408A85">
      <w:pPr>
        <w:keepNext w:val="0"/>
        <w:keepLines w:val="0"/>
        <w:widowControl/>
        <w:suppressLineNumbers w:val="0"/>
        <w:jc w:val="left"/>
        <w:rPr>
          <w:rFonts w:hint="eastAsia"/>
          <w:color w:val="auto"/>
          <w:highlight w:val="none"/>
        </w:rPr>
      </w:pPr>
    </w:p>
    <w:p w14:paraId="738A85BB">
      <w:pPr>
        <w:keepLines w:val="0"/>
        <w:pageBreakBefore w:val="0"/>
        <w:kinsoku/>
        <w:overflowPunct/>
        <w:topLinePunct w:val="0"/>
        <w:bidi w:val="0"/>
        <w:spacing w:beforeAutospacing="0" w:afterAutospacing="0" w:line="360" w:lineRule="auto"/>
        <w:ind w:firstLine="420" w:firstLineChars="200"/>
        <w:textAlignment w:val="auto"/>
        <w:rPr>
          <w:rFonts w:hint="eastAsia" w:ascii="仿宋" w:hAnsi="仿宋" w:eastAsia="仿宋" w:cs="仿宋"/>
          <w:color w:val="auto"/>
          <w:sz w:val="21"/>
          <w:szCs w:val="21"/>
          <w:highlight w:val="none"/>
          <w:shd w:val="clear" w:color="auto" w:fill="FFFFFF" w:themeFill="background1"/>
          <w:lang w:eastAsia="zh-CN"/>
        </w:rPr>
      </w:pPr>
      <w:r>
        <w:rPr>
          <w:rFonts w:hint="eastAsia" w:ascii="仿宋" w:hAnsi="仿宋" w:eastAsia="仿宋" w:cs="仿宋"/>
          <w:color w:val="auto"/>
          <w:sz w:val="21"/>
          <w:szCs w:val="21"/>
          <w:highlight w:val="none"/>
          <w:shd w:val="clear" w:color="auto" w:fill="FFFFFF" w:themeFill="background1"/>
        </w:rPr>
        <w:t>注：拟派主要</w:t>
      </w:r>
      <w:r>
        <w:rPr>
          <w:rFonts w:hint="eastAsia" w:ascii="仿宋" w:hAnsi="仿宋" w:eastAsia="仿宋" w:cs="仿宋"/>
          <w:color w:val="auto"/>
          <w:sz w:val="21"/>
          <w:szCs w:val="21"/>
          <w:highlight w:val="none"/>
          <w:shd w:val="clear" w:color="auto" w:fill="FFFFFF" w:themeFill="background1"/>
          <w:lang w:val="en-US" w:eastAsia="zh-CN"/>
        </w:rPr>
        <w:t>服务</w:t>
      </w:r>
      <w:r>
        <w:rPr>
          <w:rFonts w:hint="eastAsia" w:ascii="仿宋" w:hAnsi="仿宋" w:eastAsia="仿宋" w:cs="仿宋"/>
          <w:color w:val="auto"/>
          <w:sz w:val="21"/>
          <w:szCs w:val="21"/>
          <w:highlight w:val="none"/>
          <w:shd w:val="clear" w:color="auto" w:fill="FFFFFF" w:themeFill="background1"/>
        </w:rPr>
        <w:t>人员由</w:t>
      </w:r>
      <w:r>
        <w:rPr>
          <w:rFonts w:hint="eastAsia" w:ascii="仿宋" w:hAnsi="仿宋" w:eastAsia="仿宋" w:cs="仿宋"/>
          <w:color w:val="auto"/>
          <w:sz w:val="21"/>
          <w:szCs w:val="21"/>
          <w:highlight w:val="none"/>
          <w:shd w:val="clear" w:color="auto" w:fill="FFFFFF" w:themeFill="background1"/>
          <w:lang w:val="en-US" w:eastAsia="zh-CN"/>
        </w:rPr>
        <w:t>供应商</w:t>
      </w:r>
      <w:r>
        <w:rPr>
          <w:rFonts w:hint="eastAsia" w:ascii="仿宋" w:hAnsi="仿宋" w:eastAsia="仿宋" w:cs="仿宋"/>
          <w:color w:val="auto"/>
          <w:sz w:val="21"/>
          <w:szCs w:val="21"/>
          <w:highlight w:val="none"/>
          <w:shd w:val="clear" w:color="auto" w:fill="FFFFFF" w:themeFill="background1"/>
        </w:rPr>
        <w:t>自行确定，但应能够满足本项目的基本需求；</w:t>
      </w:r>
      <w:r>
        <w:rPr>
          <w:rFonts w:hint="eastAsia" w:ascii="仿宋" w:hAnsi="仿宋" w:eastAsia="仿宋" w:cs="仿宋"/>
          <w:color w:val="auto"/>
          <w:sz w:val="21"/>
          <w:szCs w:val="21"/>
          <w:highlight w:val="none"/>
          <w:shd w:val="clear" w:color="auto" w:fill="FFFFFF" w:themeFill="background1"/>
          <w:lang w:val="en-US" w:eastAsia="zh-CN"/>
        </w:rPr>
        <w:t>后</w:t>
      </w:r>
      <w:r>
        <w:rPr>
          <w:rFonts w:hint="eastAsia" w:ascii="仿宋" w:hAnsi="仿宋" w:eastAsia="仿宋" w:cs="仿宋"/>
          <w:color w:val="auto"/>
          <w:sz w:val="21"/>
          <w:szCs w:val="21"/>
          <w:highlight w:val="none"/>
          <w:shd w:val="clear" w:color="auto" w:fill="FFFFFF" w:themeFill="background1"/>
        </w:rPr>
        <w:t>附身份证等其他相关材料</w:t>
      </w:r>
      <w:r>
        <w:rPr>
          <w:rFonts w:hint="eastAsia" w:ascii="仿宋" w:hAnsi="仿宋" w:eastAsia="仿宋" w:cs="仿宋"/>
          <w:color w:val="auto"/>
          <w:sz w:val="21"/>
          <w:szCs w:val="21"/>
          <w:highlight w:val="none"/>
          <w:shd w:val="clear" w:color="auto" w:fill="FFFFFF" w:themeFill="background1"/>
          <w:lang w:eastAsia="zh-CN"/>
        </w:rPr>
        <w:t>。</w:t>
      </w:r>
    </w:p>
    <w:p w14:paraId="23662140">
      <w:pPr>
        <w:keepLines w:val="0"/>
        <w:pageBreakBefore w:val="0"/>
        <w:kinsoku/>
        <w:overflowPunct/>
        <w:topLinePunct w:val="0"/>
        <w:bidi w:val="0"/>
        <w:spacing w:beforeAutospacing="0" w:afterAutospacing="0" w:line="360" w:lineRule="auto"/>
        <w:ind w:firstLine="482" w:firstLineChars="200"/>
        <w:textAlignment w:val="auto"/>
        <w:rPr>
          <w:rFonts w:hint="eastAsia" w:ascii="仿宋" w:hAnsi="仿宋" w:eastAsia="仿宋" w:cs="仿宋"/>
          <w:b/>
          <w:bCs/>
          <w:color w:val="auto"/>
          <w:sz w:val="24"/>
          <w:szCs w:val="24"/>
          <w:highlight w:val="none"/>
          <w:shd w:val="clear" w:color="auto" w:fill="FFFFFF" w:themeFill="background1"/>
        </w:rPr>
      </w:pPr>
      <w:r>
        <w:rPr>
          <w:rFonts w:hint="eastAsia" w:ascii="仿宋" w:hAnsi="仿宋" w:eastAsia="仿宋" w:cs="仿宋"/>
          <w:b/>
          <w:bCs/>
          <w:color w:val="auto"/>
          <w:sz w:val="24"/>
          <w:szCs w:val="24"/>
          <w:highlight w:val="none"/>
          <w:shd w:val="clear" w:color="auto" w:fill="FFFFFF" w:themeFill="background1"/>
        </w:rPr>
        <w:br w:type="page"/>
      </w:r>
    </w:p>
    <w:bookmarkEnd w:id="158"/>
    <w:bookmarkEnd w:id="161"/>
    <w:bookmarkEnd w:id="162"/>
    <w:p w14:paraId="1A2BFCF4">
      <w:pPr>
        <w:keepLines w:val="0"/>
        <w:pageBreakBefore w:val="0"/>
        <w:tabs>
          <w:tab w:val="center" w:pos="4832"/>
          <w:tab w:val="left" w:pos="7140"/>
        </w:tabs>
        <w:kinsoku/>
        <w:overflowPunct/>
        <w:topLinePunct w:val="0"/>
        <w:bidi w:val="0"/>
        <w:spacing w:beforeAutospacing="0" w:afterAutospacing="0" w:line="360" w:lineRule="auto"/>
        <w:ind w:firstLine="482" w:firstLineChars="200"/>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163" w:name="_Toc507586177"/>
      <w:bookmarkStart w:id="164" w:name="_Toc38446482"/>
      <w:bookmarkStart w:id="165" w:name="_Toc533503193"/>
      <w:bookmarkStart w:id="166" w:name="_Toc11052"/>
      <w:r>
        <w:rPr>
          <w:rFonts w:hint="eastAsia" w:ascii="仿宋" w:hAnsi="仿宋" w:eastAsia="仿宋" w:cs="仿宋"/>
          <w:b/>
          <w:color w:val="auto"/>
          <w:sz w:val="24"/>
          <w:szCs w:val="24"/>
          <w:highlight w:val="none"/>
          <w:shd w:val="clear" w:color="auto" w:fill="FFFFFF" w:themeFill="background1"/>
        </w:rPr>
        <w:t>十</w:t>
      </w:r>
      <w:r>
        <w:rPr>
          <w:rFonts w:hint="eastAsia" w:ascii="仿宋" w:hAnsi="仿宋" w:eastAsia="仿宋" w:cs="仿宋"/>
          <w:b/>
          <w:color w:val="auto"/>
          <w:sz w:val="24"/>
          <w:szCs w:val="24"/>
          <w:highlight w:val="none"/>
          <w:shd w:val="clear" w:color="auto" w:fill="FFFFFF" w:themeFill="background1"/>
          <w:lang w:val="en-US" w:eastAsia="zh-CN"/>
        </w:rPr>
        <w:t>一</w:t>
      </w:r>
      <w:r>
        <w:rPr>
          <w:rFonts w:hint="eastAsia" w:ascii="仿宋" w:hAnsi="仿宋" w:eastAsia="仿宋" w:cs="仿宋"/>
          <w:b/>
          <w:color w:val="auto"/>
          <w:sz w:val="24"/>
          <w:szCs w:val="24"/>
          <w:highlight w:val="none"/>
          <w:shd w:val="clear" w:color="auto" w:fill="FFFFFF" w:themeFill="background1"/>
        </w:rPr>
        <w:t>、</w:t>
      </w:r>
      <w:r>
        <w:rPr>
          <w:rFonts w:hint="eastAsia" w:ascii="仿宋" w:hAnsi="仿宋" w:eastAsia="仿宋" w:cs="仿宋"/>
          <w:b/>
          <w:bCs/>
          <w:color w:val="auto"/>
          <w:sz w:val="24"/>
          <w:szCs w:val="24"/>
          <w:highlight w:val="none"/>
          <w:shd w:val="clear" w:color="auto" w:fill="FFFFFF" w:themeFill="background1"/>
        </w:rPr>
        <w:t>服务方案</w:t>
      </w:r>
      <w:bookmarkEnd w:id="163"/>
      <w:bookmarkEnd w:id="164"/>
      <w:bookmarkEnd w:id="165"/>
      <w:bookmarkEnd w:id="166"/>
    </w:p>
    <w:p w14:paraId="655DEE60">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2C65CE2A">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r>
        <w:rPr>
          <w:rFonts w:hint="eastAsia" w:ascii="仿宋" w:hAnsi="仿宋" w:eastAsia="仿宋" w:cs="仿宋"/>
          <w:bCs/>
          <w:color w:val="auto"/>
          <w:sz w:val="24"/>
          <w:szCs w:val="24"/>
          <w:highlight w:val="none"/>
          <w:shd w:val="clear" w:color="auto" w:fill="FFFFFF" w:themeFill="background1"/>
          <w:lang w:val="en-US" w:eastAsia="zh-CN"/>
        </w:rPr>
        <w:t>供应商</w:t>
      </w:r>
      <w:r>
        <w:rPr>
          <w:rFonts w:hint="eastAsia" w:ascii="仿宋" w:hAnsi="仿宋" w:eastAsia="仿宋" w:cs="仿宋"/>
          <w:bCs/>
          <w:color w:val="auto"/>
          <w:sz w:val="24"/>
          <w:szCs w:val="24"/>
          <w:highlight w:val="none"/>
          <w:shd w:val="clear" w:color="auto" w:fill="FFFFFF" w:themeFill="background1"/>
        </w:rPr>
        <w:t>须提交拟完成本项目的服务方案，服务方案的格式和内容由</w:t>
      </w:r>
      <w:r>
        <w:rPr>
          <w:rFonts w:hint="eastAsia" w:ascii="仿宋" w:hAnsi="仿宋" w:eastAsia="仿宋" w:cs="仿宋"/>
          <w:bCs/>
          <w:color w:val="auto"/>
          <w:sz w:val="24"/>
          <w:szCs w:val="24"/>
          <w:highlight w:val="none"/>
          <w:shd w:val="clear" w:color="auto" w:fill="FFFFFF" w:themeFill="background1"/>
          <w:lang w:val="en-US" w:eastAsia="zh-CN"/>
        </w:rPr>
        <w:t>供应商</w:t>
      </w:r>
      <w:r>
        <w:rPr>
          <w:rFonts w:hint="eastAsia" w:ascii="仿宋" w:hAnsi="仿宋" w:eastAsia="仿宋" w:cs="仿宋"/>
          <w:bCs/>
          <w:color w:val="auto"/>
          <w:sz w:val="24"/>
          <w:szCs w:val="24"/>
          <w:highlight w:val="none"/>
          <w:shd w:val="clear" w:color="auto" w:fill="FFFFFF" w:themeFill="background1"/>
        </w:rPr>
        <w:t>根据本项目的具体情况自行拟定。</w:t>
      </w:r>
    </w:p>
    <w:p w14:paraId="48EFCBD6">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bCs/>
          <w:color w:val="auto"/>
          <w:sz w:val="24"/>
          <w:szCs w:val="24"/>
          <w:highlight w:val="none"/>
          <w:shd w:val="clear" w:color="auto" w:fill="FFFFFF" w:themeFill="background1"/>
        </w:rPr>
      </w:pPr>
    </w:p>
    <w:p w14:paraId="43396BD6">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02141625">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4692C126">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458B0F42">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13CB439F">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04C3E863">
      <w:pPr>
        <w:rPr>
          <w:rFonts w:hint="eastAsia" w:ascii="仿宋" w:hAnsi="仿宋" w:eastAsia="仿宋" w:cs="仿宋"/>
          <w:b/>
          <w:color w:val="auto"/>
          <w:sz w:val="24"/>
          <w:szCs w:val="24"/>
          <w:highlight w:val="none"/>
          <w:shd w:val="clear" w:color="auto" w:fill="FFFFFF" w:themeFill="background1"/>
        </w:rPr>
      </w:pPr>
      <w:bookmarkStart w:id="167" w:name="_Toc38446484"/>
      <w:bookmarkStart w:id="168" w:name="_Toc533503194"/>
      <w:bookmarkStart w:id="169" w:name="_Toc507586178"/>
    </w:p>
    <w:p w14:paraId="2046740F">
      <w:pPr>
        <w:keepLines w:val="0"/>
        <w:pageBreakBefore w:val="0"/>
        <w:widowControl/>
        <w:kinsoku/>
        <w:overflowPunct/>
        <w:topLinePunct w:val="0"/>
        <w:bidi w:val="0"/>
        <w:spacing w:beforeAutospacing="0" w:afterAutospacing="0"/>
        <w:jc w:val="center"/>
        <w:textAlignment w:val="auto"/>
        <w:outlineLvl w:val="1"/>
        <w:rPr>
          <w:rFonts w:hint="eastAsia" w:ascii="仿宋" w:hAnsi="仿宋" w:eastAsia="仿宋" w:cs="仿宋"/>
          <w:b/>
          <w:color w:val="auto"/>
          <w:sz w:val="24"/>
          <w:szCs w:val="24"/>
          <w:highlight w:val="none"/>
          <w:shd w:val="clear" w:color="auto" w:fill="FFFFFF" w:themeFill="background1"/>
        </w:rPr>
      </w:pPr>
      <w:bookmarkStart w:id="170" w:name="_Toc31809"/>
      <w:r>
        <w:rPr>
          <w:rFonts w:hint="eastAsia" w:ascii="仿宋" w:hAnsi="仿宋" w:eastAsia="仿宋" w:cs="仿宋"/>
          <w:b/>
          <w:color w:val="auto"/>
          <w:sz w:val="24"/>
          <w:szCs w:val="24"/>
          <w:highlight w:val="none"/>
          <w:shd w:val="clear" w:color="auto" w:fill="FFFFFF" w:themeFill="background1"/>
        </w:rPr>
        <w:t>十</w:t>
      </w:r>
      <w:r>
        <w:rPr>
          <w:rFonts w:hint="eastAsia" w:ascii="仿宋" w:hAnsi="仿宋" w:eastAsia="仿宋" w:cs="仿宋"/>
          <w:b/>
          <w:color w:val="auto"/>
          <w:sz w:val="24"/>
          <w:szCs w:val="24"/>
          <w:highlight w:val="none"/>
          <w:shd w:val="clear" w:color="auto" w:fill="FFFFFF" w:themeFill="background1"/>
          <w:lang w:val="en-US" w:eastAsia="zh-CN"/>
        </w:rPr>
        <w:t>二</w:t>
      </w:r>
      <w:r>
        <w:rPr>
          <w:rFonts w:hint="eastAsia" w:ascii="仿宋" w:hAnsi="仿宋" w:eastAsia="仿宋" w:cs="仿宋"/>
          <w:b/>
          <w:color w:val="auto"/>
          <w:sz w:val="24"/>
          <w:szCs w:val="24"/>
          <w:highlight w:val="none"/>
          <w:shd w:val="clear" w:color="auto" w:fill="FFFFFF" w:themeFill="background1"/>
        </w:rPr>
        <w:t>、其他需要提交的资料</w:t>
      </w:r>
      <w:bookmarkEnd w:id="167"/>
      <w:bookmarkEnd w:id="168"/>
      <w:bookmarkEnd w:id="169"/>
      <w:bookmarkEnd w:id="170"/>
    </w:p>
    <w:p w14:paraId="35E1F649">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p>
    <w:p w14:paraId="0271D8ED">
      <w:pPr>
        <w:keepLines w:val="0"/>
        <w:pageBreakBefore w:val="0"/>
        <w:kinsoku/>
        <w:overflowPunct/>
        <w:topLinePunct w:val="0"/>
        <w:bidi w:val="0"/>
        <w:spacing w:beforeAutospacing="0" w:afterAutospacing="0" w:line="360" w:lineRule="auto"/>
        <w:ind w:firstLine="480" w:firstLineChars="200"/>
        <w:textAlignment w:val="auto"/>
        <w:rPr>
          <w:rFonts w:hint="eastAsia" w:ascii="仿宋" w:hAnsi="仿宋" w:eastAsia="仿宋" w:cs="仿宋"/>
          <w:color w:val="auto"/>
          <w:sz w:val="24"/>
          <w:szCs w:val="24"/>
          <w:highlight w:val="none"/>
          <w:shd w:val="clear" w:color="auto" w:fill="FFFFFF" w:themeFill="background1"/>
        </w:rPr>
      </w:pPr>
      <w:r>
        <w:rPr>
          <w:rFonts w:hint="eastAsia" w:ascii="仿宋" w:hAnsi="仿宋" w:eastAsia="仿宋" w:cs="仿宋"/>
          <w:color w:val="auto"/>
          <w:sz w:val="24"/>
          <w:szCs w:val="24"/>
          <w:highlight w:val="none"/>
          <w:shd w:val="clear" w:color="auto" w:fill="FFFFFF" w:themeFill="background1"/>
        </w:rPr>
        <w:t>根据磋商文件的要求和供应商认为需要提供的资料。</w:t>
      </w:r>
    </w:p>
    <w:p w14:paraId="5708B213">
      <w:pPr>
        <w:keepLines w:val="0"/>
        <w:pageBreakBefore w:val="0"/>
        <w:kinsoku/>
        <w:overflowPunct/>
        <w:topLinePunct w:val="0"/>
        <w:autoSpaceDE w:val="0"/>
        <w:autoSpaceDN w:val="0"/>
        <w:bidi w:val="0"/>
        <w:adjustRightInd w:val="0"/>
        <w:spacing w:beforeAutospacing="0" w:afterAutospacing="0"/>
        <w:jc w:val="center"/>
        <w:textAlignment w:val="auto"/>
        <w:rPr>
          <w:rFonts w:hint="eastAsia" w:ascii="仿宋" w:hAnsi="仿宋" w:eastAsia="仿宋" w:cs="仿宋"/>
          <w:color w:val="auto"/>
          <w:kern w:val="0"/>
          <w:sz w:val="24"/>
          <w:szCs w:val="24"/>
          <w:highlight w:val="none"/>
        </w:rPr>
      </w:pPr>
    </w:p>
    <w:p w14:paraId="0C05A7CA">
      <w:pPr>
        <w:keepLines w:val="0"/>
        <w:pageBreakBefore w:val="0"/>
        <w:kinsoku/>
        <w:overflowPunct/>
        <w:topLinePunct w:val="0"/>
        <w:bidi w:val="0"/>
        <w:spacing w:beforeAutospacing="0" w:afterAutospacing="0"/>
        <w:textAlignment w:val="auto"/>
        <w:rPr>
          <w:rFonts w:hint="eastAsia" w:ascii="仿宋" w:hAnsi="仿宋" w:eastAsia="仿宋" w:cs="仿宋"/>
          <w:b/>
          <w:color w:val="auto"/>
          <w:sz w:val="24"/>
          <w:szCs w:val="24"/>
          <w:highlight w:val="none"/>
          <w:shd w:val="clear" w:color="auto" w:fill="FFFFFF" w:themeFill="background1"/>
        </w:rPr>
      </w:pPr>
      <w:bookmarkStart w:id="171" w:name="_Toc77455658"/>
      <w:bookmarkStart w:id="172" w:name="_Toc60925660"/>
      <w:r>
        <w:rPr>
          <w:rFonts w:hint="eastAsia" w:ascii="仿宋" w:hAnsi="仿宋" w:eastAsia="仿宋" w:cs="仿宋"/>
          <w:b/>
          <w:color w:val="auto"/>
          <w:sz w:val="24"/>
          <w:szCs w:val="24"/>
          <w:highlight w:val="none"/>
          <w:shd w:val="clear" w:color="auto" w:fill="FFFFFF" w:themeFill="background1"/>
        </w:rPr>
        <w:br w:type="page"/>
      </w:r>
    </w:p>
    <w:p w14:paraId="1887C5F6">
      <w:pPr>
        <w:keepLines w:val="0"/>
        <w:pageBreakBefore w:val="0"/>
        <w:kinsoku/>
        <w:overflowPunct/>
        <w:topLinePunct w:val="0"/>
        <w:bidi w:val="0"/>
        <w:spacing w:beforeAutospacing="0" w:afterAutospacing="0" w:line="360" w:lineRule="auto"/>
        <w:jc w:val="center"/>
        <w:textAlignment w:val="auto"/>
        <w:outlineLvl w:val="0"/>
        <w:rPr>
          <w:rFonts w:hint="eastAsia" w:ascii="仿宋" w:hAnsi="仿宋" w:eastAsia="仿宋" w:cs="仿宋"/>
          <w:b/>
          <w:color w:val="auto"/>
          <w:sz w:val="24"/>
          <w:szCs w:val="24"/>
          <w:highlight w:val="none"/>
          <w:shd w:val="clear" w:color="auto" w:fill="FFFFFF" w:themeFill="background1"/>
        </w:rPr>
      </w:pPr>
      <w:bookmarkStart w:id="173" w:name="_Toc32584"/>
      <w:r>
        <w:rPr>
          <w:rFonts w:hint="eastAsia" w:ascii="仿宋" w:hAnsi="仿宋" w:eastAsia="仿宋" w:cs="仿宋"/>
          <w:b/>
          <w:color w:val="auto"/>
          <w:sz w:val="24"/>
          <w:szCs w:val="24"/>
          <w:highlight w:val="none"/>
          <w:shd w:val="clear" w:color="auto" w:fill="FFFFFF" w:themeFill="background1"/>
        </w:rPr>
        <w:t>第六章 补充条款</w:t>
      </w:r>
      <w:bookmarkEnd w:id="171"/>
      <w:bookmarkEnd w:id="172"/>
      <w:bookmarkEnd w:id="173"/>
    </w:p>
    <w:p w14:paraId="5C5D92F7">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p w14:paraId="5DF88B63">
      <w:pPr>
        <w:keepLines w:val="0"/>
        <w:pageBreakBefore w:val="0"/>
        <w:widowControl/>
        <w:kinsoku/>
        <w:overflowPunct/>
        <w:topLinePunct w:val="0"/>
        <w:bidi w:val="0"/>
        <w:spacing w:beforeAutospacing="0" w:afterAutospacing="0" w:line="360" w:lineRule="auto"/>
        <w:jc w:val="left"/>
        <w:textAlignment w:val="auto"/>
        <w:rPr>
          <w:rFonts w:hint="eastAsia" w:ascii="仿宋" w:hAnsi="仿宋" w:eastAsia="仿宋" w:cs="仿宋"/>
          <w:color w:val="auto"/>
          <w:sz w:val="24"/>
          <w:szCs w:val="24"/>
          <w:highlight w:val="none"/>
          <w:shd w:val="clear" w:color="auto" w:fill="FFFFFF" w:themeFill="background1"/>
        </w:rPr>
      </w:pPr>
    </w:p>
    <w:p w14:paraId="2200E35B">
      <w:pPr>
        <w:keepLines w:val="0"/>
        <w:pageBreakBefore w:val="0"/>
        <w:kinsoku/>
        <w:overflowPunct/>
        <w:topLinePunct w:val="0"/>
        <w:bidi w:val="0"/>
        <w:spacing w:beforeAutospacing="0" w:afterAutospacing="0" w:line="360" w:lineRule="auto"/>
        <w:textAlignment w:val="auto"/>
        <w:rPr>
          <w:rFonts w:hint="eastAsia" w:ascii="仿宋" w:hAnsi="仿宋" w:eastAsia="仿宋" w:cs="仿宋"/>
          <w:color w:val="auto"/>
          <w:sz w:val="24"/>
          <w:szCs w:val="24"/>
          <w:highlight w:val="none"/>
          <w:shd w:val="clear" w:color="auto" w:fill="FFFFFF" w:themeFill="background1"/>
        </w:rPr>
      </w:pPr>
    </w:p>
    <w:sectPr>
      <w:headerReference r:id="rId9" w:type="default"/>
      <w:footerReference r:id="rId10" w:type="default"/>
      <w:pgSz w:w="11906" w:h="16838"/>
      <w:pgMar w:top="1134" w:right="1418" w:bottom="1134"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宋体"/>
    <w:panose1 w:val="00000000000000000000"/>
    <w:charset w:val="86"/>
    <w:family w:val="roman"/>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Arial Unicode MS"/>
    <w:panose1 w:val="03000509000000000000"/>
    <w:charset w:val="86"/>
    <w:family w:val="auto"/>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auto"/>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Tms Rmn">
    <w:altName w:val="Segoe Print"/>
    <w:panose1 w:val="02020603040505020304"/>
    <w:charset w:val="00"/>
    <w:family w:val="roman"/>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Arial Unicode MS">
    <w:panose1 w:val="020B0604020202020204"/>
    <w:charset w:val="86"/>
    <w:family w:val="auto"/>
    <w:pitch w:val="default"/>
    <w:sig w:usb0="FFFFFFFF" w:usb1="E9FFFFFF" w:usb2="0000003F" w:usb3="00000000" w:csb0="603F01FF" w:csb1="FFFF0000"/>
  </w:font>
  <w:font w:name="MS PGothic">
    <w:panose1 w:val="020B0600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473AA">
    <w:pPr>
      <w:pStyle w:val="25"/>
      <w:jc w:val="center"/>
      <w:rPr>
        <w:rFonts w:asciiTheme="minorEastAsia" w:hAnsiTheme="minorEastAsia" w:eastAsiaTheme="minorEastAsia"/>
        <w:sz w:val="21"/>
        <w:szCs w:val="21"/>
        <w:lang w:val="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E6B16">
    <w:pPr>
      <w:pStyle w:val="25"/>
      <w:framePr w:wrap="around" w:vAnchor="text" w:hAnchor="margin" w:xAlign="center" w:y="1"/>
      <w:rPr>
        <w:rStyle w:val="47"/>
      </w:rPr>
    </w:pPr>
    <w:r>
      <w:rPr>
        <w:rStyle w:val="47"/>
      </w:rPr>
      <w:fldChar w:fldCharType="begin"/>
    </w:r>
    <w:r>
      <w:rPr>
        <w:rStyle w:val="47"/>
      </w:rPr>
      <w:instrText xml:space="preserve">PAGE  </w:instrText>
    </w:r>
    <w:r>
      <w:rPr>
        <w:rStyle w:val="47"/>
      </w:rPr>
      <w:fldChar w:fldCharType="separate"/>
    </w:r>
    <w:r>
      <w:rPr>
        <w:rStyle w:val="47"/>
      </w:rPr>
      <w:t>68</w:t>
    </w:r>
    <w:r>
      <w:rPr>
        <w:rStyle w:val="47"/>
      </w:rPr>
      <w:fldChar w:fldCharType="end"/>
    </w:r>
  </w:p>
  <w:p w14:paraId="63D82EAC">
    <w:pPr>
      <w:pStyle w:val="2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43321">
    <w:pPr>
      <w:pStyle w:val="25"/>
      <w:jc w:val="center"/>
      <w:rPr>
        <w:rFonts w:asciiTheme="minorEastAsia" w:hAnsiTheme="minorEastAsia" w:eastAsiaTheme="minorEastAsia"/>
        <w:sz w:val="21"/>
        <w:szCs w:val="21"/>
      </w:rPr>
    </w:pP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 PAGE   \* MERGEFORMAT </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lang w:val="zh-CN"/>
      </w:rPr>
      <w:t>3</w:t>
    </w:r>
    <w:r>
      <w:rPr>
        <w:rFonts w:asciiTheme="minorEastAsia" w:hAnsiTheme="minorEastAsia" w:eastAsiaTheme="minorEastAsia"/>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hint="eastAsia" w:ascii="仿宋" w:hAnsi="仿宋" w:eastAsia="仿宋" w:cs="仿宋"/>
        <w:sz w:val="21"/>
        <w:szCs w:val="21"/>
      </w:rPr>
      <w:id w:val="147455530"/>
    </w:sdtPr>
    <w:sdtEndPr>
      <w:rPr>
        <w:rFonts w:hint="eastAsia" w:ascii="宋体" w:hAnsi="宋体" w:eastAsia="仿宋" w:cs="仿宋"/>
        <w:sz w:val="24"/>
        <w:szCs w:val="21"/>
      </w:rPr>
    </w:sdtEndPr>
    <w:sdtContent>
      <w:p w14:paraId="3C97FBB7">
        <w:pPr>
          <w:pStyle w:val="25"/>
          <w:jc w:val="center"/>
          <w:rPr>
            <w:rFonts w:ascii="宋体" w:hAnsi="宋体"/>
            <w:sz w:val="24"/>
          </w:rPr>
        </w:pP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PAGE   \* MERGEFORMAT</w:instrText>
        </w:r>
        <w:r>
          <w:rPr>
            <w:rFonts w:hint="eastAsia" w:ascii="仿宋" w:hAnsi="仿宋" w:eastAsia="仿宋" w:cs="仿宋"/>
            <w:sz w:val="21"/>
            <w:szCs w:val="21"/>
          </w:rPr>
          <w:fldChar w:fldCharType="separate"/>
        </w:r>
        <w:r>
          <w:rPr>
            <w:rFonts w:hint="eastAsia" w:ascii="仿宋" w:hAnsi="仿宋" w:eastAsia="仿宋" w:cs="仿宋"/>
            <w:sz w:val="21"/>
            <w:szCs w:val="21"/>
            <w:lang w:val="zh-CN"/>
          </w:rPr>
          <w:t>30</w:t>
        </w:r>
        <w:r>
          <w:rPr>
            <w:rFonts w:hint="eastAsia" w:ascii="仿宋" w:hAnsi="仿宋" w:eastAsia="仿宋" w:cs="仿宋"/>
            <w:sz w:val="21"/>
            <w:szCs w:val="21"/>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3596842"/>
    </w:sdtPr>
    <w:sdtContent>
      <w:p w14:paraId="5D9C2670">
        <w:pPr>
          <w:pStyle w:val="25"/>
          <w:jc w:val="center"/>
        </w:pPr>
        <w:r>
          <w:fldChar w:fldCharType="begin"/>
        </w:r>
        <w:r>
          <w:instrText xml:space="preserve">PAGE   \* MERGEFORMAT</w:instrText>
        </w:r>
        <w:r>
          <w:fldChar w:fldCharType="separate"/>
        </w:r>
        <w:r>
          <w:rPr>
            <w:lang w:val="zh-CN"/>
          </w:rPr>
          <w:t>8</w:t>
        </w:r>
        <w: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hint="eastAsia" w:ascii="仿宋" w:hAnsi="仿宋" w:eastAsia="仿宋" w:cs="仿宋"/>
        <w:sz w:val="24"/>
        <w:szCs w:val="24"/>
      </w:rPr>
      <w:id w:val="-367532114"/>
    </w:sdtPr>
    <w:sdtEndPr>
      <w:rPr>
        <w:rFonts w:hint="eastAsia" w:ascii="仿宋" w:hAnsi="仿宋" w:eastAsia="仿宋" w:cs="仿宋"/>
        <w:sz w:val="24"/>
        <w:szCs w:val="24"/>
        <w:lang w:val="zh-CN"/>
      </w:rPr>
    </w:sdtEndPr>
    <w:sdtContent>
      <w:p w14:paraId="3A6C2D15">
        <w:pPr>
          <w:pStyle w:val="25"/>
          <w:ind w:right="360"/>
          <w:jc w:val="center"/>
          <w:rPr>
            <w:rFonts w:hint="eastAsia" w:ascii="仿宋" w:hAnsi="仿宋" w:eastAsia="仿宋" w:cs="仿宋"/>
            <w:sz w:val="24"/>
            <w:szCs w:val="24"/>
            <w:lang w:val="zh-CN"/>
          </w:rPr>
        </w:pPr>
        <w:r>
          <w:rPr>
            <w:rFonts w:hint="eastAsia" w:ascii="仿宋" w:hAnsi="仿宋" w:eastAsia="仿宋" w:cs="仿宋"/>
            <w:sz w:val="24"/>
            <w:szCs w:val="24"/>
            <w:lang w:val="zh-CN"/>
          </w:rPr>
          <w:fldChar w:fldCharType="begin"/>
        </w:r>
        <w:r>
          <w:rPr>
            <w:rFonts w:hint="eastAsia" w:ascii="仿宋" w:hAnsi="仿宋" w:eastAsia="仿宋" w:cs="仿宋"/>
            <w:sz w:val="24"/>
            <w:szCs w:val="24"/>
            <w:lang w:val="zh-CN"/>
          </w:rPr>
          <w:instrText xml:space="preserve">PAGE   \* MERGEFORMAT</w:instrText>
        </w:r>
        <w:r>
          <w:rPr>
            <w:rFonts w:hint="eastAsia" w:ascii="仿宋" w:hAnsi="仿宋" w:eastAsia="仿宋" w:cs="仿宋"/>
            <w:sz w:val="24"/>
            <w:szCs w:val="24"/>
            <w:lang w:val="zh-CN"/>
          </w:rPr>
          <w:fldChar w:fldCharType="separate"/>
        </w:r>
        <w:r>
          <w:rPr>
            <w:rFonts w:hint="eastAsia" w:ascii="仿宋" w:hAnsi="仿宋" w:eastAsia="仿宋" w:cs="仿宋"/>
            <w:sz w:val="24"/>
            <w:szCs w:val="24"/>
            <w:lang w:val="zh-CN"/>
          </w:rPr>
          <w:t>68</w:t>
        </w:r>
        <w:r>
          <w:rPr>
            <w:rFonts w:hint="eastAsia" w:ascii="仿宋" w:hAnsi="仿宋" w:eastAsia="仿宋" w:cs="仿宋"/>
            <w:sz w:val="24"/>
            <w:szCs w:val="24"/>
            <w:lang w:val="zh-CN"/>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1D7CC">
    <w:pPr>
      <w:pStyle w:val="26"/>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3E220D">
    <w:pPr>
      <w:pStyle w:val="26"/>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B845B95"/>
    <w:multiLevelType w:val="singleLevel"/>
    <w:tmpl w:val="1B845B95"/>
    <w:lvl w:ilvl="0" w:tentative="0">
      <w:start w:val="5"/>
      <w:numFmt w:val="decimal"/>
      <w:suff w:val="nothing"/>
      <w:lvlText w:val="%1、"/>
      <w:lvlJc w:val="left"/>
    </w:lvl>
  </w:abstractNum>
  <w:abstractNum w:abstractNumId="1">
    <w:nsid w:val="644E5166"/>
    <w:multiLevelType w:val="multilevel"/>
    <w:tmpl w:val="644E5166"/>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formatting="1"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jM2MwZjNjZmVkMDI0YzZjMDZiN2M3ZmRhYjMxOWEifQ=="/>
    <w:docVar w:name="KSO_WPS_MARK_KEY" w:val="8964930e-b812-44f6-ad31-5e90c699a630"/>
  </w:docVars>
  <w:rsids>
    <w:rsidRoot w:val="00172A27"/>
    <w:rsid w:val="00001340"/>
    <w:rsid w:val="00003F6D"/>
    <w:rsid w:val="00004DAA"/>
    <w:rsid w:val="0000568A"/>
    <w:rsid w:val="00006BD9"/>
    <w:rsid w:val="00007487"/>
    <w:rsid w:val="00007BA8"/>
    <w:rsid w:val="00013484"/>
    <w:rsid w:val="000149FB"/>
    <w:rsid w:val="00014F7D"/>
    <w:rsid w:val="000159AC"/>
    <w:rsid w:val="000162FE"/>
    <w:rsid w:val="00016F23"/>
    <w:rsid w:val="00020B17"/>
    <w:rsid w:val="000212A6"/>
    <w:rsid w:val="00022B09"/>
    <w:rsid w:val="00022B6E"/>
    <w:rsid w:val="00022B77"/>
    <w:rsid w:val="000244CA"/>
    <w:rsid w:val="00025CCF"/>
    <w:rsid w:val="00026F71"/>
    <w:rsid w:val="00030171"/>
    <w:rsid w:val="000304C4"/>
    <w:rsid w:val="00033566"/>
    <w:rsid w:val="000335F4"/>
    <w:rsid w:val="00036B12"/>
    <w:rsid w:val="000400E8"/>
    <w:rsid w:val="00046152"/>
    <w:rsid w:val="0005003E"/>
    <w:rsid w:val="00050467"/>
    <w:rsid w:val="000536BB"/>
    <w:rsid w:val="0005677C"/>
    <w:rsid w:val="000604DE"/>
    <w:rsid w:val="000616A1"/>
    <w:rsid w:val="00062A04"/>
    <w:rsid w:val="00063C04"/>
    <w:rsid w:val="000641A9"/>
    <w:rsid w:val="00065D98"/>
    <w:rsid w:val="00070AF5"/>
    <w:rsid w:val="00071140"/>
    <w:rsid w:val="00071492"/>
    <w:rsid w:val="00071EBA"/>
    <w:rsid w:val="000726EA"/>
    <w:rsid w:val="00072968"/>
    <w:rsid w:val="00073D96"/>
    <w:rsid w:val="0007571C"/>
    <w:rsid w:val="000762D4"/>
    <w:rsid w:val="0007797D"/>
    <w:rsid w:val="0008025F"/>
    <w:rsid w:val="0008034C"/>
    <w:rsid w:val="00080E16"/>
    <w:rsid w:val="0008176E"/>
    <w:rsid w:val="00081BD3"/>
    <w:rsid w:val="0008215D"/>
    <w:rsid w:val="00082FC4"/>
    <w:rsid w:val="00083B64"/>
    <w:rsid w:val="00085BB6"/>
    <w:rsid w:val="000904A3"/>
    <w:rsid w:val="000916AB"/>
    <w:rsid w:val="000923E8"/>
    <w:rsid w:val="000941A8"/>
    <w:rsid w:val="00094989"/>
    <w:rsid w:val="000A02F9"/>
    <w:rsid w:val="000A1822"/>
    <w:rsid w:val="000A32B9"/>
    <w:rsid w:val="000A3552"/>
    <w:rsid w:val="000A3C63"/>
    <w:rsid w:val="000A68F0"/>
    <w:rsid w:val="000B0F6F"/>
    <w:rsid w:val="000B210F"/>
    <w:rsid w:val="000B331B"/>
    <w:rsid w:val="000B581D"/>
    <w:rsid w:val="000B74E1"/>
    <w:rsid w:val="000B797D"/>
    <w:rsid w:val="000C3368"/>
    <w:rsid w:val="000C388B"/>
    <w:rsid w:val="000C3905"/>
    <w:rsid w:val="000C62C3"/>
    <w:rsid w:val="000D171A"/>
    <w:rsid w:val="000D37C8"/>
    <w:rsid w:val="000D3B49"/>
    <w:rsid w:val="000D7CE7"/>
    <w:rsid w:val="000E20F2"/>
    <w:rsid w:val="000E5B9C"/>
    <w:rsid w:val="000E6FF4"/>
    <w:rsid w:val="000E7461"/>
    <w:rsid w:val="000E7AF9"/>
    <w:rsid w:val="000E7B9A"/>
    <w:rsid w:val="000F1BFD"/>
    <w:rsid w:val="000F2511"/>
    <w:rsid w:val="000F74B7"/>
    <w:rsid w:val="00101A72"/>
    <w:rsid w:val="00101AA4"/>
    <w:rsid w:val="001060B3"/>
    <w:rsid w:val="001063D0"/>
    <w:rsid w:val="0010650C"/>
    <w:rsid w:val="001079FC"/>
    <w:rsid w:val="00107FE2"/>
    <w:rsid w:val="001100D5"/>
    <w:rsid w:val="00112251"/>
    <w:rsid w:val="00114633"/>
    <w:rsid w:val="00115D31"/>
    <w:rsid w:val="00117093"/>
    <w:rsid w:val="00117660"/>
    <w:rsid w:val="0012205E"/>
    <w:rsid w:val="001227D5"/>
    <w:rsid w:val="00123259"/>
    <w:rsid w:val="0012668B"/>
    <w:rsid w:val="001279E1"/>
    <w:rsid w:val="00127B38"/>
    <w:rsid w:val="0013312B"/>
    <w:rsid w:val="00133C36"/>
    <w:rsid w:val="001346CB"/>
    <w:rsid w:val="00134F82"/>
    <w:rsid w:val="00135714"/>
    <w:rsid w:val="001378D2"/>
    <w:rsid w:val="00140D70"/>
    <w:rsid w:val="001411D9"/>
    <w:rsid w:val="00141AF5"/>
    <w:rsid w:val="001431D9"/>
    <w:rsid w:val="00143612"/>
    <w:rsid w:val="00144E0F"/>
    <w:rsid w:val="00145F16"/>
    <w:rsid w:val="00146B4C"/>
    <w:rsid w:val="00146E26"/>
    <w:rsid w:val="001511BA"/>
    <w:rsid w:val="00151679"/>
    <w:rsid w:val="00151E56"/>
    <w:rsid w:val="0015454B"/>
    <w:rsid w:val="0015454E"/>
    <w:rsid w:val="0015472C"/>
    <w:rsid w:val="00154A10"/>
    <w:rsid w:val="00156E77"/>
    <w:rsid w:val="0015794E"/>
    <w:rsid w:val="00160C84"/>
    <w:rsid w:val="00162304"/>
    <w:rsid w:val="00162D5F"/>
    <w:rsid w:val="001635B4"/>
    <w:rsid w:val="001663BF"/>
    <w:rsid w:val="001676DD"/>
    <w:rsid w:val="00171B8B"/>
    <w:rsid w:val="00172A27"/>
    <w:rsid w:val="001733AF"/>
    <w:rsid w:val="00173CD5"/>
    <w:rsid w:val="00176984"/>
    <w:rsid w:val="00176FAD"/>
    <w:rsid w:val="0018101E"/>
    <w:rsid w:val="001825D7"/>
    <w:rsid w:val="0018398B"/>
    <w:rsid w:val="0018468F"/>
    <w:rsid w:val="00186618"/>
    <w:rsid w:val="00190CFC"/>
    <w:rsid w:val="00192309"/>
    <w:rsid w:val="00192531"/>
    <w:rsid w:val="00193A7C"/>
    <w:rsid w:val="001940A4"/>
    <w:rsid w:val="001970FB"/>
    <w:rsid w:val="0019744D"/>
    <w:rsid w:val="001A148C"/>
    <w:rsid w:val="001A1642"/>
    <w:rsid w:val="001A2117"/>
    <w:rsid w:val="001A27D4"/>
    <w:rsid w:val="001A2D5E"/>
    <w:rsid w:val="001A3274"/>
    <w:rsid w:val="001A33AD"/>
    <w:rsid w:val="001A377B"/>
    <w:rsid w:val="001A45DD"/>
    <w:rsid w:val="001A4A04"/>
    <w:rsid w:val="001A4E5A"/>
    <w:rsid w:val="001A5AD8"/>
    <w:rsid w:val="001B1748"/>
    <w:rsid w:val="001B36D6"/>
    <w:rsid w:val="001B7A07"/>
    <w:rsid w:val="001C09A4"/>
    <w:rsid w:val="001C0C4F"/>
    <w:rsid w:val="001C3DA2"/>
    <w:rsid w:val="001C5D03"/>
    <w:rsid w:val="001C7321"/>
    <w:rsid w:val="001D024E"/>
    <w:rsid w:val="001D50A5"/>
    <w:rsid w:val="001D53FB"/>
    <w:rsid w:val="001D79E8"/>
    <w:rsid w:val="001E1D3C"/>
    <w:rsid w:val="001E33A7"/>
    <w:rsid w:val="001E3D69"/>
    <w:rsid w:val="001E4755"/>
    <w:rsid w:val="001E5AAE"/>
    <w:rsid w:val="001E6E8F"/>
    <w:rsid w:val="001E700D"/>
    <w:rsid w:val="001E7813"/>
    <w:rsid w:val="001F22E9"/>
    <w:rsid w:val="001F3A08"/>
    <w:rsid w:val="001F610A"/>
    <w:rsid w:val="001F7725"/>
    <w:rsid w:val="0020058C"/>
    <w:rsid w:val="00200BA8"/>
    <w:rsid w:val="002011FB"/>
    <w:rsid w:val="002016BA"/>
    <w:rsid w:val="0020210D"/>
    <w:rsid w:val="002055DD"/>
    <w:rsid w:val="00205DF6"/>
    <w:rsid w:val="002071B0"/>
    <w:rsid w:val="00207852"/>
    <w:rsid w:val="002115F3"/>
    <w:rsid w:val="00213B45"/>
    <w:rsid w:val="00213C80"/>
    <w:rsid w:val="00215811"/>
    <w:rsid w:val="0022177D"/>
    <w:rsid w:val="0022315A"/>
    <w:rsid w:val="002233BB"/>
    <w:rsid w:val="00225083"/>
    <w:rsid w:val="002250F4"/>
    <w:rsid w:val="00226DEC"/>
    <w:rsid w:val="002271B7"/>
    <w:rsid w:val="0022755E"/>
    <w:rsid w:val="0022787A"/>
    <w:rsid w:val="00231BFB"/>
    <w:rsid w:val="0023316F"/>
    <w:rsid w:val="00234F95"/>
    <w:rsid w:val="0023520B"/>
    <w:rsid w:val="002362FF"/>
    <w:rsid w:val="00236964"/>
    <w:rsid w:val="00236D43"/>
    <w:rsid w:val="00237C99"/>
    <w:rsid w:val="00237D81"/>
    <w:rsid w:val="0024079C"/>
    <w:rsid w:val="00241719"/>
    <w:rsid w:val="00241F93"/>
    <w:rsid w:val="002443C9"/>
    <w:rsid w:val="00245F22"/>
    <w:rsid w:val="002472C0"/>
    <w:rsid w:val="00247F47"/>
    <w:rsid w:val="002508FA"/>
    <w:rsid w:val="00253DC3"/>
    <w:rsid w:val="00254157"/>
    <w:rsid w:val="002541CE"/>
    <w:rsid w:val="002545CB"/>
    <w:rsid w:val="00257F22"/>
    <w:rsid w:val="002604A7"/>
    <w:rsid w:val="00260910"/>
    <w:rsid w:val="00262839"/>
    <w:rsid w:val="00263CA6"/>
    <w:rsid w:val="00264ECA"/>
    <w:rsid w:val="00266F04"/>
    <w:rsid w:val="002677CF"/>
    <w:rsid w:val="00272DDC"/>
    <w:rsid w:val="0028204B"/>
    <w:rsid w:val="00283F2B"/>
    <w:rsid w:val="00292040"/>
    <w:rsid w:val="0029280E"/>
    <w:rsid w:val="00294684"/>
    <w:rsid w:val="00294BD6"/>
    <w:rsid w:val="00294D99"/>
    <w:rsid w:val="002967DA"/>
    <w:rsid w:val="00297672"/>
    <w:rsid w:val="002A6A08"/>
    <w:rsid w:val="002A76F7"/>
    <w:rsid w:val="002B0041"/>
    <w:rsid w:val="002B0624"/>
    <w:rsid w:val="002B0980"/>
    <w:rsid w:val="002B0C40"/>
    <w:rsid w:val="002C0E26"/>
    <w:rsid w:val="002C1AFD"/>
    <w:rsid w:val="002C2DD2"/>
    <w:rsid w:val="002C33A1"/>
    <w:rsid w:val="002C3AB5"/>
    <w:rsid w:val="002D10A3"/>
    <w:rsid w:val="002D1BE8"/>
    <w:rsid w:val="002D25D3"/>
    <w:rsid w:val="002D27BF"/>
    <w:rsid w:val="002D2A64"/>
    <w:rsid w:val="002D3439"/>
    <w:rsid w:val="002D6CF2"/>
    <w:rsid w:val="002E0067"/>
    <w:rsid w:val="002E0574"/>
    <w:rsid w:val="002E15A3"/>
    <w:rsid w:val="002E1D0A"/>
    <w:rsid w:val="002E4293"/>
    <w:rsid w:val="002E5AAD"/>
    <w:rsid w:val="002E6176"/>
    <w:rsid w:val="002E6670"/>
    <w:rsid w:val="002E7D55"/>
    <w:rsid w:val="002F10F5"/>
    <w:rsid w:val="002F2283"/>
    <w:rsid w:val="002F54A1"/>
    <w:rsid w:val="002F66E8"/>
    <w:rsid w:val="00300AC7"/>
    <w:rsid w:val="00300C92"/>
    <w:rsid w:val="00301B47"/>
    <w:rsid w:val="00301F82"/>
    <w:rsid w:val="003024B8"/>
    <w:rsid w:val="00303002"/>
    <w:rsid w:val="00304D2D"/>
    <w:rsid w:val="00312306"/>
    <w:rsid w:val="0031257E"/>
    <w:rsid w:val="003131AE"/>
    <w:rsid w:val="00313F13"/>
    <w:rsid w:val="00314210"/>
    <w:rsid w:val="00315623"/>
    <w:rsid w:val="00315D4B"/>
    <w:rsid w:val="00315D59"/>
    <w:rsid w:val="00316DBA"/>
    <w:rsid w:val="00316E96"/>
    <w:rsid w:val="0032116D"/>
    <w:rsid w:val="00321D81"/>
    <w:rsid w:val="003233E1"/>
    <w:rsid w:val="00324A7B"/>
    <w:rsid w:val="003264F1"/>
    <w:rsid w:val="0032668D"/>
    <w:rsid w:val="00326D40"/>
    <w:rsid w:val="00327B52"/>
    <w:rsid w:val="0033094D"/>
    <w:rsid w:val="00330F50"/>
    <w:rsid w:val="00331C14"/>
    <w:rsid w:val="0033356A"/>
    <w:rsid w:val="003344D9"/>
    <w:rsid w:val="00336C8C"/>
    <w:rsid w:val="00336E0F"/>
    <w:rsid w:val="00336F54"/>
    <w:rsid w:val="00336F6F"/>
    <w:rsid w:val="003426B2"/>
    <w:rsid w:val="00343622"/>
    <w:rsid w:val="003458F7"/>
    <w:rsid w:val="00345FE0"/>
    <w:rsid w:val="00350D9E"/>
    <w:rsid w:val="0035279D"/>
    <w:rsid w:val="00353142"/>
    <w:rsid w:val="00357570"/>
    <w:rsid w:val="00360323"/>
    <w:rsid w:val="00360D30"/>
    <w:rsid w:val="00361C9D"/>
    <w:rsid w:val="00361CD5"/>
    <w:rsid w:val="00362CA2"/>
    <w:rsid w:val="00363991"/>
    <w:rsid w:val="00364473"/>
    <w:rsid w:val="003659B8"/>
    <w:rsid w:val="00365DA6"/>
    <w:rsid w:val="00367609"/>
    <w:rsid w:val="00367A6E"/>
    <w:rsid w:val="003706ED"/>
    <w:rsid w:val="00370F25"/>
    <w:rsid w:val="00372DE6"/>
    <w:rsid w:val="003738A8"/>
    <w:rsid w:val="00373CAA"/>
    <w:rsid w:val="003766F5"/>
    <w:rsid w:val="00376E83"/>
    <w:rsid w:val="00381492"/>
    <w:rsid w:val="00382C56"/>
    <w:rsid w:val="00387372"/>
    <w:rsid w:val="00387B8B"/>
    <w:rsid w:val="0039170F"/>
    <w:rsid w:val="003923EF"/>
    <w:rsid w:val="0039269B"/>
    <w:rsid w:val="00395423"/>
    <w:rsid w:val="00396138"/>
    <w:rsid w:val="00396B25"/>
    <w:rsid w:val="003972C3"/>
    <w:rsid w:val="003A2B5A"/>
    <w:rsid w:val="003A5B50"/>
    <w:rsid w:val="003A6FF0"/>
    <w:rsid w:val="003B375E"/>
    <w:rsid w:val="003B3EF1"/>
    <w:rsid w:val="003B508E"/>
    <w:rsid w:val="003B6120"/>
    <w:rsid w:val="003B70AD"/>
    <w:rsid w:val="003B72EC"/>
    <w:rsid w:val="003B75FA"/>
    <w:rsid w:val="003C0B9E"/>
    <w:rsid w:val="003C2CBB"/>
    <w:rsid w:val="003C452F"/>
    <w:rsid w:val="003C6C59"/>
    <w:rsid w:val="003C7619"/>
    <w:rsid w:val="003D01BB"/>
    <w:rsid w:val="003D05EA"/>
    <w:rsid w:val="003D4211"/>
    <w:rsid w:val="003D5B21"/>
    <w:rsid w:val="003D5CDD"/>
    <w:rsid w:val="003D6081"/>
    <w:rsid w:val="003D678F"/>
    <w:rsid w:val="003E1C9B"/>
    <w:rsid w:val="003E27FC"/>
    <w:rsid w:val="003E476A"/>
    <w:rsid w:val="003E4A7A"/>
    <w:rsid w:val="003E612D"/>
    <w:rsid w:val="003F2B4D"/>
    <w:rsid w:val="003F443A"/>
    <w:rsid w:val="003F5C6B"/>
    <w:rsid w:val="00400C51"/>
    <w:rsid w:val="00401A88"/>
    <w:rsid w:val="0040310D"/>
    <w:rsid w:val="00403C31"/>
    <w:rsid w:val="004214CD"/>
    <w:rsid w:val="004220B6"/>
    <w:rsid w:val="00423D2D"/>
    <w:rsid w:val="004269F5"/>
    <w:rsid w:val="00426E22"/>
    <w:rsid w:val="00427988"/>
    <w:rsid w:val="0043107A"/>
    <w:rsid w:val="0043182A"/>
    <w:rsid w:val="00432C0C"/>
    <w:rsid w:val="004334BF"/>
    <w:rsid w:val="00433AA5"/>
    <w:rsid w:val="00433EED"/>
    <w:rsid w:val="00434DA2"/>
    <w:rsid w:val="004373BC"/>
    <w:rsid w:val="00437914"/>
    <w:rsid w:val="00444EE1"/>
    <w:rsid w:val="004453B8"/>
    <w:rsid w:val="0044799D"/>
    <w:rsid w:val="0045091A"/>
    <w:rsid w:val="00450A93"/>
    <w:rsid w:val="00450B61"/>
    <w:rsid w:val="0045260B"/>
    <w:rsid w:val="00452BB8"/>
    <w:rsid w:val="004534FA"/>
    <w:rsid w:val="00454A56"/>
    <w:rsid w:val="00455C21"/>
    <w:rsid w:val="00460531"/>
    <w:rsid w:val="0046196D"/>
    <w:rsid w:val="00462B25"/>
    <w:rsid w:val="004640C1"/>
    <w:rsid w:val="00464441"/>
    <w:rsid w:val="00464E09"/>
    <w:rsid w:val="00471946"/>
    <w:rsid w:val="004814EE"/>
    <w:rsid w:val="00483315"/>
    <w:rsid w:val="004948A3"/>
    <w:rsid w:val="00496454"/>
    <w:rsid w:val="0049776B"/>
    <w:rsid w:val="004A010F"/>
    <w:rsid w:val="004A1E94"/>
    <w:rsid w:val="004A36AE"/>
    <w:rsid w:val="004A383A"/>
    <w:rsid w:val="004A4981"/>
    <w:rsid w:val="004A5376"/>
    <w:rsid w:val="004A57DB"/>
    <w:rsid w:val="004A6517"/>
    <w:rsid w:val="004A68AF"/>
    <w:rsid w:val="004A7D7E"/>
    <w:rsid w:val="004B0537"/>
    <w:rsid w:val="004B1332"/>
    <w:rsid w:val="004B1F18"/>
    <w:rsid w:val="004B4371"/>
    <w:rsid w:val="004B441A"/>
    <w:rsid w:val="004B49BA"/>
    <w:rsid w:val="004B7605"/>
    <w:rsid w:val="004C28AA"/>
    <w:rsid w:val="004C380F"/>
    <w:rsid w:val="004C4D2E"/>
    <w:rsid w:val="004C55B6"/>
    <w:rsid w:val="004D11B3"/>
    <w:rsid w:val="004D65F4"/>
    <w:rsid w:val="004D75D5"/>
    <w:rsid w:val="004D780A"/>
    <w:rsid w:val="004E1539"/>
    <w:rsid w:val="004E1E11"/>
    <w:rsid w:val="004E2088"/>
    <w:rsid w:val="004E419C"/>
    <w:rsid w:val="004E42A0"/>
    <w:rsid w:val="004E4876"/>
    <w:rsid w:val="004E6506"/>
    <w:rsid w:val="004E76D1"/>
    <w:rsid w:val="004E7786"/>
    <w:rsid w:val="004F0D23"/>
    <w:rsid w:val="004F1B97"/>
    <w:rsid w:val="004F3534"/>
    <w:rsid w:val="004F4E62"/>
    <w:rsid w:val="00501303"/>
    <w:rsid w:val="00501762"/>
    <w:rsid w:val="00504761"/>
    <w:rsid w:val="0050500E"/>
    <w:rsid w:val="00505D61"/>
    <w:rsid w:val="00507DCF"/>
    <w:rsid w:val="00510D95"/>
    <w:rsid w:val="00510FAA"/>
    <w:rsid w:val="00511747"/>
    <w:rsid w:val="00512B3E"/>
    <w:rsid w:val="00520FE8"/>
    <w:rsid w:val="00521371"/>
    <w:rsid w:val="00521B49"/>
    <w:rsid w:val="005230D2"/>
    <w:rsid w:val="00523E02"/>
    <w:rsid w:val="00526A5F"/>
    <w:rsid w:val="00526F0E"/>
    <w:rsid w:val="005307A5"/>
    <w:rsid w:val="00531310"/>
    <w:rsid w:val="0053132A"/>
    <w:rsid w:val="005315B6"/>
    <w:rsid w:val="00534A62"/>
    <w:rsid w:val="00535AFD"/>
    <w:rsid w:val="0053703C"/>
    <w:rsid w:val="00540929"/>
    <w:rsid w:val="0054181E"/>
    <w:rsid w:val="005431E4"/>
    <w:rsid w:val="00543EF0"/>
    <w:rsid w:val="00544DAB"/>
    <w:rsid w:val="00545C11"/>
    <w:rsid w:val="00546AF9"/>
    <w:rsid w:val="00547C3A"/>
    <w:rsid w:val="0055435D"/>
    <w:rsid w:val="0055693E"/>
    <w:rsid w:val="00556DE1"/>
    <w:rsid w:val="00560B54"/>
    <w:rsid w:val="0056149F"/>
    <w:rsid w:val="00561C6E"/>
    <w:rsid w:val="00561E3A"/>
    <w:rsid w:val="00563383"/>
    <w:rsid w:val="0056642B"/>
    <w:rsid w:val="005664C2"/>
    <w:rsid w:val="00566F28"/>
    <w:rsid w:val="0057237E"/>
    <w:rsid w:val="0057327B"/>
    <w:rsid w:val="00573463"/>
    <w:rsid w:val="00573E10"/>
    <w:rsid w:val="0057576E"/>
    <w:rsid w:val="00575869"/>
    <w:rsid w:val="00577ECB"/>
    <w:rsid w:val="00577FFA"/>
    <w:rsid w:val="0058149C"/>
    <w:rsid w:val="00582395"/>
    <w:rsid w:val="00582453"/>
    <w:rsid w:val="00582F95"/>
    <w:rsid w:val="0058332C"/>
    <w:rsid w:val="00584B8C"/>
    <w:rsid w:val="0058687A"/>
    <w:rsid w:val="005879D1"/>
    <w:rsid w:val="00587F35"/>
    <w:rsid w:val="00587F68"/>
    <w:rsid w:val="0059433E"/>
    <w:rsid w:val="00595E23"/>
    <w:rsid w:val="00596F2C"/>
    <w:rsid w:val="0059795A"/>
    <w:rsid w:val="005A0D00"/>
    <w:rsid w:val="005A215C"/>
    <w:rsid w:val="005A31BE"/>
    <w:rsid w:val="005A4B20"/>
    <w:rsid w:val="005A69CA"/>
    <w:rsid w:val="005A6E28"/>
    <w:rsid w:val="005A7D87"/>
    <w:rsid w:val="005B0282"/>
    <w:rsid w:val="005B0D2C"/>
    <w:rsid w:val="005B2051"/>
    <w:rsid w:val="005B2CB8"/>
    <w:rsid w:val="005B319E"/>
    <w:rsid w:val="005B4857"/>
    <w:rsid w:val="005C19F6"/>
    <w:rsid w:val="005C4260"/>
    <w:rsid w:val="005C53A8"/>
    <w:rsid w:val="005C7EA7"/>
    <w:rsid w:val="005D13CC"/>
    <w:rsid w:val="005D1FF8"/>
    <w:rsid w:val="005D3BA9"/>
    <w:rsid w:val="005D5A13"/>
    <w:rsid w:val="005D651D"/>
    <w:rsid w:val="005E3AF0"/>
    <w:rsid w:val="005E3C18"/>
    <w:rsid w:val="005E5AF5"/>
    <w:rsid w:val="005E617A"/>
    <w:rsid w:val="005E69C2"/>
    <w:rsid w:val="005F0454"/>
    <w:rsid w:val="005F4907"/>
    <w:rsid w:val="005F496A"/>
    <w:rsid w:val="005F7132"/>
    <w:rsid w:val="0060072E"/>
    <w:rsid w:val="006007B3"/>
    <w:rsid w:val="00600C9C"/>
    <w:rsid w:val="0060581D"/>
    <w:rsid w:val="006069F3"/>
    <w:rsid w:val="00612345"/>
    <w:rsid w:val="00614572"/>
    <w:rsid w:val="00617B6A"/>
    <w:rsid w:val="00622533"/>
    <w:rsid w:val="00622699"/>
    <w:rsid w:val="0062361A"/>
    <w:rsid w:val="00627128"/>
    <w:rsid w:val="00630529"/>
    <w:rsid w:val="00630AAC"/>
    <w:rsid w:val="006314C2"/>
    <w:rsid w:val="00631C5A"/>
    <w:rsid w:val="00635290"/>
    <w:rsid w:val="006360FE"/>
    <w:rsid w:val="0063610A"/>
    <w:rsid w:val="006367D4"/>
    <w:rsid w:val="006372C6"/>
    <w:rsid w:val="006409A7"/>
    <w:rsid w:val="00641966"/>
    <w:rsid w:val="00642A9D"/>
    <w:rsid w:val="00643880"/>
    <w:rsid w:val="00644CAA"/>
    <w:rsid w:val="0064722F"/>
    <w:rsid w:val="00647296"/>
    <w:rsid w:val="00647D58"/>
    <w:rsid w:val="00650391"/>
    <w:rsid w:val="00651875"/>
    <w:rsid w:val="00652149"/>
    <w:rsid w:val="00652A1B"/>
    <w:rsid w:val="00652A7E"/>
    <w:rsid w:val="00657AD0"/>
    <w:rsid w:val="00661E10"/>
    <w:rsid w:val="0066511C"/>
    <w:rsid w:val="00665BBC"/>
    <w:rsid w:val="0066681E"/>
    <w:rsid w:val="00671508"/>
    <w:rsid w:val="006728AB"/>
    <w:rsid w:val="00674656"/>
    <w:rsid w:val="00674A1B"/>
    <w:rsid w:val="00675171"/>
    <w:rsid w:val="00677777"/>
    <w:rsid w:val="006804BB"/>
    <w:rsid w:val="00682D47"/>
    <w:rsid w:val="0068600F"/>
    <w:rsid w:val="00690B8C"/>
    <w:rsid w:val="0069349B"/>
    <w:rsid w:val="00694313"/>
    <w:rsid w:val="00697DA0"/>
    <w:rsid w:val="006A4875"/>
    <w:rsid w:val="006A4AC4"/>
    <w:rsid w:val="006B014A"/>
    <w:rsid w:val="006B1566"/>
    <w:rsid w:val="006B2DDD"/>
    <w:rsid w:val="006B36B5"/>
    <w:rsid w:val="006B36FC"/>
    <w:rsid w:val="006B5580"/>
    <w:rsid w:val="006B6739"/>
    <w:rsid w:val="006B68DE"/>
    <w:rsid w:val="006B7027"/>
    <w:rsid w:val="006B76F1"/>
    <w:rsid w:val="006C059C"/>
    <w:rsid w:val="006C067A"/>
    <w:rsid w:val="006C06C9"/>
    <w:rsid w:val="006C08F0"/>
    <w:rsid w:val="006C1460"/>
    <w:rsid w:val="006C214D"/>
    <w:rsid w:val="006C29C7"/>
    <w:rsid w:val="006C38F9"/>
    <w:rsid w:val="006C4A2A"/>
    <w:rsid w:val="006C4E5B"/>
    <w:rsid w:val="006C551A"/>
    <w:rsid w:val="006C70F0"/>
    <w:rsid w:val="006C7CC8"/>
    <w:rsid w:val="006D3668"/>
    <w:rsid w:val="006D5AF8"/>
    <w:rsid w:val="006E249F"/>
    <w:rsid w:val="006E344D"/>
    <w:rsid w:val="006E51CF"/>
    <w:rsid w:val="006E5FE5"/>
    <w:rsid w:val="006E65C8"/>
    <w:rsid w:val="006F1C1C"/>
    <w:rsid w:val="006F2A4E"/>
    <w:rsid w:val="006F43E1"/>
    <w:rsid w:val="006F6DB0"/>
    <w:rsid w:val="006F7BBE"/>
    <w:rsid w:val="0070157E"/>
    <w:rsid w:val="00703805"/>
    <w:rsid w:val="00704AEC"/>
    <w:rsid w:val="007059ED"/>
    <w:rsid w:val="00706514"/>
    <w:rsid w:val="00706A17"/>
    <w:rsid w:val="007076D2"/>
    <w:rsid w:val="00707E51"/>
    <w:rsid w:val="00711806"/>
    <w:rsid w:val="00711C48"/>
    <w:rsid w:val="00711DFE"/>
    <w:rsid w:val="00712744"/>
    <w:rsid w:val="007137F1"/>
    <w:rsid w:val="007138FC"/>
    <w:rsid w:val="007156D2"/>
    <w:rsid w:val="0072037A"/>
    <w:rsid w:val="00721DA0"/>
    <w:rsid w:val="00722364"/>
    <w:rsid w:val="00725381"/>
    <w:rsid w:val="0072662D"/>
    <w:rsid w:val="007277B0"/>
    <w:rsid w:val="00727EAB"/>
    <w:rsid w:val="00731897"/>
    <w:rsid w:val="0073306F"/>
    <w:rsid w:val="00734DE1"/>
    <w:rsid w:val="00736681"/>
    <w:rsid w:val="0074166A"/>
    <w:rsid w:val="00741C4B"/>
    <w:rsid w:val="0074370A"/>
    <w:rsid w:val="0074426E"/>
    <w:rsid w:val="0074546D"/>
    <w:rsid w:val="00746398"/>
    <w:rsid w:val="0075151D"/>
    <w:rsid w:val="00754316"/>
    <w:rsid w:val="00754C0A"/>
    <w:rsid w:val="0075583A"/>
    <w:rsid w:val="00757B07"/>
    <w:rsid w:val="00757C4E"/>
    <w:rsid w:val="00760768"/>
    <w:rsid w:val="0076202B"/>
    <w:rsid w:val="00762219"/>
    <w:rsid w:val="00763863"/>
    <w:rsid w:val="00763FE6"/>
    <w:rsid w:val="007643EE"/>
    <w:rsid w:val="007658ED"/>
    <w:rsid w:val="00767044"/>
    <w:rsid w:val="0076772C"/>
    <w:rsid w:val="007729C6"/>
    <w:rsid w:val="00772B13"/>
    <w:rsid w:val="00773822"/>
    <w:rsid w:val="00775D8E"/>
    <w:rsid w:val="00784173"/>
    <w:rsid w:val="00784793"/>
    <w:rsid w:val="007856A2"/>
    <w:rsid w:val="00787D19"/>
    <w:rsid w:val="00787F29"/>
    <w:rsid w:val="007911C0"/>
    <w:rsid w:val="00793FDF"/>
    <w:rsid w:val="00794B68"/>
    <w:rsid w:val="007954DC"/>
    <w:rsid w:val="00796034"/>
    <w:rsid w:val="00796F49"/>
    <w:rsid w:val="007A0E43"/>
    <w:rsid w:val="007A1915"/>
    <w:rsid w:val="007A2281"/>
    <w:rsid w:val="007A2460"/>
    <w:rsid w:val="007A5319"/>
    <w:rsid w:val="007A5EAB"/>
    <w:rsid w:val="007A6417"/>
    <w:rsid w:val="007A7EF1"/>
    <w:rsid w:val="007B2335"/>
    <w:rsid w:val="007B23B1"/>
    <w:rsid w:val="007B2A84"/>
    <w:rsid w:val="007B2F31"/>
    <w:rsid w:val="007B60D5"/>
    <w:rsid w:val="007C5747"/>
    <w:rsid w:val="007C5ABC"/>
    <w:rsid w:val="007C66D2"/>
    <w:rsid w:val="007D68A5"/>
    <w:rsid w:val="007D78E8"/>
    <w:rsid w:val="007D7C72"/>
    <w:rsid w:val="007E170C"/>
    <w:rsid w:val="007E2464"/>
    <w:rsid w:val="007E2857"/>
    <w:rsid w:val="007E5766"/>
    <w:rsid w:val="007E66CA"/>
    <w:rsid w:val="007F0D8B"/>
    <w:rsid w:val="007F3BED"/>
    <w:rsid w:val="007F4A6C"/>
    <w:rsid w:val="007F5620"/>
    <w:rsid w:val="007F659E"/>
    <w:rsid w:val="007F6C55"/>
    <w:rsid w:val="007F741A"/>
    <w:rsid w:val="00800372"/>
    <w:rsid w:val="008029D1"/>
    <w:rsid w:val="00803C6A"/>
    <w:rsid w:val="00804E94"/>
    <w:rsid w:val="008060F8"/>
    <w:rsid w:val="0080672E"/>
    <w:rsid w:val="008068DA"/>
    <w:rsid w:val="008068EC"/>
    <w:rsid w:val="00806F37"/>
    <w:rsid w:val="008104C1"/>
    <w:rsid w:val="008108D3"/>
    <w:rsid w:val="00813D04"/>
    <w:rsid w:val="008140A8"/>
    <w:rsid w:val="0081414C"/>
    <w:rsid w:val="00820914"/>
    <w:rsid w:val="008247D9"/>
    <w:rsid w:val="00826C3A"/>
    <w:rsid w:val="00834286"/>
    <w:rsid w:val="00837F36"/>
    <w:rsid w:val="00837F86"/>
    <w:rsid w:val="00840834"/>
    <w:rsid w:val="00843C8F"/>
    <w:rsid w:val="00846F1B"/>
    <w:rsid w:val="00850C31"/>
    <w:rsid w:val="00851279"/>
    <w:rsid w:val="008517A8"/>
    <w:rsid w:val="00851933"/>
    <w:rsid w:val="00852C4C"/>
    <w:rsid w:val="0085318D"/>
    <w:rsid w:val="00854756"/>
    <w:rsid w:val="00854939"/>
    <w:rsid w:val="0085611C"/>
    <w:rsid w:val="00857654"/>
    <w:rsid w:val="00857B62"/>
    <w:rsid w:val="00857DAE"/>
    <w:rsid w:val="008606B9"/>
    <w:rsid w:val="00860FFC"/>
    <w:rsid w:val="00861A5D"/>
    <w:rsid w:val="00861D9E"/>
    <w:rsid w:val="00862930"/>
    <w:rsid w:val="00862EBB"/>
    <w:rsid w:val="008631DD"/>
    <w:rsid w:val="00865ABB"/>
    <w:rsid w:val="00865FCD"/>
    <w:rsid w:val="008675CD"/>
    <w:rsid w:val="008703DB"/>
    <w:rsid w:val="00870A04"/>
    <w:rsid w:val="00870D07"/>
    <w:rsid w:val="00871A8D"/>
    <w:rsid w:val="008729A4"/>
    <w:rsid w:val="00872CE4"/>
    <w:rsid w:val="00874C29"/>
    <w:rsid w:val="00875212"/>
    <w:rsid w:val="00875534"/>
    <w:rsid w:val="00876CB5"/>
    <w:rsid w:val="00877E4D"/>
    <w:rsid w:val="0088119D"/>
    <w:rsid w:val="00881663"/>
    <w:rsid w:val="00882E04"/>
    <w:rsid w:val="00882EB5"/>
    <w:rsid w:val="008836C9"/>
    <w:rsid w:val="00884BA6"/>
    <w:rsid w:val="008858F6"/>
    <w:rsid w:val="00886A11"/>
    <w:rsid w:val="00890A9E"/>
    <w:rsid w:val="00890CF1"/>
    <w:rsid w:val="00891481"/>
    <w:rsid w:val="00891C8E"/>
    <w:rsid w:val="00892CDB"/>
    <w:rsid w:val="00892DE8"/>
    <w:rsid w:val="008931EB"/>
    <w:rsid w:val="008946FE"/>
    <w:rsid w:val="008953BF"/>
    <w:rsid w:val="008959F0"/>
    <w:rsid w:val="00895C8B"/>
    <w:rsid w:val="00896271"/>
    <w:rsid w:val="00896F7A"/>
    <w:rsid w:val="008A046E"/>
    <w:rsid w:val="008A6628"/>
    <w:rsid w:val="008B1C0E"/>
    <w:rsid w:val="008B1D39"/>
    <w:rsid w:val="008B2BE1"/>
    <w:rsid w:val="008B39D9"/>
    <w:rsid w:val="008B3F0E"/>
    <w:rsid w:val="008B4BF9"/>
    <w:rsid w:val="008B5573"/>
    <w:rsid w:val="008C32AB"/>
    <w:rsid w:val="008C35FD"/>
    <w:rsid w:val="008C3A97"/>
    <w:rsid w:val="008C6135"/>
    <w:rsid w:val="008C7706"/>
    <w:rsid w:val="008C7741"/>
    <w:rsid w:val="008C7BEB"/>
    <w:rsid w:val="008D39FF"/>
    <w:rsid w:val="008D5387"/>
    <w:rsid w:val="008D6647"/>
    <w:rsid w:val="008D7578"/>
    <w:rsid w:val="008E200B"/>
    <w:rsid w:val="008E2341"/>
    <w:rsid w:val="008E6991"/>
    <w:rsid w:val="008E7014"/>
    <w:rsid w:val="008F0B40"/>
    <w:rsid w:val="008F0CF1"/>
    <w:rsid w:val="008F1D6D"/>
    <w:rsid w:val="008F45EF"/>
    <w:rsid w:val="008F6AA2"/>
    <w:rsid w:val="008F71D3"/>
    <w:rsid w:val="00900116"/>
    <w:rsid w:val="009015ED"/>
    <w:rsid w:val="00901EC4"/>
    <w:rsid w:val="00901FC1"/>
    <w:rsid w:val="00904E9A"/>
    <w:rsid w:val="00906288"/>
    <w:rsid w:val="00907356"/>
    <w:rsid w:val="00907869"/>
    <w:rsid w:val="0090793B"/>
    <w:rsid w:val="00910795"/>
    <w:rsid w:val="0091080B"/>
    <w:rsid w:val="00910B36"/>
    <w:rsid w:val="0091635D"/>
    <w:rsid w:val="00916987"/>
    <w:rsid w:val="0091776B"/>
    <w:rsid w:val="00922592"/>
    <w:rsid w:val="00922911"/>
    <w:rsid w:val="0092308E"/>
    <w:rsid w:val="00923995"/>
    <w:rsid w:val="00926EE7"/>
    <w:rsid w:val="009306C6"/>
    <w:rsid w:val="00930E5F"/>
    <w:rsid w:val="00931F9B"/>
    <w:rsid w:val="009324A1"/>
    <w:rsid w:val="009324FE"/>
    <w:rsid w:val="009342AD"/>
    <w:rsid w:val="009354D8"/>
    <w:rsid w:val="009401BF"/>
    <w:rsid w:val="0094041C"/>
    <w:rsid w:val="0094055B"/>
    <w:rsid w:val="00941545"/>
    <w:rsid w:val="00941F19"/>
    <w:rsid w:val="00942729"/>
    <w:rsid w:val="009437A7"/>
    <w:rsid w:val="00945DCD"/>
    <w:rsid w:val="00945FE5"/>
    <w:rsid w:val="00946789"/>
    <w:rsid w:val="00946F1D"/>
    <w:rsid w:val="0094755C"/>
    <w:rsid w:val="0095114F"/>
    <w:rsid w:val="00954FDC"/>
    <w:rsid w:val="00955047"/>
    <w:rsid w:val="00957E0C"/>
    <w:rsid w:val="009613A3"/>
    <w:rsid w:val="0096147D"/>
    <w:rsid w:val="00964D3A"/>
    <w:rsid w:val="00965552"/>
    <w:rsid w:val="0096574A"/>
    <w:rsid w:val="0096617A"/>
    <w:rsid w:val="00966734"/>
    <w:rsid w:val="00966D0A"/>
    <w:rsid w:val="00966E63"/>
    <w:rsid w:val="00966EE6"/>
    <w:rsid w:val="0097008C"/>
    <w:rsid w:val="009700E7"/>
    <w:rsid w:val="00973457"/>
    <w:rsid w:val="00975577"/>
    <w:rsid w:val="00975775"/>
    <w:rsid w:val="0097689B"/>
    <w:rsid w:val="0097728B"/>
    <w:rsid w:val="00980CE0"/>
    <w:rsid w:val="009810CE"/>
    <w:rsid w:val="0098149F"/>
    <w:rsid w:val="00981669"/>
    <w:rsid w:val="00981749"/>
    <w:rsid w:val="00982B86"/>
    <w:rsid w:val="009840B0"/>
    <w:rsid w:val="009869E5"/>
    <w:rsid w:val="0098708B"/>
    <w:rsid w:val="009875C2"/>
    <w:rsid w:val="00990636"/>
    <w:rsid w:val="009930AE"/>
    <w:rsid w:val="009937B6"/>
    <w:rsid w:val="0099499D"/>
    <w:rsid w:val="009953B0"/>
    <w:rsid w:val="00995F93"/>
    <w:rsid w:val="00996993"/>
    <w:rsid w:val="00996DE1"/>
    <w:rsid w:val="009A0191"/>
    <w:rsid w:val="009A0B72"/>
    <w:rsid w:val="009A10FB"/>
    <w:rsid w:val="009A19B4"/>
    <w:rsid w:val="009A1D1F"/>
    <w:rsid w:val="009A26FE"/>
    <w:rsid w:val="009A32F3"/>
    <w:rsid w:val="009A3390"/>
    <w:rsid w:val="009A3A2D"/>
    <w:rsid w:val="009A3F97"/>
    <w:rsid w:val="009A456E"/>
    <w:rsid w:val="009A6799"/>
    <w:rsid w:val="009A693B"/>
    <w:rsid w:val="009A71B6"/>
    <w:rsid w:val="009A7284"/>
    <w:rsid w:val="009A749E"/>
    <w:rsid w:val="009B018E"/>
    <w:rsid w:val="009B074B"/>
    <w:rsid w:val="009B090B"/>
    <w:rsid w:val="009B0A3E"/>
    <w:rsid w:val="009B460E"/>
    <w:rsid w:val="009B4DB7"/>
    <w:rsid w:val="009B5730"/>
    <w:rsid w:val="009B7DCA"/>
    <w:rsid w:val="009C0761"/>
    <w:rsid w:val="009C110A"/>
    <w:rsid w:val="009C4888"/>
    <w:rsid w:val="009C5FF2"/>
    <w:rsid w:val="009C747C"/>
    <w:rsid w:val="009C7FD8"/>
    <w:rsid w:val="009D03AC"/>
    <w:rsid w:val="009D05BF"/>
    <w:rsid w:val="009D0798"/>
    <w:rsid w:val="009D19E0"/>
    <w:rsid w:val="009D2432"/>
    <w:rsid w:val="009D33DB"/>
    <w:rsid w:val="009D5AE6"/>
    <w:rsid w:val="009E0142"/>
    <w:rsid w:val="009E0C46"/>
    <w:rsid w:val="009E6131"/>
    <w:rsid w:val="009E75F9"/>
    <w:rsid w:val="009E77FC"/>
    <w:rsid w:val="009F064F"/>
    <w:rsid w:val="009F12E3"/>
    <w:rsid w:val="009F15EF"/>
    <w:rsid w:val="009F24D1"/>
    <w:rsid w:val="009F266C"/>
    <w:rsid w:val="009F31AC"/>
    <w:rsid w:val="009F4C1B"/>
    <w:rsid w:val="009F5DA5"/>
    <w:rsid w:val="009F69E1"/>
    <w:rsid w:val="009F7205"/>
    <w:rsid w:val="00A00684"/>
    <w:rsid w:val="00A01EFD"/>
    <w:rsid w:val="00A02E4D"/>
    <w:rsid w:val="00A03AC7"/>
    <w:rsid w:val="00A04B51"/>
    <w:rsid w:val="00A0509D"/>
    <w:rsid w:val="00A068B7"/>
    <w:rsid w:val="00A106FA"/>
    <w:rsid w:val="00A112E7"/>
    <w:rsid w:val="00A1183F"/>
    <w:rsid w:val="00A15101"/>
    <w:rsid w:val="00A15172"/>
    <w:rsid w:val="00A15738"/>
    <w:rsid w:val="00A17158"/>
    <w:rsid w:val="00A20856"/>
    <w:rsid w:val="00A2630C"/>
    <w:rsid w:val="00A27445"/>
    <w:rsid w:val="00A320D2"/>
    <w:rsid w:val="00A33300"/>
    <w:rsid w:val="00A35333"/>
    <w:rsid w:val="00A36250"/>
    <w:rsid w:val="00A36BD6"/>
    <w:rsid w:val="00A377F1"/>
    <w:rsid w:val="00A41CA5"/>
    <w:rsid w:val="00A42164"/>
    <w:rsid w:val="00A45D00"/>
    <w:rsid w:val="00A46BC3"/>
    <w:rsid w:val="00A50020"/>
    <w:rsid w:val="00A503F2"/>
    <w:rsid w:val="00A5088A"/>
    <w:rsid w:val="00A5113A"/>
    <w:rsid w:val="00A53297"/>
    <w:rsid w:val="00A5392E"/>
    <w:rsid w:val="00A5556E"/>
    <w:rsid w:val="00A56F7A"/>
    <w:rsid w:val="00A57C84"/>
    <w:rsid w:val="00A61FBA"/>
    <w:rsid w:val="00A63E68"/>
    <w:rsid w:val="00A648D2"/>
    <w:rsid w:val="00A648FB"/>
    <w:rsid w:val="00A665B8"/>
    <w:rsid w:val="00A6778D"/>
    <w:rsid w:val="00A677BE"/>
    <w:rsid w:val="00A72586"/>
    <w:rsid w:val="00A72A06"/>
    <w:rsid w:val="00A7351F"/>
    <w:rsid w:val="00A73D9B"/>
    <w:rsid w:val="00A7407E"/>
    <w:rsid w:val="00A74E2E"/>
    <w:rsid w:val="00A766B8"/>
    <w:rsid w:val="00A77E23"/>
    <w:rsid w:val="00A836DB"/>
    <w:rsid w:val="00A83CBD"/>
    <w:rsid w:val="00A83FE0"/>
    <w:rsid w:val="00A841E3"/>
    <w:rsid w:val="00A84A76"/>
    <w:rsid w:val="00A8579A"/>
    <w:rsid w:val="00A8620D"/>
    <w:rsid w:val="00A867EA"/>
    <w:rsid w:val="00A920ED"/>
    <w:rsid w:val="00A92AA7"/>
    <w:rsid w:val="00A92ACF"/>
    <w:rsid w:val="00A9412E"/>
    <w:rsid w:val="00A96C5C"/>
    <w:rsid w:val="00A96EED"/>
    <w:rsid w:val="00A971EB"/>
    <w:rsid w:val="00A97447"/>
    <w:rsid w:val="00AA0C7F"/>
    <w:rsid w:val="00AA0E37"/>
    <w:rsid w:val="00AA1E25"/>
    <w:rsid w:val="00AA2184"/>
    <w:rsid w:val="00AA2BDB"/>
    <w:rsid w:val="00AA65EF"/>
    <w:rsid w:val="00AB07FC"/>
    <w:rsid w:val="00AB0BCB"/>
    <w:rsid w:val="00AB3FD0"/>
    <w:rsid w:val="00AB4874"/>
    <w:rsid w:val="00AB6D21"/>
    <w:rsid w:val="00AB706C"/>
    <w:rsid w:val="00AB7635"/>
    <w:rsid w:val="00AB7D40"/>
    <w:rsid w:val="00AC0B44"/>
    <w:rsid w:val="00AC169A"/>
    <w:rsid w:val="00AC17BD"/>
    <w:rsid w:val="00AC2B08"/>
    <w:rsid w:val="00AC2D29"/>
    <w:rsid w:val="00AC3DDA"/>
    <w:rsid w:val="00AD0858"/>
    <w:rsid w:val="00AD159E"/>
    <w:rsid w:val="00AD3423"/>
    <w:rsid w:val="00AD3FA3"/>
    <w:rsid w:val="00AD5B07"/>
    <w:rsid w:val="00AE1905"/>
    <w:rsid w:val="00AE2804"/>
    <w:rsid w:val="00AE2F7F"/>
    <w:rsid w:val="00AE4760"/>
    <w:rsid w:val="00AE5366"/>
    <w:rsid w:val="00AE5935"/>
    <w:rsid w:val="00AE6558"/>
    <w:rsid w:val="00AE677E"/>
    <w:rsid w:val="00AF0B18"/>
    <w:rsid w:val="00AF1261"/>
    <w:rsid w:val="00AF27EF"/>
    <w:rsid w:val="00AF35AE"/>
    <w:rsid w:val="00AF4288"/>
    <w:rsid w:val="00AF4321"/>
    <w:rsid w:val="00AF727F"/>
    <w:rsid w:val="00AF7858"/>
    <w:rsid w:val="00B00632"/>
    <w:rsid w:val="00B02D93"/>
    <w:rsid w:val="00B03C70"/>
    <w:rsid w:val="00B0493F"/>
    <w:rsid w:val="00B05F78"/>
    <w:rsid w:val="00B11638"/>
    <w:rsid w:val="00B14B7E"/>
    <w:rsid w:val="00B15EDE"/>
    <w:rsid w:val="00B165AD"/>
    <w:rsid w:val="00B17992"/>
    <w:rsid w:val="00B20979"/>
    <w:rsid w:val="00B250E9"/>
    <w:rsid w:val="00B253DA"/>
    <w:rsid w:val="00B25BF9"/>
    <w:rsid w:val="00B26486"/>
    <w:rsid w:val="00B3066F"/>
    <w:rsid w:val="00B31413"/>
    <w:rsid w:val="00B318DD"/>
    <w:rsid w:val="00B31F28"/>
    <w:rsid w:val="00B32FDE"/>
    <w:rsid w:val="00B3485C"/>
    <w:rsid w:val="00B3551C"/>
    <w:rsid w:val="00B36091"/>
    <w:rsid w:val="00B3642B"/>
    <w:rsid w:val="00B4100F"/>
    <w:rsid w:val="00B4145E"/>
    <w:rsid w:val="00B41BA7"/>
    <w:rsid w:val="00B42098"/>
    <w:rsid w:val="00B44ADD"/>
    <w:rsid w:val="00B44C76"/>
    <w:rsid w:val="00B455A2"/>
    <w:rsid w:val="00B52440"/>
    <w:rsid w:val="00B530FB"/>
    <w:rsid w:val="00B55DD4"/>
    <w:rsid w:val="00B6041A"/>
    <w:rsid w:val="00B61231"/>
    <w:rsid w:val="00B62621"/>
    <w:rsid w:val="00B628A3"/>
    <w:rsid w:val="00B650BB"/>
    <w:rsid w:val="00B65DD7"/>
    <w:rsid w:val="00B66D36"/>
    <w:rsid w:val="00B70BA9"/>
    <w:rsid w:val="00B71045"/>
    <w:rsid w:val="00B716F5"/>
    <w:rsid w:val="00B76B5B"/>
    <w:rsid w:val="00B77E95"/>
    <w:rsid w:val="00B81EE5"/>
    <w:rsid w:val="00B836E8"/>
    <w:rsid w:val="00B837F7"/>
    <w:rsid w:val="00B840BB"/>
    <w:rsid w:val="00B841A4"/>
    <w:rsid w:val="00B871DD"/>
    <w:rsid w:val="00B87871"/>
    <w:rsid w:val="00B904BC"/>
    <w:rsid w:val="00B904BD"/>
    <w:rsid w:val="00B904C6"/>
    <w:rsid w:val="00B94F46"/>
    <w:rsid w:val="00B95D06"/>
    <w:rsid w:val="00B97024"/>
    <w:rsid w:val="00BA13CF"/>
    <w:rsid w:val="00BA1954"/>
    <w:rsid w:val="00BA3109"/>
    <w:rsid w:val="00BA3821"/>
    <w:rsid w:val="00BA4ED7"/>
    <w:rsid w:val="00BA5D51"/>
    <w:rsid w:val="00BA6DE7"/>
    <w:rsid w:val="00BA7063"/>
    <w:rsid w:val="00BB33FE"/>
    <w:rsid w:val="00BB399B"/>
    <w:rsid w:val="00BB546D"/>
    <w:rsid w:val="00BB57F2"/>
    <w:rsid w:val="00BB5C5F"/>
    <w:rsid w:val="00BB612A"/>
    <w:rsid w:val="00BB7BE1"/>
    <w:rsid w:val="00BC31ED"/>
    <w:rsid w:val="00BC378F"/>
    <w:rsid w:val="00BC679D"/>
    <w:rsid w:val="00BC6F1B"/>
    <w:rsid w:val="00BC7668"/>
    <w:rsid w:val="00BC7FCC"/>
    <w:rsid w:val="00BD1FA5"/>
    <w:rsid w:val="00BD2812"/>
    <w:rsid w:val="00BD2AA1"/>
    <w:rsid w:val="00BD4F83"/>
    <w:rsid w:val="00BD6825"/>
    <w:rsid w:val="00BD68F5"/>
    <w:rsid w:val="00BD6949"/>
    <w:rsid w:val="00BE1B0A"/>
    <w:rsid w:val="00BE2053"/>
    <w:rsid w:val="00BE4B8D"/>
    <w:rsid w:val="00BE5BB0"/>
    <w:rsid w:val="00BE5EB9"/>
    <w:rsid w:val="00BE6BAD"/>
    <w:rsid w:val="00BE7350"/>
    <w:rsid w:val="00BF07AF"/>
    <w:rsid w:val="00BF28EC"/>
    <w:rsid w:val="00BF3023"/>
    <w:rsid w:val="00BF30DF"/>
    <w:rsid w:val="00BF3C75"/>
    <w:rsid w:val="00BF4D37"/>
    <w:rsid w:val="00BF4FA6"/>
    <w:rsid w:val="00BF51F6"/>
    <w:rsid w:val="00BF67A4"/>
    <w:rsid w:val="00BF736A"/>
    <w:rsid w:val="00BF7C79"/>
    <w:rsid w:val="00BF7E00"/>
    <w:rsid w:val="00C021C5"/>
    <w:rsid w:val="00C024DE"/>
    <w:rsid w:val="00C02D9A"/>
    <w:rsid w:val="00C0323D"/>
    <w:rsid w:val="00C0414C"/>
    <w:rsid w:val="00C05A34"/>
    <w:rsid w:val="00C062CE"/>
    <w:rsid w:val="00C12240"/>
    <w:rsid w:val="00C12A4C"/>
    <w:rsid w:val="00C13F57"/>
    <w:rsid w:val="00C21672"/>
    <w:rsid w:val="00C228C9"/>
    <w:rsid w:val="00C23951"/>
    <w:rsid w:val="00C2434C"/>
    <w:rsid w:val="00C24A6F"/>
    <w:rsid w:val="00C24B25"/>
    <w:rsid w:val="00C24B71"/>
    <w:rsid w:val="00C25400"/>
    <w:rsid w:val="00C32B90"/>
    <w:rsid w:val="00C34FE2"/>
    <w:rsid w:val="00C355E3"/>
    <w:rsid w:val="00C35B06"/>
    <w:rsid w:val="00C36578"/>
    <w:rsid w:val="00C421E7"/>
    <w:rsid w:val="00C45175"/>
    <w:rsid w:val="00C45C27"/>
    <w:rsid w:val="00C466A2"/>
    <w:rsid w:val="00C479FE"/>
    <w:rsid w:val="00C47EB3"/>
    <w:rsid w:val="00C50B7E"/>
    <w:rsid w:val="00C51716"/>
    <w:rsid w:val="00C53ADD"/>
    <w:rsid w:val="00C56FCE"/>
    <w:rsid w:val="00C57F31"/>
    <w:rsid w:val="00C60BE2"/>
    <w:rsid w:val="00C62E07"/>
    <w:rsid w:val="00C630C0"/>
    <w:rsid w:val="00C6630D"/>
    <w:rsid w:val="00C70585"/>
    <w:rsid w:val="00C70E6B"/>
    <w:rsid w:val="00C70F4F"/>
    <w:rsid w:val="00C735C8"/>
    <w:rsid w:val="00C81A50"/>
    <w:rsid w:val="00C8225B"/>
    <w:rsid w:val="00C8247E"/>
    <w:rsid w:val="00C824BC"/>
    <w:rsid w:val="00C82F49"/>
    <w:rsid w:val="00C840F2"/>
    <w:rsid w:val="00C90624"/>
    <w:rsid w:val="00C9122B"/>
    <w:rsid w:val="00C91710"/>
    <w:rsid w:val="00C91CF5"/>
    <w:rsid w:val="00C92046"/>
    <w:rsid w:val="00C9347A"/>
    <w:rsid w:val="00C93969"/>
    <w:rsid w:val="00C954F2"/>
    <w:rsid w:val="00C9683B"/>
    <w:rsid w:val="00C97CBA"/>
    <w:rsid w:val="00CA012F"/>
    <w:rsid w:val="00CA03A3"/>
    <w:rsid w:val="00CA03E4"/>
    <w:rsid w:val="00CA0EF6"/>
    <w:rsid w:val="00CA2C2E"/>
    <w:rsid w:val="00CA31DB"/>
    <w:rsid w:val="00CA368F"/>
    <w:rsid w:val="00CA5325"/>
    <w:rsid w:val="00CA7EEA"/>
    <w:rsid w:val="00CB0DB8"/>
    <w:rsid w:val="00CB3D54"/>
    <w:rsid w:val="00CB5E73"/>
    <w:rsid w:val="00CB6363"/>
    <w:rsid w:val="00CB6B10"/>
    <w:rsid w:val="00CB71A5"/>
    <w:rsid w:val="00CB78B8"/>
    <w:rsid w:val="00CC09E1"/>
    <w:rsid w:val="00CC22E5"/>
    <w:rsid w:val="00CC2BDA"/>
    <w:rsid w:val="00CC41C9"/>
    <w:rsid w:val="00CC7637"/>
    <w:rsid w:val="00CD1F7C"/>
    <w:rsid w:val="00CD22B4"/>
    <w:rsid w:val="00CD22FD"/>
    <w:rsid w:val="00CD33AB"/>
    <w:rsid w:val="00CD4714"/>
    <w:rsid w:val="00CD5DA8"/>
    <w:rsid w:val="00CD5E71"/>
    <w:rsid w:val="00CD7088"/>
    <w:rsid w:val="00CD73CF"/>
    <w:rsid w:val="00CD7AEF"/>
    <w:rsid w:val="00CE0520"/>
    <w:rsid w:val="00CE263C"/>
    <w:rsid w:val="00CE3DCA"/>
    <w:rsid w:val="00CE4795"/>
    <w:rsid w:val="00CE63BA"/>
    <w:rsid w:val="00CE7441"/>
    <w:rsid w:val="00CE7ECF"/>
    <w:rsid w:val="00CF172B"/>
    <w:rsid w:val="00CF1C70"/>
    <w:rsid w:val="00CF291C"/>
    <w:rsid w:val="00CF4B54"/>
    <w:rsid w:val="00CF579A"/>
    <w:rsid w:val="00D011AF"/>
    <w:rsid w:val="00D02A38"/>
    <w:rsid w:val="00D02CDB"/>
    <w:rsid w:val="00D060F5"/>
    <w:rsid w:val="00D061F7"/>
    <w:rsid w:val="00D06613"/>
    <w:rsid w:val="00D07C47"/>
    <w:rsid w:val="00D119E0"/>
    <w:rsid w:val="00D1264E"/>
    <w:rsid w:val="00D12679"/>
    <w:rsid w:val="00D13FCC"/>
    <w:rsid w:val="00D15B9A"/>
    <w:rsid w:val="00D15C72"/>
    <w:rsid w:val="00D15D80"/>
    <w:rsid w:val="00D163C4"/>
    <w:rsid w:val="00D17D8C"/>
    <w:rsid w:val="00D22932"/>
    <w:rsid w:val="00D2307C"/>
    <w:rsid w:val="00D23BE8"/>
    <w:rsid w:val="00D24DED"/>
    <w:rsid w:val="00D251B5"/>
    <w:rsid w:val="00D26793"/>
    <w:rsid w:val="00D273F1"/>
    <w:rsid w:val="00D27953"/>
    <w:rsid w:val="00D307AC"/>
    <w:rsid w:val="00D30FCC"/>
    <w:rsid w:val="00D32D6D"/>
    <w:rsid w:val="00D330EC"/>
    <w:rsid w:val="00D334C0"/>
    <w:rsid w:val="00D34610"/>
    <w:rsid w:val="00D35E77"/>
    <w:rsid w:val="00D35F50"/>
    <w:rsid w:val="00D36619"/>
    <w:rsid w:val="00D366DC"/>
    <w:rsid w:val="00D440EA"/>
    <w:rsid w:val="00D4473F"/>
    <w:rsid w:val="00D450F4"/>
    <w:rsid w:val="00D45431"/>
    <w:rsid w:val="00D50E97"/>
    <w:rsid w:val="00D61D2D"/>
    <w:rsid w:val="00D62FEB"/>
    <w:rsid w:val="00D631D5"/>
    <w:rsid w:val="00D70370"/>
    <w:rsid w:val="00D7086E"/>
    <w:rsid w:val="00D71DCC"/>
    <w:rsid w:val="00D736C1"/>
    <w:rsid w:val="00D744E3"/>
    <w:rsid w:val="00D774D6"/>
    <w:rsid w:val="00D8223C"/>
    <w:rsid w:val="00D829FE"/>
    <w:rsid w:val="00D84C15"/>
    <w:rsid w:val="00D84E89"/>
    <w:rsid w:val="00D85475"/>
    <w:rsid w:val="00D85D15"/>
    <w:rsid w:val="00D87DC8"/>
    <w:rsid w:val="00D9044D"/>
    <w:rsid w:val="00D92085"/>
    <w:rsid w:val="00D92A15"/>
    <w:rsid w:val="00D9567D"/>
    <w:rsid w:val="00D97792"/>
    <w:rsid w:val="00DA2563"/>
    <w:rsid w:val="00DA3144"/>
    <w:rsid w:val="00DA380B"/>
    <w:rsid w:val="00DA46BF"/>
    <w:rsid w:val="00DA5D2B"/>
    <w:rsid w:val="00DA6E85"/>
    <w:rsid w:val="00DB026D"/>
    <w:rsid w:val="00DB55BF"/>
    <w:rsid w:val="00DB6DE4"/>
    <w:rsid w:val="00DB7459"/>
    <w:rsid w:val="00DC0AE8"/>
    <w:rsid w:val="00DC1E56"/>
    <w:rsid w:val="00DC22A3"/>
    <w:rsid w:val="00DC2870"/>
    <w:rsid w:val="00DC357F"/>
    <w:rsid w:val="00DC499D"/>
    <w:rsid w:val="00DC530E"/>
    <w:rsid w:val="00DC6F4D"/>
    <w:rsid w:val="00DC7034"/>
    <w:rsid w:val="00DC7123"/>
    <w:rsid w:val="00DD0935"/>
    <w:rsid w:val="00DD413C"/>
    <w:rsid w:val="00DD5620"/>
    <w:rsid w:val="00DD5A57"/>
    <w:rsid w:val="00DD69FD"/>
    <w:rsid w:val="00DE3995"/>
    <w:rsid w:val="00DE3D4E"/>
    <w:rsid w:val="00DE499C"/>
    <w:rsid w:val="00DE51E6"/>
    <w:rsid w:val="00DE7383"/>
    <w:rsid w:val="00DF29E0"/>
    <w:rsid w:val="00E006C0"/>
    <w:rsid w:val="00E010C0"/>
    <w:rsid w:val="00E02410"/>
    <w:rsid w:val="00E0297A"/>
    <w:rsid w:val="00E056E2"/>
    <w:rsid w:val="00E05CD7"/>
    <w:rsid w:val="00E1005E"/>
    <w:rsid w:val="00E121FC"/>
    <w:rsid w:val="00E12587"/>
    <w:rsid w:val="00E12AF3"/>
    <w:rsid w:val="00E1692B"/>
    <w:rsid w:val="00E16DE5"/>
    <w:rsid w:val="00E17C56"/>
    <w:rsid w:val="00E2069A"/>
    <w:rsid w:val="00E20CEB"/>
    <w:rsid w:val="00E2623C"/>
    <w:rsid w:val="00E311A1"/>
    <w:rsid w:val="00E335B6"/>
    <w:rsid w:val="00E34833"/>
    <w:rsid w:val="00E34AA5"/>
    <w:rsid w:val="00E34FF9"/>
    <w:rsid w:val="00E35CFB"/>
    <w:rsid w:val="00E40272"/>
    <w:rsid w:val="00E41690"/>
    <w:rsid w:val="00E4229F"/>
    <w:rsid w:val="00E422C7"/>
    <w:rsid w:val="00E45AB6"/>
    <w:rsid w:val="00E47291"/>
    <w:rsid w:val="00E50150"/>
    <w:rsid w:val="00E53529"/>
    <w:rsid w:val="00E53FDA"/>
    <w:rsid w:val="00E54DB3"/>
    <w:rsid w:val="00E56210"/>
    <w:rsid w:val="00E56EAE"/>
    <w:rsid w:val="00E5757F"/>
    <w:rsid w:val="00E603D7"/>
    <w:rsid w:val="00E638EA"/>
    <w:rsid w:val="00E656AA"/>
    <w:rsid w:val="00E66181"/>
    <w:rsid w:val="00E66C53"/>
    <w:rsid w:val="00E6736C"/>
    <w:rsid w:val="00E6785B"/>
    <w:rsid w:val="00E67BB4"/>
    <w:rsid w:val="00E705A5"/>
    <w:rsid w:val="00E715AA"/>
    <w:rsid w:val="00E72A65"/>
    <w:rsid w:val="00E7531B"/>
    <w:rsid w:val="00E761CC"/>
    <w:rsid w:val="00E76696"/>
    <w:rsid w:val="00E76A25"/>
    <w:rsid w:val="00E77A12"/>
    <w:rsid w:val="00E82AD8"/>
    <w:rsid w:val="00E8351B"/>
    <w:rsid w:val="00E847F7"/>
    <w:rsid w:val="00E8563B"/>
    <w:rsid w:val="00E86281"/>
    <w:rsid w:val="00E87230"/>
    <w:rsid w:val="00E872AD"/>
    <w:rsid w:val="00E87666"/>
    <w:rsid w:val="00E90187"/>
    <w:rsid w:val="00E9078D"/>
    <w:rsid w:val="00E912E2"/>
    <w:rsid w:val="00E91776"/>
    <w:rsid w:val="00E91F35"/>
    <w:rsid w:val="00E92B97"/>
    <w:rsid w:val="00E9657A"/>
    <w:rsid w:val="00E96D5C"/>
    <w:rsid w:val="00EA1BD1"/>
    <w:rsid w:val="00EB1A1D"/>
    <w:rsid w:val="00EC22AB"/>
    <w:rsid w:val="00EC3FE2"/>
    <w:rsid w:val="00EC4B99"/>
    <w:rsid w:val="00EC7068"/>
    <w:rsid w:val="00EC7DD2"/>
    <w:rsid w:val="00ED2BB4"/>
    <w:rsid w:val="00ED3584"/>
    <w:rsid w:val="00ED4027"/>
    <w:rsid w:val="00ED60D0"/>
    <w:rsid w:val="00ED6C3C"/>
    <w:rsid w:val="00ED76F3"/>
    <w:rsid w:val="00ED7DB6"/>
    <w:rsid w:val="00EE1040"/>
    <w:rsid w:val="00EE21F8"/>
    <w:rsid w:val="00EE2E7A"/>
    <w:rsid w:val="00EE2F7B"/>
    <w:rsid w:val="00EE3B90"/>
    <w:rsid w:val="00EE53E1"/>
    <w:rsid w:val="00EE65FD"/>
    <w:rsid w:val="00EE66C4"/>
    <w:rsid w:val="00EE687C"/>
    <w:rsid w:val="00EE76F2"/>
    <w:rsid w:val="00EE7F58"/>
    <w:rsid w:val="00EF0CEA"/>
    <w:rsid w:val="00EF18C4"/>
    <w:rsid w:val="00EF35ED"/>
    <w:rsid w:val="00EF3B3E"/>
    <w:rsid w:val="00EF41E5"/>
    <w:rsid w:val="00EF4B01"/>
    <w:rsid w:val="00EF51F5"/>
    <w:rsid w:val="00F00A1D"/>
    <w:rsid w:val="00F01518"/>
    <w:rsid w:val="00F06D4E"/>
    <w:rsid w:val="00F06EE8"/>
    <w:rsid w:val="00F10359"/>
    <w:rsid w:val="00F1099B"/>
    <w:rsid w:val="00F112FD"/>
    <w:rsid w:val="00F11777"/>
    <w:rsid w:val="00F1211D"/>
    <w:rsid w:val="00F13338"/>
    <w:rsid w:val="00F141A0"/>
    <w:rsid w:val="00F1438C"/>
    <w:rsid w:val="00F15103"/>
    <w:rsid w:val="00F15461"/>
    <w:rsid w:val="00F16187"/>
    <w:rsid w:val="00F224E3"/>
    <w:rsid w:val="00F233B5"/>
    <w:rsid w:val="00F2452B"/>
    <w:rsid w:val="00F24FE1"/>
    <w:rsid w:val="00F2619A"/>
    <w:rsid w:val="00F2710C"/>
    <w:rsid w:val="00F2729C"/>
    <w:rsid w:val="00F31B29"/>
    <w:rsid w:val="00F31FED"/>
    <w:rsid w:val="00F321DC"/>
    <w:rsid w:val="00F3403B"/>
    <w:rsid w:val="00F37934"/>
    <w:rsid w:val="00F37DC2"/>
    <w:rsid w:val="00F41097"/>
    <w:rsid w:val="00F41962"/>
    <w:rsid w:val="00F42632"/>
    <w:rsid w:val="00F42B8A"/>
    <w:rsid w:val="00F437B8"/>
    <w:rsid w:val="00F4666F"/>
    <w:rsid w:val="00F51285"/>
    <w:rsid w:val="00F5283D"/>
    <w:rsid w:val="00F52CD7"/>
    <w:rsid w:val="00F543FA"/>
    <w:rsid w:val="00F6004B"/>
    <w:rsid w:val="00F60674"/>
    <w:rsid w:val="00F61041"/>
    <w:rsid w:val="00F61283"/>
    <w:rsid w:val="00F654E8"/>
    <w:rsid w:val="00F65CFD"/>
    <w:rsid w:val="00F66864"/>
    <w:rsid w:val="00F72FCF"/>
    <w:rsid w:val="00F756C3"/>
    <w:rsid w:val="00F767C2"/>
    <w:rsid w:val="00F806F1"/>
    <w:rsid w:val="00F817AD"/>
    <w:rsid w:val="00F8450E"/>
    <w:rsid w:val="00F84C5B"/>
    <w:rsid w:val="00F90B1B"/>
    <w:rsid w:val="00F933D8"/>
    <w:rsid w:val="00F94DA0"/>
    <w:rsid w:val="00F97519"/>
    <w:rsid w:val="00FA2416"/>
    <w:rsid w:val="00FA386D"/>
    <w:rsid w:val="00FA6AA1"/>
    <w:rsid w:val="00FA6BE0"/>
    <w:rsid w:val="00FA72A6"/>
    <w:rsid w:val="00FA754C"/>
    <w:rsid w:val="00FB0525"/>
    <w:rsid w:val="00FB21A6"/>
    <w:rsid w:val="00FB2314"/>
    <w:rsid w:val="00FB2B29"/>
    <w:rsid w:val="00FB558D"/>
    <w:rsid w:val="00FB5939"/>
    <w:rsid w:val="00FB6276"/>
    <w:rsid w:val="00FB637F"/>
    <w:rsid w:val="00FB7217"/>
    <w:rsid w:val="00FC02BF"/>
    <w:rsid w:val="00FC08E6"/>
    <w:rsid w:val="00FC1561"/>
    <w:rsid w:val="00FC212C"/>
    <w:rsid w:val="00FC2AF7"/>
    <w:rsid w:val="00FD03E2"/>
    <w:rsid w:val="00FD06BC"/>
    <w:rsid w:val="00FD2465"/>
    <w:rsid w:val="00FD6B4B"/>
    <w:rsid w:val="00FD7E63"/>
    <w:rsid w:val="00FE1245"/>
    <w:rsid w:val="00FE19AC"/>
    <w:rsid w:val="00FE2336"/>
    <w:rsid w:val="00FE4098"/>
    <w:rsid w:val="00FE5627"/>
    <w:rsid w:val="00FF0BA2"/>
    <w:rsid w:val="00FF2520"/>
    <w:rsid w:val="00FF3930"/>
    <w:rsid w:val="00FF4215"/>
    <w:rsid w:val="00FF48D6"/>
    <w:rsid w:val="00FF4C4F"/>
    <w:rsid w:val="00FF4C85"/>
    <w:rsid w:val="00FF4D7D"/>
    <w:rsid w:val="00FF566C"/>
    <w:rsid w:val="00FF7770"/>
    <w:rsid w:val="00FF7BA0"/>
    <w:rsid w:val="01073EEA"/>
    <w:rsid w:val="018F2EE2"/>
    <w:rsid w:val="01AC5842"/>
    <w:rsid w:val="02377801"/>
    <w:rsid w:val="029307AF"/>
    <w:rsid w:val="02AB78A7"/>
    <w:rsid w:val="02E13C0F"/>
    <w:rsid w:val="030376E3"/>
    <w:rsid w:val="03415CF6"/>
    <w:rsid w:val="03465822"/>
    <w:rsid w:val="03791753"/>
    <w:rsid w:val="03F23E6F"/>
    <w:rsid w:val="04B862AB"/>
    <w:rsid w:val="04C3537C"/>
    <w:rsid w:val="04FD5688"/>
    <w:rsid w:val="051A5D86"/>
    <w:rsid w:val="05D62C76"/>
    <w:rsid w:val="07397B77"/>
    <w:rsid w:val="078B42EC"/>
    <w:rsid w:val="07E01DA1"/>
    <w:rsid w:val="07FC5C4D"/>
    <w:rsid w:val="08DD4532"/>
    <w:rsid w:val="091B505B"/>
    <w:rsid w:val="096802A0"/>
    <w:rsid w:val="09EB7C1C"/>
    <w:rsid w:val="0A4A3E4A"/>
    <w:rsid w:val="0A5D7472"/>
    <w:rsid w:val="0A7C0731"/>
    <w:rsid w:val="0AD11E75"/>
    <w:rsid w:val="0B5A00BC"/>
    <w:rsid w:val="0B8A6024"/>
    <w:rsid w:val="0BC67500"/>
    <w:rsid w:val="0BF73B5D"/>
    <w:rsid w:val="0C0F70F9"/>
    <w:rsid w:val="0C1069CD"/>
    <w:rsid w:val="0CF137AD"/>
    <w:rsid w:val="0D38442D"/>
    <w:rsid w:val="0E4868F2"/>
    <w:rsid w:val="0E5E1C72"/>
    <w:rsid w:val="0E7E40C2"/>
    <w:rsid w:val="0E8B5099"/>
    <w:rsid w:val="0EF84D38"/>
    <w:rsid w:val="0F83329A"/>
    <w:rsid w:val="0FC3503C"/>
    <w:rsid w:val="1125116C"/>
    <w:rsid w:val="114C494B"/>
    <w:rsid w:val="11553800"/>
    <w:rsid w:val="11A80796"/>
    <w:rsid w:val="11E903EC"/>
    <w:rsid w:val="120945EA"/>
    <w:rsid w:val="120E39AF"/>
    <w:rsid w:val="12255CB7"/>
    <w:rsid w:val="12371157"/>
    <w:rsid w:val="123F24AA"/>
    <w:rsid w:val="125A2040"/>
    <w:rsid w:val="12785A55"/>
    <w:rsid w:val="1283439D"/>
    <w:rsid w:val="12902616"/>
    <w:rsid w:val="135C4810"/>
    <w:rsid w:val="139B5716"/>
    <w:rsid w:val="13A20852"/>
    <w:rsid w:val="14551D69"/>
    <w:rsid w:val="14643D5A"/>
    <w:rsid w:val="148E7DB7"/>
    <w:rsid w:val="14C64A14"/>
    <w:rsid w:val="15D90A9B"/>
    <w:rsid w:val="160E6673"/>
    <w:rsid w:val="16526560"/>
    <w:rsid w:val="16EF0253"/>
    <w:rsid w:val="16FE2244"/>
    <w:rsid w:val="17101F77"/>
    <w:rsid w:val="17544559"/>
    <w:rsid w:val="17793FC0"/>
    <w:rsid w:val="17996410"/>
    <w:rsid w:val="17A45E25"/>
    <w:rsid w:val="17EE6794"/>
    <w:rsid w:val="18421C82"/>
    <w:rsid w:val="1853036D"/>
    <w:rsid w:val="199B021E"/>
    <w:rsid w:val="19AD646C"/>
    <w:rsid w:val="19B90EF2"/>
    <w:rsid w:val="19E219A9"/>
    <w:rsid w:val="1A2E40E5"/>
    <w:rsid w:val="1B661967"/>
    <w:rsid w:val="1BA96177"/>
    <w:rsid w:val="1C016E0E"/>
    <w:rsid w:val="1C5D5C5E"/>
    <w:rsid w:val="1C76287C"/>
    <w:rsid w:val="1CAB5593"/>
    <w:rsid w:val="1CC21F65"/>
    <w:rsid w:val="1CDB1137"/>
    <w:rsid w:val="1CDC489E"/>
    <w:rsid w:val="1CF739BD"/>
    <w:rsid w:val="1D2207B9"/>
    <w:rsid w:val="1D436C02"/>
    <w:rsid w:val="1D4448D9"/>
    <w:rsid w:val="1D8B2357"/>
    <w:rsid w:val="1E19760E"/>
    <w:rsid w:val="1E2277E6"/>
    <w:rsid w:val="1F106FB8"/>
    <w:rsid w:val="1F2111C5"/>
    <w:rsid w:val="1F861028"/>
    <w:rsid w:val="1FBA5176"/>
    <w:rsid w:val="1FBF278C"/>
    <w:rsid w:val="2040730C"/>
    <w:rsid w:val="209B4FA7"/>
    <w:rsid w:val="20A918DB"/>
    <w:rsid w:val="20DA787E"/>
    <w:rsid w:val="213F3B84"/>
    <w:rsid w:val="21457AA6"/>
    <w:rsid w:val="2160757F"/>
    <w:rsid w:val="21617F9F"/>
    <w:rsid w:val="21DC13D3"/>
    <w:rsid w:val="22A719E1"/>
    <w:rsid w:val="22B44975"/>
    <w:rsid w:val="22EB2BDA"/>
    <w:rsid w:val="230B2DFF"/>
    <w:rsid w:val="233C481F"/>
    <w:rsid w:val="23566F63"/>
    <w:rsid w:val="236E69A3"/>
    <w:rsid w:val="23827D58"/>
    <w:rsid w:val="23DF164F"/>
    <w:rsid w:val="244871F4"/>
    <w:rsid w:val="24586AC6"/>
    <w:rsid w:val="24732C75"/>
    <w:rsid w:val="24A00DDE"/>
    <w:rsid w:val="24B0423F"/>
    <w:rsid w:val="24E65B35"/>
    <w:rsid w:val="2566249D"/>
    <w:rsid w:val="25696723"/>
    <w:rsid w:val="25FA2770"/>
    <w:rsid w:val="2629095F"/>
    <w:rsid w:val="26345C82"/>
    <w:rsid w:val="26393298"/>
    <w:rsid w:val="26A12BEB"/>
    <w:rsid w:val="26C03072"/>
    <w:rsid w:val="26F25034"/>
    <w:rsid w:val="278F0C96"/>
    <w:rsid w:val="27B9274C"/>
    <w:rsid w:val="27E9484A"/>
    <w:rsid w:val="27FF5E1C"/>
    <w:rsid w:val="284B5B2B"/>
    <w:rsid w:val="28AA222B"/>
    <w:rsid w:val="28C21D69"/>
    <w:rsid w:val="29E51041"/>
    <w:rsid w:val="2A1E44A1"/>
    <w:rsid w:val="2A4E308A"/>
    <w:rsid w:val="2A9A62D0"/>
    <w:rsid w:val="2B8A00F2"/>
    <w:rsid w:val="2BB94533"/>
    <w:rsid w:val="2BDB094E"/>
    <w:rsid w:val="2C73041D"/>
    <w:rsid w:val="2C792640"/>
    <w:rsid w:val="2D662499"/>
    <w:rsid w:val="2D8172D3"/>
    <w:rsid w:val="2DC93154"/>
    <w:rsid w:val="2E0028ED"/>
    <w:rsid w:val="2E031E2E"/>
    <w:rsid w:val="2E04418C"/>
    <w:rsid w:val="2E130F54"/>
    <w:rsid w:val="2E8048AF"/>
    <w:rsid w:val="2EA4771D"/>
    <w:rsid w:val="2EA65A14"/>
    <w:rsid w:val="2EB96AE5"/>
    <w:rsid w:val="2EF97A69"/>
    <w:rsid w:val="2F1C4306"/>
    <w:rsid w:val="2F3E7229"/>
    <w:rsid w:val="2FE37DD1"/>
    <w:rsid w:val="30140C31"/>
    <w:rsid w:val="306B04F2"/>
    <w:rsid w:val="31085D41"/>
    <w:rsid w:val="31321010"/>
    <w:rsid w:val="313F54DB"/>
    <w:rsid w:val="31556AAC"/>
    <w:rsid w:val="324816C4"/>
    <w:rsid w:val="3262491A"/>
    <w:rsid w:val="326F3B9E"/>
    <w:rsid w:val="327318E0"/>
    <w:rsid w:val="32C53F54"/>
    <w:rsid w:val="33024A12"/>
    <w:rsid w:val="33174961"/>
    <w:rsid w:val="33324FAE"/>
    <w:rsid w:val="34104626"/>
    <w:rsid w:val="34125129"/>
    <w:rsid w:val="34465710"/>
    <w:rsid w:val="3450057F"/>
    <w:rsid w:val="34A57D4B"/>
    <w:rsid w:val="34E24AFB"/>
    <w:rsid w:val="35337105"/>
    <w:rsid w:val="353D61D5"/>
    <w:rsid w:val="35846E2F"/>
    <w:rsid w:val="3598300D"/>
    <w:rsid w:val="35A95619"/>
    <w:rsid w:val="35ED7BFB"/>
    <w:rsid w:val="35FB40C6"/>
    <w:rsid w:val="36716136"/>
    <w:rsid w:val="36B64491"/>
    <w:rsid w:val="36E27034"/>
    <w:rsid w:val="371442C0"/>
    <w:rsid w:val="37672E6A"/>
    <w:rsid w:val="37B95FE7"/>
    <w:rsid w:val="37BB6822"/>
    <w:rsid w:val="37CD77F5"/>
    <w:rsid w:val="380D6333"/>
    <w:rsid w:val="38445935"/>
    <w:rsid w:val="387719FE"/>
    <w:rsid w:val="3909523B"/>
    <w:rsid w:val="39AE1450"/>
    <w:rsid w:val="3A63223A"/>
    <w:rsid w:val="3A7A7584"/>
    <w:rsid w:val="3BB05953"/>
    <w:rsid w:val="3BC62A80"/>
    <w:rsid w:val="3BD66A3C"/>
    <w:rsid w:val="3C0435A9"/>
    <w:rsid w:val="3CFC24D2"/>
    <w:rsid w:val="3D2F28A7"/>
    <w:rsid w:val="3D6844FA"/>
    <w:rsid w:val="3D7F382F"/>
    <w:rsid w:val="3E990920"/>
    <w:rsid w:val="3E99447C"/>
    <w:rsid w:val="3E9A0E65"/>
    <w:rsid w:val="3EDB51F8"/>
    <w:rsid w:val="3F0062A9"/>
    <w:rsid w:val="3F0C172B"/>
    <w:rsid w:val="3F7D5B4C"/>
    <w:rsid w:val="3FCF3A3E"/>
    <w:rsid w:val="3FCF3ECE"/>
    <w:rsid w:val="4024421A"/>
    <w:rsid w:val="40503261"/>
    <w:rsid w:val="408D0011"/>
    <w:rsid w:val="408E5B37"/>
    <w:rsid w:val="409C46F8"/>
    <w:rsid w:val="40A73392"/>
    <w:rsid w:val="40B530C4"/>
    <w:rsid w:val="40F33877"/>
    <w:rsid w:val="40F956A6"/>
    <w:rsid w:val="41043009"/>
    <w:rsid w:val="41320BB8"/>
    <w:rsid w:val="4258464E"/>
    <w:rsid w:val="425863FC"/>
    <w:rsid w:val="42B75819"/>
    <w:rsid w:val="42BA70B7"/>
    <w:rsid w:val="42F00D2B"/>
    <w:rsid w:val="430D368B"/>
    <w:rsid w:val="43662FA4"/>
    <w:rsid w:val="43860D47"/>
    <w:rsid w:val="43D1290A"/>
    <w:rsid w:val="43F03E56"/>
    <w:rsid w:val="44207E0E"/>
    <w:rsid w:val="44701859"/>
    <w:rsid w:val="44BC4DD3"/>
    <w:rsid w:val="44DF6E38"/>
    <w:rsid w:val="45561319"/>
    <w:rsid w:val="456826CA"/>
    <w:rsid w:val="45C83899"/>
    <w:rsid w:val="45CD0EAF"/>
    <w:rsid w:val="46C04255"/>
    <w:rsid w:val="47685334"/>
    <w:rsid w:val="482A4397"/>
    <w:rsid w:val="482D19C9"/>
    <w:rsid w:val="483D056E"/>
    <w:rsid w:val="48541414"/>
    <w:rsid w:val="485E04E5"/>
    <w:rsid w:val="492359B6"/>
    <w:rsid w:val="49325BF9"/>
    <w:rsid w:val="4989333F"/>
    <w:rsid w:val="4A3E412A"/>
    <w:rsid w:val="4A5D6CA6"/>
    <w:rsid w:val="4A7B537E"/>
    <w:rsid w:val="4B0709C0"/>
    <w:rsid w:val="4B1706C2"/>
    <w:rsid w:val="4B374E90"/>
    <w:rsid w:val="4B5700E4"/>
    <w:rsid w:val="4B5F25AA"/>
    <w:rsid w:val="4B991F60"/>
    <w:rsid w:val="4BBF1EF3"/>
    <w:rsid w:val="4C1B2975"/>
    <w:rsid w:val="4C3457E4"/>
    <w:rsid w:val="4D73233C"/>
    <w:rsid w:val="4ECC61A8"/>
    <w:rsid w:val="4F1E0688"/>
    <w:rsid w:val="4F4B3D3E"/>
    <w:rsid w:val="4F7A5C04"/>
    <w:rsid w:val="4F9D18F3"/>
    <w:rsid w:val="4FB235F0"/>
    <w:rsid w:val="4FB56C3C"/>
    <w:rsid w:val="4FC2067F"/>
    <w:rsid w:val="4FDA48F5"/>
    <w:rsid w:val="4FE31FFC"/>
    <w:rsid w:val="50412BC6"/>
    <w:rsid w:val="51581F75"/>
    <w:rsid w:val="516A7EFA"/>
    <w:rsid w:val="51750D79"/>
    <w:rsid w:val="519A07DF"/>
    <w:rsid w:val="51D174B1"/>
    <w:rsid w:val="51DC2BA6"/>
    <w:rsid w:val="522B58DB"/>
    <w:rsid w:val="528943B0"/>
    <w:rsid w:val="52DB0D18"/>
    <w:rsid w:val="52F65BC8"/>
    <w:rsid w:val="53193986"/>
    <w:rsid w:val="534A1D91"/>
    <w:rsid w:val="54065CB8"/>
    <w:rsid w:val="541D7610"/>
    <w:rsid w:val="543547EF"/>
    <w:rsid w:val="549B3399"/>
    <w:rsid w:val="54DB0444"/>
    <w:rsid w:val="5503669C"/>
    <w:rsid w:val="552B25EE"/>
    <w:rsid w:val="556C4241"/>
    <w:rsid w:val="55986DE4"/>
    <w:rsid w:val="55B81234"/>
    <w:rsid w:val="55CF5EF1"/>
    <w:rsid w:val="5622559B"/>
    <w:rsid w:val="562875A6"/>
    <w:rsid w:val="56FE35BF"/>
    <w:rsid w:val="57081D47"/>
    <w:rsid w:val="57193F55"/>
    <w:rsid w:val="57200B83"/>
    <w:rsid w:val="57555DE6"/>
    <w:rsid w:val="57B123DF"/>
    <w:rsid w:val="57B74395"/>
    <w:rsid w:val="57B95737"/>
    <w:rsid w:val="58FC1D80"/>
    <w:rsid w:val="59D6437F"/>
    <w:rsid w:val="59E36A9C"/>
    <w:rsid w:val="59FD5DAF"/>
    <w:rsid w:val="5A4C6CD8"/>
    <w:rsid w:val="5A58296B"/>
    <w:rsid w:val="5A5D23AA"/>
    <w:rsid w:val="5A7823A2"/>
    <w:rsid w:val="5B597015"/>
    <w:rsid w:val="5BBB1A7E"/>
    <w:rsid w:val="5BC22E0D"/>
    <w:rsid w:val="5BD20B76"/>
    <w:rsid w:val="5BE977B3"/>
    <w:rsid w:val="5BF15A06"/>
    <w:rsid w:val="5BF25068"/>
    <w:rsid w:val="5C084598"/>
    <w:rsid w:val="5C090F2F"/>
    <w:rsid w:val="5C6E4DC9"/>
    <w:rsid w:val="5CB94A17"/>
    <w:rsid w:val="5D221689"/>
    <w:rsid w:val="5D414205"/>
    <w:rsid w:val="5EFF6126"/>
    <w:rsid w:val="5F092B01"/>
    <w:rsid w:val="5F1A4D0E"/>
    <w:rsid w:val="5F323AA6"/>
    <w:rsid w:val="5F4E6765"/>
    <w:rsid w:val="5F9C5723"/>
    <w:rsid w:val="60477D84"/>
    <w:rsid w:val="606E3563"/>
    <w:rsid w:val="61AD3C17"/>
    <w:rsid w:val="61B45646"/>
    <w:rsid w:val="623F6839"/>
    <w:rsid w:val="627E7362"/>
    <w:rsid w:val="630006BE"/>
    <w:rsid w:val="63A4104A"/>
    <w:rsid w:val="63BA261B"/>
    <w:rsid w:val="63BC2837"/>
    <w:rsid w:val="63C16BEA"/>
    <w:rsid w:val="63DC4C88"/>
    <w:rsid w:val="642F1B54"/>
    <w:rsid w:val="6477675E"/>
    <w:rsid w:val="64942E6C"/>
    <w:rsid w:val="64EA33D4"/>
    <w:rsid w:val="64FC57C2"/>
    <w:rsid w:val="65C94540"/>
    <w:rsid w:val="664D59C9"/>
    <w:rsid w:val="668F6040"/>
    <w:rsid w:val="66C11F13"/>
    <w:rsid w:val="66D103A8"/>
    <w:rsid w:val="66EF082E"/>
    <w:rsid w:val="67F500C6"/>
    <w:rsid w:val="6804655B"/>
    <w:rsid w:val="688D47A2"/>
    <w:rsid w:val="68AA5354"/>
    <w:rsid w:val="68AB69D7"/>
    <w:rsid w:val="68E1689C"/>
    <w:rsid w:val="691B3B5C"/>
    <w:rsid w:val="69231D99"/>
    <w:rsid w:val="69531548"/>
    <w:rsid w:val="6981521F"/>
    <w:rsid w:val="6996429D"/>
    <w:rsid w:val="69A51678"/>
    <w:rsid w:val="6A8C11F2"/>
    <w:rsid w:val="6AAB7162"/>
    <w:rsid w:val="6ADE12E5"/>
    <w:rsid w:val="6B431148"/>
    <w:rsid w:val="6B6F018F"/>
    <w:rsid w:val="6BF3491C"/>
    <w:rsid w:val="6C3F4E4E"/>
    <w:rsid w:val="6C5D26DE"/>
    <w:rsid w:val="6CB57E24"/>
    <w:rsid w:val="6D1D48B7"/>
    <w:rsid w:val="6D9D5488"/>
    <w:rsid w:val="6DDB33BB"/>
    <w:rsid w:val="6E1F2C65"/>
    <w:rsid w:val="6EAB7E53"/>
    <w:rsid w:val="6EFC61DE"/>
    <w:rsid w:val="6F0D2199"/>
    <w:rsid w:val="6FF46EB5"/>
    <w:rsid w:val="702C664F"/>
    <w:rsid w:val="708B5A6B"/>
    <w:rsid w:val="708F2650"/>
    <w:rsid w:val="71866233"/>
    <w:rsid w:val="71C34D91"/>
    <w:rsid w:val="72231CD3"/>
    <w:rsid w:val="722A12B4"/>
    <w:rsid w:val="7235379B"/>
    <w:rsid w:val="72402057"/>
    <w:rsid w:val="7346211D"/>
    <w:rsid w:val="737A5923"/>
    <w:rsid w:val="74212243"/>
    <w:rsid w:val="749649DF"/>
    <w:rsid w:val="74AD776E"/>
    <w:rsid w:val="74C652C4"/>
    <w:rsid w:val="74C94E19"/>
    <w:rsid w:val="75054F76"/>
    <w:rsid w:val="760D6F22"/>
    <w:rsid w:val="76937428"/>
    <w:rsid w:val="769A6A08"/>
    <w:rsid w:val="77E15F71"/>
    <w:rsid w:val="78025A15"/>
    <w:rsid w:val="787A073D"/>
    <w:rsid w:val="789254BD"/>
    <w:rsid w:val="78CD4747"/>
    <w:rsid w:val="78E04567"/>
    <w:rsid w:val="790A14F7"/>
    <w:rsid w:val="791D56CF"/>
    <w:rsid w:val="7931117A"/>
    <w:rsid w:val="793D7B1F"/>
    <w:rsid w:val="7A0643B5"/>
    <w:rsid w:val="7AAC0AB8"/>
    <w:rsid w:val="7AE00762"/>
    <w:rsid w:val="7AFB3B2F"/>
    <w:rsid w:val="7B783090"/>
    <w:rsid w:val="7BE7708B"/>
    <w:rsid w:val="7BF73FB5"/>
    <w:rsid w:val="7C1032C9"/>
    <w:rsid w:val="7C43369E"/>
    <w:rsid w:val="7D4C20DE"/>
    <w:rsid w:val="7D503278"/>
    <w:rsid w:val="7D6A5E50"/>
    <w:rsid w:val="7D8C6BBD"/>
    <w:rsid w:val="7E1A3F8B"/>
    <w:rsid w:val="7EB02B41"/>
    <w:rsid w:val="7F9F6E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iPriority="99" w:semiHidden="0"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nhideWhenUsed="0" w:uiPriority="0" w:semiHidden="0"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4"/>
    <w:next w:val="1"/>
    <w:link w:val="60"/>
    <w:qFormat/>
    <w:uiPriority w:val="9"/>
    <w:pPr>
      <w:keepNext/>
      <w:widowControl/>
      <w:spacing w:before="340" w:after="330" w:line="576" w:lineRule="auto"/>
      <w:jc w:val="center"/>
      <w:outlineLvl w:val="0"/>
    </w:pPr>
    <w:rPr>
      <w:rFonts w:ascii="???" w:hAnsi="???" w:eastAsia="宋体" w:cs="Arial"/>
      <w:color w:val="020000"/>
      <w:kern w:val="36"/>
      <w:sz w:val="44"/>
      <w:szCs w:val="44"/>
    </w:rPr>
  </w:style>
  <w:style w:type="paragraph" w:styleId="5">
    <w:name w:val="heading 2"/>
    <w:basedOn w:val="1"/>
    <w:next w:val="1"/>
    <w:link w:val="61"/>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6">
    <w:name w:val="heading 3"/>
    <w:basedOn w:val="1"/>
    <w:next w:val="1"/>
    <w:link w:val="62"/>
    <w:qFormat/>
    <w:uiPriority w:val="0"/>
    <w:pPr>
      <w:keepNext/>
      <w:widowControl/>
      <w:spacing w:before="260" w:after="260" w:line="412" w:lineRule="auto"/>
      <w:outlineLvl w:val="2"/>
    </w:pPr>
    <w:rPr>
      <w:rFonts w:ascii="??" w:hAnsi="??" w:eastAsia="宋体" w:cs="Arial"/>
      <w:b/>
      <w:bCs/>
      <w:color w:val="000000"/>
      <w:kern w:val="0"/>
      <w:sz w:val="32"/>
      <w:szCs w:val="32"/>
    </w:rPr>
  </w:style>
  <w:style w:type="paragraph" w:styleId="7">
    <w:name w:val="heading 4"/>
    <w:basedOn w:val="1"/>
    <w:next w:val="1"/>
    <w:unhideWhenUsed/>
    <w:qFormat/>
    <w:uiPriority w:val="0"/>
    <w:pPr>
      <w:keepNext/>
      <w:keepLines/>
      <w:spacing w:before="280" w:after="290" w:line="377" w:lineRule="auto"/>
      <w:outlineLvl w:val="3"/>
    </w:pPr>
    <w:rPr>
      <w:rFonts w:asciiTheme="majorHAnsi" w:hAnsiTheme="majorHAnsi" w:eastAsiaTheme="majorEastAsia" w:cstheme="majorBidi"/>
      <w:b/>
      <w:bCs/>
      <w:szCs w:val="28"/>
    </w:rPr>
  </w:style>
  <w:style w:type="paragraph" w:styleId="8">
    <w:name w:val="heading 5"/>
    <w:basedOn w:val="1"/>
    <w:next w:val="1"/>
    <w:link w:val="219"/>
    <w:unhideWhenUsed/>
    <w:qFormat/>
    <w:uiPriority w:val="0"/>
    <w:pPr>
      <w:keepNext/>
      <w:keepLines/>
      <w:spacing w:before="280" w:after="290" w:line="376" w:lineRule="auto"/>
      <w:outlineLvl w:val="4"/>
    </w:pPr>
    <w:rPr>
      <w:b/>
      <w:bCs/>
      <w:sz w:val="28"/>
      <w:szCs w:val="28"/>
    </w:rPr>
  </w:style>
  <w:style w:type="character" w:default="1" w:styleId="45">
    <w:name w:val="Default Paragraph Font"/>
    <w:unhideWhenUsed/>
    <w:qFormat/>
    <w:uiPriority w:val="1"/>
  </w:style>
  <w:style w:type="table" w:default="1" w:styleId="43">
    <w:name w:val="Normal Table"/>
    <w:unhideWhenUsed/>
    <w:qFormat/>
    <w:uiPriority w:val="99"/>
    <w:tblPr>
      <w:tblCellMar>
        <w:top w:w="0" w:type="dxa"/>
        <w:left w:w="108" w:type="dxa"/>
        <w:bottom w:w="0" w:type="dxa"/>
        <w:right w:w="108" w:type="dxa"/>
      </w:tblCellMar>
    </w:tblPr>
  </w:style>
  <w:style w:type="paragraph" w:styleId="2">
    <w:name w:val="footnote text"/>
    <w:basedOn w:val="1"/>
    <w:link w:val="171"/>
    <w:qFormat/>
    <w:uiPriority w:val="0"/>
    <w:pPr>
      <w:snapToGrid w:val="0"/>
      <w:jc w:val="left"/>
    </w:pPr>
    <w:rPr>
      <w:rFonts w:ascii="Times New Roman" w:hAnsi="Times New Roman" w:eastAsia="宋体" w:cs="Times New Roman"/>
      <w:sz w:val="18"/>
      <w:szCs w:val="18"/>
    </w:rPr>
  </w:style>
  <w:style w:type="paragraph" w:styleId="4">
    <w:name w:val="Title"/>
    <w:basedOn w:val="1"/>
    <w:next w:val="1"/>
    <w:link w:val="157"/>
    <w:qFormat/>
    <w:uiPriority w:val="0"/>
    <w:pPr>
      <w:spacing w:before="240" w:after="60"/>
      <w:jc w:val="center"/>
      <w:outlineLvl w:val="0"/>
    </w:pPr>
    <w:rPr>
      <w:rFonts w:ascii="Cambria" w:hAnsi="Cambria" w:cs="Times New Roman"/>
      <w:b/>
      <w:bCs/>
      <w:sz w:val="32"/>
      <w:szCs w:val="32"/>
    </w:rPr>
  </w:style>
  <w:style w:type="paragraph" w:styleId="9">
    <w:name w:val="toc 7"/>
    <w:basedOn w:val="1"/>
    <w:next w:val="1"/>
    <w:qFormat/>
    <w:uiPriority w:val="0"/>
    <w:pPr>
      <w:ind w:left="2520" w:leftChars="1200"/>
    </w:pPr>
    <w:rPr>
      <w:rFonts w:ascii="Times New Roman" w:hAnsi="Times New Roman" w:eastAsia="宋体" w:cs="Times New Roman"/>
      <w:szCs w:val="24"/>
    </w:rPr>
  </w:style>
  <w:style w:type="paragraph" w:styleId="10">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11">
    <w:name w:val="Normal Indent"/>
    <w:basedOn w:val="1"/>
    <w:link w:val="113"/>
    <w:qFormat/>
    <w:uiPriority w:val="0"/>
    <w:pPr>
      <w:ind w:firstLine="420" w:firstLineChars="200"/>
    </w:pPr>
    <w:rPr>
      <w:rFonts w:ascii="Times New Roman" w:hAnsi="Times New Roman" w:eastAsia="宋体" w:cs="Times New Roman"/>
      <w:kern w:val="0"/>
      <w:sz w:val="24"/>
      <w:szCs w:val="20"/>
    </w:rPr>
  </w:style>
  <w:style w:type="paragraph" w:styleId="12">
    <w:name w:val="Document Map"/>
    <w:basedOn w:val="1"/>
    <w:link w:val="131"/>
    <w:qFormat/>
    <w:uiPriority w:val="0"/>
    <w:rPr>
      <w:rFonts w:ascii="宋体" w:hAnsi="Calibri" w:eastAsia="宋体" w:cs="Times New Roman"/>
      <w:kern w:val="0"/>
      <w:sz w:val="18"/>
      <w:szCs w:val="20"/>
    </w:rPr>
  </w:style>
  <w:style w:type="paragraph" w:styleId="13">
    <w:name w:val="toa heading"/>
    <w:basedOn w:val="1"/>
    <w:next w:val="1"/>
    <w:unhideWhenUsed/>
    <w:qFormat/>
    <w:uiPriority w:val="0"/>
    <w:pPr>
      <w:spacing w:before="120"/>
    </w:pPr>
    <w:rPr>
      <w:rFonts w:ascii="Cambria" w:hAnsi="Cambria" w:eastAsia="宋体" w:cs="Times New Roman"/>
      <w:sz w:val="24"/>
    </w:rPr>
  </w:style>
  <w:style w:type="paragraph" w:styleId="14">
    <w:name w:val="annotation text"/>
    <w:basedOn w:val="1"/>
    <w:link w:val="159"/>
    <w:qFormat/>
    <w:uiPriority w:val="0"/>
    <w:pPr>
      <w:jc w:val="left"/>
    </w:pPr>
  </w:style>
  <w:style w:type="paragraph" w:styleId="15">
    <w:name w:val="Salutation"/>
    <w:basedOn w:val="1"/>
    <w:next w:val="1"/>
    <w:link w:val="220"/>
    <w:qFormat/>
    <w:uiPriority w:val="0"/>
    <w:rPr>
      <w:rFonts w:ascii="宋体" w:hAnsi="Times New Roman" w:eastAsia="宋体" w:cs="Times New Roman"/>
      <w:b/>
      <w:sz w:val="28"/>
      <w:szCs w:val="24"/>
    </w:rPr>
  </w:style>
  <w:style w:type="paragraph" w:styleId="16">
    <w:name w:val="Body Text"/>
    <w:basedOn w:val="1"/>
    <w:link w:val="134"/>
    <w:qFormat/>
    <w:uiPriority w:val="99"/>
    <w:pPr>
      <w:spacing w:after="120"/>
    </w:pPr>
    <w:rPr>
      <w:rFonts w:ascii="Calibri" w:hAnsi="Calibri" w:eastAsia="宋体" w:cs="Times New Roman"/>
      <w:kern w:val="0"/>
      <w:sz w:val="24"/>
      <w:szCs w:val="20"/>
    </w:rPr>
  </w:style>
  <w:style w:type="paragraph" w:styleId="17">
    <w:name w:val="Body Text Indent"/>
    <w:basedOn w:val="1"/>
    <w:link w:val="65"/>
    <w:qFormat/>
    <w:uiPriority w:val="0"/>
    <w:pPr>
      <w:widowControl/>
      <w:spacing w:after="120"/>
      <w:ind w:left="420"/>
    </w:pPr>
    <w:rPr>
      <w:rFonts w:ascii="??" w:hAnsi="??" w:eastAsia="宋体" w:cs="Arial"/>
      <w:kern w:val="0"/>
      <w:sz w:val="24"/>
      <w:szCs w:val="24"/>
    </w:rPr>
  </w:style>
  <w:style w:type="paragraph" w:styleId="18">
    <w:name w:val="toc 5"/>
    <w:basedOn w:val="1"/>
    <w:next w:val="1"/>
    <w:qFormat/>
    <w:uiPriority w:val="0"/>
    <w:pPr>
      <w:ind w:left="1680" w:leftChars="800"/>
    </w:pPr>
    <w:rPr>
      <w:rFonts w:ascii="Times New Roman" w:hAnsi="Times New Roman" w:eastAsia="宋体" w:cs="Times New Roman"/>
      <w:szCs w:val="24"/>
    </w:rPr>
  </w:style>
  <w:style w:type="paragraph" w:styleId="19">
    <w:name w:val="toc 3"/>
    <w:basedOn w:val="1"/>
    <w:next w:val="1"/>
    <w:qFormat/>
    <w:uiPriority w:val="39"/>
    <w:pPr>
      <w:ind w:left="840" w:leftChars="400"/>
    </w:pPr>
    <w:rPr>
      <w:rFonts w:ascii="Times New Roman" w:hAnsi="Times New Roman" w:eastAsia="宋体" w:cs="Times New Roman"/>
      <w:szCs w:val="24"/>
    </w:rPr>
  </w:style>
  <w:style w:type="paragraph" w:styleId="20">
    <w:name w:val="Plain Text"/>
    <w:basedOn w:val="1"/>
    <w:link w:val="197"/>
    <w:qFormat/>
    <w:uiPriority w:val="0"/>
    <w:rPr>
      <w:rFonts w:ascii="宋体" w:hAnsi="Courier New" w:eastAsia="宋体" w:cs="宋体"/>
      <w:szCs w:val="21"/>
    </w:rPr>
  </w:style>
  <w:style w:type="paragraph" w:styleId="21">
    <w:name w:val="toc 8"/>
    <w:basedOn w:val="1"/>
    <w:next w:val="1"/>
    <w:qFormat/>
    <w:uiPriority w:val="0"/>
    <w:pPr>
      <w:ind w:left="2940" w:leftChars="1400"/>
    </w:pPr>
    <w:rPr>
      <w:rFonts w:ascii="Times New Roman" w:hAnsi="Times New Roman" w:eastAsia="宋体" w:cs="Times New Roman"/>
      <w:szCs w:val="24"/>
    </w:rPr>
  </w:style>
  <w:style w:type="paragraph" w:styleId="22">
    <w:name w:val="Date"/>
    <w:basedOn w:val="1"/>
    <w:next w:val="1"/>
    <w:link w:val="154"/>
    <w:qFormat/>
    <w:uiPriority w:val="0"/>
    <w:rPr>
      <w:szCs w:val="21"/>
    </w:rPr>
  </w:style>
  <w:style w:type="paragraph" w:styleId="23">
    <w:name w:val="Body Text Indent 2"/>
    <w:basedOn w:val="1"/>
    <w:link w:val="127"/>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4">
    <w:name w:val="Balloon Text"/>
    <w:basedOn w:val="1"/>
    <w:link w:val="77"/>
    <w:qFormat/>
    <w:uiPriority w:val="0"/>
    <w:rPr>
      <w:rFonts w:ascii="Calibri" w:hAnsi="Calibri" w:eastAsia="宋体" w:cs="Times New Roman"/>
      <w:sz w:val="18"/>
      <w:szCs w:val="18"/>
    </w:rPr>
  </w:style>
  <w:style w:type="paragraph" w:styleId="25">
    <w:name w:val="footer"/>
    <w:basedOn w:val="1"/>
    <w:link w:val="64"/>
    <w:qFormat/>
    <w:uiPriority w:val="99"/>
    <w:pPr>
      <w:tabs>
        <w:tab w:val="center" w:pos="4153"/>
        <w:tab w:val="right" w:pos="8306"/>
      </w:tabs>
      <w:snapToGrid w:val="0"/>
      <w:jc w:val="left"/>
    </w:pPr>
    <w:rPr>
      <w:rFonts w:ascii="Calibri" w:hAnsi="Calibri" w:eastAsia="宋体" w:cs="Times New Roman"/>
      <w:sz w:val="18"/>
      <w:szCs w:val="18"/>
    </w:rPr>
  </w:style>
  <w:style w:type="paragraph" w:styleId="26">
    <w:name w:val="header"/>
    <w:basedOn w:val="1"/>
    <w:link w:val="63"/>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7">
    <w:name w:val="toc 1"/>
    <w:basedOn w:val="1"/>
    <w:next w:val="1"/>
    <w:qFormat/>
    <w:uiPriority w:val="39"/>
    <w:rPr>
      <w:rFonts w:ascii="Times New Roman" w:hAnsi="Times New Roman" w:eastAsia="宋体" w:cs="Times New Roman"/>
      <w:szCs w:val="24"/>
    </w:rPr>
  </w:style>
  <w:style w:type="paragraph" w:styleId="28">
    <w:name w:val="toc 4"/>
    <w:basedOn w:val="1"/>
    <w:next w:val="1"/>
    <w:qFormat/>
    <w:uiPriority w:val="0"/>
    <w:pPr>
      <w:ind w:left="1260" w:leftChars="600"/>
    </w:pPr>
    <w:rPr>
      <w:rFonts w:ascii="Times New Roman" w:hAnsi="Times New Roman" w:eastAsia="宋体" w:cs="Times New Roman"/>
      <w:szCs w:val="24"/>
    </w:rPr>
  </w:style>
  <w:style w:type="paragraph" w:styleId="29">
    <w:name w:val="Subtitle"/>
    <w:basedOn w:val="1"/>
    <w:next w:val="1"/>
    <w:link w:val="221"/>
    <w:qFormat/>
    <w:uiPriority w:val="11"/>
    <w:pPr>
      <w:spacing w:before="240" w:after="60" w:line="312" w:lineRule="auto"/>
      <w:jc w:val="center"/>
      <w:outlineLvl w:val="1"/>
    </w:pPr>
    <w:rPr>
      <w:rFonts w:ascii="Cambria" w:hAnsi="Cambria" w:eastAsia="仿宋" w:cs="Times New Roman"/>
      <w:b/>
      <w:bCs/>
      <w:kern w:val="28"/>
      <w:sz w:val="32"/>
      <w:szCs w:val="32"/>
    </w:rPr>
  </w:style>
  <w:style w:type="paragraph" w:styleId="30">
    <w:name w:val="toc 6"/>
    <w:basedOn w:val="1"/>
    <w:next w:val="1"/>
    <w:qFormat/>
    <w:uiPriority w:val="0"/>
    <w:pPr>
      <w:ind w:left="2100" w:leftChars="1000"/>
    </w:pPr>
    <w:rPr>
      <w:rFonts w:ascii="Times New Roman" w:hAnsi="Times New Roman" w:eastAsia="宋体" w:cs="Times New Roman"/>
      <w:szCs w:val="24"/>
    </w:rPr>
  </w:style>
  <w:style w:type="paragraph" w:styleId="31">
    <w:name w:val="Body Text Indent 3"/>
    <w:basedOn w:val="1"/>
    <w:link w:val="129"/>
    <w:qFormat/>
    <w:uiPriority w:val="99"/>
    <w:pPr>
      <w:spacing w:line="440" w:lineRule="exact"/>
      <w:ind w:firstLine="412" w:firstLineChars="200"/>
    </w:pPr>
    <w:rPr>
      <w:rFonts w:ascii="宋体" w:hAnsi="Calibri" w:eastAsia="宋体" w:cs="Times New Roman"/>
      <w:kern w:val="0"/>
      <w:sz w:val="20"/>
      <w:szCs w:val="20"/>
    </w:rPr>
  </w:style>
  <w:style w:type="paragraph" w:styleId="32">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33">
    <w:name w:val="toc 2"/>
    <w:basedOn w:val="1"/>
    <w:next w:val="1"/>
    <w:qFormat/>
    <w:uiPriority w:val="39"/>
    <w:pPr>
      <w:ind w:left="420" w:leftChars="200"/>
    </w:pPr>
    <w:rPr>
      <w:rFonts w:ascii="Times New Roman" w:hAnsi="Times New Roman" w:eastAsia="宋体" w:cs="Times New Roman"/>
      <w:szCs w:val="24"/>
    </w:rPr>
  </w:style>
  <w:style w:type="paragraph" w:styleId="34">
    <w:name w:val="toc 9"/>
    <w:basedOn w:val="1"/>
    <w:next w:val="1"/>
    <w:qFormat/>
    <w:uiPriority w:val="0"/>
    <w:pPr>
      <w:ind w:left="3360" w:leftChars="1600"/>
    </w:pPr>
    <w:rPr>
      <w:rFonts w:ascii="Times New Roman" w:hAnsi="Times New Roman" w:eastAsia="宋体" w:cs="Times New Roman"/>
      <w:szCs w:val="24"/>
    </w:rPr>
  </w:style>
  <w:style w:type="paragraph" w:styleId="35">
    <w:name w:val="Body Text 2"/>
    <w:basedOn w:val="1"/>
    <w:link w:val="204"/>
    <w:unhideWhenUsed/>
    <w:qFormat/>
    <w:uiPriority w:val="99"/>
    <w:pPr>
      <w:spacing w:after="120" w:line="480" w:lineRule="auto"/>
    </w:pPr>
  </w:style>
  <w:style w:type="paragraph" w:styleId="36">
    <w:name w:val="List Continue 2"/>
    <w:basedOn w:val="1"/>
    <w:qFormat/>
    <w:uiPriority w:val="99"/>
    <w:pPr>
      <w:spacing w:after="120"/>
      <w:ind w:left="840" w:leftChars="400"/>
    </w:pPr>
    <w:rPr>
      <w:rFonts w:ascii="Times New Roman" w:hAnsi="Times New Roman" w:eastAsia="宋体" w:cs="Times New Roman"/>
      <w:szCs w:val="24"/>
    </w:rPr>
  </w:style>
  <w:style w:type="paragraph" w:styleId="37">
    <w:name w:val="HTML Preformatted"/>
    <w:basedOn w:val="1"/>
    <w:link w:val="209"/>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cs="Arial"/>
      <w:kern w:val="0"/>
      <w:sz w:val="28"/>
      <w:szCs w:val="28"/>
    </w:rPr>
  </w:style>
  <w:style w:type="paragraph" w:styleId="38">
    <w:name w:val="Normal (Web)"/>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39">
    <w:name w:val="index 1"/>
    <w:basedOn w:val="1"/>
    <w:next w:val="1"/>
    <w:qFormat/>
    <w:uiPriority w:val="0"/>
    <w:pPr>
      <w:adjustRightInd w:val="0"/>
      <w:snapToGrid w:val="0"/>
      <w:spacing w:line="300" w:lineRule="exact"/>
    </w:pPr>
    <w:rPr>
      <w:rFonts w:ascii="宋体" w:hAnsi="宋体" w:eastAsia="宋体" w:cs="Times New Roman"/>
      <w:bCs/>
      <w:sz w:val="20"/>
      <w:szCs w:val="21"/>
    </w:rPr>
  </w:style>
  <w:style w:type="paragraph" w:styleId="40">
    <w:name w:val="annotation subject"/>
    <w:basedOn w:val="14"/>
    <w:next w:val="14"/>
    <w:link w:val="164"/>
    <w:qFormat/>
    <w:uiPriority w:val="0"/>
    <w:rPr>
      <w:b/>
      <w:bCs/>
    </w:rPr>
  </w:style>
  <w:style w:type="paragraph" w:styleId="41">
    <w:name w:val="Body Text First Indent"/>
    <w:basedOn w:val="16"/>
    <w:link w:val="222"/>
    <w:qFormat/>
    <w:uiPriority w:val="0"/>
    <w:pPr>
      <w:autoSpaceDE w:val="0"/>
      <w:autoSpaceDN w:val="0"/>
      <w:adjustRightInd w:val="0"/>
      <w:spacing w:line="360" w:lineRule="auto"/>
      <w:ind w:firstLine="420" w:firstLineChars="200"/>
    </w:pPr>
    <w:rPr>
      <w:rFonts w:ascii="Arial" w:hAnsi="Arial"/>
      <w:sz w:val="20"/>
      <w:szCs w:val="21"/>
    </w:rPr>
  </w:style>
  <w:style w:type="paragraph" w:styleId="42">
    <w:name w:val="Body Text First Indent 2"/>
    <w:basedOn w:val="17"/>
    <w:next w:val="1"/>
    <w:link w:val="201"/>
    <w:unhideWhenUsed/>
    <w:qFormat/>
    <w:uiPriority w:val="99"/>
    <w:pPr>
      <w:widowControl w:val="0"/>
      <w:ind w:left="200" w:leftChars="200" w:firstLine="420" w:firstLineChars="200"/>
    </w:pPr>
    <w:rPr>
      <w:rFonts w:asciiTheme="minorHAnsi" w:hAnsiTheme="minorHAnsi" w:eastAsiaTheme="minorEastAsia" w:cstheme="minorBidi"/>
      <w:kern w:val="2"/>
      <w:sz w:val="21"/>
      <w:szCs w:val="22"/>
    </w:rPr>
  </w:style>
  <w:style w:type="table" w:styleId="44">
    <w:name w:val="Table Grid"/>
    <w:basedOn w:val="43"/>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6">
    <w:name w:val="Strong"/>
    <w:basedOn w:val="45"/>
    <w:qFormat/>
    <w:uiPriority w:val="22"/>
    <w:rPr>
      <w:rFonts w:cs="Times New Roman"/>
      <w:b/>
    </w:rPr>
  </w:style>
  <w:style w:type="character" w:styleId="47">
    <w:name w:val="page number"/>
    <w:basedOn w:val="45"/>
    <w:qFormat/>
    <w:uiPriority w:val="0"/>
    <w:rPr>
      <w:rFonts w:cs="Times New Roman"/>
    </w:rPr>
  </w:style>
  <w:style w:type="character" w:styleId="48">
    <w:name w:val="FollowedHyperlink"/>
    <w:basedOn w:val="45"/>
    <w:qFormat/>
    <w:uiPriority w:val="99"/>
    <w:rPr>
      <w:rFonts w:cs="Times New Roman"/>
      <w:color w:val="555555"/>
      <w:u w:val="none"/>
    </w:rPr>
  </w:style>
  <w:style w:type="character" w:styleId="49">
    <w:name w:val="Emphasis"/>
    <w:basedOn w:val="45"/>
    <w:qFormat/>
    <w:uiPriority w:val="0"/>
    <w:rPr>
      <w:rFonts w:cs="Times New Roman"/>
      <w:i/>
    </w:rPr>
  </w:style>
  <w:style w:type="character" w:styleId="50">
    <w:name w:val="HTML Definition"/>
    <w:basedOn w:val="45"/>
    <w:qFormat/>
    <w:uiPriority w:val="99"/>
    <w:rPr>
      <w:rFonts w:cs="Times New Roman"/>
    </w:rPr>
  </w:style>
  <w:style w:type="character" w:styleId="51">
    <w:name w:val="HTML Acronym"/>
    <w:basedOn w:val="45"/>
    <w:qFormat/>
    <w:uiPriority w:val="99"/>
    <w:rPr>
      <w:rFonts w:cs="Times New Roman"/>
    </w:rPr>
  </w:style>
  <w:style w:type="character" w:styleId="52">
    <w:name w:val="HTML Variable"/>
    <w:basedOn w:val="45"/>
    <w:qFormat/>
    <w:uiPriority w:val="99"/>
    <w:rPr>
      <w:rFonts w:cs="Times New Roman"/>
    </w:rPr>
  </w:style>
  <w:style w:type="character" w:styleId="53">
    <w:name w:val="Hyperlink"/>
    <w:basedOn w:val="45"/>
    <w:qFormat/>
    <w:uiPriority w:val="99"/>
    <w:rPr>
      <w:rFonts w:cs="Times New Roman"/>
      <w:color w:val="555555"/>
      <w:u w:val="none"/>
    </w:rPr>
  </w:style>
  <w:style w:type="character" w:styleId="54">
    <w:name w:val="HTML Code"/>
    <w:basedOn w:val="45"/>
    <w:qFormat/>
    <w:uiPriority w:val="99"/>
    <w:rPr>
      <w:rFonts w:ascii="monospace" w:hAnsi="monospace" w:cs="Times New Roman"/>
      <w:sz w:val="24"/>
    </w:rPr>
  </w:style>
  <w:style w:type="character" w:styleId="55">
    <w:name w:val="annotation reference"/>
    <w:qFormat/>
    <w:uiPriority w:val="0"/>
    <w:rPr>
      <w:sz w:val="21"/>
      <w:szCs w:val="21"/>
    </w:rPr>
  </w:style>
  <w:style w:type="character" w:styleId="56">
    <w:name w:val="HTML Cite"/>
    <w:basedOn w:val="45"/>
    <w:qFormat/>
    <w:uiPriority w:val="99"/>
    <w:rPr>
      <w:rFonts w:cs="Times New Roman"/>
    </w:rPr>
  </w:style>
  <w:style w:type="character" w:styleId="57">
    <w:name w:val="footnote reference"/>
    <w:semiHidden/>
    <w:qFormat/>
    <w:uiPriority w:val="0"/>
    <w:rPr>
      <w:vertAlign w:val="superscript"/>
    </w:rPr>
  </w:style>
  <w:style w:type="character" w:styleId="58">
    <w:name w:val="HTML Keyboard"/>
    <w:basedOn w:val="45"/>
    <w:qFormat/>
    <w:uiPriority w:val="99"/>
    <w:rPr>
      <w:rFonts w:ascii="monospace" w:hAnsi="monospace" w:cs="Times New Roman"/>
      <w:sz w:val="24"/>
    </w:rPr>
  </w:style>
  <w:style w:type="character" w:styleId="59">
    <w:name w:val="HTML Sample"/>
    <w:basedOn w:val="45"/>
    <w:qFormat/>
    <w:uiPriority w:val="99"/>
    <w:rPr>
      <w:rFonts w:ascii="monospace" w:hAnsi="monospace" w:cs="Times New Roman"/>
      <w:sz w:val="24"/>
    </w:rPr>
  </w:style>
  <w:style w:type="character" w:customStyle="1" w:styleId="60">
    <w:name w:val="标题 1 Char"/>
    <w:basedOn w:val="45"/>
    <w:link w:val="3"/>
    <w:qFormat/>
    <w:uiPriority w:val="9"/>
    <w:rPr>
      <w:rFonts w:ascii="???" w:hAnsi="???" w:eastAsia="宋体" w:cs="Arial"/>
      <w:b/>
      <w:bCs/>
      <w:color w:val="020000"/>
      <w:kern w:val="36"/>
      <w:sz w:val="44"/>
      <w:szCs w:val="44"/>
    </w:rPr>
  </w:style>
  <w:style w:type="character" w:customStyle="1" w:styleId="61">
    <w:name w:val="标题 2 Char"/>
    <w:basedOn w:val="45"/>
    <w:link w:val="5"/>
    <w:qFormat/>
    <w:uiPriority w:val="99"/>
    <w:rPr>
      <w:rFonts w:ascii="???" w:hAnsi="???" w:eastAsia="宋体" w:cs="Arial"/>
      <w:b/>
      <w:bCs/>
      <w:color w:val="020000"/>
      <w:kern w:val="0"/>
      <w:sz w:val="32"/>
      <w:szCs w:val="32"/>
    </w:rPr>
  </w:style>
  <w:style w:type="character" w:customStyle="1" w:styleId="62">
    <w:name w:val="标题 3 Char"/>
    <w:basedOn w:val="45"/>
    <w:link w:val="6"/>
    <w:qFormat/>
    <w:uiPriority w:val="99"/>
    <w:rPr>
      <w:rFonts w:ascii="??" w:hAnsi="??" w:eastAsia="宋体" w:cs="Arial"/>
      <w:b/>
      <w:bCs/>
      <w:color w:val="000000"/>
      <w:kern w:val="0"/>
      <w:sz w:val="32"/>
      <w:szCs w:val="32"/>
    </w:rPr>
  </w:style>
  <w:style w:type="character" w:customStyle="1" w:styleId="63">
    <w:name w:val="页眉 Char"/>
    <w:basedOn w:val="45"/>
    <w:link w:val="26"/>
    <w:qFormat/>
    <w:uiPriority w:val="99"/>
    <w:rPr>
      <w:rFonts w:ascii="Calibri" w:hAnsi="Calibri" w:eastAsia="宋体" w:cs="Times New Roman"/>
      <w:sz w:val="18"/>
      <w:szCs w:val="18"/>
    </w:rPr>
  </w:style>
  <w:style w:type="character" w:customStyle="1" w:styleId="64">
    <w:name w:val="页脚 Char"/>
    <w:basedOn w:val="45"/>
    <w:link w:val="25"/>
    <w:qFormat/>
    <w:uiPriority w:val="99"/>
    <w:rPr>
      <w:rFonts w:ascii="Calibri" w:hAnsi="Calibri" w:eastAsia="宋体" w:cs="Times New Roman"/>
      <w:sz w:val="18"/>
      <w:szCs w:val="18"/>
    </w:rPr>
  </w:style>
  <w:style w:type="character" w:customStyle="1" w:styleId="65">
    <w:name w:val="正文文本缩进 Char"/>
    <w:basedOn w:val="45"/>
    <w:link w:val="17"/>
    <w:qFormat/>
    <w:uiPriority w:val="0"/>
    <w:rPr>
      <w:rFonts w:ascii="??" w:hAnsi="??" w:eastAsia="宋体" w:cs="Arial"/>
      <w:kern w:val="0"/>
      <w:sz w:val="24"/>
      <w:szCs w:val="24"/>
    </w:rPr>
  </w:style>
  <w:style w:type="paragraph" w:customStyle="1" w:styleId="66">
    <w:name w:val="列出段落1"/>
    <w:basedOn w:val="1"/>
    <w:link w:val="207"/>
    <w:qFormat/>
    <w:uiPriority w:val="0"/>
    <w:pPr>
      <w:ind w:firstLine="420" w:firstLineChars="200"/>
    </w:pPr>
    <w:rPr>
      <w:rFonts w:ascii="Calibri" w:hAnsi="Calibri" w:eastAsia="宋体" w:cs="Times New Roman"/>
    </w:rPr>
  </w:style>
  <w:style w:type="character" w:customStyle="1" w:styleId="67">
    <w:name w:val="标题 2 Char Char"/>
    <w:qFormat/>
    <w:uiPriority w:val="99"/>
    <w:rPr>
      <w:rFonts w:ascii="Arial" w:hAnsi="Arial" w:eastAsia="黑体"/>
      <w:b/>
      <w:kern w:val="2"/>
      <w:sz w:val="32"/>
      <w:lang w:val="en-US" w:eastAsia="zh-CN"/>
    </w:rPr>
  </w:style>
  <w:style w:type="character" w:customStyle="1" w:styleId="68">
    <w:name w:val="2charchar"/>
    <w:basedOn w:val="45"/>
    <w:qFormat/>
    <w:uiPriority w:val="99"/>
    <w:rPr>
      <w:rFonts w:cs="Times New Roman"/>
    </w:rPr>
  </w:style>
  <w:style w:type="paragraph" w:customStyle="1" w:styleId="69">
    <w:name w:val="表格文字"/>
    <w:basedOn w:val="1"/>
    <w:qFormat/>
    <w:uiPriority w:val="0"/>
    <w:pPr>
      <w:adjustRightInd w:val="0"/>
      <w:spacing w:line="420" w:lineRule="atLeast"/>
      <w:jc w:val="left"/>
    </w:pPr>
    <w:rPr>
      <w:rFonts w:ascii="Times New Roman" w:hAnsi="Times New Roman" w:eastAsia="宋体" w:cs="Times New Roman"/>
      <w:kern w:val="0"/>
      <w:szCs w:val="20"/>
    </w:rPr>
  </w:style>
  <w:style w:type="paragraph" w:customStyle="1" w:styleId="70">
    <w:name w:val="z-窗体顶端1"/>
    <w:basedOn w:val="1"/>
    <w:next w:val="1"/>
    <w:link w:val="71"/>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71">
    <w:name w:val="z-窗体顶端 Char"/>
    <w:basedOn w:val="45"/>
    <w:link w:val="70"/>
    <w:semiHidden/>
    <w:qFormat/>
    <w:uiPriority w:val="99"/>
    <w:rPr>
      <w:rFonts w:ascii="Arial" w:hAnsi="Arial" w:eastAsia="宋体" w:cs="Arial"/>
      <w:vanish/>
      <w:kern w:val="0"/>
      <w:sz w:val="16"/>
      <w:szCs w:val="16"/>
    </w:rPr>
  </w:style>
  <w:style w:type="paragraph" w:customStyle="1" w:styleId="72">
    <w:name w:val="z-窗体底端1"/>
    <w:basedOn w:val="1"/>
    <w:next w:val="1"/>
    <w:link w:val="73"/>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73">
    <w:name w:val="z-窗体底端 Char"/>
    <w:basedOn w:val="45"/>
    <w:link w:val="72"/>
    <w:semiHidden/>
    <w:qFormat/>
    <w:uiPriority w:val="99"/>
    <w:rPr>
      <w:rFonts w:ascii="Arial" w:hAnsi="Arial" w:eastAsia="宋体" w:cs="Arial"/>
      <w:vanish/>
      <w:kern w:val="0"/>
      <w:sz w:val="16"/>
      <w:szCs w:val="16"/>
    </w:rPr>
  </w:style>
  <w:style w:type="paragraph" w:customStyle="1" w:styleId="74">
    <w:name w:val="hu正文"/>
    <w:basedOn w:val="1"/>
    <w:link w:val="75"/>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75">
    <w:name w:val="hu正文 Char"/>
    <w:link w:val="74"/>
    <w:qFormat/>
    <w:locked/>
    <w:uiPriority w:val="99"/>
    <w:rPr>
      <w:rFonts w:ascii="Times New Roman" w:hAnsi="Times New Roman" w:eastAsia="宋体" w:cs="Times New Roman"/>
      <w:kern w:val="0"/>
      <w:sz w:val="24"/>
      <w:szCs w:val="20"/>
    </w:rPr>
  </w:style>
  <w:style w:type="paragraph" w:customStyle="1" w:styleId="76">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7">
    <w:name w:val="批注框文本 Char"/>
    <w:basedOn w:val="45"/>
    <w:link w:val="24"/>
    <w:qFormat/>
    <w:uiPriority w:val="0"/>
    <w:rPr>
      <w:rFonts w:ascii="Calibri" w:hAnsi="Calibri" w:eastAsia="宋体" w:cs="Times New Roman"/>
      <w:sz w:val="18"/>
      <w:szCs w:val="18"/>
    </w:rPr>
  </w:style>
  <w:style w:type="character" w:customStyle="1" w:styleId="78">
    <w:name w:val="ui-bz-bg-hover1"/>
    <w:basedOn w:val="45"/>
    <w:qFormat/>
    <w:uiPriority w:val="99"/>
    <w:rPr>
      <w:rFonts w:cs="Times New Roman"/>
    </w:rPr>
  </w:style>
  <w:style w:type="character" w:customStyle="1" w:styleId="79">
    <w:name w:val="批注框文本 Char1"/>
    <w:qFormat/>
    <w:uiPriority w:val="99"/>
    <w:rPr>
      <w:rFonts w:ascii="Times New Roman" w:hAnsi="Times New Roman" w:eastAsia="宋体"/>
      <w:sz w:val="18"/>
    </w:rPr>
  </w:style>
  <w:style w:type="character" w:customStyle="1" w:styleId="80">
    <w:name w:val="bds_nopic"/>
    <w:basedOn w:val="45"/>
    <w:qFormat/>
    <w:uiPriority w:val="99"/>
    <w:rPr>
      <w:rFonts w:cs="Times New Roman"/>
    </w:rPr>
  </w:style>
  <w:style w:type="character" w:customStyle="1" w:styleId="81">
    <w:name w:val="tip12"/>
    <w:qFormat/>
    <w:uiPriority w:val="99"/>
    <w:rPr>
      <w:vanish/>
      <w:color w:val="FF0000"/>
      <w:sz w:val="18"/>
    </w:rPr>
  </w:style>
  <w:style w:type="character" w:customStyle="1" w:styleId="82">
    <w:name w:val="Body Text Indent 3 Char"/>
    <w:qFormat/>
    <w:locked/>
    <w:uiPriority w:val="99"/>
    <w:rPr>
      <w:rFonts w:ascii="宋体" w:eastAsia="宋体"/>
    </w:rPr>
  </w:style>
  <w:style w:type="character" w:customStyle="1" w:styleId="83">
    <w:name w:val="HTML Markup"/>
    <w:qFormat/>
    <w:uiPriority w:val="99"/>
    <w:rPr>
      <w:vanish/>
      <w:color w:val="FF0000"/>
    </w:rPr>
  </w:style>
  <w:style w:type="character" w:customStyle="1" w:styleId="84">
    <w:name w:val="tip7"/>
    <w:qFormat/>
    <w:uiPriority w:val="99"/>
    <w:rPr>
      <w:vanish/>
      <w:color w:val="FF0000"/>
      <w:sz w:val="18"/>
    </w:rPr>
  </w:style>
  <w:style w:type="character" w:customStyle="1" w:styleId="85">
    <w:name w:val="f-star"/>
    <w:qFormat/>
    <w:uiPriority w:val="99"/>
    <w:rPr>
      <w:color w:val="999999"/>
      <w:sz w:val="21"/>
    </w:rPr>
  </w:style>
  <w:style w:type="character" w:customStyle="1" w:styleId="86">
    <w:name w:val="Document Map Char1"/>
    <w:qFormat/>
    <w:uiPriority w:val="99"/>
    <w:rPr>
      <w:rFonts w:ascii="Times New Roman" w:hAnsi="Times New Roman"/>
      <w:kern w:val="2"/>
      <w:sz w:val="2"/>
    </w:rPr>
  </w:style>
  <w:style w:type="character" w:customStyle="1" w:styleId="87">
    <w:name w:val="my-class2"/>
    <w:basedOn w:val="45"/>
    <w:qFormat/>
    <w:uiPriority w:val="99"/>
    <w:rPr>
      <w:rFonts w:cs="Times New Roman"/>
    </w:rPr>
  </w:style>
  <w:style w:type="character" w:customStyle="1" w:styleId="88">
    <w:name w:val="no52"/>
    <w:basedOn w:val="45"/>
    <w:qFormat/>
    <w:uiPriority w:val="99"/>
    <w:rPr>
      <w:rFonts w:cs="Times New Roman"/>
    </w:rPr>
  </w:style>
  <w:style w:type="character" w:customStyle="1" w:styleId="89">
    <w:name w:val="no4"/>
    <w:basedOn w:val="45"/>
    <w:qFormat/>
    <w:uiPriority w:val="99"/>
    <w:rPr>
      <w:rFonts w:cs="Times New Roman"/>
    </w:rPr>
  </w:style>
  <w:style w:type="character" w:customStyle="1" w:styleId="90">
    <w:name w:val="my-notice"/>
    <w:basedOn w:val="45"/>
    <w:qFormat/>
    <w:uiPriority w:val="99"/>
    <w:rPr>
      <w:rFonts w:cs="Times New Roman"/>
    </w:rPr>
  </w:style>
  <w:style w:type="character" w:customStyle="1" w:styleId="91">
    <w:name w:val="ico-jiang"/>
    <w:basedOn w:val="45"/>
    <w:qFormat/>
    <w:uiPriority w:val="99"/>
    <w:rPr>
      <w:rFonts w:cs="Times New Roman"/>
    </w:rPr>
  </w:style>
  <w:style w:type="character" w:customStyle="1" w:styleId="92">
    <w:name w:val="ico-jiang2"/>
    <w:basedOn w:val="45"/>
    <w:qFormat/>
    <w:uiPriority w:val="99"/>
    <w:rPr>
      <w:rFonts w:cs="Times New Roman"/>
    </w:rPr>
  </w:style>
  <w:style w:type="character" w:customStyle="1" w:styleId="93">
    <w:name w:val="bds_more1"/>
    <w:qFormat/>
    <w:uiPriority w:val="99"/>
    <w:rPr>
      <w:rFonts w:ascii="宋体" w:hAnsi="宋体" w:eastAsia="宋体"/>
    </w:rPr>
  </w:style>
  <w:style w:type="character" w:customStyle="1" w:styleId="94">
    <w:name w:val="Body Text Indent 2 Char"/>
    <w:qFormat/>
    <w:locked/>
    <w:uiPriority w:val="99"/>
    <w:rPr>
      <w:rFonts w:ascii="宋体" w:eastAsia="宋体"/>
      <w:sz w:val="24"/>
    </w:rPr>
  </w:style>
  <w:style w:type="character" w:customStyle="1" w:styleId="95">
    <w:name w:val="org_name"/>
    <w:basedOn w:val="45"/>
    <w:qFormat/>
    <w:uiPriority w:val="99"/>
    <w:rPr>
      <w:rFonts w:cs="Times New Roman"/>
    </w:rPr>
  </w:style>
  <w:style w:type="character" w:customStyle="1" w:styleId="96">
    <w:name w:val="org_name2"/>
    <w:basedOn w:val="45"/>
    <w:qFormat/>
    <w:uiPriority w:val="99"/>
    <w:rPr>
      <w:rFonts w:cs="Times New Roman"/>
    </w:rPr>
  </w:style>
  <w:style w:type="character" w:customStyle="1" w:styleId="97">
    <w:name w:val="tip10"/>
    <w:qFormat/>
    <w:uiPriority w:val="99"/>
    <w:rPr>
      <w:vanish/>
      <w:color w:val="FF0000"/>
      <w:sz w:val="18"/>
    </w:rPr>
  </w:style>
  <w:style w:type="character" w:customStyle="1" w:styleId="98">
    <w:name w:val="orange"/>
    <w:qFormat/>
    <w:uiPriority w:val="99"/>
    <w:rPr>
      <w:color w:val="3FB58F"/>
    </w:rPr>
  </w:style>
  <w:style w:type="character" w:customStyle="1" w:styleId="99">
    <w:name w:val="bds_more"/>
    <w:basedOn w:val="45"/>
    <w:qFormat/>
    <w:uiPriority w:val="99"/>
    <w:rPr>
      <w:rFonts w:cs="Times New Roman"/>
    </w:rPr>
  </w:style>
  <w:style w:type="character" w:customStyle="1" w:styleId="100">
    <w:name w:val="t-tag"/>
    <w:qFormat/>
    <w:uiPriority w:val="99"/>
    <w:rPr>
      <w:color w:val="FFFFFF"/>
      <w:sz w:val="18"/>
      <w:shd w:val="clear" w:color="auto" w:fill="FE8833"/>
    </w:rPr>
  </w:style>
  <w:style w:type="character" w:customStyle="1" w:styleId="101">
    <w:name w:val="top-icon"/>
    <w:basedOn w:val="45"/>
    <w:qFormat/>
    <w:uiPriority w:val="99"/>
    <w:rPr>
      <w:rFonts w:cs="Times New Roman"/>
    </w:rPr>
  </w:style>
  <w:style w:type="character" w:customStyle="1" w:styleId="102">
    <w:name w:val="Body Text Char"/>
    <w:qFormat/>
    <w:locked/>
    <w:uiPriority w:val="99"/>
    <w:rPr>
      <w:sz w:val="24"/>
    </w:rPr>
  </w:style>
  <w:style w:type="character" w:customStyle="1" w:styleId="103">
    <w:name w:val="no72"/>
    <w:basedOn w:val="45"/>
    <w:qFormat/>
    <w:uiPriority w:val="99"/>
    <w:rPr>
      <w:rFonts w:cs="Times New Roman"/>
    </w:rPr>
  </w:style>
  <w:style w:type="character" w:customStyle="1" w:styleId="104">
    <w:name w:val="bds_nopic2"/>
    <w:basedOn w:val="45"/>
    <w:qFormat/>
    <w:uiPriority w:val="99"/>
    <w:rPr>
      <w:rFonts w:cs="Times New Roman"/>
    </w:rPr>
  </w:style>
  <w:style w:type="character" w:customStyle="1" w:styleId="105">
    <w:name w:val="Document Map Char"/>
    <w:qFormat/>
    <w:uiPriority w:val="99"/>
    <w:rPr>
      <w:rFonts w:ascii="宋体"/>
      <w:sz w:val="18"/>
    </w:rPr>
  </w:style>
  <w:style w:type="character" w:customStyle="1" w:styleId="106">
    <w:name w:val="no6"/>
    <w:basedOn w:val="45"/>
    <w:qFormat/>
    <w:uiPriority w:val="99"/>
    <w:rPr>
      <w:rFonts w:cs="Times New Roman"/>
    </w:rPr>
  </w:style>
  <w:style w:type="character" w:customStyle="1" w:styleId="107">
    <w:name w:val="tip"/>
    <w:qFormat/>
    <w:uiPriority w:val="99"/>
    <w:rPr>
      <w:vanish/>
      <w:color w:val="FF0000"/>
      <w:sz w:val="18"/>
    </w:rPr>
  </w:style>
  <w:style w:type="character" w:customStyle="1" w:styleId="108">
    <w:name w:val="apple-converted-space"/>
    <w:basedOn w:val="45"/>
    <w:qFormat/>
    <w:uiPriority w:val="99"/>
    <w:rPr>
      <w:rFonts w:cs="Times New Roman"/>
    </w:rPr>
  </w:style>
  <w:style w:type="character" w:customStyle="1" w:styleId="109">
    <w:name w:val="bds_more2"/>
    <w:basedOn w:val="45"/>
    <w:qFormat/>
    <w:uiPriority w:val="99"/>
    <w:rPr>
      <w:rFonts w:cs="Times New Roman"/>
    </w:rPr>
  </w:style>
  <w:style w:type="character" w:customStyle="1" w:styleId="110">
    <w:name w:val="my-class"/>
    <w:basedOn w:val="45"/>
    <w:qFormat/>
    <w:uiPriority w:val="99"/>
    <w:rPr>
      <w:rFonts w:cs="Times New Roman"/>
    </w:rPr>
  </w:style>
  <w:style w:type="character" w:customStyle="1" w:styleId="111">
    <w:name w:val="ui-bz-bg-hover"/>
    <w:qFormat/>
    <w:uiPriority w:val="99"/>
    <w:rPr>
      <w:shd w:val="clear" w:color="auto" w:fill="000000"/>
    </w:rPr>
  </w:style>
  <w:style w:type="character" w:customStyle="1" w:styleId="112">
    <w:name w:val="no7"/>
    <w:basedOn w:val="45"/>
    <w:qFormat/>
    <w:uiPriority w:val="99"/>
    <w:rPr>
      <w:rFonts w:cs="Times New Roman"/>
    </w:rPr>
  </w:style>
  <w:style w:type="character" w:customStyle="1" w:styleId="113">
    <w:name w:val="正文缩进 Char"/>
    <w:link w:val="11"/>
    <w:qFormat/>
    <w:locked/>
    <w:uiPriority w:val="0"/>
    <w:rPr>
      <w:rFonts w:ascii="Times New Roman" w:hAnsi="Times New Roman" w:eastAsia="宋体" w:cs="Times New Roman"/>
      <w:kern w:val="0"/>
      <w:sz w:val="24"/>
      <w:szCs w:val="20"/>
    </w:rPr>
  </w:style>
  <w:style w:type="character" w:customStyle="1" w:styleId="114">
    <w:name w:val="ico-jiang1"/>
    <w:basedOn w:val="45"/>
    <w:qFormat/>
    <w:uiPriority w:val="99"/>
    <w:rPr>
      <w:rFonts w:cs="Times New Roman"/>
    </w:rPr>
  </w:style>
  <w:style w:type="character" w:customStyle="1" w:styleId="115">
    <w:name w:val="no62"/>
    <w:basedOn w:val="45"/>
    <w:qFormat/>
    <w:uiPriority w:val="99"/>
    <w:rPr>
      <w:rFonts w:cs="Times New Roman"/>
    </w:rPr>
  </w:style>
  <w:style w:type="character" w:customStyle="1" w:styleId="116">
    <w:name w:val="orange5"/>
    <w:qFormat/>
    <w:uiPriority w:val="99"/>
    <w:rPr>
      <w:color w:val="3FB58F"/>
    </w:rPr>
  </w:style>
  <w:style w:type="character" w:customStyle="1" w:styleId="117">
    <w:name w:val="bds_more4"/>
    <w:basedOn w:val="45"/>
    <w:qFormat/>
    <w:uiPriority w:val="99"/>
    <w:rPr>
      <w:rFonts w:cs="Times New Roman"/>
    </w:rPr>
  </w:style>
  <w:style w:type="character" w:customStyle="1" w:styleId="118">
    <w:name w:val="no5"/>
    <w:basedOn w:val="45"/>
    <w:qFormat/>
    <w:uiPriority w:val="99"/>
    <w:rPr>
      <w:rFonts w:cs="Times New Roman"/>
    </w:rPr>
  </w:style>
  <w:style w:type="character" w:customStyle="1" w:styleId="119">
    <w:name w:val="bds_more3"/>
    <w:basedOn w:val="45"/>
    <w:qFormat/>
    <w:uiPriority w:val="99"/>
    <w:rPr>
      <w:rFonts w:cs="Times New Roman"/>
    </w:rPr>
  </w:style>
  <w:style w:type="character" w:customStyle="1" w:styleId="120">
    <w:name w:val="no42"/>
    <w:basedOn w:val="45"/>
    <w:qFormat/>
    <w:uiPriority w:val="99"/>
    <w:rPr>
      <w:rFonts w:cs="Times New Roman"/>
    </w:rPr>
  </w:style>
  <w:style w:type="character" w:customStyle="1" w:styleId="121">
    <w:name w:val="bds_nopic1"/>
    <w:basedOn w:val="45"/>
    <w:qFormat/>
    <w:uiPriority w:val="99"/>
    <w:rPr>
      <w:rFonts w:cs="Times New Roman"/>
    </w:rPr>
  </w:style>
  <w:style w:type="character" w:customStyle="1" w:styleId="122">
    <w:name w:val="my-notice1"/>
    <w:basedOn w:val="45"/>
    <w:qFormat/>
    <w:uiPriority w:val="99"/>
    <w:rPr>
      <w:rFonts w:cs="Times New Roman"/>
    </w:rPr>
  </w:style>
  <w:style w:type="character" w:customStyle="1" w:styleId="123">
    <w:name w:val="orange6"/>
    <w:qFormat/>
    <w:uiPriority w:val="99"/>
    <w:rPr>
      <w:color w:val="3FB58F"/>
    </w:rPr>
  </w:style>
  <w:style w:type="character" w:customStyle="1" w:styleId="124">
    <w:name w:val="Document Map Char2"/>
    <w:qFormat/>
    <w:locked/>
    <w:uiPriority w:val="99"/>
    <w:rPr>
      <w:rFonts w:ascii="宋体"/>
      <w:sz w:val="18"/>
    </w:rPr>
  </w:style>
  <w:style w:type="character" w:customStyle="1" w:styleId="125">
    <w:name w:val="ico-jiang3"/>
    <w:basedOn w:val="45"/>
    <w:qFormat/>
    <w:uiPriority w:val="99"/>
    <w:rPr>
      <w:rFonts w:cs="Times New Roman"/>
    </w:rPr>
  </w:style>
  <w:style w:type="character" w:customStyle="1" w:styleId="126">
    <w:name w:val="tip13"/>
    <w:qFormat/>
    <w:uiPriority w:val="99"/>
    <w:rPr>
      <w:vanish/>
      <w:color w:val="FF0000"/>
      <w:sz w:val="18"/>
    </w:rPr>
  </w:style>
  <w:style w:type="character" w:customStyle="1" w:styleId="127">
    <w:name w:val="正文文本缩进 2 Char"/>
    <w:basedOn w:val="45"/>
    <w:link w:val="23"/>
    <w:qFormat/>
    <w:uiPriority w:val="99"/>
    <w:rPr>
      <w:rFonts w:ascii="宋体" w:hAnsi="Calibri" w:eastAsia="宋体" w:cs="Times New Roman"/>
      <w:kern w:val="0"/>
      <w:sz w:val="24"/>
      <w:szCs w:val="20"/>
    </w:rPr>
  </w:style>
  <w:style w:type="character" w:customStyle="1" w:styleId="128">
    <w:name w:val="Body Text Indent 2 Char1"/>
    <w:basedOn w:val="45"/>
    <w:semiHidden/>
    <w:qFormat/>
    <w:locked/>
    <w:uiPriority w:val="99"/>
    <w:rPr>
      <w:rFonts w:cs="Times New Roman"/>
    </w:rPr>
  </w:style>
  <w:style w:type="character" w:customStyle="1" w:styleId="129">
    <w:name w:val="正文文本缩进 3 Char"/>
    <w:basedOn w:val="45"/>
    <w:link w:val="31"/>
    <w:qFormat/>
    <w:uiPriority w:val="99"/>
    <w:rPr>
      <w:rFonts w:ascii="宋体" w:hAnsi="Calibri" w:eastAsia="宋体" w:cs="Times New Roman"/>
      <w:kern w:val="0"/>
      <w:sz w:val="20"/>
      <w:szCs w:val="20"/>
    </w:rPr>
  </w:style>
  <w:style w:type="character" w:customStyle="1" w:styleId="130">
    <w:name w:val="Body Text Indent 3 Char1"/>
    <w:basedOn w:val="45"/>
    <w:semiHidden/>
    <w:qFormat/>
    <w:locked/>
    <w:uiPriority w:val="99"/>
    <w:rPr>
      <w:rFonts w:cs="Times New Roman"/>
      <w:sz w:val="16"/>
      <w:szCs w:val="16"/>
    </w:rPr>
  </w:style>
  <w:style w:type="character" w:customStyle="1" w:styleId="131">
    <w:name w:val="文档结构图 Char"/>
    <w:basedOn w:val="45"/>
    <w:link w:val="12"/>
    <w:qFormat/>
    <w:uiPriority w:val="99"/>
    <w:rPr>
      <w:rFonts w:ascii="宋体" w:hAnsi="Calibri" w:eastAsia="宋体" w:cs="Times New Roman"/>
      <w:kern w:val="0"/>
      <w:sz w:val="18"/>
      <w:szCs w:val="20"/>
    </w:rPr>
  </w:style>
  <w:style w:type="character" w:customStyle="1" w:styleId="132">
    <w:name w:val="Document Map Char3"/>
    <w:basedOn w:val="45"/>
    <w:semiHidden/>
    <w:qFormat/>
    <w:locked/>
    <w:uiPriority w:val="99"/>
    <w:rPr>
      <w:rFonts w:ascii="Times New Roman" w:hAnsi="Times New Roman" w:cs="Times New Roman"/>
      <w:sz w:val="2"/>
    </w:rPr>
  </w:style>
  <w:style w:type="paragraph" w:customStyle="1" w:styleId="133">
    <w:name w:val="_Style 1"/>
    <w:basedOn w:val="1"/>
    <w:qFormat/>
    <w:uiPriority w:val="99"/>
    <w:pPr>
      <w:ind w:firstLine="420" w:firstLineChars="200"/>
    </w:pPr>
    <w:rPr>
      <w:rFonts w:ascii="Times New Roman" w:hAnsi="Times New Roman" w:eastAsia="宋体" w:cs="Times New Roman"/>
      <w:szCs w:val="24"/>
    </w:rPr>
  </w:style>
  <w:style w:type="character" w:customStyle="1" w:styleId="134">
    <w:name w:val="正文文本 Char"/>
    <w:basedOn w:val="45"/>
    <w:link w:val="16"/>
    <w:qFormat/>
    <w:uiPriority w:val="99"/>
    <w:rPr>
      <w:rFonts w:ascii="Calibri" w:hAnsi="Calibri" w:eastAsia="宋体" w:cs="Times New Roman"/>
      <w:kern w:val="0"/>
      <w:sz w:val="24"/>
      <w:szCs w:val="20"/>
    </w:rPr>
  </w:style>
  <w:style w:type="character" w:customStyle="1" w:styleId="135">
    <w:name w:val="Body Text Char1"/>
    <w:basedOn w:val="45"/>
    <w:semiHidden/>
    <w:qFormat/>
    <w:locked/>
    <w:uiPriority w:val="99"/>
    <w:rPr>
      <w:rFonts w:cs="Times New Roman"/>
    </w:rPr>
  </w:style>
  <w:style w:type="paragraph" w:customStyle="1" w:styleId="136">
    <w:name w:val="_Style 21"/>
    <w:basedOn w:val="1"/>
    <w:qFormat/>
    <w:uiPriority w:val="99"/>
    <w:rPr>
      <w:rFonts w:ascii="Times New Roman" w:hAnsi="Times New Roman" w:eastAsia="宋体" w:cs="Times New Roman"/>
      <w:szCs w:val="20"/>
    </w:rPr>
  </w:style>
  <w:style w:type="paragraph" w:customStyle="1" w:styleId="137">
    <w:name w:val="p0"/>
    <w:basedOn w:val="1"/>
    <w:qFormat/>
    <w:uiPriority w:val="0"/>
    <w:pPr>
      <w:widowControl/>
    </w:pPr>
    <w:rPr>
      <w:rFonts w:ascii="Times New Roman" w:hAnsi="Times New Roman" w:eastAsia="宋体" w:cs="Times New Roman"/>
      <w:kern w:val="0"/>
      <w:szCs w:val="21"/>
    </w:rPr>
  </w:style>
  <w:style w:type="paragraph" w:customStyle="1" w:styleId="138">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9">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40">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41">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2">
    <w:name w:val="列出段落11"/>
    <w:basedOn w:val="1"/>
    <w:qFormat/>
    <w:uiPriority w:val="99"/>
    <w:pPr>
      <w:ind w:firstLine="420" w:firstLineChars="200"/>
    </w:pPr>
    <w:rPr>
      <w:rFonts w:ascii="Times New Roman" w:hAnsi="Times New Roman" w:eastAsia="宋体" w:cs="Times New Roman"/>
      <w:szCs w:val="24"/>
    </w:rPr>
  </w:style>
  <w:style w:type="paragraph" w:customStyle="1" w:styleId="143">
    <w:name w:val="_Style 2"/>
    <w:basedOn w:val="1"/>
    <w:qFormat/>
    <w:uiPriority w:val="34"/>
    <w:pPr>
      <w:ind w:firstLine="420" w:firstLineChars="200"/>
    </w:pPr>
    <w:rPr>
      <w:rFonts w:ascii="Calibri" w:hAnsi="Calibri" w:eastAsia="宋体" w:cs="Times New Roman"/>
    </w:rPr>
  </w:style>
  <w:style w:type="paragraph" w:customStyle="1" w:styleId="144">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5">
    <w:name w:val="_Style 11"/>
    <w:basedOn w:val="1"/>
    <w:qFormat/>
    <w:uiPriority w:val="99"/>
    <w:rPr>
      <w:rFonts w:ascii="Times New Roman" w:hAnsi="Times New Roman" w:eastAsia="宋体" w:cs="Times New Roman"/>
      <w:szCs w:val="24"/>
    </w:rPr>
  </w:style>
  <w:style w:type="paragraph" w:customStyle="1" w:styleId="146">
    <w:name w:val="Char"/>
    <w:basedOn w:val="1"/>
    <w:qFormat/>
    <w:uiPriority w:val="99"/>
    <w:rPr>
      <w:rFonts w:ascii="Times New Roman" w:hAnsi="Times New Roman" w:eastAsia="宋体" w:cs="Times New Roman"/>
      <w:szCs w:val="21"/>
    </w:rPr>
  </w:style>
  <w:style w:type="paragraph" w:customStyle="1" w:styleId="147">
    <w:name w:val="列出段落12"/>
    <w:basedOn w:val="1"/>
    <w:qFormat/>
    <w:uiPriority w:val="99"/>
    <w:pPr>
      <w:ind w:firstLine="420" w:firstLineChars="200"/>
    </w:pPr>
    <w:rPr>
      <w:rFonts w:ascii="Times New Roman" w:hAnsi="Times New Roman" w:eastAsia="宋体" w:cs="Times New Roman"/>
      <w:szCs w:val="24"/>
    </w:rPr>
  </w:style>
  <w:style w:type="paragraph" w:customStyle="1" w:styleId="148">
    <w:name w:val="列出段落2"/>
    <w:basedOn w:val="1"/>
    <w:qFormat/>
    <w:uiPriority w:val="99"/>
    <w:pPr>
      <w:ind w:firstLine="420" w:firstLineChars="200"/>
    </w:pPr>
    <w:rPr>
      <w:rFonts w:ascii="Times New Roman" w:hAnsi="Times New Roman" w:eastAsia="宋体" w:cs="Times New Roman"/>
      <w:szCs w:val="24"/>
    </w:rPr>
  </w:style>
  <w:style w:type="paragraph" w:customStyle="1" w:styleId="149">
    <w:name w:val="TOC 标题1"/>
    <w:basedOn w:val="3"/>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50">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51">
    <w:name w:val="font41"/>
    <w:qFormat/>
    <w:uiPriority w:val="99"/>
    <w:rPr>
      <w:rFonts w:hint="eastAsia" w:ascii="宋体" w:hAnsi="宋体" w:eastAsia="宋体" w:cs="宋体"/>
      <w:b/>
      <w:color w:val="000000"/>
      <w:sz w:val="22"/>
      <w:szCs w:val="22"/>
      <w:u w:val="none"/>
    </w:rPr>
  </w:style>
  <w:style w:type="character" w:customStyle="1" w:styleId="152">
    <w:name w:val="font81"/>
    <w:qFormat/>
    <w:uiPriority w:val="0"/>
    <w:rPr>
      <w:rFonts w:hint="eastAsia" w:ascii="宋体" w:hAnsi="宋体" w:eastAsia="宋体" w:cs="宋体"/>
      <w:b/>
      <w:color w:val="000000"/>
      <w:sz w:val="22"/>
      <w:szCs w:val="22"/>
      <w:u w:val="none"/>
    </w:rPr>
  </w:style>
  <w:style w:type="character" w:customStyle="1" w:styleId="153">
    <w:name w:val="font21"/>
    <w:qFormat/>
    <w:uiPriority w:val="0"/>
    <w:rPr>
      <w:rFonts w:hint="eastAsia" w:ascii="宋体" w:hAnsi="宋体" w:eastAsia="宋体" w:cs="宋体"/>
      <w:color w:val="000000"/>
      <w:sz w:val="18"/>
      <w:szCs w:val="18"/>
      <w:u w:val="none"/>
    </w:rPr>
  </w:style>
  <w:style w:type="character" w:customStyle="1" w:styleId="154">
    <w:name w:val="日期 Char"/>
    <w:link w:val="22"/>
    <w:qFormat/>
    <w:uiPriority w:val="0"/>
    <w:rPr>
      <w:szCs w:val="21"/>
    </w:rPr>
  </w:style>
  <w:style w:type="character" w:customStyle="1" w:styleId="155">
    <w:name w:val="font01"/>
    <w:qFormat/>
    <w:uiPriority w:val="99"/>
    <w:rPr>
      <w:rFonts w:hint="eastAsia" w:ascii="宋体" w:hAnsi="宋体" w:eastAsia="宋体" w:cs="宋体"/>
      <w:color w:val="000000"/>
      <w:sz w:val="22"/>
      <w:szCs w:val="22"/>
      <w:u w:val="none"/>
    </w:rPr>
  </w:style>
  <w:style w:type="character" w:customStyle="1" w:styleId="156">
    <w:name w:val="Char Char1"/>
    <w:qFormat/>
    <w:uiPriority w:val="0"/>
    <w:rPr>
      <w:rFonts w:eastAsia="宋体"/>
      <w:kern w:val="2"/>
      <w:sz w:val="18"/>
      <w:szCs w:val="18"/>
      <w:lang w:val="en-US" w:eastAsia="zh-CN" w:bidi="ar-SA"/>
    </w:rPr>
  </w:style>
  <w:style w:type="character" w:customStyle="1" w:styleId="157">
    <w:name w:val="标题 Char"/>
    <w:link w:val="4"/>
    <w:qFormat/>
    <w:uiPriority w:val="0"/>
    <w:rPr>
      <w:rFonts w:ascii="Cambria" w:hAnsi="Cambria" w:cs="Times New Roman"/>
      <w:b/>
      <w:bCs/>
      <w:sz w:val="32"/>
      <w:szCs w:val="32"/>
    </w:rPr>
  </w:style>
  <w:style w:type="character" w:customStyle="1" w:styleId="158">
    <w:name w:val="hei141"/>
    <w:qFormat/>
    <w:uiPriority w:val="0"/>
    <w:rPr>
      <w:rFonts w:hint="eastAsia" w:ascii="宋体" w:hAnsi="宋体" w:eastAsia="宋体"/>
      <w:color w:val="000000"/>
      <w:sz w:val="19"/>
      <w:szCs w:val="19"/>
      <w:u w:val="none"/>
    </w:rPr>
  </w:style>
  <w:style w:type="character" w:customStyle="1" w:styleId="159">
    <w:name w:val="批注文字 Char"/>
    <w:link w:val="14"/>
    <w:qFormat/>
    <w:uiPriority w:val="0"/>
  </w:style>
  <w:style w:type="character" w:customStyle="1" w:styleId="160">
    <w:name w:val="apple-style-span"/>
    <w:basedOn w:val="45"/>
    <w:qFormat/>
    <w:uiPriority w:val="0"/>
  </w:style>
  <w:style w:type="character" w:customStyle="1" w:styleId="161">
    <w:name w:val="param-value"/>
    <w:qFormat/>
    <w:uiPriority w:val="99"/>
    <w:rPr>
      <w:rFonts w:cs="Times New Roman"/>
    </w:rPr>
  </w:style>
  <w:style w:type="character" w:customStyle="1" w:styleId="162">
    <w:name w:val="font61"/>
    <w:qFormat/>
    <w:uiPriority w:val="0"/>
    <w:rPr>
      <w:rFonts w:hint="eastAsia" w:ascii="宋体" w:hAnsi="宋体" w:eastAsia="宋体" w:cs="宋体"/>
      <w:color w:val="000000"/>
      <w:sz w:val="22"/>
      <w:szCs w:val="22"/>
      <w:u w:val="none"/>
    </w:rPr>
  </w:style>
  <w:style w:type="character" w:customStyle="1" w:styleId="163">
    <w:name w:val="font11"/>
    <w:qFormat/>
    <w:uiPriority w:val="0"/>
    <w:rPr>
      <w:rFonts w:hint="eastAsia" w:ascii="宋体" w:hAnsi="宋体" w:eastAsia="宋体" w:cs="宋体"/>
      <w:color w:val="FF0000"/>
      <w:sz w:val="22"/>
      <w:szCs w:val="22"/>
      <w:u w:val="none"/>
    </w:rPr>
  </w:style>
  <w:style w:type="character" w:customStyle="1" w:styleId="164">
    <w:name w:val="批注主题 Char"/>
    <w:link w:val="40"/>
    <w:qFormat/>
    <w:uiPriority w:val="0"/>
    <w:rPr>
      <w:b/>
      <w:bCs/>
    </w:rPr>
  </w:style>
  <w:style w:type="character" w:customStyle="1" w:styleId="165">
    <w:name w:val="批注文字 Char1"/>
    <w:basedOn w:val="45"/>
    <w:semiHidden/>
    <w:qFormat/>
    <w:uiPriority w:val="99"/>
  </w:style>
  <w:style w:type="paragraph" w:customStyle="1" w:styleId="166">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7">
    <w:name w:val="批注主题 Char1"/>
    <w:basedOn w:val="165"/>
    <w:semiHidden/>
    <w:qFormat/>
    <w:uiPriority w:val="99"/>
    <w:rPr>
      <w:b/>
      <w:bCs/>
    </w:rPr>
  </w:style>
  <w:style w:type="paragraph" w:customStyle="1" w:styleId="168">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9">
    <w:name w:val="日期 Char1"/>
    <w:basedOn w:val="45"/>
    <w:semiHidden/>
    <w:qFormat/>
    <w:uiPriority w:val="99"/>
  </w:style>
  <w:style w:type="paragraph" w:customStyle="1" w:styleId="170">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1">
    <w:name w:val="脚注文本 Char"/>
    <w:basedOn w:val="45"/>
    <w:link w:val="2"/>
    <w:semiHidden/>
    <w:qFormat/>
    <w:uiPriority w:val="0"/>
    <w:rPr>
      <w:rFonts w:ascii="Times New Roman" w:hAnsi="Times New Roman" w:eastAsia="宋体" w:cs="Times New Roman"/>
      <w:sz w:val="18"/>
      <w:szCs w:val="18"/>
    </w:rPr>
  </w:style>
  <w:style w:type="paragraph" w:customStyle="1" w:styleId="172">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3">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4">
    <w:name w:val="标题 Char1"/>
    <w:basedOn w:val="45"/>
    <w:qFormat/>
    <w:uiPriority w:val="10"/>
    <w:rPr>
      <w:rFonts w:eastAsia="宋体" w:asciiTheme="majorHAnsi" w:hAnsiTheme="majorHAnsi" w:cstheme="majorBidi"/>
      <w:b/>
      <w:bCs/>
      <w:sz w:val="32"/>
      <w:szCs w:val="32"/>
    </w:rPr>
  </w:style>
  <w:style w:type="paragraph" w:customStyle="1" w:styleId="175">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6">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7">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8">
    <w:name w:val="Default"/>
    <w:basedOn w:val="4"/>
    <w:next w:val="3"/>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79">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0">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1">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2">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3">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5">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6">
    <w:name w:val="列出段落3"/>
    <w:basedOn w:val="1"/>
    <w:qFormat/>
    <w:uiPriority w:val="0"/>
    <w:pPr>
      <w:ind w:firstLine="420" w:firstLineChars="200"/>
    </w:pPr>
    <w:rPr>
      <w:rFonts w:ascii="Times New Roman" w:hAnsi="Times New Roman" w:eastAsia="宋体" w:cs="Times New Roman"/>
      <w:szCs w:val="24"/>
    </w:rPr>
  </w:style>
  <w:style w:type="character" w:customStyle="1" w:styleId="187">
    <w:name w:val="Char Char12"/>
    <w:qFormat/>
    <w:uiPriority w:val="0"/>
    <w:rPr>
      <w:rFonts w:eastAsia="宋体"/>
      <w:kern w:val="2"/>
      <w:sz w:val="18"/>
      <w:szCs w:val="18"/>
      <w:lang w:val="en-US" w:eastAsia="zh-CN" w:bidi="ar-SA"/>
    </w:rPr>
  </w:style>
  <w:style w:type="paragraph" w:customStyle="1" w:styleId="188">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9">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0">
    <w:name w:val="列出段落4"/>
    <w:basedOn w:val="1"/>
    <w:qFormat/>
    <w:uiPriority w:val="0"/>
    <w:pPr>
      <w:ind w:firstLine="420" w:firstLineChars="200"/>
    </w:pPr>
    <w:rPr>
      <w:rFonts w:ascii="Times New Roman" w:hAnsi="Times New Roman" w:eastAsia="宋体" w:cs="Times New Roman"/>
      <w:szCs w:val="24"/>
    </w:rPr>
  </w:style>
  <w:style w:type="character" w:customStyle="1" w:styleId="191">
    <w:name w:val="Char Char11"/>
    <w:qFormat/>
    <w:uiPriority w:val="0"/>
    <w:rPr>
      <w:rFonts w:eastAsia="宋体"/>
      <w:kern w:val="2"/>
      <w:sz w:val="18"/>
      <w:szCs w:val="18"/>
      <w:lang w:val="en-US" w:eastAsia="zh-CN" w:bidi="ar-SA"/>
    </w:rPr>
  </w:style>
  <w:style w:type="paragraph" w:customStyle="1" w:styleId="192">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3">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4">
    <w:name w:val="列出段落5"/>
    <w:basedOn w:val="1"/>
    <w:qFormat/>
    <w:uiPriority w:val="0"/>
    <w:pPr>
      <w:ind w:firstLine="420" w:firstLineChars="200"/>
    </w:pPr>
    <w:rPr>
      <w:rFonts w:ascii="Times New Roman" w:hAnsi="Times New Roman" w:eastAsia="宋体" w:cs="Times New Roman"/>
      <w:szCs w:val="24"/>
    </w:rPr>
  </w:style>
  <w:style w:type="character" w:customStyle="1" w:styleId="195">
    <w:name w:val="bookmark-item"/>
    <w:basedOn w:val="45"/>
    <w:qFormat/>
    <w:uiPriority w:val="0"/>
  </w:style>
  <w:style w:type="paragraph" w:customStyle="1" w:styleId="196">
    <w:name w:val="列出段落6"/>
    <w:basedOn w:val="1"/>
    <w:qFormat/>
    <w:uiPriority w:val="34"/>
    <w:pPr>
      <w:ind w:firstLine="420" w:firstLineChars="200"/>
    </w:pPr>
    <w:rPr>
      <w:rFonts w:ascii="Calibri" w:hAnsi="Calibri" w:eastAsia="宋体" w:cs="Times New Roman"/>
    </w:rPr>
  </w:style>
  <w:style w:type="character" w:customStyle="1" w:styleId="197">
    <w:name w:val="纯文本 Char"/>
    <w:basedOn w:val="45"/>
    <w:link w:val="20"/>
    <w:qFormat/>
    <w:uiPriority w:val="0"/>
    <w:rPr>
      <w:rFonts w:ascii="宋体" w:hAnsi="Courier New" w:eastAsia="宋体" w:cs="宋体"/>
      <w:kern w:val="2"/>
      <w:sz w:val="21"/>
      <w:szCs w:val="21"/>
    </w:rPr>
  </w:style>
  <w:style w:type="paragraph" w:customStyle="1" w:styleId="198">
    <w:name w:val="0"/>
    <w:basedOn w:val="1"/>
    <w:qFormat/>
    <w:uiPriority w:val="0"/>
    <w:pPr>
      <w:widowControl/>
      <w:snapToGrid w:val="0"/>
      <w:jc w:val="left"/>
    </w:pPr>
    <w:rPr>
      <w:rFonts w:ascii="Times New Roman" w:hAnsi="Times New Roman" w:eastAsia="宋体" w:cs="Times New Roman"/>
      <w:kern w:val="0"/>
      <w:sz w:val="20"/>
      <w:szCs w:val="20"/>
    </w:rPr>
  </w:style>
  <w:style w:type="paragraph" w:customStyle="1" w:styleId="199">
    <w:name w:val="Table Paragraph"/>
    <w:basedOn w:val="1"/>
    <w:qFormat/>
    <w:uiPriority w:val="1"/>
    <w:pPr>
      <w:jc w:val="left"/>
    </w:pPr>
    <w:rPr>
      <w:rFonts w:ascii="Calibri" w:hAnsi="Calibri" w:eastAsia="Calibri" w:cs="Times New Roman"/>
      <w:kern w:val="0"/>
      <w:sz w:val="22"/>
      <w:lang w:eastAsia="en-US"/>
    </w:rPr>
  </w:style>
  <w:style w:type="paragraph" w:customStyle="1" w:styleId="200">
    <w:name w:val="_Style 3"/>
    <w:basedOn w:val="1"/>
    <w:qFormat/>
    <w:uiPriority w:val="34"/>
    <w:pPr>
      <w:ind w:firstLine="420" w:firstLineChars="200"/>
    </w:pPr>
    <w:rPr>
      <w:rFonts w:ascii="Times New Roman" w:hAnsi="Times New Roman" w:eastAsia="宋体" w:cs="黑体"/>
      <w:szCs w:val="24"/>
    </w:rPr>
  </w:style>
  <w:style w:type="character" w:customStyle="1" w:styleId="201">
    <w:name w:val="正文首行缩进 2 Char"/>
    <w:basedOn w:val="65"/>
    <w:link w:val="42"/>
    <w:semiHidden/>
    <w:qFormat/>
    <w:uiPriority w:val="99"/>
    <w:rPr>
      <w:rFonts w:ascii="??" w:hAnsi="??" w:eastAsia="宋体" w:cs="Arial"/>
      <w:kern w:val="2"/>
      <w:sz w:val="21"/>
      <w:szCs w:val="22"/>
    </w:rPr>
  </w:style>
  <w:style w:type="paragraph" w:customStyle="1" w:styleId="202">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3">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4">
    <w:name w:val="正文文本 2 Char"/>
    <w:basedOn w:val="45"/>
    <w:link w:val="35"/>
    <w:semiHidden/>
    <w:qFormat/>
    <w:uiPriority w:val="99"/>
    <w:rPr>
      <w:rFonts w:asciiTheme="minorHAnsi" w:hAnsiTheme="minorHAnsi" w:eastAsiaTheme="minorEastAsia" w:cstheme="minorBidi"/>
      <w:kern w:val="2"/>
      <w:sz w:val="21"/>
      <w:szCs w:val="22"/>
    </w:rPr>
  </w:style>
  <w:style w:type="paragraph" w:customStyle="1" w:styleId="205">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06">
    <w:name w:val="列表段落1"/>
    <w:basedOn w:val="1"/>
    <w:qFormat/>
    <w:uiPriority w:val="0"/>
    <w:pPr>
      <w:ind w:firstLine="420" w:firstLineChars="200"/>
    </w:pPr>
    <w:rPr>
      <w:rFonts w:ascii="Times New Roman" w:hAnsi="Times New Roman" w:eastAsia="宋体" w:cs="Times New Roman"/>
    </w:rPr>
  </w:style>
  <w:style w:type="character" w:customStyle="1" w:styleId="207">
    <w:name w:val="列表段落 字符"/>
    <w:link w:val="66"/>
    <w:qFormat/>
    <w:uiPriority w:val="0"/>
    <w:rPr>
      <w:rFonts w:ascii="Calibri" w:hAnsi="Calibri"/>
      <w:kern w:val="2"/>
      <w:sz w:val="21"/>
      <w:szCs w:val="22"/>
    </w:rPr>
  </w:style>
  <w:style w:type="paragraph" w:customStyle="1" w:styleId="208">
    <w:name w:val="List Paragraph"/>
    <w:basedOn w:val="1"/>
    <w:unhideWhenUsed/>
    <w:qFormat/>
    <w:uiPriority w:val="99"/>
    <w:pPr>
      <w:ind w:firstLine="420" w:firstLineChars="200"/>
    </w:pPr>
  </w:style>
  <w:style w:type="character" w:customStyle="1" w:styleId="209">
    <w:name w:val="HTML 预设格式 Char"/>
    <w:basedOn w:val="45"/>
    <w:link w:val="37"/>
    <w:qFormat/>
    <w:uiPriority w:val="0"/>
    <w:rPr>
      <w:rFonts w:ascii="Arial" w:hAnsi="Arial" w:cs="Arial" w:eastAsiaTheme="minorEastAsia"/>
      <w:sz w:val="28"/>
      <w:szCs w:val="28"/>
    </w:rPr>
  </w:style>
  <w:style w:type="paragraph" w:customStyle="1" w:styleId="210">
    <w:name w:val="BodyText"/>
    <w:basedOn w:val="1"/>
    <w:next w:val="211"/>
    <w:qFormat/>
    <w:uiPriority w:val="0"/>
    <w:pPr>
      <w:spacing w:line="300" w:lineRule="auto"/>
      <w:jc w:val="center"/>
      <w:textAlignment w:val="baseline"/>
    </w:pPr>
    <w:rPr>
      <w:rFonts w:ascii="宋体" w:hAnsi="宋体" w:eastAsia="宋体"/>
      <w:sz w:val="24"/>
      <w:szCs w:val="24"/>
    </w:rPr>
  </w:style>
  <w:style w:type="paragraph" w:customStyle="1" w:styleId="211">
    <w:name w:val="TOC2"/>
    <w:basedOn w:val="1"/>
    <w:next w:val="1"/>
    <w:qFormat/>
    <w:uiPriority w:val="0"/>
    <w:pPr>
      <w:spacing w:line="413" w:lineRule="auto"/>
      <w:ind w:left="240" w:leftChars="100"/>
      <w:textAlignment w:val="baseline"/>
    </w:pPr>
    <w:rPr>
      <w:rFonts w:ascii="Calibri" w:hAnsi="Calibri" w:eastAsia="仿宋"/>
      <w:sz w:val="24"/>
      <w:szCs w:val="24"/>
    </w:rPr>
  </w:style>
  <w:style w:type="character" w:customStyle="1" w:styleId="212">
    <w:name w:val="纯文本 Char1"/>
    <w:qFormat/>
    <w:uiPriority w:val="0"/>
    <w:rPr>
      <w:rFonts w:eastAsia="宋体"/>
      <w:kern w:val="2"/>
      <w:sz w:val="24"/>
      <w:lang w:val="en-US" w:eastAsia="zh-CN" w:bidi="ar-SA"/>
    </w:rPr>
  </w:style>
  <w:style w:type="character" w:customStyle="1" w:styleId="213">
    <w:name w:val="页脚 Char1"/>
    <w:qFormat/>
    <w:uiPriority w:val="0"/>
    <w:rPr>
      <w:rFonts w:eastAsia="宋体"/>
      <w:kern w:val="2"/>
      <w:sz w:val="18"/>
      <w:szCs w:val="18"/>
      <w:lang w:val="en-US" w:eastAsia="zh-CN" w:bidi="ar-SA"/>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正文缩进 Char1"/>
    <w:link w:val="216"/>
    <w:qFormat/>
    <w:uiPriority w:val="0"/>
    <w:rPr>
      <w:rFonts w:ascii="宋体"/>
      <w:sz w:val="24"/>
    </w:rPr>
  </w:style>
  <w:style w:type="paragraph" w:customStyle="1" w:styleId="216">
    <w:name w:val="正文缩进1"/>
    <w:basedOn w:val="1"/>
    <w:link w:val="215"/>
    <w:qFormat/>
    <w:uiPriority w:val="0"/>
    <w:pPr>
      <w:autoSpaceDE w:val="0"/>
      <w:autoSpaceDN w:val="0"/>
      <w:adjustRightInd w:val="0"/>
      <w:ind w:firstLine="420"/>
      <w:jc w:val="left"/>
    </w:pPr>
    <w:rPr>
      <w:rFonts w:ascii="宋体" w:hAnsi="Times New Roman" w:eastAsia="宋体" w:cs="Times New Roman"/>
      <w:kern w:val="0"/>
      <w:sz w:val="24"/>
      <w:szCs w:val="20"/>
    </w:rPr>
  </w:style>
  <w:style w:type="paragraph" w:customStyle="1" w:styleId="217">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218">
    <w:name w:val="纯文本1"/>
    <w:basedOn w:val="1"/>
    <w:qFormat/>
    <w:uiPriority w:val="0"/>
    <w:rPr>
      <w:rFonts w:ascii="宋体" w:hAnsi="Courier New" w:eastAsia="宋体" w:cs="Times New Roman"/>
      <w:kern w:val="0"/>
      <w:sz w:val="20"/>
      <w:szCs w:val="20"/>
    </w:rPr>
  </w:style>
  <w:style w:type="character" w:customStyle="1" w:styleId="219">
    <w:name w:val="标题 5 Char"/>
    <w:basedOn w:val="45"/>
    <w:link w:val="8"/>
    <w:semiHidden/>
    <w:qFormat/>
    <w:uiPriority w:val="9"/>
    <w:rPr>
      <w:rFonts w:asciiTheme="minorHAnsi" w:hAnsiTheme="minorHAnsi" w:eastAsiaTheme="minorEastAsia" w:cstheme="minorBidi"/>
      <w:b/>
      <w:bCs/>
      <w:kern w:val="2"/>
      <w:sz w:val="28"/>
      <w:szCs w:val="28"/>
    </w:rPr>
  </w:style>
  <w:style w:type="character" w:customStyle="1" w:styleId="220">
    <w:name w:val="称呼 Char"/>
    <w:basedOn w:val="45"/>
    <w:link w:val="15"/>
    <w:qFormat/>
    <w:uiPriority w:val="0"/>
    <w:rPr>
      <w:rFonts w:ascii="宋体"/>
      <w:b/>
      <w:kern w:val="2"/>
      <w:sz w:val="28"/>
      <w:szCs w:val="24"/>
    </w:rPr>
  </w:style>
  <w:style w:type="character" w:customStyle="1" w:styleId="221">
    <w:name w:val="副标题 Char"/>
    <w:basedOn w:val="45"/>
    <w:link w:val="29"/>
    <w:qFormat/>
    <w:uiPriority w:val="11"/>
    <w:rPr>
      <w:rFonts w:ascii="Cambria" w:hAnsi="Cambria" w:eastAsia="仿宋"/>
      <w:b/>
      <w:bCs/>
      <w:kern w:val="28"/>
      <w:sz w:val="32"/>
      <w:szCs w:val="32"/>
    </w:rPr>
  </w:style>
  <w:style w:type="character" w:customStyle="1" w:styleId="222">
    <w:name w:val="正文首行缩进 Char"/>
    <w:basedOn w:val="134"/>
    <w:link w:val="41"/>
    <w:qFormat/>
    <w:uiPriority w:val="0"/>
    <w:rPr>
      <w:rFonts w:ascii="Arial" w:hAnsi="Arial" w:eastAsia="宋体" w:cs="Times New Roman"/>
      <w:kern w:val="0"/>
      <w:sz w:val="24"/>
      <w:szCs w:val="21"/>
    </w:rPr>
  </w:style>
  <w:style w:type="paragraph" w:customStyle="1" w:styleId="223">
    <w:name w:val="测评方案正文"/>
    <w:basedOn w:val="224"/>
    <w:qFormat/>
    <w:uiPriority w:val="0"/>
    <w:pPr>
      <w:ind w:firstLine="200" w:firstLineChars="200"/>
    </w:pPr>
    <w:rPr>
      <w:b w:val="0"/>
      <w:sz w:val="21"/>
    </w:rPr>
  </w:style>
  <w:style w:type="paragraph" w:customStyle="1" w:styleId="224">
    <w:name w:val="测评方案2级"/>
    <w:basedOn w:val="1"/>
    <w:qFormat/>
    <w:uiPriority w:val="0"/>
    <w:pPr>
      <w:spacing w:beforeLines="50" w:afterLines="50" w:line="300" w:lineRule="auto"/>
    </w:pPr>
    <w:rPr>
      <w:rFonts w:ascii="Times New Roman" w:hAnsi="Times New Roman" w:eastAsia="宋体" w:cs="Times New Roman"/>
      <w:b/>
      <w:sz w:val="28"/>
      <w:szCs w:val="32"/>
    </w:rPr>
  </w:style>
  <w:style w:type="paragraph" w:customStyle="1" w:styleId="225">
    <w:name w:val="正文首行缩进两字符"/>
    <w:qFormat/>
    <w:uiPriority w:val="0"/>
    <w:pPr>
      <w:widowControl w:val="0"/>
      <w:jc w:val="both"/>
    </w:pPr>
    <w:rPr>
      <w:rFonts w:ascii="Calibri" w:hAnsi="Calibri" w:eastAsia="宋体" w:cs="Times New Roman"/>
      <w:kern w:val="2"/>
      <w:sz w:val="21"/>
      <w:lang w:val="en-US" w:eastAsia="zh-CN" w:bidi="ar-SA"/>
    </w:rPr>
  </w:style>
  <w:style w:type="paragraph" w:customStyle="1" w:styleId="226">
    <w:name w:val="测评方案3级"/>
    <w:basedOn w:val="224"/>
    <w:qFormat/>
    <w:uiPriority w:val="0"/>
    <w:pPr>
      <w:spacing w:before="156" w:after="156"/>
    </w:pPr>
    <w:rPr>
      <w:rFonts w:ascii="黑体" w:eastAsia="黑体"/>
      <w:sz w:val="24"/>
    </w:rPr>
  </w:style>
  <w:style w:type="paragraph" w:customStyle="1" w:styleId="227">
    <w:name w:val="Body text|7"/>
    <w:basedOn w:val="1"/>
    <w:qFormat/>
    <w:uiPriority w:val="0"/>
    <w:rPr>
      <w:rFonts w:ascii="Times New Roman" w:hAnsi="Times New Roman" w:eastAsia="宋体" w:cs="Times New Roman"/>
      <w:sz w:val="32"/>
      <w:szCs w:val="32"/>
      <w:shd w:val="clear" w:color="auto" w:fill="FFFFFF"/>
    </w:rPr>
  </w:style>
  <w:style w:type="paragraph" w:customStyle="1" w:styleId="228">
    <w:name w:val="Body text|1"/>
    <w:basedOn w:val="1"/>
    <w:qFormat/>
    <w:uiPriority w:val="0"/>
    <w:pPr>
      <w:spacing w:after="40" w:line="353" w:lineRule="auto"/>
      <w:ind w:firstLine="40"/>
    </w:pPr>
    <w:rPr>
      <w:rFonts w:ascii="宋体" w:hAnsi="宋体" w:eastAsia="宋体" w:cs="宋体"/>
      <w:sz w:val="46"/>
      <w:szCs w:val="46"/>
      <w:lang w:val="zh-TW" w:eastAsia="zh-TW" w:bidi="zh-TW"/>
    </w:rPr>
  </w:style>
  <w:style w:type="paragraph" w:customStyle="1" w:styleId="229">
    <w:name w:val="Body text|2"/>
    <w:basedOn w:val="1"/>
    <w:qFormat/>
    <w:uiPriority w:val="0"/>
    <w:pPr>
      <w:spacing w:after="60"/>
    </w:pPr>
    <w:rPr>
      <w:rFonts w:ascii="宋体" w:hAnsi="宋体" w:eastAsia="宋体" w:cs="宋体"/>
      <w:sz w:val="54"/>
      <w:szCs w:val="54"/>
    </w:rPr>
  </w:style>
  <w:style w:type="paragraph" w:customStyle="1" w:styleId="230">
    <w:name w:val="Body text|6"/>
    <w:basedOn w:val="1"/>
    <w:qFormat/>
    <w:uiPriority w:val="0"/>
    <w:rPr>
      <w:rFonts w:ascii="Times New Roman" w:hAnsi="Times New Roman" w:eastAsia="宋体" w:cs="Times New Roman"/>
      <w:b/>
      <w:bCs/>
      <w:sz w:val="36"/>
      <w:szCs w:val="36"/>
      <w:shd w:val="clear" w:color="auto" w:fill="FFFFFF"/>
    </w:rPr>
  </w:style>
  <w:style w:type="paragraph" w:customStyle="1" w:styleId="231">
    <w:name w:val="正文首行缩进1"/>
    <w:basedOn w:val="16"/>
    <w:qFormat/>
    <w:uiPriority w:val="0"/>
    <w:pPr>
      <w:ind w:firstLine="420" w:firstLineChars="100"/>
    </w:pPr>
    <w:rPr>
      <w:rFonts w:ascii="宋体" w:hAnsi="宋体"/>
      <w:sz w:val="21"/>
      <w:szCs w:val="18"/>
    </w:rPr>
  </w:style>
  <w:style w:type="table" w:customStyle="1" w:styleId="232">
    <w:name w:val="样式9"/>
    <w:basedOn w:val="43"/>
    <w:qFormat/>
    <w:uiPriority w:val="99"/>
    <w:pPr>
      <w:spacing w:line="276" w:lineRule="auto"/>
      <w:jc w:val="center"/>
    </w:pPr>
    <w:rPr>
      <w:rFonts w:eastAsia="华文仿宋"/>
      <w:sz w:val="21"/>
    </w:rPr>
    <w:tblP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Pr>
    <w:tcPr>
      <w:vAlign w:val="center"/>
    </w:tcPr>
    <w:tblStylePr w:type="firstRow">
      <w:rPr>
        <w:rFonts w:eastAsia="Tms Rmn"/>
        <w:b/>
      </w:rPr>
    </w:tblStylePr>
  </w:style>
  <w:style w:type="paragraph" w:customStyle="1" w:styleId="233">
    <w:name w:val="表格中文"/>
    <w:qFormat/>
    <w:locked/>
    <w:uiPriority w:val="0"/>
    <w:pPr>
      <w:spacing w:line="240" w:lineRule="atLeast"/>
      <w:jc w:val="both"/>
    </w:pPr>
    <w:rPr>
      <w:rFonts w:ascii="Verdana" w:hAnsi="Verdana" w:eastAsia="宋体" w:cs="Times New Roman"/>
      <w:bCs/>
      <w:sz w:val="18"/>
      <w:szCs w:val="18"/>
      <w:lang w:val="en-US" w:eastAsia="zh-CN" w:bidi="ar-SA"/>
    </w:rPr>
  </w:style>
  <w:style w:type="paragraph" w:customStyle="1" w:styleId="234">
    <w:name w:val="null3"/>
    <w:qFormat/>
    <w:uiPriority w:val="0"/>
    <w:rPr>
      <w:rFonts w:hint="eastAsia" w:ascii="Calibri" w:hAnsi="Calibri" w:eastAsia="宋体" w:cs="Times New Roman"/>
      <w:lang w:val="en-US" w:eastAsia="zh-Hans" w:bidi="ar-SA"/>
    </w:rPr>
  </w:style>
  <w:style w:type="character" w:customStyle="1" w:styleId="235">
    <w:name w:val="15"/>
    <w:qFormat/>
    <w:uiPriority w:val="0"/>
    <w:rPr>
      <w:rFonts w:hint="eastAsia" w:ascii="宋体" w:hAnsi="宋体" w:eastAsia="宋体"/>
      <w:color w:val="000000"/>
      <w:sz w:val="22"/>
      <w:szCs w:val="22"/>
    </w:rPr>
  </w:style>
  <w:style w:type="paragraph" w:customStyle="1" w:styleId="236">
    <w:name w:val="答复表头"/>
    <w:basedOn w:val="237"/>
    <w:next w:val="1"/>
    <w:qFormat/>
    <w:uiPriority w:val="0"/>
    <w:pPr>
      <w:tabs>
        <w:tab w:val="left" w:pos="480"/>
      </w:tabs>
    </w:pPr>
    <w:rPr>
      <w:b/>
    </w:rPr>
  </w:style>
  <w:style w:type="paragraph" w:customStyle="1" w:styleId="237">
    <w:name w:val="正表头"/>
    <w:basedOn w:val="1"/>
    <w:qFormat/>
    <w:uiPriority w:val="0"/>
    <w:pPr>
      <w:tabs>
        <w:tab w:val="left" w:pos="480"/>
      </w:tabs>
      <w:autoSpaceDE w:val="0"/>
      <w:autoSpaceDN w:val="0"/>
      <w:adjustRightInd w:val="0"/>
      <w:jc w:val="center"/>
      <w:textAlignment w:val="baseline"/>
    </w:pPr>
    <w:rPr>
      <w:rFonts w:ascii="宋体" w:hAnsi="Tms Rmn" w:eastAsia="宋体" w:cs="Times New Roman"/>
      <w:color w:val="000000"/>
      <w:kern w:val="0"/>
      <w:szCs w:val="24"/>
    </w:rPr>
  </w:style>
  <w:style w:type="paragraph" w:customStyle="1" w:styleId="238">
    <w:name w:val="表格文字2"/>
    <w:basedOn w:val="239"/>
    <w:qFormat/>
    <w:uiPriority w:val="99"/>
    <w:pPr>
      <w:spacing w:before="25" w:after="25"/>
      <w:jc w:val="left"/>
    </w:pPr>
    <w:rPr>
      <w:bCs/>
      <w:spacing w:val="10"/>
      <w:kern w:val="0"/>
    </w:rPr>
  </w:style>
  <w:style w:type="paragraph" w:customStyle="1" w:styleId="239">
    <w:name w:val="Normal"/>
    <w:qFormat/>
    <w:uiPriority w:val="0"/>
    <w:pPr>
      <w:jc w:val="both"/>
    </w:pPr>
    <w:rPr>
      <w:rFonts w:ascii="Times New Roman" w:hAnsi="Times New Roman" w:eastAsia="宋体" w:cs="Times New Roman"/>
      <w:kern w:val="2"/>
      <w:sz w:val="21"/>
      <w:szCs w:val="21"/>
      <w:lang w:val="en-US" w:eastAsia="zh-CN" w:bidi="ar-SA"/>
    </w:rPr>
  </w:style>
  <w:style w:type="table" w:customStyle="1" w:styleId="240">
    <w:name w:val="Table Normal"/>
    <w:unhideWhenUsed/>
    <w:qFormat/>
    <w:uiPriority w:val="0"/>
    <w:tblPr>
      <w:tblCellMar>
        <w:top w:w="0" w:type="dxa"/>
        <w:left w:w="0" w:type="dxa"/>
        <w:bottom w:w="0" w:type="dxa"/>
        <w:right w:w="0" w:type="dxa"/>
      </w:tblCellMar>
    </w:tblPr>
  </w:style>
  <w:style w:type="paragraph" w:customStyle="1" w:styleId="241">
    <w:name w:val="Normal_6"/>
    <w:qFormat/>
    <w:uiPriority w:val="0"/>
    <w:rPr>
      <w:rFonts w:ascii="宋体" w:hAnsi="宋体" w:eastAsia="宋体"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58</Pages>
  <Words>23695</Words>
  <Characters>25029</Characters>
  <Lines>1</Lines>
  <Paragraphs>1</Paragraphs>
  <TotalTime>3</TotalTime>
  <ScaleCrop>false</ScaleCrop>
  <LinksUpToDate>false</LinksUpToDate>
  <CharactersWithSpaces>26929</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2022-09-12T11:32:00Z</dcterms:created>
  <dc:creator>Administrator</dc:creator>
  <cp:lastModifiedBy>²⁰¹⁸₀₁.₁₉悠悠LOVE</cp:lastModifiedBy>
  <cp:lastPrinted>2025-03-04T12:58:00Z</cp:lastPrinted>
  <dcterms:modified xsi:type="dcterms:W3CDTF">2025-03-19T02:51:43Z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25C6AEEDFB244EDF92AA788A3D53AFB8_13</vt:lpwstr>
  </property>
  <property fmtid="{D5CDD505-2E9C-101B-9397-08002B2CF9AE}" pid="4" name="KSOTemplateDocerSaveRecord">
    <vt:lpwstr>eyJoZGlkIjoiY2YyYmE2OTk5ZTY3ZTE1NmRhNzgwNTAwNmY3YmMyNjQiLCJ1c2VySWQiOiIyMDc2NjcyMDcifQ==</vt:lpwstr>
  </property>
</Properties>
</file>