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AC1F4F">
      <w:pPr>
        <w:pStyle w:val="5"/>
        <w:spacing w:line="241" w:lineRule="auto"/>
        <w:ind w:left="-619" w:leftChars="-295" w:right="-903" w:rightChars="-430" w:firstLine="0" w:firstLineChars="0"/>
      </w:pPr>
    </w:p>
    <w:p w14:paraId="46813088">
      <w:pPr>
        <w:pStyle w:val="5"/>
        <w:spacing w:line="241" w:lineRule="auto"/>
      </w:pPr>
    </w:p>
    <w:p w14:paraId="0E964472">
      <w:pPr>
        <w:pStyle w:val="5"/>
        <w:spacing w:line="242" w:lineRule="auto"/>
      </w:pPr>
    </w:p>
    <w:p w14:paraId="6B88F0AF">
      <w:pPr>
        <w:pStyle w:val="5"/>
        <w:spacing w:line="242" w:lineRule="auto"/>
      </w:pPr>
    </w:p>
    <w:p w14:paraId="7D3036DB">
      <w:pPr>
        <w:spacing w:before="153" w:line="385" w:lineRule="auto"/>
        <w:ind w:left="1654" w:right="52" w:hanging="1563"/>
        <w:jc w:val="both"/>
        <w:outlineLvl w:val="0"/>
        <w:rPr>
          <w:rFonts w:hint="eastAsia" w:ascii="黑体" w:hAnsi="黑体" w:eastAsia="黑体" w:cs="黑体"/>
          <w:spacing w:val="11"/>
          <w:sz w:val="47"/>
          <w:szCs w:val="47"/>
          <w:lang w:eastAsia="zh-CN"/>
          <w14:textOutline w14:w="8717" w14:cap="sq" w14:cmpd="sng">
            <w14:solidFill>
              <w14:srgbClr w14:val="000000"/>
            </w14:solidFill>
            <w14:prstDash w14:val="solid"/>
            <w14:bevel/>
          </w14:textOutline>
        </w:rPr>
      </w:pPr>
      <w:r>
        <w:rPr>
          <w:rFonts w:hint="eastAsia" w:ascii="黑体" w:hAnsi="黑体" w:eastAsia="黑体" w:cs="黑体"/>
          <w:spacing w:val="11"/>
          <w:sz w:val="44"/>
          <w:szCs w:val="44"/>
          <w:lang w:val="en-US" w:eastAsia="zh-CN"/>
          <w14:textOutline w14:w="8717" w14:cap="sq" w14:cmpd="sng">
            <w14:solidFill>
              <w14:srgbClr w14:val="000000"/>
            </w14:solidFill>
            <w14:prstDash w14:val="solid"/>
            <w14:bevel/>
          </w14:textOutline>
        </w:rPr>
        <w:t>阿勒泰市切木尔切克镇道路改造以工代赈项目</w:t>
      </w:r>
      <w:r>
        <w:rPr>
          <w:rFonts w:hint="eastAsia" w:ascii="黑体" w:hAnsi="黑体" w:eastAsia="黑体" w:cs="黑体"/>
          <w:spacing w:val="11"/>
          <w:sz w:val="47"/>
          <w:szCs w:val="47"/>
          <w:lang w:eastAsia="zh-CN"/>
          <w14:textOutline w14:w="8717" w14:cap="sq" w14:cmpd="sng">
            <w14:solidFill>
              <w14:srgbClr w14:val="000000"/>
            </w14:solidFill>
            <w14:prstDash w14:val="solid"/>
            <w14:bevel/>
          </w14:textOutline>
        </w:rPr>
        <w:t>竞争性磋商文件</w:t>
      </w:r>
    </w:p>
    <w:p w14:paraId="5BBE03F7">
      <w:pPr>
        <w:pStyle w:val="5"/>
        <w:spacing w:line="252" w:lineRule="auto"/>
      </w:pPr>
    </w:p>
    <w:p w14:paraId="7B1014EB">
      <w:pPr>
        <w:pStyle w:val="5"/>
        <w:spacing w:line="252" w:lineRule="auto"/>
      </w:pPr>
    </w:p>
    <w:p w14:paraId="4198D547">
      <w:pPr>
        <w:pStyle w:val="5"/>
        <w:spacing w:line="252" w:lineRule="auto"/>
      </w:pPr>
    </w:p>
    <w:p w14:paraId="4A81606A">
      <w:pPr>
        <w:pStyle w:val="5"/>
        <w:spacing w:line="253" w:lineRule="auto"/>
      </w:pPr>
    </w:p>
    <w:p w14:paraId="148353C5">
      <w:pPr>
        <w:pStyle w:val="5"/>
        <w:spacing w:line="253" w:lineRule="auto"/>
      </w:pPr>
    </w:p>
    <w:p w14:paraId="4180C873">
      <w:pPr>
        <w:pStyle w:val="5"/>
        <w:spacing w:line="253" w:lineRule="auto"/>
      </w:pPr>
    </w:p>
    <w:p w14:paraId="6BE81803">
      <w:pPr>
        <w:pStyle w:val="5"/>
        <w:spacing w:line="253" w:lineRule="auto"/>
      </w:pPr>
    </w:p>
    <w:p w14:paraId="2E3AF4B7">
      <w:pPr>
        <w:pStyle w:val="5"/>
        <w:spacing w:line="253" w:lineRule="auto"/>
      </w:pPr>
    </w:p>
    <w:p w14:paraId="64045ED2">
      <w:pPr>
        <w:pStyle w:val="5"/>
        <w:spacing w:line="253" w:lineRule="auto"/>
      </w:pPr>
    </w:p>
    <w:p w14:paraId="62C6D903">
      <w:pPr>
        <w:pStyle w:val="5"/>
        <w:spacing w:line="253" w:lineRule="auto"/>
      </w:pPr>
    </w:p>
    <w:p w14:paraId="2C3D984B">
      <w:pPr>
        <w:spacing w:before="91" w:line="222" w:lineRule="auto"/>
        <w:ind w:left="841" w:firstLine="1261" w:firstLineChars="400"/>
        <w:rPr>
          <w:rFonts w:hint="eastAsia" w:ascii="宋体" w:hAnsi="宋体" w:eastAsia="宋体" w:cs="宋体"/>
          <w:b/>
          <w:bCs/>
          <w:spacing w:val="-3"/>
          <w:sz w:val="32"/>
          <w:szCs w:val="32"/>
          <w:lang w:eastAsia="zh-CN"/>
        </w:rPr>
      </w:pPr>
      <w:r>
        <w:rPr>
          <w:rFonts w:hint="eastAsia" w:ascii="宋体" w:hAnsi="宋体" w:eastAsia="宋体" w:cs="宋体"/>
          <w:b/>
          <w:bCs/>
          <w:spacing w:val="-3"/>
          <w:sz w:val="32"/>
          <w:szCs w:val="32"/>
          <w:lang w:eastAsia="zh-CN"/>
        </w:rPr>
        <w:t>项目编号：</w:t>
      </w:r>
      <w:r>
        <w:rPr>
          <w:rFonts w:hint="eastAsia" w:ascii="宋体" w:hAnsi="宋体" w:eastAsia="宋体" w:cs="宋体"/>
          <w:b/>
          <w:bCs/>
          <w:spacing w:val="-3"/>
          <w:sz w:val="32"/>
          <w:szCs w:val="32"/>
          <w:lang w:val="en-US" w:eastAsia="zh-CN"/>
        </w:rPr>
        <w:t>DCZB-2025005</w:t>
      </w:r>
    </w:p>
    <w:p w14:paraId="5EEFE93D">
      <w:pPr>
        <w:pStyle w:val="5"/>
        <w:spacing w:line="257" w:lineRule="auto"/>
      </w:pPr>
    </w:p>
    <w:p w14:paraId="476D33D5">
      <w:pPr>
        <w:pStyle w:val="5"/>
        <w:spacing w:line="257" w:lineRule="auto"/>
      </w:pPr>
    </w:p>
    <w:p w14:paraId="47D77233">
      <w:pPr>
        <w:pStyle w:val="5"/>
        <w:spacing w:line="257" w:lineRule="auto"/>
      </w:pPr>
    </w:p>
    <w:p w14:paraId="1BE13F16">
      <w:pPr>
        <w:pStyle w:val="5"/>
        <w:spacing w:line="257" w:lineRule="auto"/>
      </w:pPr>
    </w:p>
    <w:p w14:paraId="34BF12D8">
      <w:pPr>
        <w:pStyle w:val="5"/>
        <w:spacing w:line="257" w:lineRule="auto"/>
      </w:pPr>
    </w:p>
    <w:p w14:paraId="30BFA7FF">
      <w:pPr>
        <w:pStyle w:val="5"/>
        <w:spacing w:line="257" w:lineRule="auto"/>
      </w:pPr>
    </w:p>
    <w:p w14:paraId="53E42653">
      <w:pPr>
        <w:pStyle w:val="5"/>
        <w:spacing w:line="257" w:lineRule="auto"/>
      </w:pPr>
    </w:p>
    <w:p w14:paraId="78A3315C">
      <w:pPr>
        <w:pStyle w:val="5"/>
        <w:spacing w:line="257" w:lineRule="auto"/>
      </w:pPr>
    </w:p>
    <w:p w14:paraId="21C874D0">
      <w:pPr>
        <w:spacing w:before="91" w:line="222" w:lineRule="auto"/>
        <w:ind w:left="841"/>
        <w:rPr>
          <w:rFonts w:hint="eastAsia" w:ascii="宋体" w:hAnsi="宋体" w:eastAsia="宋体" w:cs="宋体"/>
          <w:b/>
          <w:bCs/>
          <w:spacing w:val="-3"/>
          <w:sz w:val="32"/>
          <w:szCs w:val="32"/>
          <w:lang w:eastAsia="zh-CN"/>
        </w:rPr>
      </w:pPr>
      <w:r>
        <w:rPr>
          <w:rFonts w:hint="eastAsia" w:ascii="宋体" w:hAnsi="宋体" w:eastAsia="宋体" w:cs="宋体"/>
          <w:b/>
          <w:bCs/>
          <w:spacing w:val="-3"/>
          <w:sz w:val="32"/>
          <w:szCs w:val="32"/>
          <w:lang w:eastAsia="zh-CN"/>
        </w:rPr>
        <w:t>采购人：阿勒泰市切木尔切克镇人民政府</w:t>
      </w:r>
    </w:p>
    <w:p w14:paraId="2A914E81">
      <w:pPr>
        <w:pStyle w:val="5"/>
        <w:spacing w:line="271" w:lineRule="auto"/>
      </w:pPr>
    </w:p>
    <w:p w14:paraId="707F7308">
      <w:pPr>
        <w:pStyle w:val="5"/>
        <w:spacing w:line="271" w:lineRule="auto"/>
      </w:pPr>
    </w:p>
    <w:p w14:paraId="530A0165">
      <w:pPr>
        <w:pStyle w:val="5"/>
        <w:spacing w:line="272" w:lineRule="auto"/>
      </w:pPr>
    </w:p>
    <w:p w14:paraId="0361FFE5">
      <w:pPr>
        <w:spacing w:before="91" w:line="222" w:lineRule="auto"/>
        <w:ind w:left="841"/>
        <w:rPr>
          <w:rFonts w:hint="eastAsia" w:ascii="黑体" w:hAnsi="黑体" w:eastAsia="黑体" w:cs="黑体"/>
          <w:sz w:val="28"/>
          <w:szCs w:val="28"/>
          <w:lang w:eastAsia="zh-CN"/>
        </w:rPr>
      </w:pPr>
      <w:r>
        <w:rPr>
          <w:rFonts w:hint="eastAsia" w:ascii="宋体" w:hAnsi="宋体" w:eastAsia="宋体" w:cs="宋体"/>
          <w:b/>
          <w:bCs/>
          <w:spacing w:val="-3"/>
          <w:sz w:val="32"/>
          <w:szCs w:val="32"/>
          <w:lang w:eastAsia="zh-CN"/>
        </w:rPr>
        <w:t>采购代理机构：新疆鼎辰工程项目管理有限公司</w:t>
      </w:r>
    </w:p>
    <w:p w14:paraId="3131259D">
      <w:pPr>
        <w:pStyle w:val="5"/>
        <w:spacing w:line="287" w:lineRule="auto"/>
      </w:pPr>
    </w:p>
    <w:p w14:paraId="1DB8233B">
      <w:pPr>
        <w:pStyle w:val="5"/>
        <w:spacing w:line="287" w:lineRule="auto"/>
      </w:pPr>
    </w:p>
    <w:p w14:paraId="6D2D4B21">
      <w:pPr>
        <w:pStyle w:val="5"/>
        <w:spacing w:line="287" w:lineRule="auto"/>
      </w:pPr>
    </w:p>
    <w:p w14:paraId="714636C0">
      <w:pPr>
        <w:pStyle w:val="5"/>
        <w:spacing w:line="287" w:lineRule="auto"/>
      </w:pPr>
    </w:p>
    <w:p w14:paraId="5B637C79">
      <w:pPr>
        <w:pStyle w:val="5"/>
        <w:spacing w:line="287" w:lineRule="auto"/>
      </w:pPr>
    </w:p>
    <w:p w14:paraId="7A97EC52">
      <w:pPr>
        <w:spacing w:before="91" w:line="222" w:lineRule="auto"/>
        <w:ind w:left="841" w:firstLine="1892" w:firstLineChars="600"/>
        <w:rPr>
          <w:rFonts w:hint="eastAsia" w:ascii="宋体" w:hAnsi="宋体" w:eastAsia="宋体" w:cs="宋体"/>
          <w:b/>
          <w:bCs/>
          <w:spacing w:val="-3"/>
          <w:sz w:val="32"/>
          <w:szCs w:val="32"/>
          <w:lang w:eastAsia="zh-CN"/>
        </w:rPr>
      </w:pPr>
      <w:r>
        <w:rPr>
          <w:rFonts w:hint="eastAsia" w:ascii="宋体" w:hAnsi="宋体" w:eastAsia="宋体" w:cs="宋体"/>
          <w:b/>
          <w:bCs/>
          <w:spacing w:val="-3"/>
          <w:sz w:val="32"/>
          <w:szCs w:val="32"/>
          <w:lang w:eastAsia="zh-CN"/>
        </w:rPr>
        <w:t>日期：202</w:t>
      </w:r>
      <w:r>
        <w:rPr>
          <w:rFonts w:hint="eastAsia" w:ascii="宋体" w:hAnsi="宋体" w:eastAsia="宋体" w:cs="宋体"/>
          <w:b/>
          <w:bCs/>
          <w:spacing w:val="-3"/>
          <w:sz w:val="32"/>
          <w:szCs w:val="32"/>
          <w:lang w:val="en-US" w:eastAsia="zh-CN"/>
        </w:rPr>
        <w:t>5</w:t>
      </w:r>
      <w:r>
        <w:rPr>
          <w:rFonts w:hint="eastAsia" w:ascii="宋体" w:hAnsi="宋体" w:eastAsia="宋体" w:cs="宋体"/>
          <w:b/>
          <w:bCs/>
          <w:spacing w:val="-3"/>
          <w:sz w:val="32"/>
          <w:szCs w:val="32"/>
          <w:lang w:eastAsia="zh-CN"/>
        </w:rPr>
        <w:t>年</w:t>
      </w:r>
      <w:r>
        <w:rPr>
          <w:rFonts w:hint="eastAsia" w:ascii="宋体" w:hAnsi="宋体" w:eastAsia="宋体" w:cs="宋体"/>
          <w:b/>
          <w:bCs/>
          <w:spacing w:val="-3"/>
          <w:sz w:val="32"/>
          <w:szCs w:val="32"/>
          <w:lang w:val="en-US" w:eastAsia="zh-CN"/>
        </w:rPr>
        <w:t>4</w:t>
      </w:r>
      <w:r>
        <w:rPr>
          <w:rFonts w:hint="eastAsia" w:ascii="宋体" w:hAnsi="宋体" w:eastAsia="宋体" w:cs="宋体"/>
          <w:b/>
          <w:bCs/>
          <w:spacing w:val="-3"/>
          <w:sz w:val="32"/>
          <w:szCs w:val="32"/>
          <w:lang w:eastAsia="zh-CN"/>
        </w:rPr>
        <w:t>月</w:t>
      </w:r>
    </w:p>
    <w:p w14:paraId="3E6D920D">
      <w:pPr>
        <w:spacing w:before="91" w:line="222" w:lineRule="auto"/>
        <w:ind w:left="841"/>
        <w:rPr>
          <w:rFonts w:hint="eastAsia" w:ascii="宋体" w:hAnsi="宋体" w:eastAsia="宋体" w:cs="宋体"/>
          <w:b/>
          <w:bCs/>
          <w:spacing w:val="-3"/>
          <w:sz w:val="32"/>
          <w:szCs w:val="32"/>
          <w:lang w:eastAsia="zh-CN"/>
        </w:rPr>
        <w:sectPr>
          <w:pgSz w:w="11906" w:h="16839"/>
          <w:pgMar w:top="1431" w:right="1785" w:bottom="0" w:left="1785" w:header="0" w:footer="0" w:gutter="0"/>
          <w:cols w:space="720" w:num="1"/>
        </w:sectPr>
      </w:pPr>
    </w:p>
    <w:p w14:paraId="7CAC74EA">
      <w:pPr>
        <w:pStyle w:val="5"/>
        <w:spacing w:line="312" w:lineRule="auto"/>
      </w:pPr>
    </w:p>
    <w:p w14:paraId="7820BF20">
      <w:pPr>
        <w:pStyle w:val="5"/>
        <w:spacing w:line="313" w:lineRule="auto"/>
      </w:pPr>
    </w:p>
    <w:sdt>
      <w:sdtPr>
        <w:rPr>
          <w:rFonts w:ascii="黑体" w:hAnsi="黑体" w:eastAsia="黑体" w:cs="黑体"/>
          <w:sz w:val="43"/>
          <w:szCs w:val="43"/>
        </w:rPr>
        <w:id w:val="1"/>
        <w:docPartObj>
          <w:docPartGallery w:val="Table of Contents"/>
          <w:docPartUnique/>
        </w:docPartObj>
      </w:sdtPr>
      <w:sdtEndPr>
        <w:rPr>
          <w:rFonts w:ascii="Times New Roman" w:hAnsi="Times New Roman" w:eastAsia="Times New Roman" w:cs="Times New Roman"/>
          <w:sz w:val="24"/>
          <w:szCs w:val="24"/>
        </w:rPr>
      </w:sdtEndPr>
      <w:sdtContent>
        <w:p w14:paraId="62094396">
          <w:pPr>
            <w:spacing w:before="140" w:line="225" w:lineRule="auto"/>
            <w:ind w:left="3972"/>
            <w:rPr>
              <w:rFonts w:ascii="黑体" w:hAnsi="黑体" w:eastAsia="黑体" w:cs="黑体"/>
              <w:sz w:val="43"/>
              <w:szCs w:val="43"/>
            </w:rPr>
          </w:pPr>
          <w:r>
            <w:rPr>
              <w:rFonts w:ascii="黑体" w:hAnsi="黑体" w:eastAsia="黑体" w:cs="黑体"/>
              <w:spacing w:val="-32"/>
              <w:sz w:val="43"/>
              <w:szCs w:val="43"/>
              <w14:textOutline w14:w="7972" w14:cap="sq" w14:cmpd="sng">
                <w14:solidFill>
                  <w14:srgbClr w14:val="000000"/>
                </w14:solidFill>
                <w14:prstDash w14:val="solid"/>
                <w14:bevel/>
              </w14:textOutline>
            </w:rPr>
            <w:t>目录</w:t>
          </w:r>
        </w:p>
        <w:p w14:paraId="0CC89C5F">
          <w:pPr>
            <w:pStyle w:val="5"/>
            <w:spacing w:line="247" w:lineRule="auto"/>
          </w:pPr>
        </w:p>
        <w:p w14:paraId="5F971680">
          <w:pPr>
            <w:pStyle w:val="5"/>
            <w:spacing w:line="247" w:lineRule="auto"/>
          </w:pPr>
        </w:p>
        <w:p w14:paraId="34EEB4EF">
          <w:pPr>
            <w:pStyle w:val="5"/>
            <w:spacing w:line="248" w:lineRule="auto"/>
          </w:pPr>
        </w:p>
        <w:p w14:paraId="19CA749E">
          <w:pPr>
            <w:tabs>
              <w:tab w:val="right" w:leader="dot" w:pos="9062"/>
            </w:tabs>
            <w:spacing w:before="78" w:line="187" w:lineRule="auto"/>
            <w:rPr>
              <w:rFonts w:ascii="Times New Roman" w:hAnsi="Times New Roman" w:eastAsia="Times New Roman" w:cs="Times New Roman"/>
              <w:sz w:val="24"/>
              <w:szCs w:val="24"/>
            </w:rPr>
          </w:pPr>
          <w:r>
            <w:fldChar w:fldCharType="begin"/>
          </w:r>
          <w:r>
            <w:instrText xml:space="preserve">HYPERLINK\l"bookmark1"</w:instrText>
          </w:r>
          <w:r>
            <w:fldChar w:fldCharType="separate"/>
          </w:r>
          <w:r>
            <w:rPr>
              <w:rFonts w:ascii="黑体" w:hAnsi="黑体" w:eastAsia="黑体" w:cs="黑体"/>
              <w:spacing w:val="1"/>
              <w:sz w:val="24"/>
              <w:szCs w:val="24"/>
            </w:rPr>
            <w:t>第一章竞争性磋商公告</w:t>
          </w:r>
          <w:r>
            <w:rPr>
              <w:rFonts w:ascii="黑体" w:hAnsi="黑体" w:eastAsia="黑体" w:cs="黑体"/>
              <w:sz w:val="24"/>
              <w:szCs w:val="24"/>
            </w:rPr>
            <w:tab/>
          </w:r>
          <w:r>
            <w:rPr>
              <w:rFonts w:ascii="Times New Roman" w:hAnsi="Times New Roman" w:eastAsia="Times New Roman" w:cs="Times New Roman"/>
              <w:spacing w:val="14"/>
              <w:sz w:val="24"/>
              <w:szCs w:val="24"/>
            </w:rPr>
            <w:t>1</w:t>
          </w:r>
          <w:r>
            <w:rPr>
              <w:rFonts w:ascii="Times New Roman" w:hAnsi="Times New Roman" w:eastAsia="Times New Roman" w:cs="Times New Roman"/>
              <w:spacing w:val="14"/>
              <w:sz w:val="24"/>
              <w:szCs w:val="24"/>
            </w:rPr>
            <w:fldChar w:fldCharType="end"/>
          </w:r>
        </w:p>
        <w:p w14:paraId="3CDDBB2C">
          <w:pPr>
            <w:pStyle w:val="5"/>
            <w:spacing w:line="301" w:lineRule="auto"/>
          </w:pPr>
        </w:p>
        <w:p w14:paraId="53F9DE61">
          <w:pPr>
            <w:tabs>
              <w:tab w:val="right" w:leader="dot" w:pos="9062"/>
            </w:tabs>
            <w:spacing w:before="78" w:line="187" w:lineRule="auto"/>
            <w:rPr>
              <w:rFonts w:ascii="Times New Roman" w:hAnsi="Times New Roman" w:eastAsia="Times New Roman" w:cs="Times New Roman"/>
              <w:sz w:val="24"/>
              <w:szCs w:val="24"/>
            </w:rPr>
          </w:pPr>
          <w:r>
            <w:fldChar w:fldCharType="begin"/>
          </w:r>
          <w:r>
            <w:instrText xml:space="preserve">HYPERLINK\l"bookmark2"</w:instrText>
          </w:r>
          <w:r>
            <w:fldChar w:fldCharType="separate"/>
          </w:r>
          <w:r>
            <w:rPr>
              <w:rFonts w:ascii="黑体" w:hAnsi="黑体" w:eastAsia="黑体" w:cs="黑体"/>
              <w:spacing w:val="1"/>
              <w:sz w:val="24"/>
              <w:szCs w:val="24"/>
            </w:rPr>
            <w:t>第二章供应商须知</w:t>
          </w:r>
          <w:r>
            <w:rPr>
              <w:rFonts w:ascii="黑体" w:hAnsi="黑体" w:eastAsia="黑体" w:cs="黑体"/>
              <w:sz w:val="24"/>
              <w:szCs w:val="24"/>
            </w:rPr>
            <w:tab/>
          </w:r>
          <w:r>
            <w:rPr>
              <w:rFonts w:ascii="Times New Roman" w:hAnsi="Times New Roman" w:eastAsia="Times New Roman" w:cs="Times New Roman"/>
              <w:spacing w:val="19"/>
              <w:sz w:val="24"/>
              <w:szCs w:val="24"/>
            </w:rPr>
            <w:t>4</w:t>
          </w:r>
          <w:r>
            <w:rPr>
              <w:rFonts w:ascii="Times New Roman" w:hAnsi="Times New Roman" w:eastAsia="Times New Roman" w:cs="Times New Roman"/>
              <w:spacing w:val="19"/>
              <w:sz w:val="24"/>
              <w:szCs w:val="24"/>
            </w:rPr>
            <w:fldChar w:fldCharType="end"/>
          </w:r>
        </w:p>
        <w:p w14:paraId="0BAAA12B">
          <w:pPr>
            <w:pStyle w:val="5"/>
            <w:spacing w:line="301" w:lineRule="auto"/>
          </w:pPr>
        </w:p>
        <w:p w14:paraId="14FAEFCF">
          <w:pPr>
            <w:tabs>
              <w:tab w:val="right" w:leader="dot" w:pos="9062"/>
            </w:tabs>
            <w:spacing w:before="78" w:line="187" w:lineRule="auto"/>
            <w:rPr>
              <w:rFonts w:ascii="Times New Roman" w:hAnsi="Times New Roman" w:eastAsia="Times New Roman" w:cs="Times New Roman"/>
              <w:sz w:val="24"/>
              <w:szCs w:val="24"/>
            </w:rPr>
          </w:pPr>
          <w:r>
            <w:fldChar w:fldCharType="begin"/>
          </w:r>
          <w:r>
            <w:instrText xml:space="preserve">HYPERLINK\l"bookmark3"</w:instrText>
          </w:r>
          <w:r>
            <w:fldChar w:fldCharType="separate"/>
          </w:r>
          <w:r>
            <w:rPr>
              <w:rFonts w:ascii="黑体" w:hAnsi="黑体" w:eastAsia="黑体" w:cs="黑体"/>
              <w:sz w:val="24"/>
              <w:szCs w:val="24"/>
            </w:rPr>
            <w:t>第三章采购需求</w:t>
          </w:r>
          <w:r>
            <w:rPr>
              <w:rFonts w:ascii="黑体" w:hAnsi="黑体" w:eastAsia="黑体" w:cs="黑体"/>
              <w:sz w:val="24"/>
              <w:szCs w:val="24"/>
            </w:rPr>
            <w:tab/>
          </w:r>
          <w:r>
            <w:rPr>
              <w:rFonts w:ascii="Times New Roman" w:hAnsi="Times New Roman" w:eastAsia="Times New Roman" w:cs="Times New Roman"/>
              <w:spacing w:val="10"/>
              <w:sz w:val="24"/>
              <w:szCs w:val="24"/>
            </w:rPr>
            <w:t>28</w:t>
          </w:r>
          <w:r>
            <w:rPr>
              <w:rFonts w:ascii="Times New Roman" w:hAnsi="Times New Roman" w:eastAsia="Times New Roman" w:cs="Times New Roman"/>
              <w:spacing w:val="10"/>
              <w:sz w:val="24"/>
              <w:szCs w:val="24"/>
            </w:rPr>
            <w:fldChar w:fldCharType="end"/>
          </w:r>
        </w:p>
        <w:p w14:paraId="00BB733D">
          <w:pPr>
            <w:pStyle w:val="5"/>
            <w:spacing w:line="301" w:lineRule="auto"/>
          </w:pPr>
        </w:p>
        <w:p w14:paraId="2D6105F3">
          <w:pPr>
            <w:tabs>
              <w:tab w:val="right" w:leader="dot" w:pos="9060"/>
            </w:tabs>
            <w:spacing w:before="78" w:line="187" w:lineRule="auto"/>
            <w:rPr>
              <w:rFonts w:ascii="Times New Roman" w:hAnsi="Times New Roman" w:eastAsia="Times New Roman" w:cs="Times New Roman"/>
              <w:sz w:val="24"/>
              <w:szCs w:val="24"/>
            </w:rPr>
          </w:pPr>
          <w:r>
            <w:fldChar w:fldCharType="begin"/>
          </w:r>
          <w:r>
            <w:instrText xml:space="preserve">HYPERLINK\l"bookmark4"</w:instrText>
          </w:r>
          <w:r>
            <w:fldChar w:fldCharType="separate"/>
          </w:r>
          <w:r>
            <w:rPr>
              <w:rFonts w:ascii="黑体" w:hAnsi="黑体" w:eastAsia="黑体" w:cs="黑体"/>
              <w:spacing w:val="1"/>
              <w:sz w:val="24"/>
              <w:szCs w:val="24"/>
            </w:rPr>
            <w:t>第四章合同（以最终签订合同为准）</w:t>
          </w:r>
          <w:r>
            <w:rPr>
              <w:rFonts w:ascii="黑体" w:hAnsi="黑体" w:eastAsia="黑体" w:cs="黑体"/>
              <w:sz w:val="24"/>
              <w:szCs w:val="24"/>
            </w:rPr>
            <w:tab/>
          </w:r>
          <w:r>
            <w:rPr>
              <w:rFonts w:ascii="Times New Roman" w:hAnsi="Times New Roman" w:eastAsia="Times New Roman" w:cs="Times New Roman"/>
              <w:spacing w:val="29"/>
              <w:sz w:val="24"/>
              <w:szCs w:val="24"/>
            </w:rPr>
            <w:t>29</w:t>
          </w:r>
          <w:r>
            <w:rPr>
              <w:rFonts w:ascii="Times New Roman" w:hAnsi="Times New Roman" w:eastAsia="Times New Roman" w:cs="Times New Roman"/>
              <w:spacing w:val="29"/>
              <w:sz w:val="24"/>
              <w:szCs w:val="24"/>
            </w:rPr>
            <w:fldChar w:fldCharType="end"/>
          </w:r>
        </w:p>
        <w:p w14:paraId="2B2F9D57">
          <w:pPr>
            <w:pStyle w:val="5"/>
            <w:spacing w:line="299" w:lineRule="auto"/>
          </w:pPr>
        </w:p>
        <w:p w14:paraId="3669AA03">
          <w:pPr>
            <w:tabs>
              <w:tab w:val="right" w:leader="dot" w:pos="9060"/>
            </w:tabs>
            <w:spacing w:before="78" w:line="222" w:lineRule="auto"/>
            <w:rPr>
              <w:rFonts w:ascii="Times New Roman" w:hAnsi="Times New Roman" w:eastAsia="Times New Roman" w:cs="Times New Roman"/>
              <w:sz w:val="24"/>
              <w:szCs w:val="24"/>
            </w:rPr>
          </w:pPr>
          <w:r>
            <w:fldChar w:fldCharType="begin"/>
          </w:r>
          <w:r>
            <w:instrText xml:space="preserve">HYPERLINK\l"bookmark5"</w:instrText>
          </w:r>
          <w:r>
            <w:fldChar w:fldCharType="separate"/>
          </w:r>
          <w:r>
            <w:rPr>
              <w:rFonts w:ascii="黑体" w:hAnsi="黑体" w:eastAsia="黑体" w:cs="黑体"/>
              <w:spacing w:val="1"/>
              <w:sz w:val="24"/>
              <w:szCs w:val="24"/>
            </w:rPr>
            <w:t>第五章主要响应文件的格式及其内容</w:t>
          </w:r>
          <w:r>
            <w:rPr>
              <w:rFonts w:ascii="黑体" w:hAnsi="黑体" w:eastAsia="黑体" w:cs="黑体"/>
              <w:sz w:val="24"/>
              <w:szCs w:val="24"/>
            </w:rPr>
            <w:tab/>
          </w:r>
          <w:r>
            <w:rPr>
              <w:rFonts w:ascii="Times New Roman" w:hAnsi="Times New Roman" w:eastAsia="Times New Roman" w:cs="Times New Roman"/>
              <w:spacing w:val="29"/>
              <w:sz w:val="24"/>
              <w:szCs w:val="24"/>
            </w:rPr>
            <w:t>43</w:t>
          </w:r>
          <w:r>
            <w:rPr>
              <w:rFonts w:ascii="Times New Roman" w:hAnsi="Times New Roman" w:eastAsia="Times New Roman" w:cs="Times New Roman"/>
              <w:spacing w:val="29"/>
              <w:sz w:val="24"/>
              <w:szCs w:val="24"/>
            </w:rPr>
            <w:fldChar w:fldCharType="end"/>
          </w:r>
        </w:p>
      </w:sdtContent>
    </w:sdt>
    <w:p w14:paraId="7294DD33">
      <w:pPr>
        <w:spacing w:line="222" w:lineRule="auto"/>
        <w:rPr>
          <w:rFonts w:ascii="Times New Roman" w:hAnsi="Times New Roman" w:eastAsia="Times New Roman" w:cs="Times New Roman"/>
          <w:sz w:val="24"/>
          <w:szCs w:val="24"/>
        </w:rPr>
        <w:sectPr>
          <w:pgSz w:w="11906" w:h="16839"/>
          <w:pgMar w:top="1431" w:right="1417" w:bottom="0" w:left="1425" w:header="0" w:footer="0" w:gutter="0"/>
          <w:cols w:space="720" w:num="1"/>
        </w:sectPr>
      </w:pPr>
    </w:p>
    <w:p w14:paraId="4608D6DF">
      <w:pPr>
        <w:spacing w:before="206" w:line="227" w:lineRule="auto"/>
        <w:ind w:left="2913"/>
        <w:outlineLvl w:val="0"/>
        <w:rPr>
          <w:rFonts w:ascii="黑体" w:hAnsi="黑体" w:eastAsia="黑体" w:cs="黑体"/>
          <w:sz w:val="31"/>
          <w:szCs w:val="31"/>
        </w:rPr>
      </w:pPr>
      <w:bookmarkStart w:id="0" w:name="bookmark1"/>
      <w:bookmarkEnd w:id="0"/>
      <w:r>
        <w:rPr>
          <w:rFonts w:ascii="黑体" w:hAnsi="黑体" w:eastAsia="黑体" w:cs="黑体"/>
          <w:spacing w:val="11"/>
          <w:sz w:val="31"/>
          <w:szCs w:val="31"/>
          <w14:textOutline w14:w="5793" w14:cap="sq" w14:cmpd="sng">
            <w14:solidFill>
              <w14:srgbClr w14:val="000000"/>
            </w14:solidFill>
            <w14:prstDash w14:val="solid"/>
            <w14:bevel/>
          </w14:textOutline>
        </w:rPr>
        <w:t>第一章</w:t>
      </w:r>
      <w:r>
        <w:rPr>
          <w:rFonts w:hint="eastAsia" w:ascii="黑体" w:hAnsi="黑体" w:eastAsia="黑体" w:cs="黑体"/>
          <w:spacing w:val="11"/>
          <w:sz w:val="31"/>
          <w:szCs w:val="31"/>
          <w:lang w:val="en-US" w:eastAsia="zh-CN"/>
          <w14:textOutline w14:w="5793" w14:cap="sq" w14:cmpd="sng">
            <w14:solidFill>
              <w14:srgbClr w14:val="000000"/>
            </w14:solidFill>
            <w14:prstDash w14:val="solid"/>
            <w14:bevel/>
          </w14:textOutline>
        </w:rPr>
        <w:t xml:space="preserve">   </w:t>
      </w:r>
      <w:r>
        <w:rPr>
          <w:rFonts w:ascii="黑体" w:hAnsi="黑体" w:eastAsia="黑体" w:cs="黑体"/>
          <w:spacing w:val="11"/>
          <w:sz w:val="31"/>
          <w:szCs w:val="31"/>
          <w14:textOutline w14:w="5793" w14:cap="sq" w14:cmpd="sng">
            <w14:solidFill>
              <w14:srgbClr w14:val="000000"/>
            </w14:solidFill>
            <w14:prstDash w14:val="solid"/>
            <w14:bevel/>
          </w14:textOutline>
        </w:rPr>
        <w:t>竞争性磋商公告</w:t>
      </w:r>
    </w:p>
    <w:p w14:paraId="115FB760">
      <w:pPr>
        <w:spacing w:line="240" w:lineRule="auto"/>
        <w:ind w:left="0" w:firstLine="0" w:firstLineChars="0"/>
        <w:rPr>
          <w:rFonts w:ascii="黑体" w:hAnsi="黑体" w:eastAsia="黑体" w:cs="黑体"/>
          <w:sz w:val="24"/>
          <w:szCs w:val="24"/>
        </w:rPr>
      </w:pPr>
      <w:r>
        <w:rPr>
          <w:rFonts w:ascii="黑体" w:hAnsi="黑体" w:eastAsia="黑体" w:cs="黑体"/>
          <w:sz w:val="24"/>
          <w:szCs w:val="24"/>
          <w14:textOutline w14:w="4358" w14:cap="sq" w14:cmpd="sng">
            <w14:solidFill>
              <w14:srgbClr w14:val="000000"/>
            </w14:solidFill>
            <w14:prstDash w14:val="solid"/>
            <w14:bevel/>
          </w14:textOutline>
        </w:rPr>
        <w:t>项目概况</w:t>
      </w:r>
    </w:p>
    <w:p w14:paraId="00C796FC">
      <w:pPr>
        <w:pBdr>
          <w:top w:val="single" w:color="auto" w:sz="4" w:space="0"/>
          <w:left w:val="single" w:color="auto" w:sz="4" w:space="0"/>
          <w:bottom w:val="single" w:color="auto" w:sz="4" w:space="0"/>
          <w:right w:val="single" w:color="auto" w:sz="4" w:space="0"/>
        </w:pBdr>
        <w:spacing w:line="240" w:lineRule="auto"/>
        <w:ind w:firstLine="488" w:firstLineChars="200"/>
        <w:jc w:val="left"/>
        <w:rPr>
          <w:rFonts w:ascii="黑体" w:hAnsi="黑体" w:eastAsia="黑体" w:cs="黑体"/>
          <w:color w:val="000000" w:themeColor="text1"/>
          <w:sz w:val="24"/>
          <w:szCs w:val="24"/>
          <w14:textFill>
            <w14:solidFill>
              <w14:schemeClr w14:val="tx1"/>
            </w14:solidFill>
          </w14:textFill>
        </w:rPr>
      </w:pPr>
      <w:r>
        <w:rPr>
          <w:rFonts w:hint="eastAsia" w:ascii="黑体" w:hAnsi="黑体" w:eastAsia="黑体" w:cs="黑体"/>
          <w:spacing w:val="2"/>
          <w:sz w:val="24"/>
          <w:szCs w:val="24"/>
          <w:lang w:val="en-US" w:eastAsia="zh-CN"/>
        </w:rPr>
        <w:t>阿勒泰市切木尔切克镇道路改造以工代赈项目</w:t>
      </w:r>
      <w:r>
        <w:rPr>
          <w:rFonts w:ascii="黑体" w:hAnsi="黑体" w:eastAsia="黑体" w:cs="黑体"/>
          <w:spacing w:val="2"/>
          <w:sz w:val="24"/>
          <w:szCs w:val="24"/>
        </w:rPr>
        <w:t>的潜</w:t>
      </w:r>
      <w:r>
        <w:rPr>
          <w:rFonts w:ascii="黑体" w:hAnsi="黑体" w:eastAsia="黑体" w:cs="黑体"/>
          <w:color w:val="000000" w:themeColor="text1"/>
          <w:spacing w:val="2"/>
          <w:sz w:val="24"/>
          <w:szCs w:val="24"/>
          <w14:textFill>
            <w14:solidFill>
              <w14:schemeClr w14:val="tx1"/>
            </w14:solidFill>
          </w14:textFill>
        </w:rPr>
        <w:t>在供应</w:t>
      </w:r>
      <w:r>
        <w:rPr>
          <w:rFonts w:ascii="黑体" w:hAnsi="黑体" w:eastAsia="黑体" w:cs="黑体"/>
          <w:color w:val="000000" w:themeColor="text1"/>
          <w:spacing w:val="1"/>
          <w:sz w:val="24"/>
          <w:szCs w:val="24"/>
          <w14:textFill>
            <w14:solidFill>
              <w14:schemeClr w14:val="tx1"/>
            </w14:solidFill>
          </w14:textFill>
        </w:rPr>
        <w:t>商应在政采云</w:t>
      </w:r>
      <w:r>
        <w:rPr>
          <w:rFonts w:hint="eastAsia" w:ascii="黑体" w:hAnsi="黑体" w:eastAsia="黑体" w:cs="黑体"/>
          <w:color w:val="000000" w:themeColor="text1"/>
          <w:spacing w:val="1"/>
          <w:sz w:val="24"/>
          <w:szCs w:val="24"/>
          <w:lang w:val="en-US" w:eastAsia="zh-CN"/>
          <w14:textFill>
            <w14:solidFill>
              <w14:schemeClr w14:val="tx1"/>
            </w14:solidFill>
          </w14:textFill>
        </w:rPr>
        <w:t>平台</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HYPERLINK"http://www.zcygov.cn/"</w:instrText>
      </w:r>
      <w:r>
        <w:rPr>
          <w:color w:val="000000" w:themeColor="text1"/>
          <w14:textFill>
            <w14:solidFill>
              <w14:schemeClr w14:val="tx1"/>
            </w14:solidFill>
          </w14:textFill>
        </w:rPr>
        <w:fldChar w:fldCharType="separate"/>
      </w:r>
      <w:r>
        <w:rPr>
          <w:rFonts w:ascii="黑体" w:hAnsi="黑体" w:eastAsia="黑体" w:cs="黑体"/>
          <w:color w:val="000000" w:themeColor="text1"/>
          <w:spacing w:val="-2"/>
          <w:sz w:val="24"/>
          <w:szCs w:val="24"/>
          <w14:textFill>
            <w14:solidFill>
              <w14:schemeClr w14:val="tx1"/>
            </w14:solidFill>
          </w14:textFill>
        </w:rPr>
        <w:t>http://www.zcygov.cn/</w:t>
      </w:r>
      <w:r>
        <w:rPr>
          <w:rFonts w:ascii="黑体" w:hAnsi="黑体" w:eastAsia="黑体" w:cs="黑体"/>
          <w:color w:val="000000" w:themeColor="text1"/>
          <w:spacing w:val="-2"/>
          <w:sz w:val="24"/>
          <w:szCs w:val="24"/>
          <w14:textFill>
            <w14:solidFill>
              <w14:schemeClr w14:val="tx1"/>
            </w14:solidFill>
          </w14:textFill>
        </w:rPr>
        <w:fldChar w:fldCharType="end"/>
      </w:r>
      <w:r>
        <w:rPr>
          <w:rFonts w:ascii="黑体" w:hAnsi="黑体" w:eastAsia="黑体" w:cs="黑体"/>
          <w:color w:val="000000" w:themeColor="text1"/>
          <w:spacing w:val="-2"/>
          <w:sz w:val="24"/>
          <w:szCs w:val="24"/>
          <w14:textFill>
            <w14:solidFill>
              <w14:schemeClr w14:val="tx1"/>
            </w14:solidFill>
          </w14:textFill>
        </w:rPr>
        <w:t>在线申请获取竞争性磋商文件，并于</w:t>
      </w:r>
      <w:r>
        <w:rPr>
          <w:rFonts w:hint="eastAsia" w:ascii="黑体" w:hAnsi="黑体" w:eastAsia="黑体" w:cs="黑体"/>
          <w:color w:val="000000" w:themeColor="text1"/>
          <w:spacing w:val="-6"/>
          <w:sz w:val="24"/>
          <w:szCs w:val="24"/>
          <w:lang w:eastAsia="zh-CN"/>
          <w14:textFill>
            <w14:solidFill>
              <w14:schemeClr w14:val="tx1"/>
            </w14:solidFill>
          </w14:textFill>
        </w:rPr>
        <w:t>202</w:t>
      </w:r>
      <w:r>
        <w:rPr>
          <w:rFonts w:hint="eastAsia" w:ascii="黑体" w:hAnsi="黑体" w:eastAsia="黑体" w:cs="黑体"/>
          <w:color w:val="000000" w:themeColor="text1"/>
          <w:spacing w:val="-6"/>
          <w:sz w:val="24"/>
          <w:szCs w:val="24"/>
          <w:lang w:val="en-US" w:eastAsia="zh-CN"/>
          <w14:textFill>
            <w14:solidFill>
              <w14:schemeClr w14:val="tx1"/>
            </w14:solidFill>
          </w14:textFill>
        </w:rPr>
        <w:t>5</w:t>
      </w:r>
      <w:r>
        <w:rPr>
          <w:rFonts w:hint="eastAsia" w:ascii="黑体" w:hAnsi="黑体" w:eastAsia="黑体" w:cs="黑体"/>
          <w:color w:val="000000" w:themeColor="text1"/>
          <w:spacing w:val="-6"/>
          <w:sz w:val="24"/>
          <w:szCs w:val="24"/>
          <w:lang w:eastAsia="zh-CN"/>
          <w14:textFill>
            <w14:solidFill>
              <w14:schemeClr w14:val="tx1"/>
            </w14:solidFill>
          </w14:textFill>
        </w:rPr>
        <w:t>年</w:t>
      </w:r>
      <w:r>
        <w:rPr>
          <w:rFonts w:hint="eastAsia" w:ascii="黑体" w:hAnsi="黑体" w:eastAsia="黑体" w:cs="黑体"/>
          <w:color w:val="000000" w:themeColor="text1"/>
          <w:spacing w:val="-6"/>
          <w:sz w:val="24"/>
          <w:szCs w:val="24"/>
          <w:lang w:val="en-US" w:eastAsia="zh-CN"/>
          <w14:textFill>
            <w14:solidFill>
              <w14:schemeClr w14:val="tx1"/>
            </w14:solidFill>
          </w14:textFill>
        </w:rPr>
        <w:t>5</w:t>
      </w:r>
      <w:r>
        <w:rPr>
          <w:rFonts w:hint="eastAsia" w:ascii="黑体" w:hAnsi="黑体" w:eastAsia="黑体" w:cs="黑体"/>
          <w:color w:val="000000" w:themeColor="text1"/>
          <w:spacing w:val="-6"/>
          <w:sz w:val="24"/>
          <w:szCs w:val="24"/>
          <w:lang w:eastAsia="zh-CN"/>
          <w14:textFill>
            <w14:solidFill>
              <w14:schemeClr w14:val="tx1"/>
            </w14:solidFill>
          </w14:textFill>
        </w:rPr>
        <w:t>月</w:t>
      </w:r>
      <w:r>
        <w:rPr>
          <w:rFonts w:hint="eastAsia" w:ascii="黑体" w:hAnsi="黑体" w:eastAsia="黑体" w:cs="黑体"/>
          <w:color w:val="000000" w:themeColor="text1"/>
          <w:spacing w:val="-6"/>
          <w:sz w:val="24"/>
          <w:szCs w:val="24"/>
          <w:lang w:val="en-US" w:eastAsia="zh-CN"/>
          <w14:textFill>
            <w14:solidFill>
              <w14:schemeClr w14:val="tx1"/>
            </w14:solidFill>
          </w14:textFill>
        </w:rPr>
        <w:t>6</w:t>
      </w:r>
      <w:r>
        <w:rPr>
          <w:rFonts w:hint="eastAsia" w:ascii="黑体" w:hAnsi="黑体" w:eastAsia="黑体" w:cs="黑体"/>
          <w:color w:val="000000" w:themeColor="text1"/>
          <w:spacing w:val="-6"/>
          <w:sz w:val="24"/>
          <w:szCs w:val="24"/>
          <w:lang w:eastAsia="zh-CN"/>
          <w14:textFill>
            <w14:solidFill>
              <w14:schemeClr w14:val="tx1"/>
            </w14:solidFill>
          </w14:textFill>
        </w:rPr>
        <w:t>日</w:t>
      </w:r>
      <w:r>
        <w:rPr>
          <w:rFonts w:hint="eastAsia" w:ascii="黑体" w:hAnsi="黑体" w:eastAsia="黑体" w:cs="黑体"/>
          <w:color w:val="000000" w:themeColor="text1"/>
          <w:spacing w:val="-6"/>
          <w:sz w:val="24"/>
          <w:szCs w:val="24"/>
          <w:lang w:val="en-US" w:eastAsia="zh-CN"/>
          <w14:textFill>
            <w14:solidFill>
              <w14:schemeClr w14:val="tx1"/>
            </w14:solidFill>
          </w14:textFill>
        </w:rPr>
        <w:t>11</w:t>
      </w:r>
      <w:r>
        <w:rPr>
          <w:rFonts w:hint="eastAsia" w:ascii="黑体" w:hAnsi="黑体" w:eastAsia="黑体" w:cs="黑体"/>
          <w:color w:val="000000" w:themeColor="text1"/>
          <w:spacing w:val="-6"/>
          <w:sz w:val="24"/>
          <w:szCs w:val="24"/>
          <w:lang w:eastAsia="zh-CN"/>
          <w14:textFill>
            <w14:solidFill>
              <w14:schemeClr w14:val="tx1"/>
            </w14:solidFill>
          </w14:textFill>
        </w:rPr>
        <w:t>时00分</w:t>
      </w:r>
      <w:r>
        <w:rPr>
          <w:rFonts w:ascii="黑体" w:hAnsi="黑体" w:eastAsia="黑体" w:cs="黑体"/>
          <w:color w:val="000000" w:themeColor="text1"/>
          <w:spacing w:val="-1"/>
          <w:sz w:val="24"/>
          <w:szCs w:val="24"/>
          <w14:textFill>
            <w14:solidFill>
              <w14:schemeClr w14:val="tx1"/>
            </w14:solidFill>
          </w14:textFill>
        </w:rPr>
        <w:t>（北京时间）前递交响应文件。</w:t>
      </w:r>
    </w:p>
    <w:p w14:paraId="606C69E9">
      <w:pPr>
        <w:spacing w:line="240" w:lineRule="auto"/>
        <w:ind w:left="0" w:firstLine="480" w:firstLineChars="200"/>
        <w:rPr>
          <w:rFonts w:ascii="黑体" w:hAnsi="黑体" w:eastAsia="黑体" w:cs="黑体"/>
          <w:color w:val="000000" w:themeColor="text1"/>
          <w:sz w:val="24"/>
          <w:szCs w:val="24"/>
          <w14:textFill>
            <w14:solidFill>
              <w14:schemeClr w14:val="tx1"/>
            </w14:solidFill>
          </w14:textFill>
        </w:rPr>
      </w:pPr>
    </w:p>
    <w:p w14:paraId="0FED4FE6">
      <w:pPr>
        <w:spacing w:before="162" w:line="222" w:lineRule="auto"/>
        <w:ind w:left="5"/>
        <w:rPr>
          <w:rFonts w:ascii="黑体" w:hAnsi="黑体" w:eastAsia="黑体" w:cs="黑体"/>
          <w:color w:val="000000" w:themeColor="text1"/>
          <w:sz w:val="24"/>
          <w:szCs w:val="24"/>
          <w14:textFill>
            <w14:solidFill>
              <w14:schemeClr w14:val="tx1"/>
            </w14:solidFill>
          </w14:textFill>
        </w:rPr>
      </w:pPr>
      <w:r>
        <w:rPr>
          <w:rFonts w:ascii="黑体" w:hAnsi="黑体" w:eastAsia="黑体" w:cs="黑体"/>
          <w:color w:val="000000" w:themeColor="text1"/>
          <w:spacing w:val="1"/>
          <w:sz w:val="24"/>
          <w:szCs w:val="24"/>
          <w14:textOutline w14:w="4358" w14:cap="sq" w14:cmpd="sng">
            <w14:solidFill>
              <w14:srgbClr w14:val="000000"/>
            </w14:solidFill>
            <w14:prstDash w14:val="solid"/>
            <w14:bevel/>
          </w14:textOutline>
          <w14:textFill>
            <w14:solidFill>
              <w14:schemeClr w14:val="tx1"/>
            </w14:solidFill>
          </w14:textFill>
        </w:rPr>
        <w:t>一、项目基本情况</w:t>
      </w:r>
    </w:p>
    <w:p w14:paraId="6AA8610D">
      <w:pPr>
        <w:spacing w:before="150" w:line="221" w:lineRule="auto"/>
        <w:ind w:left="489"/>
        <w:rPr>
          <w:rFonts w:hint="eastAsia" w:ascii="黑体" w:hAnsi="黑体" w:eastAsia="黑体" w:cs="黑体"/>
          <w:color w:val="000000" w:themeColor="text1"/>
          <w:spacing w:val="1"/>
          <w:sz w:val="24"/>
          <w:szCs w:val="24"/>
          <w:lang w:eastAsia="zh-CN"/>
          <w14:textFill>
            <w14:solidFill>
              <w14:schemeClr w14:val="tx1"/>
            </w14:solidFill>
          </w14:textFill>
        </w:rPr>
      </w:pPr>
      <w:r>
        <w:rPr>
          <w:rFonts w:ascii="黑体" w:hAnsi="黑体" w:eastAsia="黑体" w:cs="黑体"/>
          <w:color w:val="000000" w:themeColor="text1"/>
          <w:spacing w:val="1"/>
          <w:sz w:val="24"/>
          <w:szCs w:val="24"/>
          <w14:textFill>
            <w14:solidFill>
              <w14:schemeClr w14:val="tx1"/>
            </w14:solidFill>
          </w14:textFill>
        </w:rPr>
        <w:t>项目编号：</w:t>
      </w:r>
      <w:r>
        <w:rPr>
          <w:rFonts w:hint="eastAsia" w:ascii="黑体" w:hAnsi="黑体" w:eastAsia="黑体" w:cs="黑体"/>
          <w:color w:val="000000" w:themeColor="text1"/>
          <w:spacing w:val="1"/>
          <w:sz w:val="24"/>
          <w:szCs w:val="24"/>
          <w:lang w:val="en-US" w:eastAsia="zh-CN"/>
          <w14:textFill>
            <w14:solidFill>
              <w14:schemeClr w14:val="tx1"/>
            </w14:solidFill>
          </w14:textFill>
        </w:rPr>
        <w:t>DCZB-2025005</w:t>
      </w:r>
    </w:p>
    <w:p w14:paraId="038D6DC3">
      <w:pPr>
        <w:spacing w:before="151" w:line="221" w:lineRule="auto"/>
        <w:ind w:left="487"/>
        <w:rPr>
          <w:rFonts w:hint="default" w:ascii="黑体" w:hAnsi="黑体" w:eastAsia="黑体" w:cs="黑体"/>
          <w:color w:val="000000" w:themeColor="text1"/>
          <w:spacing w:val="2"/>
          <w:sz w:val="24"/>
          <w:szCs w:val="24"/>
          <w:lang w:val="en-US" w:eastAsia="zh-CN"/>
          <w14:textFill>
            <w14:solidFill>
              <w14:schemeClr w14:val="tx1"/>
            </w14:solidFill>
          </w14:textFill>
        </w:rPr>
      </w:pPr>
      <w:r>
        <w:rPr>
          <w:rFonts w:ascii="黑体" w:hAnsi="黑体" w:eastAsia="黑体" w:cs="黑体"/>
          <w:color w:val="000000" w:themeColor="text1"/>
          <w:spacing w:val="2"/>
          <w:sz w:val="24"/>
          <w:szCs w:val="24"/>
          <w14:textFill>
            <w14:solidFill>
              <w14:schemeClr w14:val="tx1"/>
            </w14:solidFill>
          </w14:textFill>
        </w:rPr>
        <w:t>项目名称：</w:t>
      </w:r>
      <w:r>
        <w:rPr>
          <w:rFonts w:hint="eastAsia" w:ascii="黑体" w:hAnsi="黑体" w:eastAsia="黑体" w:cs="黑体"/>
          <w:color w:val="000000" w:themeColor="text1"/>
          <w:spacing w:val="2"/>
          <w:sz w:val="24"/>
          <w:szCs w:val="24"/>
          <w:lang w:val="en-US" w:eastAsia="zh-CN"/>
          <w14:textFill>
            <w14:solidFill>
              <w14:schemeClr w14:val="tx1"/>
            </w14:solidFill>
          </w14:textFill>
        </w:rPr>
        <w:t>阿勒泰市切木尔切克镇切木尔切克村路边渠建设项目</w:t>
      </w:r>
    </w:p>
    <w:p w14:paraId="0C1CFE46">
      <w:pPr>
        <w:spacing w:before="151" w:line="221" w:lineRule="auto"/>
        <w:ind w:left="487"/>
        <w:rPr>
          <w:rFonts w:ascii="黑体" w:hAnsi="黑体" w:eastAsia="黑体" w:cs="黑体"/>
          <w:color w:val="000000" w:themeColor="text1"/>
          <w:sz w:val="24"/>
          <w:szCs w:val="24"/>
          <w14:textFill>
            <w14:solidFill>
              <w14:schemeClr w14:val="tx1"/>
            </w14:solidFill>
          </w14:textFill>
        </w:rPr>
      </w:pPr>
      <w:r>
        <w:rPr>
          <w:rFonts w:ascii="黑体" w:hAnsi="黑体" w:eastAsia="黑体" w:cs="黑体"/>
          <w:color w:val="000000" w:themeColor="text1"/>
          <w:spacing w:val="1"/>
          <w:sz w:val="24"/>
          <w:szCs w:val="24"/>
          <w14:textFill>
            <w14:solidFill>
              <w14:schemeClr w14:val="tx1"/>
            </w14:solidFill>
          </w14:textFill>
        </w:rPr>
        <w:t>采购方式：竞争性磋商</w:t>
      </w:r>
    </w:p>
    <w:p w14:paraId="1B5FC39C">
      <w:pPr>
        <w:spacing w:before="151" w:line="221" w:lineRule="auto"/>
        <w:ind w:left="487"/>
        <w:rPr>
          <w:rFonts w:hint="default" w:ascii="黑体" w:hAnsi="黑体" w:eastAsia="黑体" w:cs="黑体"/>
          <w:color w:val="000000" w:themeColor="text1"/>
          <w:spacing w:val="2"/>
          <w:sz w:val="24"/>
          <w:szCs w:val="24"/>
          <w:lang w:val="en-US" w:eastAsia="zh-CN"/>
          <w14:textFill>
            <w14:solidFill>
              <w14:schemeClr w14:val="tx1"/>
            </w14:solidFill>
          </w14:textFill>
        </w:rPr>
      </w:pPr>
      <w:r>
        <w:rPr>
          <w:rFonts w:ascii="黑体" w:hAnsi="黑体" w:eastAsia="黑体" w:cs="黑体"/>
          <w:color w:val="000000" w:themeColor="text1"/>
          <w:sz w:val="24"/>
          <w:szCs w:val="24"/>
          <w14:textFill>
            <w14:solidFill>
              <w14:schemeClr w14:val="tx1"/>
            </w14:solidFill>
          </w14:textFill>
        </w:rPr>
        <w:t>预算金额</w:t>
      </w:r>
      <w:r>
        <w:rPr>
          <w:rFonts w:hint="default" w:ascii="黑体" w:hAnsi="黑体" w:eastAsia="黑体" w:cs="黑体"/>
          <w:color w:val="000000" w:themeColor="text1"/>
          <w:spacing w:val="2"/>
          <w:sz w:val="24"/>
          <w:szCs w:val="24"/>
          <w:lang w:val="en-US" w:eastAsia="zh-CN"/>
          <w14:textFill>
            <w14:solidFill>
              <w14:schemeClr w14:val="tx1"/>
            </w14:solidFill>
          </w14:textFill>
        </w:rPr>
        <w:t>：</w:t>
      </w:r>
      <w:r>
        <w:rPr>
          <w:rFonts w:hint="eastAsia" w:ascii="黑体" w:hAnsi="黑体" w:eastAsia="黑体" w:cs="黑体"/>
          <w:color w:val="000000" w:themeColor="text1"/>
          <w:spacing w:val="2"/>
          <w:sz w:val="24"/>
          <w:szCs w:val="24"/>
          <w:lang w:val="en-US" w:eastAsia="zh-CN"/>
          <w14:textFill>
            <w14:solidFill>
              <w14:schemeClr w14:val="tx1"/>
            </w14:solidFill>
          </w14:textFill>
        </w:rPr>
        <w:t>300万</w:t>
      </w:r>
      <w:r>
        <w:rPr>
          <w:rFonts w:hint="default" w:ascii="黑体" w:hAnsi="黑体" w:eastAsia="黑体" w:cs="黑体"/>
          <w:color w:val="000000" w:themeColor="text1"/>
          <w:spacing w:val="2"/>
          <w:sz w:val="24"/>
          <w:szCs w:val="24"/>
          <w:lang w:val="en-US" w:eastAsia="zh-CN"/>
          <w14:textFill>
            <w14:solidFill>
              <w14:schemeClr w14:val="tx1"/>
            </w14:solidFill>
          </w14:textFill>
        </w:rPr>
        <w:t>元</w:t>
      </w:r>
    </w:p>
    <w:p w14:paraId="3DBDE64B">
      <w:pPr>
        <w:spacing w:before="151" w:line="221" w:lineRule="auto"/>
        <w:ind w:left="487"/>
        <w:rPr>
          <w:rFonts w:ascii="黑体" w:hAnsi="黑体" w:eastAsia="黑体" w:cs="黑体"/>
          <w:color w:val="000000" w:themeColor="text1"/>
          <w:sz w:val="24"/>
          <w:szCs w:val="24"/>
          <w14:textFill>
            <w14:solidFill>
              <w14:schemeClr w14:val="tx1"/>
            </w14:solidFill>
          </w14:textFill>
        </w:rPr>
      </w:pPr>
      <w:r>
        <w:rPr>
          <w:rFonts w:hint="default" w:ascii="黑体" w:hAnsi="黑体" w:eastAsia="黑体" w:cs="黑体"/>
          <w:color w:val="000000" w:themeColor="text1"/>
          <w:spacing w:val="2"/>
          <w:sz w:val="24"/>
          <w:szCs w:val="24"/>
          <w:lang w:val="en-US" w:eastAsia="zh-CN"/>
          <w14:textFill>
            <w14:solidFill>
              <w14:schemeClr w14:val="tx1"/>
            </w14:solidFill>
          </w14:textFill>
        </w:rPr>
        <w:t>最高限价：263</w:t>
      </w:r>
      <w:r>
        <w:rPr>
          <w:rFonts w:hint="eastAsia" w:ascii="黑体" w:hAnsi="黑体" w:eastAsia="黑体" w:cs="黑体"/>
          <w:color w:val="000000" w:themeColor="text1"/>
          <w:spacing w:val="2"/>
          <w:sz w:val="24"/>
          <w:szCs w:val="24"/>
          <w:lang w:val="en-US" w:eastAsia="zh-CN"/>
          <w14:textFill>
            <w14:solidFill>
              <w14:schemeClr w14:val="tx1"/>
            </w14:solidFill>
          </w14:textFill>
        </w:rPr>
        <w:t>.</w:t>
      </w:r>
      <w:r>
        <w:rPr>
          <w:rFonts w:hint="default" w:ascii="黑体" w:hAnsi="黑体" w:eastAsia="黑体" w:cs="黑体"/>
          <w:color w:val="000000" w:themeColor="text1"/>
          <w:spacing w:val="2"/>
          <w:sz w:val="24"/>
          <w:szCs w:val="24"/>
          <w:lang w:val="en-US" w:eastAsia="zh-CN"/>
          <w14:textFill>
            <w14:solidFill>
              <w14:schemeClr w14:val="tx1"/>
            </w14:solidFill>
          </w14:textFill>
        </w:rPr>
        <w:t>833284</w:t>
      </w:r>
      <w:r>
        <w:rPr>
          <w:rFonts w:hint="eastAsia" w:ascii="黑体" w:hAnsi="黑体" w:eastAsia="黑体" w:cs="黑体"/>
          <w:color w:val="000000" w:themeColor="text1"/>
          <w:spacing w:val="2"/>
          <w:sz w:val="24"/>
          <w:szCs w:val="24"/>
          <w:lang w:val="en-US" w:eastAsia="zh-CN"/>
          <w14:textFill>
            <w14:solidFill>
              <w14:schemeClr w14:val="tx1"/>
            </w14:solidFill>
          </w14:textFill>
        </w:rPr>
        <w:t>万</w:t>
      </w:r>
      <w:r>
        <w:rPr>
          <w:rFonts w:ascii="黑体" w:hAnsi="黑体" w:eastAsia="黑体" w:cs="黑体"/>
          <w:color w:val="000000" w:themeColor="text1"/>
          <w:sz w:val="24"/>
          <w:szCs w:val="24"/>
          <w14:textFill>
            <w14:solidFill>
              <w14:schemeClr w14:val="tx1"/>
            </w14:solidFill>
          </w14:textFill>
        </w:rPr>
        <w:t>元</w:t>
      </w:r>
    </w:p>
    <w:p w14:paraId="33B59F9F">
      <w:pPr>
        <w:spacing w:before="151" w:line="221" w:lineRule="auto"/>
        <w:ind w:left="487"/>
        <w:rPr>
          <w:rFonts w:hint="default" w:ascii="黑体" w:hAnsi="黑体" w:eastAsia="黑体" w:cs="黑体"/>
          <w:color w:val="000000" w:themeColor="text1"/>
          <w:spacing w:val="2"/>
          <w:sz w:val="24"/>
          <w:szCs w:val="24"/>
          <w:lang w:val="en-US" w:eastAsia="zh-CN"/>
          <w14:textFill>
            <w14:solidFill>
              <w14:schemeClr w14:val="tx1"/>
            </w14:solidFill>
          </w14:textFill>
        </w:rPr>
      </w:pPr>
      <w:r>
        <w:rPr>
          <w:rFonts w:ascii="黑体" w:hAnsi="黑体" w:eastAsia="黑体" w:cs="黑体"/>
          <w:color w:val="000000" w:themeColor="text1"/>
          <w:spacing w:val="2"/>
          <w:sz w:val="24"/>
          <w:szCs w:val="24"/>
          <w14:textFill>
            <w14:solidFill>
              <w14:schemeClr w14:val="tx1"/>
            </w14:solidFill>
          </w14:textFill>
        </w:rPr>
        <w:t>采购需求：</w:t>
      </w:r>
      <w:bookmarkStart w:id="1" w:name="OLE_LINK3"/>
      <w:r>
        <w:rPr>
          <w:rFonts w:hint="eastAsia" w:ascii="黑体" w:hAnsi="黑体" w:eastAsia="黑体" w:cs="黑体"/>
          <w:color w:val="000000" w:themeColor="text1"/>
          <w:spacing w:val="2"/>
          <w:sz w:val="24"/>
          <w:szCs w:val="24"/>
          <w:lang w:val="en-US" w:eastAsia="zh-CN"/>
          <w14:textFill>
            <w14:solidFill>
              <w14:schemeClr w14:val="tx1"/>
            </w14:solidFill>
          </w14:textFill>
        </w:rPr>
        <w:t>村内原道路改造6公里及附属设施，其中，别斯巴斯陶村3公里，阔克什木村3公里（详见招标工程量清单）</w:t>
      </w:r>
      <w:bookmarkEnd w:id="1"/>
      <w:bookmarkStart w:id="185" w:name="_GoBack"/>
      <w:bookmarkEnd w:id="185"/>
    </w:p>
    <w:p w14:paraId="544CBEEB">
      <w:pPr>
        <w:spacing w:before="152" w:line="441" w:lineRule="exact"/>
        <w:ind w:left="490"/>
        <w:rPr>
          <w:rFonts w:ascii="黑体" w:hAnsi="黑体" w:eastAsia="黑体" w:cs="黑体"/>
          <w:color w:val="000000" w:themeColor="text1"/>
          <w:sz w:val="24"/>
          <w:szCs w:val="24"/>
          <w14:textFill>
            <w14:solidFill>
              <w14:schemeClr w14:val="tx1"/>
            </w14:solidFill>
          </w14:textFill>
        </w:rPr>
      </w:pPr>
      <w:r>
        <w:rPr>
          <w:rFonts w:ascii="黑体" w:hAnsi="黑体" w:eastAsia="黑体" w:cs="黑体"/>
          <w:color w:val="000000" w:themeColor="text1"/>
          <w:spacing w:val="1"/>
          <w:position w:val="15"/>
          <w:sz w:val="24"/>
          <w:szCs w:val="24"/>
          <w14:textFill>
            <w14:solidFill>
              <w14:schemeClr w14:val="tx1"/>
            </w14:solidFill>
          </w14:textFill>
        </w:rPr>
        <w:t>合同履约期限：</w:t>
      </w:r>
      <w:bookmarkStart w:id="2" w:name="OLE_LINK6"/>
      <w:r>
        <w:rPr>
          <w:rFonts w:ascii="黑体" w:hAnsi="黑体" w:eastAsia="黑体" w:cs="黑体"/>
          <w:color w:val="000000" w:themeColor="text1"/>
          <w:spacing w:val="1"/>
          <w:position w:val="15"/>
          <w:sz w:val="24"/>
          <w:szCs w:val="24"/>
          <w14:textFill>
            <w14:solidFill>
              <w14:schemeClr w14:val="tx1"/>
            </w14:solidFill>
          </w14:textFill>
        </w:rPr>
        <w:t>详见磋商文件</w:t>
      </w:r>
      <w:bookmarkEnd w:id="2"/>
    </w:p>
    <w:p w14:paraId="7E2AA288">
      <w:pPr>
        <w:spacing w:before="1" w:line="221" w:lineRule="auto"/>
        <w:ind w:left="490"/>
        <w:rPr>
          <w:rFonts w:ascii="黑体" w:hAnsi="黑体" w:eastAsia="黑体" w:cs="黑体"/>
          <w:color w:val="000000" w:themeColor="text1"/>
          <w:sz w:val="24"/>
          <w:szCs w:val="24"/>
          <w14:textFill>
            <w14:solidFill>
              <w14:schemeClr w14:val="tx1"/>
            </w14:solidFill>
          </w14:textFill>
        </w:rPr>
      </w:pPr>
      <w:r>
        <w:rPr>
          <w:rFonts w:ascii="黑体" w:hAnsi="黑体" w:eastAsia="黑体" w:cs="黑体"/>
          <w:color w:val="000000" w:themeColor="text1"/>
          <w:spacing w:val="1"/>
          <w:sz w:val="24"/>
          <w:szCs w:val="24"/>
          <w14:textFill>
            <w14:solidFill>
              <w14:schemeClr w14:val="tx1"/>
            </w14:solidFill>
          </w14:textFill>
        </w:rPr>
        <w:t>本项目（否）接受联合体投标。</w:t>
      </w:r>
    </w:p>
    <w:p w14:paraId="4D06396D">
      <w:pPr>
        <w:spacing w:before="151" w:line="222" w:lineRule="auto"/>
        <w:ind w:left="5"/>
        <w:rPr>
          <w:rFonts w:ascii="黑体" w:hAnsi="黑体" w:eastAsia="黑体" w:cs="黑体"/>
          <w:color w:val="000000" w:themeColor="text1"/>
          <w:sz w:val="24"/>
          <w:szCs w:val="24"/>
          <w14:textFill>
            <w14:solidFill>
              <w14:schemeClr w14:val="tx1"/>
            </w14:solidFill>
          </w14:textFill>
        </w:rPr>
      </w:pPr>
      <w:r>
        <w:rPr>
          <w:rFonts w:ascii="黑体" w:hAnsi="黑体" w:eastAsia="黑体" w:cs="黑体"/>
          <w:color w:val="000000" w:themeColor="text1"/>
          <w:spacing w:val="1"/>
          <w:sz w:val="24"/>
          <w:szCs w:val="24"/>
          <w14:textOutline w14:w="4358" w14:cap="sq" w14:cmpd="sng">
            <w14:solidFill>
              <w14:srgbClr w14:val="000000"/>
            </w14:solidFill>
            <w14:prstDash w14:val="solid"/>
            <w14:bevel/>
          </w14:textOutline>
          <w14:textFill>
            <w14:solidFill>
              <w14:schemeClr w14:val="tx1"/>
            </w14:solidFill>
          </w14:textFill>
        </w:rPr>
        <w:t>二、申请人的资格要求：</w:t>
      </w:r>
    </w:p>
    <w:p w14:paraId="149A0944">
      <w:pPr>
        <w:spacing w:before="151" w:line="213" w:lineRule="auto"/>
        <w:ind w:left="501"/>
        <w:rPr>
          <w:rFonts w:ascii="黑体" w:hAnsi="黑体" w:eastAsia="黑体" w:cs="黑体"/>
          <w:color w:val="000000" w:themeColor="text1"/>
          <w:sz w:val="24"/>
          <w:szCs w:val="24"/>
          <w14:textFill>
            <w14:solidFill>
              <w14:schemeClr w14:val="tx1"/>
            </w14:solidFill>
          </w14:textFill>
        </w:rPr>
      </w:pPr>
      <w:r>
        <w:rPr>
          <w:rFonts w:ascii="黑体" w:hAnsi="黑体" w:eastAsia="黑体" w:cs="黑体"/>
          <w:color w:val="000000" w:themeColor="text1"/>
          <w:spacing w:val="1"/>
          <w:sz w:val="24"/>
          <w:szCs w:val="24"/>
          <w14:textFill>
            <w14:solidFill>
              <w14:schemeClr w14:val="tx1"/>
            </w14:solidFill>
          </w14:textFill>
        </w:rPr>
        <w:t>1.满足《中华人民共和国政府采购法》第二十二条规定；</w:t>
      </w:r>
    </w:p>
    <w:p w14:paraId="0FEFD958">
      <w:pPr>
        <w:spacing w:before="164" w:line="440" w:lineRule="exact"/>
        <w:ind w:left="487"/>
        <w:rPr>
          <w:color w:val="000000" w:themeColor="text1"/>
          <w14:textFill>
            <w14:solidFill>
              <w14:schemeClr w14:val="tx1"/>
            </w14:solidFill>
          </w14:textFill>
        </w:rPr>
      </w:pPr>
      <w:r>
        <w:rPr>
          <w:rFonts w:ascii="黑体" w:hAnsi="黑体" w:eastAsia="黑体" w:cs="黑体"/>
          <w:color w:val="000000" w:themeColor="text1"/>
          <w:spacing w:val="2"/>
          <w:position w:val="14"/>
          <w:sz w:val="24"/>
          <w:szCs w:val="24"/>
          <w14:textFill>
            <w14:solidFill>
              <w14:schemeClr w14:val="tx1"/>
            </w14:solidFill>
          </w14:textFill>
        </w:rPr>
        <w:t>2.落实政府采购政策需满足的资格要求：</w:t>
      </w:r>
      <w:bookmarkStart w:id="3" w:name="OLE_LINK7"/>
      <w:r>
        <w:rPr>
          <w:rFonts w:hint="eastAsia" w:ascii="黑体" w:hAnsi="黑体" w:eastAsia="黑体" w:cs="黑体"/>
          <w:color w:val="000000" w:themeColor="text1"/>
          <w:spacing w:val="2"/>
          <w:position w:val="14"/>
          <w:sz w:val="24"/>
          <w:szCs w:val="24"/>
          <w:lang w:val="en-US" w:eastAsia="zh-CN"/>
          <w14:textFill>
            <w14:solidFill>
              <w14:schemeClr w14:val="tx1"/>
            </w14:solidFill>
          </w14:textFill>
        </w:rPr>
        <w:t>本项目专门面向中小企业</w:t>
      </w:r>
      <w:r>
        <w:rPr>
          <w:rFonts w:hint="eastAsia" w:ascii="黑体" w:hAnsi="黑体" w:eastAsia="黑体" w:cs="黑体"/>
          <w:color w:val="000000" w:themeColor="text1"/>
          <w:spacing w:val="2"/>
          <w:position w:val="14"/>
          <w:sz w:val="24"/>
          <w:szCs w:val="24"/>
          <w14:textFill>
            <w14:solidFill>
              <w14:schemeClr w14:val="tx1"/>
            </w14:solidFill>
          </w14:textFill>
        </w:rPr>
        <w:t>,符合（1）《政府采购促进中小企业发展暂行办法》（财库[2020]46 号）；（2）《关于促进残疾人就业政府采购政策的通知》(财库〔2017〕141 号);（3）《财政部环保总局关于环境标志产品政府采购实施的意见》(财库〔2006〕90号)。注： 以上政策不重复享受。如属于上述企业需按招标文件要求提供相关资料。</w:t>
      </w:r>
      <w:bookmarkEnd w:id="3"/>
    </w:p>
    <w:p w14:paraId="6297FFDB">
      <w:pPr>
        <w:spacing w:line="221" w:lineRule="auto"/>
        <w:ind w:left="489"/>
        <w:rPr>
          <w:rFonts w:ascii="黑体" w:hAnsi="黑体" w:eastAsia="黑体" w:cs="黑体"/>
          <w:color w:val="000000" w:themeColor="text1"/>
          <w:sz w:val="24"/>
          <w:szCs w:val="24"/>
          <w14:textFill>
            <w14:solidFill>
              <w14:schemeClr w14:val="tx1"/>
            </w14:solidFill>
          </w14:textFill>
        </w:rPr>
      </w:pPr>
      <w:r>
        <w:rPr>
          <w:rFonts w:ascii="黑体" w:hAnsi="黑体" w:eastAsia="黑体" w:cs="黑体"/>
          <w:color w:val="000000" w:themeColor="text1"/>
          <w:spacing w:val="1"/>
          <w:sz w:val="24"/>
          <w:szCs w:val="24"/>
          <w14:textFill>
            <w14:solidFill>
              <w14:schemeClr w14:val="tx1"/>
            </w14:solidFill>
          </w14:textFill>
        </w:rPr>
        <w:t>3.本项目的特定资格要求：</w:t>
      </w:r>
    </w:p>
    <w:p w14:paraId="4E71434D">
      <w:pPr>
        <w:spacing w:before="151" w:line="213" w:lineRule="auto"/>
        <w:ind w:firstLine="484" w:firstLineChars="200"/>
        <w:rPr>
          <w:rFonts w:ascii="黑体" w:hAnsi="黑体" w:eastAsia="黑体" w:cs="黑体"/>
          <w:color w:val="000000" w:themeColor="text1"/>
          <w:sz w:val="24"/>
          <w:szCs w:val="24"/>
          <w14:textFill>
            <w14:solidFill>
              <w14:schemeClr w14:val="tx1"/>
            </w14:solidFill>
          </w14:textFill>
        </w:rPr>
      </w:pPr>
      <w:bookmarkStart w:id="4" w:name="OLE_LINK8"/>
      <w:r>
        <w:rPr>
          <w:rFonts w:ascii="黑体" w:hAnsi="黑体" w:eastAsia="黑体" w:cs="黑体"/>
          <w:color w:val="000000" w:themeColor="text1"/>
          <w:spacing w:val="1"/>
          <w:sz w:val="24"/>
          <w:szCs w:val="24"/>
          <w14:textFill>
            <w14:solidFill>
              <w14:schemeClr w14:val="tx1"/>
            </w14:solidFill>
          </w14:textFill>
        </w:rPr>
        <w:t>（1）在中华人民共和国境内注册，具有有效的营业执照；</w:t>
      </w:r>
    </w:p>
    <w:p w14:paraId="6419BF0D">
      <w:pPr>
        <w:spacing w:before="164" w:line="338" w:lineRule="auto"/>
        <w:ind w:left="4" w:firstLine="505"/>
        <w:rPr>
          <w:rFonts w:ascii="黑体" w:hAnsi="黑体" w:eastAsia="黑体" w:cs="黑体"/>
          <w:color w:val="000000" w:themeColor="text1"/>
          <w:spacing w:val="3"/>
          <w:sz w:val="24"/>
          <w:szCs w:val="24"/>
          <w14:textFill>
            <w14:solidFill>
              <w14:schemeClr w14:val="tx1"/>
            </w14:solidFill>
          </w14:textFill>
        </w:rPr>
      </w:pPr>
      <w:r>
        <w:rPr>
          <w:rFonts w:ascii="黑体" w:hAnsi="黑体" w:eastAsia="黑体" w:cs="黑体"/>
          <w:color w:val="000000" w:themeColor="text1"/>
          <w:spacing w:val="3"/>
          <w:sz w:val="24"/>
          <w:szCs w:val="24"/>
          <w14:textFill>
            <w14:solidFill>
              <w14:schemeClr w14:val="tx1"/>
            </w14:solidFill>
          </w14:textFill>
        </w:rPr>
        <w:t>(2) 资质条件：</w:t>
      </w:r>
      <w:r>
        <w:rPr>
          <w:rFonts w:hint="eastAsia" w:ascii="黑体" w:hAnsi="黑体" w:eastAsia="黑体" w:cs="黑体"/>
          <w:color w:val="000000" w:themeColor="text1"/>
          <w:spacing w:val="3"/>
          <w:sz w:val="24"/>
          <w:szCs w:val="24"/>
          <w:lang w:val="en-US" w:eastAsia="zh-CN"/>
          <w14:textFill>
            <w14:solidFill>
              <w14:schemeClr w14:val="tx1"/>
            </w14:solidFill>
          </w14:textFill>
        </w:rPr>
        <w:t>市政公用工程总承包</w:t>
      </w:r>
      <w:r>
        <w:rPr>
          <w:rFonts w:ascii="黑体" w:hAnsi="黑体" w:eastAsia="黑体" w:cs="黑体"/>
          <w:color w:val="000000" w:themeColor="text1"/>
          <w:spacing w:val="3"/>
          <w:sz w:val="24"/>
          <w:szCs w:val="24"/>
          <w14:textFill>
            <w14:solidFill>
              <w14:schemeClr w14:val="tx1"/>
            </w14:solidFill>
          </w14:textFill>
        </w:rPr>
        <w:t>叁级(含叁级)及以上资质，在人员、设备、资金等方面具有相应的施工能力，有安全生产许可证</w:t>
      </w:r>
      <w:r>
        <w:rPr>
          <w:rFonts w:hint="eastAsia" w:ascii="黑体" w:hAnsi="黑体" w:eastAsia="黑体" w:cs="黑体"/>
          <w:color w:val="000000" w:themeColor="text1"/>
          <w:spacing w:val="3"/>
          <w:sz w:val="24"/>
          <w:szCs w:val="24"/>
          <w:lang w:eastAsia="zh-CN"/>
          <w14:textFill>
            <w14:solidFill>
              <w14:schemeClr w14:val="tx1"/>
            </w14:solidFill>
          </w14:textFill>
        </w:rPr>
        <w:t>；</w:t>
      </w:r>
      <w:r>
        <w:rPr>
          <w:rFonts w:hint="eastAsia" w:ascii="黑体" w:hAnsi="黑体" w:eastAsia="黑体" w:cs="黑体"/>
          <w:color w:val="000000" w:themeColor="text1"/>
          <w:spacing w:val="3"/>
          <w:sz w:val="24"/>
          <w:szCs w:val="24"/>
          <w:lang w:val="en-US" w:eastAsia="zh-CN"/>
          <w14:textFill>
            <w14:solidFill>
              <w14:schemeClr w14:val="tx1"/>
            </w14:solidFill>
          </w14:textFill>
        </w:rPr>
        <w:t>有类似项目业绩。</w:t>
      </w:r>
    </w:p>
    <w:p w14:paraId="37BC196F">
      <w:pPr>
        <w:spacing w:before="164" w:line="338" w:lineRule="auto"/>
        <w:ind w:left="4" w:firstLine="505"/>
        <w:rPr>
          <w:rFonts w:ascii="黑体" w:hAnsi="黑体" w:eastAsia="黑体" w:cs="黑体"/>
          <w:color w:val="000000" w:themeColor="text1"/>
          <w:spacing w:val="3"/>
          <w:sz w:val="24"/>
          <w:szCs w:val="24"/>
          <w14:textFill>
            <w14:solidFill>
              <w14:schemeClr w14:val="tx1"/>
            </w14:solidFill>
          </w14:textFill>
        </w:rPr>
      </w:pPr>
      <w:r>
        <w:rPr>
          <w:rFonts w:ascii="黑体" w:hAnsi="黑体" w:eastAsia="黑体" w:cs="黑体"/>
          <w:color w:val="000000" w:themeColor="text1"/>
          <w:spacing w:val="3"/>
          <w:sz w:val="24"/>
          <w:szCs w:val="24"/>
          <w14:textFill>
            <w14:solidFill>
              <w14:schemeClr w14:val="tx1"/>
            </w14:solidFill>
          </w14:textFill>
        </w:rPr>
        <w:t>(3) 项目负责人资格：</w:t>
      </w:r>
      <w:r>
        <w:rPr>
          <w:rFonts w:hint="eastAsia" w:ascii="黑体" w:hAnsi="黑体" w:eastAsia="黑体" w:cs="黑体"/>
          <w:color w:val="000000" w:themeColor="text1"/>
          <w:spacing w:val="3"/>
          <w:sz w:val="24"/>
          <w:szCs w:val="24"/>
          <w:lang w:val="en-US" w:eastAsia="zh-CN"/>
          <w14:textFill>
            <w14:solidFill>
              <w14:schemeClr w14:val="tx1"/>
            </w14:solidFill>
          </w14:textFill>
        </w:rPr>
        <w:t>市政公用工程专业</w:t>
      </w:r>
      <w:r>
        <w:rPr>
          <w:rFonts w:ascii="黑体" w:hAnsi="黑体" w:eastAsia="黑体" w:cs="黑体"/>
          <w:color w:val="000000" w:themeColor="text1"/>
          <w:spacing w:val="3"/>
          <w:sz w:val="24"/>
          <w:szCs w:val="24"/>
          <w14:textFill>
            <w14:solidFill>
              <w14:schemeClr w14:val="tx1"/>
            </w14:solidFill>
          </w14:textFill>
        </w:rPr>
        <w:t>贰级(含贰级)及以上建造师执业资格， 具备有效的安全生产考核合格证书，且未担任其他建设工程项目的项目经理。</w:t>
      </w:r>
    </w:p>
    <w:p w14:paraId="163DB1B7">
      <w:pPr>
        <w:spacing w:before="164" w:line="338" w:lineRule="auto"/>
        <w:ind w:left="4" w:firstLine="505"/>
        <w:rPr>
          <w:rFonts w:ascii="黑体" w:hAnsi="黑体" w:eastAsia="黑体" w:cs="黑体"/>
          <w:color w:val="000000" w:themeColor="text1"/>
          <w:sz w:val="24"/>
          <w:szCs w:val="24"/>
          <w14:textFill>
            <w14:solidFill>
              <w14:schemeClr w14:val="tx1"/>
            </w14:solidFill>
          </w14:textFill>
        </w:rPr>
      </w:pPr>
      <w:r>
        <w:rPr>
          <w:rFonts w:ascii="黑体" w:hAnsi="黑体" w:eastAsia="黑体" w:cs="黑体"/>
          <w:color w:val="000000" w:themeColor="text1"/>
          <w:spacing w:val="3"/>
          <w:sz w:val="24"/>
          <w:szCs w:val="24"/>
          <w14:textFill>
            <w14:solidFill>
              <w14:schemeClr w14:val="tx1"/>
            </w14:solidFill>
          </w14:textFill>
        </w:rPr>
        <w:t>（4）凡拟参加本次磋商项目的供应商须具有良好的信誉，未在“信用中国”网</w:t>
      </w:r>
      <w:r>
        <w:rPr>
          <w:rFonts w:ascii="黑体" w:hAnsi="黑体" w:eastAsia="黑体" w:cs="黑体"/>
          <w:color w:val="000000" w:themeColor="text1"/>
          <w:spacing w:val="-2"/>
          <w:sz w:val="24"/>
          <w:szCs w:val="24"/>
          <w14:textFill>
            <w14:solidFill>
              <w14:schemeClr w14:val="tx1"/>
            </w14:solidFill>
          </w14:textFill>
        </w:rPr>
        <w:t>站（www.creditchina.gov.c</w:t>
      </w:r>
      <w:r>
        <w:rPr>
          <w:rFonts w:ascii="黑体" w:hAnsi="黑体" w:eastAsia="黑体" w:cs="黑体"/>
          <w:color w:val="000000" w:themeColor="text1"/>
          <w:spacing w:val="-3"/>
          <w:sz w:val="24"/>
          <w:szCs w:val="24"/>
          <w14:textFill>
            <w14:solidFill>
              <w14:schemeClr w14:val="tx1"/>
            </w14:solidFill>
          </w14:textFill>
        </w:rPr>
        <w:t>n）被列入失信被执行人、重大税收违法案件当事人名单、</w:t>
      </w:r>
      <w:r>
        <w:rPr>
          <w:rFonts w:ascii="黑体" w:hAnsi="黑体" w:eastAsia="黑体" w:cs="黑体"/>
          <w:color w:val="000000" w:themeColor="text1"/>
          <w:spacing w:val="-2"/>
          <w:sz w:val="24"/>
          <w:szCs w:val="24"/>
          <w14:textFill>
            <w14:solidFill>
              <w14:schemeClr w14:val="tx1"/>
            </w14:solidFill>
          </w14:textFill>
        </w:rPr>
        <w:t>中国政府采购网（www.ccgp.gov.cn）被列入政府采购严重违法失信行为记录名单（尚</w:t>
      </w:r>
      <w:r>
        <w:rPr>
          <w:rFonts w:ascii="黑体" w:hAnsi="黑体" w:eastAsia="黑体" w:cs="黑体"/>
          <w:color w:val="000000" w:themeColor="text1"/>
          <w:sz w:val="24"/>
          <w:szCs w:val="24"/>
          <w14:textFill>
            <w14:solidFill>
              <w14:schemeClr w14:val="tx1"/>
            </w14:solidFill>
          </w14:textFill>
        </w:rPr>
        <w:t>在处罚期内的）。</w:t>
      </w:r>
      <w:bookmarkEnd w:id="4"/>
    </w:p>
    <w:p w14:paraId="2F77D3AF">
      <w:pPr>
        <w:pStyle w:val="5"/>
        <w:spacing w:line="255" w:lineRule="auto"/>
        <w:rPr>
          <w:color w:val="000000" w:themeColor="text1"/>
          <w14:textFill>
            <w14:solidFill>
              <w14:schemeClr w14:val="tx1"/>
            </w14:solidFill>
          </w14:textFill>
        </w:rPr>
      </w:pPr>
    </w:p>
    <w:p w14:paraId="6CCE3EEC">
      <w:pPr>
        <w:pStyle w:val="5"/>
        <w:spacing w:line="256" w:lineRule="auto"/>
        <w:rPr>
          <w:color w:val="000000" w:themeColor="text1"/>
          <w14:textFill>
            <w14:solidFill>
              <w14:schemeClr w14:val="tx1"/>
            </w14:solidFill>
          </w14:textFill>
        </w:rPr>
      </w:pPr>
    </w:p>
    <w:p w14:paraId="21D4FBBF">
      <w:pPr>
        <w:numPr>
          <w:ilvl w:val="0"/>
          <w:numId w:val="2"/>
        </w:numPr>
        <w:spacing w:line="240" w:lineRule="auto"/>
        <w:ind w:left="0"/>
        <w:rPr>
          <w:color w:val="000000" w:themeColor="text1"/>
          <w14:textFill>
            <w14:solidFill>
              <w14:schemeClr w14:val="tx1"/>
            </w14:solidFill>
          </w14:textFill>
        </w:rPr>
      </w:pPr>
      <w:r>
        <w:rPr>
          <w:rFonts w:ascii="黑体" w:hAnsi="黑体" w:eastAsia="黑体" w:cs="黑体"/>
          <w:color w:val="000000" w:themeColor="text1"/>
          <w:spacing w:val="1"/>
          <w:sz w:val="24"/>
          <w:szCs w:val="24"/>
          <w14:textOutline w14:w="4358" w14:cap="sq" w14:cmpd="sng">
            <w14:solidFill>
              <w14:srgbClr w14:val="000000"/>
            </w14:solidFill>
            <w14:prstDash w14:val="solid"/>
            <w14:bevel/>
          </w14:textOutline>
          <w14:textFill>
            <w14:solidFill>
              <w14:schemeClr w14:val="tx1"/>
            </w14:solidFill>
          </w14:textFill>
        </w:rPr>
        <w:t>获取磋商文件</w:t>
      </w:r>
    </w:p>
    <w:p w14:paraId="0BB63883">
      <w:pPr>
        <w:spacing w:before="162" w:line="218" w:lineRule="auto"/>
        <w:ind w:firstLine="488" w:firstLineChars="200"/>
        <w:rPr>
          <w:rFonts w:ascii="黑体" w:hAnsi="黑体" w:eastAsia="黑体" w:cs="黑体"/>
          <w:color w:val="000000" w:themeColor="text1"/>
          <w:spacing w:val="2"/>
          <w:sz w:val="24"/>
          <w:szCs w:val="24"/>
          <w14:textFill>
            <w14:solidFill>
              <w14:schemeClr w14:val="tx1"/>
            </w14:solidFill>
          </w14:textFill>
        </w:rPr>
      </w:pPr>
      <w:r>
        <w:rPr>
          <w:rFonts w:ascii="黑体" w:hAnsi="黑体" w:eastAsia="黑体" w:cs="黑体"/>
          <w:color w:val="000000" w:themeColor="text1"/>
          <w:spacing w:val="2"/>
          <w:sz w:val="24"/>
          <w:szCs w:val="24"/>
          <w14:textFill>
            <w14:solidFill>
              <w14:schemeClr w14:val="tx1"/>
            </w14:solidFill>
          </w14:textFill>
        </w:rPr>
        <w:t>时间：202</w:t>
      </w:r>
      <w:r>
        <w:rPr>
          <w:rFonts w:hint="eastAsia" w:ascii="黑体" w:hAnsi="黑体" w:eastAsia="黑体" w:cs="黑体"/>
          <w:color w:val="000000" w:themeColor="text1"/>
          <w:spacing w:val="2"/>
          <w:sz w:val="24"/>
          <w:szCs w:val="24"/>
          <w:lang w:val="en-US" w:eastAsia="zh-CN"/>
          <w14:textFill>
            <w14:solidFill>
              <w14:schemeClr w14:val="tx1"/>
            </w14:solidFill>
          </w14:textFill>
        </w:rPr>
        <w:t>5</w:t>
      </w:r>
      <w:r>
        <w:rPr>
          <w:rFonts w:ascii="黑体" w:hAnsi="黑体" w:eastAsia="黑体" w:cs="黑体"/>
          <w:color w:val="000000" w:themeColor="text1"/>
          <w:spacing w:val="2"/>
          <w:sz w:val="24"/>
          <w:szCs w:val="24"/>
          <w14:textFill>
            <w14:solidFill>
              <w14:schemeClr w14:val="tx1"/>
            </w14:solidFill>
          </w14:textFill>
        </w:rPr>
        <w:t>年</w:t>
      </w:r>
      <w:r>
        <w:rPr>
          <w:rFonts w:hint="eastAsia" w:ascii="黑体" w:hAnsi="黑体" w:eastAsia="黑体" w:cs="黑体"/>
          <w:color w:val="000000" w:themeColor="text1"/>
          <w:spacing w:val="2"/>
          <w:sz w:val="24"/>
          <w:szCs w:val="24"/>
          <w:lang w:val="en-US" w:eastAsia="zh-CN"/>
          <w14:textFill>
            <w14:solidFill>
              <w14:schemeClr w14:val="tx1"/>
            </w14:solidFill>
          </w14:textFill>
        </w:rPr>
        <w:t>4</w:t>
      </w:r>
      <w:r>
        <w:rPr>
          <w:rFonts w:ascii="黑体" w:hAnsi="黑体" w:eastAsia="黑体" w:cs="黑体"/>
          <w:color w:val="000000" w:themeColor="text1"/>
          <w:spacing w:val="2"/>
          <w:sz w:val="24"/>
          <w:szCs w:val="24"/>
          <w14:textFill>
            <w14:solidFill>
              <w14:schemeClr w14:val="tx1"/>
            </w14:solidFill>
          </w14:textFill>
        </w:rPr>
        <w:t>月</w:t>
      </w:r>
      <w:r>
        <w:rPr>
          <w:rFonts w:hint="eastAsia" w:ascii="黑体" w:hAnsi="黑体" w:eastAsia="黑体" w:cs="黑体"/>
          <w:color w:val="000000" w:themeColor="text1"/>
          <w:spacing w:val="2"/>
          <w:sz w:val="24"/>
          <w:szCs w:val="24"/>
          <w:lang w:val="en-US" w:eastAsia="zh-CN"/>
          <w14:textFill>
            <w14:solidFill>
              <w14:schemeClr w14:val="tx1"/>
            </w14:solidFill>
          </w14:textFill>
        </w:rPr>
        <w:t>23</w:t>
      </w:r>
      <w:r>
        <w:rPr>
          <w:rFonts w:ascii="黑体" w:hAnsi="黑体" w:eastAsia="黑体" w:cs="黑体"/>
          <w:color w:val="000000" w:themeColor="text1"/>
          <w:spacing w:val="2"/>
          <w:sz w:val="24"/>
          <w:szCs w:val="24"/>
          <w14:textFill>
            <w14:solidFill>
              <w14:schemeClr w14:val="tx1"/>
            </w14:solidFill>
          </w14:textFill>
        </w:rPr>
        <w:t>日至202</w:t>
      </w:r>
      <w:r>
        <w:rPr>
          <w:rFonts w:hint="eastAsia" w:ascii="黑体" w:hAnsi="黑体" w:eastAsia="黑体" w:cs="黑体"/>
          <w:color w:val="000000" w:themeColor="text1"/>
          <w:spacing w:val="2"/>
          <w:sz w:val="24"/>
          <w:szCs w:val="24"/>
          <w:lang w:val="en-US" w:eastAsia="zh-CN"/>
          <w14:textFill>
            <w14:solidFill>
              <w14:schemeClr w14:val="tx1"/>
            </w14:solidFill>
          </w14:textFill>
        </w:rPr>
        <w:t>5</w:t>
      </w:r>
      <w:r>
        <w:rPr>
          <w:rFonts w:ascii="黑体" w:hAnsi="黑体" w:eastAsia="黑体" w:cs="黑体"/>
          <w:color w:val="000000" w:themeColor="text1"/>
          <w:spacing w:val="2"/>
          <w:sz w:val="24"/>
          <w:szCs w:val="24"/>
          <w14:textFill>
            <w14:solidFill>
              <w14:schemeClr w14:val="tx1"/>
            </w14:solidFill>
          </w14:textFill>
        </w:rPr>
        <w:t>年</w:t>
      </w:r>
      <w:r>
        <w:rPr>
          <w:rFonts w:hint="eastAsia" w:ascii="黑体" w:hAnsi="黑体" w:eastAsia="黑体" w:cs="黑体"/>
          <w:color w:val="000000" w:themeColor="text1"/>
          <w:spacing w:val="2"/>
          <w:sz w:val="24"/>
          <w:szCs w:val="24"/>
          <w:lang w:val="en-US" w:eastAsia="zh-CN"/>
          <w14:textFill>
            <w14:solidFill>
              <w14:schemeClr w14:val="tx1"/>
            </w14:solidFill>
          </w14:textFill>
        </w:rPr>
        <w:t>4</w:t>
      </w:r>
      <w:r>
        <w:rPr>
          <w:rFonts w:ascii="黑体" w:hAnsi="黑体" w:eastAsia="黑体" w:cs="黑体"/>
          <w:color w:val="000000" w:themeColor="text1"/>
          <w:spacing w:val="2"/>
          <w:sz w:val="24"/>
          <w:szCs w:val="24"/>
          <w14:textFill>
            <w14:solidFill>
              <w14:schemeClr w14:val="tx1"/>
            </w14:solidFill>
          </w14:textFill>
        </w:rPr>
        <w:t>月</w:t>
      </w:r>
      <w:r>
        <w:rPr>
          <w:rFonts w:hint="eastAsia" w:ascii="黑体" w:hAnsi="黑体" w:eastAsia="黑体" w:cs="黑体"/>
          <w:color w:val="000000" w:themeColor="text1"/>
          <w:spacing w:val="2"/>
          <w:sz w:val="24"/>
          <w:szCs w:val="24"/>
          <w:lang w:val="en-US" w:eastAsia="zh-CN"/>
          <w14:textFill>
            <w14:solidFill>
              <w14:schemeClr w14:val="tx1"/>
            </w14:solidFill>
          </w14:textFill>
        </w:rPr>
        <w:t>29</w:t>
      </w:r>
      <w:r>
        <w:rPr>
          <w:rFonts w:ascii="黑体" w:hAnsi="黑体" w:eastAsia="黑体" w:cs="黑体"/>
          <w:color w:val="000000" w:themeColor="text1"/>
          <w:spacing w:val="2"/>
          <w:sz w:val="24"/>
          <w:szCs w:val="24"/>
          <w14:textFill>
            <w14:solidFill>
              <w14:schemeClr w14:val="tx1"/>
            </w14:solidFill>
          </w14:textFill>
        </w:rPr>
        <w:t>日（北京时间，法定节假日除外）</w:t>
      </w:r>
    </w:p>
    <w:p w14:paraId="3550C6B2">
      <w:pPr>
        <w:spacing w:before="162" w:line="218" w:lineRule="auto"/>
        <w:ind w:left="490"/>
        <w:rPr>
          <w:rFonts w:ascii="黑体" w:hAnsi="黑体" w:eastAsia="黑体" w:cs="黑体"/>
          <w:color w:val="000000" w:themeColor="text1"/>
          <w:sz w:val="24"/>
          <w:szCs w:val="24"/>
          <w14:textFill>
            <w14:solidFill>
              <w14:schemeClr w14:val="tx1"/>
            </w14:solidFill>
          </w14:textFill>
        </w:rPr>
      </w:pPr>
      <w:r>
        <w:rPr>
          <w:rFonts w:ascii="黑体" w:hAnsi="黑体" w:eastAsia="黑体" w:cs="黑体"/>
          <w:color w:val="000000" w:themeColor="text1"/>
          <w:spacing w:val="2"/>
          <w:sz w:val="24"/>
          <w:szCs w:val="24"/>
          <w14:textFill>
            <w14:solidFill>
              <w14:schemeClr w14:val="tx1"/>
            </w14:solidFill>
          </w14:textFill>
        </w:rPr>
        <w:t>地点：政采云平台（</w:t>
      </w:r>
      <w:r>
        <w:rPr>
          <w:rFonts w:ascii="黑体" w:hAnsi="黑体" w:eastAsia="黑体" w:cs="黑体"/>
          <w:color w:val="000000" w:themeColor="text1"/>
          <w:sz w:val="24"/>
          <w:szCs w:val="24"/>
          <w14:textFill>
            <w14:solidFill>
              <w14:schemeClr w14:val="tx1"/>
            </w14:solidFill>
          </w14:textFill>
        </w:rPr>
        <w:t>https</w:t>
      </w:r>
      <w:r>
        <w:rPr>
          <w:rFonts w:ascii="黑体" w:hAnsi="黑体" w:eastAsia="黑体" w:cs="黑体"/>
          <w:color w:val="000000" w:themeColor="text1"/>
          <w:spacing w:val="2"/>
          <w:sz w:val="24"/>
          <w:szCs w:val="24"/>
          <w14:textFill>
            <w14:solidFill>
              <w14:schemeClr w14:val="tx1"/>
            </w14:solidFill>
          </w14:textFill>
        </w:rPr>
        <w:t>://</w:t>
      </w:r>
      <w:r>
        <w:rPr>
          <w:rFonts w:ascii="黑体" w:hAnsi="黑体" w:eastAsia="黑体" w:cs="黑体"/>
          <w:color w:val="000000" w:themeColor="text1"/>
          <w:sz w:val="24"/>
          <w:szCs w:val="24"/>
          <w14:textFill>
            <w14:solidFill>
              <w14:schemeClr w14:val="tx1"/>
            </w14:solidFill>
          </w14:textFill>
        </w:rPr>
        <w:t>www</w:t>
      </w:r>
      <w:r>
        <w:rPr>
          <w:rFonts w:ascii="黑体" w:hAnsi="黑体" w:eastAsia="黑体" w:cs="黑体"/>
          <w:color w:val="000000" w:themeColor="text1"/>
          <w:spacing w:val="2"/>
          <w:sz w:val="24"/>
          <w:szCs w:val="24"/>
          <w14:textFill>
            <w14:solidFill>
              <w14:schemeClr w14:val="tx1"/>
            </w14:solidFill>
          </w14:textFill>
        </w:rPr>
        <w:t>.</w:t>
      </w:r>
      <w:r>
        <w:rPr>
          <w:rFonts w:ascii="黑体" w:hAnsi="黑体" w:eastAsia="黑体" w:cs="黑体"/>
          <w:color w:val="000000" w:themeColor="text1"/>
          <w:sz w:val="24"/>
          <w:szCs w:val="24"/>
          <w14:textFill>
            <w14:solidFill>
              <w14:schemeClr w14:val="tx1"/>
            </w14:solidFill>
          </w14:textFill>
        </w:rPr>
        <w:t>zcygov</w:t>
      </w:r>
      <w:r>
        <w:rPr>
          <w:rFonts w:ascii="黑体" w:hAnsi="黑体" w:eastAsia="黑体" w:cs="黑体"/>
          <w:color w:val="000000" w:themeColor="text1"/>
          <w:spacing w:val="2"/>
          <w:sz w:val="24"/>
          <w:szCs w:val="24"/>
          <w14:textFill>
            <w14:solidFill>
              <w14:schemeClr w14:val="tx1"/>
            </w14:solidFill>
          </w14:textFill>
        </w:rPr>
        <w:t>.</w:t>
      </w:r>
      <w:r>
        <w:rPr>
          <w:rFonts w:ascii="黑体" w:hAnsi="黑体" w:eastAsia="黑体" w:cs="黑体"/>
          <w:color w:val="000000" w:themeColor="text1"/>
          <w:sz w:val="24"/>
          <w:szCs w:val="24"/>
          <w14:textFill>
            <w14:solidFill>
              <w14:schemeClr w14:val="tx1"/>
            </w14:solidFill>
          </w14:textFill>
        </w:rPr>
        <w:t>cn</w:t>
      </w:r>
      <w:r>
        <w:rPr>
          <w:rFonts w:ascii="黑体" w:hAnsi="黑体" w:eastAsia="黑体" w:cs="黑体"/>
          <w:color w:val="000000" w:themeColor="text1"/>
          <w:spacing w:val="2"/>
          <w:sz w:val="24"/>
          <w:szCs w:val="24"/>
          <w14:textFill>
            <w14:solidFill>
              <w14:schemeClr w14:val="tx1"/>
            </w14:solidFill>
          </w14:textFill>
        </w:rPr>
        <w:t>/）</w:t>
      </w:r>
    </w:p>
    <w:p w14:paraId="6A2647B3">
      <w:pPr>
        <w:spacing w:before="158" w:line="439" w:lineRule="exact"/>
        <w:ind w:left="493"/>
        <w:rPr>
          <w:rFonts w:ascii="黑体" w:hAnsi="黑体" w:eastAsia="黑体" w:cs="黑体"/>
          <w:color w:val="000000" w:themeColor="text1"/>
          <w:sz w:val="24"/>
          <w:szCs w:val="24"/>
          <w14:textFill>
            <w14:solidFill>
              <w14:schemeClr w14:val="tx1"/>
            </w14:solidFill>
          </w14:textFill>
        </w:rPr>
      </w:pPr>
      <w:r>
        <w:rPr>
          <w:rFonts w:ascii="黑体" w:hAnsi="黑体" w:eastAsia="黑体" w:cs="黑体"/>
          <w:color w:val="000000" w:themeColor="text1"/>
          <w:spacing w:val="6"/>
          <w:position w:val="15"/>
          <w:sz w:val="24"/>
          <w:szCs w:val="24"/>
          <w14:textFill>
            <w14:solidFill>
              <w14:schemeClr w14:val="tx1"/>
            </w14:solidFill>
          </w14:textFill>
        </w:rPr>
        <w:t>方式：供应商登录政采云平台</w:t>
      </w:r>
      <w:r>
        <w:rPr>
          <w:rFonts w:ascii="黑体" w:hAnsi="黑体" w:eastAsia="黑体" w:cs="黑体"/>
          <w:color w:val="000000" w:themeColor="text1"/>
          <w:position w:val="15"/>
          <w:sz w:val="24"/>
          <w:szCs w:val="24"/>
          <w14:textFill>
            <w14:solidFill>
              <w14:schemeClr w14:val="tx1"/>
            </w14:solidFill>
          </w14:textFill>
        </w:rPr>
        <w:t>https</w:t>
      </w:r>
      <w:r>
        <w:rPr>
          <w:rFonts w:ascii="黑体" w:hAnsi="黑体" w:eastAsia="黑体" w:cs="黑体"/>
          <w:color w:val="000000" w:themeColor="text1"/>
          <w:spacing w:val="6"/>
          <w:position w:val="15"/>
          <w:sz w:val="24"/>
          <w:szCs w:val="24"/>
          <w14:textFill>
            <w14:solidFill>
              <w14:schemeClr w14:val="tx1"/>
            </w14:solidFill>
          </w14:textFill>
        </w:rPr>
        <w:t>://</w:t>
      </w:r>
      <w:r>
        <w:rPr>
          <w:rFonts w:ascii="黑体" w:hAnsi="黑体" w:eastAsia="黑体" w:cs="黑体"/>
          <w:color w:val="000000" w:themeColor="text1"/>
          <w:position w:val="15"/>
          <w:sz w:val="24"/>
          <w:szCs w:val="24"/>
          <w14:textFill>
            <w14:solidFill>
              <w14:schemeClr w14:val="tx1"/>
            </w14:solidFill>
          </w14:textFill>
        </w:rPr>
        <w:t>www</w:t>
      </w:r>
      <w:r>
        <w:rPr>
          <w:rFonts w:ascii="黑体" w:hAnsi="黑体" w:eastAsia="黑体" w:cs="黑体"/>
          <w:color w:val="000000" w:themeColor="text1"/>
          <w:spacing w:val="6"/>
          <w:position w:val="15"/>
          <w:sz w:val="24"/>
          <w:szCs w:val="24"/>
          <w14:textFill>
            <w14:solidFill>
              <w14:schemeClr w14:val="tx1"/>
            </w14:solidFill>
          </w14:textFill>
        </w:rPr>
        <w:t>.</w:t>
      </w:r>
      <w:r>
        <w:rPr>
          <w:rFonts w:ascii="黑体" w:hAnsi="黑体" w:eastAsia="黑体" w:cs="黑体"/>
          <w:color w:val="000000" w:themeColor="text1"/>
          <w:position w:val="15"/>
          <w:sz w:val="24"/>
          <w:szCs w:val="24"/>
          <w14:textFill>
            <w14:solidFill>
              <w14:schemeClr w14:val="tx1"/>
            </w14:solidFill>
          </w14:textFill>
        </w:rPr>
        <w:t>zcygov</w:t>
      </w:r>
      <w:r>
        <w:rPr>
          <w:rFonts w:ascii="黑体" w:hAnsi="黑体" w:eastAsia="黑体" w:cs="黑体"/>
          <w:color w:val="000000" w:themeColor="text1"/>
          <w:spacing w:val="6"/>
          <w:position w:val="15"/>
          <w:sz w:val="24"/>
          <w:szCs w:val="24"/>
          <w14:textFill>
            <w14:solidFill>
              <w14:schemeClr w14:val="tx1"/>
            </w14:solidFill>
          </w14:textFill>
        </w:rPr>
        <w:t>.</w:t>
      </w:r>
      <w:r>
        <w:rPr>
          <w:rFonts w:ascii="黑体" w:hAnsi="黑体" w:eastAsia="黑体" w:cs="黑体"/>
          <w:color w:val="000000" w:themeColor="text1"/>
          <w:position w:val="15"/>
          <w:sz w:val="24"/>
          <w:szCs w:val="24"/>
          <w14:textFill>
            <w14:solidFill>
              <w14:schemeClr w14:val="tx1"/>
            </w14:solidFill>
          </w14:textFill>
        </w:rPr>
        <w:t>cn</w:t>
      </w:r>
      <w:r>
        <w:rPr>
          <w:rFonts w:ascii="黑体" w:hAnsi="黑体" w:eastAsia="黑体" w:cs="黑体"/>
          <w:color w:val="000000" w:themeColor="text1"/>
          <w:spacing w:val="6"/>
          <w:position w:val="15"/>
          <w:sz w:val="24"/>
          <w:szCs w:val="24"/>
          <w14:textFill>
            <w14:solidFill>
              <w14:schemeClr w14:val="tx1"/>
            </w14:solidFill>
          </w14:textFill>
        </w:rPr>
        <w:t>/在线申请获取磋商文件</w:t>
      </w:r>
    </w:p>
    <w:p w14:paraId="39A5CD9C">
      <w:pPr>
        <w:spacing w:before="1" w:line="212" w:lineRule="auto"/>
        <w:ind w:left="22"/>
        <w:rPr>
          <w:rFonts w:ascii="黑体" w:hAnsi="黑体" w:eastAsia="黑体" w:cs="黑体"/>
          <w:color w:val="000000" w:themeColor="text1"/>
          <w:sz w:val="24"/>
          <w:szCs w:val="24"/>
          <w14:textFill>
            <w14:solidFill>
              <w14:schemeClr w14:val="tx1"/>
            </w14:solidFill>
          </w14:textFill>
        </w:rPr>
      </w:pPr>
      <w:r>
        <w:rPr>
          <w:rFonts w:ascii="黑体" w:hAnsi="黑体" w:eastAsia="黑体" w:cs="黑体"/>
          <w:color w:val="000000" w:themeColor="text1"/>
          <w:spacing w:val="2"/>
          <w:sz w:val="24"/>
          <w:szCs w:val="24"/>
          <w14:textFill>
            <w14:solidFill>
              <w14:schemeClr w14:val="tx1"/>
            </w14:solidFill>
          </w14:textFill>
        </w:rPr>
        <w:t>（进入“项目采购”应用，在获取磋商文件菜单</w:t>
      </w:r>
      <w:r>
        <w:rPr>
          <w:rFonts w:ascii="黑体" w:hAnsi="黑体" w:eastAsia="黑体" w:cs="黑体"/>
          <w:color w:val="000000" w:themeColor="text1"/>
          <w:spacing w:val="1"/>
          <w:sz w:val="24"/>
          <w:szCs w:val="24"/>
          <w14:textFill>
            <w14:solidFill>
              <w14:schemeClr w14:val="tx1"/>
            </w14:solidFill>
          </w14:textFill>
        </w:rPr>
        <w:t>中选择项目，申请获取磋商文件）</w:t>
      </w:r>
    </w:p>
    <w:p w14:paraId="3F948F96">
      <w:pPr>
        <w:spacing w:before="161" w:line="222" w:lineRule="auto"/>
        <w:ind w:left="503"/>
        <w:rPr>
          <w:rFonts w:ascii="黑体" w:hAnsi="黑体" w:eastAsia="黑体" w:cs="黑体"/>
          <w:color w:val="000000" w:themeColor="text1"/>
          <w:sz w:val="24"/>
          <w:szCs w:val="24"/>
          <w14:textFill>
            <w14:solidFill>
              <w14:schemeClr w14:val="tx1"/>
            </w14:solidFill>
          </w14:textFill>
        </w:rPr>
      </w:pPr>
      <w:r>
        <w:rPr>
          <w:rFonts w:ascii="黑体" w:hAnsi="黑体" w:eastAsia="黑体" w:cs="黑体"/>
          <w:color w:val="000000" w:themeColor="text1"/>
          <w:sz w:val="24"/>
          <w:szCs w:val="24"/>
          <w14:textOutline w14:w="4358" w14:cap="sq" w14:cmpd="sng">
            <w14:solidFill>
              <w14:srgbClr w14:val="000000"/>
            </w14:solidFill>
            <w14:prstDash w14:val="solid"/>
            <w14:bevel/>
          </w14:textOutline>
          <w14:textFill>
            <w14:solidFill>
              <w14:schemeClr w14:val="tx1"/>
            </w14:solidFill>
          </w14:textFill>
        </w:rPr>
        <w:t>四、响应文件提交</w:t>
      </w:r>
    </w:p>
    <w:p w14:paraId="46AD79A1">
      <w:pPr>
        <w:spacing w:before="154" w:line="220" w:lineRule="auto"/>
        <w:ind w:left="487"/>
        <w:rPr>
          <w:rFonts w:ascii="黑体" w:hAnsi="黑体" w:eastAsia="黑体" w:cs="黑体"/>
          <w:color w:val="000000" w:themeColor="text1"/>
          <w:sz w:val="24"/>
          <w:szCs w:val="24"/>
          <w14:textFill>
            <w14:solidFill>
              <w14:schemeClr w14:val="tx1"/>
            </w14:solidFill>
          </w14:textFill>
        </w:rPr>
      </w:pPr>
      <w:r>
        <w:rPr>
          <w:rFonts w:ascii="黑体" w:hAnsi="黑体" w:eastAsia="黑体" w:cs="黑体"/>
          <w:color w:val="000000" w:themeColor="text1"/>
          <w:spacing w:val="-6"/>
          <w:sz w:val="24"/>
          <w:szCs w:val="24"/>
          <w14:textFill>
            <w14:solidFill>
              <w14:schemeClr w14:val="tx1"/>
            </w14:solidFill>
          </w14:textFill>
        </w:rPr>
        <w:t>截止时间：</w:t>
      </w:r>
      <w:r>
        <w:rPr>
          <w:rFonts w:hint="eastAsia" w:ascii="黑体" w:hAnsi="黑体" w:eastAsia="黑体" w:cs="黑体"/>
          <w:color w:val="000000" w:themeColor="text1"/>
          <w:spacing w:val="-6"/>
          <w:sz w:val="24"/>
          <w:szCs w:val="24"/>
          <w:lang w:eastAsia="zh-CN"/>
          <w14:textFill>
            <w14:solidFill>
              <w14:schemeClr w14:val="tx1"/>
            </w14:solidFill>
          </w14:textFill>
        </w:rPr>
        <w:t>202</w:t>
      </w:r>
      <w:r>
        <w:rPr>
          <w:rFonts w:hint="eastAsia" w:ascii="黑体" w:hAnsi="黑体" w:eastAsia="黑体" w:cs="黑体"/>
          <w:color w:val="000000" w:themeColor="text1"/>
          <w:spacing w:val="-6"/>
          <w:sz w:val="24"/>
          <w:szCs w:val="24"/>
          <w:lang w:val="en-US" w:eastAsia="zh-CN"/>
          <w14:textFill>
            <w14:solidFill>
              <w14:schemeClr w14:val="tx1"/>
            </w14:solidFill>
          </w14:textFill>
        </w:rPr>
        <w:t>5</w:t>
      </w:r>
      <w:r>
        <w:rPr>
          <w:rFonts w:hint="eastAsia" w:ascii="黑体" w:hAnsi="黑体" w:eastAsia="黑体" w:cs="黑体"/>
          <w:color w:val="000000" w:themeColor="text1"/>
          <w:spacing w:val="-6"/>
          <w:sz w:val="24"/>
          <w:szCs w:val="24"/>
          <w:lang w:eastAsia="zh-CN"/>
          <w14:textFill>
            <w14:solidFill>
              <w14:schemeClr w14:val="tx1"/>
            </w14:solidFill>
          </w14:textFill>
        </w:rPr>
        <w:t>年</w:t>
      </w:r>
      <w:r>
        <w:rPr>
          <w:rFonts w:hint="eastAsia" w:ascii="黑体" w:hAnsi="黑体" w:eastAsia="黑体" w:cs="黑体"/>
          <w:color w:val="000000" w:themeColor="text1"/>
          <w:spacing w:val="-6"/>
          <w:sz w:val="24"/>
          <w:szCs w:val="24"/>
          <w:lang w:val="en-US" w:eastAsia="zh-CN"/>
          <w14:textFill>
            <w14:solidFill>
              <w14:schemeClr w14:val="tx1"/>
            </w14:solidFill>
          </w14:textFill>
        </w:rPr>
        <w:t>5</w:t>
      </w:r>
      <w:r>
        <w:rPr>
          <w:rFonts w:hint="eastAsia" w:ascii="黑体" w:hAnsi="黑体" w:eastAsia="黑体" w:cs="黑体"/>
          <w:color w:val="000000" w:themeColor="text1"/>
          <w:spacing w:val="-6"/>
          <w:sz w:val="24"/>
          <w:szCs w:val="24"/>
          <w:lang w:eastAsia="zh-CN"/>
          <w14:textFill>
            <w14:solidFill>
              <w14:schemeClr w14:val="tx1"/>
            </w14:solidFill>
          </w14:textFill>
        </w:rPr>
        <w:t>月</w:t>
      </w:r>
      <w:r>
        <w:rPr>
          <w:rFonts w:hint="eastAsia" w:ascii="黑体" w:hAnsi="黑体" w:eastAsia="黑体" w:cs="黑体"/>
          <w:color w:val="000000" w:themeColor="text1"/>
          <w:spacing w:val="-6"/>
          <w:sz w:val="24"/>
          <w:szCs w:val="24"/>
          <w:lang w:val="en-US" w:eastAsia="zh-CN"/>
          <w14:textFill>
            <w14:solidFill>
              <w14:schemeClr w14:val="tx1"/>
            </w14:solidFill>
          </w14:textFill>
        </w:rPr>
        <w:t>6</w:t>
      </w:r>
      <w:r>
        <w:rPr>
          <w:rFonts w:hint="eastAsia" w:ascii="黑体" w:hAnsi="黑体" w:eastAsia="黑体" w:cs="黑体"/>
          <w:color w:val="000000" w:themeColor="text1"/>
          <w:spacing w:val="-6"/>
          <w:sz w:val="24"/>
          <w:szCs w:val="24"/>
          <w:lang w:eastAsia="zh-CN"/>
          <w14:textFill>
            <w14:solidFill>
              <w14:schemeClr w14:val="tx1"/>
            </w14:solidFill>
          </w14:textFill>
        </w:rPr>
        <w:t>日</w:t>
      </w:r>
      <w:r>
        <w:rPr>
          <w:rFonts w:hint="eastAsia" w:ascii="黑体" w:hAnsi="黑体" w:eastAsia="黑体" w:cs="黑体"/>
          <w:color w:val="000000" w:themeColor="text1"/>
          <w:spacing w:val="-6"/>
          <w:sz w:val="24"/>
          <w:szCs w:val="24"/>
          <w:lang w:val="en-US" w:eastAsia="zh-CN"/>
          <w14:textFill>
            <w14:solidFill>
              <w14:schemeClr w14:val="tx1"/>
            </w14:solidFill>
          </w14:textFill>
        </w:rPr>
        <w:t>11</w:t>
      </w:r>
      <w:r>
        <w:rPr>
          <w:rFonts w:hint="eastAsia" w:ascii="黑体" w:hAnsi="黑体" w:eastAsia="黑体" w:cs="黑体"/>
          <w:color w:val="000000" w:themeColor="text1"/>
          <w:spacing w:val="-6"/>
          <w:sz w:val="24"/>
          <w:szCs w:val="24"/>
          <w:lang w:eastAsia="zh-CN"/>
          <w14:textFill>
            <w14:solidFill>
              <w14:schemeClr w14:val="tx1"/>
            </w14:solidFill>
          </w14:textFill>
        </w:rPr>
        <w:t>时00分</w:t>
      </w:r>
      <w:r>
        <w:rPr>
          <w:rFonts w:ascii="黑体" w:hAnsi="黑体" w:eastAsia="黑体" w:cs="黑体"/>
          <w:color w:val="000000" w:themeColor="text1"/>
          <w:spacing w:val="-6"/>
          <w:sz w:val="24"/>
          <w:szCs w:val="24"/>
          <w14:textFill>
            <w14:solidFill>
              <w14:schemeClr w14:val="tx1"/>
            </w14:solidFill>
          </w14:textFill>
        </w:rPr>
        <w:t>（北京时间）</w:t>
      </w:r>
    </w:p>
    <w:p w14:paraId="059F2ACB">
      <w:pPr>
        <w:spacing w:before="153" w:line="218" w:lineRule="auto"/>
        <w:ind w:left="490"/>
        <w:rPr>
          <w:rFonts w:ascii="黑体" w:hAnsi="黑体" w:eastAsia="黑体" w:cs="黑体"/>
          <w:color w:val="000000" w:themeColor="text1"/>
          <w:sz w:val="24"/>
          <w:szCs w:val="24"/>
          <w14:textFill>
            <w14:solidFill>
              <w14:schemeClr w14:val="tx1"/>
            </w14:solidFill>
          </w14:textFill>
        </w:rPr>
      </w:pPr>
      <w:r>
        <w:rPr>
          <w:rFonts w:ascii="黑体" w:hAnsi="黑体" w:eastAsia="黑体" w:cs="黑体"/>
          <w:color w:val="000000" w:themeColor="text1"/>
          <w:spacing w:val="2"/>
          <w:sz w:val="24"/>
          <w:szCs w:val="24"/>
          <w14:textFill>
            <w14:solidFill>
              <w14:schemeClr w14:val="tx1"/>
            </w14:solidFill>
          </w14:textFill>
        </w:rPr>
        <w:t>地点：政采云平台（</w:t>
      </w:r>
      <w:r>
        <w:rPr>
          <w:rFonts w:ascii="黑体" w:hAnsi="黑体" w:eastAsia="黑体" w:cs="黑体"/>
          <w:color w:val="000000" w:themeColor="text1"/>
          <w:sz w:val="24"/>
          <w:szCs w:val="24"/>
          <w14:textFill>
            <w14:solidFill>
              <w14:schemeClr w14:val="tx1"/>
            </w14:solidFill>
          </w14:textFill>
        </w:rPr>
        <w:t>https</w:t>
      </w:r>
      <w:r>
        <w:rPr>
          <w:rFonts w:ascii="黑体" w:hAnsi="黑体" w:eastAsia="黑体" w:cs="黑体"/>
          <w:color w:val="000000" w:themeColor="text1"/>
          <w:spacing w:val="2"/>
          <w:sz w:val="24"/>
          <w:szCs w:val="24"/>
          <w14:textFill>
            <w14:solidFill>
              <w14:schemeClr w14:val="tx1"/>
            </w14:solidFill>
          </w14:textFill>
        </w:rPr>
        <w:t>://</w:t>
      </w:r>
      <w:r>
        <w:rPr>
          <w:rFonts w:ascii="黑体" w:hAnsi="黑体" w:eastAsia="黑体" w:cs="黑体"/>
          <w:color w:val="000000" w:themeColor="text1"/>
          <w:sz w:val="24"/>
          <w:szCs w:val="24"/>
          <w14:textFill>
            <w14:solidFill>
              <w14:schemeClr w14:val="tx1"/>
            </w14:solidFill>
          </w14:textFill>
        </w:rPr>
        <w:t>www</w:t>
      </w:r>
      <w:r>
        <w:rPr>
          <w:rFonts w:ascii="黑体" w:hAnsi="黑体" w:eastAsia="黑体" w:cs="黑体"/>
          <w:color w:val="000000" w:themeColor="text1"/>
          <w:spacing w:val="2"/>
          <w:sz w:val="24"/>
          <w:szCs w:val="24"/>
          <w14:textFill>
            <w14:solidFill>
              <w14:schemeClr w14:val="tx1"/>
            </w14:solidFill>
          </w14:textFill>
        </w:rPr>
        <w:t>.</w:t>
      </w:r>
      <w:r>
        <w:rPr>
          <w:rFonts w:ascii="黑体" w:hAnsi="黑体" w:eastAsia="黑体" w:cs="黑体"/>
          <w:color w:val="000000" w:themeColor="text1"/>
          <w:sz w:val="24"/>
          <w:szCs w:val="24"/>
          <w14:textFill>
            <w14:solidFill>
              <w14:schemeClr w14:val="tx1"/>
            </w14:solidFill>
          </w14:textFill>
        </w:rPr>
        <w:t>zcygov</w:t>
      </w:r>
      <w:r>
        <w:rPr>
          <w:rFonts w:ascii="黑体" w:hAnsi="黑体" w:eastAsia="黑体" w:cs="黑体"/>
          <w:color w:val="000000" w:themeColor="text1"/>
          <w:spacing w:val="2"/>
          <w:sz w:val="24"/>
          <w:szCs w:val="24"/>
          <w14:textFill>
            <w14:solidFill>
              <w14:schemeClr w14:val="tx1"/>
            </w14:solidFill>
          </w14:textFill>
        </w:rPr>
        <w:t>.</w:t>
      </w:r>
      <w:r>
        <w:rPr>
          <w:rFonts w:ascii="黑体" w:hAnsi="黑体" w:eastAsia="黑体" w:cs="黑体"/>
          <w:color w:val="000000" w:themeColor="text1"/>
          <w:sz w:val="24"/>
          <w:szCs w:val="24"/>
          <w14:textFill>
            <w14:solidFill>
              <w14:schemeClr w14:val="tx1"/>
            </w14:solidFill>
          </w14:textFill>
        </w:rPr>
        <w:t>cn</w:t>
      </w:r>
      <w:r>
        <w:rPr>
          <w:rFonts w:ascii="黑体" w:hAnsi="黑体" w:eastAsia="黑体" w:cs="黑体"/>
          <w:color w:val="000000" w:themeColor="text1"/>
          <w:spacing w:val="2"/>
          <w:sz w:val="24"/>
          <w:szCs w:val="24"/>
          <w14:textFill>
            <w14:solidFill>
              <w14:schemeClr w14:val="tx1"/>
            </w14:solidFill>
          </w14:textFill>
        </w:rPr>
        <w:t>/）</w:t>
      </w:r>
    </w:p>
    <w:p w14:paraId="0C3E7B6A">
      <w:pPr>
        <w:spacing w:before="155" w:line="222" w:lineRule="auto"/>
        <w:ind w:left="495"/>
        <w:rPr>
          <w:rFonts w:ascii="黑体" w:hAnsi="黑体" w:eastAsia="黑体" w:cs="黑体"/>
          <w:color w:val="000000" w:themeColor="text1"/>
          <w:sz w:val="24"/>
          <w:szCs w:val="24"/>
          <w14:textFill>
            <w14:solidFill>
              <w14:schemeClr w14:val="tx1"/>
            </w14:solidFill>
          </w14:textFill>
        </w:rPr>
      </w:pPr>
      <w:r>
        <w:rPr>
          <w:rFonts w:ascii="黑体" w:hAnsi="黑体" w:eastAsia="黑体" w:cs="黑体"/>
          <w:color w:val="000000" w:themeColor="text1"/>
          <w:spacing w:val="1"/>
          <w:sz w:val="24"/>
          <w:szCs w:val="24"/>
          <w14:textOutline w14:w="4358" w14:cap="sq" w14:cmpd="sng">
            <w14:solidFill>
              <w14:srgbClr w14:val="000000"/>
            </w14:solidFill>
            <w14:prstDash w14:val="solid"/>
            <w14:bevel/>
          </w14:textOutline>
          <w14:textFill>
            <w14:solidFill>
              <w14:schemeClr w14:val="tx1"/>
            </w14:solidFill>
          </w14:textFill>
        </w:rPr>
        <w:t>五、响应文件开启</w:t>
      </w:r>
    </w:p>
    <w:p w14:paraId="7D15D4B1">
      <w:pPr>
        <w:spacing w:before="154" w:line="222" w:lineRule="auto"/>
        <w:ind w:left="492"/>
        <w:rPr>
          <w:rFonts w:ascii="黑体" w:hAnsi="黑体" w:eastAsia="黑体" w:cs="黑体"/>
          <w:color w:val="000000" w:themeColor="text1"/>
          <w:sz w:val="24"/>
          <w:szCs w:val="24"/>
          <w14:textFill>
            <w14:solidFill>
              <w14:schemeClr w14:val="tx1"/>
            </w14:solidFill>
          </w14:textFill>
        </w:rPr>
      </w:pPr>
      <w:r>
        <w:rPr>
          <w:rFonts w:ascii="黑体" w:hAnsi="黑体" w:eastAsia="黑体" w:cs="黑体"/>
          <w:color w:val="000000" w:themeColor="text1"/>
          <w:spacing w:val="-6"/>
          <w:sz w:val="24"/>
          <w:szCs w:val="24"/>
          <w14:textFill>
            <w14:solidFill>
              <w14:schemeClr w14:val="tx1"/>
            </w14:solidFill>
          </w14:textFill>
        </w:rPr>
        <w:t>开启时间：</w:t>
      </w:r>
      <w:r>
        <w:rPr>
          <w:rFonts w:hint="eastAsia" w:ascii="黑体" w:hAnsi="黑体" w:eastAsia="黑体" w:cs="黑体"/>
          <w:color w:val="000000" w:themeColor="text1"/>
          <w:spacing w:val="-6"/>
          <w:sz w:val="24"/>
          <w:szCs w:val="24"/>
          <w:lang w:eastAsia="zh-CN"/>
          <w14:textFill>
            <w14:solidFill>
              <w14:schemeClr w14:val="tx1"/>
            </w14:solidFill>
          </w14:textFill>
        </w:rPr>
        <w:t>202</w:t>
      </w:r>
      <w:r>
        <w:rPr>
          <w:rFonts w:hint="eastAsia" w:ascii="黑体" w:hAnsi="黑体" w:eastAsia="黑体" w:cs="黑体"/>
          <w:color w:val="000000" w:themeColor="text1"/>
          <w:spacing w:val="-6"/>
          <w:sz w:val="24"/>
          <w:szCs w:val="24"/>
          <w:lang w:val="en-US" w:eastAsia="zh-CN"/>
          <w14:textFill>
            <w14:solidFill>
              <w14:schemeClr w14:val="tx1"/>
            </w14:solidFill>
          </w14:textFill>
        </w:rPr>
        <w:t>5</w:t>
      </w:r>
      <w:r>
        <w:rPr>
          <w:rFonts w:hint="eastAsia" w:ascii="黑体" w:hAnsi="黑体" w:eastAsia="黑体" w:cs="黑体"/>
          <w:color w:val="000000" w:themeColor="text1"/>
          <w:spacing w:val="-6"/>
          <w:sz w:val="24"/>
          <w:szCs w:val="24"/>
          <w:lang w:eastAsia="zh-CN"/>
          <w14:textFill>
            <w14:solidFill>
              <w14:schemeClr w14:val="tx1"/>
            </w14:solidFill>
          </w14:textFill>
        </w:rPr>
        <w:t>年</w:t>
      </w:r>
      <w:r>
        <w:rPr>
          <w:rFonts w:hint="eastAsia" w:ascii="黑体" w:hAnsi="黑体" w:eastAsia="黑体" w:cs="黑体"/>
          <w:color w:val="000000" w:themeColor="text1"/>
          <w:spacing w:val="-6"/>
          <w:sz w:val="24"/>
          <w:szCs w:val="24"/>
          <w:lang w:val="en-US" w:eastAsia="zh-CN"/>
          <w14:textFill>
            <w14:solidFill>
              <w14:schemeClr w14:val="tx1"/>
            </w14:solidFill>
          </w14:textFill>
        </w:rPr>
        <w:t>5</w:t>
      </w:r>
      <w:r>
        <w:rPr>
          <w:rFonts w:hint="eastAsia" w:ascii="黑体" w:hAnsi="黑体" w:eastAsia="黑体" w:cs="黑体"/>
          <w:color w:val="000000" w:themeColor="text1"/>
          <w:spacing w:val="-6"/>
          <w:sz w:val="24"/>
          <w:szCs w:val="24"/>
          <w:lang w:eastAsia="zh-CN"/>
          <w14:textFill>
            <w14:solidFill>
              <w14:schemeClr w14:val="tx1"/>
            </w14:solidFill>
          </w14:textFill>
        </w:rPr>
        <w:t>月</w:t>
      </w:r>
      <w:r>
        <w:rPr>
          <w:rFonts w:hint="eastAsia" w:ascii="黑体" w:hAnsi="黑体" w:eastAsia="黑体" w:cs="黑体"/>
          <w:color w:val="000000" w:themeColor="text1"/>
          <w:spacing w:val="-6"/>
          <w:sz w:val="24"/>
          <w:szCs w:val="24"/>
          <w:lang w:val="en-US" w:eastAsia="zh-CN"/>
          <w14:textFill>
            <w14:solidFill>
              <w14:schemeClr w14:val="tx1"/>
            </w14:solidFill>
          </w14:textFill>
        </w:rPr>
        <w:t>6</w:t>
      </w:r>
      <w:r>
        <w:rPr>
          <w:rFonts w:hint="eastAsia" w:ascii="黑体" w:hAnsi="黑体" w:eastAsia="黑体" w:cs="黑体"/>
          <w:color w:val="000000" w:themeColor="text1"/>
          <w:spacing w:val="-6"/>
          <w:sz w:val="24"/>
          <w:szCs w:val="24"/>
          <w:lang w:eastAsia="zh-CN"/>
          <w14:textFill>
            <w14:solidFill>
              <w14:schemeClr w14:val="tx1"/>
            </w14:solidFill>
          </w14:textFill>
        </w:rPr>
        <w:t>日</w:t>
      </w:r>
      <w:r>
        <w:rPr>
          <w:rFonts w:hint="eastAsia" w:ascii="黑体" w:hAnsi="黑体" w:eastAsia="黑体" w:cs="黑体"/>
          <w:color w:val="000000" w:themeColor="text1"/>
          <w:spacing w:val="-6"/>
          <w:sz w:val="24"/>
          <w:szCs w:val="24"/>
          <w:lang w:val="en-US" w:eastAsia="zh-CN"/>
          <w14:textFill>
            <w14:solidFill>
              <w14:schemeClr w14:val="tx1"/>
            </w14:solidFill>
          </w14:textFill>
        </w:rPr>
        <w:t>11</w:t>
      </w:r>
      <w:r>
        <w:rPr>
          <w:rFonts w:hint="eastAsia" w:ascii="黑体" w:hAnsi="黑体" w:eastAsia="黑体" w:cs="黑体"/>
          <w:color w:val="000000" w:themeColor="text1"/>
          <w:spacing w:val="-6"/>
          <w:sz w:val="24"/>
          <w:szCs w:val="24"/>
          <w:lang w:eastAsia="zh-CN"/>
          <w14:textFill>
            <w14:solidFill>
              <w14:schemeClr w14:val="tx1"/>
            </w14:solidFill>
          </w14:textFill>
        </w:rPr>
        <w:t>时00分</w:t>
      </w:r>
      <w:r>
        <w:rPr>
          <w:rFonts w:ascii="黑体" w:hAnsi="黑体" w:eastAsia="黑体" w:cs="黑体"/>
          <w:color w:val="000000" w:themeColor="text1"/>
          <w:spacing w:val="-6"/>
          <w:sz w:val="24"/>
          <w:szCs w:val="24"/>
          <w14:textFill>
            <w14:solidFill>
              <w14:schemeClr w14:val="tx1"/>
            </w14:solidFill>
          </w14:textFill>
        </w:rPr>
        <w:t>（北</w:t>
      </w:r>
      <w:r>
        <w:rPr>
          <w:rFonts w:ascii="黑体" w:hAnsi="黑体" w:eastAsia="黑体" w:cs="黑体"/>
          <w:color w:val="000000" w:themeColor="text1"/>
          <w:spacing w:val="-7"/>
          <w:sz w:val="24"/>
          <w:szCs w:val="24"/>
          <w14:textFill>
            <w14:solidFill>
              <w14:schemeClr w14:val="tx1"/>
            </w14:solidFill>
          </w14:textFill>
        </w:rPr>
        <w:t>京时间）</w:t>
      </w:r>
    </w:p>
    <w:p w14:paraId="2AB000D7">
      <w:pPr>
        <w:spacing w:before="150" w:line="218" w:lineRule="auto"/>
        <w:ind w:left="490"/>
        <w:rPr>
          <w:rFonts w:ascii="黑体" w:hAnsi="黑体" w:eastAsia="黑体" w:cs="黑体"/>
          <w:color w:val="000000" w:themeColor="text1"/>
          <w:sz w:val="24"/>
          <w:szCs w:val="24"/>
          <w14:textFill>
            <w14:solidFill>
              <w14:schemeClr w14:val="tx1"/>
            </w14:solidFill>
          </w14:textFill>
        </w:rPr>
      </w:pPr>
      <w:r>
        <w:rPr>
          <w:rFonts w:ascii="黑体" w:hAnsi="黑体" w:eastAsia="黑体" w:cs="黑体"/>
          <w:color w:val="000000" w:themeColor="text1"/>
          <w:spacing w:val="2"/>
          <w:sz w:val="24"/>
          <w:szCs w:val="24"/>
          <w14:textFill>
            <w14:solidFill>
              <w14:schemeClr w14:val="tx1"/>
            </w14:solidFill>
          </w14:textFill>
        </w:rPr>
        <w:t>地点：政采云平台（</w:t>
      </w:r>
      <w:r>
        <w:rPr>
          <w:rFonts w:ascii="黑体" w:hAnsi="黑体" w:eastAsia="黑体" w:cs="黑体"/>
          <w:color w:val="000000" w:themeColor="text1"/>
          <w:sz w:val="24"/>
          <w:szCs w:val="24"/>
          <w14:textFill>
            <w14:solidFill>
              <w14:schemeClr w14:val="tx1"/>
            </w14:solidFill>
          </w14:textFill>
        </w:rPr>
        <w:t>https</w:t>
      </w:r>
      <w:r>
        <w:rPr>
          <w:rFonts w:ascii="黑体" w:hAnsi="黑体" w:eastAsia="黑体" w:cs="黑体"/>
          <w:color w:val="000000" w:themeColor="text1"/>
          <w:spacing w:val="2"/>
          <w:sz w:val="24"/>
          <w:szCs w:val="24"/>
          <w14:textFill>
            <w14:solidFill>
              <w14:schemeClr w14:val="tx1"/>
            </w14:solidFill>
          </w14:textFill>
        </w:rPr>
        <w:t>://</w:t>
      </w:r>
      <w:r>
        <w:rPr>
          <w:rFonts w:ascii="黑体" w:hAnsi="黑体" w:eastAsia="黑体" w:cs="黑体"/>
          <w:color w:val="000000" w:themeColor="text1"/>
          <w:sz w:val="24"/>
          <w:szCs w:val="24"/>
          <w14:textFill>
            <w14:solidFill>
              <w14:schemeClr w14:val="tx1"/>
            </w14:solidFill>
          </w14:textFill>
        </w:rPr>
        <w:t>www</w:t>
      </w:r>
      <w:r>
        <w:rPr>
          <w:rFonts w:ascii="黑体" w:hAnsi="黑体" w:eastAsia="黑体" w:cs="黑体"/>
          <w:color w:val="000000" w:themeColor="text1"/>
          <w:spacing w:val="2"/>
          <w:sz w:val="24"/>
          <w:szCs w:val="24"/>
          <w14:textFill>
            <w14:solidFill>
              <w14:schemeClr w14:val="tx1"/>
            </w14:solidFill>
          </w14:textFill>
        </w:rPr>
        <w:t>.</w:t>
      </w:r>
      <w:r>
        <w:rPr>
          <w:rFonts w:ascii="黑体" w:hAnsi="黑体" w:eastAsia="黑体" w:cs="黑体"/>
          <w:color w:val="000000" w:themeColor="text1"/>
          <w:sz w:val="24"/>
          <w:szCs w:val="24"/>
          <w14:textFill>
            <w14:solidFill>
              <w14:schemeClr w14:val="tx1"/>
            </w14:solidFill>
          </w14:textFill>
        </w:rPr>
        <w:t>zcygov</w:t>
      </w:r>
      <w:r>
        <w:rPr>
          <w:rFonts w:ascii="黑体" w:hAnsi="黑体" w:eastAsia="黑体" w:cs="黑体"/>
          <w:color w:val="000000" w:themeColor="text1"/>
          <w:spacing w:val="2"/>
          <w:sz w:val="24"/>
          <w:szCs w:val="24"/>
          <w14:textFill>
            <w14:solidFill>
              <w14:schemeClr w14:val="tx1"/>
            </w14:solidFill>
          </w14:textFill>
        </w:rPr>
        <w:t>.</w:t>
      </w:r>
      <w:r>
        <w:rPr>
          <w:rFonts w:ascii="黑体" w:hAnsi="黑体" w:eastAsia="黑体" w:cs="黑体"/>
          <w:color w:val="000000" w:themeColor="text1"/>
          <w:sz w:val="24"/>
          <w:szCs w:val="24"/>
          <w14:textFill>
            <w14:solidFill>
              <w14:schemeClr w14:val="tx1"/>
            </w14:solidFill>
          </w14:textFill>
        </w:rPr>
        <w:t>cn</w:t>
      </w:r>
      <w:r>
        <w:rPr>
          <w:rFonts w:ascii="黑体" w:hAnsi="黑体" w:eastAsia="黑体" w:cs="黑体"/>
          <w:color w:val="000000" w:themeColor="text1"/>
          <w:spacing w:val="2"/>
          <w:sz w:val="24"/>
          <w:szCs w:val="24"/>
          <w14:textFill>
            <w14:solidFill>
              <w14:schemeClr w14:val="tx1"/>
            </w14:solidFill>
          </w14:textFill>
        </w:rPr>
        <w:t>/）</w:t>
      </w:r>
    </w:p>
    <w:p w14:paraId="51E36807">
      <w:pPr>
        <w:spacing w:before="156" w:line="224" w:lineRule="auto"/>
        <w:ind w:left="496"/>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六、公告期限</w:t>
      </w:r>
    </w:p>
    <w:p w14:paraId="7D4B5ED3">
      <w:pPr>
        <w:spacing w:before="151" w:line="221" w:lineRule="auto"/>
        <w:ind w:left="519"/>
        <w:rPr>
          <w:rFonts w:ascii="黑体" w:hAnsi="黑体" w:eastAsia="黑体" w:cs="黑体"/>
          <w:sz w:val="24"/>
          <w:szCs w:val="24"/>
        </w:rPr>
      </w:pPr>
      <w:r>
        <w:rPr>
          <w:rFonts w:ascii="黑体" w:hAnsi="黑体" w:eastAsia="黑体" w:cs="黑体"/>
          <w:spacing w:val="-2"/>
          <w:sz w:val="24"/>
          <w:szCs w:val="24"/>
        </w:rPr>
        <w:t>自本公告发布之日起5个工作日。</w:t>
      </w:r>
    </w:p>
    <w:p w14:paraId="2AFE40DD">
      <w:pPr>
        <w:spacing w:before="152" w:line="222" w:lineRule="auto"/>
        <w:ind w:left="488"/>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七、其他补充事宜</w:t>
      </w:r>
    </w:p>
    <w:p w14:paraId="1A5D519D">
      <w:pPr>
        <w:spacing w:before="119" w:line="221" w:lineRule="auto"/>
        <w:ind w:left="258"/>
        <w:rPr>
          <w:rFonts w:ascii="黑体" w:hAnsi="黑体" w:eastAsia="黑体" w:cs="黑体"/>
          <w:sz w:val="24"/>
          <w:szCs w:val="24"/>
        </w:rPr>
      </w:pPr>
      <w:bookmarkStart w:id="5" w:name="OLE_LINK12"/>
      <w:r>
        <w:rPr>
          <w:rFonts w:ascii="黑体" w:hAnsi="黑体" w:eastAsia="黑体" w:cs="黑体"/>
          <w:spacing w:val="1"/>
          <w:sz w:val="24"/>
          <w:szCs w:val="24"/>
        </w:rPr>
        <w:t>1、请供应商随时关注本项目的澄清、答疑、变更事项。</w:t>
      </w:r>
    </w:p>
    <w:p w14:paraId="7520F9D6">
      <w:pPr>
        <w:spacing w:before="181" w:line="468" w:lineRule="exact"/>
        <w:ind w:left="244"/>
        <w:rPr>
          <w:rFonts w:ascii="黑体" w:hAnsi="黑体" w:eastAsia="黑体" w:cs="黑体"/>
          <w:sz w:val="24"/>
          <w:szCs w:val="24"/>
        </w:rPr>
      </w:pPr>
      <w:r>
        <w:rPr>
          <w:rFonts w:ascii="黑体" w:hAnsi="黑体" w:eastAsia="黑体" w:cs="黑体"/>
          <w:spacing w:val="4"/>
          <w:position w:val="17"/>
          <w:sz w:val="24"/>
          <w:szCs w:val="24"/>
        </w:rPr>
        <w:t>2、本项目实行电子招投标，供应商须登录政采云平台申请获取磋商文件，并通过</w:t>
      </w:r>
    </w:p>
    <w:p w14:paraId="02972903">
      <w:pPr>
        <w:spacing w:before="1" w:line="212" w:lineRule="auto"/>
        <w:rPr>
          <w:rFonts w:ascii="黑体" w:hAnsi="黑体" w:eastAsia="黑体" w:cs="黑体"/>
          <w:sz w:val="24"/>
          <w:szCs w:val="24"/>
        </w:rPr>
      </w:pPr>
      <w:r>
        <w:rPr>
          <w:rFonts w:ascii="黑体" w:hAnsi="黑体" w:eastAsia="黑体" w:cs="黑体"/>
          <w:spacing w:val="2"/>
          <w:sz w:val="24"/>
          <w:szCs w:val="24"/>
        </w:rPr>
        <w:t>政采云电子投标客户端制作投标文件，同时自行承担与投标有关的一切费用。</w:t>
      </w:r>
    </w:p>
    <w:p w14:paraId="1CE9132F">
      <w:pPr>
        <w:spacing w:before="191" w:line="360" w:lineRule="auto"/>
        <w:ind w:left="16" w:right="84" w:firstLine="230"/>
        <w:rPr>
          <w:rFonts w:ascii="黑体" w:hAnsi="黑体" w:eastAsia="黑体" w:cs="黑体"/>
          <w:sz w:val="24"/>
          <w:szCs w:val="24"/>
        </w:rPr>
      </w:pPr>
      <w:r>
        <w:rPr>
          <w:rFonts w:ascii="黑体" w:hAnsi="黑体" w:eastAsia="黑体" w:cs="黑体"/>
          <w:spacing w:val="4"/>
          <w:sz w:val="24"/>
          <w:szCs w:val="24"/>
        </w:rPr>
        <w:t>3、各供应商应在开标前应确保成为政采云</w:t>
      </w:r>
      <w:r>
        <w:rPr>
          <w:rFonts w:ascii="黑体" w:hAnsi="黑体" w:eastAsia="黑体" w:cs="黑体"/>
          <w:spacing w:val="3"/>
          <w:sz w:val="24"/>
          <w:szCs w:val="24"/>
        </w:rPr>
        <w:t>平台供应商，并完成</w:t>
      </w:r>
      <w:r>
        <w:rPr>
          <w:rFonts w:ascii="黑体" w:hAnsi="黑体" w:eastAsia="黑体" w:cs="黑体"/>
          <w:sz w:val="24"/>
          <w:szCs w:val="24"/>
        </w:rPr>
        <w:t>CA</w:t>
      </w:r>
      <w:r>
        <w:rPr>
          <w:rFonts w:ascii="黑体" w:hAnsi="黑体" w:eastAsia="黑体" w:cs="黑体"/>
          <w:spacing w:val="3"/>
          <w:sz w:val="24"/>
          <w:szCs w:val="24"/>
        </w:rPr>
        <w:t>数字证书(符合</w:t>
      </w:r>
      <w:r>
        <w:rPr>
          <w:rFonts w:ascii="黑体" w:hAnsi="黑体" w:eastAsia="黑体" w:cs="黑体"/>
          <w:sz w:val="24"/>
          <w:szCs w:val="24"/>
        </w:rPr>
        <w:t>国密标准)申领。因未注册入库、未办理CA数字证书等原因造成无法投标或投</w:t>
      </w:r>
      <w:r>
        <w:rPr>
          <w:rFonts w:ascii="黑体" w:hAnsi="黑体" w:eastAsia="黑体" w:cs="黑体"/>
          <w:spacing w:val="-1"/>
          <w:sz w:val="24"/>
          <w:szCs w:val="24"/>
        </w:rPr>
        <w:t>标失败</w:t>
      </w:r>
    </w:p>
    <w:p w14:paraId="4AB6708D">
      <w:pPr>
        <w:spacing w:before="1" w:line="221" w:lineRule="auto"/>
        <w:rPr>
          <w:rFonts w:ascii="黑体" w:hAnsi="黑体" w:eastAsia="黑体" w:cs="黑体"/>
          <w:sz w:val="24"/>
          <w:szCs w:val="24"/>
        </w:rPr>
      </w:pPr>
      <w:r>
        <w:rPr>
          <w:rFonts w:ascii="黑体" w:hAnsi="黑体" w:eastAsia="黑体" w:cs="黑体"/>
          <w:spacing w:val="1"/>
          <w:sz w:val="24"/>
          <w:szCs w:val="24"/>
        </w:rPr>
        <w:t>等后果由供应商自行承担。</w:t>
      </w:r>
    </w:p>
    <w:p w14:paraId="3E96D72F">
      <w:pPr>
        <w:spacing w:before="180" w:line="360" w:lineRule="auto"/>
        <w:ind w:left="1" w:firstLine="238"/>
        <w:rPr>
          <w:rFonts w:ascii="黑体" w:hAnsi="黑体" w:eastAsia="黑体" w:cs="黑体"/>
          <w:sz w:val="24"/>
          <w:szCs w:val="24"/>
        </w:rPr>
      </w:pPr>
      <w:r>
        <w:rPr>
          <w:rFonts w:ascii="黑体" w:hAnsi="黑体" w:eastAsia="黑体" w:cs="黑体"/>
          <w:spacing w:val="9"/>
          <w:sz w:val="24"/>
          <w:szCs w:val="24"/>
        </w:rPr>
        <w:t>4、供应商可前往新疆政府采购网(</w:t>
      </w:r>
      <w:r>
        <w:fldChar w:fldCharType="begin"/>
      </w:r>
      <w:r>
        <w:instrText xml:space="preserve">HYPERLINK"http://www.ccgp-xinjiang.gov.cn/"</w:instrText>
      </w:r>
      <w:r>
        <w:fldChar w:fldCharType="separate"/>
      </w:r>
      <w:r>
        <w:rPr>
          <w:rFonts w:ascii="黑体" w:hAnsi="黑体" w:eastAsia="黑体" w:cs="黑体"/>
          <w:sz w:val="24"/>
          <w:szCs w:val="24"/>
        </w:rPr>
        <w:t>http</w:t>
      </w:r>
      <w:r>
        <w:rPr>
          <w:rFonts w:ascii="黑体" w:hAnsi="黑体" w:eastAsia="黑体" w:cs="黑体"/>
          <w:spacing w:val="9"/>
          <w:sz w:val="24"/>
          <w:szCs w:val="24"/>
        </w:rPr>
        <w:t>://</w:t>
      </w:r>
      <w:r>
        <w:rPr>
          <w:rFonts w:ascii="黑体" w:hAnsi="黑体" w:eastAsia="黑体" w:cs="黑体"/>
          <w:sz w:val="24"/>
          <w:szCs w:val="24"/>
        </w:rPr>
        <w:t>www</w:t>
      </w:r>
      <w:r>
        <w:rPr>
          <w:rFonts w:ascii="黑体" w:hAnsi="黑体" w:eastAsia="黑体" w:cs="黑体"/>
          <w:spacing w:val="9"/>
          <w:sz w:val="24"/>
          <w:szCs w:val="24"/>
        </w:rPr>
        <w:t>.</w:t>
      </w:r>
      <w:r>
        <w:rPr>
          <w:rFonts w:ascii="黑体" w:hAnsi="黑体" w:eastAsia="黑体" w:cs="黑体"/>
          <w:sz w:val="24"/>
          <w:szCs w:val="24"/>
        </w:rPr>
        <w:t>ccgp</w:t>
      </w:r>
      <w:r>
        <w:rPr>
          <w:rFonts w:ascii="黑体" w:hAnsi="黑体" w:eastAsia="黑体" w:cs="黑体"/>
          <w:spacing w:val="9"/>
          <w:sz w:val="24"/>
          <w:szCs w:val="24"/>
        </w:rPr>
        <w:t>-</w:t>
      </w:r>
      <w:r>
        <w:rPr>
          <w:rFonts w:ascii="黑体" w:hAnsi="黑体" w:eastAsia="黑体" w:cs="黑体"/>
          <w:sz w:val="24"/>
          <w:szCs w:val="24"/>
        </w:rPr>
        <w:t>xinjiang</w:t>
      </w:r>
      <w:r>
        <w:rPr>
          <w:rFonts w:ascii="黑体" w:hAnsi="黑体" w:eastAsia="黑体" w:cs="黑体"/>
          <w:spacing w:val="9"/>
          <w:sz w:val="24"/>
          <w:szCs w:val="24"/>
        </w:rPr>
        <w:t>.</w:t>
      </w:r>
      <w:r>
        <w:rPr>
          <w:rFonts w:ascii="黑体" w:hAnsi="黑体" w:eastAsia="黑体" w:cs="黑体"/>
          <w:sz w:val="24"/>
          <w:szCs w:val="24"/>
        </w:rPr>
        <w:t>gov</w:t>
      </w:r>
      <w:r>
        <w:rPr>
          <w:rFonts w:ascii="黑体" w:hAnsi="黑体" w:eastAsia="黑体" w:cs="黑体"/>
          <w:spacing w:val="9"/>
          <w:sz w:val="24"/>
          <w:szCs w:val="24"/>
        </w:rPr>
        <w:t>.</w:t>
      </w:r>
      <w:r>
        <w:rPr>
          <w:rFonts w:ascii="黑体" w:hAnsi="黑体" w:eastAsia="黑体" w:cs="黑体"/>
          <w:sz w:val="24"/>
          <w:szCs w:val="24"/>
        </w:rPr>
        <w:t>cn</w:t>
      </w:r>
      <w:r>
        <w:rPr>
          <w:rFonts w:ascii="黑体" w:hAnsi="黑体" w:eastAsia="黑体" w:cs="黑体"/>
          <w:spacing w:val="8"/>
          <w:sz w:val="24"/>
          <w:szCs w:val="24"/>
        </w:rPr>
        <w:t>/</w:t>
      </w:r>
      <w:r>
        <w:rPr>
          <w:rFonts w:ascii="黑体" w:hAnsi="黑体" w:eastAsia="黑体" w:cs="黑体"/>
          <w:spacing w:val="8"/>
          <w:sz w:val="24"/>
          <w:szCs w:val="24"/>
        </w:rPr>
        <w:fldChar w:fldCharType="end"/>
      </w:r>
      <w:r>
        <w:rPr>
          <w:rFonts w:ascii="黑体" w:hAnsi="黑体" w:eastAsia="黑体" w:cs="黑体"/>
          <w:spacing w:val="8"/>
          <w:sz w:val="24"/>
          <w:szCs w:val="24"/>
        </w:rPr>
        <w:t>)下载专</w:t>
      </w:r>
      <w:r>
        <w:rPr>
          <w:rFonts w:ascii="黑体" w:hAnsi="黑体" w:eastAsia="黑体" w:cs="黑体"/>
          <w:spacing w:val="3"/>
          <w:sz w:val="24"/>
          <w:szCs w:val="24"/>
        </w:rPr>
        <w:t>区，下载政采云电子投标客户端，安装完成后，可通过账号密码或</w:t>
      </w:r>
      <w:r>
        <w:rPr>
          <w:rFonts w:ascii="黑体" w:hAnsi="黑体" w:eastAsia="黑体" w:cs="黑体"/>
          <w:sz w:val="24"/>
          <w:szCs w:val="24"/>
        </w:rPr>
        <w:t>CA</w:t>
      </w:r>
      <w:r>
        <w:rPr>
          <w:rFonts w:ascii="黑体" w:hAnsi="黑体" w:eastAsia="黑体" w:cs="黑体"/>
          <w:spacing w:val="3"/>
          <w:sz w:val="24"/>
          <w:szCs w:val="24"/>
        </w:rPr>
        <w:t>登录客户端进</w:t>
      </w:r>
      <w:r>
        <w:rPr>
          <w:rFonts w:ascii="黑体" w:hAnsi="黑体" w:eastAsia="黑体" w:cs="黑体"/>
          <w:sz w:val="24"/>
          <w:szCs w:val="24"/>
        </w:rPr>
        <w:t>行响应文件制作。在使用政采云电子投标客户端时，</w:t>
      </w:r>
      <w:r>
        <w:rPr>
          <w:rFonts w:ascii="黑体" w:hAnsi="黑体" w:eastAsia="黑体" w:cs="黑体"/>
          <w:spacing w:val="-1"/>
          <w:sz w:val="24"/>
          <w:szCs w:val="24"/>
        </w:rPr>
        <w:t>建议使用WIN7及以上操作系统。</w:t>
      </w:r>
    </w:p>
    <w:p w14:paraId="07D701B7">
      <w:pPr>
        <w:spacing w:before="1" w:line="212" w:lineRule="auto"/>
        <w:rPr>
          <w:rFonts w:ascii="黑体" w:hAnsi="黑体" w:eastAsia="黑体" w:cs="黑体"/>
          <w:sz w:val="24"/>
          <w:szCs w:val="24"/>
        </w:rPr>
      </w:pPr>
      <w:r>
        <w:rPr>
          <w:rFonts w:ascii="黑体" w:hAnsi="黑体" w:eastAsia="黑体" w:cs="黑体"/>
          <w:spacing w:val="1"/>
          <w:sz w:val="24"/>
          <w:szCs w:val="24"/>
        </w:rPr>
        <w:t>如需咨询，请联系政采云服务热线95763。</w:t>
      </w:r>
    </w:p>
    <w:p w14:paraId="685B96D6">
      <w:pPr>
        <w:spacing w:before="191" w:line="360" w:lineRule="auto"/>
        <w:ind w:left="2" w:right="84" w:firstLine="238"/>
        <w:rPr>
          <w:rFonts w:ascii="黑体" w:hAnsi="黑体" w:eastAsia="黑体" w:cs="黑体"/>
          <w:sz w:val="24"/>
          <w:szCs w:val="24"/>
        </w:rPr>
      </w:pPr>
      <w:r>
        <w:rPr>
          <w:rFonts w:ascii="黑体" w:hAnsi="黑体" w:eastAsia="黑体" w:cs="黑体"/>
          <w:sz w:val="24"/>
          <w:szCs w:val="24"/>
        </w:rPr>
        <w:t>5、本项目采用不见面开标，供应商须在投标截止时间前通过CA在政采云平台上传</w:t>
      </w:r>
      <w:r>
        <w:rPr>
          <w:rFonts w:ascii="黑体" w:hAnsi="黑体" w:eastAsia="黑体" w:cs="黑体"/>
          <w:spacing w:val="26"/>
          <w:sz w:val="24"/>
          <w:szCs w:val="24"/>
        </w:rPr>
        <w:t>加密的电子响应文件。供应商对不见面开评标系统的技术操作咨询，可通过</w:t>
      </w:r>
      <w:r>
        <w:fldChar w:fldCharType="begin"/>
      </w:r>
      <w:r>
        <w:instrText xml:space="preserve">HYPERLINK"https://edu.zcygov.cn/luban/xinjiang-e-biding"</w:instrText>
      </w:r>
      <w:r>
        <w:fldChar w:fldCharType="separate"/>
      </w:r>
      <w:r>
        <w:rPr>
          <w:rFonts w:ascii="黑体" w:hAnsi="黑体" w:eastAsia="黑体" w:cs="黑体"/>
          <w:sz w:val="24"/>
          <w:szCs w:val="24"/>
        </w:rPr>
        <w:t>https</w:t>
      </w:r>
      <w:r>
        <w:rPr>
          <w:rFonts w:ascii="黑体" w:hAnsi="黑体" w:eastAsia="黑体" w:cs="黑体"/>
          <w:spacing w:val="1"/>
          <w:sz w:val="24"/>
          <w:szCs w:val="24"/>
        </w:rPr>
        <w:t>://</w:t>
      </w:r>
      <w:r>
        <w:rPr>
          <w:rFonts w:ascii="黑体" w:hAnsi="黑体" w:eastAsia="黑体" w:cs="黑体"/>
          <w:sz w:val="24"/>
          <w:szCs w:val="24"/>
        </w:rPr>
        <w:t>edu</w:t>
      </w:r>
      <w:r>
        <w:rPr>
          <w:rFonts w:ascii="黑体" w:hAnsi="黑体" w:eastAsia="黑体" w:cs="黑体"/>
          <w:spacing w:val="1"/>
          <w:sz w:val="24"/>
          <w:szCs w:val="24"/>
        </w:rPr>
        <w:t>.</w:t>
      </w:r>
      <w:r>
        <w:rPr>
          <w:rFonts w:ascii="黑体" w:hAnsi="黑体" w:eastAsia="黑体" w:cs="黑体"/>
          <w:sz w:val="24"/>
          <w:szCs w:val="24"/>
        </w:rPr>
        <w:t>zcygov</w:t>
      </w:r>
      <w:r>
        <w:rPr>
          <w:rFonts w:ascii="黑体" w:hAnsi="黑体" w:eastAsia="黑体" w:cs="黑体"/>
          <w:spacing w:val="1"/>
          <w:sz w:val="24"/>
          <w:szCs w:val="24"/>
        </w:rPr>
        <w:t>.</w:t>
      </w:r>
      <w:r>
        <w:rPr>
          <w:rFonts w:ascii="黑体" w:hAnsi="黑体" w:eastAsia="黑体" w:cs="黑体"/>
          <w:sz w:val="24"/>
          <w:szCs w:val="24"/>
        </w:rPr>
        <w:t>cn</w:t>
      </w:r>
      <w:r>
        <w:rPr>
          <w:rFonts w:ascii="黑体" w:hAnsi="黑体" w:eastAsia="黑体" w:cs="黑体"/>
          <w:spacing w:val="1"/>
          <w:sz w:val="24"/>
          <w:szCs w:val="24"/>
        </w:rPr>
        <w:t>/</w:t>
      </w:r>
      <w:r>
        <w:rPr>
          <w:rFonts w:ascii="黑体" w:hAnsi="黑体" w:eastAsia="黑体" w:cs="黑体"/>
          <w:sz w:val="24"/>
          <w:szCs w:val="24"/>
        </w:rPr>
        <w:t>luban</w:t>
      </w:r>
      <w:r>
        <w:rPr>
          <w:rFonts w:ascii="黑体" w:hAnsi="黑体" w:eastAsia="黑体" w:cs="黑体"/>
          <w:spacing w:val="1"/>
          <w:sz w:val="24"/>
          <w:szCs w:val="24"/>
        </w:rPr>
        <w:t>/</w:t>
      </w:r>
      <w:r>
        <w:rPr>
          <w:rFonts w:ascii="黑体" w:hAnsi="黑体" w:eastAsia="黑体" w:cs="黑体"/>
          <w:sz w:val="24"/>
          <w:szCs w:val="24"/>
        </w:rPr>
        <w:t>xinjiang</w:t>
      </w:r>
      <w:r>
        <w:rPr>
          <w:rFonts w:ascii="黑体" w:hAnsi="黑体" w:eastAsia="黑体" w:cs="黑体"/>
          <w:spacing w:val="1"/>
          <w:sz w:val="24"/>
          <w:szCs w:val="24"/>
        </w:rPr>
        <w:t>-e-</w:t>
      </w:r>
      <w:r>
        <w:rPr>
          <w:rFonts w:ascii="黑体" w:hAnsi="黑体" w:eastAsia="黑体" w:cs="黑体"/>
          <w:sz w:val="24"/>
          <w:szCs w:val="24"/>
        </w:rPr>
        <w:t>biding</w:t>
      </w:r>
      <w:r>
        <w:rPr>
          <w:rFonts w:ascii="黑体" w:hAnsi="黑体" w:eastAsia="黑体" w:cs="黑体"/>
          <w:sz w:val="24"/>
          <w:szCs w:val="24"/>
        </w:rPr>
        <w:fldChar w:fldCharType="end"/>
      </w:r>
      <w:r>
        <w:rPr>
          <w:rFonts w:ascii="黑体" w:hAnsi="黑体" w:eastAsia="黑体" w:cs="黑体"/>
          <w:spacing w:val="1"/>
          <w:sz w:val="24"/>
          <w:szCs w:val="24"/>
        </w:rPr>
        <w:t>自助查询，也可在政采云帮助中</w:t>
      </w:r>
      <w:r>
        <w:rPr>
          <w:rFonts w:ascii="黑体" w:hAnsi="黑体" w:eastAsia="黑体" w:cs="黑体"/>
          <w:spacing w:val="-9"/>
          <w:sz w:val="24"/>
          <w:szCs w:val="24"/>
        </w:rPr>
        <w:t>心常见问题解答和操作流程讲解视频中自助查询，网址为：</w:t>
      </w:r>
      <w:r>
        <w:fldChar w:fldCharType="begin"/>
      </w:r>
      <w:r>
        <w:instrText xml:space="preserve">HYPERLINK"https://service.zcygov.cn/#/help"</w:instrText>
      </w:r>
      <w:r>
        <w:fldChar w:fldCharType="separate"/>
      </w:r>
      <w:r>
        <w:rPr>
          <w:rFonts w:ascii="黑体" w:hAnsi="黑体" w:eastAsia="黑体" w:cs="黑体"/>
          <w:sz w:val="24"/>
          <w:szCs w:val="24"/>
        </w:rPr>
        <w:t>https</w:t>
      </w:r>
      <w:r>
        <w:rPr>
          <w:rFonts w:ascii="黑体" w:hAnsi="黑体" w:eastAsia="黑体" w:cs="黑体"/>
          <w:spacing w:val="5"/>
          <w:sz w:val="24"/>
          <w:szCs w:val="24"/>
        </w:rPr>
        <w:t>://</w:t>
      </w:r>
      <w:r>
        <w:rPr>
          <w:rFonts w:ascii="黑体" w:hAnsi="黑体" w:eastAsia="黑体" w:cs="黑体"/>
          <w:sz w:val="24"/>
          <w:szCs w:val="24"/>
        </w:rPr>
        <w:t>service</w:t>
      </w:r>
      <w:r>
        <w:rPr>
          <w:rFonts w:ascii="黑体" w:hAnsi="黑体" w:eastAsia="黑体" w:cs="黑体"/>
          <w:spacing w:val="5"/>
          <w:sz w:val="24"/>
          <w:szCs w:val="24"/>
        </w:rPr>
        <w:t>.</w:t>
      </w:r>
      <w:r>
        <w:rPr>
          <w:rFonts w:ascii="黑体" w:hAnsi="黑体" w:eastAsia="黑体" w:cs="黑体"/>
          <w:sz w:val="24"/>
          <w:szCs w:val="24"/>
        </w:rPr>
        <w:t>zcygov</w:t>
      </w:r>
      <w:r>
        <w:rPr>
          <w:rFonts w:ascii="黑体" w:hAnsi="黑体" w:eastAsia="黑体" w:cs="黑体"/>
          <w:spacing w:val="5"/>
          <w:sz w:val="24"/>
          <w:szCs w:val="24"/>
        </w:rPr>
        <w:t>.</w:t>
      </w:r>
      <w:r>
        <w:rPr>
          <w:rFonts w:ascii="黑体" w:hAnsi="黑体" w:eastAsia="黑体" w:cs="黑体"/>
          <w:sz w:val="24"/>
          <w:szCs w:val="24"/>
        </w:rPr>
        <w:t>cn</w:t>
      </w:r>
      <w:r>
        <w:rPr>
          <w:rFonts w:ascii="黑体" w:hAnsi="黑体" w:eastAsia="黑体" w:cs="黑体"/>
          <w:spacing w:val="5"/>
          <w:sz w:val="24"/>
          <w:szCs w:val="24"/>
        </w:rPr>
        <w:t>/#/</w:t>
      </w:r>
      <w:r>
        <w:rPr>
          <w:rFonts w:ascii="黑体" w:hAnsi="黑体" w:eastAsia="黑体" w:cs="黑体"/>
          <w:sz w:val="24"/>
          <w:szCs w:val="24"/>
        </w:rPr>
        <w:t>help</w:t>
      </w:r>
      <w:r>
        <w:rPr>
          <w:rFonts w:ascii="黑体" w:hAnsi="黑体" w:eastAsia="黑体" w:cs="黑体"/>
          <w:sz w:val="24"/>
          <w:szCs w:val="24"/>
        </w:rPr>
        <w:fldChar w:fldCharType="end"/>
      </w:r>
      <w:r>
        <w:rPr>
          <w:rFonts w:ascii="黑体" w:hAnsi="黑体" w:eastAsia="黑体" w:cs="黑体"/>
          <w:spacing w:val="5"/>
          <w:sz w:val="24"/>
          <w:szCs w:val="24"/>
        </w:rPr>
        <w:t>，“项目采购”—“操作流程-电子招投标”</w:t>
      </w:r>
    </w:p>
    <w:p w14:paraId="62F0DBCF">
      <w:pPr>
        <w:spacing w:before="1" w:line="212" w:lineRule="auto"/>
        <w:ind w:left="12"/>
        <w:rPr>
          <w:rFonts w:ascii="黑体" w:hAnsi="黑体" w:eastAsia="黑体" w:cs="黑体"/>
          <w:spacing w:val="3"/>
          <w:sz w:val="24"/>
          <w:szCs w:val="24"/>
        </w:rPr>
      </w:pPr>
      <w:r>
        <w:rPr>
          <w:rFonts w:ascii="黑体" w:hAnsi="黑体" w:eastAsia="黑体" w:cs="黑体"/>
          <w:spacing w:val="4"/>
          <w:sz w:val="24"/>
          <w:szCs w:val="24"/>
        </w:rPr>
        <w:t>“政府采购项目电子交易管理操作指南-供应商”版面获取操作指南，同时对自</w:t>
      </w:r>
      <w:r>
        <w:rPr>
          <w:rFonts w:ascii="黑体" w:hAnsi="黑体" w:eastAsia="黑体" w:cs="黑体"/>
          <w:spacing w:val="3"/>
          <w:sz w:val="24"/>
          <w:szCs w:val="24"/>
        </w:rPr>
        <w:t>助查</w:t>
      </w:r>
    </w:p>
    <w:p w14:paraId="6514AF40">
      <w:pPr>
        <w:spacing w:before="166" w:line="219" w:lineRule="auto"/>
        <w:rPr>
          <w:rFonts w:ascii="黑体" w:hAnsi="黑体" w:eastAsia="黑体" w:cs="黑体"/>
          <w:sz w:val="24"/>
          <w:szCs w:val="24"/>
        </w:rPr>
      </w:pPr>
      <w:r>
        <w:rPr>
          <w:rFonts w:ascii="黑体" w:hAnsi="黑体" w:eastAsia="黑体" w:cs="黑体"/>
          <w:spacing w:val="2"/>
          <w:sz w:val="24"/>
          <w:szCs w:val="24"/>
        </w:rPr>
        <w:t>询无法解决的问题可通过钉钉群及政采云在线客服获取服务支持。</w:t>
      </w:r>
    </w:p>
    <w:p w14:paraId="048DB9B7">
      <w:pPr>
        <w:spacing w:before="218" w:line="338" w:lineRule="auto"/>
        <w:ind w:left="1" w:firstLine="485"/>
        <w:jc w:val="both"/>
        <w:rPr>
          <w:rFonts w:ascii="黑体" w:hAnsi="黑体" w:eastAsia="黑体" w:cs="黑体"/>
          <w:sz w:val="24"/>
          <w:szCs w:val="24"/>
        </w:rPr>
      </w:pPr>
      <w:r>
        <w:rPr>
          <w:rFonts w:ascii="黑体" w:hAnsi="黑体" w:eastAsia="黑体" w:cs="黑体"/>
          <w:spacing w:val="7"/>
          <w:sz w:val="24"/>
          <w:szCs w:val="24"/>
        </w:rPr>
        <w:t>6、供应商在开标前须提前配置好电脑浏览</w:t>
      </w:r>
      <w:r>
        <w:rPr>
          <w:rFonts w:ascii="黑体" w:hAnsi="黑体" w:eastAsia="黑体" w:cs="黑体"/>
          <w:spacing w:val="6"/>
          <w:sz w:val="24"/>
          <w:szCs w:val="24"/>
        </w:rPr>
        <w:t>器(建议使用360浏览器或谷歌浏览</w:t>
      </w:r>
      <w:r>
        <w:rPr>
          <w:rFonts w:ascii="黑体" w:hAnsi="黑体" w:eastAsia="黑体" w:cs="黑体"/>
          <w:spacing w:val="3"/>
          <w:sz w:val="24"/>
          <w:szCs w:val="24"/>
        </w:rPr>
        <w:t>器)，开标时请使用制作加密电子响应文件的</w:t>
      </w:r>
      <w:r>
        <w:rPr>
          <w:rFonts w:ascii="黑体" w:hAnsi="黑体" w:eastAsia="黑体" w:cs="黑体"/>
          <w:sz w:val="24"/>
          <w:szCs w:val="24"/>
        </w:rPr>
        <w:t>CA</w:t>
      </w:r>
      <w:r>
        <w:rPr>
          <w:rFonts w:ascii="黑体" w:hAnsi="黑体" w:eastAsia="黑体" w:cs="黑体"/>
          <w:spacing w:val="3"/>
          <w:sz w:val="24"/>
          <w:szCs w:val="24"/>
        </w:rPr>
        <w:t>锁进行</w:t>
      </w:r>
      <w:r>
        <w:rPr>
          <w:rFonts w:ascii="黑体" w:hAnsi="黑体" w:eastAsia="黑体" w:cs="黑体"/>
          <w:spacing w:val="2"/>
          <w:sz w:val="24"/>
          <w:szCs w:val="24"/>
        </w:rPr>
        <w:t>解密及报价确认。本项目响</w:t>
      </w:r>
      <w:r>
        <w:rPr>
          <w:rFonts w:ascii="黑体" w:hAnsi="黑体" w:eastAsia="黑体" w:cs="黑体"/>
          <w:spacing w:val="3"/>
          <w:sz w:val="24"/>
          <w:szCs w:val="24"/>
        </w:rPr>
        <w:t>应文件解密时间定为30分钟，如因自身原因导致无法正常解密，后果由供应商自行</w:t>
      </w:r>
      <w:r>
        <w:rPr>
          <w:rFonts w:ascii="黑体" w:hAnsi="黑体" w:eastAsia="黑体" w:cs="黑体"/>
          <w:spacing w:val="-3"/>
          <w:sz w:val="24"/>
          <w:szCs w:val="24"/>
        </w:rPr>
        <w:t>承担。</w:t>
      </w:r>
    </w:p>
    <w:bookmarkEnd w:id="5"/>
    <w:p w14:paraId="24650AEF">
      <w:pPr>
        <w:spacing w:before="150" w:line="213" w:lineRule="auto"/>
        <w:ind w:left="488"/>
        <w:rPr>
          <w:rFonts w:ascii="黑体" w:hAnsi="黑体" w:eastAsia="黑体" w:cs="黑体"/>
          <w:sz w:val="24"/>
          <w:szCs w:val="24"/>
        </w:rPr>
      </w:pPr>
      <w:r>
        <w:rPr>
          <w:rFonts w:ascii="黑体" w:hAnsi="黑体" w:eastAsia="黑体" w:cs="黑体"/>
          <w:spacing w:val="2"/>
          <w:sz w:val="24"/>
          <w:szCs w:val="24"/>
          <w14:textOutline w14:w="4358" w14:cap="sq" w14:cmpd="sng">
            <w14:solidFill>
              <w14:srgbClr w14:val="000000"/>
            </w14:solidFill>
            <w14:prstDash w14:val="solid"/>
            <w14:bevel/>
          </w14:textOutline>
        </w:rPr>
        <w:t>八、凡对本次招标提出询问，请按以下方式联系</w:t>
      </w:r>
    </w:p>
    <w:p w14:paraId="45F7458E">
      <w:pPr>
        <w:spacing w:before="162" w:line="223" w:lineRule="auto"/>
        <w:ind w:left="500"/>
        <w:rPr>
          <w:rFonts w:ascii="黑体" w:hAnsi="黑体" w:eastAsia="黑体" w:cs="黑体"/>
          <w:sz w:val="24"/>
          <w:szCs w:val="24"/>
        </w:rPr>
      </w:pPr>
      <w:r>
        <w:rPr>
          <w:rFonts w:ascii="黑体" w:hAnsi="黑体" w:eastAsia="黑体" w:cs="黑体"/>
          <w:spacing w:val="-2"/>
          <w:sz w:val="24"/>
          <w:szCs w:val="24"/>
        </w:rPr>
        <w:t>1.采购人信息</w:t>
      </w:r>
    </w:p>
    <w:p w14:paraId="65106690">
      <w:pPr>
        <w:spacing w:before="151" w:line="439" w:lineRule="exact"/>
        <w:ind w:left="490"/>
        <w:rPr>
          <w:rFonts w:hint="eastAsia" w:ascii="黑体" w:hAnsi="黑体" w:eastAsia="黑体" w:cs="黑体"/>
          <w:sz w:val="24"/>
          <w:szCs w:val="24"/>
          <w:lang w:eastAsia="zh-CN"/>
        </w:rPr>
      </w:pPr>
      <w:r>
        <w:rPr>
          <w:rFonts w:ascii="黑体" w:hAnsi="黑体" w:eastAsia="黑体" w:cs="黑体"/>
          <w:spacing w:val="1"/>
          <w:position w:val="14"/>
          <w:sz w:val="24"/>
          <w:szCs w:val="24"/>
        </w:rPr>
        <w:t>名称：</w:t>
      </w:r>
      <w:bookmarkStart w:id="6" w:name="OLE_LINK4"/>
      <w:r>
        <w:rPr>
          <w:rFonts w:hint="eastAsia" w:ascii="黑体" w:hAnsi="黑体" w:eastAsia="黑体" w:cs="黑体"/>
          <w:spacing w:val="1"/>
          <w:position w:val="14"/>
          <w:sz w:val="24"/>
          <w:szCs w:val="24"/>
          <w:lang w:eastAsia="zh-CN"/>
        </w:rPr>
        <w:t>阿勒泰市切木尔切克镇</w:t>
      </w:r>
      <w:bookmarkEnd w:id="6"/>
      <w:r>
        <w:rPr>
          <w:rFonts w:hint="eastAsia" w:ascii="黑体" w:hAnsi="黑体" w:eastAsia="黑体" w:cs="黑体"/>
          <w:spacing w:val="1"/>
          <w:position w:val="14"/>
          <w:sz w:val="24"/>
          <w:szCs w:val="24"/>
          <w:lang w:eastAsia="zh-CN"/>
        </w:rPr>
        <w:t>人民政府</w:t>
      </w:r>
    </w:p>
    <w:p w14:paraId="4FAA6F3E">
      <w:pPr>
        <w:spacing w:before="1" w:line="221" w:lineRule="auto"/>
        <w:ind w:left="489"/>
        <w:rPr>
          <w:rFonts w:hint="eastAsia" w:ascii="黑体" w:hAnsi="黑体" w:eastAsia="黑体" w:cs="黑体"/>
          <w:sz w:val="24"/>
          <w:szCs w:val="24"/>
          <w:lang w:eastAsia="zh-CN"/>
        </w:rPr>
      </w:pPr>
      <w:r>
        <w:rPr>
          <w:rFonts w:ascii="黑体" w:hAnsi="黑体" w:eastAsia="黑体" w:cs="黑体"/>
          <w:spacing w:val="1"/>
          <w:sz w:val="24"/>
          <w:szCs w:val="24"/>
        </w:rPr>
        <w:t>地址：</w:t>
      </w:r>
      <w:r>
        <w:rPr>
          <w:rFonts w:hint="eastAsia" w:ascii="黑体" w:hAnsi="黑体" w:eastAsia="黑体" w:cs="黑体"/>
          <w:spacing w:val="1"/>
          <w:sz w:val="24"/>
          <w:szCs w:val="24"/>
          <w:lang w:eastAsia="zh-CN"/>
        </w:rPr>
        <w:t>阿勒泰市切木尔切克镇</w:t>
      </w:r>
    </w:p>
    <w:p w14:paraId="3581401D">
      <w:pPr>
        <w:spacing w:before="154" w:line="439" w:lineRule="exact"/>
        <w:ind w:left="489"/>
        <w:rPr>
          <w:rFonts w:hint="eastAsia" w:ascii="黑体" w:hAnsi="黑体" w:eastAsia="黑体" w:cs="黑体"/>
          <w:sz w:val="24"/>
          <w:szCs w:val="24"/>
          <w:lang w:eastAsia="zh-CN"/>
        </w:rPr>
      </w:pPr>
      <w:r>
        <w:rPr>
          <w:rFonts w:ascii="黑体" w:hAnsi="黑体" w:eastAsia="黑体" w:cs="黑体"/>
          <w:position w:val="14"/>
          <w:sz w:val="24"/>
          <w:szCs w:val="24"/>
        </w:rPr>
        <w:t>联系方式：</w:t>
      </w:r>
      <w:r>
        <w:rPr>
          <w:rFonts w:hint="eastAsia" w:ascii="黑体" w:hAnsi="黑体" w:eastAsia="黑体" w:cs="黑体"/>
          <w:position w:val="14"/>
          <w:sz w:val="24"/>
          <w:szCs w:val="24"/>
        </w:rPr>
        <w:t>18195865518</w:t>
      </w:r>
    </w:p>
    <w:p w14:paraId="51867E30">
      <w:pPr>
        <w:spacing w:before="151" w:line="439" w:lineRule="exact"/>
        <w:ind w:left="490"/>
        <w:rPr>
          <w:rFonts w:ascii="黑体" w:hAnsi="黑体" w:eastAsia="黑体" w:cs="黑体"/>
          <w:spacing w:val="1"/>
          <w:position w:val="14"/>
          <w:sz w:val="24"/>
          <w:szCs w:val="24"/>
        </w:rPr>
      </w:pPr>
      <w:r>
        <w:rPr>
          <w:rFonts w:hint="eastAsia" w:ascii="黑体" w:hAnsi="黑体" w:eastAsia="黑体" w:cs="黑体"/>
          <w:spacing w:val="1"/>
          <w:position w:val="14"/>
          <w:sz w:val="24"/>
          <w:szCs w:val="24"/>
        </w:rPr>
        <w:t>2.采购代理机构信息</w:t>
      </w:r>
    </w:p>
    <w:p w14:paraId="6D4697C4">
      <w:pPr>
        <w:spacing w:before="151" w:line="439" w:lineRule="exact"/>
        <w:ind w:left="490"/>
        <w:rPr>
          <w:rFonts w:hint="eastAsia" w:ascii="黑体" w:hAnsi="黑体" w:eastAsia="黑体" w:cs="黑体"/>
          <w:spacing w:val="1"/>
          <w:position w:val="14"/>
          <w:sz w:val="24"/>
          <w:szCs w:val="24"/>
          <w:lang w:val="en-US" w:eastAsia="zh-CN"/>
        </w:rPr>
      </w:pPr>
      <w:r>
        <w:rPr>
          <w:rFonts w:hint="eastAsia" w:ascii="黑体" w:hAnsi="黑体" w:eastAsia="黑体" w:cs="黑体"/>
          <w:spacing w:val="1"/>
          <w:position w:val="14"/>
          <w:sz w:val="24"/>
          <w:szCs w:val="24"/>
        </w:rPr>
        <w:t xml:space="preserve">名 </w:t>
      </w:r>
      <w:r>
        <w:rPr>
          <w:rFonts w:hint="eastAsia" w:ascii="黑体" w:hAnsi="黑体" w:eastAsia="黑体" w:cs="黑体"/>
          <w:spacing w:val="1"/>
          <w:position w:val="14"/>
          <w:sz w:val="24"/>
          <w:szCs w:val="24"/>
          <w:lang w:val="en-US" w:eastAsia="zh-CN"/>
        </w:rPr>
        <w:t xml:space="preserve">  </w:t>
      </w:r>
      <w:r>
        <w:rPr>
          <w:rFonts w:hint="eastAsia" w:ascii="黑体" w:hAnsi="黑体" w:eastAsia="黑体" w:cs="黑体"/>
          <w:spacing w:val="1"/>
          <w:position w:val="14"/>
          <w:sz w:val="24"/>
          <w:szCs w:val="24"/>
        </w:rPr>
        <w:t>称：</w:t>
      </w:r>
      <w:bookmarkStart w:id="7" w:name="_Toc28359087"/>
      <w:bookmarkStart w:id="8" w:name="_Toc28359010"/>
      <w:r>
        <w:rPr>
          <w:rFonts w:hint="eastAsia" w:ascii="黑体" w:hAnsi="黑体" w:eastAsia="黑体" w:cs="黑体"/>
          <w:spacing w:val="1"/>
          <w:position w:val="14"/>
          <w:sz w:val="24"/>
          <w:szCs w:val="24"/>
          <w:lang w:val="en-US" w:eastAsia="zh-CN"/>
        </w:rPr>
        <w:t>新疆鼎辰工程项目管理有限公司</w:t>
      </w:r>
    </w:p>
    <w:p w14:paraId="20BBF4C2">
      <w:pPr>
        <w:spacing w:before="151" w:line="439" w:lineRule="exact"/>
        <w:ind w:left="490"/>
        <w:rPr>
          <w:rFonts w:hint="eastAsia" w:ascii="黑体" w:hAnsi="黑体" w:eastAsia="黑体" w:cs="黑体"/>
          <w:spacing w:val="1"/>
          <w:position w:val="14"/>
          <w:sz w:val="24"/>
          <w:szCs w:val="24"/>
          <w:lang w:val="en-US" w:eastAsia="zh-CN"/>
        </w:rPr>
      </w:pPr>
      <w:r>
        <w:rPr>
          <w:rFonts w:hint="eastAsia" w:ascii="黑体" w:hAnsi="黑体" w:eastAsia="黑体" w:cs="黑体"/>
          <w:spacing w:val="1"/>
          <w:position w:val="14"/>
          <w:sz w:val="24"/>
          <w:szCs w:val="24"/>
          <w:lang w:val="en-US" w:eastAsia="zh-CN"/>
        </w:rPr>
        <w:t>地　 址：阿勒泰市南区万驰广场12楼</w:t>
      </w:r>
    </w:p>
    <w:p w14:paraId="7B46EFFA">
      <w:pPr>
        <w:spacing w:before="151" w:line="439" w:lineRule="exact"/>
        <w:ind w:left="490"/>
        <w:rPr>
          <w:rFonts w:hint="eastAsia" w:ascii="黑体" w:hAnsi="黑体" w:eastAsia="黑体" w:cs="黑体"/>
          <w:spacing w:val="1"/>
          <w:position w:val="14"/>
          <w:sz w:val="24"/>
          <w:szCs w:val="24"/>
          <w:lang w:val="en-US" w:eastAsia="zh-CN"/>
        </w:rPr>
      </w:pPr>
      <w:r>
        <w:rPr>
          <w:rFonts w:hint="eastAsia" w:ascii="黑体" w:hAnsi="黑体" w:eastAsia="黑体" w:cs="黑体"/>
          <w:spacing w:val="1"/>
          <w:position w:val="14"/>
          <w:sz w:val="24"/>
          <w:szCs w:val="24"/>
          <w:lang w:val="en-US" w:eastAsia="zh-CN"/>
        </w:rPr>
        <w:t>联系方式：13649912037</w:t>
      </w:r>
    </w:p>
    <w:p w14:paraId="78E6EE64">
      <w:pPr>
        <w:spacing w:before="151" w:line="439" w:lineRule="exact"/>
        <w:ind w:left="490"/>
        <w:rPr>
          <w:rFonts w:hint="eastAsia" w:ascii="黑体" w:hAnsi="黑体" w:eastAsia="黑体" w:cs="黑体"/>
          <w:spacing w:val="1"/>
          <w:position w:val="14"/>
          <w:sz w:val="24"/>
          <w:szCs w:val="24"/>
        </w:rPr>
      </w:pPr>
      <w:r>
        <w:rPr>
          <w:rFonts w:hint="eastAsia" w:ascii="黑体" w:hAnsi="黑体" w:eastAsia="黑体" w:cs="黑体"/>
          <w:spacing w:val="1"/>
          <w:position w:val="14"/>
          <w:sz w:val="24"/>
          <w:szCs w:val="24"/>
        </w:rPr>
        <w:t>3.项目联系方式</w:t>
      </w:r>
      <w:bookmarkEnd w:id="7"/>
      <w:bookmarkEnd w:id="8"/>
    </w:p>
    <w:p w14:paraId="67BFF298">
      <w:pPr>
        <w:spacing w:before="151" w:line="439" w:lineRule="exact"/>
        <w:ind w:left="490"/>
        <w:rPr>
          <w:rFonts w:hint="eastAsia" w:ascii="黑体" w:hAnsi="黑体" w:eastAsia="黑体" w:cs="黑体"/>
          <w:spacing w:val="1"/>
          <w:position w:val="14"/>
          <w:sz w:val="24"/>
          <w:szCs w:val="24"/>
          <w:lang w:val="en-US" w:eastAsia="zh-CN"/>
        </w:rPr>
      </w:pPr>
      <w:r>
        <w:rPr>
          <w:rFonts w:hint="eastAsia" w:ascii="黑体" w:hAnsi="黑体" w:eastAsia="黑体" w:cs="黑体"/>
          <w:spacing w:val="1"/>
          <w:position w:val="14"/>
          <w:sz w:val="24"/>
          <w:szCs w:val="24"/>
        </w:rPr>
        <w:t>项目联系人：</w:t>
      </w:r>
      <w:r>
        <w:rPr>
          <w:rFonts w:hint="eastAsia" w:ascii="黑体" w:hAnsi="黑体" w:eastAsia="黑体" w:cs="黑体"/>
          <w:spacing w:val="1"/>
          <w:position w:val="14"/>
          <w:sz w:val="24"/>
          <w:szCs w:val="24"/>
          <w:lang w:val="en-US" w:eastAsia="zh-CN"/>
        </w:rPr>
        <w:t>郭蕾</w:t>
      </w:r>
    </w:p>
    <w:p w14:paraId="0844C528">
      <w:pPr>
        <w:spacing w:before="151" w:line="439" w:lineRule="exact"/>
        <w:ind w:left="490"/>
        <w:rPr>
          <w:rFonts w:hint="eastAsia" w:ascii="黑体" w:hAnsi="黑体" w:eastAsia="黑体" w:cs="黑体"/>
          <w:spacing w:val="1"/>
          <w:position w:val="14"/>
          <w:sz w:val="24"/>
          <w:szCs w:val="24"/>
          <w:lang w:val="en-US" w:eastAsia="zh-CN"/>
        </w:rPr>
      </w:pPr>
      <w:r>
        <w:rPr>
          <w:rFonts w:hint="eastAsia" w:ascii="黑体" w:hAnsi="黑体" w:eastAsia="黑体" w:cs="黑体"/>
          <w:spacing w:val="1"/>
          <w:position w:val="14"/>
          <w:sz w:val="24"/>
          <w:szCs w:val="24"/>
        </w:rPr>
        <w:t>电　话：</w:t>
      </w:r>
      <w:r>
        <w:rPr>
          <w:rFonts w:hint="eastAsia" w:ascii="黑体" w:hAnsi="黑体" w:eastAsia="黑体" w:cs="黑体"/>
          <w:spacing w:val="1"/>
          <w:position w:val="14"/>
          <w:sz w:val="24"/>
          <w:szCs w:val="24"/>
          <w:lang w:val="en-US" w:eastAsia="zh-CN"/>
        </w:rPr>
        <w:t>13649912037</w:t>
      </w:r>
    </w:p>
    <w:p w14:paraId="4AF75571">
      <w:pPr>
        <w:spacing w:before="151" w:line="439" w:lineRule="exact"/>
        <w:ind w:left="490"/>
        <w:rPr>
          <w:rFonts w:ascii="黑体" w:hAnsi="黑体" w:eastAsia="黑体" w:cs="黑体"/>
          <w:spacing w:val="1"/>
          <w:position w:val="14"/>
          <w:sz w:val="24"/>
          <w:szCs w:val="24"/>
        </w:rPr>
        <w:sectPr>
          <w:footerReference r:id="rId5" w:type="default"/>
          <w:pgSz w:w="11906" w:h="16839"/>
          <w:pgMar w:top="1431" w:right="1562" w:bottom="1298" w:left="1424" w:header="0" w:footer="1135" w:gutter="0"/>
          <w:cols w:space="720" w:num="1"/>
        </w:sectPr>
      </w:pPr>
    </w:p>
    <w:p w14:paraId="495890C6">
      <w:pPr>
        <w:spacing w:before="206" w:line="226" w:lineRule="auto"/>
        <w:ind w:left="3714"/>
        <w:rPr>
          <w:rFonts w:ascii="黑体" w:hAnsi="黑体" w:eastAsia="黑体" w:cs="黑体"/>
          <w:sz w:val="31"/>
          <w:szCs w:val="31"/>
        </w:rPr>
      </w:pPr>
      <w:bookmarkStart w:id="9" w:name="bookmark2"/>
      <w:bookmarkEnd w:id="9"/>
      <w:r>
        <w:rPr>
          <w:rFonts w:ascii="黑体" w:hAnsi="黑体" w:eastAsia="黑体" w:cs="黑体"/>
          <w:spacing w:val="11"/>
          <w:sz w:val="31"/>
          <w:szCs w:val="31"/>
          <w14:textOutline w14:w="5793" w14:cap="sq" w14:cmpd="sng">
            <w14:solidFill>
              <w14:srgbClr w14:val="000000"/>
            </w14:solidFill>
            <w14:prstDash w14:val="solid"/>
            <w14:bevel/>
          </w14:textOutline>
        </w:rPr>
        <w:t>第二章供应商须知</w:t>
      </w:r>
    </w:p>
    <w:p w14:paraId="15E528BF">
      <w:pPr>
        <w:spacing w:before="250" w:line="221" w:lineRule="auto"/>
        <w:ind w:left="3875"/>
        <w:outlineLvl w:val="0"/>
        <w:rPr>
          <w:rFonts w:ascii="黑体" w:hAnsi="黑体" w:eastAsia="黑体" w:cs="黑体"/>
          <w:sz w:val="30"/>
          <w:szCs w:val="30"/>
        </w:rPr>
      </w:pPr>
      <w:r>
        <w:rPr>
          <w:rFonts w:ascii="黑体" w:hAnsi="黑体" w:eastAsia="黑体" w:cs="黑体"/>
          <w:spacing w:val="1"/>
          <w:sz w:val="30"/>
          <w:szCs w:val="30"/>
          <w14:textOutline w14:w="5448" w14:cap="sq" w14:cmpd="sng">
            <w14:solidFill>
              <w14:srgbClr w14:val="000000"/>
            </w14:solidFill>
            <w14:prstDash w14:val="solid"/>
            <w14:bevel/>
          </w14:textOutline>
        </w:rPr>
        <w:t>供应商须知前附表</w:t>
      </w:r>
    </w:p>
    <w:p w14:paraId="75F92FED">
      <w:pPr>
        <w:spacing w:line="104" w:lineRule="exact"/>
      </w:pPr>
    </w:p>
    <w:tbl>
      <w:tblPr>
        <w:tblStyle w:val="13"/>
        <w:tblW w:w="1029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13"/>
        <w:gridCol w:w="2230"/>
        <w:gridCol w:w="6951"/>
      </w:tblGrid>
      <w:tr w14:paraId="38E3CB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1" w:hRule="atLeast"/>
        </w:trPr>
        <w:tc>
          <w:tcPr>
            <w:tcW w:w="1113" w:type="dxa"/>
            <w:vAlign w:val="top"/>
          </w:tcPr>
          <w:p w14:paraId="3817E070">
            <w:pPr>
              <w:pStyle w:val="14"/>
              <w:spacing w:before="90" w:line="223" w:lineRule="auto"/>
              <w:ind w:left="200"/>
            </w:pPr>
            <w:r>
              <w:rPr>
                <w:spacing w:val="-2"/>
              </w:rPr>
              <w:t>条款号</w:t>
            </w:r>
          </w:p>
        </w:tc>
        <w:tc>
          <w:tcPr>
            <w:tcW w:w="2230" w:type="dxa"/>
            <w:vAlign w:val="top"/>
          </w:tcPr>
          <w:p w14:paraId="7E7C89FA">
            <w:pPr>
              <w:pStyle w:val="14"/>
              <w:spacing w:before="89" w:line="222" w:lineRule="auto"/>
              <w:ind w:left="635"/>
            </w:pPr>
            <w:r>
              <w:rPr>
                <w:spacing w:val="-1"/>
              </w:rPr>
              <w:t>条款名称</w:t>
            </w:r>
          </w:p>
        </w:tc>
        <w:tc>
          <w:tcPr>
            <w:tcW w:w="6951" w:type="dxa"/>
            <w:vAlign w:val="top"/>
          </w:tcPr>
          <w:p w14:paraId="58ED2947">
            <w:pPr>
              <w:pStyle w:val="14"/>
              <w:spacing w:before="89" w:line="221" w:lineRule="auto"/>
              <w:ind w:left="2811"/>
            </w:pPr>
            <w:r>
              <w:rPr>
                <w:spacing w:val="-12"/>
              </w:rPr>
              <w:t>编列内容</w:t>
            </w:r>
          </w:p>
        </w:tc>
      </w:tr>
      <w:tr w14:paraId="4CD67F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6" w:hRule="atLeast"/>
        </w:trPr>
        <w:tc>
          <w:tcPr>
            <w:tcW w:w="1113" w:type="dxa"/>
            <w:vAlign w:val="top"/>
          </w:tcPr>
          <w:p w14:paraId="378B69DA">
            <w:pPr>
              <w:spacing w:line="427" w:lineRule="auto"/>
              <w:rPr>
                <w:rFonts w:ascii="Arial"/>
                <w:sz w:val="21"/>
              </w:rPr>
            </w:pPr>
          </w:p>
          <w:p w14:paraId="5EE816C2">
            <w:pPr>
              <w:pStyle w:val="14"/>
              <w:spacing w:before="78" w:line="184" w:lineRule="auto"/>
              <w:ind w:left="514"/>
            </w:pPr>
            <w:r>
              <w:t>1</w:t>
            </w:r>
          </w:p>
        </w:tc>
        <w:tc>
          <w:tcPr>
            <w:tcW w:w="2230" w:type="dxa"/>
            <w:vAlign w:val="top"/>
          </w:tcPr>
          <w:p w14:paraId="0736B037">
            <w:pPr>
              <w:spacing w:line="391" w:lineRule="auto"/>
              <w:rPr>
                <w:rFonts w:ascii="Arial"/>
                <w:sz w:val="21"/>
              </w:rPr>
            </w:pPr>
          </w:p>
          <w:p w14:paraId="1152B75E">
            <w:pPr>
              <w:pStyle w:val="14"/>
              <w:spacing w:before="78" w:line="223" w:lineRule="auto"/>
              <w:ind w:left="755"/>
            </w:pPr>
            <w:r>
              <w:rPr>
                <w:spacing w:val="-1"/>
              </w:rPr>
              <w:t>采购人</w:t>
            </w:r>
          </w:p>
        </w:tc>
        <w:tc>
          <w:tcPr>
            <w:tcW w:w="6951" w:type="dxa"/>
            <w:vAlign w:val="top"/>
          </w:tcPr>
          <w:p w14:paraId="3475BD6E">
            <w:pPr>
              <w:pStyle w:val="14"/>
              <w:spacing w:before="36" w:line="222" w:lineRule="auto"/>
              <w:ind w:left="115"/>
              <w:rPr>
                <w:rFonts w:hint="eastAsia" w:eastAsia="黑体"/>
                <w:lang w:eastAsia="zh-CN"/>
              </w:rPr>
            </w:pPr>
            <w:r>
              <w:rPr>
                <w:spacing w:val="1"/>
              </w:rPr>
              <w:t>名称：</w:t>
            </w:r>
            <w:r>
              <w:rPr>
                <w:rFonts w:hint="eastAsia"/>
                <w:spacing w:val="1"/>
                <w:lang w:eastAsia="zh-CN"/>
              </w:rPr>
              <w:t>阿勒泰市切木尔切克镇人民政府</w:t>
            </w:r>
          </w:p>
          <w:p w14:paraId="722848DE">
            <w:pPr>
              <w:pStyle w:val="14"/>
              <w:spacing w:before="145" w:line="222" w:lineRule="auto"/>
              <w:ind w:left="114"/>
              <w:rPr>
                <w:rFonts w:hint="default" w:eastAsia="黑体"/>
                <w:lang w:val="en-US" w:eastAsia="zh-CN"/>
              </w:rPr>
            </w:pPr>
            <w:r>
              <w:t>联系人：</w:t>
            </w:r>
            <w:r>
              <w:rPr>
                <w:rFonts w:hint="eastAsia"/>
                <w:lang w:val="en-US" w:eastAsia="zh-CN"/>
              </w:rPr>
              <w:t>别克波力</w:t>
            </w:r>
          </w:p>
          <w:p w14:paraId="0A540F54">
            <w:pPr>
              <w:pStyle w:val="14"/>
              <w:spacing w:before="148" w:line="221" w:lineRule="auto"/>
              <w:ind w:left="114"/>
              <w:rPr>
                <w:rFonts w:hint="default" w:eastAsia="黑体"/>
                <w:lang w:val="en-US" w:eastAsia="zh-CN"/>
              </w:rPr>
            </w:pPr>
            <w:r>
              <w:t>联系方式：</w:t>
            </w:r>
            <w:r>
              <w:rPr>
                <w:rFonts w:hint="eastAsia"/>
                <w:lang w:val="en-US" w:eastAsia="zh-CN"/>
              </w:rPr>
              <w:t>13649917283</w:t>
            </w:r>
          </w:p>
        </w:tc>
      </w:tr>
      <w:tr w14:paraId="7B3A84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0" w:hRule="atLeast"/>
        </w:trPr>
        <w:tc>
          <w:tcPr>
            <w:tcW w:w="1113" w:type="dxa"/>
            <w:vAlign w:val="top"/>
          </w:tcPr>
          <w:p w14:paraId="026B385E">
            <w:pPr>
              <w:spacing w:line="458" w:lineRule="auto"/>
              <w:rPr>
                <w:rFonts w:ascii="Arial"/>
                <w:sz w:val="21"/>
              </w:rPr>
            </w:pPr>
          </w:p>
          <w:p w14:paraId="7DF8812F">
            <w:pPr>
              <w:pStyle w:val="14"/>
              <w:spacing w:before="78" w:line="185" w:lineRule="auto"/>
              <w:ind w:left="500"/>
            </w:pPr>
            <w:r>
              <w:t>2</w:t>
            </w:r>
          </w:p>
        </w:tc>
        <w:tc>
          <w:tcPr>
            <w:tcW w:w="2230" w:type="dxa"/>
            <w:vAlign w:val="top"/>
          </w:tcPr>
          <w:p w14:paraId="1A286DFF">
            <w:pPr>
              <w:spacing w:line="423" w:lineRule="auto"/>
              <w:rPr>
                <w:rFonts w:ascii="Arial"/>
                <w:sz w:val="21"/>
              </w:rPr>
            </w:pPr>
          </w:p>
          <w:p w14:paraId="0A0DF70D">
            <w:pPr>
              <w:pStyle w:val="14"/>
              <w:spacing w:before="78" w:line="222" w:lineRule="auto"/>
              <w:ind w:left="390"/>
            </w:pPr>
            <w:r>
              <w:t>采购代理机构</w:t>
            </w:r>
          </w:p>
        </w:tc>
        <w:tc>
          <w:tcPr>
            <w:tcW w:w="6951" w:type="dxa"/>
            <w:vAlign w:val="top"/>
          </w:tcPr>
          <w:p w14:paraId="207B3E73">
            <w:pPr>
              <w:pStyle w:val="14"/>
              <w:spacing w:before="178" w:line="224" w:lineRule="auto"/>
              <w:ind w:left="128"/>
              <w:rPr>
                <w:rFonts w:hint="eastAsia"/>
                <w:spacing w:val="1"/>
                <w:lang w:eastAsia="zh-CN"/>
              </w:rPr>
            </w:pPr>
            <w:r>
              <w:rPr>
                <w:spacing w:val="1"/>
              </w:rPr>
              <w:t>名称：</w:t>
            </w:r>
            <w:r>
              <w:rPr>
                <w:rFonts w:hint="eastAsia"/>
                <w:spacing w:val="1"/>
                <w:lang w:eastAsia="zh-CN"/>
              </w:rPr>
              <w:t>新疆鼎辰工程项目管理有限公司</w:t>
            </w:r>
          </w:p>
          <w:p w14:paraId="26BFCEC4">
            <w:pPr>
              <w:pStyle w:val="14"/>
              <w:spacing w:before="178" w:line="224" w:lineRule="auto"/>
              <w:ind w:left="128"/>
              <w:rPr>
                <w:rFonts w:hint="eastAsia"/>
                <w:spacing w:val="-1"/>
                <w:lang w:eastAsia="zh-CN"/>
              </w:rPr>
            </w:pPr>
            <w:r>
              <w:rPr>
                <w:spacing w:val="-1"/>
              </w:rPr>
              <w:t>电话：</w:t>
            </w:r>
            <w:r>
              <w:rPr>
                <w:rFonts w:hint="eastAsia"/>
                <w:spacing w:val="-1"/>
                <w:lang w:val="en-US" w:eastAsia="zh-CN"/>
              </w:rPr>
              <w:t>13649912037</w:t>
            </w:r>
          </w:p>
          <w:p w14:paraId="51B575BA">
            <w:pPr>
              <w:pStyle w:val="14"/>
              <w:spacing w:before="178" w:line="224" w:lineRule="auto"/>
              <w:ind w:left="128"/>
              <w:rPr>
                <w:rFonts w:hint="eastAsia" w:eastAsia="黑体"/>
                <w:lang w:eastAsia="zh-CN"/>
              </w:rPr>
            </w:pPr>
            <w:r>
              <w:rPr>
                <w:spacing w:val="-1"/>
              </w:rPr>
              <w:t>联系人：</w:t>
            </w:r>
            <w:r>
              <w:rPr>
                <w:rFonts w:hint="eastAsia"/>
                <w:spacing w:val="-1"/>
                <w:lang w:val="en-US" w:eastAsia="zh-CN"/>
              </w:rPr>
              <w:t>郭蕾</w:t>
            </w:r>
          </w:p>
        </w:tc>
      </w:tr>
      <w:tr w14:paraId="5342BB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trPr>
        <w:tc>
          <w:tcPr>
            <w:tcW w:w="1113" w:type="dxa"/>
            <w:vAlign w:val="top"/>
          </w:tcPr>
          <w:p w14:paraId="3237A666">
            <w:pPr>
              <w:pStyle w:val="14"/>
              <w:spacing w:before="123" w:line="185" w:lineRule="auto"/>
              <w:ind w:left="501"/>
            </w:pPr>
            <w:r>
              <w:t>3</w:t>
            </w:r>
          </w:p>
        </w:tc>
        <w:tc>
          <w:tcPr>
            <w:tcW w:w="2230" w:type="dxa"/>
            <w:vAlign w:val="top"/>
          </w:tcPr>
          <w:p w14:paraId="3B702927">
            <w:pPr>
              <w:pStyle w:val="14"/>
              <w:spacing w:before="87" w:line="222" w:lineRule="auto"/>
              <w:ind w:left="634"/>
            </w:pPr>
            <w:r>
              <w:rPr>
                <w:spacing w:val="-1"/>
              </w:rPr>
              <w:t>项目名称</w:t>
            </w:r>
          </w:p>
        </w:tc>
        <w:tc>
          <w:tcPr>
            <w:tcW w:w="6951" w:type="dxa"/>
            <w:vAlign w:val="top"/>
          </w:tcPr>
          <w:p w14:paraId="11001713">
            <w:pPr>
              <w:pStyle w:val="14"/>
              <w:spacing w:before="164" w:line="222" w:lineRule="auto"/>
              <w:ind w:left="124"/>
              <w:rPr>
                <w:rFonts w:hint="default" w:eastAsia="黑体"/>
                <w:lang w:val="en-US" w:eastAsia="zh-CN"/>
              </w:rPr>
            </w:pPr>
            <w:r>
              <w:rPr>
                <w:rFonts w:hint="eastAsia" w:ascii="黑体" w:hAnsi="黑体" w:eastAsia="黑体" w:cs="黑体"/>
                <w:spacing w:val="2"/>
                <w:sz w:val="24"/>
                <w:szCs w:val="24"/>
                <w:lang w:val="en-US" w:eastAsia="zh-CN"/>
              </w:rPr>
              <w:t>阿勒泰市切木尔切克镇道路改造以工代赈项目</w:t>
            </w:r>
          </w:p>
        </w:tc>
      </w:tr>
      <w:tr w14:paraId="2FA98A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6" w:hRule="atLeast"/>
        </w:trPr>
        <w:tc>
          <w:tcPr>
            <w:tcW w:w="1113" w:type="dxa"/>
            <w:vAlign w:val="top"/>
          </w:tcPr>
          <w:p w14:paraId="4C2D7F05">
            <w:pPr>
              <w:pStyle w:val="14"/>
              <w:spacing w:before="104" w:line="184" w:lineRule="auto"/>
              <w:ind w:left="495"/>
            </w:pPr>
            <w:r>
              <w:t>4</w:t>
            </w:r>
          </w:p>
        </w:tc>
        <w:tc>
          <w:tcPr>
            <w:tcW w:w="2230" w:type="dxa"/>
            <w:vAlign w:val="top"/>
          </w:tcPr>
          <w:p w14:paraId="0AC2E134">
            <w:pPr>
              <w:pStyle w:val="14"/>
              <w:spacing w:before="67" w:line="222" w:lineRule="auto"/>
              <w:ind w:left="634"/>
            </w:pPr>
            <w:r>
              <w:rPr>
                <w:spacing w:val="-1"/>
              </w:rPr>
              <w:t>项目地点</w:t>
            </w:r>
          </w:p>
        </w:tc>
        <w:tc>
          <w:tcPr>
            <w:tcW w:w="6951" w:type="dxa"/>
            <w:vAlign w:val="top"/>
          </w:tcPr>
          <w:p w14:paraId="7BE390AB">
            <w:pPr>
              <w:pStyle w:val="14"/>
              <w:spacing w:before="67" w:line="222" w:lineRule="auto"/>
              <w:ind w:left="124"/>
              <w:rPr>
                <w:rFonts w:hint="eastAsia" w:eastAsia="黑体"/>
                <w:lang w:eastAsia="zh-CN"/>
              </w:rPr>
            </w:pPr>
            <w:r>
              <w:rPr>
                <w:rFonts w:hint="eastAsia"/>
                <w:spacing w:val="1"/>
                <w:lang w:val="en-US" w:eastAsia="zh-CN"/>
              </w:rPr>
              <w:t>阿勒泰市切木尔切克镇</w:t>
            </w:r>
          </w:p>
        </w:tc>
      </w:tr>
      <w:tr w14:paraId="00D123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trPr>
        <w:tc>
          <w:tcPr>
            <w:tcW w:w="1113" w:type="dxa"/>
            <w:vAlign w:val="top"/>
          </w:tcPr>
          <w:p w14:paraId="53B7A04C">
            <w:pPr>
              <w:pStyle w:val="14"/>
              <w:spacing w:before="127" w:line="182" w:lineRule="auto"/>
              <w:ind w:left="496"/>
            </w:pPr>
            <w:r>
              <w:t>5</w:t>
            </w:r>
          </w:p>
        </w:tc>
        <w:tc>
          <w:tcPr>
            <w:tcW w:w="2230" w:type="dxa"/>
            <w:vAlign w:val="top"/>
          </w:tcPr>
          <w:p w14:paraId="4EF41E73">
            <w:pPr>
              <w:pStyle w:val="14"/>
              <w:spacing w:before="88" w:line="221" w:lineRule="auto"/>
              <w:ind w:left="642"/>
            </w:pPr>
            <w:r>
              <w:rPr>
                <w:spacing w:val="-3"/>
              </w:rPr>
              <w:t>资金来源</w:t>
            </w:r>
          </w:p>
        </w:tc>
        <w:tc>
          <w:tcPr>
            <w:tcW w:w="6951" w:type="dxa"/>
            <w:vAlign w:val="top"/>
          </w:tcPr>
          <w:p w14:paraId="5DA88559">
            <w:pPr>
              <w:pStyle w:val="14"/>
              <w:spacing w:before="87" w:line="222" w:lineRule="auto"/>
              <w:ind w:left="115"/>
              <w:rPr>
                <w:rFonts w:hint="default" w:eastAsia="黑体"/>
                <w:lang w:val="en-US" w:eastAsia="zh-CN"/>
              </w:rPr>
            </w:pPr>
            <w:r>
              <w:rPr>
                <w:rFonts w:hint="eastAsia"/>
                <w:lang w:val="en-US" w:eastAsia="zh-CN"/>
              </w:rPr>
              <w:t>中央财政衔接推进乡村振兴补助资金</w:t>
            </w:r>
          </w:p>
        </w:tc>
      </w:tr>
      <w:tr w14:paraId="69A370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113" w:type="dxa"/>
            <w:vAlign w:val="top"/>
          </w:tcPr>
          <w:p w14:paraId="7D4C31B9">
            <w:pPr>
              <w:pStyle w:val="14"/>
              <w:spacing w:before="124" w:line="184" w:lineRule="auto"/>
              <w:ind w:left="500"/>
            </w:pPr>
            <w:r>
              <w:t>6</w:t>
            </w:r>
          </w:p>
        </w:tc>
        <w:tc>
          <w:tcPr>
            <w:tcW w:w="2230" w:type="dxa"/>
            <w:vAlign w:val="top"/>
          </w:tcPr>
          <w:p w14:paraId="00D6EB5F">
            <w:pPr>
              <w:pStyle w:val="14"/>
              <w:spacing w:before="86" w:line="222" w:lineRule="auto"/>
              <w:ind w:left="650"/>
            </w:pPr>
            <w:r>
              <w:rPr>
                <w:spacing w:val="-5"/>
              </w:rPr>
              <w:t>出资比例</w:t>
            </w:r>
          </w:p>
        </w:tc>
        <w:tc>
          <w:tcPr>
            <w:tcW w:w="6951" w:type="dxa"/>
            <w:vAlign w:val="top"/>
          </w:tcPr>
          <w:p w14:paraId="72A8E5B8">
            <w:pPr>
              <w:pStyle w:val="14"/>
              <w:spacing w:before="87"/>
              <w:ind w:left="125"/>
            </w:pPr>
            <w:r>
              <w:rPr>
                <w:spacing w:val="-5"/>
              </w:rPr>
              <w:t>100%</w:t>
            </w:r>
          </w:p>
        </w:tc>
      </w:tr>
      <w:tr w14:paraId="6A1383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113" w:type="dxa"/>
            <w:vAlign w:val="top"/>
          </w:tcPr>
          <w:p w14:paraId="7818CB0B">
            <w:pPr>
              <w:pStyle w:val="14"/>
              <w:spacing w:before="128" w:line="182" w:lineRule="auto"/>
              <w:ind w:left="502"/>
            </w:pPr>
            <w:r>
              <w:t>7</w:t>
            </w:r>
          </w:p>
        </w:tc>
        <w:tc>
          <w:tcPr>
            <w:tcW w:w="2230" w:type="dxa"/>
            <w:vAlign w:val="top"/>
          </w:tcPr>
          <w:p w14:paraId="75BDDE1F">
            <w:pPr>
              <w:pStyle w:val="14"/>
              <w:spacing w:before="88" w:line="222" w:lineRule="auto"/>
              <w:ind w:left="400"/>
            </w:pPr>
            <w:r>
              <w:rPr>
                <w:spacing w:val="-1"/>
              </w:rPr>
              <w:t>资金落实情况</w:t>
            </w:r>
          </w:p>
        </w:tc>
        <w:tc>
          <w:tcPr>
            <w:tcW w:w="6951" w:type="dxa"/>
            <w:vAlign w:val="top"/>
          </w:tcPr>
          <w:p w14:paraId="3AE01797">
            <w:pPr>
              <w:pStyle w:val="14"/>
              <w:spacing w:before="88" w:line="222" w:lineRule="auto"/>
              <w:ind w:left="128"/>
            </w:pPr>
            <w:r>
              <w:rPr>
                <w:spacing w:val="-7"/>
              </w:rPr>
              <w:t>已落实</w:t>
            </w:r>
          </w:p>
        </w:tc>
      </w:tr>
      <w:tr w14:paraId="20CD74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8" w:hRule="atLeast"/>
        </w:trPr>
        <w:tc>
          <w:tcPr>
            <w:tcW w:w="1113" w:type="dxa"/>
            <w:vAlign w:val="top"/>
          </w:tcPr>
          <w:p w14:paraId="39BDCC13">
            <w:pPr>
              <w:pStyle w:val="14"/>
              <w:spacing w:before="78" w:line="184" w:lineRule="auto"/>
              <w:ind w:left="499"/>
            </w:pPr>
            <w:r>
              <w:t>8</w:t>
            </w:r>
          </w:p>
        </w:tc>
        <w:tc>
          <w:tcPr>
            <w:tcW w:w="2230" w:type="dxa"/>
            <w:vAlign w:val="top"/>
          </w:tcPr>
          <w:p w14:paraId="3A3A19C0">
            <w:pPr>
              <w:pStyle w:val="14"/>
              <w:spacing w:before="42" w:line="222" w:lineRule="auto"/>
              <w:ind w:left="632"/>
            </w:pPr>
            <w:r>
              <w:rPr>
                <w:spacing w:val="-1"/>
              </w:rPr>
              <w:t>采购内容</w:t>
            </w:r>
          </w:p>
        </w:tc>
        <w:tc>
          <w:tcPr>
            <w:tcW w:w="6951" w:type="dxa"/>
            <w:vAlign w:val="top"/>
          </w:tcPr>
          <w:p w14:paraId="59DF18D4">
            <w:pPr>
              <w:pStyle w:val="14"/>
              <w:spacing w:before="42" w:line="221" w:lineRule="auto"/>
              <w:rPr>
                <w:rFonts w:hint="eastAsia" w:eastAsia="黑体"/>
                <w:lang w:eastAsia="zh-CN"/>
              </w:rPr>
            </w:pPr>
            <w:r>
              <w:rPr>
                <w:rFonts w:hint="eastAsia" w:ascii="黑体" w:hAnsi="黑体" w:eastAsia="黑体" w:cs="黑体"/>
                <w:spacing w:val="2"/>
                <w:sz w:val="24"/>
                <w:szCs w:val="24"/>
                <w:lang w:val="en-US" w:eastAsia="zh-CN"/>
              </w:rPr>
              <w:t>村内原道路改造6公里及附属设施，其中，别斯巴斯陶村3公里，阔克什木村3公里</w:t>
            </w:r>
            <w:r>
              <w:rPr>
                <w:rFonts w:hint="eastAsia" w:cs="黑体"/>
                <w:spacing w:val="2"/>
                <w:sz w:val="24"/>
                <w:szCs w:val="24"/>
                <w:lang w:val="en-US" w:eastAsia="zh-CN"/>
              </w:rPr>
              <w:t>（</w:t>
            </w:r>
            <w:r>
              <w:rPr>
                <w:rFonts w:hint="eastAsia" w:eastAsia="黑体"/>
                <w:lang w:val="en-US" w:eastAsia="zh-CN"/>
              </w:rPr>
              <w:t>详见招标工程量清单）</w:t>
            </w:r>
          </w:p>
        </w:tc>
      </w:tr>
      <w:tr w14:paraId="546C56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113" w:type="dxa"/>
            <w:vAlign w:val="top"/>
          </w:tcPr>
          <w:p w14:paraId="03B611D9">
            <w:pPr>
              <w:pStyle w:val="14"/>
              <w:spacing w:before="200" w:line="184" w:lineRule="auto"/>
              <w:ind w:left="495"/>
            </w:pPr>
            <w:r>
              <w:t>9</w:t>
            </w:r>
          </w:p>
        </w:tc>
        <w:tc>
          <w:tcPr>
            <w:tcW w:w="2230" w:type="dxa"/>
            <w:vAlign w:val="top"/>
          </w:tcPr>
          <w:p w14:paraId="05F4C8ED">
            <w:pPr>
              <w:pStyle w:val="14"/>
              <w:spacing w:before="84" w:line="222" w:lineRule="auto"/>
              <w:ind w:left="393"/>
            </w:pPr>
            <w:r>
              <w:t>合同履行期限</w:t>
            </w:r>
          </w:p>
          <w:p w14:paraId="3686A0B5">
            <w:pPr>
              <w:pStyle w:val="14"/>
              <w:spacing w:before="23" w:line="224" w:lineRule="auto"/>
              <w:ind w:left="655"/>
            </w:pPr>
            <w:r>
              <w:rPr>
                <w:spacing w:val="-7"/>
              </w:rPr>
              <w:t>（工期）</w:t>
            </w:r>
          </w:p>
        </w:tc>
        <w:tc>
          <w:tcPr>
            <w:tcW w:w="6951" w:type="dxa"/>
            <w:vAlign w:val="top"/>
          </w:tcPr>
          <w:p w14:paraId="729E4538">
            <w:pPr>
              <w:pStyle w:val="14"/>
              <w:spacing w:before="21" w:line="221" w:lineRule="auto"/>
              <w:ind w:left="114"/>
              <w:rPr>
                <w:rFonts w:hint="eastAsia" w:eastAsia="黑体"/>
                <w:lang w:eastAsia="zh-CN"/>
              </w:rPr>
            </w:pPr>
            <w:r>
              <w:rPr>
                <w:rFonts w:hint="eastAsia" w:eastAsia="黑体"/>
                <w:lang w:eastAsia="zh-CN"/>
              </w:rPr>
              <w:t>计划</w:t>
            </w:r>
            <w:r>
              <w:rPr>
                <w:rFonts w:hint="eastAsia"/>
                <w:lang w:val="en-US" w:eastAsia="zh-CN"/>
              </w:rPr>
              <w:t>总</w:t>
            </w:r>
            <w:r>
              <w:rPr>
                <w:rFonts w:hint="eastAsia" w:eastAsia="黑体"/>
                <w:lang w:eastAsia="zh-CN"/>
              </w:rPr>
              <w:t>工</w:t>
            </w:r>
            <w:r>
              <w:rPr>
                <w:rFonts w:hint="eastAsia"/>
                <w:lang w:eastAsia="zh-CN"/>
              </w:rPr>
              <w:t>期：</w:t>
            </w:r>
            <w:r>
              <w:rPr>
                <w:rFonts w:hint="eastAsia"/>
                <w:lang w:val="en-US" w:eastAsia="zh-CN"/>
              </w:rPr>
              <w:t>180</w:t>
            </w:r>
            <w:r>
              <w:rPr>
                <w:rFonts w:hint="eastAsia"/>
                <w:lang w:eastAsia="zh-CN"/>
              </w:rPr>
              <w:t>日历天；</w:t>
            </w:r>
          </w:p>
          <w:p w14:paraId="023E78E5">
            <w:pPr>
              <w:pStyle w:val="14"/>
              <w:spacing w:before="21" w:line="221" w:lineRule="auto"/>
              <w:ind w:left="114"/>
              <w:rPr>
                <w:rFonts w:hint="eastAsia"/>
                <w:lang w:val="en-US" w:eastAsia="zh-CN"/>
              </w:rPr>
            </w:pPr>
            <w:r>
              <w:rPr>
                <w:rFonts w:hint="eastAsia" w:eastAsia="黑体"/>
                <w:lang w:eastAsia="zh-CN"/>
              </w:rPr>
              <w:t>计划开始工作日期：</w:t>
            </w:r>
            <w:r>
              <w:rPr>
                <w:rFonts w:hint="eastAsia"/>
                <w:lang w:val="en-US" w:eastAsia="zh-CN"/>
              </w:rPr>
              <w:t>2025年5月9日；</w:t>
            </w:r>
          </w:p>
          <w:p w14:paraId="1B93BDF1">
            <w:pPr>
              <w:pStyle w:val="14"/>
              <w:spacing w:before="21" w:line="221" w:lineRule="auto"/>
              <w:ind w:left="114"/>
              <w:rPr>
                <w:rFonts w:hint="default" w:eastAsia="黑体"/>
                <w:lang w:val="en-US" w:eastAsia="zh-CN"/>
              </w:rPr>
            </w:pPr>
            <w:r>
              <w:rPr>
                <w:rFonts w:hint="eastAsia"/>
                <w:lang w:val="en-US" w:eastAsia="zh-CN"/>
              </w:rPr>
              <w:t>计划竣工日期：2025年11月4日（如遇冬季无法施工，工期顺延，总工期不变）。</w:t>
            </w:r>
          </w:p>
        </w:tc>
      </w:tr>
      <w:tr w14:paraId="2C9FEB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7" w:hRule="atLeast"/>
        </w:trPr>
        <w:tc>
          <w:tcPr>
            <w:tcW w:w="1113" w:type="dxa"/>
            <w:vAlign w:val="top"/>
          </w:tcPr>
          <w:p w14:paraId="58E9EBEC">
            <w:pPr>
              <w:pStyle w:val="14"/>
              <w:spacing w:before="126" w:line="184" w:lineRule="auto"/>
              <w:ind w:left="454"/>
            </w:pPr>
            <w:r>
              <w:rPr>
                <w:spacing w:val="-11"/>
              </w:rPr>
              <w:t>10</w:t>
            </w:r>
          </w:p>
        </w:tc>
        <w:tc>
          <w:tcPr>
            <w:tcW w:w="2230" w:type="dxa"/>
            <w:vAlign w:val="top"/>
          </w:tcPr>
          <w:p w14:paraId="340EDD0F">
            <w:pPr>
              <w:pStyle w:val="14"/>
              <w:spacing w:before="166" w:line="222" w:lineRule="auto"/>
              <w:ind w:left="636"/>
            </w:pPr>
            <w:r>
              <w:rPr>
                <w:spacing w:val="-2"/>
              </w:rPr>
              <w:t>质量要求</w:t>
            </w:r>
          </w:p>
        </w:tc>
        <w:tc>
          <w:tcPr>
            <w:tcW w:w="6951" w:type="dxa"/>
            <w:vAlign w:val="top"/>
          </w:tcPr>
          <w:p w14:paraId="53B9804B">
            <w:pPr>
              <w:pStyle w:val="14"/>
              <w:spacing w:before="166" w:line="223" w:lineRule="auto"/>
              <w:ind w:left="114"/>
            </w:pPr>
            <w:r>
              <w:rPr>
                <w:spacing w:val="-4"/>
              </w:rPr>
              <w:t>合格</w:t>
            </w:r>
          </w:p>
        </w:tc>
      </w:tr>
      <w:tr w14:paraId="0E4F8E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113" w:type="dxa"/>
            <w:vAlign w:val="top"/>
          </w:tcPr>
          <w:p w14:paraId="18AF8A5F">
            <w:pPr>
              <w:pStyle w:val="14"/>
              <w:spacing w:before="151" w:line="184" w:lineRule="auto"/>
              <w:ind w:left="454"/>
            </w:pPr>
            <w:r>
              <w:rPr>
                <w:spacing w:val="-11"/>
              </w:rPr>
              <w:t>11</w:t>
            </w:r>
          </w:p>
        </w:tc>
        <w:tc>
          <w:tcPr>
            <w:tcW w:w="2230" w:type="dxa"/>
            <w:vAlign w:val="top"/>
          </w:tcPr>
          <w:p w14:paraId="208538D6">
            <w:pPr>
              <w:pStyle w:val="14"/>
              <w:spacing w:before="114" w:line="222" w:lineRule="auto"/>
              <w:ind w:left="633"/>
            </w:pPr>
            <w:r>
              <w:rPr>
                <w:spacing w:val="-1"/>
              </w:rPr>
              <w:t>履约担保</w:t>
            </w:r>
          </w:p>
        </w:tc>
        <w:tc>
          <w:tcPr>
            <w:tcW w:w="6951" w:type="dxa"/>
            <w:vAlign w:val="top"/>
          </w:tcPr>
          <w:p w14:paraId="3B9550E2">
            <w:pPr>
              <w:pStyle w:val="14"/>
              <w:spacing w:before="37" w:line="222" w:lineRule="auto"/>
              <w:ind w:left="112"/>
              <w:rPr>
                <w:rFonts w:hint="default" w:eastAsia="黑体"/>
                <w:lang w:val="en-US" w:eastAsia="zh-CN"/>
              </w:rPr>
            </w:pPr>
            <w:r>
              <w:rPr>
                <w:spacing w:val="1"/>
              </w:rPr>
              <w:t>履约担保的形式：</w:t>
            </w:r>
            <w:r>
              <w:rPr>
                <w:rFonts w:hint="eastAsia"/>
                <w:spacing w:val="1"/>
                <w:lang w:val="en-US" w:eastAsia="zh-CN"/>
              </w:rPr>
              <w:t>甲乙双方协商</w:t>
            </w:r>
          </w:p>
          <w:p w14:paraId="23A85163">
            <w:pPr>
              <w:pStyle w:val="14"/>
              <w:spacing w:before="24" w:line="205" w:lineRule="auto"/>
              <w:ind w:left="112"/>
              <w:rPr>
                <w:sz w:val="20"/>
                <w:szCs w:val="20"/>
              </w:rPr>
            </w:pPr>
            <w:r>
              <w:rPr>
                <w:spacing w:val="1"/>
              </w:rPr>
              <w:t>履约担保的金额：</w:t>
            </w:r>
            <w:r>
              <w:rPr>
                <w:rFonts w:hint="eastAsia"/>
                <w:spacing w:val="1"/>
                <w:lang w:val="en-US" w:eastAsia="zh-CN"/>
              </w:rPr>
              <w:t>甲乙双方协商</w:t>
            </w:r>
          </w:p>
        </w:tc>
      </w:tr>
      <w:tr w14:paraId="2352BB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113" w:type="dxa"/>
            <w:vAlign w:val="top"/>
          </w:tcPr>
          <w:p w14:paraId="3CDB060D">
            <w:pPr>
              <w:pStyle w:val="14"/>
              <w:spacing w:before="125" w:line="185" w:lineRule="auto"/>
              <w:ind w:left="454"/>
            </w:pPr>
            <w:r>
              <w:rPr>
                <w:spacing w:val="-11"/>
              </w:rPr>
              <w:t>12</w:t>
            </w:r>
          </w:p>
        </w:tc>
        <w:tc>
          <w:tcPr>
            <w:tcW w:w="2230" w:type="dxa"/>
            <w:vAlign w:val="top"/>
          </w:tcPr>
          <w:p w14:paraId="066C2AA8">
            <w:pPr>
              <w:pStyle w:val="14"/>
              <w:spacing w:before="167" w:line="222" w:lineRule="auto"/>
              <w:ind w:left="758"/>
            </w:pPr>
            <w:r>
              <w:rPr>
                <w:spacing w:val="-3"/>
              </w:rPr>
              <w:t>质保期</w:t>
            </w:r>
          </w:p>
        </w:tc>
        <w:tc>
          <w:tcPr>
            <w:tcW w:w="6951" w:type="dxa"/>
            <w:vAlign w:val="top"/>
          </w:tcPr>
          <w:p w14:paraId="3FC06A35">
            <w:pPr>
              <w:pStyle w:val="14"/>
              <w:spacing w:before="167" w:line="219" w:lineRule="auto"/>
              <w:ind w:left="111"/>
            </w:pPr>
            <w:r>
              <w:rPr>
                <w:spacing w:val="1"/>
              </w:rPr>
              <w:t>按国家质量保修期标准规范执行</w:t>
            </w:r>
          </w:p>
        </w:tc>
      </w:tr>
      <w:tr w14:paraId="510290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113" w:type="dxa"/>
            <w:vAlign w:val="top"/>
          </w:tcPr>
          <w:p w14:paraId="23010777">
            <w:pPr>
              <w:pStyle w:val="14"/>
              <w:spacing w:before="124" w:line="185" w:lineRule="auto"/>
              <w:ind w:left="454"/>
            </w:pPr>
            <w:r>
              <w:rPr>
                <w:spacing w:val="-11"/>
              </w:rPr>
              <w:t>13</w:t>
            </w:r>
          </w:p>
        </w:tc>
        <w:tc>
          <w:tcPr>
            <w:tcW w:w="2230" w:type="dxa"/>
            <w:vAlign w:val="top"/>
          </w:tcPr>
          <w:p w14:paraId="2CA1CEF6">
            <w:pPr>
              <w:pStyle w:val="14"/>
              <w:spacing w:before="166" w:line="223" w:lineRule="auto"/>
              <w:ind w:left="879"/>
            </w:pPr>
            <w:r>
              <w:rPr>
                <w:spacing w:val="-5"/>
              </w:rPr>
              <w:t>清单</w:t>
            </w:r>
          </w:p>
        </w:tc>
        <w:tc>
          <w:tcPr>
            <w:tcW w:w="6951" w:type="dxa"/>
            <w:vAlign w:val="top"/>
          </w:tcPr>
          <w:p w14:paraId="354C2459">
            <w:pPr>
              <w:pStyle w:val="14"/>
              <w:spacing w:before="165" w:line="221" w:lineRule="auto"/>
              <w:ind w:left="112"/>
            </w:pPr>
            <w:r>
              <w:t>详见第三章</w:t>
            </w:r>
          </w:p>
        </w:tc>
      </w:tr>
      <w:tr w14:paraId="0E3130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atLeast"/>
        </w:trPr>
        <w:tc>
          <w:tcPr>
            <w:tcW w:w="1113" w:type="dxa"/>
            <w:vAlign w:val="top"/>
          </w:tcPr>
          <w:p w14:paraId="4E6D2E60">
            <w:pPr>
              <w:pStyle w:val="14"/>
              <w:spacing w:before="105" w:line="184" w:lineRule="auto"/>
              <w:ind w:left="454"/>
            </w:pPr>
            <w:r>
              <w:rPr>
                <w:spacing w:val="-11"/>
              </w:rPr>
              <w:t>14</w:t>
            </w:r>
          </w:p>
        </w:tc>
        <w:tc>
          <w:tcPr>
            <w:tcW w:w="2230" w:type="dxa"/>
            <w:vAlign w:val="top"/>
          </w:tcPr>
          <w:p w14:paraId="47A68562">
            <w:pPr>
              <w:pStyle w:val="14"/>
              <w:spacing w:before="147" w:line="222" w:lineRule="auto"/>
              <w:ind w:left="634"/>
            </w:pPr>
            <w:r>
              <w:rPr>
                <w:spacing w:val="-1"/>
              </w:rPr>
              <w:t>现场踏勘</w:t>
            </w:r>
          </w:p>
        </w:tc>
        <w:tc>
          <w:tcPr>
            <w:tcW w:w="6951" w:type="dxa"/>
            <w:vAlign w:val="top"/>
          </w:tcPr>
          <w:p w14:paraId="49FCEEEC">
            <w:pPr>
              <w:pStyle w:val="14"/>
              <w:spacing w:before="137" w:line="239" w:lineRule="auto"/>
              <w:ind w:left="170"/>
            </w:pPr>
            <w:r>
              <w:rPr>
                <w:spacing w:val="-12"/>
              </w:rPr>
              <w:t>√不组织</w:t>
            </w:r>
            <w:r>
              <w:rPr>
                <w:rFonts w:ascii="Wingdings" w:hAnsi="Wingdings" w:eastAsia="Wingdings" w:cs="Wingdings"/>
                <w:spacing w:val="-12"/>
              </w:rPr>
              <w:t></w:t>
            </w:r>
            <w:r>
              <w:rPr>
                <w:spacing w:val="-12"/>
              </w:rPr>
              <w:t>组织</w:t>
            </w:r>
          </w:p>
        </w:tc>
      </w:tr>
      <w:tr w14:paraId="53775C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113" w:type="dxa"/>
            <w:vAlign w:val="top"/>
          </w:tcPr>
          <w:p w14:paraId="3BEAC041">
            <w:pPr>
              <w:pStyle w:val="14"/>
              <w:spacing w:before="153" w:line="184" w:lineRule="auto"/>
              <w:ind w:left="454"/>
            </w:pPr>
            <w:r>
              <w:rPr>
                <w:spacing w:val="-11"/>
              </w:rPr>
              <w:t>15</w:t>
            </w:r>
          </w:p>
        </w:tc>
        <w:tc>
          <w:tcPr>
            <w:tcW w:w="2230" w:type="dxa"/>
            <w:vAlign w:val="top"/>
          </w:tcPr>
          <w:p w14:paraId="6FE3BA32">
            <w:pPr>
              <w:pStyle w:val="14"/>
              <w:spacing w:before="39"/>
              <w:ind w:left="643"/>
            </w:pPr>
            <w:r>
              <w:rPr>
                <w:spacing w:val="-3"/>
              </w:rPr>
              <w:t>响应文件</w:t>
            </w:r>
          </w:p>
          <w:p w14:paraId="5875B253">
            <w:pPr>
              <w:pStyle w:val="14"/>
              <w:spacing w:before="1" w:line="203" w:lineRule="auto"/>
              <w:ind w:left="757"/>
            </w:pPr>
            <w:r>
              <w:rPr>
                <w:spacing w:val="-2"/>
              </w:rPr>
              <w:t>有效期</w:t>
            </w:r>
          </w:p>
        </w:tc>
        <w:tc>
          <w:tcPr>
            <w:tcW w:w="6951" w:type="dxa"/>
            <w:vAlign w:val="top"/>
          </w:tcPr>
          <w:p w14:paraId="487953A3">
            <w:pPr>
              <w:pStyle w:val="14"/>
              <w:spacing w:before="116" w:line="220" w:lineRule="auto"/>
              <w:ind w:left="111"/>
            </w:pPr>
            <w:r>
              <w:rPr>
                <w:spacing w:val="1"/>
              </w:rPr>
              <w:t>提交响应文件的截止之日起</w:t>
            </w:r>
            <w:r>
              <w:rPr>
                <w:rFonts w:hint="eastAsia"/>
                <w:spacing w:val="1"/>
                <w:lang w:val="en-US" w:eastAsia="zh-CN"/>
              </w:rPr>
              <w:t>45</w:t>
            </w:r>
            <w:r>
              <w:rPr>
                <w:spacing w:val="1"/>
              </w:rPr>
              <w:t>天</w:t>
            </w:r>
          </w:p>
        </w:tc>
      </w:tr>
      <w:tr w14:paraId="48AB83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113" w:type="dxa"/>
            <w:vAlign w:val="top"/>
          </w:tcPr>
          <w:p w14:paraId="6D9A8476">
            <w:pPr>
              <w:pStyle w:val="14"/>
              <w:spacing w:before="126" w:line="184" w:lineRule="auto"/>
              <w:ind w:left="454"/>
            </w:pPr>
            <w:r>
              <w:rPr>
                <w:spacing w:val="-11"/>
              </w:rPr>
              <w:t>16</w:t>
            </w:r>
          </w:p>
        </w:tc>
        <w:tc>
          <w:tcPr>
            <w:tcW w:w="2230" w:type="dxa"/>
            <w:vAlign w:val="top"/>
          </w:tcPr>
          <w:p w14:paraId="069AA95B">
            <w:pPr>
              <w:pStyle w:val="14"/>
              <w:spacing w:before="165" w:line="222" w:lineRule="auto"/>
              <w:ind w:left="632"/>
            </w:pPr>
            <w:r>
              <w:rPr>
                <w:spacing w:val="-1"/>
              </w:rPr>
              <w:t>投标报价</w:t>
            </w:r>
          </w:p>
        </w:tc>
        <w:tc>
          <w:tcPr>
            <w:tcW w:w="6951" w:type="dxa"/>
            <w:vAlign w:val="top"/>
          </w:tcPr>
          <w:p w14:paraId="7106DA06">
            <w:pPr>
              <w:pStyle w:val="14"/>
              <w:spacing w:before="166" w:line="221" w:lineRule="auto"/>
              <w:ind w:left="111"/>
            </w:pPr>
            <w:r>
              <w:rPr>
                <w:spacing w:val="2"/>
              </w:rPr>
              <w:t>投标报价应包含税金及本项目所产生的全部费用</w:t>
            </w:r>
          </w:p>
        </w:tc>
      </w:tr>
      <w:tr w14:paraId="633826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1113" w:type="dxa"/>
            <w:vAlign w:val="top"/>
          </w:tcPr>
          <w:p w14:paraId="4E679895">
            <w:pPr>
              <w:pStyle w:val="14"/>
              <w:spacing w:before="154" w:line="184" w:lineRule="auto"/>
              <w:ind w:left="454"/>
            </w:pPr>
            <w:r>
              <w:rPr>
                <w:spacing w:val="-11"/>
              </w:rPr>
              <w:t>17</w:t>
            </w:r>
          </w:p>
        </w:tc>
        <w:tc>
          <w:tcPr>
            <w:tcW w:w="2230" w:type="dxa"/>
            <w:vAlign w:val="top"/>
          </w:tcPr>
          <w:p w14:paraId="28408EFC">
            <w:pPr>
              <w:pStyle w:val="14"/>
              <w:spacing w:before="40" w:line="238" w:lineRule="auto"/>
              <w:ind w:left="639"/>
            </w:pPr>
            <w:r>
              <w:rPr>
                <w:spacing w:val="-2"/>
              </w:rPr>
              <w:t>是否接受</w:t>
            </w:r>
          </w:p>
          <w:p w14:paraId="257834A3">
            <w:pPr>
              <w:pStyle w:val="14"/>
              <w:spacing w:before="1" w:line="206" w:lineRule="auto"/>
              <w:ind w:left="515"/>
            </w:pPr>
            <w:r>
              <w:rPr>
                <w:spacing w:val="-1"/>
              </w:rPr>
              <w:t>联合体投标</w:t>
            </w:r>
          </w:p>
        </w:tc>
        <w:tc>
          <w:tcPr>
            <w:tcW w:w="6951" w:type="dxa"/>
            <w:vAlign w:val="top"/>
          </w:tcPr>
          <w:p w14:paraId="6A7FE3E9">
            <w:pPr>
              <w:pStyle w:val="14"/>
              <w:spacing w:before="106" w:line="239" w:lineRule="auto"/>
              <w:ind w:left="170"/>
            </w:pPr>
            <w:r>
              <w:rPr>
                <w:spacing w:val="-12"/>
              </w:rPr>
              <w:t>√不接受</w:t>
            </w:r>
            <w:r>
              <w:rPr>
                <w:rFonts w:ascii="Wingdings" w:hAnsi="Wingdings" w:eastAsia="Wingdings" w:cs="Wingdings"/>
                <w:spacing w:val="-12"/>
              </w:rPr>
              <w:t></w:t>
            </w:r>
            <w:r>
              <w:rPr>
                <w:spacing w:val="-12"/>
              </w:rPr>
              <w:t>接受</w:t>
            </w:r>
          </w:p>
        </w:tc>
      </w:tr>
    </w:tbl>
    <w:p w14:paraId="7873B818">
      <w:pPr>
        <w:pStyle w:val="5"/>
      </w:pPr>
    </w:p>
    <w:tbl>
      <w:tblPr>
        <w:tblStyle w:val="13"/>
        <w:tblW w:w="1029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13"/>
        <w:gridCol w:w="2230"/>
        <w:gridCol w:w="6951"/>
      </w:tblGrid>
      <w:tr w14:paraId="776489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7" w:hRule="atLeast"/>
        </w:trPr>
        <w:tc>
          <w:tcPr>
            <w:tcW w:w="1113" w:type="dxa"/>
            <w:vAlign w:val="top"/>
          </w:tcPr>
          <w:p w14:paraId="6B642E52">
            <w:pPr>
              <w:spacing w:line="260" w:lineRule="auto"/>
              <w:rPr>
                <w:rFonts w:ascii="Arial"/>
                <w:sz w:val="21"/>
              </w:rPr>
            </w:pPr>
          </w:p>
          <w:p w14:paraId="5846EF74">
            <w:pPr>
              <w:spacing w:line="261" w:lineRule="auto"/>
              <w:rPr>
                <w:rFonts w:ascii="Arial"/>
                <w:sz w:val="21"/>
              </w:rPr>
            </w:pPr>
          </w:p>
          <w:p w14:paraId="1A0019BC">
            <w:pPr>
              <w:spacing w:line="261" w:lineRule="auto"/>
              <w:rPr>
                <w:rFonts w:ascii="Arial"/>
                <w:sz w:val="21"/>
              </w:rPr>
            </w:pPr>
          </w:p>
          <w:p w14:paraId="455D2977">
            <w:pPr>
              <w:spacing w:line="261" w:lineRule="auto"/>
              <w:rPr>
                <w:rFonts w:ascii="Arial"/>
                <w:sz w:val="21"/>
              </w:rPr>
            </w:pPr>
          </w:p>
          <w:p w14:paraId="48BD1AAE">
            <w:pPr>
              <w:spacing w:line="261" w:lineRule="auto"/>
              <w:rPr>
                <w:rFonts w:ascii="Arial"/>
                <w:sz w:val="21"/>
              </w:rPr>
            </w:pPr>
          </w:p>
          <w:p w14:paraId="23B23FCA">
            <w:pPr>
              <w:spacing w:line="261" w:lineRule="auto"/>
              <w:rPr>
                <w:rFonts w:ascii="Arial"/>
                <w:sz w:val="21"/>
              </w:rPr>
            </w:pPr>
          </w:p>
          <w:p w14:paraId="56DCC9F0">
            <w:pPr>
              <w:pStyle w:val="14"/>
              <w:spacing w:before="78" w:line="184" w:lineRule="auto"/>
              <w:ind w:left="454"/>
            </w:pPr>
            <w:r>
              <w:rPr>
                <w:spacing w:val="-11"/>
              </w:rPr>
              <w:t>18</w:t>
            </w:r>
          </w:p>
        </w:tc>
        <w:tc>
          <w:tcPr>
            <w:tcW w:w="2230" w:type="dxa"/>
            <w:vAlign w:val="top"/>
          </w:tcPr>
          <w:p w14:paraId="4BB1D0F1">
            <w:pPr>
              <w:spacing w:line="259" w:lineRule="auto"/>
              <w:rPr>
                <w:rFonts w:ascii="Arial"/>
                <w:sz w:val="21"/>
              </w:rPr>
            </w:pPr>
          </w:p>
          <w:p w14:paraId="02B60C87">
            <w:pPr>
              <w:spacing w:line="259" w:lineRule="auto"/>
              <w:rPr>
                <w:rFonts w:ascii="Arial"/>
                <w:sz w:val="21"/>
              </w:rPr>
            </w:pPr>
          </w:p>
          <w:p w14:paraId="5E25A751">
            <w:pPr>
              <w:spacing w:line="259" w:lineRule="auto"/>
              <w:rPr>
                <w:rFonts w:ascii="Arial"/>
                <w:sz w:val="21"/>
              </w:rPr>
            </w:pPr>
          </w:p>
          <w:p w14:paraId="5979E0E4">
            <w:pPr>
              <w:spacing w:line="260" w:lineRule="auto"/>
              <w:rPr>
                <w:rFonts w:ascii="Arial"/>
                <w:sz w:val="21"/>
              </w:rPr>
            </w:pPr>
          </w:p>
          <w:p w14:paraId="2246C563">
            <w:pPr>
              <w:spacing w:line="260" w:lineRule="auto"/>
              <w:rPr>
                <w:rFonts w:ascii="Arial"/>
                <w:sz w:val="21"/>
              </w:rPr>
            </w:pPr>
          </w:p>
          <w:p w14:paraId="1BAE5835">
            <w:pPr>
              <w:spacing w:line="260" w:lineRule="auto"/>
              <w:rPr>
                <w:rFonts w:ascii="Arial"/>
                <w:sz w:val="21"/>
              </w:rPr>
            </w:pPr>
          </w:p>
          <w:p w14:paraId="4137C71F">
            <w:pPr>
              <w:spacing w:line="260" w:lineRule="auto"/>
              <w:rPr>
                <w:rFonts w:ascii="Arial"/>
                <w:sz w:val="21"/>
              </w:rPr>
            </w:pPr>
          </w:p>
          <w:p w14:paraId="095E5B59">
            <w:pPr>
              <w:pStyle w:val="14"/>
              <w:spacing w:before="78" w:line="468" w:lineRule="exact"/>
              <w:ind w:left="755"/>
            </w:pPr>
            <w:r>
              <w:rPr>
                <w:spacing w:val="-2"/>
                <w:position w:val="17"/>
              </w:rPr>
              <w:t>供应商</w:t>
            </w:r>
          </w:p>
          <w:p w14:paraId="5A3A87C6">
            <w:pPr>
              <w:pStyle w:val="14"/>
              <w:spacing w:line="221" w:lineRule="auto"/>
              <w:ind w:left="642"/>
            </w:pPr>
            <w:r>
              <w:rPr>
                <w:spacing w:val="-3"/>
              </w:rPr>
              <w:t>资质条件</w:t>
            </w:r>
          </w:p>
        </w:tc>
        <w:tc>
          <w:tcPr>
            <w:tcW w:w="6951" w:type="dxa"/>
            <w:vAlign w:val="top"/>
          </w:tcPr>
          <w:p w14:paraId="183D06A6">
            <w:pPr>
              <w:pStyle w:val="14"/>
              <w:spacing w:before="24" w:line="207" w:lineRule="auto"/>
              <w:ind w:left="114"/>
            </w:pPr>
            <w:r>
              <w:t>1.满足《中华人民共和国政府采购法》第二十二条规定；</w:t>
            </w:r>
          </w:p>
          <w:p w14:paraId="14EE8BF4">
            <w:pPr>
              <w:pStyle w:val="14"/>
              <w:spacing w:before="24" w:line="207" w:lineRule="auto"/>
              <w:ind w:left="114"/>
            </w:pPr>
            <w:r>
              <w:t>2.落实政府采购政策需满足的资格要求：</w:t>
            </w:r>
            <w:r>
              <w:rPr>
                <w:rFonts w:hint="eastAsia"/>
                <w:lang w:val="en-US" w:eastAsia="zh-CN"/>
              </w:rPr>
              <w:t>本项目专门面向中小企业</w:t>
            </w:r>
            <w:r>
              <w:rPr>
                <w:rFonts w:hint="eastAsia"/>
              </w:rPr>
              <w:t>,符合（1）《政府采购促进中小企业发展暂行办法》（财库[2020]46 号）；（2）《关于促进残疾人就业政府采购政策的通知》 (财库〔2017〕141 号);（3）《财政部环保总局关于环境标志产品政府采购实施的意见》(财库〔2006〕90 号)。注： 以上政策不重复享受。如属于上述企业需按招标文件要求提供相关资料。</w:t>
            </w:r>
          </w:p>
          <w:p w14:paraId="0C2B4AF3">
            <w:pPr>
              <w:pStyle w:val="14"/>
              <w:spacing w:before="24" w:line="207" w:lineRule="auto"/>
              <w:ind w:left="114"/>
            </w:pPr>
            <w:r>
              <w:t>3.本项目的特定资格要求：</w:t>
            </w:r>
          </w:p>
          <w:p w14:paraId="3D836DE8">
            <w:pPr>
              <w:pStyle w:val="14"/>
              <w:spacing w:before="24" w:line="207" w:lineRule="auto"/>
              <w:ind w:left="114"/>
            </w:pPr>
            <w:r>
              <w:t>（1）在中华人民共和国境内注册，具有有效的营业执照；</w:t>
            </w:r>
          </w:p>
          <w:p w14:paraId="11AC2799">
            <w:pPr>
              <w:pStyle w:val="14"/>
              <w:spacing w:before="24" w:line="207" w:lineRule="auto"/>
              <w:ind w:left="114"/>
            </w:pPr>
            <w:r>
              <w:t>(2) 资质条件：</w:t>
            </w:r>
            <w:r>
              <w:rPr>
                <w:rFonts w:hint="eastAsia"/>
                <w:lang w:val="en-US" w:eastAsia="zh-CN"/>
              </w:rPr>
              <w:t>市政公用工程总承包</w:t>
            </w:r>
            <w:r>
              <w:t>叁级(含叁级)及以上资质，在人员、设备、资金等方面具有相应的施工能力，有安全生产许可证</w:t>
            </w:r>
            <w:r>
              <w:rPr>
                <w:rFonts w:hint="eastAsia"/>
                <w:lang w:eastAsia="zh-CN"/>
              </w:rPr>
              <w:t>；</w:t>
            </w:r>
            <w:r>
              <w:rPr>
                <w:rFonts w:hint="eastAsia"/>
                <w:lang w:val="en-US" w:eastAsia="zh-CN"/>
              </w:rPr>
              <w:t>有类似项目业绩</w:t>
            </w:r>
          </w:p>
          <w:p w14:paraId="0B2CF281">
            <w:pPr>
              <w:pStyle w:val="14"/>
              <w:spacing w:before="24" w:line="207" w:lineRule="auto"/>
              <w:ind w:left="114"/>
            </w:pPr>
            <w:r>
              <w:t>(3) 项目负责人资格：</w:t>
            </w:r>
            <w:r>
              <w:rPr>
                <w:rFonts w:hint="eastAsia"/>
                <w:lang w:val="en-US" w:eastAsia="zh-CN"/>
              </w:rPr>
              <w:t>市政公用工程专业</w:t>
            </w:r>
            <w:r>
              <w:t>贰级(含贰级)及以上建造师执业资格， 具备有效的安全生产考核合格证书，且未担任其他建设工程项目的项目经理。</w:t>
            </w:r>
          </w:p>
          <w:p w14:paraId="2D9658C3">
            <w:pPr>
              <w:pStyle w:val="14"/>
              <w:spacing w:before="24" w:line="207" w:lineRule="auto"/>
              <w:ind w:left="114"/>
            </w:pPr>
            <w:r>
              <w:t>（4）凡拟参加本次磋商项目的供应商须具有良好的信誉，未在“信用中国”网站（www.creditchina.gov.cn）被列入失信被执行人、重大税收违法案件当事人名单、中国政府采购网（www.ccgp.gov.cn）被列入政府采购严重违法失信行为记录名单（尚在处罚期内的）。</w:t>
            </w:r>
          </w:p>
        </w:tc>
      </w:tr>
      <w:tr w14:paraId="3431CD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113" w:type="dxa"/>
            <w:vAlign w:val="top"/>
          </w:tcPr>
          <w:p w14:paraId="5CD6F87C">
            <w:pPr>
              <w:pStyle w:val="14"/>
              <w:spacing w:before="151" w:line="184" w:lineRule="auto"/>
              <w:ind w:left="454"/>
            </w:pPr>
            <w:r>
              <w:rPr>
                <w:spacing w:val="-11"/>
              </w:rPr>
              <w:t>19</w:t>
            </w:r>
          </w:p>
        </w:tc>
        <w:tc>
          <w:tcPr>
            <w:tcW w:w="2230" w:type="dxa"/>
            <w:vAlign w:val="top"/>
          </w:tcPr>
          <w:p w14:paraId="3AD60A13">
            <w:pPr>
              <w:pStyle w:val="14"/>
              <w:spacing w:before="37" w:line="223" w:lineRule="auto"/>
              <w:ind w:left="392" w:right="390" w:firstLine="4"/>
            </w:pPr>
            <w:r>
              <w:rPr>
                <w:spacing w:val="-1"/>
              </w:rPr>
              <w:t>是否允许递交</w:t>
            </w:r>
            <w:r>
              <w:t>备选投标方案</w:t>
            </w:r>
          </w:p>
        </w:tc>
        <w:tc>
          <w:tcPr>
            <w:tcW w:w="6951" w:type="dxa"/>
            <w:vAlign w:val="top"/>
          </w:tcPr>
          <w:p w14:paraId="743731AA">
            <w:pPr>
              <w:pStyle w:val="14"/>
              <w:spacing w:before="190" w:line="222" w:lineRule="auto"/>
              <w:ind w:left="170"/>
            </w:pPr>
            <w:r>
              <w:rPr>
                <w:spacing w:val="-11"/>
              </w:rPr>
              <w:t>√不允许□允许</w:t>
            </w:r>
          </w:p>
        </w:tc>
      </w:tr>
      <w:tr w14:paraId="308375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9" w:hRule="atLeast"/>
        </w:trPr>
        <w:tc>
          <w:tcPr>
            <w:tcW w:w="1113" w:type="dxa"/>
            <w:vAlign w:val="top"/>
          </w:tcPr>
          <w:p w14:paraId="0ECED1BA">
            <w:pPr>
              <w:spacing w:line="380" w:lineRule="auto"/>
              <w:rPr>
                <w:rFonts w:ascii="Arial"/>
                <w:sz w:val="21"/>
              </w:rPr>
            </w:pPr>
          </w:p>
          <w:p w14:paraId="678AF3AE">
            <w:pPr>
              <w:pStyle w:val="14"/>
              <w:spacing w:before="78" w:line="185" w:lineRule="auto"/>
              <w:ind w:left="440"/>
            </w:pPr>
            <w:r>
              <w:rPr>
                <w:spacing w:val="-4"/>
              </w:rPr>
              <w:t>20</w:t>
            </w:r>
          </w:p>
        </w:tc>
        <w:tc>
          <w:tcPr>
            <w:tcW w:w="2230" w:type="dxa"/>
            <w:vAlign w:val="top"/>
          </w:tcPr>
          <w:p w14:paraId="1677B739">
            <w:pPr>
              <w:pStyle w:val="14"/>
              <w:spacing w:before="192" w:line="466" w:lineRule="exact"/>
              <w:ind w:left="149"/>
            </w:pPr>
            <w:r>
              <w:rPr>
                <w:spacing w:val="1"/>
                <w:position w:val="16"/>
              </w:rPr>
              <w:t>竞争性磋商文件领</w:t>
            </w:r>
          </w:p>
          <w:p w14:paraId="27737901">
            <w:pPr>
              <w:pStyle w:val="14"/>
              <w:spacing w:before="1" w:line="220" w:lineRule="auto"/>
              <w:ind w:left="1004"/>
            </w:pPr>
            <w:r>
              <w:t>取</w:t>
            </w:r>
          </w:p>
        </w:tc>
        <w:tc>
          <w:tcPr>
            <w:tcW w:w="6951" w:type="dxa"/>
            <w:vAlign w:val="top"/>
          </w:tcPr>
          <w:p w14:paraId="31E386EC">
            <w:pPr>
              <w:pStyle w:val="14"/>
              <w:spacing w:before="37" w:line="231" w:lineRule="auto"/>
              <w:ind w:left="111" w:right="110"/>
              <w:jc w:val="both"/>
            </w:pPr>
            <w:r>
              <w:rPr>
                <w:spacing w:val="2"/>
              </w:rPr>
              <w:t>供应商登陆政采云平</w:t>
            </w:r>
            <w:r>
              <w:fldChar w:fldCharType="begin"/>
            </w:r>
            <w:r>
              <w:instrText xml:space="preserve">HYPERLINK"http://www.zcygov.cn/"</w:instrText>
            </w:r>
            <w:r>
              <w:fldChar w:fldCharType="separate"/>
            </w:r>
            <w:r>
              <w:t>http</w:t>
            </w:r>
            <w:r>
              <w:rPr>
                <w:spacing w:val="2"/>
              </w:rPr>
              <w:t>://</w:t>
            </w:r>
            <w:r>
              <w:t>www</w:t>
            </w:r>
            <w:r>
              <w:rPr>
                <w:spacing w:val="2"/>
              </w:rPr>
              <w:t>.</w:t>
            </w:r>
            <w:r>
              <w:t>zcygov</w:t>
            </w:r>
            <w:r>
              <w:rPr>
                <w:spacing w:val="2"/>
              </w:rPr>
              <w:t>.</w:t>
            </w:r>
            <w:r>
              <w:t>cn</w:t>
            </w:r>
            <w:r>
              <w:rPr>
                <w:spacing w:val="2"/>
              </w:rPr>
              <w:t>/</w:t>
            </w:r>
            <w:r>
              <w:rPr>
                <w:spacing w:val="2"/>
              </w:rPr>
              <w:fldChar w:fldCharType="end"/>
            </w:r>
            <w:r>
              <w:rPr>
                <w:spacing w:val="2"/>
              </w:rPr>
              <w:t>在线申请获取（登</w:t>
            </w:r>
            <w:r>
              <w:rPr>
                <w:spacing w:val="-1"/>
              </w:rPr>
              <w:t>录政府采购云平台→项目采购→获取竞争性磋商文件→申请，审</w:t>
            </w:r>
            <w:r>
              <w:t>核通过后可下载竞争性磋商文件，如有操作性问题，可与政采云</w:t>
            </w:r>
            <w:r>
              <w:rPr>
                <w:spacing w:val="1"/>
              </w:rPr>
              <w:t>在线客服进行咨询，咨询电话：400-881-7190。</w:t>
            </w:r>
          </w:p>
        </w:tc>
      </w:tr>
      <w:tr w14:paraId="502C7C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113" w:type="dxa"/>
            <w:vAlign w:val="top"/>
          </w:tcPr>
          <w:p w14:paraId="55C591E2">
            <w:pPr>
              <w:pStyle w:val="14"/>
              <w:spacing w:before="150" w:line="185" w:lineRule="auto"/>
              <w:ind w:left="440"/>
            </w:pPr>
            <w:r>
              <w:rPr>
                <w:spacing w:val="-4"/>
              </w:rPr>
              <w:t>21</w:t>
            </w:r>
          </w:p>
        </w:tc>
        <w:tc>
          <w:tcPr>
            <w:tcW w:w="2230" w:type="dxa"/>
            <w:vAlign w:val="top"/>
          </w:tcPr>
          <w:p w14:paraId="354B9D76">
            <w:pPr>
              <w:pStyle w:val="14"/>
              <w:spacing w:before="37" w:line="223" w:lineRule="auto"/>
              <w:ind w:left="632" w:right="419" w:hanging="240"/>
            </w:pPr>
            <w:r>
              <w:rPr>
                <w:spacing w:val="-5"/>
              </w:rPr>
              <w:t>签字和（或）</w:t>
            </w:r>
            <w:r>
              <w:rPr>
                <w:spacing w:val="-1"/>
              </w:rPr>
              <w:t>盖章要求</w:t>
            </w:r>
          </w:p>
        </w:tc>
        <w:tc>
          <w:tcPr>
            <w:tcW w:w="6951" w:type="dxa"/>
            <w:vAlign w:val="top"/>
          </w:tcPr>
          <w:p w14:paraId="64282C27">
            <w:pPr>
              <w:pStyle w:val="14"/>
              <w:spacing w:before="24" w:line="205" w:lineRule="auto"/>
              <w:ind w:left="111"/>
            </w:pPr>
            <w:r>
              <w:rPr>
                <w:rFonts w:hint="eastAsia"/>
              </w:rPr>
              <w:t>规定处需加盖公章，并由投标人法定代表人或其委托代理人签字或盖章。</w:t>
            </w:r>
          </w:p>
        </w:tc>
      </w:tr>
      <w:tr w14:paraId="53EEE0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113" w:type="dxa"/>
            <w:vAlign w:val="top"/>
          </w:tcPr>
          <w:p w14:paraId="458655D0">
            <w:pPr>
              <w:pStyle w:val="14"/>
              <w:spacing w:before="78" w:line="185" w:lineRule="auto"/>
              <w:jc w:val="center"/>
              <w:rPr>
                <w:rFonts w:ascii="黑体" w:hAnsi="黑体" w:eastAsia="黑体" w:cs="黑体"/>
                <w:snapToGrid w:val="0"/>
                <w:color w:val="000000"/>
                <w:spacing w:val="-5"/>
                <w:kern w:val="0"/>
                <w:sz w:val="24"/>
                <w:szCs w:val="24"/>
                <w:lang w:val="en-US" w:eastAsia="en-US" w:bidi="ar-SA"/>
              </w:rPr>
            </w:pPr>
            <w:r>
              <w:rPr>
                <w:rFonts w:ascii="黑体" w:hAnsi="黑体" w:eastAsia="黑体" w:cs="黑体"/>
                <w:snapToGrid w:val="0"/>
                <w:color w:val="000000"/>
                <w:spacing w:val="-5"/>
                <w:kern w:val="0"/>
                <w:sz w:val="24"/>
                <w:szCs w:val="24"/>
                <w:lang w:val="en-US" w:eastAsia="en-US" w:bidi="ar-SA"/>
              </w:rPr>
              <w:t>22</w:t>
            </w:r>
          </w:p>
        </w:tc>
        <w:tc>
          <w:tcPr>
            <w:tcW w:w="2230" w:type="dxa"/>
            <w:vAlign w:val="top"/>
          </w:tcPr>
          <w:p w14:paraId="0F014C5B">
            <w:pPr>
              <w:pStyle w:val="14"/>
              <w:spacing w:before="78" w:line="221" w:lineRule="auto"/>
              <w:jc w:val="center"/>
              <w:rPr>
                <w:rFonts w:ascii="黑体" w:hAnsi="黑体" w:eastAsia="黑体" w:cs="黑体"/>
                <w:snapToGrid w:val="0"/>
                <w:color w:val="000000"/>
                <w:spacing w:val="-5"/>
                <w:kern w:val="0"/>
                <w:sz w:val="24"/>
                <w:szCs w:val="24"/>
                <w:lang w:val="en-US" w:eastAsia="en-US" w:bidi="ar-SA"/>
              </w:rPr>
            </w:pPr>
            <w:r>
              <w:rPr>
                <w:rFonts w:ascii="黑体" w:hAnsi="黑体" w:eastAsia="黑体" w:cs="黑体"/>
                <w:snapToGrid w:val="0"/>
                <w:color w:val="auto"/>
                <w:spacing w:val="-5"/>
                <w:kern w:val="0"/>
                <w:sz w:val="24"/>
                <w:szCs w:val="24"/>
                <w:lang w:val="en-US" w:eastAsia="en-US" w:bidi="ar-SA"/>
              </w:rPr>
              <w:t>付款方式</w:t>
            </w:r>
          </w:p>
        </w:tc>
        <w:tc>
          <w:tcPr>
            <w:tcW w:w="6951" w:type="dxa"/>
            <w:vAlign w:val="top"/>
          </w:tcPr>
          <w:p w14:paraId="162F96D3">
            <w:pPr>
              <w:pStyle w:val="14"/>
              <w:spacing w:before="135" w:line="228" w:lineRule="auto"/>
              <w:ind w:right="107"/>
              <w:jc w:val="both"/>
              <w:rPr>
                <w:rFonts w:hint="default" w:eastAsia="黑体"/>
                <w:lang w:val="en-US" w:eastAsia="zh-CN"/>
              </w:rPr>
            </w:pPr>
            <w:r>
              <w:rPr>
                <w:rFonts w:hint="eastAsia"/>
              </w:rPr>
              <w:t>关于付款周期的约定：</w:t>
            </w:r>
            <w:r>
              <w:rPr>
                <w:rFonts w:hint="eastAsia"/>
                <w:lang w:val="en-US" w:eastAsia="zh-CN"/>
              </w:rPr>
              <w:t>合同签订人员、设备进场开工后支付合同价款的30%；主体完成工程量的85%后支付竣工结算总额的50%；工程竣工验收合格后支付合同总价款的17%；剩余3%作为工程质量保修金。</w:t>
            </w:r>
          </w:p>
        </w:tc>
      </w:tr>
      <w:tr w14:paraId="3CA060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113" w:type="dxa"/>
            <w:vAlign w:val="top"/>
          </w:tcPr>
          <w:p w14:paraId="63E2D1FF">
            <w:pPr>
              <w:pStyle w:val="14"/>
              <w:spacing w:before="124" w:line="185" w:lineRule="auto"/>
              <w:ind w:left="440"/>
            </w:pPr>
            <w:r>
              <w:rPr>
                <w:spacing w:val="-4"/>
              </w:rPr>
              <w:t>23</w:t>
            </w:r>
          </w:p>
        </w:tc>
        <w:tc>
          <w:tcPr>
            <w:tcW w:w="2230" w:type="dxa"/>
            <w:vAlign w:val="top"/>
          </w:tcPr>
          <w:p w14:paraId="04CE2872">
            <w:pPr>
              <w:pStyle w:val="14"/>
              <w:spacing w:before="166" w:line="221" w:lineRule="auto"/>
              <w:ind w:left="632"/>
            </w:pPr>
            <w:r>
              <w:rPr>
                <w:spacing w:val="-1"/>
              </w:rPr>
              <w:t>报价方式</w:t>
            </w:r>
          </w:p>
        </w:tc>
        <w:tc>
          <w:tcPr>
            <w:tcW w:w="6951" w:type="dxa"/>
            <w:vAlign w:val="top"/>
          </w:tcPr>
          <w:p w14:paraId="57E09C43">
            <w:pPr>
              <w:pStyle w:val="14"/>
              <w:spacing w:before="165" w:line="222" w:lineRule="auto"/>
              <w:ind w:left="116"/>
            </w:pPr>
            <w:r>
              <w:rPr>
                <w:spacing w:val="-1"/>
              </w:rPr>
              <w:t>直接报价（</w:t>
            </w:r>
            <w:r>
              <w:rPr>
                <w:rFonts w:hint="eastAsia"/>
                <w:spacing w:val="-1"/>
                <w:lang w:val="en-US" w:eastAsia="zh-CN"/>
              </w:rPr>
              <w:t>政采云系统内报价为最终轮</w:t>
            </w:r>
            <w:r>
              <w:rPr>
                <w:spacing w:val="-1"/>
              </w:rPr>
              <w:t>报价）</w:t>
            </w:r>
          </w:p>
        </w:tc>
      </w:tr>
      <w:tr w14:paraId="0EA0AE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113" w:type="dxa"/>
            <w:vAlign w:val="top"/>
          </w:tcPr>
          <w:p w14:paraId="4723108A">
            <w:pPr>
              <w:pStyle w:val="14"/>
              <w:spacing w:before="83" w:line="185" w:lineRule="auto"/>
              <w:ind w:left="440"/>
            </w:pPr>
            <w:r>
              <w:rPr>
                <w:spacing w:val="-4"/>
              </w:rPr>
              <w:t>24</w:t>
            </w:r>
          </w:p>
        </w:tc>
        <w:tc>
          <w:tcPr>
            <w:tcW w:w="2230" w:type="dxa"/>
            <w:vAlign w:val="top"/>
          </w:tcPr>
          <w:p w14:paraId="6602AA3C">
            <w:pPr>
              <w:pStyle w:val="14"/>
              <w:spacing w:before="126" w:line="221" w:lineRule="auto"/>
              <w:ind w:left="633"/>
            </w:pPr>
            <w:r>
              <w:rPr>
                <w:spacing w:val="-1"/>
              </w:rPr>
              <w:t>评标办法</w:t>
            </w:r>
          </w:p>
        </w:tc>
        <w:tc>
          <w:tcPr>
            <w:tcW w:w="6951" w:type="dxa"/>
            <w:vAlign w:val="top"/>
          </w:tcPr>
          <w:p w14:paraId="488E13C8">
            <w:pPr>
              <w:pStyle w:val="14"/>
              <w:spacing w:before="126" w:line="222" w:lineRule="auto"/>
              <w:ind w:left="111"/>
            </w:pPr>
            <w:r>
              <w:t>综合评分法</w:t>
            </w:r>
          </w:p>
        </w:tc>
      </w:tr>
      <w:tr w14:paraId="359F0A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2" w:hRule="atLeast"/>
        </w:trPr>
        <w:tc>
          <w:tcPr>
            <w:tcW w:w="1113" w:type="dxa"/>
            <w:vAlign w:val="top"/>
          </w:tcPr>
          <w:p w14:paraId="400FD96D">
            <w:pPr>
              <w:spacing w:line="299" w:lineRule="auto"/>
              <w:rPr>
                <w:rFonts w:ascii="Arial"/>
                <w:sz w:val="21"/>
              </w:rPr>
            </w:pPr>
          </w:p>
          <w:p w14:paraId="6DCFEE3C">
            <w:pPr>
              <w:spacing w:line="299" w:lineRule="auto"/>
              <w:rPr>
                <w:rFonts w:ascii="Arial"/>
                <w:sz w:val="21"/>
              </w:rPr>
            </w:pPr>
          </w:p>
          <w:p w14:paraId="3CEFE48D">
            <w:pPr>
              <w:spacing w:line="300" w:lineRule="auto"/>
              <w:rPr>
                <w:rFonts w:ascii="Arial"/>
                <w:sz w:val="21"/>
              </w:rPr>
            </w:pPr>
          </w:p>
          <w:p w14:paraId="3375C91D">
            <w:pPr>
              <w:pStyle w:val="14"/>
              <w:spacing w:before="78" w:line="185" w:lineRule="auto"/>
              <w:ind w:left="440"/>
            </w:pPr>
            <w:r>
              <w:rPr>
                <w:spacing w:val="-4"/>
              </w:rPr>
              <w:t>25</w:t>
            </w:r>
          </w:p>
        </w:tc>
        <w:tc>
          <w:tcPr>
            <w:tcW w:w="2230" w:type="dxa"/>
            <w:vAlign w:val="top"/>
          </w:tcPr>
          <w:p w14:paraId="20A7457D">
            <w:pPr>
              <w:spacing w:line="288" w:lineRule="auto"/>
              <w:rPr>
                <w:rFonts w:ascii="Arial"/>
                <w:sz w:val="21"/>
              </w:rPr>
            </w:pPr>
          </w:p>
          <w:p w14:paraId="096001AD">
            <w:pPr>
              <w:spacing w:line="288" w:lineRule="auto"/>
              <w:rPr>
                <w:rFonts w:ascii="Arial"/>
                <w:sz w:val="21"/>
              </w:rPr>
            </w:pPr>
          </w:p>
          <w:p w14:paraId="7C646DEF">
            <w:pPr>
              <w:spacing w:line="288" w:lineRule="auto"/>
              <w:rPr>
                <w:rFonts w:ascii="Arial"/>
                <w:sz w:val="21"/>
              </w:rPr>
            </w:pPr>
          </w:p>
          <w:p w14:paraId="6BFAF976">
            <w:pPr>
              <w:pStyle w:val="14"/>
              <w:spacing w:before="78" w:line="222" w:lineRule="auto"/>
              <w:ind w:left="512"/>
            </w:pPr>
            <w:r>
              <w:t>投标保证金</w:t>
            </w:r>
          </w:p>
        </w:tc>
        <w:tc>
          <w:tcPr>
            <w:tcW w:w="6951" w:type="dxa"/>
            <w:vAlign w:val="top"/>
          </w:tcPr>
          <w:p w14:paraId="0736834F">
            <w:pPr>
              <w:pStyle w:val="14"/>
              <w:spacing w:before="39" w:line="222" w:lineRule="auto"/>
              <w:ind w:left="111"/>
              <w:rPr>
                <w:rFonts w:hint="default" w:eastAsia="黑体"/>
                <w:lang w:val="en-US" w:eastAsia="zh-CN"/>
              </w:rPr>
            </w:pPr>
            <w:r>
              <w:rPr>
                <w:rFonts w:hint="eastAsia"/>
                <w:spacing w:val="1"/>
                <w:lang w:val="en-US" w:eastAsia="zh-CN"/>
              </w:rPr>
              <w:t>1、</w:t>
            </w:r>
            <w:r>
              <w:rPr>
                <w:spacing w:val="1"/>
              </w:rPr>
              <w:t>投标保证金金额：</w:t>
            </w:r>
            <w:r>
              <w:rPr>
                <w:rFonts w:hint="eastAsia"/>
                <w:spacing w:val="1"/>
                <w:lang w:val="en-US" w:eastAsia="zh-CN"/>
              </w:rPr>
              <w:t>30000元（大写：叁万元整）</w:t>
            </w:r>
          </w:p>
          <w:p w14:paraId="19FE2A15">
            <w:pPr>
              <w:pStyle w:val="14"/>
              <w:spacing w:before="180" w:line="221" w:lineRule="auto"/>
              <w:ind w:left="112"/>
              <w:rPr>
                <w:rFonts w:hint="eastAsia"/>
                <w:spacing w:val="1"/>
              </w:rPr>
            </w:pPr>
            <w:r>
              <w:rPr>
                <w:rFonts w:hint="eastAsia"/>
                <w:spacing w:val="1"/>
              </w:rPr>
              <w:t>2、投标保证金应当由投标人的基本账户电汇或保函等非现金形式提交。投标人未按照</w:t>
            </w:r>
            <w:r>
              <w:rPr>
                <w:rFonts w:hint="eastAsia"/>
                <w:spacing w:val="1"/>
                <w:lang w:eastAsia="zh-CN"/>
              </w:rPr>
              <w:t>竞争性磋商</w:t>
            </w:r>
            <w:r>
              <w:rPr>
                <w:rFonts w:hint="eastAsia"/>
                <w:spacing w:val="1"/>
              </w:rPr>
              <w:t>文件要求提交投标保证金或保函的，投标无效。</w:t>
            </w:r>
          </w:p>
          <w:p w14:paraId="068998F9">
            <w:pPr>
              <w:pStyle w:val="14"/>
              <w:spacing w:before="180" w:line="221" w:lineRule="auto"/>
              <w:ind w:left="112"/>
              <w:rPr>
                <w:rFonts w:hint="eastAsia"/>
                <w:spacing w:val="1"/>
              </w:rPr>
            </w:pPr>
            <w:r>
              <w:rPr>
                <w:rFonts w:hint="eastAsia"/>
                <w:spacing w:val="1"/>
              </w:rPr>
              <w:t>3.各投标人必须在投标截止时间前交到</w:t>
            </w:r>
            <w:r>
              <w:rPr>
                <w:rFonts w:hint="eastAsia"/>
                <w:spacing w:val="-1"/>
                <w:lang w:eastAsia="zh-CN"/>
              </w:rPr>
              <w:t>新疆鼎辰工程项目管理有限公司</w:t>
            </w:r>
            <w:r>
              <w:rPr>
                <w:rFonts w:hint="eastAsia"/>
                <w:spacing w:val="1"/>
              </w:rPr>
              <w:t>指定账户，投标人未按照</w:t>
            </w:r>
            <w:r>
              <w:rPr>
                <w:rFonts w:hint="eastAsia"/>
                <w:spacing w:val="1"/>
                <w:lang w:eastAsia="zh-CN"/>
              </w:rPr>
              <w:t>竞争性磋商</w:t>
            </w:r>
            <w:r>
              <w:rPr>
                <w:rFonts w:hint="eastAsia"/>
                <w:spacing w:val="1"/>
              </w:rPr>
              <w:t>文件要求提交投标保证金的，投标无效。</w:t>
            </w:r>
          </w:p>
          <w:p w14:paraId="714F474E">
            <w:pPr>
              <w:pStyle w:val="14"/>
              <w:spacing w:before="37" w:line="231" w:lineRule="auto"/>
              <w:ind w:left="111" w:right="110"/>
              <w:jc w:val="both"/>
              <w:rPr>
                <w:rFonts w:hint="eastAsia"/>
                <w:spacing w:val="-1"/>
                <w:lang w:eastAsia="zh-CN"/>
              </w:rPr>
            </w:pPr>
            <w:r>
              <w:rPr>
                <w:rFonts w:hint="eastAsia"/>
                <w:spacing w:val="-1"/>
              </w:rPr>
              <w:t>单位名称：</w:t>
            </w:r>
            <w:r>
              <w:rPr>
                <w:rFonts w:hint="eastAsia"/>
                <w:spacing w:val="-1"/>
                <w:lang w:eastAsia="zh-CN"/>
              </w:rPr>
              <w:t>新疆鼎辰工程项目管理有限公司</w:t>
            </w:r>
          </w:p>
          <w:p w14:paraId="608CE05A">
            <w:pPr>
              <w:pStyle w:val="14"/>
              <w:spacing w:before="37" w:line="231" w:lineRule="auto"/>
              <w:ind w:left="111" w:right="110"/>
              <w:jc w:val="both"/>
              <w:rPr>
                <w:rFonts w:hint="eastAsia"/>
                <w:spacing w:val="-1"/>
                <w:lang w:val="en-US" w:eastAsia="zh-CN"/>
              </w:rPr>
            </w:pPr>
            <w:r>
              <w:rPr>
                <w:rFonts w:hint="eastAsia"/>
                <w:spacing w:val="-1"/>
                <w:lang w:val="en-US" w:eastAsia="zh-CN"/>
              </w:rPr>
              <w:t xml:space="preserve">开户银行：中国银行股份有限公司阿勒泰市望湖广场支行 </w:t>
            </w:r>
          </w:p>
          <w:p w14:paraId="2B3676B0">
            <w:pPr>
              <w:pStyle w:val="14"/>
              <w:spacing w:before="37" w:line="231" w:lineRule="auto"/>
              <w:ind w:left="111" w:right="110"/>
              <w:jc w:val="both"/>
              <w:rPr>
                <w:rFonts w:hint="eastAsia"/>
                <w:spacing w:val="-1"/>
                <w:lang w:val="en-US" w:eastAsia="zh-CN"/>
              </w:rPr>
            </w:pPr>
            <w:r>
              <w:rPr>
                <w:rFonts w:hint="eastAsia"/>
                <w:spacing w:val="-1"/>
                <w:lang w:val="en-US" w:eastAsia="zh-CN"/>
              </w:rPr>
              <w:t>账   号：108297655202</w:t>
            </w:r>
          </w:p>
          <w:p w14:paraId="51DFD926">
            <w:pPr>
              <w:pStyle w:val="14"/>
              <w:spacing w:before="37" w:line="231" w:lineRule="auto"/>
              <w:ind w:left="111" w:right="110"/>
              <w:jc w:val="both"/>
              <w:rPr>
                <w:rFonts w:hint="eastAsia"/>
                <w:spacing w:val="1"/>
              </w:rPr>
            </w:pPr>
            <w:r>
              <w:rPr>
                <w:rFonts w:hint="eastAsia"/>
                <w:spacing w:val="-1"/>
                <w:lang w:val="en-US" w:eastAsia="zh-CN"/>
              </w:rPr>
              <w:t>注：以电汇方式交纳投标保证金的须在电汇凭据附言栏中写明采购编号或包号及用途（投标保证金</w:t>
            </w:r>
            <w:r>
              <w:rPr>
                <w:rFonts w:hint="eastAsia" w:ascii="黑体" w:hAnsi="黑体" w:eastAsia="黑体" w:cs="黑体"/>
                <w:snapToGrid w:val="0"/>
                <w:color w:val="000000"/>
                <w:spacing w:val="1"/>
                <w:kern w:val="0"/>
                <w:sz w:val="24"/>
                <w:szCs w:val="24"/>
                <w:lang w:val="en-US" w:eastAsia="zh-CN" w:bidi="ar-SA"/>
              </w:rPr>
              <w:t>）</w:t>
            </w:r>
          </w:p>
        </w:tc>
      </w:tr>
    </w:tbl>
    <w:p w14:paraId="3E298C4A">
      <w:pPr>
        <w:spacing w:line="51" w:lineRule="exact"/>
      </w:pPr>
    </w:p>
    <w:tbl>
      <w:tblPr>
        <w:tblStyle w:val="13"/>
        <w:tblW w:w="1029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13"/>
        <w:gridCol w:w="2230"/>
        <w:gridCol w:w="6951"/>
      </w:tblGrid>
      <w:tr w14:paraId="0E2B02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2" w:hRule="atLeast"/>
        </w:trPr>
        <w:tc>
          <w:tcPr>
            <w:tcW w:w="1113" w:type="dxa"/>
            <w:vAlign w:val="top"/>
          </w:tcPr>
          <w:p w14:paraId="4D625DB4">
            <w:pPr>
              <w:spacing w:line="258" w:lineRule="auto"/>
              <w:rPr>
                <w:rFonts w:ascii="Arial"/>
                <w:sz w:val="21"/>
              </w:rPr>
            </w:pPr>
          </w:p>
          <w:p w14:paraId="531CB175">
            <w:pPr>
              <w:spacing w:line="258" w:lineRule="auto"/>
              <w:rPr>
                <w:rFonts w:ascii="Arial"/>
                <w:sz w:val="21"/>
              </w:rPr>
            </w:pPr>
          </w:p>
          <w:p w14:paraId="6493424A">
            <w:pPr>
              <w:pStyle w:val="14"/>
              <w:spacing w:before="78" w:line="185" w:lineRule="auto"/>
              <w:ind w:left="440"/>
            </w:pPr>
            <w:r>
              <w:rPr>
                <w:spacing w:val="-4"/>
              </w:rPr>
              <w:t>26</w:t>
            </w:r>
          </w:p>
        </w:tc>
        <w:tc>
          <w:tcPr>
            <w:tcW w:w="2230" w:type="dxa"/>
            <w:vAlign w:val="top"/>
          </w:tcPr>
          <w:p w14:paraId="6F90138F">
            <w:pPr>
              <w:pStyle w:val="14"/>
              <w:spacing w:before="94" w:line="222" w:lineRule="auto"/>
              <w:ind w:left="643"/>
            </w:pPr>
            <w:r>
              <w:rPr>
                <w:spacing w:val="-3"/>
              </w:rPr>
              <w:t>响应文件</w:t>
            </w:r>
          </w:p>
          <w:p w14:paraId="430078CD">
            <w:pPr>
              <w:pStyle w:val="14"/>
              <w:spacing w:before="179" w:line="221" w:lineRule="auto"/>
              <w:ind w:left="194"/>
            </w:pPr>
            <w:r>
              <w:rPr>
                <w:spacing w:val="-4"/>
              </w:rPr>
              <w:t>(电子加密文件)提</w:t>
            </w:r>
          </w:p>
          <w:p w14:paraId="0EEB2E04">
            <w:pPr>
              <w:pStyle w:val="14"/>
              <w:spacing w:before="178" w:line="223" w:lineRule="auto"/>
              <w:ind w:left="396"/>
            </w:pPr>
            <w:r>
              <w:rPr>
                <w:spacing w:val="-1"/>
              </w:rPr>
              <w:t>交时间及地点</w:t>
            </w:r>
          </w:p>
        </w:tc>
        <w:tc>
          <w:tcPr>
            <w:tcW w:w="6951" w:type="dxa"/>
            <w:vAlign w:val="top"/>
          </w:tcPr>
          <w:p w14:paraId="0A5ADFCE">
            <w:pPr>
              <w:pStyle w:val="14"/>
              <w:spacing w:before="37" w:line="231" w:lineRule="auto"/>
              <w:ind w:left="111" w:right="110"/>
              <w:jc w:val="both"/>
              <w:rPr>
                <w:rFonts w:hint="eastAsia"/>
                <w:spacing w:val="-1"/>
                <w:lang w:val="en-US" w:eastAsia="zh-CN"/>
              </w:rPr>
            </w:pPr>
            <w:r>
              <w:rPr>
                <w:rFonts w:hint="eastAsia"/>
                <w:spacing w:val="-1"/>
                <w:lang w:val="en-US" w:eastAsia="zh-CN"/>
              </w:rPr>
              <w:t>提交响应文件截止时间及开标时间：2025年   月  日 时00分（北京时间）投标地点及开标地点：政采云平台</w:t>
            </w:r>
            <w:r>
              <w:rPr>
                <w:rFonts w:hint="eastAsia"/>
                <w:spacing w:val="-1"/>
                <w:lang w:val="en-US" w:eastAsia="zh-CN"/>
              </w:rPr>
              <w:fldChar w:fldCharType="begin"/>
            </w:r>
            <w:r>
              <w:rPr>
                <w:rFonts w:hint="eastAsia"/>
                <w:spacing w:val="-1"/>
                <w:lang w:val="en-US" w:eastAsia="zh-CN"/>
              </w:rPr>
              <w:instrText xml:space="preserve">HYPERLINK"https://www.zcygov.cn"</w:instrText>
            </w:r>
            <w:r>
              <w:rPr>
                <w:rFonts w:hint="eastAsia"/>
                <w:spacing w:val="-1"/>
                <w:lang w:val="en-US" w:eastAsia="zh-CN"/>
              </w:rPr>
              <w:fldChar w:fldCharType="separate"/>
            </w:r>
            <w:r>
              <w:rPr>
                <w:rFonts w:hint="eastAsia"/>
                <w:spacing w:val="-1"/>
                <w:lang w:val="en-US" w:eastAsia="zh-CN"/>
              </w:rPr>
              <w:t>https://www.zcygov.cn</w:t>
            </w:r>
            <w:r>
              <w:rPr>
                <w:rFonts w:hint="eastAsia"/>
                <w:spacing w:val="-1"/>
                <w:lang w:val="en-US" w:eastAsia="zh-CN"/>
              </w:rPr>
              <w:fldChar w:fldCharType="end"/>
            </w:r>
          </w:p>
        </w:tc>
      </w:tr>
      <w:tr w14:paraId="179DD2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38" w:hRule="atLeast"/>
        </w:trPr>
        <w:tc>
          <w:tcPr>
            <w:tcW w:w="1113" w:type="dxa"/>
            <w:vAlign w:val="top"/>
          </w:tcPr>
          <w:p w14:paraId="63ECBCA1">
            <w:pPr>
              <w:pStyle w:val="14"/>
              <w:spacing w:before="151" w:line="185" w:lineRule="auto"/>
              <w:ind w:left="440"/>
              <w:rPr>
                <w:spacing w:val="-4"/>
              </w:rPr>
            </w:pPr>
          </w:p>
          <w:p w14:paraId="59646B99">
            <w:pPr>
              <w:pStyle w:val="14"/>
              <w:spacing w:before="151" w:line="185" w:lineRule="auto"/>
              <w:ind w:left="440"/>
              <w:rPr>
                <w:spacing w:val="-4"/>
              </w:rPr>
            </w:pPr>
          </w:p>
          <w:p w14:paraId="3EE0C497">
            <w:pPr>
              <w:pStyle w:val="14"/>
              <w:spacing w:before="151" w:line="185" w:lineRule="auto"/>
              <w:ind w:left="440"/>
              <w:rPr>
                <w:spacing w:val="-4"/>
              </w:rPr>
            </w:pPr>
          </w:p>
          <w:p w14:paraId="7D9F8E8D">
            <w:pPr>
              <w:pStyle w:val="14"/>
              <w:spacing w:before="151" w:line="185" w:lineRule="auto"/>
              <w:ind w:left="440"/>
            </w:pPr>
            <w:r>
              <w:rPr>
                <w:spacing w:val="-4"/>
              </w:rPr>
              <w:t>27</w:t>
            </w:r>
          </w:p>
        </w:tc>
        <w:tc>
          <w:tcPr>
            <w:tcW w:w="2230" w:type="dxa"/>
            <w:vAlign w:val="top"/>
          </w:tcPr>
          <w:p w14:paraId="0414407F">
            <w:pPr>
              <w:pStyle w:val="14"/>
              <w:spacing w:before="38" w:line="222" w:lineRule="auto"/>
              <w:ind w:left="643"/>
              <w:rPr>
                <w:spacing w:val="-3"/>
              </w:rPr>
            </w:pPr>
          </w:p>
          <w:p w14:paraId="343390C2">
            <w:pPr>
              <w:pStyle w:val="14"/>
              <w:spacing w:before="38" w:line="222" w:lineRule="auto"/>
              <w:ind w:left="643"/>
              <w:rPr>
                <w:spacing w:val="-3"/>
              </w:rPr>
            </w:pPr>
          </w:p>
          <w:p w14:paraId="02F29492">
            <w:pPr>
              <w:pStyle w:val="14"/>
              <w:spacing w:before="38" w:line="222" w:lineRule="auto"/>
              <w:ind w:left="643"/>
              <w:rPr>
                <w:spacing w:val="-3"/>
              </w:rPr>
            </w:pPr>
          </w:p>
          <w:p w14:paraId="7EDDDD78">
            <w:pPr>
              <w:pStyle w:val="14"/>
              <w:spacing w:before="38" w:line="222" w:lineRule="auto"/>
              <w:ind w:left="643"/>
            </w:pPr>
            <w:r>
              <w:rPr>
                <w:spacing w:val="-3"/>
              </w:rPr>
              <w:t>响应文件</w:t>
            </w:r>
          </w:p>
          <w:p w14:paraId="7C759455">
            <w:pPr>
              <w:pStyle w:val="14"/>
              <w:spacing w:before="23" w:line="206" w:lineRule="auto"/>
              <w:ind w:left="770"/>
            </w:pPr>
            <w:r>
              <w:rPr>
                <w:spacing w:val="-6"/>
              </w:rPr>
              <w:t>的份数</w:t>
            </w:r>
          </w:p>
        </w:tc>
        <w:tc>
          <w:tcPr>
            <w:tcW w:w="6951" w:type="dxa"/>
            <w:vAlign w:val="top"/>
          </w:tcPr>
          <w:p w14:paraId="580B9F8E">
            <w:pPr>
              <w:pStyle w:val="14"/>
              <w:spacing w:before="23" w:line="206" w:lineRule="auto"/>
              <w:ind w:left="132"/>
              <w:rPr>
                <w:rFonts w:hint="eastAsia"/>
              </w:rPr>
            </w:pPr>
            <w:r>
              <w:rPr>
                <w:rFonts w:hint="eastAsia"/>
              </w:rPr>
              <w:t>1、投标人开标及公示后要求：1、</w:t>
            </w:r>
            <w:r>
              <w:rPr>
                <w:rFonts w:hint="eastAsia"/>
                <w:lang w:val="en-US" w:eastAsia="zh-CN"/>
              </w:rPr>
              <w:t>（阿勒泰市南区万驰广场十二楼）郭蕾（收）联系电话：13649912037</w:t>
            </w:r>
            <w:r>
              <w:rPr>
                <w:rFonts w:hint="eastAsia"/>
              </w:rPr>
              <w:t>，正本1份，副本2份；U盘一份；</w:t>
            </w:r>
          </w:p>
          <w:p w14:paraId="20AC8B54">
            <w:pPr>
              <w:pStyle w:val="14"/>
              <w:spacing w:before="23" w:line="206" w:lineRule="auto"/>
              <w:ind w:left="132"/>
              <w:rPr>
                <w:rFonts w:hint="default" w:eastAsia="黑体"/>
                <w:lang w:val="en-US" w:eastAsia="zh-CN"/>
              </w:rPr>
            </w:pPr>
            <w:r>
              <w:rPr>
                <w:rFonts w:hint="eastAsia"/>
              </w:rPr>
              <w:t>2、须与上传政采云电子版投标文件内容一致，纸质投标文件不得采用活页胶装，需留存备案将一律不予退还。如有疑问可与收件人联系</w:t>
            </w:r>
            <w:r>
              <w:rPr>
                <w:rFonts w:hint="eastAsia"/>
                <w:lang w:val="en-US" w:eastAsia="zh-CN"/>
              </w:rPr>
              <w:t>13649912037</w:t>
            </w:r>
          </w:p>
          <w:p w14:paraId="0B471342">
            <w:pPr>
              <w:pStyle w:val="14"/>
              <w:spacing w:before="23" w:line="206" w:lineRule="auto"/>
              <w:ind w:left="132"/>
            </w:pPr>
            <w:r>
              <w:rPr>
                <w:rFonts w:hint="eastAsia"/>
              </w:rPr>
              <w:t>备注：本项目以电子投标文件为准，纸质版投标文件只用于档案存档使用，如遇特殊情况必要时或可能需要查阅纸质版投标文件。</w:t>
            </w:r>
          </w:p>
        </w:tc>
      </w:tr>
      <w:tr w14:paraId="71AC97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38" w:hRule="atLeast"/>
        </w:trPr>
        <w:tc>
          <w:tcPr>
            <w:tcW w:w="1113" w:type="dxa"/>
            <w:vAlign w:val="top"/>
          </w:tcPr>
          <w:p w14:paraId="0390B2EB">
            <w:pPr>
              <w:pStyle w:val="14"/>
              <w:spacing w:before="149" w:line="185" w:lineRule="auto"/>
              <w:ind w:left="440" w:leftChars="0"/>
              <w:rPr>
                <w:rFonts w:ascii="黑体" w:hAnsi="黑体" w:eastAsia="黑体" w:cs="黑体"/>
                <w:snapToGrid w:val="0"/>
                <w:color w:val="000000"/>
                <w:kern w:val="0"/>
                <w:sz w:val="24"/>
                <w:szCs w:val="24"/>
                <w:lang w:val="en-US" w:eastAsia="en-US" w:bidi="ar-SA"/>
              </w:rPr>
            </w:pPr>
            <w:r>
              <w:rPr>
                <w:spacing w:val="-4"/>
              </w:rPr>
              <w:t>28</w:t>
            </w:r>
          </w:p>
        </w:tc>
        <w:tc>
          <w:tcPr>
            <w:tcW w:w="2230" w:type="dxa"/>
            <w:vAlign w:val="top"/>
          </w:tcPr>
          <w:p w14:paraId="7880A49C">
            <w:pPr>
              <w:spacing w:line="313" w:lineRule="auto"/>
              <w:rPr>
                <w:rFonts w:hint="eastAsia" w:ascii="黑体" w:hAnsi="黑体" w:eastAsia="黑体" w:cs="黑体"/>
                <w:snapToGrid w:val="0"/>
                <w:color w:val="000000"/>
                <w:kern w:val="0"/>
                <w:sz w:val="24"/>
                <w:szCs w:val="24"/>
                <w:lang w:val="en-US" w:eastAsia="zh-CN" w:bidi="ar-SA"/>
              </w:rPr>
            </w:pPr>
          </w:p>
          <w:p w14:paraId="08C692EA">
            <w:pPr>
              <w:spacing w:line="314" w:lineRule="auto"/>
              <w:rPr>
                <w:rFonts w:hint="eastAsia" w:ascii="黑体" w:hAnsi="黑体" w:eastAsia="黑体" w:cs="黑体"/>
                <w:snapToGrid w:val="0"/>
                <w:color w:val="000000"/>
                <w:kern w:val="0"/>
                <w:sz w:val="24"/>
                <w:szCs w:val="24"/>
                <w:lang w:val="en-US" w:eastAsia="zh-CN" w:bidi="ar-SA"/>
              </w:rPr>
            </w:pPr>
          </w:p>
          <w:p w14:paraId="072D9ADA">
            <w:pPr>
              <w:spacing w:line="314" w:lineRule="auto"/>
              <w:rPr>
                <w:rFonts w:hint="eastAsia" w:ascii="黑体" w:hAnsi="黑体" w:eastAsia="黑体" w:cs="黑体"/>
                <w:snapToGrid w:val="0"/>
                <w:color w:val="000000"/>
                <w:kern w:val="0"/>
                <w:sz w:val="24"/>
                <w:szCs w:val="24"/>
                <w:lang w:val="en-US" w:eastAsia="zh-CN" w:bidi="ar-SA"/>
              </w:rPr>
            </w:pPr>
          </w:p>
          <w:p w14:paraId="3E00B6A3">
            <w:pPr>
              <w:spacing w:before="65" w:line="225" w:lineRule="auto"/>
              <w:ind w:left="480" w:leftChars="0"/>
              <w:rPr>
                <w:rFonts w:hint="eastAsia" w:ascii="黑体" w:hAnsi="黑体" w:eastAsia="黑体" w:cs="黑体"/>
                <w:snapToGrid w:val="0"/>
                <w:color w:val="000000"/>
                <w:kern w:val="0"/>
                <w:sz w:val="24"/>
                <w:szCs w:val="24"/>
                <w:lang w:val="en-US" w:eastAsia="en-US" w:bidi="ar-SA"/>
              </w:rPr>
            </w:pPr>
            <w:r>
              <w:rPr>
                <w:rFonts w:hint="eastAsia" w:ascii="黑体" w:hAnsi="黑体" w:eastAsia="黑体" w:cs="黑体"/>
                <w:snapToGrid w:val="0"/>
                <w:color w:val="000000"/>
                <w:kern w:val="0"/>
                <w:sz w:val="24"/>
                <w:szCs w:val="24"/>
                <w:lang w:val="en-US" w:eastAsia="zh-CN" w:bidi="ar-SA"/>
              </w:rPr>
              <w:t>评标委员会的组建</w:t>
            </w:r>
          </w:p>
        </w:tc>
        <w:tc>
          <w:tcPr>
            <w:tcW w:w="6951" w:type="dxa"/>
            <w:vAlign w:val="top"/>
          </w:tcPr>
          <w:p w14:paraId="0086F3DF">
            <w:pPr>
              <w:spacing w:before="113" w:line="240" w:lineRule="auto"/>
              <w:ind w:left="113" w:right="106"/>
              <w:rPr>
                <w:rFonts w:hint="eastAsia" w:ascii="黑体" w:hAnsi="黑体" w:eastAsia="黑体" w:cs="黑体"/>
                <w:snapToGrid w:val="0"/>
                <w:color w:val="000000"/>
                <w:kern w:val="0"/>
                <w:sz w:val="24"/>
                <w:szCs w:val="24"/>
                <w:lang w:val="en-US" w:eastAsia="zh-CN" w:bidi="ar-SA"/>
              </w:rPr>
            </w:pPr>
            <w:r>
              <w:rPr>
                <w:rFonts w:hint="eastAsia" w:ascii="黑体" w:hAnsi="黑体" w:eastAsia="黑体" w:cs="黑体"/>
                <w:snapToGrid w:val="0"/>
                <w:color w:val="000000"/>
                <w:kern w:val="0"/>
                <w:sz w:val="24"/>
                <w:szCs w:val="24"/>
                <w:lang w:val="en-US" w:eastAsia="zh-CN" w:bidi="ar-SA"/>
              </w:rPr>
              <w:t>评标委员会构成：</w:t>
            </w:r>
            <w:r>
              <w:rPr>
                <w:rFonts w:hint="eastAsia" w:ascii="黑体" w:hAnsi="黑体" w:eastAsia="黑体" w:cs="黑体"/>
                <w:snapToGrid w:val="0"/>
                <w:color w:val="000000"/>
                <w:kern w:val="0"/>
                <w:sz w:val="24"/>
                <w:szCs w:val="24"/>
                <w:u w:val="single"/>
                <w:lang w:val="en-US" w:eastAsia="zh-CN" w:bidi="ar-SA"/>
              </w:rPr>
              <w:t xml:space="preserve"> 3 </w:t>
            </w:r>
            <w:r>
              <w:rPr>
                <w:rFonts w:hint="eastAsia" w:ascii="黑体" w:hAnsi="黑体" w:eastAsia="黑体" w:cs="黑体"/>
                <w:snapToGrid w:val="0"/>
                <w:color w:val="000000"/>
                <w:kern w:val="0"/>
                <w:sz w:val="24"/>
                <w:szCs w:val="24"/>
                <w:lang w:val="en-US" w:eastAsia="zh-CN" w:bidi="ar-SA"/>
              </w:rPr>
              <w:t>人，其中招标人代表</w:t>
            </w:r>
            <w:r>
              <w:rPr>
                <w:rFonts w:hint="eastAsia" w:ascii="黑体" w:hAnsi="黑体" w:eastAsia="黑体" w:cs="黑体"/>
                <w:snapToGrid w:val="0"/>
                <w:color w:val="000000"/>
                <w:kern w:val="0"/>
                <w:sz w:val="24"/>
                <w:szCs w:val="24"/>
                <w:u w:val="single"/>
                <w:lang w:val="en-US" w:eastAsia="zh-CN" w:bidi="ar-SA"/>
              </w:rPr>
              <w:t xml:space="preserve"> 0 </w:t>
            </w:r>
            <w:r>
              <w:rPr>
                <w:rFonts w:hint="eastAsia" w:ascii="黑体" w:hAnsi="黑体" w:eastAsia="黑体" w:cs="黑体"/>
                <w:snapToGrid w:val="0"/>
                <w:color w:val="000000"/>
                <w:kern w:val="0"/>
                <w:sz w:val="24"/>
                <w:szCs w:val="24"/>
                <w:lang w:val="en-US" w:eastAsia="zh-CN" w:bidi="ar-SA"/>
              </w:rPr>
              <w:t xml:space="preserve">人 (限招标人在职人员，且应当具备评标专家相应的或者类似的条件) ，专家3人；                                    </w:t>
            </w:r>
          </w:p>
          <w:p w14:paraId="67A3802C">
            <w:pPr>
              <w:spacing w:before="113" w:line="240" w:lineRule="auto"/>
              <w:ind w:left="113" w:right="106"/>
              <w:rPr>
                <w:rFonts w:hint="eastAsia" w:ascii="黑体" w:hAnsi="黑体" w:eastAsia="黑体" w:cs="黑体"/>
                <w:snapToGrid w:val="0"/>
                <w:color w:val="000000"/>
                <w:kern w:val="0"/>
                <w:sz w:val="24"/>
                <w:szCs w:val="24"/>
                <w:lang w:val="en-US" w:eastAsia="zh-CN" w:bidi="ar-SA"/>
              </w:rPr>
            </w:pPr>
            <w:r>
              <w:rPr>
                <w:rFonts w:hint="eastAsia" w:ascii="黑体" w:hAnsi="黑体" w:eastAsia="黑体" w:cs="黑体"/>
                <w:snapToGrid w:val="0"/>
                <w:color w:val="000000"/>
                <w:kern w:val="0"/>
                <w:sz w:val="24"/>
                <w:szCs w:val="24"/>
                <w:lang w:val="en-US" w:eastAsia="zh-CN" w:bidi="ar-SA"/>
              </w:rPr>
              <w:t xml:space="preserve">□分  组     技术组/人，经济组/人。               </w:t>
            </w:r>
          </w:p>
          <w:p w14:paraId="30A658AF">
            <w:pPr>
              <w:spacing w:before="113" w:line="240" w:lineRule="auto"/>
              <w:ind w:right="106"/>
              <w:rPr>
                <w:rFonts w:hint="eastAsia" w:ascii="黑体" w:hAnsi="黑体" w:eastAsia="黑体" w:cs="黑体"/>
                <w:snapToGrid w:val="0"/>
                <w:color w:val="000000"/>
                <w:kern w:val="0"/>
                <w:sz w:val="24"/>
                <w:szCs w:val="24"/>
                <w:lang w:val="en-US" w:eastAsia="zh-CN" w:bidi="ar-SA"/>
              </w:rPr>
            </w:pPr>
            <w:r>
              <w:rPr>
                <w:rFonts w:hint="eastAsia" w:ascii="黑体" w:hAnsi="黑体" w:eastAsia="黑体" w:cs="黑体"/>
                <w:snapToGrid w:val="0"/>
                <w:color w:val="000000"/>
                <w:kern w:val="0"/>
                <w:sz w:val="24"/>
                <w:szCs w:val="24"/>
                <w:lang w:val="en-US" w:eastAsia="zh-CN" w:bidi="ar-SA"/>
              </w:rPr>
              <w:t xml:space="preserve"> ☑不分组</w:t>
            </w:r>
          </w:p>
          <w:p w14:paraId="4115C418">
            <w:pPr>
              <w:spacing w:before="1" w:line="240" w:lineRule="auto"/>
              <w:ind w:left="113" w:leftChars="0"/>
              <w:rPr>
                <w:rFonts w:hint="eastAsia" w:ascii="黑体" w:hAnsi="黑体" w:eastAsia="黑体" w:cs="黑体"/>
                <w:snapToGrid w:val="0"/>
                <w:color w:val="000000"/>
                <w:kern w:val="0"/>
                <w:sz w:val="24"/>
                <w:szCs w:val="24"/>
                <w:lang w:val="en-US" w:eastAsia="en-US" w:bidi="ar-SA"/>
              </w:rPr>
            </w:pPr>
            <w:r>
              <w:rPr>
                <w:rFonts w:hint="eastAsia" w:ascii="黑体" w:hAnsi="黑体" w:eastAsia="黑体" w:cs="黑体"/>
                <w:snapToGrid w:val="0"/>
                <w:color w:val="000000"/>
                <w:kern w:val="0"/>
                <w:sz w:val="24"/>
                <w:szCs w:val="24"/>
                <w:lang w:val="en-US" w:eastAsia="zh-CN" w:bidi="ar-SA"/>
              </w:rPr>
              <w:t>评标专家确定方式：政采云系统专家库随机抽取</w:t>
            </w:r>
          </w:p>
        </w:tc>
      </w:tr>
      <w:tr w14:paraId="473F38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113" w:type="dxa"/>
            <w:vAlign w:val="top"/>
          </w:tcPr>
          <w:p w14:paraId="70C7B546">
            <w:pPr>
              <w:pStyle w:val="14"/>
              <w:spacing w:before="150" w:line="185" w:lineRule="auto"/>
              <w:ind w:left="440" w:leftChars="0"/>
              <w:rPr>
                <w:rFonts w:ascii="黑体" w:hAnsi="黑体" w:eastAsia="黑体" w:cs="黑体"/>
                <w:snapToGrid w:val="0"/>
                <w:color w:val="000000"/>
                <w:kern w:val="0"/>
                <w:sz w:val="24"/>
                <w:szCs w:val="24"/>
                <w:lang w:val="en-US" w:eastAsia="en-US" w:bidi="ar-SA"/>
              </w:rPr>
            </w:pPr>
            <w:r>
              <w:rPr>
                <w:spacing w:val="-4"/>
              </w:rPr>
              <w:t>29</w:t>
            </w:r>
          </w:p>
        </w:tc>
        <w:tc>
          <w:tcPr>
            <w:tcW w:w="2230" w:type="dxa"/>
            <w:vAlign w:val="top"/>
          </w:tcPr>
          <w:p w14:paraId="5AA258F1">
            <w:pPr>
              <w:pStyle w:val="14"/>
              <w:spacing w:before="192" w:line="222" w:lineRule="auto"/>
              <w:ind w:left="641"/>
            </w:pPr>
            <w:r>
              <w:rPr>
                <w:spacing w:val="-3"/>
              </w:rPr>
              <w:t>最高限价</w:t>
            </w:r>
          </w:p>
        </w:tc>
        <w:tc>
          <w:tcPr>
            <w:tcW w:w="6951" w:type="dxa"/>
            <w:vAlign w:val="top"/>
          </w:tcPr>
          <w:p w14:paraId="6B13CCA9">
            <w:pPr>
              <w:pStyle w:val="14"/>
              <w:spacing w:before="36" w:line="222" w:lineRule="auto"/>
              <w:ind w:left="119"/>
            </w:pPr>
            <w:r>
              <w:rPr>
                <w:spacing w:val="1"/>
              </w:rPr>
              <w:t>最高限价</w:t>
            </w:r>
            <w:r>
              <w:t>：</w:t>
            </w:r>
            <w:r>
              <w:rPr>
                <w:rFonts w:hint="default"/>
                <w:lang w:val="en-US" w:eastAsia="zh-CN"/>
              </w:rPr>
              <w:t>263</w:t>
            </w:r>
            <w:r>
              <w:rPr>
                <w:rFonts w:hint="eastAsia"/>
                <w:lang w:val="en-US" w:eastAsia="zh-CN"/>
              </w:rPr>
              <w:t>.</w:t>
            </w:r>
            <w:r>
              <w:rPr>
                <w:rFonts w:hint="default"/>
                <w:lang w:val="en-US" w:eastAsia="zh-CN"/>
              </w:rPr>
              <w:t>833284</w:t>
            </w:r>
            <w:r>
              <w:rPr>
                <w:rFonts w:hint="eastAsia"/>
                <w:lang w:val="en-US" w:eastAsia="zh-CN"/>
              </w:rPr>
              <w:t>万</w:t>
            </w:r>
            <w:r>
              <w:t>元</w:t>
            </w:r>
          </w:p>
          <w:p w14:paraId="2BC6CEF7">
            <w:pPr>
              <w:pStyle w:val="14"/>
              <w:spacing w:before="24" w:line="206" w:lineRule="auto"/>
              <w:ind w:left="158"/>
            </w:pPr>
            <w:r>
              <w:t>(投标报价不得高于最高限价金额，否则将按无效投标处理)</w:t>
            </w:r>
          </w:p>
        </w:tc>
      </w:tr>
      <w:tr w14:paraId="47700E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1113" w:type="dxa"/>
            <w:vAlign w:val="top"/>
          </w:tcPr>
          <w:p w14:paraId="74B57A05">
            <w:pPr>
              <w:pStyle w:val="14"/>
              <w:spacing w:before="78" w:line="185" w:lineRule="auto"/>
              <w:jc w:val="center"/>
              <w:rPr>
                <w:spacing w:val="-5"/>
              </w:rPr>
            </w:pPr>
          </w:p>
          <w:p w14:paraId="2B4F380B">
            <w:pPr>
              <w:pStyle w:val="14"/>
              <w:spacing w:before="78" w:line="185" w:lineRule="auto"/>
              <w:jc w:val="center"/>
              <w:rPr>
                <w:rFonts w:ascii="黑体" w:hAnsi="黑体" w:eastAsia="黑体" w:cs="黑体"/>
                <w:snapToGrid w:val="0"/>
                <w:color w:val="000000"/>
                <w:kern w:val="0"/>
                <w:sz w:val="24"/>
                <w:szCs w:val="24"/>
                <w:lang w:val="en-US" w:eastAsia="en-US" w:bidi="ar-SA"/>
              </w:rPr>
            </w:pPr>
            <w:r>
              <w:rPr>
                <w:spacing w:val="-5"/>
              </w:rPr>
              <w:t>30</w:t>
            </w:r>
          </w:p>
        </w:tc>
        <w:tc>
          <w:tcPr>
            <w:tcW w:w="2230" w:type="dxa"/>
            <w:vAlign w:val="top"/>
          </w:tcPr>
          <w:p w14:paraId="51A2CE73">
            <w:pPr>
              <w:pStyle w:val="14"/>
              <w:spacing w:before="194" w:line="221" w:lineRule="auto"/>
              <w:ind w:left="513"/>
            </w:pPr>
            <w:r>
              <w:t>代理服务费</w:t>
            </w:r>
          </w:p>
        </w:tc>
        <w:tc>
          <w:tcPr>
            <w:tcW w:w="6951" w:type="dxa"/>
            <w:vAlign w:val="top"/>
          </w:tcPr>
          <w:p w14:paraId="3424565A">
            <w:pPr>
              <w:pStyle w:val="14"/>
              <w:spacing w:before="38" w:line="223" w:lineRule="auto"/>
              <w:ind w:left="113" w:right="112" w:hanging="2"/>
            </w:pPr>
            <w:r>
              <w:rPr>
                <w:rFonts w:hint="eastAsia"/>
                <w:lang w:val="en-US" w:eastAsia="zh-CN"/>
              </w:rPr>
              <w:t>中标服务费由中标人在领取《中标通知书》前向采购代理机构一次性支付。(收费标准新建招协[2024]4号参照工程中标价的：100万以下部分的1.05%+100至500万之间部分的0.8%收取，具体双方协商)</w:t>
            </w:r>
          </w:p>
        </w:tc>
      </w:tr>
      <w:tr w14:paraId="03E43E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90" w:hRule="atLeast"/>
        </w:trPr>
        <w:tc>
          <w:tcPr>
            <w:tcW w:w="1113" w:type="dxa"/>
            <w:vAlign w:val="top"/>
          </w:tcPr>
          <w:p w14:paraId="7A81D9AD">
            <w:pPr>
              <w:spacing w:line="315" w:lineRule="auto"/>
              <w:rPr>
                <w:rFonts w:ascii="Arial"/>
                <w:sz w:val="21"/>
              </w:rPr>
            </w:pPr>
          </w:p>
          <w:p w14:paraId="06F054C6">
            <w:pPr>
              <w:spacing w:line="315" w:lineRule="auto"/>
              <w:rPr>
                <w:rFonts w:ascii="Arial"/>
                <w:sz w:val="21"/>
              </w:rPr>
            </w:pPr>
          </w:p>
          <w:p w14:paraId="3630177B">
            <w:pPr>
              <w:pStyle w:val="14"/>
              <w:spacing w:before="78" w:line="185" w:lineRule="auto"/>
              <w:ind w:left="441" w:leftChars="0"/>
              <w:rPr>
                <w:rFonts w:ascii="黑体" w:hAnsi="黑体" w:eastAsia="黑体" w:cs="黑体"/>
                <w:snapToGrid w:val="0"/>
                <w:color w:val="000000"/>
                <w:kern w:val="0"/>
                <w:sz w:val="24"/>
                <w:szCs w:val="24"/>
                <w:lang w:val="en-US" w:eastAsia="en-US" w:bidi="ar-SA"/>
              </w:rPr>
            </w:pPr>
            <w:r>
              <w:rPr>
                <w:spacing w:val="-5"/>
              </w:rPr>
              <w:t>31</w:t>
            </w:r>
          </w:p>
        </w:tc>
        <w:tc>
          <w:tcPr>
            <w:tcW w:w="2230" w:type="dxa"/>
            <w:vAlign w:val="top"/>
          </w:tcPr>
          <w:p w14:paraId="67639486">
            <w:pPr>
              <w:spacing w:line="245" w:lineRule="auto"/>
              <w:rPr>
                <w:rFonts w:ascii="Arial"/>
                <w:sz w:val="21"/>
              </w:rPr>
            </w:pPr>
          </w:p>
          <w:p w14:paraId="3D0BB25F">
            <w:pPr>
              <w:spacing w:line="245" w:lineRule="auto"/>
              <w:rPr>
                <w:rFonts w:ascii="Arial"/>
                <w:sz w:val="21"/>
              </w:rPr>
            </w:pPr>
          </w:p>
          <w:p w14:paraId="3FFAE58C">
            <w:pPr>
              <w:spacing w:line="245" w:lineRule="auto"/>
              <w:rPr>
                <w:rFonts w:ascii="Arial"/>
                <w:sz w:val="21"/>
              </w:rPr>
            </w:pPr>
          </w:p>
          <w:p w14:paraId="4324E296">
            <w:pPr>
              <w:spacing w:line="246" w:lineRule="auto"/>
              <w:rPr>
                <w:rFonts w:ascii="Arial"/>
                <w:sz w:val="21"/>
              </w:rPr>
            </w:pPr>
          </w:p>
          <w:p w14:paraId="55C3CFA9">
            <w:pPr>
              <w:spacing w:line="246" w:lineRule="auto"/>
              <w:rPr>
                <w:rFonts w:ascii="Arial"/>
                <w:sz w:val="21"/>
              </w:rPr>
            </w:pPr>
          </w:p>
          <w:p w14:paraId="2C84426B">
            <w:pPr>
              <w:pStyle w:val="14"/>
              <w:spacing w:before="78" w:line="221" w:lineRule="auto"/>
              <w:ind w:left="632"/>
            </w:pPr>
            <w:r>
              <w:rPr>
                <w:spacing w:val="-1"/>
              </w:rPr>
              <w:t>提出质疑</w:t>
            </w:r>
          </w:p>
          <w:p w14:paraId="2FFEBF7B">
            <w:pPr>
              <w:pStyle w:val="14"/>
              <w:spacing w:before="178" w:line="223" w:lineRule="auto"/>
              <w:ind w:left="770"/>
            </w:pPr>
            <w:r>
              <w:rPr>
                <w:spacing w:val="-6"/>
              </w:rPr>
              <w:t>的时间</w:t>
            </w:r>
          </w:p>
        </w:tc>
        <w:tc>
          <w:tcPr>
            <w:tcW w:w="6951" w:type="dxa"/>
            <w:vAlign w:val="top"/>
          </w:tcPr>
          <w:p w14:paraId="6C072BF9">
            <w:pPr>
              <w:pStyle w:val="14"/>
              <w:spacing w:before="36" w:line="437" w:lineRule="exact"/>
              <w:ind w:left="125"/>
            </w:pPr>
            <w:r>
              <w:rPr>
                <w:spacing w:val="4"/>
                <w:position w:val="15"/>
              </w:rPr>
              <w:t>1、对竞争性磋商文件提出质疑的，应当在获取竞争性磋</w:t>
            </w:r>
            <w:r>
              <w:rPr>
                <w:spacing w:val="3"/>
                <w:position w:val="15"/>
              </w:rPr>
              <w:t>商文件</w:t>
            </w:r>
          </w:p>
          <w:p w14:paraId="60A6BEEC">
            <w:pPr>
              <w:pStyle w:val="14"/>
              <w:spacing w:line="221" w:lineRule="auto"/>
              <w:ind w:left="118"/>
            </w:pPr>
            <w:r>
              <w:t>或者竞争性磋商公告期限届满之日起7个工作日内提出。</w:t>
            </w:r>
          </w:p>
          <w:p w14:paraId="16BF4884">
            <w:pPr>
              <w:pStyle w:val="14"/>
              <w:spacing w:before="147" w:line="335" w:lineRule="auto"/>
              <w:ind w:left="111" w:right="110"/>
              <w:jc w:val="both"/>
            </w:pPr>
            <w:r>
              <w:rPr>
                <w:spacing w:val="4"/>
              </w:rPr>
              <w:t>2、供应商认为竞争性磋商文件、采购过程、中标或者成交结果</w:t>
            </w:r>
            <w:r>
              <w:t>使自己的权益受到损害的，可以在知道或者应知其权益受到损害</w:t>
            </w:r>
            <w:r>
              <w:rPr>
                <w:spacing w:val="-1"/>
              </w:rPr>
              <w:t>之日起7个工作日内，以书面形式向采购人、采购代理机构提出</w:t>
            </w:r>
          </w:p>
          <w:p w14:paraId="1C85D976">
            <w:pPr>
              <w:pStyle w:val="14"/>
              <w:spacing w:before="1" w:line="220" w:lineRule="auto"/>
              <w:ind w:left="115"/>
            </w:pPr>
            <w:r>
              <w:rPr>
                <w:spacing w:val="-3"/>
              </w:rPr>
              <w:t>质疑。</w:t>
            </w:r>
          </w:p>
          <w:p w14:paraId="7461C730">
            <w:pPr>
              <w:pStyle w:val="14"/>
              <w:spacing w:before="150" w:line="434" w:lineRule="exact"/>
              <w:ind w:left="113"/>
            </w:pPr>
            <w:r>
              <w:rPr>
                <w:spacing w:val="4"/>
                <w:position w:val="14"/>
              </w:rPr>
              <w:t>3、供应商在法定质疑期内应当一次性提出针对同一采购程序环</w:t>
            </w:r>
          </w:p>
          <w:p w14:paraId="02062230">
            <w:pPr>
              <w:pStyle w:val="14"/>
              <w:spacing w:before="1" w:line="220" w:lineRule="auto"/>
              <w:ind w:left="117"/>
            </w:pPr>
            <w:r>
              <w:rPr>
                <w:spacing w:val="-2"/>
              </w:rPr>
              <w:t>节的质疑。</w:t>
            </w:r>
          </w:p>
        </w:tc>
      </w:tr>
      <w:tr w14:paraId="518E93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47" w:hRule="atLeast"/>
        </w:trPr>
        <w:tc>
          <w:tcPr>
            <w:tcW w:w="1113" w:type="dxa"/>
            <w:vAlign w:val="top"/>
          </w:tcPr>
          <w:p w14:paraId="3BF6E46E">
            <w:pPr>
              <w:spacing w:line="315" w:lineRule="auto"/>
              <w:rPr>
                <w:rFonts w:ascii="Arial"/>
                <w:sz w:val="21"/>
              </w:rPr>
            </w:pPr>
          </w:p>
          <w:p w14:paraId="67849F26">
            <w:pPr>
              <w:spacing w:line="315" w:lineRule="auto"/>
              <w:rPr>
                <w:rFonts w:ascii="Arial"/>
                <w:sz w:val="21"/>
              </w:rPr>
            </w:pPr>
          </w:p>
          <w:p w14:paraId="4FADC7D0">
            <w:pPr>
              <w:pStyle w:val="14"/>
              <w:spacing w:before="78" w:line="185" w:lineRule="auto"/>
              <w:ind w:left="441" w:leftChars="0"/>
              <w:rPr>
                <w:rFonts w:ascii="黑体" w:hAnsi="黑体" w:eastAsia="黑体" w:cs="黑体"/>
                <w:snapToGrid w:val="0"/>
                <w:color w:val="000000"/>
                <w:kern w:val="0"/>
                <w:sz w:val="24"/>
                <w:szCs w:val="24"/>
                <w:lang w:val="en-US" w:eastAsia="en-US" w:bidi="ar-SA"/>
              </w:rPr>
            </w:pPr>
            <w:r>
              <w:rPr>
                <w:spacing w:val="-5"/>
              </w:rPr>
              <w:t>32</w:t>
            </w:r>
          </w:p>
        </w:tc>
        <w:tc>
          <w:tcPr>
            <w:tcW w:w="2230" w:type="dxa"/>
            <w:vAlign w:val="top"/>
          </w:tcPr>
          <w:p w14:paraId="478A8BEA">
            <w:pPr>
              <w:spacing w:line="297" w:lineRule="auto"/>
              <w:rPr>
                <w:rFonts w:ascii="Arial"/>
                <w:sz w:val="21"/>
              </w:rPr>
            </w:pPr>
          </w:p>
          <w:p w14:paraId="3DAE73AD">
            <w:pPr>
              <w:spacing w:line="297" w:lineRule="auto"/>
              <w:rPr>
                <w:rFonts w:ascii="Arial"/>
                <w:sz w:val="21"/>
              </w:rPr>
            </w:pPr>
          </w:p>
          <w:p w14:paraId="1546D8E3">
            <w:pPr>
              <w:pStyle w:val="14"/>
              <w:spacing w:before="78" w:line="222" w:lineRule="auto"/>
              <w:ind w:left="876"/>
            </w:pPr>
            <w:r>
              <w:rPr>
                <w:spacing w:val="-4"/>
              </w:rPr>
              <w:t>备注</w:t>
            </w:r>
          </w:p>
        </w:tc>
        <w:tc>
          <w:tcPr>
            <w:tcW w:w="6951" w:type="dxa"/>
            <w:vAlign w:val="top"/>
          </w:tcPr>
          <w:p w14:paraId="1EE66317">
            <w:pPr>
              <w:pStyle w:val="14"/>
              <w:spacing w:before="38" w:line="335" w:lineRule="auto"/>
              <w:ind w:left="111" w:right="110" w:firstLine="14"/>
            </w:pPr>
            <w:r>
              <w:rPr>
                <w:spacing w:val="-1"/>
              </w:rPr>
              <w:t>1、竞争性磋商文件中所有偏离表，若有偏离,请将具体偏离条款</w:t>
            </w:r>
            <w:r>
              <w:t>在“偏离”一栏中详细说明；若无偏离，请在“偏离”一栏中标</w:t>
            </w:r>
          </w:p>
          <w:p w14:paraId="65F5AF42">
            <w:pPr>
              <w:pStyle w:val="14"/>
              <w:spacing w:before="1" w:line="212" w:lineRule="auto"/>
              <w:ind w:left="116"/>
            </w:pPr>
            <w:r>
              <w:rPr>
                <w:spacing w:val="2"/>
              </w:rPr>
              <w:t>注“无”字样。如不填写将视为不响应竞争性磋商文件</w:t>
            </w:r>
            <w:r>
              <w:rPr>
                <w:spacing w:val="1"/>
              </w:rPr>
              <w:t>要求；</w:t>
            </w:r>
          </w:p>
          <w:p w14:paraId="7A971370">
            <w:pPr>
              <w:pStyle w:val="14"/>
              <w:spacing w:before="159" w:line="221" w:lineRule="auto"/>
              <w:ind w:left="111"/>
            </w:pPr>
            <w:r>
              <w:rPr>
                <w:spacing w:val="1"/>
              </w:rPr>
              <w:t>2、本次招标各供应商投标时以人民币报价。</w:t>
            </w:r>
          </w:p>
        </w:tc>
      </w:tr>
      <w:tr w14:paraId="1A5377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50" w:hRule="atLeast"/>
        </w:trPr>
        <w:tc>
          <w:tcPr>
            <w:tcW w:w="1113" w:type="dxa"/>
            <w:vAlign w:val="top"/>
          </w:tcPr>
          <w:p w14:paraId="2D9CB6E2">
            <w:pPr>
              <w:pStyle w:val="14"/>
              <w:spacing w:before="78" w:line="185" w:lineRule="auto"/>
              <w:ind w:left="441"/>
              <w:rPr>
                <w:rFonts w:hint="eastAsia"/>
                <w:lang w:val="en-US" w:eastAsia="zh-CN"/>
              </w:rPr>
            </w:pPr>
          </w:p>
          <w:p w14:paraId="1C03A595">
            <w:pPr>
              <w:pStyle w:val="14"/>
              <w:spacing w:before="78" w:line="185" w:lineRule="auto"/>
              <w:ind w:left="441"/>
              <w:rPr>
                <w:rFonts w:hint="eastAsia"/>
                <w:lang w:val="en-US" w:eastAsia="zh-CN"/>
              </w:rPr>
            </w:pPr>
          </w:p>
          <w:p w14:paraId="5E2AB818">
            <w:pPr>
              <w:pStyle w:val="14"/>
              <w:spacing w:before="78" w:line="185" w:lineRule="auto"/>
              <w:ind w:left="441"/>
              <w:rPr>
                <w:rFonts w:hint="eastAsia"/>
                <w:lang w:val="en-US" w:eastAsia="zh-CN"/>
              </w:rPr>
            </w:pPr>
          </w:p>
          <w:p w14:paraId="0D012591">
            <w:pPr>
              <w:pStyle w:val="14"/>
              <w:spacing w:before="78" w:line="185" w:lineRule="auto"/>
              <w:ind w:left="441"/>
              <w:rPr>
                <w:rFonts w:hint="default" w:eastAsia="黑体"/>
                <w:lang w:val="en-US" w:eastAsia="zh-CN"/>
              </w:rPr>
            </w:pPr>
            <w:r>
              <w:rPr>
                <w:rFonts w:hint="eastAsia"/>
                <w:lang w:val="en-US" w:eastAsia="zh-CN"/>
              </w:rPr>
              <w:t>33</w:t>
            </w:r>
          </w:p>
        </w:tc>
        <w:tc>
          <w:tcPr>
            <w:tcW w:w="2230" w:type="dxa"/>
            <w:vAlign w:val="top"/>
          </w:tcPr>
          <w:p w14:paraId="540A3555">
            <w:pPr>
              <w:spacing w:line="297" w:lineRule="auto"/>
              <w:rPr>
                <w:rFonts w:ascii="Arial"/>
                <w:sz w:val="21"/>
              </w:rPr>
            </w:pPr>
          </w:p>
          <w:p w14:paraId="75FA8586">
            <w:pPr>
              <w:spacing w:line="298" w:lineRule="auto"/>
              <w:rPr>
                <w:rFonts w:ascii="Arial"/>
                <w:sz w:val="21"/>
              </w:rPr>
            </w:pPr>
          </w:p>
          <w:p w14:paraId="4D6941B1">
            <w:pPr>
              <w:pStyle w:val="14"/>
              <w:spacing w:before="78" w:line="222" w:lineRule="auto"/>
              <w:ind w:left="755"/>
            </w:pPr>
            <w:r>
              <w:rPr>
                <w:spacing w:val="-1"/>
              </w:rPr>
              <w:t>解释权</w:t>
            </w:r>
          </w:p>
        </w:tc>
        <w:tc>
          <w:tcPr>
            <w:tcW w:w="6951" w:type="dxa"/>
            <w:vAlign w:val="top"/>
          </w:tcPr>
          <w:p w14:paraId="480211A7">
            <w:pPr>
              <w:pStyle w:val="14"/>
              <w:spacing w:before="40" w:line="335" w:lineRule="auto"/>
              <w:ind w:left="111" w:right="101" w:hanging="1"/>
              <w:jc w:val="both"/>
            </w:pPr>
            <w:r>
              <w:t>构成本竞争性磋商文件的各个组成文件应互为解释，互为说明；如有不明确或不一致，构成合同文件组成内容，以合同文件约定内容为准，且以专用合同条款约定的合同文件优先顺序解释；除</w:t>
            </w:r>
          </w:p>
          <w:p w14:paraId="766D3160">
            <w:pPr>
              <w:pStyle w:val="14"/>
              <w:spacing w:before="37" w:line="336" w:lineRule="auto"/>
              <w:ind w:right="48"/>
              <w:jc w:val="both"/>
            </w:pPr>
            <w:r>
              <w:rPr>
                <w:spacing w:val="9"/>
              </w:rPr>
              <w:t>竞争性磋商文件中有特别规定外，仅适用于招标投标阶段</w:t>
            </w:r>
            <w:r>
              <w:rPr>
                <w:spacing w:val="8"/>
              </w:rPr>
              <w:t>的规</w:t>
            </w:r>
            <w:r>
              <w:t>定，按竞争性磋商公告、供应商须知、清单、响应文件格式的先</w:t>
            </w:r>
            <w:r>
              <w:rPr>
                <w:spacing w:val="9"/>
              </w:rPr>
              <w:t>后顺序解释；同一组成文件中就同一事项的规定或约定不一致</w:t>
            </w:r>
            <w:r>
              <w:t>的，以编排顺序在后者为准；同一组成文件不同版本之间有不一</w:t>
            </w:r>
            <w:r>
              <w:rPr>
                <w:spacing w:val="-6"/>
              </w:rPr>
              <w:t>致的，以形成时间在后者为准。按本款前述规定仍不形成结论</w:t>
            </w:r>
            <w:r>
              <w:rPr>
                <w:spacing w:val="-7"/>
              </w:rPr>
              <w:t>的，</w:t>
            </w:r>
          </w:p>
          <w:p w14:paraId="647102B2">
            <w:pPr>
              <w:pStyle w:val="14"/>
              <w:spacing w:before="1" w:line="212" w:lineRule="auto"/>
              <w:ind w:left="113"/>
            </w:pPr>
            <w:r>
              <w:rPr>
                <w:spacing w:val="-1"/>
              </w:rPr>
              <w:t>由采购人负责解释。</w:t>
            </w:r>
          </w:p>
        </w:tc>
      </w:tr>
    </w:tbl>
    <w:p w14:paraId="54A6881F">
      <w:pPr>
        <w:spacing w:line="51" w:lineRule="exact"/>
      </w:pPr>
    </w:p>
    <w:tbl>
      <w:tblPr>
        <w:tblStyle w:val="13"/>
        <w:tblW w:w="1029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13"/>
        <w:gridCol w:w="2102"/>
        <w:gridCol w:w="7079"/>
      </w:tblGrid>
      <w:tr w14:paraId="329E88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1" w:hRule="atLeast"/>
        </w:trPr>
        <w:tc>
          <w:tcPr>
            <w:tcW w:w="1113" w:type="dxa"/>
            <w:vAlign w:val="top"/>
          </w:tcPr>
          <w:p w14:paraId="45765525">
            <w:pPr>
              <w:spacing w:line="267" w:lineRule="auto"/>
              <w:rPr>
                <w:rFonts w:ascii="Arial"/>
                <w:sz w:val="21"/>
              </w:rPr>
            </w:pPr>
          </w:p>
          <w:p w14:paraId="61DEAF9F">
            <w:pPr>
              <w:spacing w:line="267" w:lineRule="auto"/>
              <w:rPr>
                <w:rFonts w:ascii="Arial"/>
                <w:sz w:val="21"/>
              </w:rPr>
            </w:pPr>
          </w:p>
          <w:p w14:paraId="78EB8E93">
            <w:pPr>
              <w:spacing w:line="267" w:lineRule="auto"/>
              <w:rPr>
                <w:rFonts w:ascii="Arial"/>
                <w:sz w:val="21"/>
              </w:rPr>
            </w:pPr>
          </w:p>
          <w:p w14:paraId="28E23013">
            <w:pPr>
              <w:spacing w:line="268" w:lineRule="auto"/>
              <w:rPr>
                <w:rFonts w:ascii="Arial"/>
                <w:sz w:val="21"/>
              </w:rPr>
            </w:pPr>
          </w:p>
          <w:p w14:paraId="1FEAD970">
            <w:pPr>
              <w:spacing w:line="268" w:lineRule="auto"/>
              <w:rPr>
                <w:rFonts w:ascii="Arial"/>
                <w:sz w:val="21"/>
              </w:rPr>
            </w:pPr>
          </w:p>
          <w:p w14:paraId="66DF5660">
            <w:pPr>
              <w:spacing w:line="268" w:lineRule="auto"/>
              <w:rPr>
                <w:rFonts w:ascii="Arial"/>
                <w:sz w:val="21"/>
              </w:rPr>
            </w:pPr>
          </w:p>
          <w:p w14:paraId="145F18B8">
            <w:pPr>
              <w:spacing w:line="268" w:lineRule="auto"/>
              <w:rPr>
                <w:rFonts w:ascii="Arial"/>
                <w:sz w:val="21"/>
              </w:rPr>
            </w:pPr>
          </w:p>
          <w:p w14:paraId="3212B93A">
            <w:pPr>
              <w:spacing w:line="268" w:lineRule="auto"/>
              <w:rPr>
                <w:rFonts w:ascii="Arial"/>
                <w:sz w:val="21"/>
              </w:rPr>
            </w:pPr>
          </w:p>
          <w:p w14:paraId="0A848B89">
            <w:pPr>
              <w:pStyle w:val="14"/>
              <w:spacing w:before="78" w:line="185" w:lineRule="auto"/>
              <w:ind w:left="441"/>
              <w:rPr>
                <w:rFonts w:hint="default" w:eastAsia="黑体"/>
                <w:lang w:val="en-US" w:eastAsia="zh-CN"/>
              </w:rPr>
            </w:pPr>
            <w:r>
              <w:rPr>
                <w:rFonts w:hint="eastAsia"/>
                <w:lang w:val="en-US" w:eastAsia="zh-CN"/>
              </w:rPr>
              <w:t>34</w:t>
            </w:r>
          </w:p>
        </w:tc>
        <w:tc>
          <w:tcPr>
            <w:tcW w:w="2102" w:type="dxa"/>
            <w:vAlign w:val="top"/>
          </w:tcPr>
          <w:p w14:paraId="40C95EB3">
            <w:pPr>
              <w:spacing w:line="263" w:lineRule="auto"/>
              <w:rPr>
                <w:rFonts w:ascii="Arial"/>
                <w:sz w:val="21"/>
              </w:rPr>
            </w:pPr>
          </w:p>
          <w:p w14:paraId="518AB800">
            <w:pPr>
              <w:spacing w:line="263" w:lineRule="auto"/>
              <w:rPr>
                <w:rFonts w:ascii="Arial"/>
                <w:sz w:val="21"/>
              </w:rPr>
            </w:pPr>
          </w:p>
          <w:p w14:paraId="0497D1BA">
            <w:pPr>
              <w:spacing w:line="263" w:lineRule="auto"/>
              <w:rPr>
                <w:rFonts w:ascii="Arial"/>
                <w:sz w:val="21"/>
              </w:rPr>
            </w:pPr>
          </w:p>
          <w:p w14:paraId="190C2FC2">
            <w:pPr>
              <w:spacing w:line="263" w:lineRule="auto"/>
              <w:rPr>
                <w:rFonts w:ascii="Arial"/>
                <w:sz w:val="21"/>
              </w:rPr>
            </w:pPr>
          </w:p>
          <w:p w14:paraId="7DC82F60">
            <w:pPr>
              <w:spacing w:line="263" w:lineRule="auto"/>
              <w:rPr>
                <w:rFonts w:ascii="Arial"/>
                <w:sz w:val="21"/>
              </w:rPr>
            </w:pPr>
          </w:p>
          <w:p w14:paraId="0A68F703">
            <w:pPr>
              <w:spacing w:line="264" w:lineRule="auto"/>
              <w:rPr>
                <w:rFonts w:ascii="Arial"/>
                <w:sz w:val="21"/>
              </w:rPr>
            </w:pPr>
          </w:p>
          <w:p w14:paraId="13A0A633">
            <w:pPr>
              <w:spacing w:line="264" w:lineRule="auto"/>
              <w:rPr>
                <w:rFonts w:ascii="Arial"/>
                <w:sz w:val="21"/>
              </w:rPr>
            </w:pPr>
          </w:p>
          <w:p w14:paraId="14647C79">
            <w:pPr>
              <w:spacing w:line="264" w:lineRule="auto"/>
              <w:rPr>
                <w:rFonts w:ascii="Arial"/>
                <w:sz w:val="21"/>
              </w:rPr>
            </w:pPr>
          </w:p>
          <w:p w14:paraId="23A7822D">
            <w:pPr>
              <w:pStyle w:val="14"/>
              <w:spacing w:before="78" w:line="222" w:lineRule="auto"/>
              <w:ind w:left="641"/>
            </w:pPr>
            <w:r>
              <w:rPr>
                <w:spacing w:val="-3"/>
              </w:rPr>
              <w:t>知识产权</w:t>
            </w:r>
          </w:p>
        </w:tc>
        <w:tc>
          <w:tcPr>
            <w:tcW w:w="7079" w:type="dxa"/>
            <w:vAlign w:val="top"/>
          </w:tcPr>
          <w:p w14:paraId="02491E47">
            <w:pPr>
              <w:pStyle w:val="14"/>
              <w:spacing w:before="37" w:line="335" w:lineRule="auto"/>
              <w:ind w:left="111" w:right="110" w:firstLine="14"/>
            </w:pPr>
            <w:r>
              <w:rPr>
                <w:spacing w:val="-1"/>
              </w:rPr>
              <w:t>1.供应商须保证，采购人在中华人民共和国境内使用投标设施设</w:t>
            </w:r>
            <w:r>
              <w:t>备、资料、技术、服务或其任何一部分时，享有不受限制的无偿使用权，不会产生因第三方提出侵犯其专利权、商标权或其它知识产权而引起的法律或经济纠纷。如供应商不拥有相应的知识产权，则在投标报价中必须包括合法获取该知识产权的一切相关费</w:t>
            </w:r>
          </w:p>
          <w:p w14:paraId="049C0820">
            <w:pPr>
              <w:pStyle w:val="14"/>
              <w:spacing w:before="1" w:line="212" w:lineRule="auto"/>
              <w:ind w:left="117"/>
            </w:pPr>
            <w:r>
              <w:rPr>
                <w:spacing w:val="2"/>
              </w:rPr>
              <w:t>用。如因此导致采购人损失的，供应商须承担全部赔</w:t>
            </w:r>
            <w:r>
              <w:rPr>
                <w:spacing w:val="1"/>
              </w:rPr>
              <w:t>偿责任。</w:t>
            </w:r>
          </w:p>
          <w:p w14:paraId="16E08C63">
            <w:pPr>
              <w:pStyle w:val="14"/>
              <w:spacing w:before="157" w:line="336" w:lineRule="auto"/>
              <w:ind w:left="111" w:right="110"/>
            </w:pPr>
            <w:r>
              <w:t>2.供应商如欲在项目实施过程中采用自有知识成果，须在响应文件中声明，并提供相关知识产权证明文件。使用该知识成果后，</w:t>
            </w:r>
          </w:p>
          <w:p w14:paraId="22679A1A">
            <w:pPr>
              <w:pStyle w:val="14"/>
              <w:spacing w:before="1" w:line="220" w:lineRule="auto"/>
              <w:ind w:left="112"/>
            </w:pPr>
            <w:r>
              <w:rPr>
                <w:spacing w:val="1"/>
              </w:rPr>
              <w:t>供应商须提供开发接口和开发手册等技术文档。</w:t>
            </w:r>
          </w:p>
          <w:p w14:paraId="57B6828E">
            <w:pPr>
              <w:pStyle w:val="14"/>
              <w:spacing w:before="147" w:line="437" w:lineRule="exact"/>
              <w:ind w:left="112"/>
            </w:pPr>
            <w:r>
              <w:rPr>
                <w:position w:val="14"/>
              </w:rPr>
              <w:t>如本《投标人须知前附表》相关内容与采购文件中的相关内容如</w:t>
            </w:r>
          </w:p>
          <w:p w14:paraId="67E9A5E3">
            <w:pPr>
              <w:pStyle w:val="14"/>
              <w:spacing w:before="1" w:line="212" w:lineRule="auto"/>
              <w:ind w:left="114"/>
            </w:pPr>
            <w:r>
              <w:rPr>
                <w:spacing w:val="2"/>
              </w:rPr>
              <w:t>有不一致处，则以本《投标人须知前附表》相关内</w:t>
            </w:r>
            <w:r>
              <w:rPr>
                <w:spacing w:val="1"/>
              </w:rPr>
              <w:t>容为准。</w:t>
            </w:r>
          </w:p>
        </w:tc>
      </w:tr>
      <w:tr w14:paraId="47C7F8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6" w:hRule="atLeast"/>
        </w:trPr>
        <w:tc>
          <w:tcPr>
            <w:tcW w:w="1113" w:type="dxa"/>
            <w:vAlign w:val="top"/>
          </w:tcPr>
          <w:p w14:paraId="5E599182">
            <w:pPr>
              <w:spacing w:line="250" w:lineRule="auto"/>
              <w:rPr>
                <w:rFonts w:ascii="Arial"/>
                <w:sz w:val="21"/>
              </w:rPr>
            </w:pPr>
          </w:p>
          <w:p w14:paraId="580C8B88">
            <w:pPr>
              <w:spacing w:line="251" w:lineRule="auto"/>
              <w:rPr>
                <w:rFonts w:ascii="Arial"/>
                <w:sz w:val="21"/>
              </w:rPr>
            </w:pPr>
          </w:p>
          <w:p w14:paraId="76307101">
            <w:pPr>
              <w:spacing w:line="251" w:lineRule="auto"/>
              <w:rPr>
                <w:rFonts w:ascii="Arial"/>
                <w:sz w:val="21"/>
              </w:rPr>
            </w:pPr>
          </w:p>
          <w:p w14:paraId="7A8649A5">
            <w:pPr>
              <w:spacing w:line="251" w:lineRule="auto"/>
              <w:rPr>
                <w:rFonts w:ascii="Arial"/>
                <w:sz w:val="21"/>
              </w:rPr>
            </w:pPr>
          </w:p>
          <w:p w14:paraId="141C643B">
            <w:pPr>
              <w:spacing w:line="251" w:lineRule="auto"/>
              <w:rPr>
                <w:rFonts w:ascii="Arial"/>
                <w:sz w:val="21"/>
              </w:rPr>
            </w:pPr>
          </w:p>
          <w:p w14:paraId="3AC1A77D">
            <w:pPr>
              <w:spacing w:line="251" w:lineRule="auto"/>
              <w:rPr>
                <w:rFonts w:ascii="Arial"/>
                <w:sz w:val="21"/>
              </w:rPr>
            </w:pPr>
          </w:p>
          <w:p w14:paraId="66EF16C3">
            <w:pPr>
              <w:spacing w:line="251" w:lineRule="auto"/>
              <w:rPr>
                <w:rFonts w:ascii="Arial"/>
                <w:sz w:val="21"/>
              </w:rPr>
            </w:pPr>
          </w:p>
          <w:p w14:paraId="5EE74B7E">
            <w:pPr>
              <w:spacing w:line="251" w:lineRule="auto"/>
              <w:rPr>
                <w:rFonts w:ascii="Arial"/>
                <w:sz w:val="21"/>
              </w:rPr>
            </w:pPr>
          </w:p>
          <w:p w14:paraId="5C283176">
            <w:pPr>
              <w:spacing w:line="251" w:lineRule="auto"/>
              <w:rPr>
                <w:rFonts w:ascii="Arial"/>
                <w:sz w:val="21"/>
              </w:rPr>
            </w:pPr>
          </w:p>
          <w:p w14:paraId="0DB4C833">
            <w:pPr>
              <w:spacing w:line="251" w:lineRule="auto"/>
              <w:rPr>
                <w:rFonts w:ascii="Arial"/>
                <w:sz w:val="21"/>
              </w:rPr>
            </w:pPr>
          </w:p>
          <w:p w14:paraId="6855563E">
            <w:pPr>
              <w:spacing w:line="251" w:lineRule="auto"/>
              <w:rPr>
                <w:rFonts w:ascii="Arial"/>
                <w:sz w:val="21"/>
              </w:rPr>
            </w:pPr>
          </w:p>
          <w:p w14:paraId="39AAEA18">
            <w:pPr>
              <w:spacing w:line="251" w:lineRule="auto"/>
              <w:rPr>
                <w:rFonts w:ascii="Arial"/>
                <w:sz w:val="21"/>
              </w:rPr>
            </w:pPr>
          </w:p>
          <w:p w14:paraId="5CCC0CDD">
            <w:pPr>
              <w:pStyle w:val="14"/>
              <w:spacing w:before="78" w:line="185" w:lineRule="auto"/>
              <w:ind w:left="441"/>
              <w:rPr>
                <w:rFonts w:hint="default" w:eastAsia="黑体"/>
                <w:spacing w:val="-5"/>
                <w:lang w:val="en-US" w:eastAsia="zh-CN"/>
              </w:rPr>
            </w:pPr>
            <w:r>
              <w:rPr>
                <w:rFonts w:hint="eastAsia"/>
                <w:spacing w:val="-5"/>
                <w:lang w:val="en-US" w:eastAsia="zh-CN"/>
              </w:rPr>
              <w:t>35</w:t>
            </w:r>
          </w:p>
        </w:tc>
        <w:tc>
          <w:tcPr>
            <w:tcW w:w="2102" w:type="dxa"/>
            <w:vAlign w:val="top"/>
          </w:tcPr>
          <w:p w14:paraId="2082CC1F">
            <w:pPr>
              <w:spacing w:line="249" w:lineRule="auto"/>
              <w:rPr>
                <w:rFonts w:ascii="Arial"/>
                <w:sz w:val="21"/>
              </w:rPr>
            </w:pPr>
          </w:p>
          <w:p w14:paraId="7F2FDBD7">
            <w:pPr>
              <w:spacing w:line="249" w:lineRule="auto"/>
              <w:rPr>
                <w:rFonts w:ascii="Arial"/>
                <w:sz w:val="21"/>
              </w:rPr>
            </w:pPr>
          </w:p>
          <w:p w14:paraId="2C0437D0">
            <w:pPr>
              <w:spacing w:line="249" w:lineRule="auto"/>
              <w:rPr>
                <w:rFonts w:ascii="Arial"/>
                <w:sz w:val="21"/>
              </w:rPr>
            </w:pPr>
          </w:p>
          <w:p w14:paraId="14F6EF59">
            <w:pPr>
              <w:spacing w:line="249" w:lineRule="auto"/>
              <w:rPr>
                <w:rFonts w:ascii="Arial"/>
                <w:sz w:val="21"/>
              </w:rPr>
            </w:pPr>
          </w:p>
          <w:p w14:paraId="47692A69">
            <w:pPr>
              <w:spacing w:line="249" w:lineRule="auto"/>
              <w:rPr>
                <w:rFonts w:ascii="Arial"/>
                <w:sz w:val="21"/>
              </w:rPr>
            </w:pPr>
          </w:p>
          <w:p w14:paraId="6EBAF94E">
            <w:pPr>
              <w:spacing w:line="250" w:lineRule="auto"/>
              <w:rPr>
                <w:rFonts w:ascii="Arial"/>
                <w:sz w:val="21"/>
              </w:rPr>
            </w:pPr>
          </w:p>
          <w:p w14:paraId="0ED4986B">
            <w:pPr>
              <w:spacing w:line="250" w:lineRule="auto"/>
              <w:rPr>
                <w:rFonts w:ascii="Arial"/>
                <w:sz w:val="21"/>
              </w:rPr>
            </w:pPr>
          </w:p>
          <w:p w14:paraId="6C731F7E">
            <w:pPr>
              <w:spacing w:line="250" w:lineRule="auto"/>
              <w:rPr>
                <w:rFonts w:ascii="Arial"/>
                <w:sz w:val="21"/>
              </w:rPr>
            </w:pPr>
          </w:p>
          <w:p w14:paraId="535E7C05">
            <w:pPr>
              <w:spacing w:line="250" w:lineRule="auto"/>
              <w:rPr>
                <w:rFonts w:ascii="Arial"/>
                <w:sz w:val="21"/>
              </w:rPr>
            </w:pPr>
          </w:p>
          <w:p w14:paraId="12885274">
            <w:pPr>
              <w:spacing w:line="250" w:lineRule="auto"/>
              <w:rPr>
                <w:rFonts w:ascii="Arial"/>
                <w:sz w:val="21"/>
              </w:rPr>
            </w:pPr>
          </w:p>
          <w:p w14:paraId="075DC8C7">
            <w:pPr>
              <w:spacing w:line="250" w:lineRule="auto"/>
              <w:rPr>
                <w:rFonts w:ascii="Arial"/>
                <w:sz w:val="21"/>
              </w:rPr>
            </w:pPr>
          </w:p>
          <w:p w14:paraId="093E3F18">
            <w:pPr>
              <w:pStyle w:val="14"/>
              <w:spacing w:before="78" w:line="465" w:lineRule="exact"/>
              <w:ind w:left="632"/>
            </w:pPr>
            <w:r>
              <w:rPr>
                <w:spacing w:val="-1"/>
                <w:position w:val="16"/>
              </w:rPr>
              <w:t>政府采购</w:t>
            </w:r>
          </w:p>
          <w:p w14:paraId="1A60BCA9">
            <w:pPr>
              <w:pStyle w:val="14"/>
              <w:spacing w:line="221" w:lineRule="auto"/>
              <w:ind w:left="632"/>
              <w:rPr>
                <w:spacing w:val="-3"/>
              </w:rPr>
            </w:pPr>
            <w:r>
              <w:rPr>
                <w:spacing w:val="-1"/>
              </w:rPr>
              <w:t>政策支持</w:t>
            </w:r>
          </w:p>
        </w:tc>
        <w:tc>
          <w:tcPr>
            <w:tcW w:w="7079" w:type="dxa"/>
            <w:vAlign w:val="top"/>
          </w:tcPr>
          <w:p w14:paraId="724F8BCB">
            <w:pPr>
              <w:pStyle w:val="14"/>
              <w:spacing w:before="38" w:line="335" w:lineRule="auto"/>
              <w:ind w:left="113" w:right="110" w:firstLine="12"/>
              <w:jc w:val="both"/>
            </w:pPr>
            <w:r>
              <w:rPr>
                <w:spacing w:val="-1"/>
              </w:rPr>
              <w:t>1.促进中小企业发展政策：根据《政府采购促进中小企业发展暂</w:t>
            </w:r>
            <w:r>
              <w:t>行办法》规定，</w:t>
            </w:r>
            <w:r>
              <w:rPr>
                <w:spacing w:val="-1"/>
              </w:rPr>
              <w:t>本项目专门面向中小企业，</w:t>
            </w:r>
            <w:r>
              <w:t>不进行价格扣除。供应商和制造商应出具响应文件要求的《中小企业声明函》给予证明，否则评标时不予认可。供应商应对提交的中小企业声明函的真实性负责，提交的中小企业声明函不真实的，应承担相应的法</w:t>
            </w:r>
          </w:p>
          <w:p w14:paraId="301C4600">
            <w:pPr>
              <w:pStyle w:val="14"/>
              <w:spacing w:before="1" w:line="220" w:lineRule="auto"/>
              <w:ind w:left="113"/>
            </w:pPr>
            <w:r>
              <w:rPr>
                <w:spacing w:val="-2"/>
              </w:rPr>
              <w:t>律责任。</w:t>
            </w:r>
          </w:p>
          <w:p w14:paraId="031A4465">
            <w:pPr>
              <w:pStyle w:val="14"/>
              <w:spacing w:before="150" w:line="335" w:lineRule="auto"/>
              <w:ind w:left="111" w:right="25"/>
              <w:jc w:val="both"/>
            </w:pPr>
            <w:r>
              <w:rPr>
                <w:spacing w:val="-1"/>
              </w:rPr>
              <w:t>2.监狱企业扶持政策：供应商如为监狱企业将视同小型或微型企业。供应商为监狱企业的，应提供由省级以上监狱管理局、戒毒</w:t>
            </w:r>
            <w:r>
              <w:rPr>
                <w:spacing w:val="-5"/>
              </w:rPr>
              <w:t>管理局（含新疆生产建设兵团）出具的属于监</w:t>
            </w:r>
            <w:r>
              <w:rPr>
                <w:spacing w:val="-6"/>
              </w:rPr>
              <w:t>狱企业的证明文件。</w:t>
            </w:r>
            <w:r>
              <w:t>供应商应对提交属于监狱企业的证明文件的真实性负责，提交的</w:t>
            </w:r>
          </w:p>
          <w:p w14:paraId="127967C0">
            <w:pPr>
              <w:pStyle w:val="14"/>
              <w:spacing w:before="1" w:line="212" w:lineRule="auto"/>
              <w:ind w:left="112"/>
            </w:pPr>
            <w:r>
              <w:rPr>
                <w:spacing w:val="2"/>
              </w:rPr>
              <w:t>监狱企业的证明文件不真实的，应承担相应的法律责任。</w:t>
            </w:r>
          </w:p>
          <w:p w14:paraId="7F4A4CC8">
            <w:pPr>
              <w:pStyle w:val="14"/>
              <w:spacing w:before="159" w:line="217" w:lineRule="auto"/>
              <w:ind w:left="113"/>
            </w:pPr>
            <w:r>
              <w:rPr>
                <w:spacing w:val="2"/>
              </w:rPr>
              <w:t>3.残疾人福利性单位视同小型、微型企业。不重复享受政</w:t>
            </w:r>
            <w:r>
              <w:rPr>
                <w:spacing w:val="1"/>
              </w:rPr>
              <w:t>策。</w:t>
            </w:r>
          </w:p>
          <w:p w14:paraId="19B3663A">
            <w:pPr>
              <w:pStyle w:val="14"/>
              <w:spacing w:before="155" w:line="334" w:lineRule="auto"/>
              <w:ind w:left="125" w:right="110" w:hanging="9"/>
            </w:pPr>
            <w:r>
              <w:t>列入财政部会同国务院有关部门发布的节能产品、环境</w:t>
            </w:r>
            <w:r>
              <w:rPr>
                <w:spacing w:val="-1"/>
              </w:rPr>
              <w:t>标志产品品目清单，供应商应当提供国家确定的认证机构出具的、处于有</w:t>
            </w:r>
          </w:p>
          <w:p w14:paraId="528EBF64">
            <w:pPr>
              <w:pStyle w:val="14"/>
              <w:spacing w:before="1" w:line="220" w:lineRule="auto"/>
              <w:ind w:left="112"/>
              <w:rPr>
                <w:spacing w:val="2"/>
              </w:rPr>
            </w:pPr>
            <w:r>
              <w:rPr>
                <w:spacing w:val="1"/>
              </w:rPr>
              <w:t>效期之内的节能产品、环境标志产品认证证书。</w:t>
            </w:r>
          </w:p>
        </w:tc>
      </w:tr>
      <w:tr w14:paraId="5A8787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81" w:hRule="atLeast"/>
        </w:trPr>
        <w:tc>
          <w:tcPr>
            <w:tcW w:w="1113" w:type="dxa"/>
            <w:vAlign w:val="top"/>
          </w:tcPr>
          <w:p w14:paraId="7685A0E2">
            <w:pPr>
              <w:spacing w:line="248" w:lineRule="auto"/>
              <w:rPr>
                <w:rFonts w:ascii="Arial"/>
                <w:sz w:val="21"/>
              </w:rPr>
            </w:pPr>
          </w:p>
          <w:p w14:paraId="48B6D8C5">
            <w:pPr>
              <w:spacing w:line="248" w:lineRule="auto"/>
              <w:rPr>
                <w:rFonts w:ascii="Arial"/>
                <w:sz w:val="21"/>
              </w:rPr>
            </w:pPr>
          </w:p>
          <w:p w14:paraId="1308C54B">
            <w:pPr>
              <w:spacing w:line="248" w:lineRule="auto"/>
              <w:rPr>
                <w:rFonts w:ascii="Arial"/>
                <w:sz w:val="21"/>
              </w:rPr>
            </w:pPr>
          </w:p>
          <w:p w14:paraId="06000AF6">
            <w:pPr>
              <w:spacing w:line="248" w:lineRule="auto"/>
              <w:rPr>
                <w:rFonts w:ascii="Arial"/>
                <w:sz w:val="21"/>
              </w:rPr>
            </w:pPr>
          </w:p>
          <w:p w14:paraId="2A027FE6">
            <w:pPr>
              <w:spacing w:line="248" w:lineRule="auto"/>
              <w:rPr>
                <w:rFonts w:ascii="Arial"/>
                <w:sz w:val="21"/>
              </w:rPr>
            </w:pPr>
          </w:p>
          <w:p w14:paraId="2412882A">
            <w:pPr>
              <w:spacing w:line="248" w:lineRule="auto"/>
              <w:rPr>
                <w:rFonts w:ascii="Arial"/>
                <w:sz w:val="21"/>
              </w:rPr>
            </w:pPr>
          </w:p>
          <w:p w14:paraId="0A9DE121">
            <w:pPr>
              <w:spacing w:line="248" w:lineRule="auto"/>
              <w:rPr>
                <w:rFonts w:ascii="Arial"/>
                <w:sz w:val="21"/>
              </w:rPr>
            </w:pPr>
          </w:p>
          <w:p w14:paraId="047A3651">
            <w:pPr>
              <w:spacing w:line="248" w:lineRule="auto"/>
              <w:rPr>
                <w:rFonts w:ascii="Arial"/>
                <w:sz w:val="21"/>
              </w:rPr>
            </w:pPr>
          </w:p>
          <w:p w14:paraId="177205E3">
            <w:pPr>
              <w:spacing w:line="249" w:lineRule="auto"/>
              <w:rPr>
                <w:rFonts w:ascii="Arial"/>
                <w:sz w:val="21"/>
              </w:rPr>
            </w:pPr>
          </w:p>
          <w:p w14:paraId="26E6D2A9">
            <w:pPr>
              <w:spacing w:line="249" w:lineRule="auto"/>
              <w:rPr>
                <w:rFonts w:ascii="Arial"/>
                <w:sz w:val="21"/>
              </w:rPr>
            </w:pPr>
          </w:p>
          <w:p w14:paraId="1B606E57">
            <w:pPr>
              <w:spacing w:line="249" w:lineRule="auto"/>
              <w:rPr>
                <w:rFonts w:ascii="Arial"/>
                <w:sz w:val="21"/>
              </w:rPr>
            </w:pPr>
          </w:p>
          <w:p w14:paraId="5027E1CC">
            <w:pPr>
              <w:spacing w:line="249" w:lineRule="auto"/>
              <w:rPr>
                <w:rFonts w:ascii="Arial"/>
                <w:sz w:val="21"/>
              </w:rPr>
            </w:pPr>
          </w:p>
          <w:p w14:paraId="6D8937B4">
            <w:pPr>
              <w:spacing w:line="249" w:lineRule="auto"/>
              <w:rPr>
                <w:rFonts w:ascii="Arial"/>
                <w:sz w:val="21"/>
              </w:rPr>
            </w:pPr>
          </w:p>
          <w:p w14:paraId="6380C933">
            <w:pPr>
              <w:pStyle w:val="14"/>
              <w:spacing w:before="78" w:line="185" w:lineRule="auto"/>
              <w:ind w:left="441"/>
              <w:rPr>
                <w:rFonts w:hint="default" w:eastAsia="黑体"/>
                <w:lang w:val="en-US" w:eastAsia="zh-CN"/>
              </w:rPr>
            </w:pPr>
            <w:r>
              <w:rPr>
                <w:rFonts w:hint="eastAsia"/>
                <w:spacing w:val="-5"/>
                <w:lang w:val="en-US" w:eastAsia="zh-CN"/>
              </w:rPr>
              <w:t>36</w:t>
            </w:r>
          </w:p>
        </w:tc>
        <w:tc>
          <w:tcPr>
            <w:tcW w:w="2102" w:type="dxa"/>
            <w:vAlign w:val="top"/>
          </w:tcPr>
          <w:p w14:paraId="312E4649">
            <w:pPr>
              <w:spacing w:line="245" w:lineRule="auto"/>
              <w:rPr>
                <w:rFonts w:ascii="Arial"/>
                <w:sz w:val="21"/>
              </w:rPr>
            </w:pPr>
          </w:p>
          <w:p w14:paraId="0FC2F6FA">
            <w:pPr>
              <w:spacing w:line="245" w:lineRule="auto"/>
              <w:rPr>
                <w:rFonts w:ascii="Arial"/>
                <w:sz w:val="21"/>
              </w:rPr>
            </w:pPr>
          </w:p>
          <w:p w14:paraId="678F404A">
            <w:pPr>
              <w:spacing w:line="245" w:lineRule="auto"/>
              <w:rPr>
                <w:rFonts w:ascii="Arial"/>
                <w:sz w:val="21"/>
              </w:rPr>
            </w:pPr>
          </w:p>
          <w:p w14:paraId="171CA3E6">
            <w:pPr>
              <w:spacing w:line="245" w:lineRule="auto"/>
              <w:rPr>
                <w:rFonts w:ascii="Arial"/>
                <w:sz w:val="21"/>
              </w:rPr>
            </w:pPr>
          </w:p>
          <w:p w14:paraId="5F5D2AB0">
            <w:pPr>
              <w:spacing w:line="245" w:lineRule="auto"/>
              <w:rPr>
                <w:rFonts w:ascii="Arial"/>
                <w:sz w:val="21"/>
              </w:rPr>
            </w:pPr>
          </w:p>
          <w:p w14:paraId="28A293D2">
            <w:pPr>
              <w:spacing w:line="246" w:lineRule="auto"/>
              <w:rPr>
                <w:rFonts w:ascii="Arial"/>
                <w:sz w:val="21"/>
              </w:rPr>
            </w:pPr>
          </w:p>
          <w:p w14:paraId="611FE6C7">
            <w:pPr>
              <w:spacing w:line="246" w:lineRule="auto"/>
              <w:rPr>
                <w:rFonts w:ascii="Arial"/>
                <w:sz w:val="21"/>
              </w:rPr>
            </w:pPr>
          </w:p>
          <w:p w14:paraId="18F7DD98">
            <w:pPr>
              <w:spacing w:line="246" w:lineRule="auto"/>
              <w:rPr>
                <w:rFonts w:ascii="Arial"/>
                <w:sz w:val="21"/>
              </w:rPr>
            </w:pPr>
          </w:p>
          <w:p w14:paraId="6F393518">
            <w:pPr>
              <w:spacing w:line="246" w:lineRule="auto"/>
              <w:rPr>
                <w:rFonts w:ascii="Arial"/>
                <w:sz w:val="21"/>
              </w:rPr>
            </w:pPr>
          </w:p>
          <w:p w14:paraId="58768D39">
            <w:pPr>
              <w:spacing w:line="246" w:lineRule="auto"/>
              <w:rPr>
                <w:rFonts w:ascii="Arial"/>
                <w:sz w:val="21"/>
              </w:rPr>
            </w:pPr>
          </w:p>
          <w:p w14:paraId="44ADB10F">
            <w:pPr>
              <w:spacing w:line="246" w:lineRule="auto"/>
              <w:rPr>
                <w:rFonts w:ascii="Arial"/>
                <w:sz w:val="21"/>
              </w:rPr>
            </w:pPr>
          </w:p>
          <w:p w14:paraId="1A47B4A8">
            <w:pPr>
              <w:spacing w:line="246" w:lineRule="auto"/>
              <w:rPr>
                <w:rFonts w:ascii="Arial"/>
                <w:sz w:val="21"/>
              </w:rPr>
            </w:pPr>
          </w:p>
          <w:p w14:paraId="6455F836">
            <w:pPr>
              <w:spacing w:line="246" w:lineRule="auto"/>
              <w:rPr>
                <w:rFonts w:ascii="Arial"/>
                <w:sz w:val="21"/>
              </w:rPr>
            </w:pPr>
          </w:p>
          <w:p w14:paraId="1D78614C">
            <w:pPr>
              <w:pStyle w:val="14"/>
              <w:spacing w:before="78" w:line="221" w:lineRule="auto"/>
              <w:ind w:left="637"/>
            </w:pPr>
            <w:r>
              <w:rPr>
                <w:spacing w:val="-2"/>
              </w:rPr>
              <w:t>其他说明</w:t>
            </w:r>
          </w:p>
        </w:tc>
        <w:tc>
          <w:tcPr>
            <w:tcW w:w="7079" w:type="dxa"/>
            <w:vAlign w:val="top"/>
          </w:tcPr>
          <w:p w14:paraId="5657CD6C">
            <w:pPr>
              <w:pStyle w:val="14"/>
              <w:spacing w:before="39" w:line="222" w:lineRule="auto"/>
              <w:ind w:left="125"/>
            </w:pPr>
            <w:r>
              <w:t>1.本项目所属行业：建筑业。</w:t>
            </w:r>
          </w:p>
          <w:p w14:paraId="7732F4A0">
            <w:pPr>
              <w:pStyle w:val="14"/>
              <w:spacing w:before="148" w:line="335" w:lineRule="auto"/>
              <w:ind w:left="113" w:right="110" w:hanging="2"/>
              <w:jc w:val="both"/>
            </w:pPr>
            <w:r>
              <w:t>2.竞争性磋商文件中采购清单、技术需求等如有偏差，如有疑义</w:t>
            </w:r>
            <w:r>
              <w:rPr>
                <w:spacing w:val="7"/>
              </w:rPr>
              <w:t>请澄清中及时提出；否则视为充分理解竞争性磋商文件各</w:t>
            </w:r>
            <w:r>
              <w:rPr>
                <w:spacing w:val="6"/>
              </w:rPr>
              <w:t>项要</w:t>
            </w:r>
          </w:p>
          <w:p w14:paraId="07C47367">
            <w:pPr>
              <w:pStyle w:val="14"/>
              <w:spacing w:before="1" w:line="225" w:lineRule="auto"/>
              <w:ind w:left="115"/>
            </w:pPr>
            <w:r>
              <w:rPr>
                <w:spacing w:val="-6"/>
              </w:rPr>
              <w:t>求。</w:t>
            </w:r>
          </w:p>
          <w:p w14:paraId="510E061B">
            <w:pPr>
              <w:pStyle w:val="14"/>
              <w:spacing w:before="145" w:line="335" w:lineRule="auto"/>
              <w:ind w:left="112" w:right="110"/>
              <w:jc w:val="both"/>
            </w:pPr>
            <w:r>
              <w:t>3.本次采用政府采购云平台线上招标、投标，请各潜在供应商及</w:t>
            </w:r>
            <w:r>
              <w:rPr>
                <w:spacing w:val="3"/>
              </w:rPr>
              <w:t>时办理</w:t>
            </w:r>
            <w:r>
              <w:t>CA</w:t>
            </w:r>
            <w:r>
              <w:rPr>
                <w:spacing w:val="3"/>
              </w:rPr>
              <w:t>锁和学习政府采购云平台线上投标相关知识。请在政</w:t>
            </w:r>
            <w:r>
              <w:t>府采购云平台登录后，进行下载竞争性磋商文件。请各供应商获取竞争性磋商文件后及时关注云平台答疑文件获取栏目。具体相关事宜见政府采购云平台。本项目采用资格后审，请供应商仔细阅读竞争性磋商文件和各项要求，制作文件及相关资料过程中，若因供应商资格条件不符、提供资料不全等原因导致响应文件予</w:t>
            </w:r>
          </w:p>
          <w:p w14:paraId="0E55F21B">
            <w:pPr>
              <w:pStyle w:val="14"/>
              <w:spacing w:before="1" w:line="212" w:lineRule="auto"/>
              <w:ind w:left="128"/>
            </w:pPr>
            <w:r>
              <w:rPr>
                <w:spacing w:val="-1"/>
              </w:rPr>
              <w:t>以退还，责任自负。</w:t>
            </w:r>
          </w:p>
          <w:p w14:paraId="21039DF0">
            <w:pPr>
              <w:pStyle w:val="14"/>
              <w:spacing w:before="145" w:line="240" w:lineRule="auto"/>
              <w:ind w:left="112" w:right="110"/>
              <w:jc w:val="both"/>
            </w:pPr>
            <w:r>
              <w:t>4.竞争性磋商文件中如有内容冲突的地方，以供应商须知要求为准。</w:t>
            </w:r>
          </w:p>
          <w:p w14:paraId="4D0C4B48">
            <w:pPr>
              <w:pStyle w:val="14"/>
              <w:spacing w:before="145" w:line="240" w:lineRule="auto"/>
              <w:ind w:left="112" w:right="110"/>
              <w:jc w:val="both"/>
            </w:pPr>
            <w:r>
              <w:t>说明：本竞争性磋商文件技术指标是作为功能性说明，不论任何</w:t>
            </w:r>
          </w:p>
          <w:p w14:paraId="2E1E4D7B">
            <w:pPr>
              <w:pStyle w:val="14"/>
              <w:spacing w:before="145" w:line="240" w:lineRule="auto"/>
              <w:ind w:left="112" w:right="110"/>
              <w:jc w:val="both"/>
            </w:pPr>
            <w:r>
              <w:t>情况，供应商在投标时必须达到或优于竞争性磋商文件要求。</w:t>
            </w:r>
          </w:p>
          <w:p w14:paraId="5E9527A2">
            <w:pPr>
              <w:pStyle w:val="14"/>
              <w:spacing w:before="145" w:line="240" w:lineRule="auto"/>
              <w:ind w:left="112" w:right="110"/>
              <w:jc w:val="both"/>
              <w:rPr>
                <w:spacing w:val="2"/>
              </w:rPr>
            </w:pPr>
            <w:r>
              <w:rPr>
                <w:rFonts w:hint="eastAsia"/>
              </w:rPr>
              <w:t>注：如本《投标人须知前附表》相关内容与招标文件中的相关内容如有不一致处，则以本《投标人须知前附表》相关内容为准。</w:t>
            </w:r>
          </w:p>
        </w:tc>
      </w:tr>
    </w:tbl>
    <w:p w14:paraId="3B58329F">
      <w:pPr>
        <w:pStyle w:val="5"/>
      </w:pPr>
    </w:p>
    <w:p w14:paraId="2056DB85">
      <w:pPr>
        <w:sectPr>
          <w:footerReference r:id="rId6" w:type="default"/>
          <w:pgSz w:w="11906" w:h="16839"/>
          <w:pgMar w:top="1431" w:right="803" w:bottom="1298" w:left="803" w:header="0" w:footer="1135" w:gutter="0"/>
          <w:cols w:space="720" w:num="1"/>
        </w:sectPr>
      </w:pPr>
    </w:p>
    <w:p w14:paraId="24F06F34">
      <w:pPr>
        <w:spacing w:before="148" w:line="633" w:lineRule="exact"/>
        <w:ind w:left="3171"/>
        <w:rPr>
          <w:rFonts w:ascii="黑体" w:hAnsi="黑体" w:eastAsia="黑体" w:cs="黑体"/>
          <w:sz w:val="30"/>
          <w:szCs w:val="30"/>
        </w:rPr>
      </w:pPr>
      <w:r>
        <w:rPr>
          <w:rFonts w:ascii="黑体" w:hAnsi="黑体" w:eastAsia="黑体" w:cs="黑体"/>
          <w:spacing w:val="2"/>
          <w:position w:val="25"/>
          <w:sz w:val="30"/>
          <w:szCs w:val="30"/>
          <w14:textOutline w14:w="5448" w14:cap="sq" w14:cmpd="sng">
            <w14:solidFill>
              <w14:srgbClr w14:val="000000"/>
            </w14:solidFill>
            <w14:prstDash w14:val="solid"/>
            <w14:bevel/>
          </w14:textOutline>
        </w:rPr>
        <w:t>供应商须知正文部分</w:t>
      </w:r>
    </w:p>
    <w:p w14:paraId="3FB31381">
      <w:pPr>
        <w:spacing w:line="222" w:lineRule="auto"/>
        <w:ind w:left="3762"/>
        <w:rPr>
          <w:rFonts w:ascii="黑体" w:hAnsi="黑体" w:eastAsia="黑体" w:cs="黑体"/>
          <w:sz w:val="28"/>
          <w:szCs w:val="28"/>
        </w:rPr>
      </w:pPr>
      <w:r>
        <w:rPr>
          <w:rFonts w:ascii="黑体" w:hAnsi="黑体" w:eastAsia="黑体" w:cs="黑体"/>
          <w:spacing w:val="-13"/>
          <w:sz w:val="28"/>
          <w:szCs w:val="28"/>
          <w14:textOutline w14:w="5103" w14:cap="sq" w14:cmpd="sng">
            <w14:solidFill>
              <w14:srgbClr w14:val="000000"/>
            </w14:solidFill>
            <w14:prstDash w14:val="solid"/>
            <w14:bevel/>
          </w14:textOutline>
        </w:rPr>
        <w:t>一、总则</w:t>
      </w:r>
    </w:p>
    <w:p w14:paraId="2BC4739A">
      <w:pPr>
        <w:spacing w:before="230" w:line="222" w:lineRule="auto"/>
        <w:ind w:left="12"/>
        <w:rPr>
          <w:rFonts w:ascii="黑体" w:hAnsi="黑体" w:eastAsia="黑体" w:cs="黑体"/>
          <w:sz w:val="24"/>
          <w:szCs w:val="24"/>
        </w:rPr>
      </w:pPr>
      <w:r>
        <w:rPr>
          <w:rFonts w:ascii="黑体" w:hAnsi="黑体" w:eastAsia="黑体" w:cs="黑体"/>
          <w:spacing w:val="-3"/>
          <w:sz w:val="24"/>
          <w:szCs w:val="24"/>
          <w14:textOutline w14:w="4358" w14:cap="sq" w14:cmpd="sng">
            <w14:solidFill>
              <w14:srgbClr w14:val="000000"/>
            </w14:solidFill>
            <w14:prstDash w14:val="solid"/>
            <w14:bevel/>
          </w14:textOutline>
        </w:rPr>
        <w:t>1合格的供应商</w:t>
      </w:r>
    </w:p>
    <w:p w14:paraId="150D6DA6">
      <w:pPr>
        <w:spacing w:before="179" w:line="468" w:lineRule="exact"/>
        <w:ind w:left="499"/>
        <w:rPr>
          <w:rFonts w:ascii="黑体" w:hAnsi="黑体" w:eastAsia="黑体" w:cs="黑体"/>
          <w:sz w:val="24"/>
          <w:szCs w:val="24"/>
        </w:rPr>
      </w:pPr>
      <w:r>
        <w:rPr>
          <w:rFonts w:ascii="黑体" w:hAnsi="黑体" w:eastAsia="黑体" w:cs="黑体"/>
          <w:spacing w:val="1"/>
          <w:position w:val="17"/>
          <w:sz w:val="24"/>
          <w:szCs w:val="24"/>
        </w:rPr>
        <w:t>1.1供应商参加政府采购活动应当具备下列条件：</w:t>
      </w:r>
    </w:p>
    <w:p w14:paraId="161DC85C">
      <w:pPr>
        <w:spacing w:before="1" w:line="212" w:lineRule="auto"/>
        <w:ind w:left="508"/>
        <w:rPr>
          <w:rFonts w:ascii="黑体" w:hAnsi="黑体" w:eastAsia="黑体" w:cs="黑体"/>
          <w:sz w:val="24"/>
          <w:szCs w:val="24"/>
        </w:rPr>
      </w:pPr>
      <w:r>
        <w:rPr>
          <w:rFonts w:ascii="黑体" w:hAnsi="黑体" w:eastAsia="黑体" w:cs="黑体"/>
          <w:sz w:val="24"/>
          <w:szCs w:val="24"/>
        </w:rPr>
        <w:t>（一）具有独立承担民事责任的能力；</w:t>
      </w:r>
    </w:p>
    <w:p w14:paraId="33F1207F">
      <w:pPr>
        <w:spacing w:before="191" w:line="468" w:lineRule="exact"/>
        <w:ind w:left="508"/>
        <w:rPr>
          <w:rFonts w:ascii="黑体" w:hAnsi="黑体" w:eastAsia="黑体" w:cs="黑体"/>
          <w:sz w:val="24"/>
          <w:szCs w:val="24"/>
        </w:rPr>
      </w:pPr>
      <w:r>
        <w:rPr>
          <w:rFonts w:ascii="黑体" w:hAnsi="黑体" w:eastAsia="黑体" w:cs="黑体"/>
          <w:spacing w:val="1"/>
          <w:position w:val="17"/>
          <w:sz w:val="24"/>
          <w:szCs w:val="24"/>
        </w:rPr>
        <w:t>（二）具有良好的商业信誉和健全的财务会计制度；</w:t>
      </w:r>
    </w:p>
    <w:p w14:paraId="4978119D">
      <w:pPr>
        <w:spacing w:before="1" w:line="212" w:lineRule="auto"/>
        <w:ind w:left="508"/>
        <w:rPr>
          <w:rFonts w:ascii="黑体" w:hAnsi="黑体" w:eastAsia="黑体" w:cs="黑体"/>
          <w:sz w:val="24"/>
          <w:szCs w:val="24"/>
        </w:rPr>
      </w:pPr>
      <w:r>
        <w:rPr>
          <w:rFonts w:ascii="黑体" w:hAnsi="黑体" w:eastAsia="黑体" w:cs="黑体"/>
          <w:spacing w:val="1"/>
          <w:sz w:val="24"/>
          <w:szCs w:val="24"/>
        </w:rPr>
        <w:t>（三）具有履行合同所必需的设备和专业技术能力；</w:t>
      </w:r>
    </w:p>
    <w:p w14:paraId="712D209A">
      <w:pPr>
        <w:spacing w:before="191" w:line="213" w:lineRule="auto"/>
        <w:ind w:left="508"/>
        <w:rPr>
          <w:rFonts w:ascii="黑体" w:hAnsi="黑体" w:eastAsia="黑体" w:cs="黑体"/>
          <w:sz w:val="24"/>
          <w:szCs w:val="24"/>
        </w:rPr>
      </w:pPr>
      <w:r>
        <w:rPr>
          <w:rFonts w:ascii="黑体" w:hAnsi="黑体" w:eastAsia="黑体" w:cs="黑体"/>
          <w:spacing w:val="1"/>
          <w:sz w:val="24"/>
          <w:szCs w:val="24"/>
        </w:rPr>
        <w:t>（四）有依法缴纳税收和社会保障资金的良好记录；</w:t>
      </w:r>
    </w:p>
    <w:p w14:paraId="6B51EF54">
      <w:pPr>
        <w:spacing w:before="191" w:line="468" w:lineRule="exact"/>
        <w:ind w:left="508"/>
        <w:rPr>
          <w:rFonts w:ascii="黑体" w:hAnsi="黑体" w:eastAsia="黑体" w:cs="黑体"/>
          <w:sz w:val="24"/>
          <w:szCs w:val="24"/>
        </w:rPr>
      </w:pPr>
      <w:r>
        <w:rPr>
          <w:rFonts w:ascii="黑体" w:hAnsi="黑体" w:eastAsia="黑体" w:cs="黑体"/>
          <w:spacing w:val="1"/>
          <w:position w:val="17"/>
          <w:sz w:val="24"/>
          <w:szCs w:val="24"/>
        </w:rPr>
        <w:t>（五）参加政府采购活动前三年内，在经营活动中没有重大违法记录；</w:t>
      </w:r>
    </w:p>
    <w:p w14:paraId="272CD74E">
      <w:pPr>
        <w:spacing w:before="1" w:line="221" w:lineRule="auto"/>
        <w:ind w:left="508"/>
        <w:rPr>
          <w:rFonts w:ascii="黑体" w:hAnsi="黑体" w:eastAsia="黑体" w:cs="黑体"/>
          <w:sz w:val="24"/>
          <w:szCs w:val="24"/>
        </w:rPr>
      </w:pPr>
      <w:r>
        <w:rPr>
          <w:rFonts w:ascii="黑体" w:hAnsi="黑体" w:eastAsia="黑体" w:cs="黑体"/>
          <w:sz w:val="24"/>
          <w:szCs w:val="24"/>
        </w:rPr>
        <w:t>（六）法律、行政法规规定的其他条件。</w:t>
      </w:r>
    </w:p>
    <w:p w14:paraId="1F3BDAE2">
      <w:pPr>
        <w:spacing w:before="180" w:line="221" w:lineRule="auto"/>
        <w:jc w:val="right"/>
        <w:rPr>
          <w:rFonts w:ascii="黑体" w:hAnsi="黑体" w:eastAsia="黑体" w:cs="黑体"/>
          <w:sz w:val="24"/>
          <w:szCs w:val="24"/>
        </w:rPr>
      </w:pPr>
      <w:r>
        <w:rPr>
          <w:rFonts w:ascii="黑体" w:hAnsi="黑体" w:eastAsia="黑体" w:cs="黑体"/>
          <w:spacing w:val="7"/>
          <w:sz w:val="24"/>
          <w:szCs w:val="24"/>
        </w:rPr>
        <w:t>1.2凡参加投标的供应商必须具有履行本竞争性磋商文件规定的有关要求的能</w:t>
      </w:r>
    </w:p>
    <w:p w14:paraId="45417311">
      <w:pPr>
        <w:spacing w:before="181" w:line="213" w:lineRule="auto"/>
        <w:ind w:left="6"/>
        <w:rPr>
          <w:rFonts w:ascii="黑体" w:hAnsi="黑体" w:eastAsia="黑体" w:cs="黑体"/>
          <w:sz w:val="24"/>
          <w:szCs w:val="24"/>
        </w:rPr>
      </w:pPr>
      <w:r>
        <w:rPr>
          <w:rFonts w:ascii="黑体" w:hAnsi="黑体" w:eastAsia="黑体" w:cs="黑体"/>
          <w:spacing w:val="-1"/>
          <w:sz w:val="24"/>
          <w:szCs w:val="24"/>
        </w:rPr>
        <w:t>力，信誉良好。</w:t>
      </w:r>
    </w:p>
    <w:p w14:paraId="1268C422">
      <w:pPr>
        <w:spacing w:before="191" w:line="213" w:lineRule="auto"/>
        <w:ind w:left="456"/>
        <w:rPr>
          <w:rFonts w:ascii="黑体" w:hAnsi="黑体" w:eastAsia="黑体" w:cs="黑体"/>
          <w:sz w:val="24"/>
          <w:szCs w:val="24"/>
        </w:rPr>
      </w:pPr>
      <w:r>
        <w:rPr>
          <w:rFonts w:ascii="黑体" w:hAnsi="黑体" w:eastAsia="黑体" w:cs="黑体"/>
          <w:spacing w:val="-18"/>
          <w:sz w:val="24"/>
          <w:szCs w:val="24"/>
        </w:rPr>
        <w:t>1.3若采购人员及相关人员与供应商有下列利害关系之一的，应</w:t>
      </w:r>
      <w:r>
        <w:rPr>
          <w:rFonts w:ascii="黑体" w:hAnsi="黑体" w:eastAsia="黑体" w:cs="黑体"/>
          <w:spacing w:val="-19"/>
          <w:sz w:val="24"/>
          <w:szCs w:val="24"/>
        </w:rPr>
        <w:t>当回避：</w:t>
      </w:r>
    </w:p>
    <w:p w14:paraId="191C6951">
      <w:pPr>
        <w:spacing w:before="191" w:line="213" w:lineRule="auto"/>
        <w:ind w:left="499"/>
        <w:rPr>
          <w:rFonts w:ascii="黑体" w:hAnsi="黑体" w:eastAsia="黑体" w:cs="黑体"/>
          <w:sz w:val="24"/>
          <w:szCs w:val="24"/>
        </w:rPr>
      </w:pPr>
      <w:r>
        <w:rPr>
          <w:rFonts w:ascii="黑体" w:hAnsi="黑体" w:eastAsia="黑体" w:cs="黑体"/>
          <w:sz w:val="24"/>
          <w:szCs w:val="24"/>
        </w:rPr>
        <w:t>1.3.1参加采购活动前3年内与供应商存在劳动关系；</w:t>
      </w:r>
    </w:p>
    <w:p w14:paraId="368FEC48">
      <w:pPr>
        <w:spacing w:before="191" w:line="213" w:lineRule="auto"/>
        <w:ind w:left="499"/>
        <w:rPr>
          <w:rFonts w:ascii="黑体" w:hAnsi="黑体" w:eastAsia="黑体" w:cs="黑体"/>
          <w:sz w:val="24"/>
          <w:szCs w:val="24"/>
        </w:rPr>
      </w:pPr>
      <w:r>
        <w:rPr>
          <w:rFonts w:ascii="黑体" w:hAnsi="黑体" w:eastAsia="黑体" w:cs="黑体"/>
          <w:sz w:val="24"/>
          <w:szCs w:val="24"/>
        </w:rPr>
        <w:t>1.3.2参加采购活动前3年内担任供应商的董事、监事；</w:t>
      </w:r>
    </w:p>
    <w:p w14:paraId="331F374C">
      <w:pPr>
        <w:spacing w:before="191" w:line="213" w:lineRule="auto"/>
        <w:ind w:left="499"/>
        <w:rPr>
          <w:rFonts w:ascii="黑体" w:hAnsi="黑体" w:eastAsia="黑体" w:cs="黑体"/>
          <w:sz w:val="24"/>
          <w:szCs w:val="24"/>
        </w:rPr>
      </w:pPr>
      <w:r>
        <w:rPr>
          <w:rFonts w:ascii="黑体" w:hAnsi="黑体" w:eastAsia="黑体" w:cs="黑体"/>
          <w:spacing w:val="1"/>
          <w:sz w:val="24"/>
          <w:szCs w:val="24"/>
        </w:rPr>
        <w:t>1.3.3参加采购活动前3年内是供应商的控</w:t>
      </w:r>
      <w:r>
        <w:rPr>
          <w:rFonts w:ascii="黑体" w:hAnsi="黑体" w:eastAsia="黑体" w:cs="黑体"/>
          <w:sz w:val="24"/>
          <w:szCs w:val="24"/>
        </w:rPr>
        <w:t>股股东或者实际控制人；</w:t>
      </w:r>
    </w:p>
    <w:p w14:paraId="05BB5E36">
      <w:pPr>
        <w:spacing w:before="191" w:line="221" w:lineRule="auto"/>
        <w:jc w:val="right"/>
        <w:rPr>
          <w:rFonts w:ascii="黑体" w:hAnsi="黑体" w:eastAsia="黑体" w:cs="黑体"/>
          <w:sz w:val="24"/>
          <w:szCs w:val="24"/>
        </w:rPr>
      </w:pPr>
      <w:r>
        <w:rPr>
          <w:rFonts w:ascii="黑体" w:hAnsi="黑体" w:eastAsia="黑体" w:cs="黑体"/>
          <w:spacing w:val="1"/>
          <w:sz w:val="24"/>
          <w:szCs w:val="24"/>
        </w:rPr>
        <w:t>1.3.4与供应商的法定代表人或者负责</w:t>
      </w:r>
      <w:r>
        <w:rPr>
          <w:rFonts w:ascii="黑体" w:hAnsi="黑体" w:eastAsia="黑体" w:cs="黑体"/>
          <w:sz w:val="24"/>
          <w:szCs w:val="24"/>
        </w:rPr>
        <w:t>人有夫妻、直系血亲、三代以内旁系血亲或</w:t>
      </w:r>
    </w:p>
    <w:p w14:paraId="799F7AD7">
      <w:pPr>
        <w:spacing w:before="181" w:line="213" w:lineRule="auto"/>
        <w:ind w:left="1"/>
        <w:rPr>
          <w:rFonts w:ascii="黑体" w:hAnsi="黑体" w:eastAsia="黑体" w:cs="黑体"/>
          <w:sz w:val="24"/>
          <w:szCs w:val="24"/>
        </w:rPr>
      </w:pPr>
      <w:r>
        <w:rPr>
          <w:rFonts w:ascii="黑体" w:hAnsi="黑体" w:eastAsia="黑体" w:cs="黑体"/>
          <w:sz w:val="24"/>
          <w:szCs w:val="24"/>
        </w:rPr>
        <w:t>者近姻亲关系；</w:t>
      </w:r>
    </w:p>
    <w:p w14:paraId="77B6C249">
      <w:pPr>
        <w:spacing w:before="190" w:line="222" w:lineRule="auto"/>
        <w:ind w:left="456"/>
        <w:rPr>
          <w:rFonts w:ascii="黑体" w:hAnsi="黑体" w:eastAsia="黑体" w:cs="黑体"/>
          <w:sz w:val="24"/>
          <w:szCs w:val="24"/>
        </w:rPr>
      </w:pPr>
      <w:r>
        <w:rPr>
          <w:rFonts w:ascii="黑体" w:hAnsi="黑体" w:eastAsia="黑体" w:cs="黑体"/>
          <w:spacing w:val="-18"/>
          <w:sz w:val="24"/>
          <w:szCs w:val="24"/>
        </w:rPr>
        <w:t>1.3.5与供应商有其他可能影响政府采购活动公平、公正进行的关系。</w:t>
      </w:r>
    </w:p>
    <w:p w14:paraId="137E56BF">
      <w:pPr>
        <w:spacing w:before="180" w:line="360" w:lineRule="auto"/>
        <w:ind w:left="3" w:firstLine="495"/>
        <w:jc w:val="both"/>
        <w:rPr>
          <w:rFonts w:ascii="黑体" w:hAnsi="黑体" w:eastAsia="黑体" w:cs="黑体"/>
          <w:sz w:val="24"/>
          <w:szCs w:val="24"/>
        </w:rPr>
      </w:pPr>
      <w:r>
        <w:rPr>
          <w:rFonts w:ascii="黑体" w:hAnsi="黑体" w:eastAsia="黑体" w:cs="黑体"/>
          <w:sz w:val="24"/>
          <w:szCs w:val="24"/>
        </w:rPr>
        <w:t>1.3.6供应商认为采购人员及相关人员与其他供应商有利害关系的，可以向采购</w:t>
      </w:r>
      <w:r>
        <w:rPr>
          <w:rFonts w:ascii="黑体" w:hAnsi="黑体" w:eastAsia="黑体" w:cs="黑体"/>
          <w:spacing w:val="1"/>
          <w:sz w:val="24"/>
          <w:szCs w:val="24"/>
        </w:rPr>
        <w:t>人或者采购代理机构书面提出回避申请，并说明理由。采购人或者采购代理</w:t>
      </w:r>
      <w:r>
        <w:rPr>
          <w:rFonts w:ascii="黑体" w:hAnsi="黑体" w:eastAsia="黑体" w:cs="黑体"/>
          <w:sz w:val="24"/>
          <w:szCs w:val="24"/>
        </w:rPr>
        <w:t>机构应当</w:t>
      </w:r>
    </w:p>
    <w:p w14:paraId="72CC2629">
      <w:pPr>
        <w:spacing w:before="2" w:line="212" w:lineRule="auto"/>
        <w:rPr>
          <w:rFonts w:ascii="黑体" w:hAnsi="黑体" w:eastAsia="黑体" w:cs="黑体"/>
          <w:sz w:val="24"/>
          <w:szCs w:val="24"/>
        </w:rPr>
      </w:pPr>
      <w:r>
        <w:rPr>
          <w:rFonts w:ascii="黑体" w:hAnsi="黑体" w:eastAsia="黑体" w:cs="黑体"/>
          <w:spacing w:val="2"/>
          <w:sz w:val="24"/>
          <w:szCs w:val="24"/>
        </w:rPr>
        <w:t>及时询问被申请回避人员，有利害关系的被申请回避人员应当回避。</w:t>
      </w:r>
    </w:p>
    <w:p w14:paraId="5E00154C">
      <w:pPr>
        <w:spacing w:before="191" w:line="468" w:lineRule="exact"/>
        <w:jc w:val="right"/>
        <w:rPr>
          <w:rFonts w:ascii="黑体" w:hAnsi="黑体" w:eastAsia="黑体" w:cs="黑体"/>
          <w:sz w:val="24"/>
          <w:szCs w:val="24"/>
        </w:rPr>
      </w:pPr>
      <w:r>
        <w:rPr>
          <w:rFonts w:ascii="黑体" w:hAnsi="黑体" w:eastAsia="黑体" w:cs="黑体"/>
          <w:position w:val="17"/>
          <w:sz w:val="24"/>
          <w:szCs w:val="24"/>
        </w:rPr>
        <w:t>1.4采购人或者采购代理机构有下列情形之一的，属于以不合理的条件对供应商</w:t>
      </w:r>
    </w:p>
    <w:p w14:paraId="50883D0B">
      <w:pPr>
        <w:spacing w:before="1" w:line="221" w:lineRule="auto"/>
        <w:ind w:left="6"/>
        <w:rPr>
          <w:rFonts w:ascii="黑体" w:hAnsi="黑体" w:eastAsia="黑体" w:cs="黑体"/>
          <w:sz w:val="24"/>
          <w:szCs w:val="24"/>
        </w:rPr>
      </w:pPr>
      <w:r>
        <w:rPr>
          <w:rFonts w:ascii="黑体" w:hAnsi="黑体" w:eastAsia="黑体" w:cs="黑体"/>
          <w:sz w:val="24"/>
          <w:szCs w:val="24"/>
        </w:rPr>
        <w:t>实行差别待遇或者歧视待遇：</w:t>
      </w:r>
    </w:p>
    <w:p w14:paraId="139325DD">
      <w:pPr>
        <w:spacing w:before="179" w:line="213" w:lineRule="auto"/>
        <w:ind w:left="499"/>
        <w:rPr>
          <w:rFonts w:ascii="黑体" w:hAnsi="黑体" w:eastAsia="黑体" w:cs="黑体"/>
          <w:sz w:val="24"/>
          <w:szCs w:val="24"/>
        </w:rPr>
      </w:pPr>
      <w:r>
        <w:rPr>
          <w:rFonts w:ascii="黑体" w:hAnsi="黑体" w:eastAsia="黑体" w:cs="黑体"/>
          <w:spacing w:val="1"/>
          <w:sz w:val="24"/>
          <w:szCs w:val="24"/>
        </w:rPr>
        <w:t>1.4.1就同一采购项目向供应商提供有差别的项目信息；</w:t>
      </w:r>
    </w:p>
    <w:p w14:paraId="515A2475">
      <w:pPr>
        <w:spacing w:before="192" w:line="468" w:lineRule="exact"/>
        <w:jc w:val="right"/>
        <w:rPr>
          <w:rFonts w:ascii="黑体" w:hAnsi="黑体" w:eastAsia="黑体" w:cs="黑体"/>
          <w:sz w:val="24"/>
          <w:szCs w:val="24"/>
        </w:rPr>
      </w:pPr>
      <w:r>
        <w:rPr>
          <w:rFonts w:ascii="黑体" w:hAnsi="黑体" w:eastAsia="黑体" w:cs="黑体"/>
          <w:position w:val="17"/>
          <w:sz w:val="24"/>
          <w:szCs w:val="24"/>
        </w:rPr>
        <w:t>1.4.2设定的资格、技术、商务条件与采购项目的具体特点和实际需要不相适应</w:t>
      </w:r>
    </w:p>
    <w:p w14:paraId="4CE42395">
      <w:pPr>
        <w:spacing w:before="1" w:line="212" w:lineRule="auto"/>
        <w:ind w:left="4"/>
        <w:rPr>
          <w:rFonts w:ascii="黑体" w:hAnsi="黑体" w:eastAsia="黑体" w:cs="黑体"/>
          <w:sz w:val="24"/>
          <w:szCs w:val="24"/>
        </w:rPr>
      </w:pPr>
      <w:r>
        <w:rPr>
          <w:rFonts w:ascii="黑体" w:hAnsi="黑体" w:eastAsia="黑体" w:cs="黑体"/>
          <w:sz w:val="24"/>
          <w:szCs w:val="24"/>
        </w:rPr>
        <w:t>或者与合同履行无关；</w:t>
      </w:r>
    </w:p>
    <w:p w14:paraId="5D013AB0">
      <w:pPr>
        <w:spacing w:before="191" w:line="213" w:lineRule="auto"/>
        <w:ind w:left="499"/>
        <w:rPr>
          <w:rFonts w:ascii="黑体" w:hAnsi="黑体" w:eastAsia="黑体" w:cs="黑体"/>
          <w:sz w:val="24"/>
          <w:szCs w:val="24"/>
        </w:rPr>
      </w:pPr>
      <w:r>
        <w:rPr>
          <w:rFonts w:ascii="黑体" w:hAnsi="黑体" w:eastAsia="黑体" w:cs="黑体"/>
          <w:spacing w:val="1"/>
          <w:sz w:val="24"/>
          <w:szCs w:val="24"/>
        </w:rPr>
        <w:t>1.4.3采购需求中的技术、服务等要求指向特定供应商、特定产品；</w:t>
      </w:r>
    </w:p>
    <w:p w14:paraId="30BA3383">
      <w:pPr>
        <w:spacing w:before="191" w:line="213" w:lineRule="auto"/>
        <w:ind w:left="456"/>
        <w:rPr>
          <w:rFonts w:ascii="黑体" w:hAnsi="黑体" w:eastAsia="黑体" w:cs="黑体"/>
          <w:sz w:val="24"/>
          <w:szCs w:val="24"/>
        </w:rPr>
      </w:pPr>
      <w:r>
        <w:rPr>
          <w:rFonts w:ascii="黑体" w:hAnsi="黑体" w:eastAsia="黑体" w:cs="黑体"/>
          <w:spacing w:val="-18"/>
          <w:sz w:val="24"/>
          <w:szCs w:val="24"/>
        </w:rPr>
        <w:t>1.4.4以特定行政区域或者特定行业的业绩、奖项作为中标和成交条件；</w:t>
      </w:r>
    </w:p>
    <w:p w14:paraId="2D5892EA">
      <w:pPr>
        <w:spacing w:line="213" w:lineRule="auto"/>
        <w:rPr>
          <w:rFonts w:ascii="黑体" w:hAnsi="黑体" w:eastAsia="黑体" w:cs="黑体"/>
          <w:sz w:val="24"/>
          <w:szCs w:val="24"/>
        </w:rPr>
        <w:sectPr>
          <w:footerReference r:id="rId7" w:type="default"/>
          <w:pgSz w:w="11906" w:h="16839"/>
          <w:pgMar w:top="1431" w:right="1562" w:bottom="1012" w:left="1425" w:header="0" w:footer="850" w:gutter="0"/>
          <w:cols w:space="720" w:num="1"/>
        </w:sectPr>
      </w:pPr>
    </w:p>
    <w:p w14:paraId="2D9D9C50">
      <w:pPr>
        <w:spacing w:before="101" w:line="213" w:lineRule="auto"/>
        <w:ind w:left="505"/>
        <w:rPr>
          <w:rFonts w:ascii="黑体" w:hAnsi="黑体" w:eastAsia="黑体" w:cs="黑体"/>
          <w:sz w:val="24"/>
          <w:szCs w:val="24"/>
        </w:rPr>
      </w:pPr>
      <w:r>
        <w:rPr>
          <w:rFonts w:ascii="黑体" w:hAnsi="黑体" w:eastAsia="黑体" w:cs="黑体"/>
          <w:spacing w:val="1"/>
          <w:sz w:val="24"/>
          <w:szCs w:val="24"/>
        </w:rPr>
        <w:t>1.4.5对供应商采取不同的资格审查或者评审标准；</w:t>
      </w:r>
    </w:p>
    <w:p w14:paraId="65862329">
      <w:pPr>
        <w:spacing w:before="191" w:line="213" w:lineRule="auto"/>
        <w:ind w:left="505"/>
        <w:rPr>
          <w:rFonts w:ascii="黑体" w:hAnsi="黑体" w:eastAsia="黑体" w:cs="黑体"/>
          <w:sz w:val="24"/>
          <w:szCs w:val="24"/>
        </w:rPr>
      </w:pPr>
      <w:r>
        <w:rPr>
          <w:rFonts w:ascii="黑体" w:hAnsi="黑体" w:eastAsia="黑体" w:cs="黑体"/>
          <w:spacing w:val="1"/>
          <w:sz w:val="24"/>
          <w:szCs w:val="24"/>
        </w:rPr>
        <w:t>1.4.6限定或者指定特定的专利、商标、品牌或者供应商；</w:t>
      </w:r>
    </w:p>
    <w:p w14:paraId="72DF1D59">
      <w:pPr>
        <w:spacing w:before="191" w:line="213" w:lineRule="auto"/>
        <w:ind w:left="505"/>
        <w:rPr>
          <w:rFonts w:ascii="黑体" w:hAnsi="黑体" w:eastAsia="黑体" w:cs="黑体"/>
          <w:sz w:val="24"/>
          <w:szCs w:val="24"/>
        </w:rPr>
      </w:pPr>
      <w:r>
        <w:rPr>
          <w:rFonts w:ascii="黑体" w:hAnsi="黑体" w:eastAsia="黑体" w:cs="黑体"/>
          <w:spacing w:val="1"/>
          <w:sz w:val="24"/>
          <w:szCs w:val="24"/>
        </w:rPr>
        <w:t>1.4.7非法限定供应商的所有制形式、组织形式或者所在地；</w:t>
      </w:r>
    </w:p>
    <w:p w14:paraId="2EF67631">
      <w:pPr>
        <w:spacing w:before="191" w:line="221" w:lineRule="auto"/>
        <w:ind w:left="505"/>
        <w:rPr>
          <w:rFonts w:ascii="黑体" w:hAnsi="黑体" w:eastAsia="黑体" w:cs="黑体"/>
          <w:sz w:val="24"/>
          <w:szCs w:val="24"/>
        </w:rPr>
      </w:pPr>
      <w:r>
        <w:rPr>
          <w:rFonts w:ascii="黑体" w:hAnsi="黑体" w:eastAsia="黑体" w:cs="黑体"/>
          <w:spacing w:val="1"/>
          <w:sz w:val="24"/>
          <w:szCs w:val="24"/>
        </w:rPr>
        <w:t>1.4.8以其他不合理条件限制或者排斥潜在供应商。</w:t>
      </w:r>
    </w:p>
    <w:p w14:paraId="4B04E24B">
      <w:pPr>
        <w:spacing w:before="180" w:line="213" w:lineRule="auto"/>
        <w:ind w:left="505"/>
        <w:rPr>
          <w:rFonts w:ascii="黑体" w:hAnsi="黑体" w:eastAsia="黑体" w:cs="黑体"/>
          <w:sz w:val="24"/>
          <w:szCs w:val="24"/>
        </w:rPr>
      </w:pPr>
      <w:r>
        <w:rPr>
          <w:rFonts w:ascii="黑体" w:hAnsi="黑体" w:eastAsia="黑体" w:cs="黑体"/>
          <w:spacing w:val="1"/>
          <w:sz w:val="24"/>
          <w:szCs w:val="24"/>
        </w:rPr>
        <w:t>1.5有下列情形之一的，视为供应商串通投标，其投标无效：</w:t>
      </w:r>
    </w:p>
    <w:p w14:paraId="662F5B67">
      <w:pPr>
        <w:spacing w:before="191" w:line="213" w:lineRule="auto"/>
        <w:ind w:left="505"/>
        <w:rPr>
          <w:rFonts w:ascii="黑体" w:hAnsi="黑体" w:eastAsia="黑体" w:cs="黑体"/>
          <w:sz w:val="24"/>
          <w:szCs w:val="24"/>
        </w:rPr>
      </w:pPr>
      <w:r>
        <w:rPr>
          <w:rFonts w:ascii="黑体" w:hAnsi="黑体" w:eastAsia="黑体" w:cs="黑体"/>
          <w:spacing w:val="1"/>
          <w:sz w:val="24"/>
          <w:szCs w:val="24"/>
        </w:rPr>
        <w:t>1.5.1不同供应商的响应文件由同一单位或者</w:t>
      </w:r>
      <w:r>
        <w:rPr>
          <w:rFonts w:ascii="黑体" w:hAnsi="黑体" w:eastAsia="黑体" w:cs="黑体"/>
          <w:sz w:val="24"/>
          <w:szCs w:val="24"/>
        </w:rPr>
        <w:t>个人编制；</w:t>
      </w:r>
    </w:p>
    <w:p w14:paraId="024A19D9">
      <w:pPr>
        <w:spacing w:before="191" w:line="213" w:lineRule="auto"/>
        <w:ind w:left="505"/>
        <w:rPr>
          <w:rFonts w:ascii="黑体" w:hAnsi="黑体" w:eastAsia="黑体" w:cs="黑体"/>
          <w:sz w:val="24"/>
          <w:szCs w:val="24"/>
        </w:rPr>
      </w:pPr>
      <w:r>
        <w:rPr>
          <w:rFonts w:ascii="黑体" w:hAnsi="黑体" w:eastAsia="黑体" w:cs="黑体"/>
          <w:spacing w:val="1"/>
          <w:sz w:val="24"/>
          <w:szCs w:val="24"/>
        </w:rPr>
        <w:t>1.5.2不同供应商委托同一单位或者个人办理</w:t>
      </w:r>
      <w:r>
        <w:rPr>
          <w:rFonts w:ascii="黑体" w:hAnsi="黑体" w:eastAsia="黑体" w:cs="黑体"/>
          <w:sz w:val="24"/>
          <w:szCs w:val="24"/>
        </w:rPr>
        <w:t>投标事宜；</w:t>
      </w:r>
    </w:p>
    <w:p w14:paraId="40878676">
      <w:pPr>
        <w:spacing w:before="191" w:line="213" w:lineRule="auto"/>
        <w:ind w:left="505"/>
        <w:rPr>
          <w:rFonts w:ascii="黑体" w:hAnsi="黑体" w:eastAsia="黑体" w:cs="黑体"/>
          <w:sz w:val="24"/>
          <w:szCs w:val="24"/>
        </w:rPr>
      </w:pPr>
      <w:r>
        <w:rPr>
          <w:rFonts w:ascii="黑体" w:hAnsi="黑体" w:eastAsia="黑体" w:cs="黑体"/>
          <w:spacing w:val="1"/>
          <w:sz w:val="24"/>
          <w:szCs w:val="24"/>
        </w:rPr>
        <w:t>1.5.3不同供应商的响应文件载明的项目管理成员或者联系人员为同一人；</w:t>
      </w:r>
    </w:p>
    <w:p w14:paraId="7ECA57D3">
      <w:pPr>
        <w:spacing w:before="191" w:line="213" w:lineRule="auto"/>
        <w:ind w:left="503"/>
        <w:rPr>
          <w:rFonts w:ascii="黑体" w:hAnsi="黑体" w:eastAsia="黑体" w:cs="黑体"/>
          <w:sz w:val="24"/>
          <w:szCs w:val="24"/>
        </w:rPr>
      </w:pPr>
      <w:r>
        <w:rPr>
          <w:rFonts w:ascii="黑体" w:hAnsi="黑体" w:eastAsia="黑体" w:cs="黑体"/>
          <w:spacing w:val="1"/>
          <w:sz w:val="24"/>
          <w:szCs w:val="24"/>
        </w:rPr>
        <w:t>1.5.4不同供应商的响应文件异常一致或者投标报价呈规律性差异；</w:t>
      </w:r>
    </w:p>
    <w:p w14:paraId="03F5E4C6">
      <w:pPr>
        <w:spacing w:before="191" w:line="213" w:lineRule="auto"/>
        <w:ind w:left="503"/>
        <w:rPr>
          <w:rFonts w:ascii="黑体" w:hAnsi="黑体" w:eastAsia="黑体" w:cs="黑体"/>
          <w:sz w:val="24"/>
          <w:szCs w:val="24"/>
        </w:rPr>
      </w:pPr>
      <w:r>
        <w:rPr>
          <w:rFonts w:ascii="黑体" w:hAnsi="黑体" w:eastAsia="黑体" w:cs="黑体"/>
          <w:sz w:val="24"/>
          <w:szCs w:val="24"/>
        </w:rPr>
        <w:t>1.5.5不同供应商的响应文件相互混装；</w:t>
      </w:r>
    </w:p>
    <w:p w14:paraId="0C20A5CB">
      <w:pPr>
        <w:spacing w:before="191" w:line="221" w:lineRule="auto"/>
        <w:ind w:left="503"/>
        <w:rPr>
          <w:rFonts w:ascii="黑体" w:hAnsi="黑体" w:eastAsia="黑体" w:cs="黑体"/>
          <w:sz w:val="24"/>
          <w:szCs w:val="24"/>
        </w:rPr>
      </w:pPr>
      <w:r>
        <w:rPr>
          <w:rFonts w:ascii="黑体" w:hAnsi="黑体" w:eastAsia="黑体" w:cs="黑体"/>
          <w:spacing w:val="1"/>
          <w:sz w:val="24"/>
          <w:szCs w:val="24"/>
        </w:rPr>
        <w:t>1.5.6不同供应商的投标保证金从同一单位或者个人的账户转出。</w:t>
      </w:r>
    </w:p>
    <w:p w14:paraId="51B6A094">
      <w:pPr>
        <w:spacing w:before="180" w:line="213" w:lineRule="auto"/>
        <w:jc w:val="right"/>
        <w:rPr>
          <w:rFonts w:ascii="黑体" w:hAnsi="黑体" w:eastAsia="黑体" w:cs="黑体"/>
          <w:sz w:val="24"/>
          <w:szCs w:val="24"/>
        </w:rPr>
      </w:pPr>
      <w:r>
        <w:rPr>
          <w:rFonts w:ascii="黑体" w:hAnsi="黑体" w:eastAsia="黑体" w:cs="黑体"/>
          <w:spacing w:val="-3"/>
          <w:sz w:val="24"/>
          <w:szCs w:val="24"/>
        </w:rPr>
        <w:t>1.6供应商在本次采购活动中，必须遵循《中华人民共和国政府采购法实施条例》</w:t>
      </w:r>
    </w:p>
    <w:p w14:paraId="476FB460">
      <w:pPr>
        <w:spacing w:before="191" w:line="219" w:lineRule="auto"/>
        <w:ind w:left="4"/>
        <w:rPr>
          <w:rFonts w:ascii="黑体" w:hAnsi="黑体" w:eastAsia="黑体" w:cs="黑体"/>
          <w:sz w:val="24"/>
          <w:szCs w:val="24"/>
        </w:rPr>
      </w:pPr>
      <w:r>
        <w:rPr>
          <w:rFonts w:ascii="黑体" w:hAnsi="黑体" w:eastAsia="黑体" w:cs="黑体"/>
          <w:spacing w:val="1"/>
          <w:sz w:val="24"/>
          <w:szCs w:val="24"/>
        </w:rPr>
        <w:t>等相关法令、法规的规定。</w:t>
      </w:r>
    </w:p>
    <w:p w14:paraId="2B0364FD">
      <w:pPr>
        <w:spacing w:before="183" w:line="223" w:lineRule="auto"/>
        <w:ind w:left="4"/>
        <w:rPr>
          <w:rFonts w:ascii="黑体" w:hAnsi="黑体" w:eastAsia="黑体" w:cs="黑体"/>
          <w:sz w:val="24"/>
          <w:szCs w:val="24"/>
        </w:rPr>
      </w:pPr>
      <w:r>
        <w:rPr>
          <w:rFonts w:ascii="黑体" w:hAnsi="黑体" w:eastAsia="黑体" w:cs="黑体"/>
          <w:spacing w:val="-4"/>
          <w:sz w:val="24"/>
          <w:szCs w:val="24"/>
          <w14:textOutline w14:w="4358" w14:cap="sq" w14:cmpd="sng">
            <w14:solidFill>
              <w14:srgbClr w14:val="000000"/>
            </w14:solidFill>
            <w14:prstDash w14:val="solid"/>
            <w14:bevel/>
          </w14:textOutline>
        </w:rPr>
        <w:t>2定义</w:t>
      </w:r>
    </w:p>
    <w:p w14:paraId="03963EB6">
      <w:pPr>
        <w:spacing w:before="178" w:line="222" w:lineRule="auto"/>
        <w:ind w:left="491"/>
        <w:rPr>
          <w:rFonts w:ascii="黑体" w:hAnsi="黑体" w:eastAsia="黑体" w:cs="黑体"/>
          <w:sz w:val="24"/>
          <w:szCs w:val="24"/>
        </w:rPr>
      </w:pPr>
      <w:r>
        <w:rPr>
          <w:rFonts w:ascii="黑体" w:hAnsi="黑体" w:eastAsia="黑体" w:cs="黑体"/>
          <w:spacing w:val="2"/>
          <w:sz w:val="24"/>
          <w:szCs w:val="24"/>
        </w:rPr>
        <w:t>2.1“采购人”系指依法进行政府采购的国家机关、事业单位、团体组织。</w:t>
      </w:r>
    </w:p>
    <w:p w14:paraId="77F9F765">
      <w:pPr>
        <w:spacing w:before="180" w:line="468" w:lineRule="exact"/>
        <w:ind w:left="491"/>
        <w:rPr>
          <w:rFonts w:ascii="黑体" w:hAnsi="黑体" w:eastAsia="黑体" w:cs="黑体"/>
          <w:sz w:val="24"/>
          <w:szCs w:val="24"/>
        </w:rPr>
      </w:pPr>
      <w:r>
        <w:rPr>
          <w:rFonts w:ascii="黑体" w:hAnsi="黑体" w:eastAsia="黑体" w:cs="黑体"/>
          <w:spacing w:val="4"/>
          <w:position w:val="17"/>
          <w:sz w:val="24"/>
          <w:szCs w:val="24"/>
        </w:rPr>
        <w:t>2.2“采购代理机构”系指具备一定条件，经政府有关部门批准而依法拥有政府</w:t>
      </w:r>
    </w:p>
    <w:p w14:paraId="6209762C">
      <w:pPr>
        <w:spacing w:before="1" w:line="221" w:lineRule="auto"/>
        <w:ind w:left="4"/>
        <w:rPr>
          <w:rFonts w:ascii="黑体" w:hAnsi="黑体" w:eastAsia="黑体" w:cs="黑体"/>
          <w:sz w:val="24"/>
          <w:szCs w:val="24"/>
        </w:rPr>
      </w:pPr>
      <w:r>
        <w:rPr>
          <w:rFonts w:ascii="黑体" w:hAnsi="黑体" w:eastAsia="黑体" w:cs="黑体"/>
          <w:spacing w:val="1"/>
          <w:sz w:val="24"/>
          <w:szCs w:val="24"/>
        </w:rPr>
        <w:t>采购代理资格的社会中介机构。</w:t>
      </w:r>
    </w:p>
    <w:p w14:paraId="760B2EC7">
      <w:pPr>
        <w:spacing w:before="63" w:line="377" w:lineRule="auto"/>
        <w:ind w:left="9" w:right="114" w:firstLine="482"/>
        <w:rPr>
          <w:rFonts w:ascii="黑体" w:hAnsi="黑体" w:eastAsia="黑体" w:cs="黑体"/>
          <w:sz w:val="24"/>
          <w:szCs w:val="24"/>
        </w:rPr>
      </w:pPr>
      <w:r>
        <w:rPr>
          <w:rFonts w:ascii="黑体" w:hAnsi="黑体" w:eastAsia="黑体" w:cs="黑体"/>
          <w:spacing w:val="4"/>
          <w:sz w:val="24"/>
          <w:szCs w:val="24"/>
        </w:rPr>
        <w:t>2.3“供应商”系指参加政府采购市场的合法供应</w:t>
      </w:r>
      <w:r>
        <w:fldChar w:fldCharType="begin"/>
      </w:r>
      <w:r>
        <w:instrText xml:space="preserve">HYPERLINK"https://baike.baidu.com/item/%E4%B8%BB%E4%BD%93/2888766"</w:instrText>
      </w:r>
      <w:r>
        <w:fldChar w:fldCharType="separate"/>
      </w:r>
      <w:r>
        <w:rPr>
          <w:rFonts w:ascii="黑体" w:hAnsi="黑体" w:eastAsia="黑体" w:cs="黑体"/>
          <w:spacing w:val="4"/>
          <w:sz w:val="24"/>
          <w:szCs w:val="24"/>
        </w:rPr>
        <w:t>主体</w:t>
      </w:r>
      <w:r>
        <w:rPr>
          <w:rFonts w:ascii="黑体" w:hAnsi="黑体" w:eastAsia="黑体" w:cs="黑体"/>
          <w:spacing w:val="4"/>
          <w:sz w:val="24"/>
          <w:szCs w:val="24"/>
        </w:rPr>
        <w:fldChar w:fldCharType="end"/>
      </w:r>
      <w:r>
        <w:rPr>
          <w:rFonts w:ascii="黑体" w:hAnsi="黑体" w:eastAsia="黑体" w:cs="黑体"/>
          <w:spacing w:val="4"/>
          <w:sz w:val="24"/>
          <w:szCs w:val="24"/>
        </w:rPr>
        <w:t>，具体是指向采购人提供</w:t>
      </w:r>
      <w:r>
        <w:rPr>
          <w:rFonts w:ascii="黑体" w:hAnsi="黑体" w:eastAsia="黑体" w:cs="黑体"/>
          <w:spacing w:val="1"/>
          <w:sz w:val="24"/>
          <w:szCs w:val="24"/>
        </w:rPr>
        <w:t>货物、工程或者服务的法人、其他组织或者</w:t>
      </w:r>
      <w:r>
        <w:fldChar w:fldCharType="begin"/>
      </w:r>
      <w:r>
        <w:instrText xml:space="preserve">HYPERLINK"https://baike.baidu.com/item/%E8%87%AA%E7%84%B6%E4%BA%BA/1465"</w:instrText>
      </w:r>
      <w:r>
        <w:fldChar w:fldCharType="separate"/>
      </w:r>
      <w:r>
        <w:rPr>
          <w:rFonts w:ascii="黑体" w:hAnsi="黑体" w:eastAsia="黑体" w:cs="黑体"/>
          <w:spacing w:val="1"/>
          <w:sz w:val="24"/>
          <w:szCs w:val="24"/>
        </w:rPr>
        <w:t>自然人</w:t>
      </w:r>
      <w:r>
        <w:rPr>
          <w:rFonts w:ascii="黑体" w:hAnsi="黑体" w:eastAsia="黑体" w:cs="黑体"/>
          <w:spacing w:val="1"/>
          <w:sz w:val="24"/>
          <w:szCs w:val="24"/>
        </w:rPr>
        <w:fldChar w:fldCharType="end"/>
      </w:r>
      <w:r>
        <w:rPr>
          <w:rFonts w:ascii="黑体" w:hAnsi="黑体" w:eastAsia="黑体" w:cs="黑体"/>
          <w:spacing w:val="1"/>
          <w:sz w:val="24"/>
          <w:szCs w:val="24"/>
        </w:rPr>
        <w:t>。</w:t>
      </w:r>
    </w:p>
    <w:p w14:paraId="5D9527C5">
      <w:pPr>
        <w:spacing w:before="72" w:line="468" w:lineRule="exact"/>
        <w:ind w:left="491"/>
        <w:rPr>
          <w:rFonts w:ascii="黑体" w:hAnsi="黑体" w:eastAsia="黑体" w:cs="黑体"/>
          <w:sz w:val="24"/>
          <w:szCs w:val="24"/>
        </w:rPr>
      </w:pPr>
      <w:r>
        <w:rPr>
          <w:rFonts w:ascii="黑体" w:hAnsi="黑体" w:eastAsia="黑体" w:cs="黑体"/>
          <w:spacing w:val="4"/>
          <w:position w:val="17"/>
          <w:sz w:val="24"/>
          <w:szCs w:val="24"/>
        </w:rPr>
        <w:t>2.4“采购”是指以合同方式有偿取得货物、工程或者服务的行为，包括购买、</w:t>
      </w:r>
    </w:p>
    <w:p w14:paraId="72E6CA1C">
      <w:pPr>
        <w:spacing w:before="1" w:line="222" w:lineRule="auto"/>
        <w:ind w:left="11"/>
        <w:rPr>
          <w:rFonts w:ascii="黑体" w:hAnsi="黑体" w:eastAsia="黑体" w:cs="黑体"/>
          <w:sz w:val="24"/>
          <w:szCs w:val="24"/>
        </w:rPr>
      </w:pPr>
      <w:r>
        <w:rPr>
          <w:rFonts w:ascii="黑体" w:hAnsi="黑体" w:eastAsia="黑体" w:cs="黑体"/>
          <w:sz w:val="24"/>
          <w:szCs w:val="24"/>
        </w:rPr>
        <w:t>租赁、委托、雇用等。</w:t>
      </w:r>
    </w:p>
    <w:p w14:paraId="39D5E8E0">
      <w:pPr>
        <w:spacing w:before="179" w:line="213" w:lineRule="auto"/>
        <w:ind w:left="491"/>
        <w:rPr>
          <w:rFonts w:ascii="黑体" w:hAnsi="黑体" w:eastAsia="黑体" w:cs="黑体"/>
          <w:sz w:val="24"/>
          <w:szCs w:val="24"/>
        </w:rPr>
      </w:pPr>
      <w:r>
        <w:rPr>
          <w:rFonts w:ascii="黑体" w:hAnsi="黑体" w:eastAsia="黑体" w:cs="黑体"/>
          <w:spacing w:val="2"/>
          <w:sz w:val="24"/>
          <w:szCs w:val="24"/>
        </w:rPr>
        <w:t>2.5“货物”是指各种形态和种类的物品，包括原材料、燃料、设备、产品等。</w:t>
      </w:r>
    </w:p>
    <w:p w14:paraId="2C2BA7F1">
      <w:pPr>
        <w:spacing w:before="191" w:line="468" w:lineRule="exact"/>
        <w:ind w:left="491"/>
        <w:rPr>
          <w:rFonts w:ascii="黑体" w:hAnsi="黑体" w:eastAsia="黑体" w:cs="黑体"/>
          <w:sz w:val="24"/>
          <w:szCs w:val="24"/>
        </w:rPr>
      </w:pPr>
      <w:r>
        <w:rPr>
          <w:rFonts w:ascii="黑体" w:hAnsi="黑体" w:eastAsia="黑体" w:cs="黑体"/>
          <w:spacing w:val="4"/>
          <w:position w:val="17"/>
          <w:sz w:val="24"/>
          <w:szCs w:val="24"/>
        </w:rPr>
        <w:t>2.6“服务”是指除货物和工程以外的其他政府采购对象，包括政府自身需要的</w:t>
      </w:r>
    </w:p>
    <w:p w14:paraId="27CC994D">
      <w:pPr>
        <w:spacing w:before="1" w:line="220" w:lineRule="auto"/>
        <w:ind w:left="5"/>
        <w:rPr>
          <w:rFonts w:ascii="黑体" w:hAnsi="黑体" w:eastAsia="黑体" w:cs="黑体"/>
          <w:sz w:val="24"/>
          <w:szCs w:val="24"/>
        </w:rPr>
      </w:pPr>
      <w:r>
        <w:rPr>
          <w:rFonts w:ascii="黑体" w:hAnsi="黑体" w:eastAsia="黑体" w:cs="黑体"/>
          <w:spacing w:val="1"/>
          <w:sz w:val="24"/>
          <w:szCs w:val="24"/>
        </w:rPr>
        <w:t>服务和政府向社会公众提供的公共服务。</w:t>
      </w:r>
    </w:p>
    <w:p w14:paraId="112DA19B">
      <w:pPr>
        <w:spacing w:before="181" w:line="468" w:lineRule="exact"/>
        <w:ind w:left="491"/>
        <w:rPr>
          <w:rFonts w:ascii="黑体" w:hAnsi="黑体" w:eastAsia="黑体" w:cs="黑体"/>
          <w:sz w:val="24"/>
          <w:szCs w:val="24"/>
        </w:rPr>
      </w:pPr>
      <w:r>
        <w:rPr>
          <w:rFonts w:ascii="黑体" w:hAnsi="黑体" w:eastAsia="黑体" w:cs="黑体"/>
          <w:spacing w:val="-2"/>
          <w:position w:val="17"/>
          <w:sz w:val="24"/>
          <w:szCs w:val="24"/>
        </w:rPr>
        <w:t>2.7“竞争性磋商文件”系指由采购人向供应商发</w:t>
      </w:r>
      <w:r>
        <w:rPr>
          <w:rFonts w:ascii="黑体" w:hAnsi="黑体" w:eastAsia="黑体" w:cs="黑体"/>
          <w:spacing w:val="-3"/>
          <w:position w:val="17"/>
          <w:sz w:val="24"/>
          <w:szCs w:val="24"/>
        </w:rPr>
        <w:t>出的本采购项目的全部文件（包</w:t>
      </w:r>
    </w:p>
    <w:p w14:paraId="32616C88">
      <w:pPr>
        <w:spacing w:before="1" w:line="220" w:lineRule="auto"/>
        <w:ind w:left="6"/>
        <w:rPr>
          <w:rFonts w:ascii="黑体" w:hAnsi="黑体" w:eastAsia="黑体" w:cs="黑体"/>
          <w:sz w:val="24"/>
          <w:szCs w:val="24"/>
        </w:rPr>
      </w:pPr>
      <w:r>
        <w:rPr>
          <w:rFonts w:ascii="黑体" w:hAnsi="黑体" w:eastAsia="黑体" w:cs="黑体"/>
          <w:spacing w:val="2"/>
          <w:sz w:val="24"/>
          <w:szCs w:val="24"/>
        </w:rPr>
        <w:t>括修改文件、补充文件、答疑纪要、各种通知和附件</w:t>
      </w:r>
      <w:r>
        <w:rPr>
          <w:rFonts w:ascii="黑体" w:hAnsi="黑体" w:eastAsia="黑体" w:cs="黑体"/>
          <w:spacing w:val="1"/>
          <w:sz w:val="24"/>
          <w:szCs w:val="24"/>
        </w:rPr>
        <w:t>等）。</w:t>
      </w:r>
    </w:p>
    <w:p w14:paraId="3AD4837F">
      <w:pPr>
        <w:spacing w:before="180" w:line="222" w:lineRule="auto"/>
        <w:ind w:left="491"/>
        <w:rPr>
          <w:rFonts w:ascii="黑体" w:hAnsi="黑体" w:eastAsia="黑体" w:cs="黑体"/>
          <w:sz w:val="24"/>
          <w:szCs w:val="24"/>
        </w:rPr>
      </w:pPr>
      <w:r>
        <w:rPr>
          <w:rFonts w:ascii="黑体" w:hAnsi="黑体" w:eastAsia="黑体" w:cs="黑体"/>
          <w:spacing w:val="2"/>
          <w:sz w:val="24"/>
          <w:szCs w:val="24"/>
        </w:rPr>
        <w:t>2.8“响应文件”系指供应商根据竞争性磋商文件提交的所有文件。</w:t>
      </w:r>
    </w:p>
    <w:p w14:paraId="1FFFBB89">
      <w:pPr>
        <w:spacing w:before="180" w:line="468" w:lineRule="exact"/>
        <w:ind w:left="6"/>
        <w:rPr>
          <w:rFonts w:ascii="黑体" w:hAnsi="黑体" w:eastAsia="黑体" w:cs="黑体"/>
          <w:sz w:val="24"/>
          <w:szCs w:val="24"/>
        </w:rPr>
      </w:pPr>
      <w:r>
        <w:rPr>
          <w:rFonts w:ascii="黑体" w:hAnsi="黑体" w:eastAsia="黑体" w:cs="黑体"/>
          <w:spacing w:val="-1"/>
          <w:position w:val="17"/>
          <w:sz w:val="24"/>
          <w:szCs w:val="24"/>
          <w14:textOutline w14:w="4358" w14:cap="sq" w14:cmpd="sng">
            <w14:solidFill>
              <w14:srgbClr w14:val="000000"/>
            </w14:solidFill>
            <w14:prstDash w14:val="solid"/>
            <w14:bevel/>
          </w14:textOutline>
        </w:rPr>
        <w:t>3文件费用:无。</w:t>
      </w:r>
    </w:p>
    <w:p w14:paraId="10F27FF0">
      <w:pPr>
        <w:spacing w:before="1" w:line="222" w:lineRule="auto"/>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4采购内容</w:t>
      </w:r>
    </w:p>
    <w:p w14:paraId="32526AB0">
      <w:pPr>
        <w:spacing w:before="179" w:line="221" w:lineRule="auto"/>
        <w:ind w:left="487"/>
        <w:rPr>
          <w:rFonts w:ascii="黑体" w:hAnsi="黑体" w:eastAsia="黑体" w:cs="黑体"/>
          <w:sz w:val="24"/>
          <w:szCs w:val="24"/>
        </w:rPr>
      </w:pPr>
      <w:r>
        <w:rPr>
          <w:rFonts w:ascii="黑体" w:hAnsi="黑体" w:eastAsia="黑体" w:cs="黑体"/>
          <w:spacing w:val="1"/>
          <w:sz w:val="24"/>
          <w:szCs w:val="24"/>
        </w:rPr>
        <w:t>4.1采购内容：供应商须知前附表。</w:t>
      </w:r>
    </w:p>
    <w:p w14:paraId="1B29F51A">
      <w:pPr>
        <w:spacing w:line="221" w:lineRule="auto"/>
        <w:rPr>
          <w:rFonts w:ascii="黑体" w:hAnsi="黑体" w:eastAsia="黑体" w:cs="黑体"/>
          <w:sz w:val="24"/>
          <w:szCs w:val="24"/>
        </w:rPr>
        <w:sectPr>
          <w:footerReference r:id="rId8" w:type="default"/>
          <w:pgSz w:w="11906" w:h="16839"/>
          <w:pgMar w:top="1431" w:right="1447" w:bottom="1012" w:left="1418" w:header="0" w:footer="850" w:gutter="0"/>
          <w:cols w:space="720" w:num="1"/>
        </w:sectPr>
      </w:pPr>
    </w:p>
    <w:p w14:paraId="326D1C33">
      <w:pPr>
        <w:spacing w:before="101" w:line="213" w:lineRule="auto"/>
        <w:ind w:left="486"/>
        <w:rPr>
          <w:rFonts w:ascii="黑体" w:hAnsi="黑体" w:eastAsia="黑体" w:cs="黑体"/>
          <w:sz w:val="24"/>
          <w:szCs w:val="24"/>
        </w:rPr>
      </w:pPr>
      <w:r>
        <w:rPr>
          <w:rFonts w:ascii="黑体" w:hAnsi="黑体" w:eastAsia="黑体" w:cs="黑体"/>
          <w:spacing w:val="2"/>
          <w:sz w:val="24"/>
          <w:szCs w:val="24"/>
        </w:rPr>
        <w:t>4.2采购项目名称、数量、技术规格要求详见工程量清单；</w:t>
      </w:r>
    </w:p>
    <w:p w14:paraId="35819C85">
      <w:pPr>
        <w:spacing w:before="190" w:line="222" w:lineRule="auto"/>
        <w:ind w:left="486"/>
        <w:rPr>
          <w:rFonts w:ascii="黑体" w:hAnsi="黑体" w:eastAsia="黑体" w:cs="黑体"/>
          <w:sz w:val="24"/>
          <w:szCs w:val="24"/>
        </w:rPr>
      </w:pPr>
      <w:r>
        <w:rPr>
          <w:rFonts w:ascii="黑体" w:hAnsi="黑体" w:eastAsia="黑体" w:cs="黑体"/>
          <w:spacing w:val="1"/>
          <w:sz w:val="24"/>
          <w:szCs w:val="24"/>
        </w:rPr>
        <w:t>4.3在采购活动中的标准按国家现行规定（国际标准、国家标准、部标或行业标</w:t>
      </w:r>
    </w:p>
    <w:p w14:paraId="1082E69D">
      <w:pPr>
        <w:spacing w:before="180" w:line="219" w:lineRule="auto"/>
        <w:ind w:left="6"/>
        <w:rPr>
          <w:rFonts w:ascii="黑体" w:hAnsi="黑体" w:eastAsia="黑体" w:cs="黑体"/>
          <w:sz w:val="24"/>
          <w:szCs w:val="24"/>
        </w:rPr>
      </w:pPr>
      <w:r>
        <w:rPr>
          <w:rFonts w:ascii="黑体" w:hAnsi="黑体" w:eastAsia="黑体" w:cs="黑体"/>
          <w:spacing w:val="-1"/>
          <w:sz w:val="24"/>
          <w:szCs w:val="24"/>
        </w:rPr>
        <w:t>准）执行。</w:t>
      </w:r>
    </w:p>
    <w:p w14:paraId="2E1B42E9">
      <w:pPr>
        <w:spacing w:before="182" w:line="221" w:lineRule="auto"/>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5有关说明</w:t>
      </w:r>
    </w:p>
    <w:p w14:paraId="29F55D2A">
      <w:pPr>
        <w:spacing w:before="180" w:line="468" w:lineRule="exact"/>
        <w:ind w:left="487"/>
        <w:rPr>
          <w:rFonts w:ascii="黑体" w:hAnsi="黑体" w:eastAsia="黑体" w:cs="黑体"/>
          <w:sz w:val="24"/>
          <w:szCs w:val="24"/>
        </w:rPr>
      </w:pPr>
      <w:r>
        <w:rPr>
          <w:rFonts w:ascii="黑体" w:hAnsi="黑体" w:eastAsia="黑体" w:cs="黑体"/>
          <w:spacing w:val="1"/>
          <w:position w:val="17"/>
          <w:sz w:val="24"/>
          <w:szCs w:val="24"/>
        </w:rPr>
        <w:t>5.1规范要求和实际需要的内容，在竞争性磋商文件中有漏项，务请在</w:t>
      </w:r>
      <w:r>
        <w:rPr>
          <w:rFonts w:ascii="黑体" w:hAnsi="黑体" w:eastAsia="黑体" w:cs="黑体"/>
          <w:position w:val="17"/>
          <w:sz w:val="24"/>
          <w:szCs w:val="24"/>
        </w:rPr>
        <w:t>响应文件</w:t>
      </w:r>
    </w:p>
    <w:p w14:paraId="16E1EAC2">
      <w:pPr>
        <w:spacing w:before="1" w:line="212" w:lineRule="auto"/>
        <w:ind w:left="24"/>
        <w:rPr>
          <w:rFonts w:ascii="黑体" w:hAnsi="黑体" w:eastAsia="黑体" w:cs="黑体"/>
          <w:sz w:val="24"/>
          <w:szCs w:val="24"/>
        </w:rPr>
      </w:pPr>
      <w:r>
        <w:rPr>
          <w:rFonts w:ascii="黑体" w:hAnsi="黑体" w:eastAsia="黑体" w:cs="黑体"/>
          <w:sz w:val="24"/>
          <w:szCs w:val="24"/>
        </w:rPr>
        <w:t>中指出，并提供解决方案作实质性响应。</w:t>
      </w:r>
    </w:p>
    <w:p w14:paraId="2ABCC93E">
      <w:pPr>
        <w:spacing w:before="192" w:line="468" w:lineRule="exact"/>
        <w:ind w:left="487"/>
        <w:rPr>
          <w:rFonts w:ascii="黑体" w:hAnsi="黑体" w:eastAsia="黑体" w:cs="黑体"/>
          <w:sz w:val="24"/>
          <w:szCs w:val="24"/>
        </w:rPr>
      </w:pPr>
      <w:r>
        <w:rPr>
          <w:rFonts w:ascii="黑体" w:hAnsi="黑体" w:eastAsia="黑体" w:cs="黑体"/>
          <w:spacing w:val="1"/>
          <w:position w:val="17"/>
          <w:sz w:val="24"/>
          <w:szCs w:val="24"/>
        </w:rPr>
        <w:t>5.2供应商根据采购文件载明的标的采购项目实际情况，拟在中标后将中标</w:t>
      </w:r>
      <w:r>
        <w:rPr>
          <w:rFonts w:ascii="黑体" w:hAnsi="黑体" w:eastAsia="黑体" w:cs="黑体"/>
          <w:position w:val="17"/>
          <w:sz w:val="24"/>
          <w:szCs w:val="24"/>
        </w:rPr>
        <w:t>项目</w:t>
      </w:r>
    </w:p>
    <w:p w14:paraId="6B9DE0A8">
      <w:pPr>
        <w:spacing w:before="1" w:line="212" w:lineRule="auto"/>
        <w:ind w:left="18"/>
        <w:rPr>
          <w:rFonts w:ascii="黑体" w:hAnsi="黑体" w:eastAsia="黑体" w:cs="黑体"/>
          <w:sz w:val="24"/>
          <w:szCs w:val="24"/>
        </w:rPr>
      </w:pPr>
      <w:r>
        <w:rPr>
          <w:rFonts w:ascii="黑体" w:hAnsi="黑体" w:eastAsia="黑体" w:cs="黑体"/>
          <w:spacing w:val="1"/>
          <w:sz w:val="24"/>
          <w:szCs w:val="24"/>
        </w:rPr>
        <w:t>的非主体、非关键性工作交由他人完成的，应当在投标文件中载明。</w:t>
      </w:r>
    </w:p>
    <w:p w14:paraId="5A344D59">
      <w:pPr>
        <w:spacing w:before="191" w:line="221" w:lineRule="auto"/>
        <w:ind w:left="487"/>
        <w:rPr>
          <w:rFonts w:ascii="黑体" w:hAnsi="黑体" w:eastAsia="黑体" w:cs="黑体"/>
          <w:sz w:val="24"/>
          <w:szCs w:val="24"/>
        </w:rPr>
      </w:pPr>
      <w:r>
        <w:rPr>
          <w:rFonts w:ascii="黑体" w:hAnsi="黑体" w:eastAsia="黑体" w:cs="黑体"/>
          <w:spacing w:val="2"/>
          <w:sz w:val="24"/>
          <w:szCs w:val="24"/>
        </w:rPr>
        <w:t>5.3供应商应提供该项目技术支持和服务承</w:t>
      </w:r>
      <w:r>
        <w:rPr>
          <w:rFonts w:ascii="黑体" w:hAnsi="黑体" w:eastAsia="黑体" w:cs="黑体"/>
          <w:spacing w:val="1"/>
          <w:sz w:val="24"/>
          <w:szCs w:val="24"/>
        </w:rPr>
        <w:t>诺书。</w:t>
      </w:r>
    </w:p>
    <w:p w14:paraId="7C80201B">
      <w:pPr>
        <w:pStyle w:val="5"/>
        <w:spacing w:line="255" w:lineRule="auto"/>
      </w:pPr>
    </w:p>
    <w:p w14:paraId="3E9322E4">
      <w:pPr>
        <w:pStyle w:val="5"/>
        <w:spacing w:line="255" w:lineRule="auto"/>
      </w:pPr>
    </w:p>
    <w:p w14:paraId="44B248F2">
      <w:pPr>
        <w:pStyle w:val="5"/>
        <w:spacing w:line="255" w:lineRule="auto"/>
      </w:pPr>
    </w:p>
    <w:p w14:paraId="1A9228B2">
      <w:pPr>
        <w:spacing w:before="91" w:line="222" w:lineRule="auto"/>
        <w:ind w:left="3201"/>
        <w:rPr>
          <w:rFonts w:ascii="黑体" w:hAnsi="黑体" w:eastAsia="黑体" w:cs="黑体"/>
          <w:sz w:val="28"/>
          <w:szCs w:val="28"/>
        </w:rPr>
      </w:pPr>
      <w:r>
        <w:rPr>
          <w:rFonts w:ascii="黑体" w:hAnsi="黑体" w:eastAsia="黑体" w:cs="黑体"/>
          <w:spacing w:val="1"/>
          <w:sz w:val="28"/>
          <w:szCs w:val="28"/>
          <w14:textOutline w14:w="5103" w14:cap="sq" w14:cmpd="sng">
            <w14:solidFill>
              <w14:srgbClr w14:val="000000"/>
            </w14:solidFill>
            <w14:prstDash w14:val="solid"/>
            <w14:bevel/>
          </w14:textOutline>
        </w:rPr>
        <w:t>二、竞争性磋商文件</w:t>
      </w:r>
    </w:p>
    <w:p w14:paraId="2610F6E6">
      <w:pPr>
        <w:spacing w:before="231" w:line="222" w:lineRule="auto"/>
        <w:ind w:left="4"/>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6竞争性磋商文件</w:t>
      </w:r>
    </w:p>
    <w:p w14:paraId="34216D6C">
      <w:pPr>
        <w:spacing w:before="180" w:line="468" w:lineRule="exact"/>
        <w:ind w:left="491"/>
        <w:rPr>
          <w:rFonts w:ascii="黑体" w:hAnsi="黑体" w:eastAsia="黑体" w:cs="黑体"/>
          <w:sz w:val="24"/>
          <w:szCs w:val="24"/>
        </w:rPr>
      </w:pPr>
      <w:r>
        <w:rPr>
          <w:rFonts w:ascii="黑体" w:hAnsi="黑体" w:eastAsia="黑体" w:cs="黑体"/>
          <w:spacing w:val="1"/>
          <w:position w:val="17"/>
          <w:sz w:val="24"/>
          <w:szCs w:val="24"/>
        </w:rPr>
        <w:t>6.1竞争性磋商文件用以阐明所需货物、工程或者服务采购程序和</w:t>
      </w:r>
      <w:r>
        <w:rPr>
          <w:rFonts w:ascii="黑体" w:hAnsi="黑体" w:eastAsia="黑体" w:cs="黑体"/>
          <w:position w:val="17"/>
          <w:sz w:val="24"/>
          <w:szCs w:val="24"/>
        </w:rPr>
        <w:t>商务合同主要</w:t>
      </w:r>
    </w:p>
    <w:p w14:paraId="09CC373E">
      <w:pPr>
        <w:spacing w:before="1" w:line="212" w:lineRule="auto"/>
        <w:ind w:left="6"/>
        <w:rPr>
          <w:rFonts w:ascii="黑体" w:hAnsi="黑体" w:eastAsia="黑体" w:cs="黑体"/>
          <w:sz w:val="24"/>
          <w:szCs w:val="24"/>
        </w:rPr>
      </w:pPr>
      <w:r>
        <w:rPr>
          <w:rFonts w:ascii="黑体" w:hAnsi="黑体" w:eastAsia="黑体" w:cs="黑体"/>
          <w:spacing w:val="-1"/>
          <w:sz w:val="24"/>
          <w:szCs w:val="24"/>
        </w:rPr>
        <w:t>条款，包括：</w:t>
      </w:r>
    </w:p>
    <w:p w14:paraId="3BE1F784">
      <w:pPr>
        <w:spacing w:before="191" w:line="468" w:lineRule="exact"/>
        <w:ind w:left="492"/>
        <w:rPr>
          <w:rFonts w:ascii="黑体" w:hAnsi="黑体" w:eastAsia="黑体" w:cs="黑体"/>
          <w:sz w:val="24"/>
          <w:szCs w:val="24"/>
        </w:rPr>
      </w:pPr>
      <w:r>
        <w:rPr>
          <w:rFonts w:ascii="黑体" w:hAnsi="黑体" w:eastAsia="黑体" w:cs="黑体"/>
          <w:spacing w:val="2"/>
          <w:position w:val="17"/>
          <w:sz w:val="24"/>
          <w:szCs w:val="24"/>
          <w14:textOutline w14:w="4358" w14:cap="sq" w14:cmpd="sng">
            <w14:solidFill>
              <w14:srgbClr w14:val="000000"/>
            </w14:solidFill>
            <w14:prstDash w14:val="solid"/>
            <w14:bevel/>
          </w14:textOutline>
        </w:rPr>
        <w:t>第一章竞争性磋商公告</w:t>
      </w:r>
    </w:p>
    <w:p w14:paraId="7FE90E67">
      <w:pPr>
        <w:spacing w:before="1" w:line="220" w:lineRule="auto"/>
        <w:ind w:left="492"/>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第二章供应商须知</w:t>
      </w:r>
    </w:p>
    <w:p w14:paraId="7D5936AB">
      <w:pPr>
        <w:spacing w:before="181" w:line="221" w:lineRule="auto"/>
        <w:ind w:left="1343"/>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供应商须知前附表</w:t>
      </w:r>
    </w:p>
    <w:p w14:paraId="313AF26C">
      <w:pPr>
        <w:spacing w:before="181" w:line="468" w:lineRule="exact"/>
        <w:ind w:left="1343"/>
        <w:rPr>
          <w:rFonts w:ascii="黑体" w:hAnsi="黑体" w:eastAsia="黑体" w:cs="黑体"/>
          <w:sz w:val="24"/>
          <w:szCs w:val="24"/>
        </w:rPr>
      </w:pPr>
      <w:r>
        <w:rPr>
          <w:rFonts w:ascii="黑体" w:hAnsi="黑体" w:eastAsia="黑体" w:cs="黑体"/>
          <w:spacing w:val="2"/>
          <w:position w:val="17"/>
          <w:sz w:val="24"/>
          <w:szCs w:val="24"/>
          <w14:textOutline w14:w="4358" w14:cap="sq" w14:cmpd="sng">
            <w14:solidFill>
              <w14:srgbClr w14:val="000000"/>
            </w14:solidFill>
            <w14:prstDash w14:val="solid"/>
            <w14:bevel/>
          </w14:textOutline>
        </w:rPr>
        <w:t>供应商须知正文部分</w:t>
      </w:r>
    </w:p>
    <w:p w14:paraId="5A151E6D">
      <w:pPr>
        <w:spacing w:before="1" w:line="221" w:lineRule="auto"/>
        <w:ind w:left="492"/>
        <w:rPr>
          <w:rFonts w:ascii="黑体" w:hAnsi="黑体" w:eastAsia="黑体" w:cs="黑体"/>
          <w:sz w:val="24"/>
          <w:szCs w:val="24"/>
        </w:rPr>
      </w:pPr>
      <w:r>
        <w:rPr>
          <w:rFonts w:ascii="黑体" w:hAnsi="黑体" w:eastAsia="黑体" w:cs="黑体"/>
          <w:spacing w:val="-3"/>
          <w:sz w:val="24"/>
          <w:szCs w:val="24"/>
          <w14:textOutline w14:w="4358" w14:cap="sq" w14:cmpd="sng">
            <w14:solidFill>
              <w14:srgbClr w14:val="000000"/>
            </w14:solidFill>
            <w14:prstDash w14:val="solid"/>
            <w14:bevel/>
          </w14:textOutline>
        </w:rPr>
        <w:t>第三章清单</w:t>
      </w:r>
    </w:p>
    <w:p w14:paraId="6A00EAAE">
      <w:pPr>
        <w:spacing w:before="179" w:line="222" w:lineRule="auto"/>
        <w:ind w:left="492"/>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第四章合同范本</w:t>
      </w:r>
    </w:p>
    <w:p w14:paraId="233704FA">
      <w:pPr>
        <w:spacing w:before="179" w:line="222" w:lineRule="auto"/>
        <w:ind w:left="492"/>
        <w:rPr>
          <w:rFonts w:ascii="黑体" w:hAnsi="黑体" w:eastAsia="黑体" w:cs="黑体"/>
          <w:sz w:val="24"/>
          <w:szCs w:val="24"/>
        </w:rPr>
      </w:pPr>
      <w:r>
        <w:rPr>
          <w:rFonts w:ascii="黑体" w:hAnsi="黑体" w:eastAsia="黑体" w:cs="黑体"/>
          <w:spacing w:val="2"/>
          <w:sz w:val="24"/>
          <w:szCs w:val="24"/>
          <w14:textOutline w14:w="4358" w14:cap="sq" w14:cmpd="sng">
            <w14:solidFill>
              <w14:srgbClr w14:val="000000"/>
            </w14:solidFill>
            <w14:prstDash w14:val="solid"/>
            <w14:bevel/>
          </w14:textOutline>
        </w:rPr>
        <w:t>第五章主要响应文件的格式及其内容</w:t>
      </w:r>
    </w:p>
    <w:p w14:paraId="634A36C4">
      <w:pPr>
        <w:spacing w:before="180" w:line="360" w:lineRule="auto"/>
        <w:ind w:left="4" w:firstLine="487"/>
        <w:jc w:val="both"/>
        <w:rPr>
          <w:rFonts w:ascii="黑体" w:hAnsi="黑体" w:eastAsia="黑体" w:cs="黑体"/>
          <w:sz w:val="24"/>
          <w:szCs w:val="24"/>
        </w:rPr>
      </w:pPr>
      <w:r>
        <w:rPr>
          <w:rFonts w:ascii="黑体" w:hAnsi="黑体" w:eastAsia="黑体" w:cs="黑体"/>
          <w:spacing w:val="-3"/>
          <w:sz w:val="24"/>
          <w:szCs w:val="24"/>
        </w:rPr>
        <w:t>6.2供应商应认真阅读竞争性磋商文件中所有的事项、格</w:t>
      </w:r>
      <w:r>
        <w:rPr>
          <w:rFonts w:ascii="黑体" w:hAnsi="黑体" w:eastAsia="黑体" w:cs="黑体"/>
          <w:spacing w:val="-4"/>
          <w:sz w:val="24"/>
          <w:szCs w:val="24"/>
        </w:rPr>
        <w:t>式、条款和规范等要求。</w:t>
      </w:r>
      <w:r>
        <w:rPr>
          <w:rFonts w:ascii="黑体" w:hAnsi="黑体" w:eastAsia="黑体" w:cs="黑体"/>
          <w:spacing w:val="8"/>
          <w:sz w:val="24"/>
          <w:szCs w:val="24"/>
        </w:rPr>
        <w:t>如果没有按照竞争性磋商文件要求提交全部资料或者响应文</w:t>
      </w:r>
      <w:r>
        <w:rPr>
          <w:rFonts w:ascii="黑体" w:hAnsi="黑体" w:eastAsia="黑体" w:cs="黑体"/>
          <w:spacing w:val="7"/>
          <w:sz w:val="24"/>
          <w:szCs w:val="24"/>
        </w:rPr>
        <w:t>件没有对竞争性磋商文</w:t>
      </w:r>
    </w:p>
    <w:p w14:paraId="043619B5">
      <w:pPr>
        <w:spacing w:before="1" w:line="212" w:lineRule="auto"/>
        <w:ind w:left="3"/>
        <w:rPr>
          <w:rFonts w:ascii="黑体" w:hAnsi="黑体" w:eastAsia="黑体" w:cs="黑体"/>
          <w:sz w:val="24"/>
          <w:szCs w:val="24"/>
        </w:rPr>
      </w:pPr>
      <w:r>
        <w:rPr>
          <w:rFonts w:ascii="黑体" w:hAnsi="黑体" w:eastAsia="黑体" w:cs="黑体"/>
          <w:spacing w:val="1"/>
          <w:sz w:val="24"/>
          <w:szCs w:val="24"/>
        </w:rPr>
        <w:t>件做出实质性响应，其响应文件可能被拒绝。</w:t>
      </w:r>
    </w:p>
    <w:p w14:paraId="0B08C763">
      <w:pPr>
        <w:spacing w:before="191" w:line="222" w:lineRule="auto"/>
        <w:ind w:left="6"/>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7竞争性磋商文件的澄清</w:t>
      </w:r>
    </w:p>
    <w:p w14:paraId="3711BA71">
      <w:pPr>
        <w:spacing w:before="180" w:line="360" w:lineRule="auto"/>
        <w:ind w:left="3" w:right="76" w:firstLine="490"/>
        <w:jc w:val="both"/>
        <w:rPr>
          <w:rFonts w:ascii="黑体" w:hAnsi="黑体" w:eastAsia="黑体" w:cs="黑体"/>
          <w:sz w:val="24"/>
          <w:szCs w:val="24"/>
        </w:rPr>
      </w:pPr>
      <w:r>
        <w:rPr>
          <w:rFonts w:ascii="黑体" w:hAnsi="黑体" w:eastAsia="黑体" w:cs="黑体"/>
          <w:spacing w:val="1"/>
          <w:sz w:val="24"/>
          <w:szCs w:val="24"/>
        </w:rPr>
        <w:t>7.1采购人或者采购代理机构可以对已发出的竞争性磋商文件（资格预审文件、投标邀请书）进行必要的澄清或者修改，但不得改变采购标的和资格条件。澄清或者修改应当在原公告发布媒体上发布澄清公告。澄清或者修改的内容为竞争性磋商文件</w:t>
      </w:r>
    </w:p>
    <w:p w14:paraId="72BFB3B6">
      <w:pPr>
        <w:spacing w:before="1" w:line="221" w:lineRule="auto"/>
        <w:ind w:left="26"/>
        <w:rPr>
          <w:rFonts w:ascii="黑体" w:hAnsi="黑体" w:eastAsia="黑体" w:cs="黑体"/>
          <w:sz w:val="24"/>
          <w:szCs w:val="24"/>
        </w:rPr>
      </w:pPr>
      <w:r>
        <w:rPr>
          <w:rFonts w:ascii="黑体" w:hAnsi="黑体" w:eastAsia="黑体" w:cs="黑体"/>
          <w:sz w:val="24"/>
          <w:szCs w:val="24"/>
        </w:rPr>
        <w:t>（资格预审文件、投标邀请书）的组成部分。</w:t>
      </w:r>
    </w:p>
    <w:p w14:paraId="3E3F1634">
      <w:pPr>
        <w:spacing w:line="221" w:lineRule="auto"/>
        <w:rPr>
          <w:rFonts w:ascii="黑体" w:hAnsi="黑体" w:eastAsia="黑体" w:cs="黑体"/>
          <w:sz w:val="24"/>
          <w:szCs w:val="24"/>
        </w:rPr>
        <w:sectPr>
          <w:footerReference r:id="rId9" w:type="default"/>
          <w:pgSz w:w="11906" w:h="16839"/>
          <w:pgMar w:top="1431" w:right="1477" w:bottom="1012" w:left="1419" w:header="0" w:footer="850" w:gutter="0"/>
          <w:cols w:space="720" w:num="1"/>
        </w:sectPr>
      </w:pPr>
    </w:p>
    <w:p w14:paraId="48D4639C">
      <w:pPr>
        <w:spacing w:before="101" w:line="360" w:lineRule="auto"/>
        <w:ind w:left="11" w:firstLine="484"/>
        <w:jc w:val="both"/>
        <w:rPr>
          <w:rFonts w:ascii="黑体" w:hAnsi="黑体" w:eastAsia="黑体" w:cs="黑体"/>
          <w:sz w:val="24"/>
          <w:szCs w:val="24"/>
        </w:rPr>
      </w:pPr>
      <w:r>
        <w:rPr>
          <w:rFonts w:ascii="黑体" w:hAnsi="黑体" w:eastAsia="黑体" w:cs="黑体"/>
          <w:spacing w:val="1"/>
          <w:sz w:val="24"/>
          <w:szCs w:val="24"/>
        </w:rPr>
        <w:t>澄清或者修改的内容可能影响响应文件编制的，采购人、采购代</w:t>
      </w:r>
      <w:r>
        <w:rPr>
          <w:rFonts w:ascii="黑体" w:hAnsi="黑体" w:eastAsia="黑体" w:cs="黑体"/>
          <w:sz w:val="24"/>
          <w:szCs w:val="24"/>
        </w:rPr>
        <w:t>理机构应当在提</w:t>
      </w:r>
      <w:r>
        <w:rPr>
          <w:rFonts w:ascii="黑体" w:hAnsi="黑体" w:eastAsia="黑体" w:cs="黑体"/>
          <w:spacing w:val="-1"/>
          <w:sz w:val="24"/>
          <w:szCs w:val="24"/>
        </w:rPr>
        <w:t>交首次响应文件截止时间至少5日前，以书面形式通知所有获取磋商文件的供应商；</w:t>
      </w:r>
    </w:p>
    <w:p w14:paraId="46CC2DC1">
      <w:pPr>
        <w:spacing w:before="1" w:line="212" w:lineRule="auto"/>
        <w:ind w:left="9"/>
        <w:rPr>
          <w:rFonts w:ascii="黑体" w:hAnsi="黑体" w:eastAsia="黑体" w:cs="黑体"/>
          <w:sz w:val="24"/>
          <w:szCs w:val="24"/>
        </w:rPr>
      </w:pPr>
      <w:r>
        <w:rPr>
          <w:rFonts w:ascii="黑体" w:hAnsi="黑体" w:eastAsia="黑体" w:cs="黑体"/>
          <w:sz w:val="24"/>
          <w:szCs w:val="24"/>
        </w:rPr>
        <w:t>不足5日的，采购人、采购代理机构应当顺延提交首次响应文件截止时间。</w:t>
      </w:r>
    </w:p>
    <w:p w14:paraId="4DF21957">
      <w:pPr>
        <w:spacing w:before="190" w:line="222" w:lineRule="auto"/>
        <w:ind w:left="3"/>
        <w:rPr>
          <w:rFonts w:ascii="黑体" w:hAnsi="黑体" w:eastAsia="黑体" w:cs="黑体"/>
          <w:sz w:val="24"/>
          <w:szCs w:val="24"/>
        </w:rPr>
      </w:pPr>
      <w:r>
        <w:rPr>
          <w:rFonts w:ascii="黑体" w:hAnsi="黑体" w:eastAsia="黑体" w:cs="黑体"/>
          <w:spacing w:val="2"/>
          <w:sz w:val="24"/>
          <w:szCs w:val="24"/>
          <w14:textOutline w14:w="4358" w14:cap="sq" w14:cmpd="sng">
            <w14:solidFill>
              <w14:srgbClr w14:val="000000"/>
            </w14:solidFill>
            <w14:prstDash w14:val="solid"/>
            <w14:bevel/>
          </w14:textOutline>
        </w:rPr>
        <w:t>8竞争性磋商文件的修改</w:t>
      </w:r>
    </w:p>
    <w:p w14:paraId="1EFA43FA">
      <w:pPr>
        <w:spacing w:before="179" w:line="360" w:lineRule="auto"/>
        <w:ind w:left="6" w:firstLine="484"/>
        <w:jc w:val="both"/>
        <w:rPr>
          <w:rFonts w:ascii="黑体" w:hAnsi="黑体" w:eastAsia="黑体" w:cs="黑体"/>
          <w:sz w:val="24"/>
          <w:szCs w:val="24"/>
        </w:rPr>
      </w:pPr>
      <w:r>
        <w:rPr>
          <w:rFonts w:ascii="黑体" w:hAnsi="黑体" w:eastAsia="黑体" w:cs="黑体"/>
          <w:spacing w:val="1"/>
          <w:sz w:val="24"/>
          <w:szCs w:val="24"/>
        </w:rPr>
        <w:t>8.1采购人可以视采购具体情况，延长投标截止时间和开标时间，但至</w:t>
      </w:r>
      <w:r>
        <w:rPr>
          <w:rFonts w:ascii="黑体" w:hAnsi="黑体" w:eastAsia="黑体" w:cs="黑体"/>
          <w:sz w:val="24"/>
          <w:szCs w:val="24"/>
        </w:rPr>
        <w:t>少应当在</w:t>
      </w:r>
      <w:r>
        <w:rPr>
          <w:rFonts w:ascii="黑体" w:hAnsi="黑体" w:eastAsia="黑体" w:cs="黑体"/>
          <w:spacing w:val="-1"/>
          <w:sz w:val="24"/>
          <w:szCs w:val="24"/>
        </w:rPr>
        <w:t>竞争性磋商文件要求提交响应文件的截止时间3日前，将变更时间书面通知所有竞争</w:t>
      </w:r>
    </w:p>
    <w:p w14:paraId="7E9401E6">
      <w:pPr>
        <w:spacing w:before="1" w:line="212" w:lineRule="auto"/>
        <w:ind w:left="6"/>
        <w:rPr>
          <w:rFonts w:ascii="黑体" w:hAnsi="黑体" w:eastAsia="黑体" w:cs="黑体"/>
          <w:sz w:val="24"/>
          <w:szCs w:val="24"/>
        </w:rPr>
      </w:pPr>
      <w:r>
        <w:rPr>
          <w:rFonts w:ascii="黑体" w:hAnsi="黑体" w:eastAsia="黑体" w:cs="黑体"/>
          <w:spacing w:val="2"/>
          <w:sz w:val="24"/>
          <w:szCs w:val="24"/>
        </w:rPr>
        <w:t>性磋商文件收受人，并在财政部门指定的政府采购信息发布媒体上发布变更公告。</w:t>
      </w:r>
    </w:p>
    <w:p w14:paraId="18ABA067">
      <w:pPr>
        <w:spacing w:before="191" w:line="468" w:lineRule="exact"/>
        <w:jc w:val="right"/>
        <w:rPr>
          <w:rFonts w:ascii="黑体" w:hAnsi="黑体" w:eastAsia="黑体" w:cs="黑体"/>
          <w:sz w:val="24"/>
          <w:szCs w:val="24"/>
        </w:rPr>
      </w:pPr>
      <w:r>
        <w:rPr>
          <w:rFonts w:ascii="黑体" w:hAnsi="黑体" w:eastAsia="黑体" w:cs="黑体"/>
          <w:spacing w:val="1"/>
          <w:position w:val="17"/>
          <w:sz w:val="24"/>
          <w:szCs w:val="24"/>
        </w:rPr>
        <w:t>8.2竞争性磋商文件的修改将以书面通知所有竞争性磋商文件收受人，</w:t>
      </w:r>
      <w:r>
        <w:rPr>
          <w:rFonts w:ascii="黑体" w:hAnsi="黑体" w:eastAsia="黑体" w:cs="黑体"/>
          <w:position w:val="17"/>
          <w:sz w:val="24"/>
          <w:szCs w:val="24"/>
        </w:rPr>
        <w:t>并对供应</w:t>
      </w:r>
    </w:p>
    <w:p w14:paraId="62D3FFEE">
      <w:pPr>
        <w:spacing w:before="1" w:line="221" w:lineRule="auto"/>
        <w:ind w:left="14"/>
        <w:rPr>
          <w:rFonts w:ascii="黑体" w:hAnsi="黑体" w:eastAsia="黑体" w:cs="黑体"/>
          <w:sz w:val="24"/>
          <w:szCs w:val="24"/>
        </w:rPr>
      </w:pPr>
      <w:r>
        <w:rPr>
          <w:rFonts w:ascii="黑体" w:hAnsi="黑体" w:eastAsia="黑体" w:cs="黑体"/>
          <w:spacing w:val="-1"/>
          <w:sz w:val="24"/>
          <w:szCs w:val="24"/>
        </w:rPr>
        <w:t>商具有约束力。</w:t>
      </w:r>
    </w:p>
    <w:p w14:paraId="551ECA01">
      <w:pPr>
        <w:pStyle w:val="5"/>
        <w:spacing w:line="254" w:lineRule="auto"/>
      </w:pPr>
    </w:p>
    <w:p w14:paraId="16C9A456">
      <w:pPr>
        <w:pStyle w:val="5"/>
        <w:spacing w:line="254" w:lineRule="auto"/>
      </w:pPr>
    </w:p>
    <w:p w14:paraId="40329889">
      <w:pPr>
        <w:pStyle w:val="5"/>
        <w:spacing w:line="255" w:lineRule="auto"/>
      </w:pPr>
    </w:p>
    <w:p w14:paraId="12A9A5A9">
      <w:pPr>
        <w:spacing w:before="91" w:line="222" w:lineRule="auto"/>
        <w:ind w:left="3131"/>
        <w:rPr>
          <w:rFonts w:ascii="黑体" w:hAnsi="黑体" w:eastAsia="黑体" w:cs="黑体"/>
          <w:sz w:val="28"/>
          <w:szCs w:val="28"/>
        </w:rPr>
      </w:pPr>
      <w:r>
        <w:rPr>
          <w:rFonts w:ascii="黑体" w:hAnsi="黑体" w:eastAsia="黑体" w:cs="黑体"/>
          <w:spacing w:val="-2"/>
          <w:sz w:val="28"/>
          <w:szCs w:val="28"/>
          <w14:textOutline w14:w="5103" w14:cap="sq" w14:cmpd="sng">
            <w14:solidFill>
              <w14:srgbClr w14:val="000000"/>
            </w14:solidFill>
            <w14:prstDash w14:val="solid"/>
            <w14:bevel/>
          </w14:textOutline>
        </w:rPr>
        <w:t>三、响应文件的编制</w:t>
      </w:r>
    </w:p>
    <w:p w14:paraId="4D3181A0">
      <w:pPr>
        <w:spacing w:before="232" w:line="221" w:lineRule="auto"/>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9响应文件的编写</w:t>
      </w:r>
    </w:p>
    <w:p w14:paraId="5AF35759">
      <w:pPr>
        <w:spacing w:before="181" w:line="360" w:lineRule="auto"/>
        <w:ind w:left="4" w:firstLine="482"/>
        <w:jc w:val="both"/>
        <w:rPr>
          <w:rFonts w:ascii="黑体" w:hAnsi="黑体" w:eastAsia="黑体" w:cs="黑体"/>
          <w:sz w:val="24"/>
          <w:szCs w:val="24"/>
        </w:rPr>
      </w:pPr>
      <w:r>
        <w:rPr>
          <w:rFonts w:ascii="黑体" w:hAnsi="黑体" w:eastAsia="黑体" w:cs="黑体"/>
          <w:spacing w:val="4"/>
          <w:sz w:val="24"/>
          <w:szCs w:val="24"/>
        </w:rPr>
        <w:t>9.1供应商应仔细阅读竞争性磋商文件,了解竞争性磋商文件的要求。在充分理</w:t>
      </w:r>
      <w:r>
        <w:rPr>
          <w:rFonts w:ascii="黑体" w:hAnsi="黑体" w:eastAsia="黑体" w:cs="黑体"/>
          <w:spacing w:val="1"/>
          <w:sz w:val="24"/>
          <w:szCs w:val="24"/>
        </w:rPr>
        <w:t>解竞争性磋商文件、技术规范及标准、项目采购需求、合同文本（主要内容）后编制</w:t>
      </w:r>
    </w:p>
    <w:p w14:paraId="67FFCCD6">
      <w:pPr>
        <w:spacing w:before="1" w:line="221" w:lineRule="auto"/>
        <w:ind w:left="15"/>
        <w:rPr>
          <w:rFonts w:ascii="黑体" w:hAnsi="黑体" w:eastAsia="黑体" w:cs="黑体"/>
          <w:sz w:val="24"/>
          <w:szCs w:val="24"/>
        </w:rPr>
      </w:pPr>
      <w:r>
        <w:rPr>
          <w:rFonts w:ascii="黑体" w:hAnsi="黑体" w:eastAsia="黑体" w:cs="黑体"/>
          <w:spacing w:val="-3"/>
          <w:sz w:val="24"/>
          <w:szCs w:val="24"/>
        </w:rPr>
        <w:t>响应文件。</w:t>
      </w:r>
    </w:p>
    <w:p w14:paraId="200EF8C5">
      <w:pPr>
        <w:spacing w:before="179" w:line="221" w:lineRule="auto"/>
        <w:jc w:val="right"/>
        <w:rPr>
          <w:rFonts w:ascii="黑体" w:hAnsi="黑体" w:eastAsia="黑体" w:cs="黑体"/>
          <w:sz w:val="24"/>
          <w:szCs w:val="24"/>
        </w:rPr>
      </w:pPr>
      <w:r>
        <w:rPr>
          <w:rFonts w:ascii="黑体" w:hAnsi="黑体" w:eastAsia="黑体" w:cs="黑体"/>
          <w:spacing w:val="1"/>
          <w:sz w:val="24"/>
          <w:szCs w:val="24"/>
        </w:rPr>
        <w:t>9.2投标供应商编制电子响应文件可参考《政府采购项目电子交易管理操作指南</w:t>
      </w:r>
    </w:p>
    <w:p w14:paraId="3A05AFE8">
      <w:pPr>
        <w:spacing w:before="181" w:line="213" w:lineRule="auto"/>
        <w:ind w:left="1"/>
        <w:rPr>
          <w:rFonts w:ascii="黑体" w:hAnsi="黑体" w:eastAsia="黑体" w:cs="黑体"/>
          <w:sz w:val="24"/>
          <w:szCs w:val="24"/>
        </w:rPr>
      </w:pPr>
      <w:r>
        <w:rPr>
          <w:rFonts w:ascii="黑体" w:hAnsi="黑体" w:eastAsia="黑体" w:cs="黑体"/>
          <w:spacing w:val="2"/>
          <w:sz w:val="24"/>
          <w:szCs w:val="24"/>
        </w:rPr>
        <w:t>-供应商》，在政采云《帮助文档》下载。</w:t>
      </w:r>
    </w:p>
    <w:p w14:paraId="222B0350">
      <w:pPr>
        <w:spacing w:before="191" w:line="222" w:lineRule="auto"/>
        <w:ind w:left="18"/>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10响应文件的语言及计量单位</w:t>
      </w:r>
    </w:p>
    <w:p w14:paraId="3B61DD87">
      <w:pPr>
        <w:spacing w:before="180" w:line="360" w:lineRule="auto"/>
        <w:ind w:left="7" w:firstLine="498"/>
        <w:jc w:val="both"/>
        <w:rPr>
          <w:rFonts w:ascii="黑体" w:hAnsi="黑体" w:eastAsia="黑体" w:cs="黑体"/>
          <w:sz w:val="24"/>
          <w:szCs w:val="24"/>
        </w:rPr>
      </w:pPr>
      <w:r>
        <w:rPr>
          <w:rFonts w:ascii="黑体" w:hAnsi="黑体" w:eastAsia="黑体" w:cs="黑体"/>
          <w:spacing w:val="4"/>
          <w:sz w:val="24"/>
          <w:szCs w:val="24"/>
        </w:rPr>
        <w:t>10.1响应文件以及供应商和采购人及采购代理机构就有</w:t>
      </w:r>
      <w:r>
        <w:rPr>
          <w:rFonts w:ascii="黑体" w:hAnsi="黑体" w:eastAsia="黑体" w:cs="黑体"/>
          <w:spacing w:val="3"/>
          <w:sz w:val="24"/>
          <w:szCs w:val="24"/>
        </w:rPr>
        <w:t>关采购活动的所有文件</w:t>
      </w:r>
      <w:r>
        <w:rPr>
          <w:rFonts w:ascii="黑体" w:hAnsi="黑体" w:eastAsia="黑体" w:cs="黑体"/>
          <w:spacing w:val="1"/>
          <w:sz w:val="24"/>
          <w:szCs w:val="24"/>
        </w:rPr>
        <w:t>和来往函件，应以中文书写。供应商可以提交用其他语言（原文）打印的资料，但必</w:t>
      </w:r>
    </w:p>
    <w:p w14:paraId="05FB0B3E">
      <w:pPr>
        <w:spacing w:before="1" w:line="212" w:lineRule="auto"/>
        <w:ind w:left="4"/>
        <w:rPr>
          <w:rFonts w:ascii="黑体" w:hAnsi="黑体" w:eastAsia="黑体" w:cs="黑体"/>
          <w:sz w:val="24"/>
          <w:szCs w:val="24"/>
        </w:rPr>
      </w:pPr>
      <w:r>
        <w:rPr>
          <w:rFonts w:ascii="黑体" w:hAnsi="黑体" w:eastAsia="黑体" w:cs="黑体"/>
          <w:spacing w:val="2"/>
          <w:sz w:val="24"/>
          <w:szCs w:val="24"/>
        </w:rPr>
        <w:t>须翻译成中文，当原文和译文（中文）之间存有差异和/或矛盾时，以中文为准。</w:t>
      </w:r>
    </w:p>
    <w:p w14:paraId="106F53A7">
      <w:pPr>
        <w:spacing w:before="191" w:line="468" w:lineRule="exact"/>
        <w:jc w:val="right"/>
        <w:rPr>
          <w:rFonts w:ascii="黑体" w:hAnsi="黑体" w:eastAsia="黑体" w:cs="黑体"/>
          <w:sz w:val="24"/>
          <w:szCs w:val="24"/>
        </w:rPr>
      </w:pPr>
      <w:r>
        <w:rPr>
          <w:rFonts w:ascii="黑体" w:hAnsi="黑体" w:eastAsia="黑体" w:cs="黑体"/>
          <w:spacing w:val="4"/>
          <w:position w:val="17"/>
          <w:sz w:val="24"/>
          <w:szCs w:val="24"/>
        </w:rPr>
        <w:t>10.2响应文件中所使用的计量单位除竞争性磋商文件中</w:t>
      </w:r>
      <w:r>
        <w:rPr>
          <w:rFonts w:ascii="黑体" w:hAnsi="黑体" w:eastAsia="黑体" w:cs="黑体"/>
          <w:spacing w:val="3"/>
          <w:position w:val="17"/>
          <w:sz w:val="24"/>
          <w:szCs w:val="24"/>
        </w:rPr>
        <w:t>有特殊规定外，一律使</w:t>
      </w:r>
    </w:p>
    <w:p w14:paraId="32383209">
      <w:pPr>
        <w:spacing w:before="1" w:line="222" w:lineRule="auto"/>
        <w:ind w:left="10"/>
        <w:rPr>
          <w:rFonts w:ascii="黑体" w:hAnsi="黑体" w:eastAsia="黑体" w:cs="黑体"/>
          <w:sz w:val="24"/>
          <w:szCs w:val="24"/>
        </w:rPr>
      </w:pPr>
      <w:r>
        <w:rPr>
          <w:rFonts w:ascii="黑体" w:hAnsi="黑体" w:eastAsia="黑体" w:cs="黑体"/>
          <w:sz w:val="24"/>
          <w:szCs w:val="24"/>
        </w:rPr>
        <w:t>用法定计量单位。</w:t>
      </w:r>
    </w:p>
    <w:p w14:paraId="3C60CA9A">
      <w:pPr>
        <w:spacing w:before="178" w:line="222" w:lineRule="auto"/>
        <w:ind w:left="18"/>
        <w:rPr>
          <w:rFonts w:ascii="黑体" w:hAnsi="黑体" w:eastAsia="黑体" w:cs="黑体"/>
          <w:sz w:val="24"/>
          <w:szCs w:val="24"/>
        </w:rPr>
      </w:pPr>
      <w:r>
        <w:rPr>
          <w:rFonts w:ascii="黑体" w:hAnsi="黑体" w:eastAsia="黑体" w:cs="黑体"/>
          <w:spacing w:val="-3"/>
          <w:sz w:val="24"/>
          <w:szCs w:val="24"/>
          <w14:textOutline w14:w="4358" w14:cap="sq" w14:cmpd="sng">
            <w14:solidFill>
              <w14:srgbClr w14:val="000000"/>
            </w14:solidFill>
            <w14:prstDash w14:val="solid"/>
            <w14:bevel/>
          </w14:textOutline>
        </w:rPr>
        <w:t>11响应文件构成</w:t>
      </w:r>
    </w:p>
    <w:p w14:paraId="437F2D06">
      <w:pPr>
        <w:spacing w:before="181" w:line="213" w:lineRule="auto"/>
        <w:ind w:left="514"/>
        <w:rPr>
          <w:rFonts w:ascii="黑体" w:hAnsi="黑体" w:eastAsia="黑体" w:cs="黑体"/>
          <w:sz w:val="24"/>
          <w:szCs w:val="24"/>
        </w:rPr>
      </w:pPr>
      <w:r>
        <w:rPr>
          <w:rFonts w:ascii="黑体" w:hAnsi="黑体" w:eastAsia="黑体" w:cs="黑体"/>
          <w:spacing w:val="-2"/>
          <w:sz w:val="24"/>
          <w:szCs w:val="24"/>
          <w14:textOutline w14:w="4358" w14:cap="sq" w14:cmpd="sng">
            <w14:solidFill>
              <w14:srgbClr w14:val="000000"/>
            </w14:solidFill>
            <w14:prstDash w14:val="solid"/>
            <w14:bevel/>
          </w14:textOutline>
        </w:rPr>
        <w:t>（1）投标函（详见附件1</w:t>
      </w:r>
      <w:r>
        <w:rPr>
          <w:rFonts w:ascii="黑体" w:hAnsi="黑体" w:eastAsia="黑体" w:cs="黑体"/>
          <w:spacing w:val="2"/>
          <w:sz w:val="24"/>
          <w:szCs w:val="24"/>
          <w14:textOutline w14:w="4358" w14:cap="sq" w14:cmpd="sng">
            <w14:solidFill>
              <w14:srgbClr w14:val="000000"/>
            </w14:solidFill>
            <w14:prstDash w14:val="solid"/>
            <w14:bevel/>
          </w14:textOutline>
        </w:rPr>
        <w:t>）；</w:t>
      </w:r>
    </w:p>
    <w:p w14:paraId="328BD1E7">
      <w:pPr>
        <w:spacing w:before="191" w:line="213" w:lineRule="auto"/>
        <w:ind w:left="514"/>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（2）法定代表人资格证明及授权委托书（详见附件2</w:t>
      </w:r>
      <w:r>
        <w:rPr>
          <w:rFonts w:ascii="黑体" w:hAnsi="黑体" w:eastAsia="黑体" w:cs="黑体"/>
          <w:spacing w:val="5"/>
          <w:sz w:val="24"/>
          <w:szCs w:val="24"/>
          <w14:textOutline w14:w="4358" w14:cap="sq" w14:cmpd="sng">
            <w14:solidFill>
              <w14:srgbClr w14:val="000000"/>
            </w14:solidFill>
            <w14:prstDash w14:val="solid"/>
            <w14:bevel/>
          </w14:textOutline>
        </w:rPr>
        <w:t>）；</w:t>
      </w:r>
    </w:p>
    <w:p w14:paraId="1DCA9BD7">
      <w:pPr>
        <w:spacing w:before="191" w:line="468" w:lineRule="exact"/>
        <w:ind w:left="514"/>
        <w:rPr>
          <w:rFonts w:ascii="黑体" w:hAnsi="黑体" w:eastAsia="黑体" w:cs="黑体"/>
          <w:sz w:val="24"/>
          <w:szCs w:val="24"/>
        </w:rPr>
      </w:pPr>
      <w:r>
        <w:rPr>
          <w:rFonts w:ascii="黑体" w:hAnsi="黑体" w:eastAsia="黑体" w:cs="黑体"/>
          <w:position w:val="17"/>
          <w:sz w:val="24"/>
          <w:szCs w:val="24"/>
          <w14:textOutline w14:w="4358" w14:cap="sq" w14:cmpd="sng">
            <w14:solidFill>
              <w14:srgbClr w14:val="000000"/>
            </w14:solidFill>
            <w14:prstDash w14:val="solid"/>
            <w14:bevel/>
          </w14:textOutline>
        </w:rPr>
        <w:t>（3）报价一览表（详见附件3）；</w:t>
      </w:r>
    </w:p>
    <w:p w14:paraId="387815F4">
      <w:pPr>
        <w:spacing w:before="1" w:line="212" w:lineRule="auto"/>
        <w:ind w:left="984"/>
        <w:rPr>
          <w:rFonts w:ascii="黑体" w:hAnsi="黑体" w:eastAsia="黑体" w:cs="黑体"/>
          <w:sz w:val="24"/>
          <w:szCs w:val="24"/>
        </w:rPr>
      </w:pPr>
      <w:r>
        <w:rPr>
          <w:rFonts w:ascii="黑体" w:hAnsi="黑体" w:eastAsia="黑体" w:cs="黑体"/>
          <w:sz w:val="24"/>
          <w:szCs w:val="24"/>
          <w14:textOutline w14:w="4358" w14:cap="sq" w14:cmpd="sng">
            <w14:solidFill>
              <w14:srgbClr w14:val="000000"/>
            </w14:solidFill>
            <w14:prstDash w14:val="solid"/>
            <w14:bevel/>
          </w14:textOutline>
        </w:rPr>
        <w:t>分项报价明细表（附件3.1</w:t>
      </w:r>
      <w:r>
        <w:rPr>
          <w:rFonts w:ascii="黑体" w:hAnsi="黑体" w:eastAsia="黑体" w:cs="黑体"/>
          <w:spacing w:val="5"/>
          <w:sz w:val="24"/>
          <w:szCs w:val="24"/>
          <w14:textOutline w14:w="4358" w14:cap="sq" w14:cmpd="sng">
            <w14:solidFill>
              <w14:srgbClr w14:val="000000"/>
            </w14:solidFill>
            <w14:prstDash w14:val="solid"/>
            <w14:bevel/>
          </w14:textOutline>
        </w:rPr>
        <w:t>）；</w:t>
      </w:r>
    </w:p>
    <w:p w14:paraId="77016B28">
      <w:pPr>
        <w:spacing w:line="212" w:lineRule="auto"/>
        <w:rPr>
          <w:rFonts w:ascii="黑体" w:hAnsi="黑体" w:eastAsia="黑体" w:cs="黑体"/>
          <w:sz w:val="24"/>
          <w:szCs w:val="24"/>
        </w:rPr>
        <w:sectPr>
          <w:footerReference r:id="rId10" w:type="default"/>
          <w:pgSz w:w="11906" w:h="16839"/>
          <w:pgMar w:top="1431" w:right="1562" w:bottom="1012" w:left="1418" w:header="0" w:footer="850" w:gutter="0"/>
          <w:cols w:space="720" w:num="1"/>
        </w:sectPr>
      </w:pPr>
    </w:p>
    <w:p w14:paraId="39703B2D">
      <w:pPr>
        <w:spacing w:before="101" w:line="468" w:lineRule="exact"/>
        <w:ind w:left="509"/>
        <w:rPr>
          <w:rFonts w:ascii="黑体" w:hAnsi="黑体" w:eastAsia="黑体" w:cs="黑体"/>
          <w:sz w:val="24"/>
          <w:szCs w:val="24"/>
        </w:rPr>
      </w:pPr>
      <w:r>
        <w:rPr>
          <w:rFonts w:ascii="黑体" w:hAnsi="黑体" w:eastAsia="黑体" w:cs="黑体"/>
          <w:position w:val="17"/>
          <w:sz w:val="24"/>
          <w:szCs w:val="24"/>
          <w14:textOutline w14:w="4358" w14:cap="sq" w14:cmpd="sng">
            <w14:solidFill>
              <w14:srgbClr w14:val="000000"/>
            </w14:solidFill>
            <w14:prstDash w14:val="solid"/>
            <w14:bevel/>
          </w14:textOutline>
        </w:rPr>
        <w:t>（4）供应商概况表（详见附件4</w:t>
      </w:r>
      <w:r>
        <w:rPr>
          <w:rFonts w:ascii="黑体" w:hAnsi="黑体" w:eastAsia="黑体" w:cs="黑体"/>
          <w:spacing w:val="4"/>
          <w:position w:val="17"/>
          <w:sz w:val="24"/>
          <w:szCs w:val="24"/>
          <w14:textOutline w14:w="4358" w14:cap="sq" w14:cmpd="sng">
            <w14:solidFill>
              <w14:srgbClr w14:val="000000"/>
            </w14:solidFill>
            <w14:prstDash w14:val="solid"/>
            <w14:bevel/>
          </w14:textOutline>
        </w:rPr>
        <w:t>）；</w:t>
      </w:r>
    </w:p>
    <w:p w14:paraId="15EF5FC9">
      <w:pPr>
        <w:spacing w:before="1" w:line="220" w:lineRule="auto"/>
        <w:ind w:left="509"/>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（5）声明（详见附件5）</w:t>
      </w:r>
    </w:p>
    <w:p w14:paraId="0FBEC7C6">
      <w:pPr>
        <w:spacing w:before="180" w:line="468" w:lineRule="exact"/>
        <w:ind w:left="509"/>
        <w:rPr>
          <w:rFonts w:ascii="黑体" w:hAnsi="黑体" w:eastAsia="黑体" w:cs="黑体"/>
          <w:sz w:val="24"/>
          <w:szCs w:val="24"/>
        </w:rPr>
      </w:pPr>
      <w:r>
        <w:rPr>
          <w:rFonts w:ascii="黑体" w:hAnsi="黑体" w:eastAsia="黑体" w:cs="黑体"/>
          <w:spacing w:val="1"/>
          <w:position w:val="17"/>
          <w:sz w:val="24"/>
          <w:szCs w:val="24"/>
          <w14:textOutline w14:w="4358" w14:cap="sq" w14:cmpd="sng">
            <w14:solidFill>
              <w14:srgbClr w14:val="000000"/>
            </w14:solidFill>
            <w14:prstDash w14:val="solid"/>
            <w14:bevel/>
          </w14:textOutline>
        </w:rPr>
        <w:t>（6）无重大违法记录的书面声明（详见附件6</w:t>
      </w:r>
      <w:r>
        <w:rPr>
          <w:rFonts w:ascii="黑体" w:hAnsi="黑体" w:eastAsia="黑体" w:cs="黑体"/>
          <w:spacing w:val="2"/>
          <w:position w:val="17"/>
          <w:sz w:val="24"/>
          <w:szCs w:val="24"/>
          <w14:textOutline w14:w="4358" w14:cap="sq" w14:cmpd="sng">
            <w14:solidFill>
              <w14:srgbClr w14:val="000000"/>
            </w14:solidFill>
            <w14:prstDash w14:val="solid"/>
            <w14:bevel/>
          </w14:textOutline>
        </w:rPr>
        <w:t>）；</w:t>
      </w:r>
    </w:p>
    <w:p w14:paraId="03289C31">
      <w:pPr>
        <w:spacing w:before="1" w:line="212" w:lineRule="auto"/>
        <w:ind w:left="509"/>
        <w:rPr>
          <w:rFonts w:ascii="黑体" w:hAnsi="黑体" w:eastAsia="黑体" w:cs="黑体"/>
          <w:sz w:val="24"/>
          <w:szCs w:val="24"/>
        </w:rPr>
      </w:pPr>
      <w:r>
        <w:rPr>
          <w:rFonts w:ascii="黑体" w:hAnsi="黑体" w:eastAsia="黑体" w:cs="黑体"/>
          <w:sz w:val="24"/>
          <w:szCs w:val="24"/>
          <w14:textOutline w14:w="4358" w14:cap="sq" w14:cmpd="sng">
            <w14:solidFill>
              <w14:srgbClr w14:val="000000"/>
            </w14:solidFill>
            <w14:prstDash w14:val="solid"/>
            <w14:bevel/>
          </w14:textOutline>
        </w:rPr>
        <w:t>（7）企业</w:t>
      </w:r>
      <w:r>
        <w:rPr>
          <w:rFonts w:hint="eastAsia" w:ascii="黑体" w:hAnsi="黑体" w:eastAsia="黑体" w:cs="黑体"/>
          <w:sz w:val="24"/>
          <w:szCs w:val="24"/>
          <w:lang w:val="en-US" w:eastAsia="zh-CN"/>
          <w14:textOutline w14:w="4358" w14:cap="sq" w14:cmpd="sng">
            <w14:solidFill>
              <w14:srgbClr w14:val="000000"/>
            </w14:solidFill>
            <w14:prstDash w14:val="solid"/>
            <w14:bevel/>
          </w14:textOutline>
        </w:rPr>
        <w:t>(2024年度）</w:t>
      </w:r>
      <w:r>
        <w:rPr>
          <w:rFonts w:ascii="黑体" w:hAnsi="黑体" w:eastAsia="黑体" w:cs="黑体"/>
          <w:sz w:val="24"/>
          <w:szCs w:val="24"/>
          <w14:textOutline w14:w="4358" w14:cap="sq" w14:cmpd="sng">
            <w14:solidFill>
              <w14:srgbClr w14:val="000000"/>
            </w14:solidFill>
            <w14:prstDash w14:val="solid"/>
            <w14:bevel/>
          </w14:textOutline>
        </w:rPr>
        <w:t>财务审计报告（详见附</w:t>
      </w:r>
      <w:r>
        <w:rPr>
          <w:rFonts w:ascii="黑体" w:hAnsi="黑体" w:eastAsia="黑体" w:cs="黑体"/>
          <w:spacing w:val="-1"/>
          <w:sz w:val="24"/>
          <w:szCs w:val="24"/>
          <w14:textOutline w14:w="4358" w14:cap="sq" w14:cmpd="sng">
            <w14:solidFill>
              <w14:srgbClr w14:val="000000"/>
            </w14:solidFill>
            <w14:prstDash w14:val="solid"/>
            <w14:bevel/>
          </w14:textOutline>
        </w:rPr>
        <w:t>件7</w:t>
      </w:r>
      <w:r>
        <w:rPr>
          <w:rFonts w:ascii="黑体" w:hAnsi="黑体" w:eastAsia="黑体" w:cs="黑体"/>
          <w:sz w:val="24"/>
          <w:szCs w:val="24"/>
          <w14:textOutline w14:w="4358" w14:cap="sq" w14:cmpd="sng">
            <w14:solidFill>
              <w14:srgbClr w14:val="000000"/>
            </w14:solidFill>
            <w14:prstDash w14:val="solid"/>
            <w14:bevel/>
          </w14:textOutline>
        </w:rPr>
        <w:t>）；</w:t>
      </w:r>
    </w:p>
    <w:p w14:paraId="2D6F0F3E">
      <w:pPr>
        <w:spacing w:before="191" w:line="213" w:lineRule="auto"/>
        <w:ind w:left="509"/>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（8）“重法纪、讲诚信”承诺书（详见附件8</w:t>
      </w:r>
      <w:r>
        <w:rPr>
          <w:rFonts w:ascii="黑体" w:hAnsi="黑体" w:eastAsia="黑体" w:cs="黑体"/>
          <w:spacing w:val="3"/>
          <w:sz w:val="24"/>
          <w:szCs w:val="24"/>
          <w14:textOutline w14:w="4358" w14:cap="sq" w14:cmpd="sng">
            <w14:solidFill>
              <w14:srgbClr w14:val="000000"/>
            </w14:solidFill>
            <w14:prstDash w14:val="solid"/>
            <w14:bevel/>
          </w14:textOutline>
        </w:rPr>
        <w:t>）；</w:t>
      </w:r>
    </w:p>
    <w:p w14:paraId="7E67BE94">
      <w:pPr>
        <w:spacing w:before="191" w:line="468" w:lineRule="exact"/>
        <w:ind w:left="509"/>
        <w:rPr>
          <w:rFonts w:ascii="黑体" w:hAnsi="黑体" w:eastAsia="黑体" w:cs="黑体"/>
          <w:sz w:val="24"/>
          <w:szCs w:val="24"/>
        </w:rPr>
      </w:pPr>
      <w:r>
        <w:rPr>
          <w:rFonts w:ascii="黑体" w:hAnsi="黑体" w:eastAsia="黑体" w:cs="黑体"/>
          <w:spacing w:val="1"/>
          <w:position w:val="17"/>
          <w:sz w:val="24"/>
          <w:szCs w:val="24"/>
          <w14:textOutline w14:w="4358" w14:cap="sq" w14:cmpd="sng">
            <w14:solidFill>
              <w14:srgbClr w14:val="000000"/>
            </w14:solidFill>
            <w14:prstDash w14:val="solid"/>
            <w14:bevel/>
          </w14:textOutline>
        </w:rPr>
        <w:t>（9）反商业贿赂承诺书（详见附件9</w:t>
      </w:r>
      <w:r>
        <w:rPr>
          <w:rFonts w:ascii="黑体" w:hAnsi="黑体" w:eastAsia="黑体" w:cs="黑体"/>
          <w:position w:val="17"/>
          <w:sz w:val="24"/>
          <w:szCs w:val="24"/>
          <w14:textOutline w14:w="4358" w14:cap="sq" w14:cmpd="sng">
            <w14:solidFill>
              <w14:srgbClr w14:val="000000"/>
            </w14:solidFill>
            <w14:prstDash w14:val="solid"/>
            <w14:bevel/>
          </w14:textOutline>
        </w:rPr>
        <w:t>）；</w:t>
      </w:r>
    </w:p>
    <w:p w14:paraId="24758122">
      <w:pPr>
        <w:spacing w:before="1" w:line="220" w:lineRule="auto"/>
        <w:ind w:left="509"/>
        <w:rPr>
          <w:rFonts w:ascii="黑体" w:hAnsi="黑体" w:eastAsia="黑体" w:cs="黑体"/>
          <w:sz w:val="24"/>
          <w:szCs w:val="24"/>
        </w:rPr>
      </w:pPr>
      <w:r>
        <w:rPr>
          <w:rFonts w:ascii="黑体" w:hAnsi="黑体" w:eastAsia="黑体" w:cs="黑体"/>
          <w:sz w:val="24"/>
          <w:szCs w:val="24"/>
          <w14:textOutline w14:w="4358" w14:cap="sq" w14:cmpd="sng">
            <w14:solidFill>
              <w14:srgbClr w14:val="000000"/>
            </w14:solidFill>
            <w14:prstDash w14:val="solid"/>
            <w14:bevel/>
          </w14:textOutline>
        </w:rPr>
        <w:t>（10）商务条款偏离表（详见附件10）</w:t>
      </w:r>
    </w:p>
    <w:p w14:paraId="417C00EB">
      <w:pPr>
        <w:spacing w:before="191" w:line="468" w:lineRule="exact"/>
        <w:ind w:left="509"/>
        <w:rPr>
          <w:rFonts w:ascii="黑体" w:hAnsi="黑体" w:eastAsia="黑体" w:cs="黑体"/>
          <w:sz w:val="24"/>
          <w:szCs w:val="24"/>
        </w:rPr>
      </w:pPr>
      <w:r>
        <w:rPr>
          <w:rFonts w:ascii="黑体" w:hAnsi="黑体" w:eastAsia="黑体" w:cs="黑体"/>
          <w:spacing w:val="1"/>
          <w:position w:val="17"/>
          <w:sz w:val="24"/>
          <w:szCs w:val="24"/>
          <w14:textOutline w14:w="4358" w14:cap="sq" w14:cmpd="sng">
            <w14:solidFill>
              <w14:srgbClr w14:val="000000"/>
            </w14:solidFill>
            <w14:prstDash w14:val="solid"/>
            <w14:bevel/>
          </w14:textOutline>
        </w:rPr>
        <w:t>（11）近</w:t>
      </w:r>
      <w:r>
        <w:rPr>
          <w:rFonts w:hint="eastAsia" w:ascii="黑体" w:hAnsi="黑体" w:eastAsia="黑体" w:cs="黑体"/>
          <w:spacing w:val="1"/>
          <w:position w:val="17"/>
          <w:sz w:val="24"/>
          <w:szCs w:val="24"/>
          <w:lang w:val="en-US" w:eastAsia="zh-CN"/>
          <w14:textOutline w14:w="4358" w14:cap="sq" w14:cmpd="sng">
            <w14:solidFill>
              <w14:srgbClr w14:val="000000"/>
            </w14:solidFill>
            <w14:prstDash w14:val="solid"/>
            <w14:bevel/>
          </w14:textOutline>
        </w:rPr>
        <w:t>五</w:t>
      </w:r>
      <w:r>
        <w:rPr>
          <w:rFonts w:ascii="黑体" w:hAnsi="黑体" w:eastAsia="黑体" w:cs="黑体"/>
          <w:spacing w:val="1"/>
          <w:position w:val="17"/>
          <w:sz w:val="24"/>
          <w:szCs w:val="24"/>
          <w14:textOutline w14:w="4358" w14:cap="sq" w14:cmpd="sng">
            <w14:solidFill>
              <w14:srgbClr w14:val="000000"/>
            </w14:solidFill>
            <w14:prstDash w14:val="solid"/>
            <w14:bevel/>
          </w14:textOutline>
        </w:rPr>
        <w:t>年同类项目业绩表</w:t>
      </w:r>
      <w:r>
        <w:rPr>
          <w:rFonts w:hint="eastAsia" w:ascii="黑体" w:hAnsi="黑体" w:eastAsia="黑体" w:cs="黑体"/>
          <w:spacing w:val="1"/>
          <w:position w:val="17"/>
          <w:sz w:val="24"/>
          <w:szCs w:val="24"/>
          <w:lang w:eastAsia="zh-CN"/>
          <w14:textOutline w14:w="4358" w14:cap="sq" w14:cmpd="sng">
            <w14:solidFill>
              <w14:srgbClr w14:val="000000"/>
            </w14:solidFill>
            <w14:prstDash w14:val="solid"/>
            <w14:bevel/>
          </w14:textOutline>
        </w:rPr>
        <w:t>（</w:t>
      </w:r>
      <w:r>
        <w:rPr>
          <w:rFonts w:hint="eastAsia" w:ascii="黑体" w:hAnsi="黑体" w:eastAsia="黑体" w:cs="黑体"/>
          <w:spacing w:val="1"/>
          <w:position w:val="17"/>
          <w:sz w:val="24"/>
          <w:szCs w:val="24"/>
          <w:lang w:val="en-US" w:eastAsia="zh-CN"/>
          <w14:textOutline w14:w="4358" w14:cap="sq" w14:cmpd="sng">
            <w14:solidFill>
              <w14:srgbClr w14:val="000000"/>
            </w14:solidFill>
            <w14:prstDash w14:val="solid"/>
            <w14:bevel/>
          </w14:textOutline>
        </w:rPr>
        <w:t>2020年1月至今</w:t>
      </w:r>
      <w:r>
        <w:rPr>
          <w:rFonts w:hint="eastAsia" w:ascii="黑体" w:hAnsi="黑体" w:eastAsia="黑体" w:cs="黑体"/>
          <w:spacing w:val="1"/>
          <w:position w:val="17"/>
          <w:sz w:val="24"/>
          <w:szCs w:val="24"/>
          <w:lang w:eastAsia="zh-CN"/>
          <w14:textOutline w14:w="4358" w14:cap="sq" w14:cmpd="sng">
            <w14:solidFill>
              <w14:srgbClr w14:val="000000"/>
            </w14:solidFill>
            <w14:prstDash w14:val="solid"/>
            <w14:bevel/>
          </w14:textOutline>
        </w:rPr>
        <w:t>）</w:t>
      </w:r>
      <w:r>
        <w:rPr>
          <w:rFonts w:ascii="黑体" w:hAnsi="黑体" w:eastAsia="黑体" w:cs="黑体"/>
          <w:position w:val="17"/>
          <w:sz w:val="24"/>
          <w:szCs w:val="24"/>
          <w14:textOutline w14:w="4358" w14:cap="sq" w14:cmpd="sng">
            <w14:solidFill>
              <w14:srgbClr w14:val="000000"/>
            </w14:solidFill>
            <w14:prstDash w14:val="solid"/>
            <w14:bevel/>
          </w14:textOutline>
        </w:rPr>
        <w:t>（详见附件11</w:t>
      </w:r>
      <w:r>
        <w:rPr>
          <w:rFonts w:ascii="黑体" w:hAnsi="黑体" w:eastAsia="黑体" w:cs="黑体"/>
          <w:spacing w:val="4"/>
          <w:position w:val="17"/>
          <w:sz w:val="24"/>
          <w:szCs w:val="24"/>
          <w14:textOutline w14:w="4358" w14:cap="sq" w14:cmpd="sng">
            <w14:solidFill>
              <w14:srgbClr w14:val="000000"/>
            </w14:solidFill>
            <w14:prstDash w14:val="solid"/>
            <w14:bevel/>
          </w14:textOutline>
        </w:rPr>
        <w:t>）；</w:t>
      </w:r>
    </w:p>
    <w:p w14:paraId="7406EE9C">
      <w:pPr>
        <w:spacing w:before="1" w:line="212" w:lineRule="auto"/>
        <w:ind w:left="509"/>
        <w:rPr>
          <w:rFonts w:ascii="黑体" w:hAnsi="黑体" w:eastAsia="黑体" w:cs="黑体"/>
          <w:sz w:val="24"/>
          <w:szCs w:val="24"/>
        </w:rPr>
      </w:pPr>
      <w:r>
        <w:rPr>
          <w:rFonts w:ascii="黑体" w:hAnsi="黑体" w:eastAsia="黑体" w:cs="黑体"/>
          <w:sz w:val="24"/>
          <w:szCs w:val="24"/>
          <w14:textOutline w14:w="4358" w14:cap="sq" w14:cmpd="sng">
            <w14:solidFill>
              <w14:srgbClr w14:val="000000"/>
            </w14:solidFill>
            <w14:prstDash w14:val="solid"/>
            <w14:bevel/>
          </w14:textOutline>
        </w:rPr>
        <w:t>（12）拟派项目负责人简历表（详见附件12</w:t>
      </w:r>
      <w:r>
        <w:rPr>
          <w:rFonts w:ascii="黑体" w:hAnsi="黑体" w:eastAsia="黑体" w:cs="黑体"/>
          <w:spacing w:val="4"/>
          <w:sz w:val="24"/>
          <w:szCs w:val="24"/>
          <w14:textOutline w14:w="4358" w14:cap="sq" w14:cmpd="sng">
            <w14:solidFill>
              <w14:srgbClr w14:val="000000"/>
            </w14:solidFill>
            <w14:prstDash w14:val="solid"/>
            <w14:bevel/>
          </w14:textOutline>
        </w:rPr>
        <w:t>）；</w:t>
      </w:r>
    </w:p>
    <w:p w14:paraId="55B0F148">
      <w:pPr>
        <w:spacing w:before="192" w:line="468" w:lineRule="exact"/>
        <w:ind w:left="509"/>
        <w:rPr>
          <w:rFonts w:ascii="黑体" w:hAnsi="黑体" w:eastAsia="黑体" w:cs="黑体"/>
          <w:sz w:val="24"/>
          <w:szCs w:val="24"/>
        </w:rPr>
      </w:pPr>
      <w:r>
        <w:rPr>
          <w:rFonts w:ascii="黑体" w:hAnsi="黑体" w:eastAsia="黑体" w:cs="黑体"/>
          <w:spacing w:val="1"/>
          <w:position w:val="17"/>
          <w:sz w:val="24"/>
          <w:szCs w:val="24"/>
          <w14:textOutline w14:w="4358" w14:cap="sq" w14:cmpd="sng">
            <w14:solidFill>
              <w14:srgbClr w14:val="000000"/>
            </w14:solidFill>
            <w14:prstDash w14:val="solid"/>
            <w14:bevel/>
          </w14:textOutline>
        </w:rPr>
        <w:t>（13）拟派本项目技术人员配置情况表（详见附件</w:t>
      </w:r>
      <w:r>
        <w:rPr>
          <w:rFonts w:ascii="黑体" w:hAnsi="黑体" w:eastAsia="黑体" w:cs="黑体"/>
          <w:position w:val="17"/>
          <w:sz w:val="24"/>
          <w:szCs w:val="24"/>
          <w14:textOutline w14:w="4358" w14:cap="sq" w14:cmpd="sng">
            <w14:solidFill>
              <w14:srgbClr w14:val="000000"/>
            </w14:solidFill>
            <w14:prstDash w14:val="solid"/>
            <w14:bevel/>
          </w14:textOutline>
        </w:rPr>
        <w:t>13）；</w:t>
      </w:r>
    </w:p>
    <w:p w14:paraId="495B8F09">
      <w:pPr>
        <w:spacing w:before="1" w:line="212" w:lineRule="auto"/>
        <w:ind w:left="509"/>
        <w:rPr>
          <w:rFonts w:ascii="黑体" w:hAnsi="黑体" w:eastAsia="黑体" w:cs="黑体"/>
          <w:sz w:val="24"/>
          <w:szCs w:val="24"/>
        </w:rPr>
      </w:pPr>
      <w:r>
        <w:rPr>
          <w:rFonts w:ascii="黑体" w:hAnsi="黑体" w:eastAsia="黑体" w:cs="黑体"/>
          <w:spacing w:val="2"/>
          <w:sz w:val="24"/>
          <w:szCs w:val="24"/>
          <w14:textOutline w14:w="4358" w14:cap="sq" w14:cmpd="sng">
            <w14:solidFill>
              <w14:srgbClr w14:val="000000"/>
            </w14:solidFill>
            <w14:prstDash w14:val="solid"/>
            <w14:bevel/>
          </w14:textOutline>
        </w:rPr>
        <w:t>（14）中、小微企业声明函（如若有</w:t>
      </w:r>
      <w:r>
        <w:rPr>
          <w:rFonts w:ascii="黑体" w:hAnsi="黑体" w:eastAsia="黑体" w:cs="黑体"/>
          <w:spacing w:val="-5"/>
          <w:sz w:val="24"/>
          <w:szCs w:val="24"/>
          <w14:textOutline w14:w="4358" w14:cap="sq" w14:cmpd="sng">
            <w14:solidFill>
              <w14:srgbClr w14:val="000000"/>
            </w14:solidFill>
            <w14:prstDash w14:val="solid"/>
            <w14:bevel/>
          </w14:textOutline>
        </w:rPr>
        <w:t>）（</w:t>
      </w:r>
      <w:r>
        <w:rPr>
          <w:rFonts w:ascii="黑体" w:hAnsi="黑体" w:eastAsia="黑体" w:cs="黑体"/>
          <w:spacing w:val="2"/>
          <w:sz w:val="24"/>
          <w:szCs w:val="24"/>
          <w14:textOutline w14:w="4358" w14:cap="sq" w14:cmpd="sng">
            <w14:solidFill>
              <w14:srgbClr w14:val="000000"/>
            </w14:solidFill>
            <w14:prstDash w14:val="solid"/>
            <w14:bevel/>
          </w14:textOutline>
        </w:rPr>
        <w:t>详见</w:t>
      </w:r>
      <w:r>
        <w:rPr>
          <w:rFonts w:ascii="黑体" w:hAnsi="黑体" w:eastAsia="黑体" w:cs="黑体"/>
          <w:spacing w:val="1"/>
          <w:sz w:val="24"/>
          <w:szCs w:val="24"/>
          <w14:textOutline w14:w="4358" w14:cap="sq" w14:cmpd="sng">
            <w14:solidFill>
              <w14:srgbClr w14:val="000000"/>
            </w14:solidFill>
            <w14:prstDash w14:val="solid"/>
            <w14:bevel/>
          </w14:textOutline>
        </w:rPr>
        <w:t>附件14</w:t>
      </w:r>
      <w:r>
        <w:rPr>
          <w:rFonts w:ascii="黑体" w:hAnsi="黑体" w:eastAsia="黑体" w:cs="黑体"/>
          <w:spacing w:val="-5"/>
          <w:sz w:val="24"/>
          <w:szCs w:val="24"/>
          <w14:textOutline w14:w="4358" w14:cap="sq" w14:cmpd="sng">
            <w14:solidFill>
              <w14:srgbClr w14:val="000000"/>
            </w14:solidFill>
            <w14:prstDash w14:val="solid"/>
            <w14:bevel/>
          </w14:textOutline>
        </w:rPr>
        <w:t>）；</w:t>
      </w:r>
    </w:p>
    <w:p w14:paraId="45A9EA7D">
      <w:pPr>
        <w:spacing w:before="191" w:line="468" w:lineRule="exact"/>
        <w:ind w:right="4"/>
        <w:jc w:val="right"/>
        <w:rPr>
          <w:rFonts w:ascii="黑体" w:hAnsi="黑体" w:eastAsia="黑体" w:cs="黑体"/>
          <w:sz w:val="24"/>
          <w:szCs w:val="24"/>
        </w:rPr>
      </w:pPr>
      <w:r>
        <w:rPr>
          <w:rFonts w:ascii="黑体" w:hAnsi="黑体" w:eastAsia="黑体" w:cs="黑体"/>
          <w:position w:val="17"/>
          <w:sz w:val="24"/>
          <w:szCs w:val="24"/>
          <w14:textOutline w14:w="4358" w14:cap="sq" w14:cmpd="sng">
            <w14:solidFill>
              <w14:srgbClr w14:val="000000"/>
            </w14:solidFill>
            <w14:prstDash w14:val="solid"/>
            <w14:bevel/>
          </w14:textOutline>
        </w:rPr>
        <w:t>（15）施工方案与技术措施、质量管理体系与措施、安全管理体系与措施、环境</w:t>
      </w:r>
    </w:p>
    <w:p w14:paraId="607850A2">
      <w:pPr>
        <w:spacing w:before="1" w:line="212" w:lineRule="auto"/>
        <w:rPr>
          <w:rFonts w:ascii="黑体" w:hAnsi="黑体" w:eastAsia="黑体" w:cs="黑体"/>
          <w:sz w:val="24"/>
          <w:szCs w:val="24"/>
        </w:rPr>
      </w:pPr>
      <w:r>
        <w:rPr>
          <w:rFonts w:ascii="黑体" w:hAnsi="黑体" w:eastAsia="黑体" w:cs="黑体"/>
          <w:spacing w:val="3"/>
          <w:sz w:val="24"/>
          <w:szCs w:val="24"/>
          <w14:textOutline w14:w="4358" w14:cap="sq" w14:cmpd="sng">
            <w14:solidFill>
              <w14:srgbClr w14:val="000000"/>
            </w14:solidFill>
            <w14:prstDash w14:val="solid"/>
            <w14:bevel/>
          </w14:textOutline>
        </w:rPr>
        <w:t>保护管理体系与措施、工程进度计划与措施（供应商自拟</w:t>
      </w:r>
      <w:r>
        <w:rPr>
          <w:rFonts w:ascii="黑体" w:hAnsi="黑体" w:eastAsia="黑体" w:cs="黑体"/>
          <w:spacing w:val="-4"/>
          <w:sz w:val="24"/>
          <w:szCs w:val="24"/>
          <w14:textOutline w14:w="4358" w14:cap="sq" w14:cmpd="sng">
            <w14:solidFill>
              <w14:srgbClr w14:val="000000"/>
            </w14:solidFill>
            <w14:prstDash w14:val="solid"/>
            <w14:bevel/>
          </w14:textOutline>
        </w:rPr>
        <w:t>）（</w:t>
      </w:r>
      <w:r>
        <w:rPr>
          <w:rFonts w:ascii="黑体" w:hAnsi="黑体" w:eastAsia="黑体" w:cs="黑体"/>
          <w:spacing w:val="3"/>
          <w:sz w:val="24"/>
          <w:szCs w:val="24"/>
          <w14:textOutline w14:w="4358" w14:cap="sq" w14:cmpd="sng">
            <w14:solidFill>
              <w14:srgbClr w14:val="000000"/>
            </w14:solidFill>
            <w14:prstDash w14:val="solid"/>
            <w14:bevel/>
          </w14:textOutline>
        </w:rPr>
        <w:t>详见附件15</w:t>
      </w:r>
      <w:r>
        <w:rPr>
          <w:rFonts w:ascii="黑体" w:hAnsi="黑体" w:eastAsia="黑体" w:cs="黑体"/>
          <w:spacing w:val="-4"/>
          <w:sz w:val="24"/>
          <w:szCs w:val="24"/>
          <w14:textOutline w14:w="4358" w14:cap="sq" w14:cmpd="sng">
            <w14:solidFill>
              <w14:srgbClr w14:val="000000"/>
            </w14:solidFill>
            <w14:prstDash w14:val="solid"/>
            <w14:bevel/>
          </w14:textOutline>
        </w:rPr>
        <w:t>）；</w:t>
      </w:r>
    </w:p>
    <w:p w14:paraId="7853EB00">
      <w:pPr>
        <w:spacing w:before="191" w:line="468" w:lineRule="exact"/>
        <w:ind w:left="509"/>
        <w:rPr>
          <w:rFonts w:ascii="黑体" w:hAnsi="黑体" w:eastAsia="黑体" w:cs="黑体"/>
          <w:sz w:val="24"/>
          <w:szCs w:val="24"/>
        </w:rPr>
      </w:pPr>
      <w:r>
        <w:rPr>
          <w:rFonts w:ascii="黑体" w:hAnsi="黑体" w:eastAsia="黑体" w:cs="黑体"/>
          <w:spacing w:val="2"/>
          <w:position w:val="17"/>
          <w:sz w:val="24"/>
          <w:szCs w:val="24"/>
          <w14:textOutline w14:w="4358" w14:cap="sq" w14:cmpd="sng">
            <w14:solidFill>
              <w14:srgbClr w14:val="000000"/>
            </w14:solidFill>
            <w14:prstDash w14:val="solid"/>
            <w14:bevel/>
          </w14:textOutline>
        </w:rPr>
        <w:t>（16）要求提供的其它材料以及供应商认</w:t>
      </w:r>
      <w:r>
        <w:rPr>
          <w:rFonts w:ascii="黑体" w:hAnsi="黑体" w:eastAsia="黑体" w:cs="黑体"/>
          <w:spacing w:val="1"/>
          <w:position w:val="17"/>
          <w:sz w:val="24"/>
          <w:szCs w:val="24"/>
          <w14:textOutline w14:w="4358" w14:cap="sq" w14:cmpd="sng">
            <w14:solidFill>
              <w14:srgbClr w14:val="000000"/>
            </w14:solidFill>
            <w14:prstDash w14:val="solid"/>
            <w14:bevel/>
          </w14:textOutline>
        </w:rPr>
        <w:t>为需要提交的材料（详见附件16）。</w:t>
      </w:r>
    </w:p>
    <w:p w14:paraId="170BAF77">
      <w:pPr>
        <w:spacing w:before="1" w:line="221" w:lineRule="auto"/>
        <w:ind w:left="14"/>
        <w:rPr>
          <w:rFonts w:ascii="黑体" w:hAnsi="黑体" w:eastAsia="黑体" w:cs="黑体"/>
          <w:sz w:val="24"/>
          <w:szCs w:val="24"/>
        </w:rPr>
      </w:pPr>
      <w:r>
        <w:rPr>
          <w:rFonts w:ascii="黑体" w:hAnsi="黑体" w:eastAsia="黑体" w:cs="黑体"/>
          <w:spacing w:val="-2"/>
          <w:sz w:val="24"/>
          <w:szCs w:val="24"/>
          <w14:textOutline w14:w="4358" w14:cap="sq" w14:cmpd="sng">
            <w14:solidFill>
              <w14:srgbClr w14:val="000000"/>
            </w14:solidFill>
            <w14:prstDash w14:val="solid"/>
            <w14:bevel/>
          </w14:textOutline>
        </w:rPr>
        <w:t>12响应文件的格式</w:t>
      </w:r>
    </w:p>
    <w:p w14:paraId="483EAD54">
      <w:pPr>
        <w:spacing w:before="180" w:line="468" w:lineRule="exact"/>
        <w:ind w:right="2"/>
        <w:jc w:val="right"/>
        <w:rPr>
          <w:rFonts w:ascii="黑体" w:hAnsi="黑体" w:eastAsia="黑体" w:cs="黑体"/>
          <w:sz w:val="24"/>
          <w:szCs w:val="24"/>
        </w:rPr>
      </w:pPr>
      <w:r>
        <w:rPr>
          <w:rFonts w:ascii="黑体" w:hAnsi="黑体" w:eastAsia="黑体" w:cs="黑体"/>
          <w:spacing w:val="4"/>
          <w:position w:val="17"/>
          <w:sz w:val="24"/>
          <w:szCs w:val="24"/>
        </w:rPr>
        <w:t>12.1竞争性磋商文件附件及竞争性磋商文件各章节提供</w:t>
      </w:r>
      <w:r>
        <w:rPr>
          <w:rFonts w:ascii="黑体" w:hAnsi="黑体" w:eastAsia="黑体" w:cs="黑体"/>
          <w:spacing w:val="3"/>
          <w:position w:val="17"/>
          <w:sz w:val="24"/>
          <w:szCs w:val="24"/>
        </w:rPr>
        <w:t>了一部分用于编制响应</w:t>
      </w:r>
    </w:p>
    <w:p w14:paraId="7A6E3FC1">
      <w:pPr>
        <w:spacing w:before="1" w:line="212" w:lineRule="auto"/>
        <w:ind w:left="4"/>
        <w:rPr>
          <w:rFonts w:ascii="黑体" w:hAnsi="黑体" w:eastAsia="黑体" w:cs="黑体"/>
          <w:sz w:val="24"/>
          <w:szCs w:val="24"/>
        </w:rPr>
      </w:pPr>
      <w:r>
        <w:rPr>
          <w:rFonts w:ascii="黑体" w:hAnsi="黑体" w:eastAsia="黑体" w:cs="黑体"/>
          <w:spacing w:val="2"/>
          <w:sz w:val="24"/>
          <w:szCs w:val="24"/>
        </w:rPr>
        <w:t>文件时必要的格式，供应商应按此格式编制响</w:t>
      </w:r>
      <w:r>
        <w:rPr>
          <w:rFonts w:ascii="黑体" w:hAnsi="黑体" w:eastAsia="黑体" w:cs="黑体"/>
          <w:spacing w:val="1"/>
          <w:sz w:val="24"/>
          <w:szCs w:val="24"/>
        </w:rPr>
        <w:t>应文件。</w:t>
      </w:r>
    </w:p>
    <w:p w14:paraId="119D2CEB">
      <w:pPr>
        <w:spacing w:before="191" w:line="221" w:lineRule="auto"/>
        <w:ind w:left="501"/>
        <w:rPr>
          <w:rFonts w:ascii="黑体" w:hAnsi="黑体" w:eastAsia="黑体" w:cs="黑体"/>
          <w:sz w:val="24"/>
          <w:szCs w:val="24"/>
        </w:rPr>
      </w:pPr>
      <w:r>
        <w:rPr>
          <w:rFonts w:ascii="黑体" w:hAnsi="黑体" w:eastAsia="黑体" w:cs="黑体"/>
          <w:spacing w:val="1"/>
          <w:sz w:val="24"/>
          <w:szCs w:val="24"/>
        </w:rPr>
        <w:t>12.2竞争性磋商文件中未提供格式的部分由供应商自行编制。</w:t>
      </w:r>
    </w:p>
    <w:p w14:paraId="6FFE9E41">
      <w:pPr>
        <w:spacing w:before="181" w:line="222" w:lineRule="auto"/>
        <w:ind w:left="14"/>
        <w:rPr>
          <w:rFonts w:ascii="黑体" w:hAnsi="黑体" w:eastAsia="黑体" w:cs="黑体"/>
          <w:sz w:val="24"/>
          <w:szCs w:val="24"/>
        </w:rPr>
      </w:pPr>
      <w:r>
        <w:rPr>
          <w:rFonts w:ascii="黑体" w:hAnsi="黑体" w:eastAsia="黑体" w:cs="黑体"/>
          <w:spacing w:val="-3"/>
          <w:sz w:val="24"/>
          <w:szCs w:val="24"/>
          <w14:textOutline w14:w="4358" w14:cap="sq" w14:cmpd="sng">
            <w14:solidFill>
              <w14:srgbClr w14:val="000000"/>
            </w14:solidFill>
            <w14:prstDash w14:val="solid"/>
            <w14:bevel/>
          </w14:textOutline>
        </w:rPr>
        <w:t>13投标报价</w:t>
      </w:r>
    </w:p>
    <w:p w14:paraId="754642AC">
      <w:pPr>
        <w:spacing w:before="180" w:line="468" w:lineRule="exact"/>
        <w:ind w:right="4"/>
        <w:jc w:val="right"/>
        <w:rPr>
          <w:rFonts w:ascii="黑体" w:hAnsi="黑体" w:eastAsia="黑体" w:cs="黑体"/>
          <w:sz w:val="24"/>
          <w:szCs w:val="24"/>
        </w:rPr>
      </w:pPr>
      <w:r>
        <w:rPr>
          <w:rFonts w:ascii="黑体" w:hAnsi="黑体" w:eastAsia="黑体" w:cs="黑体"/>
          <w:spacing w:val="4"/>
          <w:position w:val="17"/>
          <w:sz w:val="24"/>
          <w:szCs w:val="24"/>
          <w14:textOutline w14:w="4358" w14:cap="sq" w14:cmpd="sng">
            <w14:solidFill>
              <w14:srgbClr w14:val="000000"/>
            </w14:solidFill>
            <w14:prstDash w14:val="solid"/>
            <w14:bevel/>
          </w14:textOutline>
        </w:rPr>
        <w:t>13.1除本竞争性磋商文件另有规定外，供应商应</w:t>
      </w:r>
      <w:r>
        <w:rPr>
          <w:rFonts w:ascii="黑体" w:hAnsi="黑体" w:eastAsia="黑体" w:cs="黑体"/>
          <w:spacing w:val="3"/>
          <w:position w:val="17"/>
          <w:sz w:val="24"/>
          <w:szCs w:val="24"/>
          <w14:textOutline w14:w="4358" w14:cap="sq" w14:cmpd="sng">
            <w14:solidFill>
              <w14:srgbClr w14:val="000000"/>
            </w14:solidFill>
            <w14:prstDash w14:val="solid"/>
            <w14:bevel/>
          </w14:textOutline>
        </w:rPr>
        <w:t>按竞争性磋商文件所附相应的</w:t>
      </w:r>
    </w:p>
    <w:p w14:paraId="433FD2FD">
      <w:pPr>
        <w:spacing w:before="1" w:line="220" w:lineRule="auto"/>
        <w:rPr>
          <w:rFonts w:ascii="黑体" w:hAnsi="黑体" w:eastAsia="黑体" w:cs="黑体"/>
          <w:sz w:val="24"/>
          <w:szCs w:val="24"/>
        </w:rPr>
      </w:pPr>
      <w:r>
        <w:rPr>
          <w:rFonts w:ascii="黑体" w:hAnsi="黑体" w:eastAsia="黑体" w:cs="黑体"/>
          <w:spacing w:val="3"/>
          <w:sz w:val="24"/>
          <w:szCs w:val="24"/>
          <w14:textOutline w14:w="4358" w14:cap="sq" w14:cmpd="sng">
            <w14:solidFill>
              <w14:srgbClr w14:val="000000"/>
            </w14:solidFill>
            <w14:prstDash w14:val="solid"/>
            <w14:bevel/>
          </w14:textOutline>
        </w:rPr>
        <w:t>投标一览表格式标明投标报价等内容。报价以人民币</w:t>
      </w:r>
      <w:r>
        <w:rPr>
          <w:rFonts w:ascii="黑体" w:hAnsi="黑体" w:eastAsia="黑体" w:cs="黑体"/>
          <w:spacing w:val="2"/>
          <w:sz w:val="24"/>
          <w:szCs w:val="24"/>
          <w14:textOutline w14:w="4358" w14:cap="sq" w14:cmpd="sng">
            <w14:solidFill>
              <w14:srgbClr w14:val="000000"/>
            </w14:solidFill>
            <w14:prstDash w14:val="solid"/>
            <w14:bevel/>
          </w14:textOutline>
        </w:rPr>
        <w:t>报价。</w:t>
      </w:r>
    </w:p>
    <w:p w14:paraId="360AEA7B">
      <w:pPr>
        <w:spacing w:before="180" w:line="222" w:lineRule="auto"/>
        <w:ind w:left="501"/>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13.2任何有选择性的报价将不予接受。</w:t>
      </w:r>
    </w:p>
    <w:p w14:paraId="00C47BC1">
      <w:pPr>
        <w:spacing w:before="180" w:line="468" w:lineRule="exact"/>
        <w:jc w:val="right"/>
        <w:rPr>
          <w:rFonts w:ascii="黑体" w:hAnsi="黑体" w:eastAsia="黑体" w:cs="黑体"/>
          <w:sz w:val="24"/>
          <w:szCs w:val="24"/>
        </w:rPr>
      </w:pPr>
      <w:r>
        <w:rPr>
          <w:rFonts w:ascii="黑体" w:hAnsi="黑体" w:eastAsia="黑体" w:cs="黑体"/>
          <w:spacing w:val="4"/>
          <w:position w:val="17"/>
          <w:sz w:val="24"/>
          <w:szCs w:val="24"/>
        </w:rPr>
        <w:t>13.3供应商须充分注意并重视第三章“工程量清单”的内容</w:t>
      </w:r>
      <w:r>
        <w:rPr>
          <w:rFonts w:ascii="黑体" w:hAnsi="黑体" w:eastAsia="黑体" w:cs="黑体"/>
          <w:spacing w:val="3"/>
          <w:position w:val="17"/>
          <w:sz w:val="24"/>
          <w:szCs w:val="24"/>
        </w:rPr>
        <w:t>，并严格按该章的</w:t>
      </w:r>
    </w:p>
    <w:p w14:paraId="0458AFAF">
      <w:pPr>
        <w:spacing w:before="1" w:line="221" w:lineRule="auto"/>
        <w:ind w:left="2"/>
        <w:rPr>
          <w:rFonts w:ascii="黑体" w:hAnsi="黑体" w:eastAsia="黑体" w:cs="黑体"/>
          <w:sz w:val="24"/>
          <w:szCs w:val="24"/>
        </w:rPr>
      </w:pPr>
      <w:r>
        <w:rPr>
          <w:rFonts w:ascii="黑体" w:hAnsi="黑体" w:eastAsia="黑体" w:cs="黑体"/>
          <w:spacing w:val="1"/>
          <w:sz w:val="24"/>
          <w:szCs w:val="24"/>
        </w:rPr>
        <w:t>有关内容做出实质性响应。</w:t>
      </w:r>
    </w:p>
    <w:p w14:paraId="08110F42">
      <w:pPr>
        <w:spacing w:before="180" w:line="360" w:lineRule="auto"/>
        <w:ind w:right="2" w:firstLine="501"/>
        <w:rPr>
          <w:rFonts w:ascii="黑体" w:hAnsi="黑体" w:eastAsia="黑体" w:cs="黑体"/>
          <w:sz w:val="24"/>
          <w:szCs w:val="24"/>
        </w:rPr>
      </w:pPr>
      <w:r>
        <w:rPr>
          <w:rFonts w:ascii="黑体" w:hAnsi="黑体" w:eastAsia="黑体" w:cs="黑体"/>
          <w:spacing w:val="4"/>
          <w:sz w:val="24"/>
          <w:szCs w:val="24"/>
        </w:rPr>
        <w:t>13.4供应商可按竞争性磋商文件第三章“工程量清单”</w:t>
      </w:r>
      <w:r>
        <w:rPr>
          <w:rFonts w:ascii="黑体" w:hAnsi="黑体" w:eastAsia="黑体" w:cs="黑体"/>
          <w:spacing w:val="3"/>
          <w:sz w:val="24"/>
          <w:szCs w:val="24"/>
        </w:rPr>
        <w:t>的内容进行报价，投标</w:t>
      </w:r>
      <w:r>
        <w:rPr>
          <w:rFonts w:ascii="黑体" w:hAnsi="黑体" w:eastAsia="黑体" w:cs="黑体"/>
          <w:spacing w:val="1"/>
          <w:sz w:val="24"/>
          <w:szCs w:val="24"/>
        </w:rPr>
        <w:t>报价应包含税金及本项目所产生的全部费用，</w:t>
      </w:r>
      <w:r>
        <w:rPr>
          <w:rFonts w:ascii="黑体" w:hAnsi="黑体" w:eastAsia="黑体" w:cs="黑体"/>
          <w:spacing w:val="1"/>
          <w:sz w:val="24"/>
          <w:szCs w:val="24"/>
          <w14:textOutline w14:w="4358" w14:cap="sq" w14:cmpd="sng">
            <w14:solidFill>
              <w14:srgbClr w14:val="000000"/>
            </w14:solidFill>
            <w14:prstDash w14:val="solid"/>
            <w14:bevel/>
          </w14:textOutline>
        </w:rPr>
        <w:t>且投标报价不得等于或高于最高限价金</w:t>
      </w:r>
    </w:p>
    <w:p w14:paraId="02B03002">
      <w:pPr>
        <w:spacing w:before="1" w:line="212" w:lineRule="auto"/>
        <w:rPr>
          <w:rFonts w:ascii="黑体" w:hAnsi="黑体" w:eastAsia="黑体" w:cs="黑体"/>
          <w:sz w:val="24"/>
          <w:szCs w:val="24"/>
        </w:rPr>
      </w:pPr>
      <w:r>
        <w:rPr>
          <w:rFonts w:ascii="黑体" w:hAnsi="黑体" w:eastAsia="黑体" w:cs="黑体"/>
          <w:spacing w:val="2"/>
          <w:sz w:val="24"/>
          <w:szCs w:val="24"/>
          <w14:textOutline w14:w="4358" w14:cap="sq" w14:cmpd="sng">
            <w14:solidFill>
              <w14:srgbClr w14:val="000000"/>
            </w14:solidFill>
            <w14:prstDash w14:val="solid"/>
            <w14:bevel/>
          </w14:textOutline>
        </w:rPr>
        <w:t>额，否则将按无效投标处理。</w:t>
      </w:r>
    </w:p>
    <w:p w14:paraId="64DD4B83">
      <w:pPr>
        <w:spacing w:before="191" w:line="468" w:lineRule="exact"/>
        <w:ind w:right="2"/>
        <w:jc w:val="right"/>
        <w:rPr>
          <w:rFonts w:ascii="黑体" w:hAnsi="黑体" w:eastAsia="黑体" w:cs="黑体"/>
          <w:sz w:val="24"/>
          <w:szCs w:val="24"/>
        </w:rPr>
      </w:pPr>
      <w:r>
        <w:rPr>
          <w:rFonts w:ascii="黑体" w:hAnsi="黑体" w:eastAsia="黑体" w:cs="黑体"/>
          <w:spacing w:val="4"/>
          <w:position w:val="17"/>
          <w:sz w:val="24"/>
          <w:szCs w:val="24"/>
        </w:rPr>
        <w:t>13.5供应商的报价在中标后的合同实施期间应保持不变</w:t>
      </w:r>
      <w:r>
        <w:rPr>
          <w:rFonts w:ascii="黑体" w:hAnsi="黑体" w:eastAsia="黑体" w:cs="黑体"/>
          <w:spacing w:val="3"/>
          <w:position w:val="17"/>
          <w:sz w:val="24"/>
          <w:szCs w:val="24"/>
        </w:rPr>
        <w:t>，即不因市场价格或政</w:t>
      </w:r>
    </w:p>
    <w:p w14:paraId="483A7D4F">
      <w:pPr>
        <w:spacing w:before="1" w:line="221" w:lineRule="auto"/>
        <w:rPr>
          <w:rFonts w:ascii="黑体" w:hAnsi="黑体" w:eastAsia="黑体" w:cs="黑体"/>
          <w:sz w:val="24"/>
          <w:szCs w:val="24"/>
        </w:rPr>
      </w:pPr>
      <w:r>
        <w:rPr>
          <w:rFonts w:ascii="黑体" w:hAnsi="黑体" w:eastAsia="黑体" w:cs="黑体"/>
          <w:spacing w:val="1"/>
          <w:sz w:val="24"/>
          <w:szCs w:val="24"/>
        </w:rPr>
        <w:t>策性价格的调整而增减。</w:t>
      </w:r>
    </w:p>
    <w:p w14:paraId="1DD4966E">
      <w:pPr>
        <w:spacing w:before="180" w:line="221" w:lineRule="auto"/>
        <w:ind w:left="14"/>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14证明供应商合格的资格证明文件</w:t>
      </w:r>
    </w:p>
    <w:p w14:paraId="2A5386CC">
      <w:pPr>
        <w:spacing w:line="221" w:lineRule="auto"/>
        <w:rPr>
          <w:rFonts w:ascii="黑体" w:hAnsi="黑体" w:eastAsia="黑体" w:cs="黑体"/>
          <w:sz w:val="24"/>
          <w:szCs w:val="24"/>
        </w:rPr>
        <w:sectPr>
          <w:footerReference r:id="rId11" w:type="default"/>
          <w:pgSz w:w="11906" w:h="16839"/>
          <w:pgMar w:top="1431" w:right="1559" w:bottom="1012" w:left="1423" w:header="0" w:footer="850" w:gutter="0"/>
          <w:cols w:space="720" w:num="1"/>
        </w:sectPr>
      </w:pPr>
    </w:p>
    <w:p w14:paraId="131C4D2E">
      <w:pPr>
        <w:spacing w:before="101" w:line="468" w:lineRule="exact"/>
        <w:ind w:left="487"/>
        <w:rPr>
          <w:rFonts w:ascii="黑体" w:hAnsi="黑体" w:eastAsia="黑体" w:cs="黑体"/>
          <w:sz w:val="24"/>
          <w:szCs w:val="24"/>
        </w:rPr>
      </w:pPr>
      <w:r>
        <w:rPr>
          <w:rFonts w:ascii="黑体" w:hAnsi="黑体" w:eastAsia="黑体" w:cs="黑体"/>
          <w:spacing w:val="1"/>
          <w:position w:val="17"/>
          <w:sz w:val="24"/>
          <w:szCs w:val="24"/>
        </w:rPr>
        <w:t>按照供应商须知前附表规定，供应商应提交竞争性磋商文件所要求的资格</w:t>
      </w:r>
      <w:r>
        <w:rPr>
          <w:rFonts w:ascii="黑体" w:hAnsi="黑体" w:eastAsia="黑体" w:cs="黑体"/>
          <w:position w:val="17"/>
          <w:sz w:val="24"/>
          <w:szCs w:val="24"/>
        </w:rPr>
        <w:t>证明文</w:t>
      </w:r>
    </w:p>
    <w:p w14:paraId="16287F29">
      <w:pPr>
        <w:spacing w:line="224" w:lineRule="auto"/>
        <w:rPr>
          <w:rFonts w:ascii="黑体" w:hAnsi="黑体" w:eastAsia="黑体" w:cs="黑体"/>
          <w:sz w:val="24"/>
          <w:szCs w:val="24"/>
        </w:rPr>
      </w:pPr>
      <w:r>
        <w:rPr>
          <w:rFonts w:ascii="黑体" w:hAnsi="黑体" w:eastAsia="黑体" w:cs="黑体"/>
          <w:spacing w:val="-4"/>
          <w:sz w:val="24"/>
          <w:szCs w:val="24"/>
        </w:rPr>
        <w:t>件。</w:t>
      </w:r>
    </w:p>
    <w:p w14:paraId="23892E64">
      <w:pPr>
        <w:spacing w:before="176" w:line="221" w:lineRule="auto"/>
        <w:ind w:left="14"/>
        <w:rPr>
          <w:rFonts w:ascii="黑体" w:hAnsi="黑体" w:eastAsia="黑体" w:cs="黑体"/>
          <w:sz w:val="24"/>
          <w:szCs w:val="24"/>
        </w:rPr>
      </w:pPr>
      <w:r>
        <w:rPr>
          <w:rFonts w:ascii="黑体" w:hAnsi="黑体" w:eastAsia="黑体" w:cs="黑体"/>
          <w:spacing w:val="2"/>
          <w:sz w:val="24"/>
          <w:szCs w:val="24"/>
          <w14:textOutline w14:w="4358" w14:cap="sq" w14:cmpd="sng">
            <w14:solidFill>
              <w14:srgbClr w14:val="000000"/>
            </w14:solidFill>
            <w14:prstDash w14:val="solid"/>
            <w14:bevel/>
          </w14:textOutline>
        </w:rPr>
        <w:t>15证明符合竞争性磋商文件规定的文件</w:t>
      </w:r>
    </w:p>
    <w:p w14:paraId="46EF3743">
      <w:pPr>
        <w:spacing w:before="180" w:line="360" w:lineRule="auto"/>
        <w:ind w:left="2" w:right="40" w:firstLine="485"/>
        <w:jc w:val="both"/>
        <w:rPr>
          <w:rFonts w:ascii="黑体" w:hAnsi="黑体" w:eastAsia="黑体" w:cs="黑体"/>
          <w:sz w:val="24"/>
          <w:szCs w:val="24"/>
        </w:rPr>
      </w:pPr>
      <w:r>
        <w:rPr>
          <w:rFonts w:ascii="黑体" w:hAnsi="黑体" w:eastAsia="黑体" w:cs="黑体"/>
          <w:spacing w:val="1"/>
          <w:sz w:val="24"/>
          <w:szCs w:val="24"/>
        </w:rPr>
        <w:t>供应商应逐条对竞争性磋商文件要求的内容做出实质性响应，认真填写</w:t>
      </w:r>
      <w:r>
        <w:rPr>
          <w:rFonts w:ascii="黑体" w:hAnsi="黑体" w:eastAsia="黑体" w:cs="黑体"/>
          <w:sz w:val="24"/>
          <w:szCs w:val="24"/>
        </w:rPr>
        <w:t>竞争性磋</w:t>
      </w:r>
      <w:r>
        <w:rPr>
          <w:rFonts w:ascii="黑体" w:hAnsi="黑体" w:eastAsia="黑体" w:cs="黑体"/>
          <w:spacing w:val="4"/>
          <w:sz w:val="24"/>
          <w:szCs w:val="24"/>
        </w:rPr>
        <w:t>商文件所附的“商务条款偏离表”、“技术规格偏离表”。</w:t>
      </w:r>
      <w:r>
        <w:rPr>
          <w:rFonts w:ascii="黑体" w:hAnsi="黑体" w:eastAsia="黑体" w:cs="黑体"/>
          <w:spacing w:val="4"/>
          <w:sz w:val="24"/>
          <w:szCs w:val="24"/>
          <w14:textOutline w14:w="4358" w14:cap="sq" w14:cmpd="sng">
            <w14:solidFill>
              <w14:srgbClr w14:val="000000"/>
            </w14:solidFill>
            <w14:prstDash w14:val="solid"/>
            <w14:bevel/>
          </w14:textOutline>
        </w:rPr>
        <w:t>若有偏离,请将具体偏离</w:t>
      </w:r>
      <w:r>
        <w:rPr>
          <w:rFonts w:ascii="黑体" w:hAnsi="黑体" w:eastAsia="黑体" w:cs="黑体"/>
          <w:spacing w:val="2"/>
          <w:sz w:val="24"/>
          <w:szCs w:val="24"/>
          <w14:textOutline w14:w="4358" w14:cap="sq" w14:cmpd="sng">
            <w14:solidFill>
              <w14:srgbClr w14:val="000000"/>
            </w14:solidFill>
            <w14:prstDash w14:val="solid"/>
            <w14:bevel/>
          </w14:textOutline>
        </w:rPr>
        <w:t>条款在“偏离”一栏中详细说明；若无偏离，请在“偏离”一栏中标注“无”字样。</w:t>
      </w:r>
    </w:p>
    <w:p w14:paraId="355E5F7B">
      <w:pPr>
        <w:spacing w:line="221" w:lineRule="auto"/>
        <w:rPr>
          <w:rFonts w:ascii="黑体" w:hAnsi="黑体" w:eastAsia="黑体" w:cs="黑体"/>
          <w:sz w:val="24"/>
          <w:szCs w:val="24"/>
        </w:rPr>
      </w:pPr>
      <w:r>
        <w:rPr>
          <w:rFonts w:ascii="黑体" w:hAnsi="黑体" w:eastAsia="黑体" w:cs="黑体"/>
          <w:spacing w:val="2"/>
          <w:sz w:val="24"/>
          <w:szCs w:val="24"/>
          <w14:textOutline w14:w="4358" w14:cap="sq" w14:cmpd="sng">
            <w14:solidFill>
              <w14:srgbClr w14:val="000000"/>
            </w14:solidFill>
            <w14:prstDash w14:val="solid"/>
            <w14:bevel/>
          </w14:textOutline>
        </w:rPr>
        <w:t>如不填写将视为不响应竞争性磋商文件要求。</w:t>
      </w:r>
    </w:p>
    <w:p w14:paraId="7225057C">
      <w:pPr>
        <w:spacing w:before="180" w:line="221" w:lineRule="auto"/>
        <w:ind w:left="14"/>
        <w:rPr>
          <w:rFonts w:ascii="黑体" w:hAnsi="黑体" w:eastAsia="黑体" w:cs="黑体"/>
          <w:sz w:val="24"/>
          <w:szCs w:val="24"/>
        </w:rPr>
      </w:pPr>
      <w:r>
        <w:rPr>
          <w:rFonts w:ascii="黑体" w:hAnsi="黑体" w:eastAsia="黑体" w:cs="黑体"/>
          <w:spacing w:val="-2"/>
          <w:sz w:val="24"/>
          <w:szCs w:val="24"/>
          <w14:textOutline w14:w="4358" w14:cap="sq" w14:cmpd="sng">
            <w14:solidFill>
              <w14:srgbClr w14:val="000000"/>
            </w14:solidFill>
            <w14:prstDash w14:val="solid"/>
            <w14:bevel/>
          </w14:textOutline>
        </w:rPr>
        <w:t>16电子响应文件的有效期</w:t>
      </w:r>
    </w:p>
    <w:p w14:paraId="19B4661E">
      <w:pPr>
        <w:spacing w:before="181" w:line="220" w:lineRule="auto"/>
        <w:ind w:left="501"/>
        <w:rPr>
          <w:rFonts w:ascii="黑体" w:hAnsi="黑体" w:eastAsia="黑体" w:cs="黑体"/>
          <w:sz w:val="24"/>
          <w:szCs w:val="24"/>
        </w:rPr>
      </w:pPr>
      <w:r>
        <w:rPr>
          <w:rFonts w:ascii="黑体" w:hAnsi="黑体" w:eastAsia="黑体" w:cs="黑体"/>
          <w:spacing w:val="1"/>
          <w:sz w:val="24"/>
          <w:szCs w:val="24"/>
        </w:rPr>
        <w:t>16.1</w:t>
      </w:r>
      <w:r>
        <w:rPr>
          <w:rFonts w:ascii="黑体" w:hAnsi="黑体" w:eastAsia="黑体" w:cs="黑体"/>
          <w:spacing w:val="1"/>
          <w:sz w:val="24"/>
          <w:szCs w:val="24"/>
          <w14:textOutline w14:w="4358" w14:cap="sq" w14:cmpd="sng">
            <w14:solidFill>
              <w14:srgbClr w14:val="000000"/>
            </w14:solidFill>
            <w14:prstDash w14:val="solid"/>
            <w14:bevel/>
          </w14:textOutline>
        </w:rPr>
        <w:t>响应文件有效期：提交响应文件的截止之日起</w:t>
      </w:r>
      <w:r>
        <w:rPr>
          <w:rFonts w:hint="eastAsia" w:ascii="黑体" w:hAnsi="黑体" w:eastAsia="黑体" w:cs="黑体"/>
          <w:spacing w:val="1"/>
          <w:sz w:val="24"/>
          <w:szCs w:val="24"/>
          <w:lang w:val="en-US" w:eastAsia="zh-CN"/>
          <w14:textOutline w14:w="4358" w14:cap="sq" w14:cmpd="sng">
            <w14:solidFill>
              <w14:srgbClr w14:val="000000"/>
            </w14:solidFill>
            <w14:prstDash w14:val="solid"/>
            <w14:bevel/>
          </w14:textOutline>
        </w:rPr>
        <w:t>45</w:t>
      </w:r>
      <w:r>
        <w:rPr>
          <w:rFonts w:ascii="黑体" w:hAnsi="黑体" w:eastAsia="黑体" w:cs="黑体"/>
          <w:spacing w:val="1"/>
          <w:sz w:val="24"/>
          <w:szCs w:val="24"/>
          <w14:textOutline w14:w="4358" w14:cap="sq" w14:cmpd="sng">
            <w14:solidFill>
              <w14:srgbClr w14:val="000000"/>
            </w14:solidFill>
            <w14:prstDash w14:val="solid"/>
            <w14:bevel/>
          </w14:textOutline>
        </w:rPr>
        <w:t>天。</w:t>
      </w:r>
    </w:p>
    <w:p w14:paraId="21069427">
      <w:pPr>
        <w:spacing w:before="182" w:line="468" w:lineRule="exact"/>
        <w:ind w:left="501"/>
        <w:rPr>
          <w:rFonts w:ascii="黑体" w:hAnsi="黑体" w:eastAsia="黑体" w:cs="黑体"/>
          <w:sz w:val="24"/>
          <w:szCs w:val="24"/>
        </w:rPr>
      </w:pPr>
      <w:r>
        <w:rPr>
          <w:rFonts w:ascii="黑体" w:hAnsi="黑体" w:eastAsia="黑体" w:cs="黑体"/>
          <w:spacing w:val="4"/>
          <w:position w:val="17"/>
          <w:sz w:val="24"/>
          <w:szCs w:val="24"/>
        </w:rPr>
        <w:t>16.2在特殊情况下,在原响应文件有效期届满</w:t>
      </w:r>
      <w:r>
        <w:rPr>
          <w:rFonts w:ascii="黑体" w:hAnsi="黑体" w:eastAsia="黑体" w:cs="黑体"/>
          <w:spacing w:val="3"/>
          <w:position w:val="17"/>
          <w:sz w:val="24"/>
          <w:szCs w:val="24"/>
        </w:rPr>
        <w:t>之前，采购人可与供应商协商延</w:t>
      </w:r>
    </w:p>
    <w:p w14:paraId="3EAC6797">
      <w:pPr>
        <w:spacing w:before="1" w:line="212" w:lineRule="auto"/>
        <w:ind w:left="6"/>
        <w:rPr>
          <w:rFonts w:ascii="黑体" w:hAnsi="黑体" w:eastAsia="黑体" w:cs="黑体"/>
          <w:sz w:val="24"/>
          <w:szCs w:val="24"/>
        </w:rPr>
      </w:pPr>
      <w:r>
        <w:rPr>
          <w:rFonts w:ascii="黑体" w:hAnsi="黑体" w:eastAsia="黑体" w:cs="黑体"/>
          <w:spacing w:val="1"/>
          <w:sz w:val="24"/>
          <w:szCs w:val="24"/>
        </w:rPr>
        <w:t>长响应文件的有效期，并经供应商确认。</w:t>
      </w:r>
    </w:p>
    <w:p w14:paraId="7F1CF7C9">
      <w:pPr>
        <w:spacing w:before="190" w:line="222" w:lineRule="auto"/>
        <w:ind w:left="14"/>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17电子响应文件的格式要求及签署</w:t>
      </w:r>
    </w:p>
    <w:p w14:paraId="2EF15241">
      <w:pPr>
        <w:spacing w:before="180" w:line="468" w:lineRule="exact"/>
        <w:ind w:left="501"/>
        <w:rPr>
          <w:rFonts w:ascii="黑体" w:hAnsi="黑体" w:eastAsia="黑体" w:cs="黑体"/>
          <w:sz w:val="24"/>
          <w:szCs w:val="24"/>
        </w:rPr>
      </w:pPr>
      <w:r>
        <w:rPr>
          <w:rFonts w:ascii="黑体" w:hAnsi="黑体" w:eastAsia="黑体" w:cs="黑体"/>
          <w:spacing w:val="4"/>
          <w:position w:val="17"/>
          <w:sz w:val="24"/>
          <w:szCs w:val="24"/>
        </w:rPr>
        <w:t>17.1响应文件的格式应清楚工整，未实质性</w:t>
      </w:r>
      <w:r>
        <w:rPr>
          <w:rFonts w:ascii="黑体" w:hAnsi="黑体" w:eastAsia="黑体" w:cs="黑体"/>
          <w:spacing w:val="3"/>
          <w:position w:val="17"/>
          <w:sz w:val="24"/>
          <w:szCs w:val="24"/>
        </w:rPr>
        <w:t>响应竞争性磋商文件、字迹潦草、</w:t>
      </w:r>
    </w:p>
    <w:p w14:paraId="72A80EDD">
      <w:pPr>
        <w:spacing w:before="2" w:line="220" w:lineRule="auto"/>
        <w:ind w:left="5"/>
        <w:rPr>
          <w:rFonts w:ascii="黑体" w:hAnsi="黑体" w:eastAsia="黑体" w:cs="黑体"/>
          <w:sz w:val="24"/>
          <w:szCs w:val="24"/>
        </w:rPr>
      </w:pPr>
      <w:r>
        <w:rPr>
          <w:rFonts w:ascii="黑体" w:hAnsi="黑体" w:eastAsia="黑体" w:cs="黑体"/>
          <w:spacing w:val="2"/>
          <w:sz w:val="24"/>
          <w:szCs w:val="24"/>
        </w:rPr>
        <w:t>表达不清、未按要求填写或可能导致非唯一理解的响应文件将按无效投标处理。</w:t>
      </w:r>
    </w:p>
    <w:p w14:paraId="6E6F9E94">
      <w:pPr>
        <w:spacing w:before="180" w:line="468" w:lineRule="exact"/>
        <w:ind w:left="501"/>
        <w:rPr>
          <w:rFonts w:ascii="黑体" w:hAnsi="黑体" w:eastAsia="黑体" w:cs="黑体"/>
          <w:sz w:val="24"/>
          <w:szCs w:val="24"/>
        </w:rPr>
      </w:pPr>
      <w:r>
        <w:rPr>
          <w:rFonts w:ascii="黑体" w:hAnsi="黑体" w:eastAsia="黑体" w:cs="黑体"/>
          <w:spacing w:val="4"/>
          <w:position w:val="17"/>
          <w:sz w:val="24"/>
          <w:szCs w:val="24"/>
        </w:rPr>
        <w:t>17.2响应文件应由供应商法定代表人或委托代理人在规</w:t>
      </w:r>
      <w:r>
        <w:rPr>
          <w:rFonts w:ascii="黑体" w:hAnsi="黑体" w:eastAsia="黑体" w:cs="黑体"/>
          <w:spacing w:val="3"/>
          <w:position w:val="17"/>
          <w:sz w:val="24"/>
          <w:szCs w:val="24"/>
        </w:rPr>
        <w:t>定签章处逐一签署及加</w:t>
      </w:r>
    </w:p>
    <w:p w14:paraId="67CFD0AF">
      <w:pPr>
        <w:spacing w:before="1" w:line="221" w:lineRule="auto"/>
        <w:rPr>
          <w:rFonts w:ascii="黑体" w:hAnsi="黑体" w:eastAsia="黑体" w:cs="黑体"/>
          <w:sz w:val="24"/>
          <w:szCs w:val="24"/>
        </w:rPr>
      </w:pPr>
      <w:r>
        <w:rPr>
          <w:rFonts w:ascii="黑体" w:hAnsi="黑体" w:eastAsia="黑体" w:cs="黑体"/>
          <w:sz w:val="24"/>
          <w:szCs w:val="24"/>
        </w:rPr>
        <w:t>盖供应商的公章。</w:t>
      </w:r>
    </w:p>
    <w:p w14:paraId="6C68D26E">
      <w:pPr>
        <w:spacing w:before="180" w:line="222" w:lineRule="auto"/>
        <w:ind w:left="14"/>
        <w:rPr>
          <w:rFonts w:ascii="黑体" w:hAnsi="黑体" w:eastAsia="黑体" w:cs="黑体"/>
          <w:sz w:val="24"/>
          <w:szCs w:val="24"/>
        </w:rPr>
      </w:pPr>
      <w:r>
        <w:rPr>
          <w:rFonts w:ascii="黑体" w:hAnsi="黑体" w:eastAsia="黑体" w:cs="黑体"/>
          <w:spacing w:val="-2"/>
          <w:sz w:val="24"/>
          <w:szCs w:val="24"/>
          <w14:textOutline w14:w="4358" w14:cap="sq" w14:cmpd="sng">
            <w14:solidFill>
              <w14:srgbClr w14:val="000000"/>
            </w14:solidFill>
            <w14:prstDash w14:val="solid"/>
            <w14:bevel/>
          </w14:textOutline>
        </w:rPr>
        <w:t>18投标保证金</w:t>
      </w:r>
    </w:p>
    <w:p w14:paraId="1EAAD382">
      <w:pPr>
        <w:spacing w:before="179" w:line="213" w:lineRule="auto"/>
        <w:jc w:val="right"/>
        <w:rPr>
          <w:rFonts w:ascii="黑体" w:hAnsi="黑体" w:eastAsia="黑体" w:cs="黑体"/>
          <w:sz w:val="24"/>
          <w:szCs w:val="24"/>
        </w:rPr>
      </w:pPr>
      <w:r>
        <w:rPr>
          <w:rFonts w:ascii="黑体" w:hAnsi="黑体" w:eastAsia="黑体" w:cs="黑体"/>
          <w:sz w:val="24"/>
          <w:szCs w:val="24"/>
        </w:rPr>
        <w:t>18.1投标保证金金额为前附表要求金额</w:t>
      </w:r>
      <w:r>
        <w:rPr>
          <w:rFonts w:ascii="黑体" w:hAnsi="黑体" w:eastAsia="黑体" w:cs="黑体"/>
          <w:spacing w:val="-1"/>
          <w:sz w:val="24"/>
          <w:szCs w:val="24"/>
        </w:rPr>
        <w:t>，各供应商必须在投标截止时间前提交。</w:t>
      </w:r>
    </w:p>
    <w:p w14:paraId="5C28F3DD">
      <w:pPr>
        <w:spacing w:before="191" w:line="222" w:lineRule="auto"/>
        <w:jc w:val="right"/>
        <w:rPr>
          <w:rFonts w:ascii="黑体" w:hAnsi="黑体" w:eastAsia="黑体" w:cs="黑体"/>
          <w:sz w:val="24"/>
          <w:szCs w:val="24"/>
        </w:rPr>
      </w:pPr>
      <w:r>
        <w:rPr>
          <w:rFonts w:ascii="黑体" w:hAnsi="黑体" w:eastAsia="黑体" w:cs="黑体"/>
          <w:sz w:val="24"/>
          <w:szCs w:val="24"/>
        </w:rPr>
        <w:t>18.2投标保证金用于保护本次招标免受</w:t>
      </w:r>
      <w:r>
        <w:rPr>
          <w:rFonts w:ascii="黑体" w:hAnsi="黑体" w:eastAsia="黑体" w:cs="黑体"/>
          <w:spacing w:val="-1"/>
          <w:sz w:val="24"/>
          <w:szCs w:val="24"/>
        </w:rPr>
        <w:t>供应商的违规、违约行为而引起的风险。</w:t>
      </w:r>
    </w:p>
    <w:p w14:paraId="40CDAA02">
      <w:pPr>
        <w:spacing w:before="180" w:line="221" w:lineRule="auto"/>
        <w:ind w:left="501"/>
        <w:rPr>
          <w:rFonts w:ascii="黑体" w:hAnsi="黑体" w:eastAsia="黑体" w:cs="黑体"/>
          <w:sz w:val="24"/>
          <w:szCs w:val="24"/>
        </w:rPr>
      </w:pPr>
      <w:r>
        <w:rPr>
          <w:rFonts w:ascii="黑体" w:hAnsi="黑体" w:eastAsia="黑体" w:cs="黑体"/>
          <w:sz w:val="24"/>
          <w:szCs w:val="24"/>
        </w:rPr>
        <w:t>18.3发生以下情况投标保证金不予退还：</w:t>
      </w:r>
    </w:p>
    <w:p w14:paraId="56D6281D">
      <w:pPr>
        <w:spacing w:before="181" w:line="213" w:lineRule="auto"/>
        <w:ind w:left="501"/>
        <w:rPr>
          <w:rFonts w:ascii="黑体" w:hAnsi="黑体" w:eastAsia="黑体" w:cs="黑体"/>
          <w:sz w:val="24"/>
          <w:szCs w:val="24"/>
        </w:rPr>
      </w:pPr>
      <w:r>
        <w:rPr>
          <w:rFonts w:ascii="黑体" w:hAnsi="黑体" w:eastAsia="黑体" w:cs="黑体"/>
          <w:spacing w:val="1"/>
          <w:sz w:val="24"/>
          <w:szCs w:val="24"/>
        </w:rPr>
        <w:t>18.3.1如果供应商在投标有效期内撤回响应文件的；</w:t>
      </w:r>
    </w:p>
    <w:p w14:paraId="11B3991A">
      <w:pPr>
        <w:spacing w:before="191" w:line="213" w:lineRule="auto"/>
        <w:ind w:left="501"/>
        <w:rPr>
          <w:rFonts w:ascii="黑体" w:hAnsi="黑体" w:eastAsia="黑体" w:cs="黑体"/>
          <w:sz w:val="24"/>
          <w:szCs w:val="24"/>
        </w:rPr>
      </w:pPr>
      <w:r>
        <w:rPr>
          <w:rFonts w:ascii="黑体" w:hAnsi="黑体" w:eastAsia="黑体" w:cs="黑体"/>
          <w:spacing w:val="4"/>
          <w:sz w:val="24"/>
          <w:szCs w:val="24"/>
        </w:rPr>
        <w:t>18.3.2中标供应商有下列情形之一的，投标保证金不予退还；情节严重的，由</w:t>
      </w:r>
    </w:p>
    <w:p w14:paraId="2BF1FF12">
      <w:pPr>
        <w:spacing w:before="191" w:line="468" w:lineRule="exact"/>
        <w:ind w:left="3"/>
        <w:rPr>
          <w:rFonts w:ascii="黑体" w:hAnsi="黑体" w:eastAsia="黑体" w:cs="黑体"/>
          <w:sz w:val="24"/>
          <w:szCs w:val="24"/>
        </w:rPr>
      </w:pPr>
      <w:r>
        <w:rPr>
          <w:rFonts w:ascii="黑体" w:hAnsi="黑体" w:eastAsia="黑体" w:cs="黑体"/>
          <w:spacing w:val="1"/>
          <w:position w:val="17"/>
          <w:sz w:val="24"/>
          <w:szCs w:val="24"/>
        </w:rPr>
        <w:t>财政部门将其列入不良行为记录名单，在一至三年内禁止参加政府采购活动，并</w:t>
      </w:r>
      <w:r>
        <w:rPr>
          <w:rFonts w:ascii="黑体" w:hAnsi="黑体" w:eastAsia="黑体" w:cs="黑体"/>
          <w:position w:val="17"/>
          <w:sz w:val="24"/>
          <w:szCs w:val="24"/>
        </w:rPr>
        <w:t>予以</w:t>
      </w:r>
    </w:p>
    <w:p w14:paraId="5C9365D1">
      <w:pPr>
        <w:spacing w:line="222" w:lineRule="auto"/>
        <w:rPr>
          <w:rFonts w:ascii="黑体" w:hAnsi="黑体" w:eastAsia="黑体" w:cs="黑体"/>
          <w:sz w:val="24"/>
          <w:szCs w:val="24"/>
        </w:rPr>
      </w:pPr>
      <w:r>
        <w:rPr>
          <w:rFonts w:ascii="黑体" w:hAnsi="黑体" w:eastAsia="黑体" w:cs="黑体"/>
          <w:spacing w:val="-2"/>
          <w:sz w:val="24"/>
          <w:szCs w:val="24"/>
        </w:rPr>
        <w:t>通报：</w:t>
      </w:r>
    </w:p>
    <w:p w14:paraId="4FC39E31">
      <w:pPr>
        <w:spacing w:before="179" w:line="213" w:lineRule="auto"/>
        <w:ind w:left="509"/>
        <w:rPr>
          <w:rFonts w:ascii="黑体" w:hAnsi="黑体" w:eastAsia="黑体" w:cs="黑体"/>
          <w:sz w:val="24"/>
          <w:szCs w:val="24"/>
        </w:rPr>
      </w:pPr>
      <w:r>
        <w:rPr>
          <w:rFonts w:ascii="黑体" w:hAnsi="黑体" w:eastAsia="黑体" w:cs="黑体"/>
          <w:spacing w:val="1"/>
          <w:sz w:val="24"/>
          <w:szCs w:val="24"/>
        </w:rPr>
        <w:t>（一）中标后无正当理由不与采购人签订合同的；</w:t>
      </w:r>
    </w:p>
    <w:p w14:paraId="50A1FBB5">
      <w:pPr>
        <w:spacing w:before="191" w:line="468" w:lineRule="exact"/>
        <w:ind w:right="38"/>
        <w:jc w:val="right"/>
        <w:rPr>
          <w:rFonts w:ascii="黑体" w:hAnsi="黑体" w:eastAsia="黑体" w:cs="黑体"/>
          <w:sz w:val="24"/>
          <w:szCs w:val="24"/>
        </w:rPr>
      </w:pPr>
      <w:r>
        <w:rPr>
          <w:rFonts w:ascii="黑体" w:hAnsi="黑体" w:eastAsia="黑体" w:cs="黑体"/>
          <w:spacing w:val="2"/>
          <w:position w:val="17"/>
          <w:sz w:val="24"/>
          <w:szCs w:val="24"/>
        </w:rPr>
        <w:t>（二）未经采购人同意将中标项目转让给他</w:t>
      </w:r>
      <w:r>
        <w:rPr>
          <w:rFonts w:ascii="黑体" w:hAnsi="黑体" w:eastAsia="黑体" w:cs="黑体"/>
          <w:spacing w:val="1"/>
          <w:position w:val="17"/>
          <w:sz w:val="24"/>
          <w:szCs w:val="24"/>
        </w:rPr>
        <w:t>人，或者将中标项目分包给他人的；</w:t>
      </w:r>
    </w:p>
    <w:p w14:paraId="5EA94090">
      <w:pPr>
        <w:spacing w:before="2" w:line="220" w:lineRule="auto"/>
        <w:ind w:left="509"/>
        <w:rPr>
          <w:rFonts w:ascii="黑体" w:hAnsi="黑体" w:eastAsia="黑体" w:cs="黑体"/>
          <w:sz w:val="24"/>
          <w:szCs w:val="24"/>
        </w:rPr>
      </w:pPr>
      <w:r>
        <w:rPr>
          <w:rFonts w:ascii="黑体" w:hAnsi="黑体" w:eastAsia="黑体" w:cs="黑体"/>
          <w:spacing w:val="-1"/>
          <w:sz w:val="24"/>
          <w:szCs w:val="24"/>
        </w:rPr>
        <w:t>（三）拒绝履行合同义务的。</w:t>
      </w:r>
    </w:p>
    <w:p w14:paraId="0DF58013">
      <w:pPr>
        <w:spacing w:before="180" w:line="360" w:lineRule="auto"/>
        <w:ind w:right="84" w:firstLine="501"/>
        <w:rPr>
          <w:rFonts w:ascii="黑体" w:hAnsi="黑体" w:eastAsia="黑体" w:cs="黑体"/>
          <w:sz w:val="24"/>
          <w:szCs w:val="24"/>
        </w:rPr>
      </w:pPr>
      <w:r>
        <w:rPr>
          <w:rFonts w:ascii="黑体" w:hAnsi="黑体" w:eastAsia="黑体" w:cs="黑体"/>
          <w:spacing w:val="4"/>
          <w:sz w:val="24"/>
          <w:szCs w:val="24"/>
        </w:rPr>
        <w:t>18.3.3如果中标供应商放弃中标项目的，无正</w:t>
      </w:r>
      <w:r>
        <w:rPr>
          <w:rFonts w:ascii="黑体" w:hAnsi="黑体" w:eastAsia="黑体" w:cs="黑体"/>
          <w:spacing w:val="3"/>
          <w:sz w:val="24"/>
          <w:szCs w:val="24"/>
        </w:rPr>
        <w:t>当理由不与采购人签订合同的，</w:t>
      </w:r>
      <w:r>
        <w:rPr>
          <w:rFonts w:ascii="黑体" w:hAnsi="黑体" w:eastAsia="黑体" w:cs="黑体"/>
          <w:spacing w:val="1"/>
          <w:sz w:val="24"/>
          <w:szCs w:val="24"/>
        </w:rPr>
        <w:t>在签订合同时向采购人提出附加条件或者更改合同实质性内容的，或者拒不提交所要</w:t>
      </w:r>
    </w:p>
    <w:p w14:paraId="37B1F753">
      <w:pPr>
        <w:spacing w:before="1" w:line="221" w:lineRule="auto"/>
        <w:ind w:left="3"/>
        <w:rPr>
          <w:rFonts w:ascii="黑体" w:hAnsi="黑体" w:eastAsia="黑体" w:cs="黑体"/>
          <w:sz w:val="24"/>
          <w:szCs w:val="24"/>
        </w:rPr>
      </w:pPr>
      <w:r>
        <w:rPr>
          <w:rFonts w:ascii="黑体" w:hAnsi="黑体" w:eastAsia="黑体" w:cs="黑体"/>
          <w:sz w:val="24"/>
          <w:szCs w:val="24"/>
        </w:rPr>
        <w:t>求的履约保证金的。</w:t>
      </w:r>
    </w:p>
    <w:p w14:paraId="277A1EEA">
      <w:pPr>
        <w:spacing w:line="221" w:lineRule="auto"/>
        <w:rPr>
          <w:rFonts w:ascii="黑体" w:hAnsi="黑体" w:eastAsia="黑体" w:cs="黑体"/>
          <w:sz w:val="24"/>
          <w:szCs w:val="24"/>
        </w:rPr>
        <w:sectPr>
          <w:footerReference r:id="rId12" w:type="default"/>
          <w:pgSz w:w="11906" w:h="16839"/>
          <w:pgMar w:top="1431" w:right="1477" w:bottom="1012" w:left="1423" w:header="0" w:footer="850" w:gutter="0"/>
          <w:cols w:space="720" w:num="1"/>
        </w:sectPr>
      </w:pPr>
    </w:p>
    <w:p w14:paraId="7D072ACA">
      <w:pPr>
        <w:spacing w:before="91" w:line="222" w:lineRule="auto"/>
        <w:jc w:val="center"/>
        <w:rPr>
          <w:rFonts w:ascii="黑体" w:hAnsi="黑体" w:eastAsia="黑体" w:cs="黑体"/>
          <w:sz w:val="28"/>
          <w:szCs w:val="28"/>
        </w:rPr>
      </w:pPr>
      <w:r>
        <w:rPr>
          <w:rFonts w:ascii="黑体" w:hAnsi="黑体" w:eastAsia="黑体" w:cs="黑体"/>
          <w:spacing w:val="-3"/>
          <w:sz w:val="28"/>
          <w:szCs w:val="28"/>
          <w14:textOutline w14:w="5103" w14:cap="sq" w14:cmpd="sng">
            <w14:solidFill>
              <w14:srgbClr w14:val="000000"/>
            </w14:solidFill>
            <w14:prstDash w14:val="solid"/>
            <w14:bevel/>
          </w14:textOutline>
        </w:rPr>
        <w:t>四、响应文件的提交</w:t>
      </w:r>
    </w:p>
    <w:p w14:paraId="729D2C68">
      <w:pPr>
        <w:spacing w:before="230" w:line="468" w:lineRule="exact"/>
        <w:ind w:left="14"/>
        <w:rPr>
          <w:rFonts w:ascii="黑体" w:hAnsi="黑体" w:eastAsia="黑体" w:cs="黑体"/>
          <w:sz w:val="24"/>
          <w:szCs w:val="24"/>
        </w:rPr>
      </w:pPr>
      <w:r>
        <w:rPr>
          <w:rFonts w:ascii="黑体" w:hAnsi="黑体" w:eastAsia="黑体" w:cs="黑体"/>
          <w:spacing w:val="1"/>
          <w:position w:val="17"/>
          <w:sz w:val="24"/>
          <w:szCs w:val="24"/>
          <w14:textOutline w14:w="4358" w14:cap="sq" w14:cmpd="sng">
            <w14:solidFill>
              <w14:srgbClr w14:val="000000"/>
            </w14:solidFill>
            <w14:prstDash w14:val="solid"/>
            <w14:bevel/>
          </w14:textOutline>
        </w:rPr>
        <w:t>19响应文件的提交详见供应商须知。</w:t>
      </w:r>
    </w:p>
    <w:p w14:paraId="24530078">
      <w:pPr>
        <w:spacing w:line="220" w:lineRule="auto"/>
        <w:rPr>
          <w:rFonts w:ascii="黑体" w:hAnsi="黑体" w:eastAsia="黑体" w:cs="黑体"/>
          <w:sz w:val="24"/>
          <w:szCs w:val="24"/>
        </w:rPr>
      </w:pPr>
      <w:r>
        <w:rPr>
          <w:rFonts w:ascii="黑体" w:hAnsi="黑体" w:eastAsia="黑体" w:cs="黑体"/>
          <w:spacing w:val="2"/>
          <w:sz w:val="24"/>
          <w:szCs w:val="24"/>
          <w14:textOutline w14:w="4358" w14:cap="sq" w14:cmpd="sng">
            <w14:solidFill>
              <w14:srgbClr w14:val="000000"/>
            </w14:solidFill>
            <w14:prstDash w14:val="solid"/>
            <w14:bevel/>
          </w14:textOutline>
        </w:rPr>
        <w:t>20响应文件提交的截止时间</w:t>
      </w:r>
    </w:p>
    <w:p w14:paraId="3302DF3A">
      <w:pPr>
        <w:spacing w:before="182" w:line="220" w:lineRule="auto"/>
        <w:ind w:left="487"/>
        <w:rPr>
          <w:rFonts w:ascii="黑体" w:hAnsi="黑体" w:eastAsia="黑体" w:cs="黑体"/>
          <w:sz w:val="24"/>
          <w:szCs w:val="24"/>
        </w:rPr>
      </w:pPr>
      <w:r>
        <w:rPr>
          <w:rFonts w:ascii="黑体" w:hAnsi="黑体" w:eastAsia="黑体" w:cs="黑体"/>
          <w:spacing w:val="2"/>
          <w:sz w:val="24"/>
          <w:szCs w:val="24"/>
        </w:rPr>
        <w:t>20.1供应商必须在竞争性磋商文件要求提交响应文件的截止时间前提</w:t>
      </w:r>
      <w:r>
        <w:rPr>
          <w:rFonts w:ascii="黑体" w:hAnsi="黑体" w:eastAsia="黑体" w:cs="黑体"/>
          <w:spacing w:val="1"/>
          <w:sz w:val="24"/>
          <w:szCs w:val="24"/>
        </w:rPr>
        <w:t>交。</w:t>
      </w:r>
    </w:p>
    <w:p w14:paraId="72600E5E">
      <w:pPr>
        <w:spacing w:before="181" w:line="468" w:lineRule="exact"/>
        <w:ind w:right="69"/>
        <w:jc w:val="right"/>
        <w:rPr>
          <w:rFonts w:ascii="黑体" w:hAnsi="黑体" w:eastAsia="黑体" w:cs="黑体"/>
          <w:sz w:val="24"/>
          <w:szCs w:val="24"/>
        </w:rPr>
      </w:pPr>
      <w:r>
        <w:rPr>
          <w:rFonts w:ascii="黑体" w:hAnsi="黑体" w:eastAsia="黑体" w:cs="黑体"/>
          <w:spacing w:val="5"/>
          <w:position w:val="17"/>
          <w:sz w:val="24"/>
          <w:szCs w:val="24"/>
        </w:rPr>
        <w:t>20.2在竞争性磋商文件要求提交响应</w:t>
      </w:r>
      <w:r>
        <w:rPr>
          <w:rFonts w:ascii="黑体" w:hAnsi="黑体" w:eastAsia="黑体" w:cs="黑体"/>
          <w:spacing w:val="4"/>
          <w:position w:val="17"/>
          <w:sz w:val="24"/>
          <w:szCs w:val="24"/>
        </w:rPr>
        <w:t>文件的截止时间之后上传的响应文件，为</w:t>
      </w:r>
    </w:p>
    <w:p w14:paraId="0B4F53B3">
      <w:pPr>
        <w:spacing w:before="1" w:line="212" w:lineRule="auto"/>
        <w:ind w:left="6"/>
        <w:rPr>
          <w:rFonts w:ascii="黑体" w:hAnsi="黑体" w:eastAsia="黑体" w:cs="黑体"/>
          <w:sz w:val="24"/>
          <w:szCs w:val="24"/>
        </w:rPr>
      </w:pPr>
      <w:r>
        <w:rPr>
          <w:rFonts w:ascii="黑体" w:hAnsi="黑体" w:eastAsia="黑体" w:cs="黑体"/>
          <w:spacing w:val="1"/>
          <w:sz w:val="24"/>
          <w:szCs w:val="24"/>
        </w:rPr>
        <w:t>无效响应文件，采购人将不予接收。</w:t>
      </w:r>
    </w:p>
    <w:p w14:paraId="2E8A8D9C">
      <w:pPr>
        <w:spacing w:before="191" w:line="222" w:lineRule="auto"/>
        <w:rPr>
          <w:rFonts w:ascii="黑体" w:hAnsi="黑体" w:eastAsia="黑体" w:cs="黑体"/>
          <w:sz w:val="24"/>
          <w:szCs w:val="24"/>
        </w:rPr>
      </w:pPr>
      <w:r>
        <w:rPr>
          <w:rFonts w:ascii="黑体" w:hAnsi="黑体" w:eastAsia="黑体" w:cs="黑体"/>
          <w:spacing w:val="2"/>
          <w:sz w:val="24"/>
          <w:szCs w:val="24"/>
          <w14:textOutline w14:w="4358" w14:cap="sq" w14:cmpd="sng">
            <w14:solidFill>
              <w14:srgbClr w14:val="000000"/>
            </w14:solidFill>
            <w14:prstDash w14:val="solid"/>
            <w14:bevel/>
          </w14:textOutline>
        </w:rPr>
        <w:t>21响应文件的修改和撤回</w:t>
      </w:r>
    </w:p>
    <w:p w14:paraId="079C3447">
      <w:pPr>
        <w:spacing w:before="180" w:line="360" w:lineRule="auto"/>
        <w:ind w:right="84" w:firstLine="487"/>
        <w:rPr>
          <w:rFonts w:ascii="黑体" w:hAnsi="黑体" w:eastAsia="黑体" w:cs="黑体"/>
          <w:sz w:val="24"/>
          <w:szCs w:val="24"/>
        </w:rPr>
      </w:pPr>
      <w:r>
        <w:rPr>
          <w:rFonts w:ascii="黑体" w:hAnsi="黑体" w:eastAsia="黑体" w:cs="黑体"/>
          <w:spacing w:val="4"/>
          <w:sz w:val="24"/>
          <w:szCs w:val="24"/>
        </w:rPr>
        <w:t>21.1供应商在投标截止时间前，可以对所提交的响应文件进行补充、修改或者</w:t>
      </w:r>
      <w:r>
        <w:rPr>
          <w:rFonts w:ascii="黑体" w:hAnsi="黑体" w:eastAsia="黑体" w:cs="黑体"/>
          <w:spacing w:val="1"/>
          <w:sz w:val="24"/>
          <w:szCs w:val="24"/>
        </w:rPr>
        <w:t>撤回。补充、修改的内容应当按竞争性磋商文件要求签署、盖章，并作为响应文件的组成部分。供应商对其响应文件进行的修改或撤回应在竞争性磋商文件规定的投标截</w:t>
      </w:r>
    </w:p>
    <w:p w14:paraId="6106A8A7">
      <w:pPr>
        <w:spacing w:line="222" w:lineRule="auto"/>
        <w:ind w:left="4"/>
        <w:rPr>
          <w:rFonts w:ascii="黑体" w:hAnsi="黑体" w:eastAsia="黑体" w:cs="黑体"/>
          <w:sz w:val="24"/>
          <w:szCs w:val="24"/>
        </w:rPr>
      </w:pPr>
      <w:r>
        <w:rPr>
          <w:rFonts w:ascii="黑体" w:hAnsi="黑体" w:eastAsia="黑体" w:cs="黑体"/>
          <w:spacing w:val="-1"/>
          <w:sz w:val="24"/>
          <w:szCs w:val="24"/>
        </w:rPr>
        <w:t>止时间前送达。</w:t>
      </w:r>
    </w:p>
    <w:p w14:paraId="694709D2">
      <w:pPr>
        <w:spacing w:before="179" w:line="468" w:lineRule="exact"/>
        <w:ind w:left="487"/>
        <w:rPr>
          <w:rFonts w:ascii="黑体" w:hAnsi="黑体" w:eastAsia="黑体" w:cs="黑体"/>
          <w:sz w:val="24"/>
          <w:szCs w:val="24"/>
        </w:rPr>
      </w:pPr>
      <w:r>
        <w:rPr>
          <w:rFonts w:ascii="黑体" w:hAnsi="黑体" w:eastAsia="黑体" w:cs="黑体"/>
          <w:spacing w:val="4"/>
          <w:position w:val="17"/>
          <w:sz w:val="24"/>
          <w:szCs w:val="24"/>
        </w:rPr>
        <w:t>21.2供应商根据竞争性磋商文件载明采购项目的实际情况，拟在中标后将中标</w:t>
      </w:r>
    </w:p>
    <w:p w14:paraId="084C228F">
      <w:pPr>
        <w:spacing w:before="1" w:line="212" w:lineRule="auto"/>
        <w:ind w:left="1"/>
        <w:rPr>
          <w:rFonts w:ascii="黑体" w:hAnsi="黑体" w:eastAsia="黑体" w:cs="黑体"/>
          <w:sz w:val="24"/>
          <w:szCs w:val="24"/>
        </w:rPr>
      </w:pPr>
      <w:r>
        <w:rPr>
          <w:rFonts w:ascii="黑体" w:hAnsi="黑体" w:eastAsia="黑体" w:cs="黑体"/>
          <w:spacing w:val="2"/>
          <w:sz w:val="24"/>
          <w:szCs w:val="24"/>
        </w:rPr>
        <w:t>项目的非主体、非关键性工作交由他人完成的，应当在响应文件中载明。</w:t>
      </w:r>
    </w:p>
    <w:p w14:paraId="381A222E">
      <w:pPr>
        <w:spacing w:before="192" w:line="220" w:lineRule="auto"/>
        <w:ind w:left="487"/>
        <w:rPr>
          <w:rFonts w:ascii="黑体" w:hAnsi="黑体" w:eastAsia="黑体" w:cs="黑体"/>
          <w:sz w:val="24"/>
          <w:szCs w:val="24"/>
        </w:rPr>
      </w:pPr>
      <w:r>
        <w:rPr>
          <w:rFonts w:ascii="黑体" w:hAnsi="黑体" w:eastAsia="黑体" w:cs="黑体"/>
          <w:spacing w:val="1"/>
          <w:sz w:val="24"/>
          <w:szCs w:val="24"/>
        </w:rPr>
        <w:t>21.3投标截止时间后不得修改响应文件。</w:t>
      </w:r>
    </w:p>
    <w:p w14:paraId="0944AD12">
      <w:pPr>
        <w:spacing w:before="181" w:line="468" w:lineRule="exact"/>
        <w:ind w:left="487"/>
        <w:rPr>
          <w:rFonts w:ascii="黑体" w:hAnsi="黑体" w:eastAsia="黑体" w:cs="黑体"/>
          <w:sz w:val="24"/>
          <w:szCs w:val="24"/>
        </w:rPr>
      </w:pPr>
      <w:r>
        <w:rPr>
          <w:rFonts w:ascii="黑体" w:hAnsi="黑体" w:eastAsia="黑体" w:cs="黑体"/>
          <w:spacing w:val="4"/>
          <w:position w:val="17"/>
          <w:sz w:val="24"/>
          <w:szCs w:val="24"/>
        </w:rPr>
        <w:t>21.4供应商不得在投标有效期内撤销响应文件，否则采购人将不予退还其投标</w:t>
      </w:r>
    </w:p>
    <w:p w14:paraId="3C9E4DFE">
      <w:pPr>
        <w:spacing w:before="1" w:line="224" w:lineRule="auto"/>
        <w:rPr>
          <w:rFonts w:ascii="黑体" w:hAnsi="黑体" w:eastAsia="黑体" w:cs="黑体"/>
          <w:sz w:val="24"/>
          <w:szCs w:val="24"/>
        </w:rPr>
      </w:pPr>
      <w:r>
        <w:rPr>
          <w:rFonts w:ascii="黑体" w:hAnsi="黑体" w:eastAsia="黑体" w:cs="黑体"/>
          <w:spacing w:val="-1"/>
          <w:sz w:val="24"/>
          <w:szCs w:val="24"/>
        </w:rPr>
        <w:t>保证金。</w:t>
      </w:r>
    </w:p>
    <w:p w14:paraId="3E2563C2">
      <w:pPr>
        <w:pStyle w:val="5"/>
        <w:spacing w:line="253" w:lineRule="auto"/>
      </w:pPr>
    </w:p>
    <w:p w14:paraId="0EE3A081">
      <w:pPr>
        <w:pStyle w:val="5"/>
        <w:spacing w:line="253" w:lineRule="auto"/>
      </w:pPr>
    </w:p>
    <w:p w14:paraId="17386821">
      <w:pPr>
        <w:pStyle w:val="5"/>
        <w:spacing w:line="254" w:lineRule="auto"/>
      </w:pPr>
    </w:p>
    <w:p w14:paraId="587DF439">
      <w:pPr>
        <w:spacing w:before="92" w:line="225" w:lineRule="auto"/>
        <w:ind w:left="3697"/>
        <w:rPr>
          <w:rFonts w:ascii="黑体" w:hAnsi="黑体" w:eastAsia="黑体" w:cs="黑体"/>
          <w:sz w:val="28"/>
          <w:szCs w:val="28"/>
        </w:rPr>
      </w:pPr>
      <w:r>
        <w:rPr>
          <w:rFonts w:ascii="黑体" w:hAnsi="黑体" w:eastAsia="黑体" w:cs="黑体"/>
          <w:spacing w:val="-14"/>
          <w:sz w:val="28"/>
          <w:szCs w:val="28"/>
          <w14:textOutline w14:w="5103" w14:cap="sq" w14:cmpd="sng">
            <w14:solidFill>
              <w14:srgbClr w14:val="000000"/>
            </w14:solidFill>
            <w14:prstDash w14:val="solid"/>
            <w14:bevel/>
          </w14:textOutline>
        </w:rPr>
        <w:t>五、开标</w:t>
      </w:r>
    </w:p>
    <w:p w14:paraId="2E27D65B">
      <w:pPr>
        <w:spacing w:before="227" w:line="224" w:lineRule="auto"/>
        <w:rPr>
          <w:rFonts w:ascii="黑体" w:hAnsi="黑体" w:eastAsia="黑体" w:cs="黑体"/>
          <w:sz w:val="24"/>
          <w:szCs w:val="24"/>
        </w:rPr>
      </w:pPr>
      <w:r>
        <w:rPr>
          <w:rFonts w:ascii="黑体" w:hAnsi="黑体" w:eastAsia="黑体" w:cs="黑体"/>
          <w:spacing w:val="-4"/>
          <w:sz w:val="24"/>
          <w:szCs w:val="24"/>
          <w14:textOutline w14:w="4358" w14:cap="sq" w14:cmpd="sng">
            <w14:solidFill>
              <w14:srgbClr w14:val="000000"/>
            </w14:solidFill>
            <w14:prstDash w14:val="solid"/>
            <w14:bevel/>
          </w14:textOutline>
        </w:rPr>
        <w:t>22开标</w:t>
      </w:r>
    </w:p>
    <w:p w14:paraId="74572FBE">
      <w:pPr>
        <w:spacing w:before="176" w:line="468" w:lineRule="exact"/>
        <w:ind w:left="487"/>
        <w:rPr>
          <w:rFonts w:ascii="黑体" w:hAnsi="黑体" w:eastAsia="黑体" w:cs="黑体"/>
          <w:sz w:val="24"/>
          <w:szCs w:val="24"/>
        </w:rPr>
      </w:pPr>
      <w:r>
        <w:rPr>
          <w:rFonts w:ascii="黑体" w:hAnsi="黑体" w:eastAsia="黑体" w:cs="黑体"/>
          <w:spacing w:val="4"/>
          <w:position w:val="17"/>
          <w:sz w:val="24"/>
          <w:szCs w:val="24"/>
        </w:rPr>
        <w:t>22.1开标时间为竞争性磋商文件中提交响应文件的截止时间；开标地点为竞争</w:t>
      </w:r>
    </w:p>
    <w:p w14:paraId="16094B68">
      <w:pPr>
        <w:spacing w:before="1" w:line="221" w:lineRule="auto"/>
        <w:ind w:left="1"/>
        <w:rPr>
          <w:rFonts w:ascii="黑体" w:hAnsi="黑体" w:eastAsia="黑体" w:cs="黑体"/>
          <w:sz w:val="24"/>
          <w:szCs w:val="24"/>
        </w:rPr>
      </w:pPr>
      <w:r>
        <w:rPr>
          <w:rFonts w:ascii="黑体" w:hAnsi="黑体" w:eastAsia="黑体" w:cs="黑体"/>
          <w:spacing w:val="1"/>
          <w:sz w:val="24"/>
          <w:szCs w:val="24"/>
        </w:rPr>
        <w:t>性磋商文件中预先确定的地点。</w:t>
      </w:r>
    </w:p>
    <w:p w14:paraId="51EB3FCD">
      <w:pPr>
        <w:spacing w:before="180" w:line="468" w:lineRule="exact"/>
        <w:ind w:left="487"/>
        <w:rPr>
          <w:rFonts w:ascii="黑体" w:hAnsi="黑体" w:eastAsia="黑体" w:cs="黑体"/>
          <w:sz w:val="24"/>
          <w:szCs w:val="24"/>
        </w:rPr>
      </w:pPr>
      <w:r>
        <w:rPr>
          <w:rFonts w:ascii="黑体" w:hAnsi="黑体" w:eastAsia="黑体" w:cs="黑体"/>
          <w:spacing w:val="4"/>
          <w:position w:val="17"/>
          <w:sz w:val="24"/>
          <w:szCs w:val="24"/>
        </w:rPr>
        <w:t>22.2采购代理机构主持，采购人、供应商和有关方面代表参加。投标供应商不</w:t>
      </w:r>
    </w:p>
    <w:p w14:paraId="68A76547">
      <w:pPr>
        <w:spacing w:before="1" w:line="212" w:lineRule="auto"/>
        <w:ind w:left="7"/>
        <w:rPr>
          <w:rFonts w:ascii="黑体" w:hAnsi="黑体" w:eastAsia="黑体" w:cs="黑体"/>
          <w:sz w:val="24"/>
          <w:szCs w:val="24"/>
        </w:rPr>
      </w:pPr>
      <w:r>
        <w:rPr>
          <w:rFonts w:ascii="黑体" w:hAnsi="黑体" w:eastAsia="黑体" w:cs="黑体"/>
          <w:spacing w:val="-3"/>
          <w:sz w:val="24"/>
          <w:szCs w:val="24"/>
        </w:rPr>
        <w:t>足3家的，不得开标。</w:t>
      </w:r>
    </w:p>
    <w:p w14:paraId="1C40DC18">
      <w:pPr>
        <w:spacing w:before="191" w:line="221" w:lineRule="auto"/>
        <w:ind w:left="487"/>
        <w:rPr>
          <w:rFonts w:ascii="黑体" w:hAnsi="黑体" w:eastAsia="黑体" w:cs="黑体"/>
          <w:sz w:val="24"/>
          <w:szCs w:val="24"/>
        </w:rPr>
      </w:pPr>
      <w:r>
        <w:rPr>
          <w:rFonts w:ascii="黑体" w:hAnsi="黑体" w:eastAsia="黑体" w:cs="黑体"/>
          <w:spacing w:val="1"/>
          <w:sz w:val="24"/>
          <w:szCs w:val="24"/>
        </w:rPr>
        <w:t>22.3开标方式：电子开评标</w:t>
      </w:r>
    </w:p>
    <w:p w14:paraId="230118BE">
      <w:pPr>
        <w:spacing w:before="181" w:line="468" w:lineRule="exact"/>
        <w:ind w:left="487"/>
        <w:rPr>
          <w:rFonts w:ascii="黑体" w:hAnsi="黑体" w:eastAsia="黑体" w:cs="黑体"/>
          <w:sz w:val="24"/>
          <w:szCs w:val="24"/>
        </w:rPr>
      </w:pPr>
      <w:r>
        <w:rPr>
          <w:rFonts w:ascii="黑体" w:hAnsi="黑体" w:eastAsia="黑体" w:cs="黑体"/>
          <w:spacing w:val="3"/>
          <w:position w:val="17"/>
          <w:sz w:val="24"/>
          <w:szCs w:val="24"/>
        </w:rPr>
        <w:t>22.3.1开标时间到达后，主持人开启解密标书后，供应商点击【</w:t>
      </w:r>
      <w:r>
        <w:rPr>
          <w:rFonts w:ascii="黑体" w:hAnsi="黑体" w:eastAsia="黑体" w:cs="黑体"/>
          <w:position w:val="17"/>
          <w:sz w:val="24"/>
          <w:szCs w:val="24"/>
        </w:rPr>
        <w:t>CA</w:t>
      </w:r>
      <w:r>
        <w:rPr>
          <w:rFonts w:ascii="黑体" w:hAnsi="黑体" w:eastAsia="黑体" w:cs="黑体"/>
          <w:spacing w:val="3"/>
          <w:position w:val="17"/>
          <w:sz w:val="24"/>
          <w:szCs w:val="24"/>
        </w:rPr>
        <w:t>解密】进行</w:t>
      </w:r>
    </w:p>
    <w:p w14:paraId="0B1AE553">
      <w:pPr>
        <w:spacing w:before="1" w:line="212" w:lineRule="auto"/>
        <w:jc w:val="right"/>
        <w:rPr>
          <w:rFonts w:ascii="黑体" w:hAnsi="黑体" w:eastAsia="黑体" w:cs="黑体"/>
          <w:sz w:val="24"/>
          <w:szCs w:val="24"/>
        </w:rPr>
      </w:pPr>
      <w:r>
        <w:rPr>
          <w:rFonts w:ascii="黑体" w:hAnsi="黑体" w:eastAsia="黑体" w:cs="黑体"/>
          <w:spacing w:val="-3"/>
          <w:sz w:val="24"/>
          <w:szCs w:val="24"/>
        </w:rPr>
        <w:t>解密，超过解密时限，默认供应商自动放弃。解密成功的响应文件的可继续进行</w:t>
      </w:r>
      <w:r>
        <w:rPr>
          <w:rFonts w:ascii="黑体" w:hAnsi="黑体" w:eastAsia="黑体" w:cs="黑体"/>
          <w:spacing w:val="-4"/>
          <w:sz w:val="24"/>
          <w:szCs w:val="24"/>
        </w:rPr>
        <w:t>开标。</w:t>
      </w:r>
    </w:p>
    <w:p w14:paraId="55931E46">
      <w:pPr>
        <w:spacing w:before="191" w:line="213" w:lineRule="auto"/>
        <w:ind w:left="487"/>
        <w:rPr>
          <w:rFonts w:ascii="黑体" w:hAnsi="黑体" w:eastAsia="黑体" w:cs="黑体"/>
          <w:sz w:val="24"/>
          <w:szCs w:val="24"/>
        </w:rPr>
      </w:pPr>
      <w:r>
        <w:rPr>
          <w:rFonts w:ascii="黑体" w:hAnsi="黑体" w:eastAsia="黑体" w:cs="黑体"/>
          <w:spacing w:val="4"/>
          <w:sz w:val="24"/>
          <w:szCs w:val="24"/>
        </w:rPr>
        <w:t>22.3.2若提交响应文件家数少于三家或者开标后成功解密的家数少</w:t>
      </w:r>
      <w:r>
        <w:rPr>
          <w:rFonts w:ascii="黑体" w:hAnsi="黑体" w:eastAsia="黑体" w:cs="黑体"/>
          <w:spacing w:val="3"/>
          <w:sz w:val="24"/>
          <w:szCs w:val="24"/>
        </w:rPr>
        <w:t>于三家的，</w:t>
      </w:r>
    </w:p>
    <w:p w14:paraId="7177F554">
      <w:pPr>
        <w:spacing w:line="213" w:lineRule="auto"/>
        <w:rPr>
          <w:rFonts w:ascii="黑体" w:hAnsi="黑体" w:eastAsia="黑体" w:cs="黑体"/>
          <w:sz w:val="24"/>
          <w:szCs w:val="24"/>
        </w:rPr>
        <w:sectPr>
          <w:footerReference r:id="rId13" w:type="default"/>
          <w:pgSz w:w="11906" w:h="16839"/>
          <w:pgMar w:top="1431" w:right="1477" w:bottom="1012" w:left="1423" w:header="0" w:footer="850" w:gutter="0"/>
          <w:cols w:space="720" w:num="1"/>
        </w:sectPr>
      </w:pPr>
    </w:p>
    <w:p w14:paraId="16307213">
      <w:pPr>
        <w:spacing w:before="100" w:line="222" w:lineRule="auto"/>
        <w:rPr>
          <w:rFonts w:ascii="黑体" w:hAnsi="黑体" w:eastAsia="黑体" w:cs="黑体"/>
          <w:sz w:val="24"/>
          <w:szCs w:val="24"/>
        </w:rPr>
      </w:pPr>
      <w:r>
        <w:rPr>
          <w:rFonts w:ascii="黑体" w:hAnsi="黑体" w:eastAsia="黑体" w:cs="黑体"/>
          <w:spacing w:val="1"/>
          <w:sz w:val="24"/>
          <w:szCs w:val="24"/>
        </w:rPr>
        <w:t>将终止该项目（标项）的开标。</w:t>
      </w:r>
    </w:p>
    <w:p w14:paraId="518F65B3">
      <w:pPr>
        <w:spacing w:before="179" w:line="468" w:lineRule="exact"/>
        <w:ind w:left="487"/>
        <w:rPr>
          <w:rFonts w:ascii="黑体" w:hAnsi="黑体" w:eastAsia="黑体" w:cs="黑体"/>
          <w:sz w:val="24"/>
          <w:szCs w:val="24"/>
        </w:rPr>
      </w:pPr>
      <w:r>
        <w:rPr>
          <w:rFonts w:ascii="黑体" w:hAnsi="黑体" w:eastAsia="黑体" w:cs="黑体"/>
          <w:spacing w:val="4"/>
          <w:position w:val="17"/>
          <w:sz w:val="24"/>
          <w:szCs w:val="24"/>
        </w:rPr>
        <w:t>22.4响应文件报价出现前后不一致的，除竞争性磋商文件另有规定外，按照下</w:t>
      </w:r>
    </w:p>
    <w:p w14:paraId="7C6DA4B4">
      <w:pPr>
        <w:spacing w:line="221" w:lineRule="auto"/>
        <w:ind w:left="4"/>
        <w:rPr>
          <w:rFonts w:ascii="黑体" w:hAnsi="黑体" w:eastAsia="黑体" w:cs="黑体"/>
          <w:sz w:val="24"/>
          <w:szCs w:val="24"/>
        </w:rPr>
      </w:pPr>
      <w:r>
        <w:rPr>
          <w:rFonts w:ascii="黑体" w:hAnsi="黑体" w:eastAsia="黑体" w:cs="黑体"/>
          <w:spacing w:val="-1"/>
          <w:sz w:val="24"/>
          <w:szCs w:val="24"/>
        </w:rPr>
        <w:t>列规定修正：</w:t>
      </w:r>
    </w:p>
    <w:p w14:paraId="66485B68">
      <w:pPr>
        <w:spacing w:before="179" w:line="222" w:lineRule="auto"/>
        <w:ind w:left="487"/>
        <w:rPr>
          <w:rFonts w:ascii="黑体" w:hAnsi="黑体" w:eastAsia="黑体" w:cs="黑体"/>
          <w:sz w:val="24"/>
          <w:szCs w:val="24"/>
        </w:rPr>
      </w:pPr>
      <w:r>
        <w:rPr>
          <w:rFonts w:ascii="黑体" w:hAnsi="黑体" w:eastAsia="黑体" w:cs="黑体"/>
          <w:spacing w:val="-1"/>
          <w:sz w:val="24"/>
          <w:szCs w:val="24"/>
        </w:rPr>
        <w:t>22.4.1响应文件中开标一览表（报价一览表）内容与响应文件中相应内容不一致</w:t>
      </w:r>
    </w:p>
    <w:p w14:paraId="43C11CA6">
      <w:pPr>
        <w:spacing w:before="180" w:line="213" w:lineRule="auto"/>
        <w:ind w:left="15"/>
        <w:rPr>
          <w:rFonts w:ascii="黑体" w:hAnsi="黑体" w:eastAsia="黑体" w:cs="黑体"/>
          <w:sz w:val="24"/>
          <w:szCs w:val="24"/>
        </w:rPr>
      </w:pPr>
      <w:r>
        <w:rPr>
          <w:rFonts w:ascii="黑体" w:hAnsi="黑体" w:eastAsia="黑体" w:cs="黑体"/>
          <w:spacing w:val="1"/>
          <w:sz w:val="24"/>
          <w:szCs w:val="24"/>
        </w:rPr>
        <w:t>的，以开标一览表（报价一览表）为准；</w:t>
      </w:r>
    </w:p>
    <w:p w14:paraId="5CC060DA">
      <w:pPr>
        <w:spacing w:before="191" w:line="213" w:lineRule="auto"/>
        <w:ind w:left="487"/>
        <w:rPr>
          <w:rFonts w:ascii="黑体" w:hAnsi="黑体" w:eastAsia="黑体" w:cs="黑体"/>
          <w:sz w:val="24"/>
          <w:szCs w:val="24"/>
        </w:rPr>
      </w:pPr>
      <w:r>
        <w:rPr>
          <w:rFonts w:ascii="黑体" w:hAnsi="黑体" w:eastAsia="黑体" w:cs="黑体"/>
          <w:spacing w:val="1"/>
          <w:sz w:val="24"/>
          <w:szCs w:val="24"/>
        </w:rPr>
        <w:t>22.4.2大写金额和小写金额不一致的，以大写金额为准；</w:t>
      </w:r>
    </w:p>
    <w:p w14:paraId="0D64B963">
      <w:pPr>
        <w:spacing w:before="191" w:line="468" w:lineRule="exact"/>
        <w:jc w:val="right"/>
        <w:rPr>
          <w:rFonts w:ascii="黑体" w:hAnsi="黑体" w:eastAsia="黑体" w:cs="黑体"/>
          <w:sz w:val="24"/>
          <w:szCs w:val="24"/>
        </w:rPr>
      </w:pPr>
      <w:r>
        <w:rPr>
          <w:rFonts w:ascii="黑体" w:hAnsi="黑体" w:eastAsia="黑体" w:cs="黑体"/>
          <w:spacing w:val="1"/>
          <w:position w:val="17"/>
          <w:sz w:val="24"/>
          <w:szCs w:val="24"/>
        </w:rPr>
        <w:t>22.4.3单价金额小数点或者百分比有明显错位的，以开标一览表（</w:t>
      </w:r>
      <w:r>
        <w:rPr>
          <w:rFonts w:ascii="黑体" w:hAnsi="黑体" w:eastAsia="黑体" w:cs="黑体"/>
          <w:position w:val="17"/>
          <w:sz w:val="24"/>
          <w:szCs w:val="24"/>
        </w:rPr>
        <w:t>报价一览表）</w:t>
      </w:r>
    </w:p>
    <w:p w14:paraId="2AF0AC59">
      <w:pPr>
        <w:spacing w:before="2" w:line="212" w:lineRule="auto"/>
        <w:ind w:left="15"/>
        <w:rPr>
          <w:rFonts w:ascii="黑体" w:hAnsi="黑体" w:eastAsia="黑体" w:cs="黑体"/>
          <w:sz w:val="24"/>
          <w:szCs w:val="24"/>
        </w:rPr>
      </w:pPr>
      <w:r>
        <w:rPr>
          <w:rFonts w:ascii="黑体" w:hAnsi="黑体" w:eastAsia="黑体" w:cs="黑体"/>
          <w:sz w:val="24"/>
          <w:szCs w:val="24"/>
        </w:rPr>
        <w:t>的总价为准，并修改单价；</w:t>
      </w:r>
    </w:p>
    <w:p w14:paraId="4F2D97B1">
      <w:pPr>
        <w:spacing w:before="191" w:line="213" w:lineRule="auto"/>
        <w:ind w:left="487"/>
        <w:rPr>
          <w:rFonts w:ascii="黑体" w:hAnsi="黑体" w:eastAsia="黑体" w:cs="黑体"/>
          <w:sz w:val="24"/>
          <w:szCs w:val="24"/>
        </w:rPr>
      </w:pPr>
      <w:r>
        <w:rPr>
          <w:rFonts w:ascii="黑体" w:hAnsi="黑体" w:eastAsia="黑体" w:cs="黑体"/>
          <w:spacing w:val="1"/>
          <w:sz w:val="24"/>
          <w:szCs w:val="24"/>
        </w:rPr>
        <w:t>22.4.4总价金额与按单价汇总金额不一致的，以单价金额计算结果为准。</w:t>
      </w:r>
    </w:p>
    <w:p w14:paraId="77C93BC8">
      <w:pPr>
        <w:spacing w:before="191" w:line="213" w:lineRule="auto"/>
        <w:ind w:left="443"/>
        <w:rPr>
          <w:rFonts w:ascii="黑体" w:hAnsi="黑体" w:eastAsia="黑体" w:cs="黑体"/>
          <w:sz w:val="24"/>
          <w:szCs w:val="24"/>
        </w:rPr>
      </w:pPr>
      <w:r>
        <w:rPr>
          <w:rFonts w:ascii="黑体" w:hAnsi="黑体" w:eastAsia="黑体" w:cs="黑体"/>
          <w:spacing w:val="-17"/>
          <w:sz w:val="24"/>
          <w:szCs w:val="24"/>
        </w:rPr>
        <w:t>22.4.5对不同文字文本响应文件的解释发生异议的，以中文文本为准。</w:t>
      </w:r>
    </w:p>
    <w:p w14:paraId="75A1F559">
      <w:pPr>
        <w:spacing w:before="191" w:line="468" w:lineRule="exact"/>
        <w:ind w:right="66"/>
        <w:jc w:val="right"/>
        <w:rPr>
          <w:rFonts w:ascii="黑体" w:hAnsi="黑体" w:eastAsia="黑体" w:cs="黑体"/>
          <w:sz w:val="24"/>
          <w:szCs w:val="24"/>
        </w:rPr>
      </w:pPr>
      <w:r>
        <w:rPr>
          <w:rFonts w:ascii="黑体" w:hAnsi="黑体" w:eastAsia="黑体" w:cs="黑体"/>
          <w:spacing w:val="4"/>
          <w:position w:val="17"/>
          <w:sz w:val="24"/>
          <w:szCs w:val="24"/>
        </w:rPr>
        <w:t>22.5对未按照本竞争性磋商文件要求进行投标及资格审查不合格的供应商，其</w:t>
      </w:r>
    </w:p>
    <w:p w14:paraId="13AB5FC2">
      <w:pPr>
        <w:spacing w:before="1" w:line="220" w:lineRule="auto"/>
        <w:ind w:left="11"/>
        <w:rPr>
          <w:rFonts w:ascii="黑体" w:hAnsi="黑体" w:eastAsia="黑体" w:cs="黑体"/>
          <w:sz w:val="24"/>
          <w:szCs w:val="24"/>
        </w:rPr>
      </w:pPr>
      <w:r>
        <w:rPr>
          <w:rFonts w:ascii="黑体" w:hAnsi="黑体" w:eastAsia="黑体" w:cs="黑体"/>
          <w:sz w:val="24"/>
          <w:szCs w:val="24"/>
        </w:rPr>
        <w:t>响应文件将按无效投标处理。</w:t>
      </w:r>
    </w:p>
    <w:p w14:paraId="6BF40C75">
      <w:pPr>
        <w:spacing w:before="181" w:line="468" w:lineRule="exact"/>
        <w:ind w:right="66"/>
        <w:jc w:val="right"/>
        <w:rPr>
          <w:rFonts w:ascii="黑体" w:hAnsi="黑体" w:eastAsia="黑体" w:cs="黑体"/>
          <w:sz w:val="24"/>
          <w:szCs w:val="24"/>
        </w:rPr>
      </w:pPr>
      <w:r>
        <w:rPr>
          <w:rFonts w:ascii="黑体" w:hAnsi="黑体" w:eastAsia="黑体" w:cs="黑体"/>
          <w:spacing w:val="4"/>
          <w:position w:val="17"/>
          <w:sz w:val="24"/>
          <w:szCs w:val="24"/>
        </w:rPr>
        <w:t>22.6供应商之间不得相互串通投标报价，不得妨碍其他供应商的公平竞争，不</w:t>
      </w:r>
    </w:p>
    <w:p w14:paraId="46377D3A">
      <w:pPr>
        <w:spacing w:before="1" w:line="221" w:lineRule="auto"/>
        <w:ind w:left="2"/>
        <w:rPr>
          <w:rFonts w:ascii="黑体" w:hAnsi="黑体" w:eastAsia="黑体" w:cs="黑体"/>
          <w:sz w:val="24"/>
          <w:szCs w:val="24"/>
        </w:rPr>
      </w:pPr>
      <w:r>
        <w:rPr>
          <w:rFonts w:ascii="黑体" w:hAnsi="黑体" w:eastAsia="黑体" w:cs="黑体"/>
          <w:spacing w:val="1"/>
          <w:sz w:val="24"/>
          <w:szCs w:val="24"/>
        </w:rPr>
        <w:t>得损害采购人或者其他供应商的合法权益。</w:t>
      </w:r>
    </w:p>
    <w:p w14:paraId="66622B30">
      <w:pPr>
        <w:spacing w:before="180" w:line="468" w:lineRule="exact"/>
        <w:ind w:left="487"/>
        <w:rPr>
          <w:rFonts w:ascii="黑体" w:hAnsi="黑体" w:eastAsia="黑体" w:cs="黑体"/>
          <w:sz w:val="24"/>
          <w:szCs w:val="24"/>
        </w:rPr>
      </w:pPr>
      <w:r>
        <w:rPr>
          <w:rFonts w:ascii="黑体" w:hAnsi="黑体" w:eastAsia="黑体" w:cs="黑体"/>
          <w:spacing w:val="4"/>
          <w:position w:val="17"/>
          <w:sz w:val="24"/>
          <w:szCs w:val="24"/>
        </w:rPr>
        <w:t>22.7供应商不得向采购人、评标委员会成员行贿或者采取其他不正当手段谋取</w:t>
      </w:r>
    </w:p>
    <w:p w14:paraId="135873F8">
      <w:pPr>
        <w:spacing w:before="1" w:line="223" w:lineRule="auto"/>
        <w:ind w:left="20"/>
        <w:rPr>
          <w:rFonts w:ascii="黑体" w:hAnsi="黑体" w:eastAsia="黑体" w:cs="黑体"/>
          <w:sz w:val="24"/>
          <w:szCs w:val="24"/>
        </w:rPr>
      </w:pPr>
      <w:r>
        <w:rPr>
          <w:rFonts w:ascii="黑体" w:hAnsi="黑体" w:eastAsia="黑体" w:cs="黑体"/>
          <w:spacing w:val="-9"/>
          <w:sz w:val="24"/>
          <w:szCs w:val="24"/>
        </w:rPr>
        <w:t>中标。</w:t>
      </w:r>
    </w:p>
    <w:p w14:paraId="5524EDBF">
      <w:pPr>
        <w:pStyle w:val="5"/>
        <w:spacing w:line="253" w:lineRule="auto"/>
      </w:pPr>
    </w:p>
    <w:p w14:paraId="5FF31B82">
      <w:pPr>
        <w:pStyle w:val="5"/>
        <w:spacing w:line="254" w:lineRule="auto"/>
      </w:pPr>
    </w:p>
    <w:p w14:paraId="6875DA50">
      <w:pPr>
        <w:pStyle w:val="5"/>
        <w:spacing w:line="254" w:lineRule="auto"/>
      </w:pPr>
    </w:p>
    <w:p w14:paraId="6791C53A">
      <w:pPr>
        <w:spacing w:before="91" w:line="222" w:lineRule="auto"/>
        <w:ind w:left="3413"/>
        <w:rPr>
          <w:rFonts w:ascii="黑体" w:hAnsi="黑体" w:eastAsia="黑体" w:cs="黑体"/>
          <w:sz w:val="28"/>
          <w:szCs w:val="28"/>
        </w:rPr>
      </w:pPr>
      <w:r>
        <w:rPr>
          <w:rFonts w:ascii="黑体" w:hAnsi="黑体" w:eastAsia="黑体" w:cs="黑体"/>
          <w:sz w:val="28"/>
          <w:szCs w:val="28"/>
          <w14:textOutline w14:w="5103" w14:cap="sq" w14:cmpd="sng">
            <w14:solidFill>
              <w14:srgbClr w14:val="000000"/>
            </w14:solidFill>
            <w14:prstDash w14:val="solid"/>
            <w14:bevel/>
          </w14:textOutline>
        </w:rPr>
        <w:t>六、评标、定标</w:t>
      </w:r>
    </w:p>
    <w:p w14:paraId="43D02198">
      <w:pPr>
        <w:spacing w:before="231" w:line="222" w:lineRule="auto"/>
        <w:rPr>
          <w:rFonts w:ascii="黑体" w:hAnsi="黑体" w:eastAsia="黑体" w:cs="黑体"/>
          <w:sz w:val="24"/>
          <w:szCs w:val="24"/>
        </w:rPr>
      </w:pPr>
      <w:r>
        <w:rPr>
          <w:rFonts w:ascii="黑体" w:hAnsi="黑体" w:eastAsia="黑体" w:cs="黑体"/>
          <w:spacing w:val="-3"/>
          <w:sz w:val="24"/>
          <w:szCs w:val="24"/>
          <w14:textOutline w14:w="4358" w14:cap="sq" w14:cmpd="sng">
            <w14:solidFill>
              <w14:srgbClr w14:val="000000"/>
            </w14:solidFill>
            <w14:prstDash w14:val="solid"/>
            <w14:bevel/>
          </w14:textOutline>
        </w:rPr>
        <w:t>23评标</w:t>
      </w:r>
    </w:p>
    <w:p w14:paraId="58806BB3">
      <w:pPr>
        <w:spacing w:before="180" w:line="221" w:lineRule="auto"/>
        <w:ind w:left="487"/>
        <w:rPr>
          <w:rFonts w:ascii="黑体" w:hAnsi="黑体" w:eastAsia="黑体" w:cs="黑体"/>
          <w:sz w:val="24"/>
          <w:szCs w:val="24"/>
        </w:rPr>
      </w:pPr>
      <w:r>
        <w:rPr>
          <w:rFonts w:ascii="黑体" w:hAnsi="黑体" w:eastAsia="黑体" w:cs="黑体"/>
          <w:spacing w:val="-1"/>
          <w:sz w:val="24"/>
          <w:szCs w:val="24"/>
        </w:rPr>
        <w:t>23.1评标委员会</w:t>
      </w:r>
    </w:p>
    <w:p w14:paraId="7A4BA927">
      <w:pPr>
        <w:spacing w:before="181" w:line="360" w:lineRule="auto"/>
        <w:ind w:left="2" w:right="78" w:firstLine="484"/>
        <w:rPr>
          <w:rFonts w:ascii="黑体" w:hAnsi="黑体" w:eastAsia="黑体" w:cs="黑体"/>
          <w:sz w:val="24"/>
          <w:szCs w:val="24"/>
        </w:rPr>
      </w:pPr>
      <w:r>
        <w:rPr>
          <w:rFonts w:ascii="黑体" w:hAnsi="黑体" w:eastAsia="黑体" w:cs="黑体"/>
          <w:spacing w:val="3"/>
          <w:sz w:val="24"/>
          <w:szCs w:val="24"/>
        </w:rPr>
        <w:t>23.1.1评标委员会由采购人代表和评审专家组成，成员人数应当为3人以上单数，其中评审专家不得少于成员总数的三分之二。采购预算金</w:t>
      </w:r>
      <w:r>
        <w:rPr>
          <w:rFonts w:ascii="黑体" w:hAnsi="黑体" w:eastAsia="黑体" w:cs="黑体"/>
          <w:spacing w:val="2"/>
          <w:sz w:val="24"/>
          <w:szCs w:val="24"/>
        </w:rPr>
        <w:t>额在1000万元以上、</w:t>
      </w:r>
    </w:p>
    <w:p w14:paraId="1FBE64FA">
      <w:pPr>
        <w:spacing w:before="1" w:line="212" w:lineRule="auto"/>
        <w:ind w:left="1"/>
        <w:rPr>
          <w:rFonts w:ascii="黑体" w:hAnsi="黑体" w:eastAsia="黑体" w:cs="黑体"/>
          <w:sz w:val="24"/>
          <w:szCs w:val="24"/>
        </w:rPr>
      </w:pPr>
      <w:r>
        <w:rPr>
          <w:rFonts w:ascii="黑体" w:hAnsi="黑体" w:eastAsia="黑体" w:cs="黑体"/>
          <w:spacing w:val="1"/>
          <w:sz w:val="24"/>
          <w:szCs w:val="24"/>
        </w:rPr>
        <w:t>技术复杂、社会影响较大的采购项目，评标委员会成员人数应当为5人以上单数。</w:t>
      </w:r>
    </w:p>
    <w:p w14:paraId="77787CA6">
      <w:pPr>
        <w:spacing w:before="191" w:line="468" w:lineRule="exact"/>
        <w:ind w:right="37"/>
        <w:jc w:val="right"/>
        <w:rPr>
          <w:rFonts w:ascii="黑体" w:hAnsi="黑体" w:eastAsia="黑体" w:cs="黑体"/>
          <w:sz w:val="24"/>
          <w:szCs w:val="24"/>
        </w:rPr>
      </w:pPr>
      <w:r>
        <w:rPr>
          <w:rFonts w:ascii="黑体" w:hAnsi="黑体" w:eastAsia="黑体" w:cs="黑体"/>
          <w:spacing w:val="-17"/>
          <w:position w:val="17"/>
          <w:sz w:val="24"/>
          <w:szCs w:val="24"/>
        </w:rPr>
        <w:t>23.1.2评审专家对本单位的采购项目只能作为采购人代表参与评</w:t>
      </w:r>
      <w:r>
        <w:rPr>
          <w:rFonts w:ascii="黑体" w:hAnsi="黑体" w:eastAsia="黑体" w:cs="黑体"/>
          <w:spacing w:val="-18"/>
          <w:position w:val="17"/>
          <w:sz w:val="24"/>
          <w:szCs w:val="24"/>
        </w:rPr>
        <w:t>标，采购代理机构工作</w:t>
      </w:r>
    </w:p>
    <w:p w14:paraId="1B82CF7E">
      <w:pPr>
        <w:spacing w:before="1" w:line="220" w:lineRule="auto"/>
        <w:ind w:left="5"/>
        <w:rPr>
          <w:rFonts w:ascii="黑体" w:hAnsi="黑体" w:eastAsia="黑体" w:cs="黑体"/>
          <w:sz w:val="24"/>
          <w:szCs w:val="24"/>
        </w:rPr>
      </w:pPr>
      <w:r>
        <w:rPr>
          <w:rFonts w:ascii="黑体" w:hAnsi="黑体" w:eastAsia="黑体" w:cs="黑体"/>
          <w:spacing w:val="-19"/>
          <w:sz w:val="24"/>
          <w:szCs w:val="24"/>
        </w:rPr>
        <w:t>人员不得参加由本机构代理的政府采购项目的评标。</w:t>
      </w:r>
    </w:p>
    <w:p w14:paraId="2BD5EF3B">
      <w:pPr>
        <w:spacing w:before="181" w:line="468" w:lineRule="exact"/>
        <w:ind w:left="487"/>
        <w:rPr>
          <w:rFonts w:ascii="黑体" w:hAnsi="黑体" w:eastAsia="黑体" w:cs="黑体"/>
          <w:sz w:val="24"/>
          <w:szCs w:val="24"/>
        </w:rPr>
      </w:pPr>
      <w:r>
        <w:rPr>
          <w:rFonts w:ascii="黑体" w:hAnsi="黑体" w:eastAsia="黑体" w:cs="黑体"/>
          <w:spacing w:val="4"/>
          <w:position w:val="17"/>
          <w:sz w:val="24"/>
          <w:szCs w:val="24"/>
        </w:rPr>
        <w:t>23.1.3采购人就竞争性磋商文件征询过意见的专家，不得再作为评标专家参加</w:t>
      </w:r>
    </w:p>
    <w:p w14:paraId="698557AB">
      <w:pPr>
        <w:spacing w:before="1" w:line="220" w:lineRule="auto"/>
        <w:rPr>
          <w:rFonts w:ascii="黑体" w:hAnsi="黑体" w:eastAsia="黑体" w:cs="黑体"/>
          <w:sz w:val="24"/>
          <w:szCs w:val="24"/>
        </w:rPr>
      </w:pPr>
      <w:r>
        <w:rPr>
          <w:rFonts w:ascii="黑体" w:hAnsi="黑体" w:eastAsia="黑体" w:cs="黑体"/>
          <w:spacing w:val="2"/>
          <w:sz w:val="24"/>
          <w:szCs w:val="24"/>
        </w:rPr>
        <w:t>评标。采购代理机构工作人员不得参加由本机构代理的政府采购项目的评标。</w:t>
      </w:r>
    </w:p>
    <w:p w14:paraId="3D1B6B5F">
      <w:pPr>
        <w:spacing w:before="181" w:line="468" w:lineRule="exact"/>
        <w:ind w:left="487"/>
        <w:rPr>
          <w:rFonts w:ascii="黑体" w:hAnsi="黑体" w:eastAsia="黑体" w:cs="黑体"/>
          <w:sz w:val="24"/>
          <w:szCs w:val="24"/>
        </w:rPr>
      </w:pPr>
      <w:r>
        <w:rPr>
          <w:rFonts w:ascii="黑体" w:hAnsi="黑体" w:eastAsia="黑体" w:cs="黑体"/>
          <w:spacing w:val="4"/>
          <w:position w:val="17"/>
          <w:sz w:val="24"/>
          <w:szCs w:val="24"/>
          <w14:textOutline w14:w="4358" w14:cap="sq" w14:cmpd="sng">
            <w14:solidFill>
              <w14:srgbClr w14:val="000000"/>
            </w14:solidFill>
            <w14:prstDash w14:val="solid"/>
            <w14:bevel/>
          </w14:textOutline>
        </w:rPr>
        <w:t>23.1.4采购人委托代表参加评标委员会，向采购代理机构出具授权函，采购人</w:t>
      </w:r>
    </w:p>
    <w:p w14:paraId="470F4692">
      <w:pPr>
        <w:spacing w:before="1" w:line="220" w:lineRule="auto"/>
        <w:rPr>
          <w:rFonts w:ascii="黑体" w:hAnsi="黑体" w:eastAsia="黑体" w:cs="黑体"/>
          <w:sz w:val="24"/>
          <w:szCs w:val="24"/>
        </w:rPr>
      </w:pPr>
      <w:r>
        <w:rPr>
          <w:rFonts w:ascii="黑体" w:hAnsi="黑体" w:eastAsia="黑体" w:cs="黑体"/>
          <w:spacing w:val="2"/>
          <w:sz w:val="24"/>
          <w:szCs w:val="24"/>
          <w14:textOutline w14:w="4358" w14:cap="sq" w14:cmpd="sng">
            <w14:solidFill>
              <w14:srgbClr w14:val="000000"/>
            </w14:solidFill>
            <w14:prstDash w14:val="solid"/>
            <w14:bevel/>
          </w14:textOutline>
        </w:rPr>
        <w:t>代表不得担任评标委员会主任委员。</w:t>
      </w:r>
    </w:p>
    <w:p w14:paraId="21C0BF0A">
      <w:pPr>
        <w:spacing w:line="220" w:lineRule="auto"/>
        <w:rPr>
          <w:rFonts w:ascii="黑体" w:hAnsi="黑体" w:eastAsia="黑体" w:cs="黑体"/>
          <w:sz w:val="24"/>
          <w:szCs w:val="24"/>
        </w:rPr>
        <w:sectPr>
          <w:footerReference r:id="rId14" w:type="default"/>
          <w:pgSz w:w="11906" w:h="16839"/>
          <w:pgMar w:top="1431" w:right="1483" w:bottom="1012" w:left="1423" w:header="0" w:footer="850" w:gutter="0"/>
          <w:cols w:space="720" w:num="1"/>
        </w:sectPr>
      </w:pPr>
    </w:p>
    <w:p w14:paraId="17F52DF2">
      <w:pPr>
        <w:spacing w:before="101" w:line="468" w:lineRule="exact"/>
        <w:ind w:left="487"/>
        <w:rPr>
          <w:rFonts w:ascii="黑体" w:hAnsi="黑体" w:eastAsia="黑体" w:cs="黑体"/>
          <w:sz w:val="24"/>
          <w:szCs w:val="24"/>
        </w:rPr>
      </w:pPr>
      <w:r>
        <w:rPr>
          <w:rFonts w:ascii="黑体" w:hAnsi="黑体" w:eastAsia="黑体" w:cs="黑体"/>
          <w:position w:val="17"/>
          <w:sz w:val="24"/>
          <w:szCs w:val="24"/>
          <w14:textOutline w14:w="4358" w14:cap="sq" w14:cmpd="sng">
            <w14:solidFill>
              <w14:srgbClr w14:val="000000"/>
            </w14:solidFill>
            <w14:prstDash w14:val="solid"/>
            <w14:bevel/>
          </w14:textOutline>
        </w:rPr>
        <w:t>采购人委派的评标人员进入评标现场不得超过2人，其他无关人员不得进入评标</w:t>
      </w:r>
    </w:p>
    <w:p w14:paraId="5FF2ACF5">
      <w:pPr>
        <w:spacing w:line="221" w:lineRule="auto"/>
        <w:ind w:left="1"/>
        <w:rPr>
          <w:rFonts w:ascii="黑体" w:hAnsi="黑体" w:eastAsia="黑体" w:cs="黑体"/>
          <w:sz w:val="24"/>
          <w:szCs w:val="24"/>
        </w:rPr>
      </w:pPr>
      <w:r>
        <w:rPr>
          <w:rFonts w:ascii="黑体" w:hAnsi="黑体" w:eastAsia="黑体" w:cs="黑体"/>
          <w:spacing w:val="-3"/>
          <w:sz w:val="24"/>
          <w:szCs w:val="24"/>
          <w14:textOutline w14:w="4358" w14:cap="sq" w14:cmpd="sng">
            <w14:solidFill>
              <w14:srgbClr w14:val="000000"/>
            </w14:solidFill>
            <w14:prstDash w14:val="solid"/>
            <w14:bevel/>
          </w14:textOutline>
        </w:rPr>
        <w:t>现场。</w:t>
      </w:r>
    </w:p>
    <w:p w14:paraId="48EDD32D">
      <w:pPr>
        <w:spacing w:before="179" w:line="468" w:lineRule="exact"/>
        <w:ind w:left="487"/>
        <w:rPr>
          <w:rFonts w:ascii="黑体" w:hAnsi="黑体" w:eastAsia="黑体" w:cs="黑体"/>
          <w:sz w:val="24"/>
          <w:szCs w:val="24"/>
        </w:rPr>
      </w:pPr>
      <w:r>
        <w:rPr>
          <w:rFonts w:ascii="黑体" w:hAnsi="黑体" w:eastAsia="黑体" w:cs="黑体"/>
          <w:spacing w:val="4"/>
          <w:position w:val="17"/>
          <w:sz w:val="24"/>
          <w:szCs w:val="24"/>
        </w:rPr>
        <w:t>23.1.5评标委员会成员由采购代理在政采云评审专家库中，通过随机方式抽取</w:t>
      </w:r>
    </w:p>
    <w:p w14:paraId="1769A83F">
      <w:pPr>
        <w:spacing w:before="1" w:line="212" w:lineRule="auto"/>
        <w:rPr>
          <w:rFonts w:ascii="黑体" w:hAnsi="黑体" w:eastAsia="黑体" w:cs="黑体"/>
          <w:sz w:val="24"/>
          <w:szCs w:val="24"/>
        </w:rPr>
      </w:pPr>
      <w:r>
        <w:rPr>
          <w:rFonts w:ascii="黑体" w:hAnsi="黑体" w:eastAsia="黑体" w:cs="黑体"/>
          <w:spacing w:val="2"/>
          <w:sz w:val="24"/>
          <w:szCs w:val="24"/>
        </w:rPr>
        <w:t>评标专家，评标委员会成员名单在评标结果公告前应当保密。</w:t>
      </w:r>
    </w:p>
    <w:p w14:paraId="079318ED">
      <w:pPr>
        <w:spacing w:before="191" w:line="468" w:lineRule="exact"/>
        <w:ind w:left="487"/>
        <w:rPr>
          <w:rFonts w:ascii="黑体" w:hAnsi="黑体" w:eastAsia="黑体" w:cs="黑体"/>
          <w:sz w:val="24"/>
          <w:szCs w:val="24"/>
        </w:rPr>
      </w:pPr>
      <w:r>
        <w:rPr>
          <w:rFonts w:ascii="黑体" w:hAnsi="黑体" w:eastAsia="黑体" w:cs="黑体"/>
          <w:spacing w:val="4"/>
          <w:position w:val="17"/>
          <w:sz w:val="24"/>
          <w:szCs w:val="24"/>
        </w:rPr>
        <w:t>23.1.6评标委员会成员应认真执行相关法规规定，同时维护采购人与供应商的</w:t>
      </w:r>
    </w:p>
    <w:p w14:paraId="2E2F2653">
      <w:pPr>
        <w:spacing w:line="223" w:lineRule="auto"/>
        <w:ind w:left="2"/>
        <w:rPr>
          <w:rFonts w:ascii="黑体" w:hAnsi="黑体" w:eastAsia="黑体" w:cs="黑体"/>
          <w:sz w:val="24"/>
          <w:szCs w:val="24"/>
        </w:rPr>
      </w:pPr>
      <w:r>
        <w:rPr>
          <w:rFonts w:ascii="黑体" w:hAnsi="黑体" w:eastAsia="黑体" w:cs="黑体"/>
          <w:spacing w:val="-1"/>
          <w:sz w:val="24"/>
          <w:szCs w:val="24"/>
        </w:rPr>
        <w:t>合法权益。</w:t>
      </w:r>
    </w:p>
    <w:p w14:paraId="7E5DF0F1">
      <w:pPr>
        <w:spacing w:before="177" w:line="222" w:lineRule="auto"/>
        <w:ind w:left="487"/>
        <w:rPr>
          <w:rFonts w:ascii="黑体" w:hAnsi="黑体" w:eastAsia="黑体" w:cs="黑体"/>
          <w:sz w:val="24"/>
          <w:szCs w:val="24"/>
        </w:rPr>
      </w:pPr>
      <w:r>
        <w:rPr>
          <w:rFonts w:ascii="黑体" w:hAnsi="黑体" w:eastAsia="黑体" w:cs="黑体"/>
          <w:spacing w:val="1"/>
          <w:sz w:val="24"/>
          <w:szCs w:val="24"/>
        </w:rPr>
        <w:t>23.1.7评标的依据为竞争性磋商文件和响应文件。</w:t>
      </w:r>
    </w:p>
    <w:p w14:paraId="0B4C578A">
      <w:pPr>
        <w:spacing w:before="180" w:line="468" w:lineRule="exact"/>
        <w:ind w:left="487"/>
        <w:rPr>
          <w:rFonts w:ascii="黑体" w:hAnsi="黑体" w:eastAsia="黑体" w:cs="黑体"/>
          <w:sz w:val="24"/>
          <w:szCs w:val="24"/>
        </w:rPr>
      </w:pPr>
      <w:r>
        <w:rPr>
          <w:rFonts w:ascii="黑体" w:hAnsi="黑体" w:eastAsia="黑体" w:cs="黑体"/>
          <w:spacing w:val="4"/>
          <w:position w:val="17"/>
          <w:sz w:val="24"/>
          <w:szCs w:val="24"/>
        </w:rPr>
        <w:t>23.1.6评标中评标委员会成员若发生意见分歧，通过书面表决形式，以少数服</w:t>
      </w:r>
    </w:p>
    <w:p w14:paraId="7A91E689">
      <w:pPr>
        <w:spacing w:before="1" w:line="221" w:lineRule="auto"/>
        <w:ind w:left="1"/>
        <w:rPr>
          <w:rFonts w:ascii="黑体" w:hAnsi="黑体" w:eastAsia="黑体" w:cs="黑体"/>
          <w:sz w:val="24"/>
          <w:szCs w:val="24"/>
        </w:rPr>
      </w:pPr>
      <w:r>
        <w:rPr>
          <w:rFonts w:ascii="黑体" w:hAnsi="黑体" w:eastAsia="黑体" w:cs="黑体"/>
          <w:spacing w:val="1"/>
          <w:sz w:val="24"/>
          <w:szCs w:val="24"/>
        </w:rPr>
        <w:t>从多数为原则决定。</w:t>
      </w:r>
    </w:p>
    <w:p w14:paraId="6A0CFA66">
      <w:pPr>
        <w:spacing w:before="179" w:line="222" w:lineRule="auto"/>
        <w:ind w:left="487"/>
        <w:rPr>
          <w:rFonts w:ascii="黑体" w:hAnsi="黑体" w:eastAsia="黑体" w:cs="黑体"/>
          <w:sz w:val="24"/>
          <w:szCs w:val="24"/>
        </w:rPr>
      </w:pPr>
      <w:r>
        <w:rPr>
          <w:rFonts w:ascii="黑体" w:hAnsi="黑体" w:eastAsia="黑体" w:cs="黑体"/>
          <w:sz w:val="24"/>
          <w:szCs w:val="24"/>
        </w:rPr>
        <w:t>23.2评标纪律</w:t>
      </w:r>
    </w:p>
    <w:p w14:paraId="0FAE6558">
      <w:pPr>
        <w:spacing w:before="180" w:line="468" w:lineRule="exact"/>
        <w:ind w:left="487"/>
        <w:rPr>
          <w:rFonts w:ascii="黑体" w:hAnsi="黑体" w:eastAsia="黑体" w:cs="黑体"/>
          <w:sz w:val="24"/>
          <w:szCs w:val="24"/>
        </w:rPr>
      </w:pPr>
      <w:r>
        <w:rPr>
          <w:rFonts w:ascii="黑体" w:hAnsi="黑体" w:eastAsia="黑体" w:cs="黑体"/>
          <w:spacing w:val="4"/>
          <w:position w:val="17"/>
          <w:sz w:val="24"/>
          <w:szCs w:val="24"/>
        </w:rPr>
        <w:t>23.2.1要严格遵守评审时间，主动出具身份证明，遵守评审工作纪律和评审回</w:t>
      </w:r>
    </w:p>
    <w:p w14:paraId="0CFBBB82">
      <w:pPr>
        <w:spacing w:line="223" w:lineRule="auto"/>
        <w:rPr>
          <w:rFonts w:ascii="黑体" w:hAnsi="黑体" w:eastAsia="黑体" w:cs="黑体"/>
          <w:sz w:val="24"/>
          <w:szCs w:val="24"/>
        </w:rPr>
      </w:pPr>
      <w:r>
        <w:rPr>
          <w:rFonts w:ascii="黑体" w:hAnsi="黑体" w:eastAsia="黑体" w:cs="黑体"/>
          <w:sz w:val="24"/>
          <w:szCs w:val="24"/>
        </w:rPr>
        <w:t>避的相关规定。</w:t>
      </w:r>
    </w:p>
    <w:p w14:paraId="42E65EC8">
      <w:pPr>
        <w:spacing w:before="179" w:line="360" w:lineRule="auto"/>
        <w:ind w:right="82" w:firstLine="487"/>
        <w:rPr>
          <w:rFonts w:ascii="黑体" w:hAnsi="黑体" w:eastAsia="黑体" w:cs="黑体"/>
          <w:sz w:val="24"/>
          <w:szCs w:val="24"/>
        </w:rPr>
      </w:pPr>
      <w:r>
        <w:rPr>
          <w:rFonts w:ascii="黑体" w:hAnsi="黑体" w:eastAsia="黑体" w:cs="黑体"/>
          <w:spacing w:val="4"/>
          <w:sz w:val="24"/>
          <w:szCs w:val="24"/>
        </w:rPr>
        <w:t>23.2.2在评审工作开始前，将手机等通讯工具或相关电子设备交由采购人或采</w:t>
      </w:r>
      <w:r>
        <w:rPr>
          <w:rFonts w:ascii="黑体" w:hAnsi="黑体" w:eastAsia="黑体" w:cs="黑体"/>
          <w:spacing w:val="1"/>
          <w:sz w:val="24"/>
          <w:szCs w:val="24"/>
        </w:rPr>
        <w:t>购代理机构统一保管，拒不上交的，采购人或采购代理机构可以拒绝其参加评审工作</w:t>
      </w:r>
    </w:p>
    <w:p w14:paraId="1A1C60DE">
      <w:pPr>
        <w:spacing w:line="222" w:lineRule="auto"/>
        <w:ind w:left="4"/>
        <w:rPr>
          <w:rFonts w:ascii="黑体" w:hAnsi="黑体" w:eastAsia="黑体" w:cs="黑体"/>
          <w:sz w:val="24"/>
          <w:szCs w:val="24"/>
        </w:rPr>
      </w:pPr>
      <w:r>
        <w:rPr>
          <w:rFonts w:ascii="黑体" w:hAnsi="黑体" w:eastAsia="黑体" w:cs="黑体"/>
          <w:sz w:val="24"/>
          <w:szCs w:val="24"/>
        </w:rPr>
        <w:t>并向财政部门报告。</w:t>
      </w:r>
    </w:p>
    <w:p w14:paraId="10CB8C3F">
      <w:pPr>
        <w:spacing w:before="179" w:line="360" w:lineRule="auto"/>
        <w:ind w:firstLine="486"/>
        <w:rPr>
          <w:rFonts w:ascii="黑体" w:hAnsi="黑体" w:eastAsia="黑体" w:cs="黑体"/>
          <w:sz w:val="24"/>
          <w:szCs w:val="24"/>
        </w:rPr>
      </w:pPr>
      <w:r>
        <w:rPr>
          <w:rFonts w:ascii="黑体" w:hAnsi="黑体" w:eastAsia="黑体" w:cs="黑体"/>
          <w:spacing w:val="5"/>
          <w:sz w:val="24"/>
          <w:szCs w:val="24"/>
        </w:rPr>
        <w:t>23.2.3评审委员会成员和评审工作有关人员不得干预或者影响正常</w:t>
      </w:r>
      <w:r>
        <w:rPr>
          <w:rFonts w:ascii="黑体" w:hAnsi="黑体" w:eastAsia="黑体" w:cs="黑体"/>
          <w:spacing w:val="4"/>
          <w:sz w:val="24"/>
          <w:szCs w:val="24"/>
        </w:rPr>
        <w:t>评审工作，</w:t>
      </w:r>
      <w:r>
        <w:rPr>
          <w:rFonts w:ascii="黑体" w:hAnsi="黑体" w:eastAsia="黑体" w:cs="黑体"/>
          <w:spacing w:val="-3"/>
          <w:sz w:val="24"/>
          <w:szCs w:val="24"/>
        </w:rPr>
        <w:t>不得明示或者暗示其倾向性、引导性意见，不得修改或细化采购文件确定</w:t>
      </w:r>
      <w:r>
        <w:rPr>
          <w:rFonts w:ascii="黑体" w:hAnsi="黑体" w:eastAsia="黑体" w:cs="黑体"/>
          <w:spacing w:val="-4"/>
          <w:sz w:val="24"/>
          <w:szCs w:val="24"/>
        </w:rPr>
        <w:t>的评审程序、</w:t>
      </w:r>
      <w:r>
        <w:rPr>
          <w:rFonts w:ascii="黑体" w:hAnsi="黑体" w:eastAsia="黑体" w:cs="黑体"/>
          <w:spacing w:val="1"/>
          <w:sz w:val="24"/>
          <w:szCs w:val="24"/>
        </w:rPr>
        <w:t>评审方法、评审因素和评审标准，不得接受供应商主动提出的澄清和解释，不得征询</w:t>
      </w:r>
    </w:p>
    <w:p w14:paraId="191E6DB3">
      <w:pPr>
        <w:spacing w:before="1" w:line="212" w:lineRule="auto"/>
        <w:rPr>
          <w:rFonts w:ascii="黑体" w:hAnsi="黑体" w:eastAsia="黑体" w:cs="黑体"/>
          <w:sz w:val="24"/>
          <w:szCs w:val="24"/>
        </w:rPr>
      </w:pPr>
      <w:r>
        <w:rPr>
          <w:rFonts w:ascii="黑体" w:hAnsi="黑体" w:eastAsia="黑体" w:cs="黑体"/>
          <w:spacing w:val="2"/>
          <w:sz w:val="24"/>
          <w:szCs w:val="24"/>
        </w:rPr>
        <w:t>采购人代表的倾向性意见，不得协商评分，不得记录、复制或带走任何评审资料。</w:t>
      </w:r>
    </w:p>
    <w:p w14:paraId="1D1739D8">
      <w:pPr>
        <w:spacing w:before="191" w:line="360" w:lineRule="auto"/>
        <w:ind w:right="82" w:firstLine="487"/>
        <w:rPr>
          <w:rFonts w:ascii="黑体" w:hAnsi="黑体" w:eastAsia="黑体" w:cs="黑体"/>
          <w:sz w:val="24"/>
          <w:szCs w:val="24"/>
        </w:rPr>
      </w:pPr>
      <w:r>
        <w:rPr>
          <w:rFonts w:ascii="黑体" w:hAnsi="黑体" w:eastAsia="黑体" w:cs="黑体"/>
          <w:spacing w:val="4"/>
          <w:sz w:val="24"/>
          <w:szCs w:val="24"/>
        </w:rPr>
        <w:t>23.2.4评审结果汇总完成后，采购人、采购代理机构和评审委员会均不得修改</w:t>
      </w:r>
      <w:r>
        <w:rPr>
          <w:rFonts w:ascii="黑体" w:hAnsi="黑体" w:eastAsia="黑体" w:cs="黑体"/>
          <w:spacing w:val="1"/>
          <w:sz w:val="24"/>
          <w:szCs w:val="24"/>
        </w:rPr>
        <w:t>评审结果或者要求重新评审，但资格性检查认定错误、分值汇总计算错误、分项评分超出评分标准范围、客观分评分不一致、经评审委员会一致认定评分畸高、畸低的情形除外。出现上述除外情形的，评审委员会应当现场修改评审结果，并在评审报告中</w:t>
      </w:r>
    </w:p>
    <w:p w14:paraId="34EDA904">
      <w:pPr>
        <w:spacing w:before="1" w:line="220" w:lineRule="auto"/>
        <w:ind w:left="13"/>
        <w:rPr>
          <w:rFonts w:ascii="黑体" w:hAnsi="黑体" w:eastAsia="黑体" w:cs="黑体"/>
          <w:sz w:val="24"/>
          <w:szCs w:val="24"/>
        </w:rPr>
      </w:pPr>
      <w:r>
        <w:rPr>
          <w:rFonts w:ascii="黑体" w:hAnsi="黑体" w:eastAsia="黑体" w:cs="黑体"/>
          <w:spacing w:val="-3"/>
          <w:sz w:val="24"/>
          <w:szCs w:val="24"/>
        </w:rPr>
        <w:t>明确记载。</w:t>
      </w:r>
    </w:p>
    <w:p w14:paraId="08E9219C">
      <w:pPr>
        <w:spacing w:before="181" w:line="213" w:lineRule="auto"/>
        <w:ind w:left="487"/>
        <w:rPr>
          <w:rFonts w:ascii="黑体" w:hAnsi="黑体" w:eastAsia="黑体" w:cs="黑体"/>
          <w:sz w:val="24"/>
          <w:szCs w:val="24"/>
        </w:rPr>
      </w:pPr>
      <w:r>
        <w:rPr>
          <w:rFonts w:ascii="黑体" w:hAnsi="黑体" w:eastAsia="黑体" w:cs="黑体"/>
          <w:spacing w:val="2"/>
          <w:sz w:val="24"/>
          <w:szCs w:val="24"/>
        </w:rPr>
        <w:t>23.3评标委员会负责具体评标事务，并独立履行</w:t>
      </w:r>
      <w:r>
        <w:rPr>
          <w:rFonts w:ascii="黑体" w:hAnsi="黑体" w:eastAsia="黑体" w:cs="黑体"/>
          <w:spacing w:val="1"/>
          <w:sz w:val="24"/>
          <w:szCs w:val="24"/>
        </w:rPr>
        <w:t>下列职责：</w:t>
      </w:r>
    </w:p>
    <w:p w14:paraId="03665112">
      <w:pPr>
        <w:spacing w:before="191" w:line="468" w:lineRule="exact"/>
        <w:ind w:left="487"/>
        <w:rPr>
          <w:rFonts w:ascii="黑体" w:hAnsi="黑体" w:eastAsia="黑体" w:cs="黑体"/>
          <w:sz w:val="24"/>
          <w:szCs w:val="24"/>
        </w:rPr>
      </w:pPr>
      <w:r>
        <w:rPr>
          <w:rFonts w:ascii="黑体" w:hAnsi="黑体" w:eastAsia="黑体" w:cs="黑体"/>
          <w:spacing w:val="4"/>
          <w:position w:val="17"/>
          <w:sz w:val="24"/>
          <w:szCs w:val="24"/>
        </w:rPr>
        <w:t>23.3.1审查、评价响应文件是否符合竞争性磋商文件的商务、技术等实质性要</w:t>
      </w:r>
    </w:p>
    <w:p w14:paraId="7FC3F23E">
      <w:pPr>
        <w:spacing w:before="2" w:line="212" w:lineRule="auto"/>
        <w:ind w:left="3"/>
        <w:rPr>
          <w:rFonts w:ascii="黑体" w:hAnsi="黑体" w:eastAsia="黑体" w:cs="黑体"/>
          <w:sz w:val="24"/>
          <w:szCs w:val="24"/>
        </w:rPr>
      </w:pPr>
      <w:r>
        <w:rPr>
          <w:rFonts w:ascii="黑体" w:hAnsi="黑体" w:eastAsia="黑体" w:cs="黑体"/>
          <w:spacing w:val="-6"/>
          <w:sz w:val="24"/>
          <w:szCs w:val="24"/>
        </w:rPr>
        <w:t>求；</w:t>
      </w:r>
    </w:p>
    <w:p w14:paraId="5351F7B9">
      <w:pPr>
        <w:spacing w:before="191" w:line="213" w:lineRule="auto"/>
        <w:ind w:left="487"/>
        <w:rPr>
          <w:rFonts w:ascii="黑体" w:hAnsi="黑体" w:eastAsia="黑体" w:cs="黑体"/>
          <w:sz w:val="24"/>
          <w:szCs w:val="24"/>
        </w:rPr>
      </w:pPr>
      <w:r>
        <w:rPr>
          <w:rFonts w:ascii="黑体" w:hAnsi="黑体" w:eastAsia="黑体" w:cs="黑体"/>
          <w:spacing w:val="2"/>
          <w:sz w:val="24"/>
          <w:szCs w:val="24"/>
        </w:rPr>
        <w:t>23.3.2要求供应商对响应文件有关事项作出澄清或</w:t>
      </w:r>
      <w:r>
        <w:rPr>
          <w:rFonts w:ascii="黑体" w:hAnsi="黑体" w:eastAsia="黑体" w:cs="黑体"/>
          <w:spacing w:val="1"/>
          <w:sz w:val="24"/>
          <w:szCs w:val="24"/>
        </w:rPr>
        <w:t>者说明；</w:t>
      </w:r>
    </w:p>
    <w:p w14:paraId="13B2A905">
      <w:pPr>
        <w:spacing w:before="191" w:line="213" w:lineRule="auto"/>
        <w:ind w:left="487"/>
        <w:rPr>
          <w:rFonts w:ascii="黑体" w:hAnsi="黑体" w:eastAsia="黑体" w:cs="黑体"/>
          <w:sz w:val="24"/>
          <w:szCs w:val="24"/>
        </w:rPr>
      </w:pPr>
      <w:r>
        <w:rPr>
          <w:rFonts w:ascii="黑体" w:hAnsi="黑体" w:eastAsia="黑体" w:cs="黑体"/>
          <w:spacing w:val="1"/>
          <w:sz w:val="24"/>
          <w:szCs w:val="24"/>
        </w:rPr>
        <w:t>23.3.3对响应文件进行比较和评价；</w:t>
      </w:r>
    </w:p>
    <w:p w14:paraId="7EF96B32">
      <w:pPr>
        <w:spacing w:before="191" w:line="213" w:lineRule="auto"/>
        <w:ind w:left="487"/>
        <w:rPr>
          <w:rFonts w:ascii="黑体" w:hAnsi="黑体" w:eastAsia="黑体" w:cs="黑体"/>
          <w:sz w:val="24"/>
          <w:szCs w:val="24"/>
        </w:rPr>
      </w:pPr>
      <w:r>
        <w:rPr>
          <w:rFonts w:ascii="黑体" w:hAnsi="黑体" w:eastAsia="黑体" w:cs="黑体"/>
          <w:spacing w:val="2"/>
          <w:sz w:val="24"/>
          <w:szCs w:val="24"/>
        </w:rPr>
        <w:t>23.3.4确定中标候选人名单，以及根据采购人委托直接确定中</w:t>
      </w:r>
      <w:r>
        <w:rPr>
          <w:rFonts w:ascii="黑体" w:hAnsi="黑体" w:eastAsia="黑体" w:cs="黑体"/>
          <w:spacing w:val="1"/>
          <w:sz w:val="24"/>
          <w:szCs w:val="24"/>
        </w:rPr>
        <w:t>标人；</w:t>
      </w:r>
    </w:p>
    <w:p w14:paraId="61D16256">
      <w:pPr>
        <w:spacing w:line="213" w:lineRule="auto"/>
        <w:rPr>
          <w:rFonts w:ascii="黑体" w:hAnsi="黑体" w:eastAsia="黑体" w:cs="黑体"/>
          <w:sz w:val="24"/>
          <w:szCs w:val="24"/>
        </w:rPr>
        <w:sectPr>
          <w:footerReference r:id="rId15" w:type="default"/>
          <w:pgSz w:w="11906" w:h="16839"/>
          <w:pgMar w:top="1431" w:right="1479" w:bottom="1012" w:left="1423" w:header="0" w:footer="850" w:gutter="0"/>
          <w:cols w:space="720" w:num="1"/>
        </w:sectPr>
      </w:pPr>
    </w:p>
    <w:p w14:paraId="5B15B8F2">
      <w:pPr>
        <w:spacing w:before="101" w:line="221" w:lineRule="auto"/>
        <w:ind w:left="487"/>
        <w:rPr>
          <w:rFonts w:ascii="黑体" w:hAnsi="黑体" w:eastAsia="黑体" w:cs="黑体"/>
          <w:sz w:val="24"/>
          <w:szCs w:val="24"/>
        </w:rPr>
      </w:pPr>
      <w:r>
        <w:rPr>
          <w:rFonts w:ascii="黑体" w:hAnsi="黑体" w:eastAsia="黑体" w:cs="黑体"/>
          <w:spacing w:val="1"/>
          <w:sz w:val="24"/>
          <w:szCs w:val="24"/>
        </w:rPr>
        <w:t>23.3.5向采购人、采购代理机构或者有关部门报告评标中发现的违法行为。</w:t>
      </w:r>
    </w:p>
    <w:p w14:paraId="657B514F">
      <w:pPr>
        <w:spacing w:before="180" w:line="221" w:lineRule="auto"/>
        <w:ind w:left="487"/>
        <w:rPr>
          <w:rFonts w:ascii="黑体" w:hAnsi="黑体" w:eastAsia="黑体" w:cs="黑体"/>
          <w:sz w:val="24"/>
          <w:szCs w:val="24"/>
        </w:rPr>
      </w:pPr>
      <w:r>
        <w:rPr>
          <w:rFonts w:ascii="黑体" w:hAnsi="黑体" w:eastAsia="黑体" w:cs="黑体"/>
          <w:spacing w:val="1"/>
          <w:sz w:val="24"/>
          <w:szCs w:val="24"/>
        </w:rPr>
        <w:t>23.4评标委员会成员应当履行下列义务：</w:t>
      </w:r>
    </w:p>
    <w:p w14:paraId="1F0C4977">
      <w:pPr>
        <w:spacing w:before="180" w:line="213" w:lineRule="auto"/>
        <w:ind w:left="487"/>
        <w:rPr>
          <w:rFonts w:ascii="黑体" w:hAnsi="黑体" w:eastAsia="黑体" w:cs="黑体"/>
          <w:sz w:val="24"/>
          <w:szCs w:val="24"/>
        </w:rPr>
      </w:pPr>
      <w:r>
        <w:rPr>
          <w:rFonts w:ascii="黑体" w:hAnsi="黑体" w:eastAsia="黑体" w:cs="黑体"/>
          <w:spacing w:val="1"/>
          <w:sz w:val="24"/>
          <w:szCs w:val="24"/>
        </w:rPr>
        <w:t>23.4.1遵纪守法，客观、公正、廉洁地履行职责；</w:t>
      </w:r>
    </w:p>
    <w:p w14:paraId="1095A628">
      <w:pPr>
        <w:spacing w:before="191" w:line="213" w:lineRule="auto"/>
        <w:jc w:val="right"/>
        <w:rPr>
          <w:rFonts w:ascii="黑体" w:hAnsi="黑体" w:eastAsia="黑体" w:cs="黑体"/>
          <w:sz w:val="24"/>
          <w:szCs w:val="24"/>
        </w:rPr>
      </w:pPr>
      <w:r>
        <w:rPr>
          <w:rFonts w:ascii="黑体" w:hAnsi="黑体" w:eastAsia="黑体" w:cs="黑体"/>
          <w:spacing w:val="4"/>
          <w:sz w:val="24"/>
          <w:szCs w:val="24"/>
        </w:rPr>
        <w:t>23.4.2按照竞争性磋商文件规定的评标方法和评标标准进行评标，对评审意见</w:t>
      </w:r>
    </w:p>
    <w:p w14:paraId="43C7CC5D">
      <w:pPr>
        <w:spacing w:before="191" w:line="213" w:lineRule="auto"/>
        <w:rPr>
          <w:rFonts w:ascii="黑体" w:hAnsi="黑体" w:eastAsia="黑体" w:cs="黑体"/>
          <w:sz w:val="24"/>
          <w:szCs w:val="24"/>
        </w:rPr>
      </w:pPr>
      <w:r>
        <w:rPr>
          <w:rFonts w:ascii="黑体" w:hAnsi="黑体" w:eastAsia="黑体" w:cs="黑体"/>
          <w:sz w:val="24"/>
          <w:szCs w:val="24"/>
        </w:rPr>
        <w:t>承担个人责任；</w:t>
      </w:r>
    </w:p>
    <w:p w14:paraId="4BE5A291">
      <w:pPr>
        <w:spacing w:before="191" w:line="213" w:lineRule="auto"/>
        <w:ind w:left="487"/>
        <w:rPr>
          <w:rFonts w:ascii="黑体" w:hAnsi="黑体" w:eastAsia="黑体" w:cs="黑体"/>
          <w:sz w:val="24"/>
          <w:szCs w:val="24"/>
        </w:rPr>
      </w:pPr>
      <w:r>
        <w:rPr>
          <w:rFonts w:ascii="黑体" w:hAnsi="黑体" w:eastAsia="黑体" w:cs="黑体"/>
          <w:spacing w:val="2"/>
          <w:sz w:val="24"/>
          <w:szCs w:val="24"/>
        </w:rPr>
        <w:t>23.4.3对评标过程和结果，以及供应商的商业</w:t>
      </w:r>
      <w:r>
        <w:rPr>
          <w:rFonts w:ascii="黑体" w:hAnsi="黑体" w:eastAsia="黑体" w:cs="黑体"/>
          <w:spacing w:val="1"/>
          <w:sz w:val="24"/>
          <w:szCs w:val="24"/>
        </w:rPr>
        <w:t>秘密保密；</w:t>
      </w:r>
    </w:p>
    <w:p w14:paraId="6DED6AB1">
      <w:pPr>
        <w:spacing w:before="191" w:line="213" w:lineRule="auto"/>
        <w:ind w:left="487"/>
        <w:rPr>
          <w:rFonts w:ascii="黑体" w:hAnsi="黑体" w:eastAsia="黑体" w:cs="黑体"/>
          <w:sz w:val="24"/>
          <w:szCs w:val="24"/>
        </w:rPr>
      </w:pPr>
      <w:r>
        <w:rPr>
          <w:rFonts w:ascii="黑体" w:hAnsi="黑体" w:eastAsia="黑体" w:cs="黑体"/>
          <w:spacing w:val="1"/>
          <w:sz w:val="24"/>
          <w:szCs w:val="24"/>
        </w:rPr>
        <w:t>23.4.4参与评标报告的起草；</w:t>
      </w:r>
    </w:p>
    <w:p w14:paraId="60789477">
      <w:pPr>
        <w:spacing w:before="191" w:line="213" w:lineRule="auto"/>
        <w:ind w:left="487"/>
        <w:rPr>
          <w:rFonts w:ascii="黑体" w:hAnsi="黑体" w:eastAsia="黑体" w:cs="黑体"/>
          <w:sz w:val="24"/>
          <w:szCs w:val="24"/>
        </w:rPr>
      </w:pPr>
      <w:r>
        <w:rPr>
          <w:rFonts w:ascii="黑体" w:hAnsi="黑体" w:eastAsia="黑体" w:cs="黑体"/>
          <w:spacing w:val="1"/>
          <w:sz w:val="24"/>
          <w:szCs w:val="24"/>
        </w:rPr>
        <w:t>23.4.5配合财政部门的投诉处理工作；</w:t>
      </w:r>
    </w:p>
    <w:p w14:paraId="5B4C11DA">
      <w:pPr>
        <w:spacing w:before="191" w:line="221" w:lineRule="auto"/>
        <w:ind w:left="487"/>
        <w:rPr>
          <w:rFonts w:ascii="黑体" w:hAnsi="黑体" w:eastAsia="黑体" w:cs="黑体"/>
          <w:sz w:val="24"/>
          <w:szCs w:val="24"/>
        </w:rPr>
      </w:pPr>
      <w:r>
        <w:rPr>
          <w:rFonts w:ascii="黑体" w:hAnsi="黑体" w:eastAsia="黑体" w:cs="黑体"/>
          <w:spacing w:val="1"/>
          <w:sz w:val="24"/>
          <w:szCs w:val="24"/>
        </w:rPr>
        <w:t>23.4.6配合采购人答复投标供应商提出的质疑。</w:t>
      </w:r>
    </w:p>
    <w:p w14:paraId="3870299E">
      <w:pPr>
        <w:spacing w:before="180" w:line="222" w:lineRule="auto"/>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24评标原则</w:t>
      </w:r>
    </w:p>
    <w:p w14:paraId="1F366B54">
      <w:pPr>
        <w:spacing w:before="180" w:line="360" w:lineRule="auto"/>
        <w:ind w:left="1" w:firstLine="485"/>
        <w:jc w:val="both"/>
        <w:rPr>
          <w:rFonts w:ascii="黑体" w:hAnsi="黑体" w:eastAsia="黑体" w:cs="黑体"/>
          <w:sz w:val="24"/>
          <w:szCs w:val="24"/>
        </w:rPr>
      </w:pPr>
      <w:r>
        <w:rPr>
          <w:rFonts w:ascii="黑体" w:hAnsi="黑体" w:eastAsia="黑体" w:cs="黑体"/>
          <w:spacing w:val="4"/>
          <w:sz w:val="24"/>
          <w:szCs w:val="24"/>
        </w:rPr>
        <w:t>24.1评审专家应当严格遵守评审工作纪律,按照客观、公正、审慎的原则,根据</w:t>
      </w:r>
      <w:r>
        <w:rPr>
          <w:rFonts w:ascii="黑体" w:hAnsi="黑体" w:eastAsia="黑体" w:cs="黑体"/>
          <w:spacing w:val="1"/>
          <w:sz w:val="24"/>
          <w:szCs w:val="24"/>
        </w:rPr>
        <w:t>竞争性磋商文件规定的评审程序、评审方法和评审标准进行独立评审。评审专家发现竞争性磋商文件内容违反国家有关强制性规定或者竞争性磋商文件存在歧义、重大缺</w:t>
      </w:r>
      <w:r>
        <w:rPr>
          <w:rFonts w:ascii="黑体" w:hAnsi="黑体" w:eastAsia="黑体" w:cs="黑体"/>
          <w:spacing w:val="4"/>
          <w:sz w:val="24"/>
          <w:szCs w:val="24"/>
        </w:rPr>
        <w:t>陷导致评审工作无法进行时,应当停止评审并向采购人或者采购代理机构书面说明情</w:t>
      </w:r>
    </w:p>
    <w:p w14:paraId="272322AE">
      <w:pPr>
        <w:spacing w:line="223" w:lineRule="auto"/>
        <w:ind w:left="3"/>
        <w:rPr>
          <w:rFonts w:ascii="黑体" w:hAnsi="黑体" w:eastAsia="黑体" w:cs="黑体"/>
          <w:sz w:val="24"/>
          <w:szCs w:val="24"/>
        </w:rPr>
      </w:pPr>
      <w:r>
        <w:rPr>
          <w:rFonts w:ascii="黑体" w:hAnsi="黑体" w:eastAsia="黑体" w:cs="黑体"/>
          <w:spacing w:val="-6"/>
          <w:sz w:val="24"/>
          <w:szCs w:val="24"/>
        </w:rPr>
        <w:t>况。</w:t>
      </w:r>
    </w:p>
    <w:p w14:paraId="3D1BE1AF">
      <w:pPr>
        <w:spacing w:before="178" w:line="360" w:lineRule="auto"/>
        <w:ind w:left="4" w:firstLine="482"/>
        <w:jc w:val="both"/>
        <w:rPr>
          <w:rFonts w:ascii="黑体" w:hAnsi="黑体" w:eastAsia="黑体" w:cs="黑体"/>
          <w:sz w:val="24"/>
          <w:szCs w:val="24"/>
        </w:rPr>
      </w:pPr>
      <w:r>
        <w:rPr>
          <w:rFonts w:ascii="黑体" w:hAnsi="黑体" w:eastAsia="黑体" w:cs="黑体"/>
          <w:spacing w:val="1"/>
          <w:sz w:val="24"/>
          <w:szCs w:val="24"/>
        </w:rPr>
        <w:t>24.2评审专家应当在评审报告上签字,对自己的评审意见承担法律</w:t>
      </w:r>
      <w:r>
        <w:rPr>
          <w:rFonts w:ascii="黑体" w:hAnsi="黑体" w:eastAsia="黑体" w:cs="黑体"/>
          <w:sz w:val="24"/>
          <w:szCs w:val="24"/>
        </w:rPr>
        <w:t>责任。对需要</w:t>
      </w:r>
      <w:r>
        <w:rPr>
          <w:rFonts w:ascii="黑体" w:hAnsi="黑体" w:eastAsia="黑体" w:cs="黑体"/>
          <w:spacing w:val="4"/>
          <w:sz w:val="24"/>
          <w:szCs w:val="24"/>
        </w:rPr>
        <w:t>共同认定的事项存在争议的,按照少数服从多数的原则做出结论。对评审报告有异议</w:t>
      </w:r>
    </w:p>
    <w:p w14:paraId="6E4F0C94">
      <w:pPr>
        <w:spacing w:before="1" w:line="220" w:lineRule="auto"/>
        <w:ind w:left="15"/>
        <w:rPr>
          <w:rFonts w:ascii="黑体" w:hAnsi="黑体" w:eastAsia="黑体" w:cs="黑体"/>
          <w:sz w:val="24"/>
          <w:szCs w:val="24"/>
        </w:rPr>
      </w:pPr>
      <w:r>
        <w:rPr>
          <w:rFonts w:ascii="黑体" w:hAnsi="黑体" w:eastAsia="黑体" w:cs="黑体"/>
          <w:spacing w:val="2"/>
          <w:sz w:val="24"/>
          <w:szCs w:val="24"/>
        </w:rPr>
        <w:t>的,应当在评审报告上签署不同意见并说明理由,</w:t>
      </w:r>
      <w:r>
        <w:rPr>
          <w:rFonts w:ascii="黑体" w:hAnsi="黑体" w:eastAsia="黑体" w:cs="黑体"/>
          <w:spacing w:val="1"/>
          <w:sz w:val="24"/>
          <w:szCs w:val="24"/>
        </w:rPr>
        <w:t>否则视为同意评审报告。</w:t>
      </w:r>
    </w:p>
    <w:p w14:paraId="07088829">
      <w:pPr>
        <w:spacing w:before="180" w:line="222" w:lineRule="auto"/>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25详细评审</w:t>
      </w:r>
    </w:p>
    <w:p w14:paraId="022FE146">
      <w:pPr>
        <w:spacing w:before="101" w:line="222" w:lineRule="auto"/>
        <w:ind w:left="487"/>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25.1首次报价</w:t>
      </w:r>
    </w:p>
    <w:p w14:paraId="68973A78">
      <w:pPr>
        <w:spacing w:before="177" w:line="468" w:lineRule="exact"/>
        <w:jc w:val="right"/>
        <w:rPr>
          <w:rFonts w:ascii="黑体" w:hAnsi="黑体" w:eastAsia="黑体" w:cs="黑体"/>
          <w:sz w:val="24"/>
          <w:szCs w:val="24"/>
        </w:rPr>
      </w:pPr>
      <w:r>
        <w:rPr>
          <w:rFonts w:ascii="黑体" w:hAnsi="黑体" w:eastAsia="黑体" w:cs="黑体"/>
          <w:spacing w:val="1"/>
          <w:position w:val="17"/>
          <w:sz w:val="24"/>
          <w:szCs w:val="24"/>
        </w:rPr>
        <w:t>供应商的首次报价于提交首次响应文件截止时间开启，本环节由采购代</w:t>
      </w:r>
      <w:r>
        <w:rPr>
          <w:rFonts w:ascii="黑体" w:hAnsi="黑体" w:eastAsia="黑体" w:cs="黑体"/>
          <w:position w:val="17"/>
          <w:sz w:val="24"/>
          <w:szCs w:val="24"/>
        </w:rPr>
        <w:t>理机构主</w:t>
      </w:r>
    </w:p>
    <w:p w14:paraId="4E887451">
      <w:pPr>
        <w:spacing w:before="1" w:line="212" w:lineRule="auto"/>
        <w:rPr>
          <w:rFonts w:ascii="黑体" w:hAnsi="黑体" w:eastAsia="黑体" w:cs="黑体"/>
          <w:sz w:val="24"/>
          <w:szCs w:val="24"/>
        </w:rPr>
      </w:pPr>
      <w:r>
        <w:rPr>
          <w:rFonts w:ascii="黑体" w:hAnsi="黑体" w:eastAsia="黑体" w:cs="黑体"/>
          <w:spacing w:val="1"/>
          <w:sz w:val="24"/>
          <w:szCs w:val="24"/>
        </w:rPr>
        <w:t>持，采购人、供应商和有关方面代表参加。</w:t>
      </w:r>
    </w:p>
    <w:p w14:paraId="6835994F">
      <w:pPr>
        <w:spacing w:before="189" w:line="222" w:lineRule="auto"/>
        <w:ind w:left="487"/>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25.2磋商小组</w:t>
      </w:r>
    </w:p>
    <w:p w14:paraId="2E59220C">
      <w:pPr>
        <w:spacing w:before="179" w:line="222" w:lineRule="auto"/>
        <w:ind w:left="490"/>
        <w:rPr>
          <w:rFonts w:ascii="黑体" w:hAnsi="黑体" w:eastAsia="黑体" w:cs="黑体"/>
          <w:sz w:val="24"/>
          <w:szCs w:val="24"/>
        </w:rPr>
      </w:pPr>
      <w:r>
        <w:rPr>
          <w:rFonts w:ascii="黑体" w:hAnsi="黑体" w:eastAsia="黑体" w:cs="黑体"/>
          <w:spacing w:val="1"/>
          <w:sz w:val="24"/>
          <w:szCs w:val="24"/>
        </w:rPr>
        <w:t>本次磋商按照规定依法组建磋商小组。</w:t>
      </w:r>
    </w:p>
    <w:p w14:paraId="1F105109">
      <w:pPr>
        <w:spacing w:before="178" w:line="359" w:lineRule="auto"/>
        <w:ind w:left="2" w:firstLine="485"/>
        <w:rPr>
          <w:rFonts w:ascii="黑体" w:hAnsi="黑体" w:eastAsia="黑体" w:cs="黑体"/>
          <w:sz w:val="24"/>
          <w:szCs w:val="24"/>
        </w:rPr>
      </w:pPr>
      <w:r>
        <w:rPr>
          <w:rFonts w:ascii="黑体" w:hAnsi="黑体" w:eastAsia="黑体" w:cs="黑体"/>
          <w:spacing w:val="1"/>
          <w:sz w:val="24"/>
          <w:szCs w:val="24"/>
        </w:rPr>
        <w:t>磋商小组所有成员集中对响应文件进行审查，与每个供应商分别进行先</w:t>
      </w:r>
      <w:r>
        <w:rPr>
          <w:rFonts w:ascii="黑体" w:hAnsi="黑体" w:eastAsia="黑体" w:cs="黑体"/>
          <w:sz w:val="24"/>
          <w:szCs w:val="24"/>
        </w:rPr>
        <w:t>商务技术</w:t>
      </w:r>
      <w:r>
        <w:rPr>
          <w:rFonts w:ascii="黑体" w:hAnsi="黑体" w:eastAsia="黑体" w:cs="黑体"/>
          <w:spacing w:val="1"/>
          <w:sz w:val="24"/>
          <w:szCs w:val="24"/>
        </w:rPr>
        <w:t>条件后价格的磋商，本次磋商采用一轮磋商。磋商小组也可视实际情况确定磋商轮次</w:t>
      </w:r>
    </w:p>
    <w:p w14:paraId="569D6061">
      <w:pPr>
        <w:spacing w:before="1" w:line="212" w:lineRule="auto"/>
        <w:ind w:left="22"/>
        <w:rPr>
          <w:rFonts w:ascii="黑体" w:hAnsi="黑体" w:eastAsia="黑体" w:cs="黑体"/>
          <w:sz w:val="24"/>
          <w:szCs w:val="24"/>
        </w:rPr>
      </w:pPr>
      <w:r>
        <w:rPr>
          <w:rFonts w:ascii="黑体" w:hAnsi="黑体" w:eastAsia="黑体" w:cs="黑体"/>
          <w:spacing w:val="-1"/>
          <w:sz w:val="24"/>
          <w:szCs w:val="24"/>
        </w:rPr>
        <w:t>（报价最多不超过3轮</w:t>
      </w:r>
      <w:r>
        <w:rPr>
          <w:rFonts w:ascii="黑体" w:hAnsi="黑体" w:eastAsia="黑体" w:cs="黑体"/>
          <w:spacing w:val="19"/>
          <w:sz w:val="24"/>
          <w:szCs w:val="24"/>
        </w:rPr>
        <w:t>），</w:t>
      </w:r>
      <w:r>
        <w:rPr>
          <w:rFonts w:ascii="黑体" w:hAnsi="黑体" w:eastAsia="黑体" w:cs="黑体"/>
          <w:spacing w:val="-1"/>
          <w:sz w:val="24"/>
          <w:szCs w:val="24"/>
        </w:rPr>
        <w:t>并提交评审报告及推荐成交供应商。</w:t>
      </w:r>
    </w:p>
    <w:p w14:paraId="545E7DC1">
      <w:pPr>
        <w:spacing w:before="191" w:line="221" w:lineRule="auto"/>
        <w:ind w:left="487"/>
        <w:rPr>
          <w:rFonts w:ascii="黑体" w:hAnsi="黑体" w:eastAsia="黑体" w:cs="黑体"/>
          <w:sz w:val="24"/>
          <w:szCs w:val="24"/>
        </w:rPr>
      </w:pPr>
      <w:r>
        <w:rPr>
          <w:rFonts w:ascii="黑体" w:hAnsi="黑体" w:eastAsia="黑体" w:cs="黑体"/>
          <w:spacing w:val="2"/>
          <w:sz w:val="24"/>
          <w:szCs w:val="24"/>
          <w14:textOutline w14:w="4358" w14:cap="sq" w14:cmpd="sng">
            <w14:solidFill>
              <w14:srgbClr w14:val="000000"/>
            </w14:solidFill>
            <w14:prstDash w14:val="solid"/>
            <w14:bevel/>
          </w14:textOutline>
        </w:rPr>
        <w:t>25.3评审方法：综合评分法。</w:t>
      </w:r>
    </w:p>
    <w:p w14:paraId="14992107">
      <w:pPr>
        <w:spacing w:before="178" w:line="222" w:lineRule="auto"/>
        <w:ind w:left="487"/>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25.4评审程序</w:t>
      </w:r>
    </w:p>
    <w:p w14:paraId="35FCCB54">
      <w:pPr>
        <w:spacing w:before="179" w:line="222" w:lineRule="auto"/>
        <w:ind w:left="487"/>
        <w:rPr>
          <w:rFonts w:ascii="黑体" w:hAnsi="黑体" w:eastAsia="黑体" w:cs="黑体"/>
          <w:sz w:val="24"/>
          <w:szCs w:val="24"/>
        </w:rPr>
      </w:pPr>
      <w:r>
        <w:rPr>
          <w:rFonts w:ascii="黑体" w:hAnsi="黑体" w:eastAsia="黑体" w:cs="黑体"/>
          <w:spacing w:val="1"/>
          <w:sz w:val="24"/>
          <w:szCs w:val="24"/>
        </w:rPr>
        <w:t>25.4.1磋商小组确认磋商文件</w:t>
      </w:r>
    </w:p>
    <w:p w14:paraId="2275894B">
      <w:pPr>
        <w:spacing w:line="222" w:lineRule="auto"/>
        <w:rPr>
          <w:rFonts w:ascii="黑体" w:hAnsi="黑体" w:eastAsia="黑体" w:cs="黑体"/>
          <w:sz w:val="24"/>
          <w:szCs w:val="24"/>
        </w:rPr>
        <w:sectPr>
          <w:footerReference r:id="rId16" w:type="default"/>
          <w:pgSz w:w="11906" w:h="16839"/>
          <w:pgMar w:top="1431" w:right="1562" w:bottom="1012" w:left="1423" w:header="0" w:footer="850" w:gutter="0"/>
          <w:cols w:space="720" w:num="1"/>
        </w:sectPr>
      </w:pPr>
    </w:p>
    <w:p w14:paraId="31341577">
      <w:pPr>
        <w:spacing w:before="48" w:line="222" w:lineRule="auto"/>
        <w:ind w:left="497"/>
        <w:rPr>
          <w:rFonts w:ascii="黑体" w:hAnsi="黑体" w:eastAsia="黑体" w:cs="黑体"/>
          <w:sz w:val="24"/>
          <w:szCs w:val="24"/>
        </w:rPr>
      </w:pPr>
      <w:r>
        <w:rPr>
          <w:rFonts w:ascii="黑体" w:hAnsi="黑体" w:eastAsia="黑体" w:cs="黑体"/>
          <w:spacing w:val="-2"/>
          <w:sz w:val="24"/>
          <w:szCs w:val="24"/>
        </w:rPr>
        <w:t>资格性审查</w:t>
      </w:r>
    </w:p>
    <w:p w14:paraId="18FAD38A">
      <w:pPr>
        <w:spacing w:before="177" w:line="359" w:lineRule="auto"/>
        <w:ind w:left="6" w:firstLine="481"/>
        <w:rPr>
          <w:rFonts w:ascii="黑体" w:hAnsi="黑体" w:eastAsia="黑体" w:cs="黑体"/>
          <w:sz w:val="24"/>
          <w:szCs w:val="24"/>
        </w:rPr>
      </w:pPr>
      <w:r>
        <w:rPr>
          <w:rFonts w:ascii="黑体" w:hAnsi="黑体" w:eastAsia="黑体" w:cs="黑体"/>
          <w:spacing w:val="1"/>
          <w:sz w:val="24"/>
          <w:szCs w:val="24"/>
        </w:rPr>
        <w:t>磋商小组对每个供应商的响应文件进行资格性审查。资格性审查是审查</w:t>
      </w:r>
      <w:r>
        <w:rPr>
          <w:rFonts w:ascii="黑体" w:hAnsi="黑体" w:eastAsia="黑体" w:cs="黑体"/>
          <w:sz w:val="24"/>
          <w:szCs w:val="24"/>
        </w:rPr>
        <w:t>响应文件</w:t>
      </w:r>
      <w:r>
        <w:rPr>
          <w:rFonts w:ascii="黑体" w:hAnsi="黑体" w:eastAsia="黑体" w:cs="黑体"/>
          <w:spacing w:val="1"/>
          <w:sz w:val="24"/>
          <w:szCs w:val="24"/>
        </w:rPr>
        <w:t>是否对磋商文件的资格及实质性条款作出响对应。资格性审查不通过的供</w:t>
      </w:r>
      <w:r>
        <w:rPr>
          <w:rFonts w:ascii="黑体" w:hAnsi="黑体" w:eastAsia="黑体" w:cs="黑体"/>
          <w:sz w:val="24"/>
          <w:szCs w:val="24"/>
        </w:rPr>
        <w:t>应商，其响</w:t>
      </w:r>
    </w:p>
    <w:p w14:paraId="63C8FE5B">
      <w:pPr>
        <w:spacing w:before="1" w:line="220" w:lineRule="auto"/>
        <w:ind w:left="3"/>
        <w:rPr>
          <w:rFonts w:ascii="黑体" w:hAnsi="黑体" w:eastAsia="黑体" w:cs="黑体"/>
          <w:sz w:val="24"/>
          <w:szCs w:val="24"/>
        </w:rPr>
      </w:pPr>
      <w:r>
        <w:rPr>
          <w:rFonts w:ascii="黑体" w:hAnsi="黑体" w:eastAsia="黑体" w:cs="黑体"/>
          <w:sz w:val="24"/>
          <w:szCs w:val="24"/>
        </w:rPr>
        <w:t>应文件作无效处理。</w:t>
      </w:r>
    </w:p>
    <w:p w14:paraId="6260B38E">
      <w:pPr>
        <w:spacing w:before="180" w:line="222" w:lineRule="auto"/>
        <w:ind w:left="488"/>
        <w:rPr>
          <w:rFonts w:ascii="黑体" w:hAnsi="黑体" w:eastAsia="黑体" w:cs="黑体"/>
          <w:sz w:val="24"/>
          <w:szCs w:val="24"/>
        </w:rPr>
      </w:pPr>
      <w:r>
        <w:rPr>
          <w:rFonts w:ascii="黑体" w:hAnsi="黑体" w:eastAsia="黑体" w:cs="黑体"/>
          <w:sz w:val="24"/>
          <w:szCs w:val="24"/>
        </w:rPr>
        <w:t>符合性审查</w:t>
      </w:r>
    </w:p>
    <w:p w14:paraId="3C4E16D2">
      <w:pPr>
        <w:spacing w:before="177" w:line="359" w:lineRule="auto"/>
        <w:ind w:left="6" w:firstLine="481"/>
        <w:rPr>
          <w:rFonts w:ascii="黑体" w:hAnsi="黑体" w:eastAsia="黑体" w:cs="黑体"/>
          <w:sz w:val="24"/>
          <w:szCs w:val="24"/>
        </w:rPr>
      </w:pPr>
      <w:r>
        <w:rPr>
          <w:rFonts w:ascii="黑体" w:hAnsi="黑体" w:eastAsia="黑体" w:cs="黑体"/>
          <w:spacing w:val="1"/>
          <w:sz w:val="24"/>
          <w:szCs w:val="24"/>
        </w:rPr>
        <w:t>磋商小组对每个供应商的响应文件进行符合性审查。符合性审查是审查</w:t>
      </w:r>
      <w:r>
        <w:rPr>
          <w:rFonts w:ascii="黑体" w:hAnsi="黑体" w:eastAsia="黑体" w:cs="黑体"/>
          <w:sz w:val="24"/>
          <w:szCs w:val="24"/>
        </w:rPr>
        <w:t>响应文件</w:t>
      </w:r>
      <w:r>
        <w:rPr>
          <w:rFonts w:ascii="黑体" w:hAnsi="黑体" w:eastAsia="黑体" w:cs="黑体"/>
          <w:spacing w:val="1"/>
          <w:sz w:val="24"/>
          <w:szCs w:val="24"/>
        </w:rPr>
        <w:t>是否对磋商文件的符合及实质性条款作出响应。对符合性审查不通过的供</w:t>
      </w:r>
      <w:r>
        <w:rPr>
          <w:rFonts w:ascii="黑体" w:hAnsi="黑体" w:eastAsia="黑体" w:cs="黑体"/>
          <w:sz w:val="24"/>
          <w:szCs w:val="24"/>
        </w:rPr>
        <w:t>应商，其响</w:t>
      </w:r>
    </w:p>
    <w:p w14:paraId="3B5E5CC7">
      <w:pPr>
        <w:spacing w:before="1" w:line="220" w:lineRule="auto"/>
        <w:ind w:left="3"/>
        <w:rPr>
          <w:rFonts w:ascii="黑体" w:hAnsi="黑体" w:eastAsia="黑体" w:cs="黑体"/>
          <w:sz w:val="24"/>
          <w:szCs w:val="24"/>
        </w:rPr>
      </w:pPr>
      <w:r>
        <w:rPr>
          <w:rFonts w:ascii="黑体" w:hAnsi="黑体" w:eastAsia="黑体" w:cs="黑体"/>
          <w:sz w:val="24"/>
          <w:szCs w:val="24"/>
        </w:rPr>
        <w:t>应文件作无效处理。</w:t>
      </w:r>
    </w:p>
    <w:p w14:paraId="304CAF87">
      <w:pPr>
        <w:spacing w:before="180" w:line="222" w:lineRule="auto"/>
        <w:ind w:left="487"/>
        <w:rPr>
          <w:rFonts w:ascii="黑体" w:hAnsi="黑体" w:eastAsia="黑体" w:cs="黑体"/>
          <w:sz w:val="24"/>
          <w:szCs w:val="24"/>
        </w:rPr>
      </w:pPr>
      <w:r>
        <w:rPr>
          <w:rFonts w:ascii="黑体" w:hAnsi="黑体" w:eastAsia="黑体" w:cs="黑体"/>
          <w:spacing w:val="-2"/>
          <w:sz w:val="24"/>
          <w:szCs w:val="24"/>
          <w14:textOutline w14:w="4358" w14:cap="sq" w14:cmpd="sng">
            <w14:solidFill>
              <w14:srgbClr w14:val="000000"/>
            </w14:solidFill>
            <w14:prstDash w14:val="solid"/>
            <w14:bevel/>
          </w14:textOutline>
        </w:rPr>
        <w:t>25.5磋商</w:t>
      </w:r>
    </w:p>
    <w:p w14:paraId="0F266907">
      <w:pPr>
        <w:spacing w:before="177" w:line="221" w:lineRule="auto"/>
        <w:ind w:left="487"/>
        <w:rPr>
          <w:rFonts w:ascii="黑体" w:hAnsi="黑体" w:eastAsia="黑体" w:cs="黑体"/>
          <w:sz w:val="24"/>
          <w:szCs w:val="24"/>
        </w:rPr>
      </w:pPr>
      <w:r>
        <w:rPr>
          <w:rFonts w:ascii="黑体" w:hAnsi="黑体" w:eastAsia="黑体" w:cs="黑体"/>
          <w:spacing w:val="1"/>
          <w:sz w:val="24"/>
          <w:szCs w:val="24"/>
        </w:rPr>
        <w:t>25.5.1磋商文件未发生实质性变动的：</w:t>
      </w:r>
    </w:p>
    <w:p w14:paraId="4A6FB73A">
      <w:pPr>
        <w:spacing w:before="181" w:line="466" w:lineRule="exact"/>
        <w:jc w:val="right"/>
        <w:rPr>
          <w:rFonts w:ascii="黑体" w:hAnsi="黑体" w:eastAsia="黑体" w:cs="黑体"/>
          <w:sz w:val="24"/>
          <w:szCs w:val="24"/>
        </w:rPr>
      </w:pPr>
      <w:r>
        <w:rPr>
          <w:rFonts w:ascii="黑体" w:hAnsi="黑体" w:eastAsia="黑体" w:cs="黑体"/>
          <w:spacing w:val="1"/>
          <w:position w:val="17"/>
          <w:sz w:val="24"/>
          <w:szCs w:val="24"/>
        </w:rPr>
        <w:t>磋商小组没有对磋商文件作实质性变动增加新的需求，后一轮报价不得</w:t>
      </w:r>
      <w:r>
        <w:rPr>
          <w:rFonts w:ascii="黑体" w:hAnsi="黑体" w:eastAsia="黑体" w:cs="黑体"/>
          <w:position w:val="17"/>
          <w:sz w:val="24"/>
          <w:szCs w:val="24"/>
        </w:rPr>
        <w:t>高于前一</w:t>
      </w:r>
    </w:p>
    <w:p w14:paraId="325E70AC">
      <w:pPr>
        <w:spacing w:before="1" w:line="212" w:lineRule="auto"/>
        <w:ind w:left="1"/>
        <w:rPr>
          <w:rFonts w:ascii="黑体" w:hAnsi="黑体" w:eastAsia="黑体" w:cs="黑体"/>
          <w:sz w:val="24"/>
          <w:szCs w:val="24"/>
        </w:rPr>
      </w:pPr>
      <w:r>
        <w:rPr>
          <w:rFonts w:ascii="黑体" w:hAnsi="黑体" w:eastAsia="黑体" w:cs="黑体"/>
          <w:spacing w:val="1"/>
          <w:sz w:val="24"/>
          <w:szCs w:val="24"/>
        </w:rPr>
        <w:t>轮报价，否则将按响应无效处理。</w:t>
      </w:r>
    </w:p>
    <w:p w14:paraId="2CC6C987">
      <w:pPr>
        <w:spacing w:before="191" w:line="221" w:lineRule="auto"/>
        <w:ind w:left="487"/>
        <w:rPr>
          <w:rFonts w:ascii="黑体" w:hAnsi="黑体" w:eastAsia="黑体" w:cs="黑体"/>
          <w:sz w:val="24"/>
          <w:szCs w:val="24"/>
        </w:rPr>
      </w:pPr>
      <w:r>
        <w:rPr>
          <w:rFonts w:ascii="黑体" w:hAnsi="黑体" w:eastAsia="黑体" w:cs="黑体"/>
          <w:spacing w:val="1"/>
          <w:sz w:val="24"/>
          <w:szCs w:val="24"/>
        </w:rPr>
        <w:t>25.5.2磋商文件发生实质性变动的：</w:t>
      </w:r>
    </w:p>
    <w:p w14:paraId="120BB412">
      <w:pPr>
        <w:spacing w:before="180" w:line="222" w:lineRule="auto"/>
        <w:ind w:left="509"/>
        <w:rPr>
          <w:rFonts w:ascii="黑体" w:hAnsi="黑体" w:eastAsia="黑体" w:cs="黑体"/>
          <w:sz w:val="24"/>
          <w:szCs w:val="24"/>
        </w:rPr>
      </w:pPr>
      <w:r>
        <w:rPr>
          <w:rFonts w:ascii="黑体" w:hAnsi="黑体" w:eastAsia="黑体" w:cs="黑体"/>
          <w:spacing w:val="-1"/>
          <w:sz w:val="24"/>
          <w:szCs w:val="24"/>
        </w:rPr>
        <w:t>（1）书面通知变更内容</w:t>
      </w:r>
    </w:p>
    <w:p w14:paraId="5F07A005">
      <w:pPr>
        <w:spacing w:before="177" w:line="359" w:lineRule="auto"/>
        <w:ind w:left="1" w:firstLine="485"/>
        <w:rPr>
          <w:rFonts w:ascii="黑体" w:hAnsi="黑体" w:eastAsia="黑体" w:cs="黑体"/>
          <w:sz w:val="24"/>
          <w:szCs w:val="24"/>
        </w:rPr>
      </w:pPr>
      <w:r>
        <w:rPr>
          <w:rFonts w:ascii="黑体" w:hAnsi="黑体" w:eastAsia="黑体" w:cs="黑体"/>
          <w:spacing w:val="1"/>
          <w:sz w:val="24"/>
          <w:szCs w:val="24"/>
        </w:rPr>
        <w:t>在磋商过程中，磋商小组可以根据磋商文件和磋商情况实质性变动采购需</w:t>
      </w:r>
      <w:r>
        <w:rPr>
          <w:rFonts w:ascii="黑体" w:hAnsi="黑体" w:eastAsia="黑体" w:cs="黑体"/>
          <w:sz w:val="24"/>
          <w:szCs w:val="24"/>
        </w:rPr>
        <w:t>求中的</w:t>
      </w:r>
      <w:r>
        <w:rPr>
          <w:rFonts w:ascii="黑体" w:hAnsi="黑体" w:eastAsia="黑体" w:cs="黑体"/>
          <w:spacing w:val="1"/>
          <w:sz w:val="24"/>
          <w:szCs w:val="24"/>
        </w:rPr>
        <w:t>技术、服务要求以及合同草案条款，但不得变动磋商文件中的其他内容。实质性变动的内容，经采购人代表确认后，由磋商小组在政采云平台在线询标--新增询标</w:t>
      </w:r>
      <w:r>
        <w:rPr>
          <w:rFonts w:ascii="黑体" w:hAnsi="黑体" w:eastAsia="黑体" w:cs="黑体"/>
          <w:sz w:val="24"/>
          <w:szCs w:val="24"/>
        </w:rPr>
        <w:t>函方式</w:t>
      </w:r>
    </w:p>
    <w:p w14:paraId="20898A0F">
      <w:pPr>
        <w:spacing w:before="1" w:line="220" w:lineRule="auto"/>
        <w:rPr>
          <w:rFonts w:ascii="黑体" w:hAnsi="黑体" w:eastAsia="黑体" w:cs="黑体"/>
          <w:sz w:val="24"/>
          <w:szCs w:val="24"/>
        </w:rPr>
      </w:pPr>
      <w:r>
        <w:rPr>
          <w:rFonts w:ascii="黑体" w:hAnsi="黑体" w:eastAsia="黑体" w:cs="黑体"/>
          <w:spacing w:val="2"/>
          <w:sz w:val="24"/>
          <w:szCs w:val="24"/>
        </w:rPr>
        <w:t>通知所有供应商。对磋商文件作出的实质性变动是磋商文件的有效组成部分。</w:t>
      </w:r>
    </w:p>
    <w:p w14:paraId="773D2731">
      <w:pPr>
        <w:spacing w:before="181" w:line="222" w:lineRule="auto"/>
        <w:ind w:left="509"/>
        <w:rPr>
          <w:rFonts w:ascii="黑体" w:hAnsi="黑体" w:eastAsia="黑体" w:cs="黑体"/>
          <w:sz w:val="24"/>
          <w:szCs w:val="24"/>
        </w:rPr>
      </w:pPr>
      <w:r>
        <w:rPr>
          <w:rFonts w:ascii="黑体" w:hAnsi="黑体" w:eastAsia="黑体" w:cs="黑体"/>
          <w:spacing w:val="-5"/>
          <w:sz w:val="24"/>
          <w:szCs w:val="24"/>
        </w:rPr>
        <w:t>（2）磋商</w:t>
      </w:r>
    </w:p>
    <w:p w14:paraId="10B1FA2F">
      <w:pPr>
        <w:spacing w:before="180" w:line="359" w:lineRule="auto"/>
        <w:ind w:left="6" w:firstLine="481"/>
        <w:rPr>
          <w:rFonts w:ascii="黑体" w:hAnsi="黑体" w:eastAsia="黑体" w:cs="黑体"/>
          <w:sz w:val="24"/>
          <w:szCs w:val="24"/>
        </w:rPr>
      </w:pPr>
      <w:r>
        <w:rPr>
          <w:rFonts w:ascii="黑体" w:hAnsi="黑体" w:eastAsia="黑体" w:cs="黑体"/>
          <w:spacing w:val="1"/>
          <w:sz w:val="24"/>
          <w:szCs w:val="24"/>
        </w:rPr>
        <w:t>磋商小组集中与接受磋商文件变更的每个供应商分别进行询标。</w:t>
      </w:r>
      <w:r>
        <w:rPr>
          <w:rFonts w:ascii="黑体" w:hAnsi="黑体" w:eastAsia="黑体" w:cs="黑体"/>
          <w:sz w:val="24"/>
          <w:szCs w:val="24"/>
        </w:rPr>
        <w:t>磋商的内容主要</w:t>
      </w:r>
      <w:r>
        <w:rPr>
          <w:rFonts w:ascii="黑体" w:hAnsi="黑体" w:eastAsia="黑体" w:cs="黑体"/>
          <w:spacing w:val="1"/>
          <w:sz w:val="24"/>
          <w:szCs w:val="24"/>
        </w:rPr>
        <w:t>是对响应文件的澄清、修正、补充、确认等。不接受磋商文件变更的供应</w:t>
      </w:r>
      <w:r>
        <w:rPr>
          <w:rFonts w:ascii="黑体" w:hAnsi="黑体" w:eastAsia="黑体" w:cs="黑体"/>
          <w:sz w:val="24"/>
          <w:szCs w:val="24"/>
        </w:rPr>
        <w:t>商，视为自</w:t>
      </w:r>
    </w:p>
    <w:p w14:paraId="6BDE9D1D">
      <w:pPr>
        <w:spacing w:before="1" w:line="212" w:lineRule="auto"/>
        <w:ind w:left="2"/>
        <w:rPr>
          <w:rFonts w:ascii="黑体" w:hAnsi="黑体" w:eastAsia="黑体" w:cs="黑体"/>
          <w:sz w:val="24"/>
          <w:szCs w:val="24"/>
        </w:rPr>
      </w:pPr>
      <w:r>
        <w:rPr>
          <w:rFonts w:ascii="黑体" w:hAnsi="黑体" w:eastAsia="黑体" w:cs="黑体"/>
          <w:spacing w:val="1"/>
          <w:sz w:val="24"/>
          <w:szCs w:val="24"/>
        </w:rPr>
        <w:t>动退出磋商，其响应文件作无效处理。</w:t>
      </w:r>
    </w:p>
    <w:p w14:paraId="5D47C3EC">
      <w:pPr>
        <w:spacing w:before="189" w:line="221" w:lineRule="auto"/>
        <w:ind w:left="509"/>
        <w:rPr>
          <w:rFonts w:ascii="黑体" w:hAnsi="黑体" w:eastAsia="黑体" w:cs="黑体"/>
          <w:sz w:val="24"/>
          <w:szCs w:val="24"/>
        </w:rPr>
      </w:pPr>
      <w:r>
        <w:rPr>
          <w:rFonts w:ascii="黑体" w:hAnsi="黑体" w:eastAsia="黑体" w:cs="黑体"/>
          <w:sz w:val="24"/>
          <w:szCs w:val="24"/>
        </w:rPr>
        <w:t>（3）重新提交响应文件（含报价）</w:t>
      </w:r>
    </w:p>
    <w:p w14:paraId="0A73BDAE">
      <w:pPr>
        <w:spacing w:before="180" w:line="359" w:lineRule="auto"/>
        <w:ind w:firstLine="488"/>
        <w:rPr>
          <w:rFonts w:ascii="黑体" w:hAnsi="黑体" w:eastAsia="黑体" w:cs="黑体"/>
          <w:sz w:val="24"/>
          <w:szCs w:val="24"/>
        </w:rPr>
      </w:pPr>
      <w:r>
        <w:rPr>
          <w:rFonts w:ascii="黑体" w:hAnsi="黑体" w:eastAsia="黑体" w:cs="黑体"/>
          <w:spacing w:val="1"/>
          <w:sz w:val="24"/>
          <w:szCs w:val="24"/>
        </w:rPr>
        <w:t>供应商应当按照磋商文件的变动情况和磋商小组的要求重新提交响应文</w:t>
      </w:r>
      <w:r>
        <w:rPr>
          <w:rFonts w:ascii="黑体" w:hAnsi="黑体" w:eastAsia="黑体" w:cs="黑体"/>
          <w:sz w:val="24"/>
          <w:szCs w:val="24"/>
        </w:rPr>
        <w:t>件（指磋</w:t>
      </w:r>
      <w:r>
        <w:rPr>
          <w:rFonts w:ascii="黑体" w:hAnsi="黑体" w:eastAsia="黑体" w:cs="黑体"/>
          <w:spacing w:val="1"/>
          <w:sz w:val="24"/>
          <w:szCs w:val="24"/>
        </w:rPr>
        <w:t>商结束后，在规定时间内填写《询标函》，在该文件上注明最后报价及有关承诺，并提交）。最终报价时间视磋商进程由磋商小组决定。《询标函》是响应文件的有效组</w:t>
      </w:r>
    </w:p>
    <w:p w14:paraId="11F497AD">
      <w:pPr>
        <w:spacing w:before="1" w:line="212" w:lineRule="auto"/>
        <w:rPr>
          <w:rFonts w:ascii="黑体" w:hAnsi="黑体" w:eastAsia="黑体" w:cs="黑体"/>
          <w:sz w:val="24"/>
          <w:szCs w:val="24"/>
        </w:rPr>
      </w:pPr>
      <w:r>
        <w:rPr>
          <w:rFonts w:ascii="黑体" w:hAnsi="黑体" w:eastAsia="黑体" w:cs="黑体"/>
          <w:spacing w:val="1"/>
          <w:sz w:val="24"/>
          <w:szCs w:val="24"/>
        </w:rPr>
        <w:t>成部分，须由供应商签章。</w:t>
      </w:r>
    </w:p>
    <w:p w14:paraId="3854AE21">
      <w:pPr>
        <w:spacing w:before="191" w:line="466" w:lineRule="exact"/>
        <w:jc w:val="right"/>
        <w:rPr>
          <w:rFonts w:ascii="黑体" w:hAnsi="黑体" w:eastAsia="黑体" w:cs="黑体"/>
          <w:sz w:val="24"/>
          <w:szCs w:val="24"/>
        </w:rPr>
      </w:pPr>
      <w:r>
        <w:rPr>
          <w:rFonts w:ascii="黑体" w:hAnsi="黑体" w:eastAsia="黑体" w:cs="黑体"/>
          <w:spacing w:val="1"/>
          <w:position w:val="17"/>
          <w:sz w:val="24"/>
          <w:szCs w:val="24"/>
        </w:rPr>
        <w:t>若供应商未按《询标函》的要求对相关问题进行响应的，视为非实质</w:t>
      </w:r>
      <w:r>
        <w:rPr>
          <w:rFonts w:ascii="黑体" w:hAnsi="黑体" w:eastAsia="黑体" w:cs="黑体"/>
          <w:position w:val="17"/>
          <w:sz w:val="24"/>
          <w:szCs w:val="24"/>
        </w:rPr>
        <w:t>性响应磋商</w:t>
      </w:r>
    </w:p>
    <w:p w14:paraId="3F90A559">
      <w:pPr>
        <w:spacing w:line="221" w:lineRule="auto"/>
        <w:ind w:left="4"/>
        <w:rPr>
          <w:rFonts w:ascii="黑体" w:hAnsi="黑体" w:eastAsia="黑体" w:cs="黑体"/>
          <w:sz w:val="24"/>
          <w:szCs w:val="24"/>
        </w:rPr>
      </w:pPr>
      <w:r>
        <w:rPr>
          <w:rFonts w:ascii="黑体" w:hAnsi="黑体" w:eastAsia="黑体" w:cs="黑体"/>
          <w:spacing w:val="-4"/>
          <w:sz w:val="24"/>
          <w:szCs w:val="24"/>
        </w:rPr>
        <w:t>文件。</w:t>
      </w:r>
    </w:p>
    <w:p w14:paraId="33E35D5D">
      <w:pPr>
        <w:spacing w:before="180" w:line="213" w:lineRule="auto"/>
        <w:jc w:val="right"/>
        <w:rPr>
          <w:rFonts w:ascii="黑体" w:hAnsi="黑体" w:eastAsia="黑体" w:cs="黑体"/>
          <w:sz w:val="24"/>
          <w:szCs w:val="24"/>
        </w:rPr>
      </w:pPr>
      <w:r>
        <w:rPr>
          <w:rFonts w:ascii="黑体" w:hAnsi="黑体" w:eastAsia="黑体" w:cs="黑体"/>
          <w:spacing w:val="1"/>
          <w:sz w:val="24"/>
          <w:szCs w:val="24"/>
        </w:rPr>
        <w:t>除非在磋商中磋商小组调整或修改采购需求</w:t>
      </w:r>
      <w:r>
        <w:rPr>
          <w:rFonts w:ascii="黑体" w:hAnsi="黑体" w:eastAsia="黑体" w:cs="黑体"/>
          <w:sz w:val="24"/>
          <w:szCs w:val="24"/>
        </w:rPr>
        <w:t>内容，否则采购人不接受高于前面轮</w:t>
      </w:r>
    </w:p>
    <w:p w14:paraId="2C1E5301">
      <w:pPr>
        <w:spacing w:line="213" w:lineRule="auto"/>
        <w:rPr>
          <w:rFonts w:ascii="黑体" w:hAnsi="黑体" w:eastAsia="黑体" w:cs="黑体"/>
          <w:sz w:val="24"/>
          <w:szCs w:val="24"/>
        </w:rPr>
        <w:sectPr>
          <w:footerReference r:id="rId17" w:type="default"/>
          <w:pgSz w:w="11906" w:h="16839"/>
          <w:pgMar w:top="1404" w:right="1561" w:bottom="1012" w:left="1423" w:header="0" w:footer="850" w:gutter="0"/>
          <w:cols w:space="720" w:num="1"/>
        </w:sectPr>
      </w:pPr>
    </w:p>
    <w:p w14:paraId="117BBBBD">
      <w:pPr>
        <w:spacing w:before="48" w:line="222" w:lineRule="auto"/>
        <w:rPr>
          <w:rFonts w:ascii="黑体" w:hAnsi="黑体" w:eastAsia="黑体" w:cs="黑体"/>
          <w:sz w:val="24"/>
          <w:szCs w:val="24"/>
        </w:rPr>
      </w:pPr>
      <w:r>
        <w:rPr>
          <w:rFonts w:ascii="黑体" w:hAnsi="黑体" w:eastAsia="黑体" w:cs="黑体"/>
          <w:spacing w:val="1"/>
          <w:sz w:val="24"/>
          <w:szCs w:val="24"/>
        </w:rPr>
        <w:t>次磋商报价的最终报价。</w:t>
      </w:r>
    </w:p>
    <w:p w14:paraId="235824B4">
      <w:pPr>
        <w:spacing w:before="177" w:line="221" w:lineRule="auto"/>
        <w:ind w:left="486"/>
        <w:rPr>
          <w:rFonts w:ascii="黑体" w:hAnsi="黑体" w:eastAsia="黑体" w:cs="黑体"/>
          <w:sz w:val="24"/>
          <w:szCs w:val="24"/>
        </w:rPr>
      </w:pPr>
      <w:r>
        <w:rPr>
          <w:rFonts w:ascii="黑体" w:hAnsi="黑体" w:eastAsia="黑体" w:cs="黑体"/>
          <w:spacing w:val="1"/>
          <w:sz w:val="24"/>
          <w:szCs w:val="24"/>
        </w:rPr>
        <w:t>25.5.3综合评分法评审步骤</w:t>
      </w:r>
    </w:p>
    <w:p w14:paraId="75C2FC64">
      <w:pPr>
        <w:spacing w:before="179" w:line="359" w:lineRule="auto"/>
        <w:ind w:firstLine="490"/>
        <w:rPr>
          <w:rFonts w:ascii="黑体" w:hAnsi="黑体" w:eastAsia="黑体" w:cs="黑体"/>
          <w:sz w:val="24"/>
          <w:szCs w:val="24"/>
        </w:rPr>
      </w:pPr>
      <w:r>
        <w:rPr>
          <w:rFonts w:ascii="黑体" w:hAnsi="黑体" w:eastAsia="黑体" w:cs="黑体"/>
          <w:spacing w:val="1"/>
          <w:sz w:val="24"/>
          <w:szCs w:val="24"/>
        </w:rPr>
        <w:t>经磋商确定最终采购需求和提交最后报价的供应商后，由磋商</w:t>
      </w:r>
      <w:r>
        <w:rPr>
          <w:rFonts w:ascii="黑体" w:hAnsi="黑体" w:eastAsia="黑体" w:cs="黑体"/>
          <w:sz w:val="24"/>
          <w:szCs w:val="24"/>
        </w:rPr>
        <w:t>小组采用综合评分</w:t>
      </w:r>
      <w:r>
        <w:rPr>
          <w:rFonts w:ascii="黑体" w:hAnsi="黑体" w:eastAsia="黑体" w:cs="黑体"/>
          <w:spacing w:val="1"/>
          <w:sz w:val="24"/>
          <w:szCs w:val="24"/>
        </w:rPr>
        <w:t>法对提交最后报价的供应商的响应文件和最后报价进行综合评分。</w:t>
      </w:r>
      <w:r>
        <w:rPr>
          <w:rFonts w:ascii="黑体" w:hAnsi="黑体" w:eastAsia="黑体" w:cs="黑体"/>
          <w:spacing w:val="1"/>
          <w:sz w:val="24"/>
          <w:szCs w:val="24"/>
          <w14:textOutline w14:w="4358" w14:cap="sq" w14:cmpd="sng">
            <w14:solidFill>
              <w14:srgbClr w14:val="000000"/>
            </w14:solidFill>
            <w14:prstDash w14:val="solid"/>
            <w14:bevel/>
          </w14:textOutline>
        </w:rPr>
        <w:t>先进行资格、</w:t>
      </w:r>
      <w:r>
        <w:rPr>
          <w:rFonts w:ascii="黑体" w:hAnsi="黑体" w:eastAsia="黑体" w:cs="黑体"/>
          <w:sz w:val="24"/>
          <w:szCs w:val="24"/>
          <w14:textOutline w14:w="4358" w14:cap="sq" w14:cmpd="sng">
            <w14:solidFill>
              <w14:srgbClr w14:val="000000"/>
            </w14:solidFill>
            <w14:prstDash w14:val="solid"/>
            <w14:bevel/>
          </w14:textOutline>
        </w:rPr>
        <w:t>符合</w:t>
      </w:r>
      <w:r>
        <w:rPr>
          <w:rFonts w:ascii="黑体" w:hAnsi="黑体" w:eastAsia="黑体" w:cs="黑体"/>
          <w:spacing w:val="1"/>
          <w:sz w:val="24"/>
          <w:szCs w:val="24"/>
          <w14:textOutline w14:w="4358" w14:cap="sq" w14:cmpd="sng">
            <w14:solidFill>
              <w14:srgbClr w14:val="000000"/>
            </w14:solidFill>
            <w14:prstDash w14:val="solid"/>
            <w14:bevel/>
          </w14:textOutline>
        </w:rPr>
        <w:t>性审查，再进行技术、商务及价格的详细评审。</w:t>
      </w:r>
      <w:r>
        <w:rPr>
          <w:rFonts w:ascii="黑体" w:hAnsi="黑体" w:eastAsia="黑体" w:cs="黑体"/>
          <w:spacing w:val="1"/>
          <w:sz w:val="24"/>
          <w:szCs w:val="24"/>
        </w:rPr>
        <w:t>只有通过资格、符合性审查的供应商</w:t>
      </w:r>
    </w:p>
    <w:p w14:paraId="468E7013">
      <w:pPr>
        <w:spacing w:line="221" w:lineRule="auto"/>
        <w:ind w:left="9"/>
        <w:rPr>
          <w:rFonts w:ascii="黑体" w:hAnsi="黑体" w:eastAsia="黑体" w:cs="黑体"/>
          <w:sz w:val="24"/>
          <w:szCs w:val="24"/>
        </w:rPr>
      </w:pPr>
      <w:r>
        <w:rPr>
          <w:rFonts w:ascii="黑体" w:hAnsi="黑体" w:eastAsia="黑体" w:cs="黑体"/>
          <w:sz w:val="24"/>
          <w:szCs w:val="24"/>
        </w:rPr>
        <w:t>才能进入下一步的详细评审。</w:t>
      </w:r>
    </w:p>
    <w:p w14:paraId="0B15CEE2">
      <w:pPr>
        <w:spacing w:before="247" w:line="230" w:lineRule="auto"/>
        <w:ind w:left="498"/>
        <w:rPr>
          <w:rFonts w:ascii="黑体" w:hAnsi="黑体" w:eastAsia="黑体" w:cs="黑体"/>
          <w:sz w:val="24"/>
          <w:szCs w:val="24"/>
        </w:rPr>
      </w:pPr>
      <w:r>
        <w:rPr>
          <w:rFonts w:ascii="Wingdings" w:hAnsi="Wingdings" w:eastAsia="Wingdings" w:cs="Wingdings"/>
          <w:spacing w:val="-9"/>
          <w:sz w:val="24"/>
          <w:szCs w:val="24"/>
        </w:rPr>
        <w:t>.</w:t>
      </w:r>
      <w:r>
        <w:rPr>
          <w:rFonts w:ascii="黑体" w:hAnsi="黑体" w:eastAsia="黑体" w:cs="黑体"/>
          <w:spacing w:val="-9"/>
          <w:sz w:val="24"/>
          <w:szCs w:val="24"/>
        </w:rPr>
        <w:t>资格、符合性审查表（详见附表一，附表二）</w:t>
      </w:r>
    </w:p>
    <w:p w14:paraId="1A955640">
      <w:pPr>
        <w:spacing w:before="169" w:line="238" w:lineRule="auto"/>
        <w:ind w:left="498"/>
        <w:rPr>
          <w:rFonts w:ascii="黑体" w:hAnsi="黑体" w:eastAsia="黑体" w:cs="黑体"/>
          <w:sz w:val="24"/>
          <w:szCs w:val="24"/>
        </w:rPr>
      </w:pPr>
      <w:r>
        <w:rPr>
          <w:rFonts w:ascii="Wingdings" w:hAnsi="Wingdings" w:eastAsia="Wingdings" w:cs="Wingdings"/>
          <w:spacing w:val="-13"/>
          <w:sz w:val="24"/>
          <w:szCs w:val="24"/>
        </w:rPr>
        <w:t>.</w:t>
      </w:r>
      <w:r>
        <w:rPr>
          <w:rFonts w:ascii="黑体" w:hAnsi="黑体" w:eastAsia="黑体" w:cs="黑体"/>
          <w:spacing w:val="-13"/>
          <w:sz w:val="24"/>
          <w:szCs w:val="24"/>
        </w:rPr>
        <w:t>商务、技术评审表（详见附表三）</w:t>
      </w:r>
    </w:p>
    <w:p w14:paraId="293BF1DE">
      <w:pPr>
        <w:spacing w:before="158" w:line="239" w:lineRule="auto"/>
        <w:ind w:left="498"/>
        <w:rPr>
          <w:rFonts w:ascii="黑体" w:hAnsi="黑体" w:eastAsia="黑体" w:cs="黑体"/>
          <w:sz w:val="24"/>
          <w:szCs w:val="24"/>
        </w:rPr>
      </w:pPr>
      <w:r>
        <w:rPr>
          <w:rFonts w:ascii="Wingdings" w:hAnsi="Wingdings" w:eastAsia="Wingdings" w:cs="Wingdings"/>
          <w:spacing w:val="-23"/>
          <w:w w:val="94"/>
          <w:sz w:val="24"/>
          <w:szCs w:val="24"/>
        </w:rPr>
        <w:t>.</w:t>
      </w:r>
      <w:r>
        <w:rPr>
          <w:rFonts w:ascii="黑体" w:hAnsi="黑体" w:eastAsia="黑体" w:cs="黑体"/>
          <w:spacing w:val="-23"/>
          <w:w w:val="94"/>
          <w:sz w:val="24"/>
          <w:szCs w:val="24"/>
        </w:rPr>
        <w:t>价格评审</w:t>
      </w:r>
    </w:p>
    <w:p w14:paraId="66FE90F4">
      <w:pPr>
        <w:spacing w:before="90" w:line="213" w:lineRule="auto"/>
        <w:jc w:val="right"/>
        <w:rPr>
          <w:rFonts w:ascii="黑体" w:hAnsi="黑体" w:eastAsia="黑体" w:cs="黑体"/>
          <w:sz w:val="24"/>
          <w:szCs w:val="24"/>
        </w:rPr>
      </w:pPr>
      <w:r>
        <w:rPr>
          <w:rFonts w:ascii="黑体" w:hAnsi="黑体" w:eastAsia="黑体" w:cs="黑体"/>
          <w:spacing w:val="1"/>
          <w:sz w:val="24"/>
          <w:szCs w:val="24"/>
        </w:rPr>
        <w:t>磋商小组按磋商文件中规定的评审方法和标准，对资格、符合性审查合</w:t>
      </w:r>
      <w:r>
        <w:rPr>
          <w:rFonts w:ascii="黑体" w:hAnsi="黑体" w:eastAsia="黑体" w:cs="黑体"/>
          <w:sz w:val="24"/>
          <w:szCs w:val="24"/>
        </w:rPr>
        <w:t>格的响应</w:t>
      </w:r>
    </w:p>
    <w:p w14:paraId="110F32A3">
      <w:pPr>
        <w:spacing w:before="189" w:line="468" w:lineRule="exact"/>
        <w:ind w:left="3"/>
        <w:rPr>
          <w:rFonts w:ascii="黑体" w:hAnsi="黑体" w:eastAsia="黑体" w:cs="黑体"/>
          <w:sz w:val="24"/>
          <w:szCs w:val="24"/>
        </w:rPr>
      </w:pPr>
      <w:r>
        <w:rPr>
          <w:rFonts w:ascii="黑体" w:hAnsi="黑体" w:eastAsia="黑体" w:cs="黑体"/>
          <w:spacing w:val="1"/>
          <w:position w:val="17"/>
          <w:sz w:val="24"/>
          <w:szCs w:val="24"/>
        </w:rPr>
        <w:t>文件进行商务和技术评估，综合比较与评价。</w:t>
      </w:r>
    </w:p>
    <w:p w14:paraId="430CA8C0">
      <w:pPr>
        <w:spacing w:before="1" w:line="222" w:lineRule="auto"/>
        <w:ind w:left="6"/>
        <w:rPr>
          <w:rFonts w:ascii="黑体" w:hAnsi="黑体" w:eastAsia="黑体" w:cs="黑体"/>
          <w:sz w:val="24"/>
          <w:szCs w:val="24"/>
        </w:rPr>
      </w:pPr>
      <w:r>
        <w:rPr>
          <w:rFonts w:ascii="黑体" w:hAnsi="黑体" w:eastAsia="黑体" w:cs="黑体"/>
          <w:sz w:val="24"/>
          <w:szCs w:val="24"/>
        </w:rPr>
        <w:t>具体打分标准如下：</w:t>
      </w:r>
    </w:p>
    <w:p w14:paraId="589F6FE2">
      <w:pPr>
        <w:spacing w:before="176" w:line="221" w:lineRule="auto"/>
        <w:ind w:left="508"/>
        <w:rPr>
          <w:rFonts w:ascii="黑体" w:hAnsi="黑体" w:eastAsia="黑体" w:cs="黑体"/>
          <w:sz w:val="24"/>
          <w:szCs w:val="24"/>
        </w:rPr>
      </w:pPr>
      <w:r>
        <w:rPr>
          <w:rFonts w:ascii="黑体" w:hAnsi="黑体" w:eastAsia="黑体" w:cs="黑体"/>
          <w:sz w:val="24"/>
          <w:szCs w:val="24"/>
          <w14:textOutline w14:w="4358" w14:cap="sq" w14:cmpd="sng">
            <w14:solidFill>
              <w14:srgbClr w14:val="000000"/>
            </w14:solidFill>
            <w14:prstDash w14:val="solid"/>
            <w14:bevel/>
          </w14:textOutline>
        </w:rPr>
        <w:t>（1）商务、技术评分</w:t>
      </w:r>
    </w:p>
    <w:p w14:paraId="5313FE52">
      <w:pPr>
        <w:spacing w:before="181" w:line="359" w:lineRule="auto"/>
        <w:ind w:left="3" w:firstLine="483"/>
        <w:jc w:val="both"/>
        <w:rPr>
          <w:rFonts w:ascii="黑体" w:hAnsi="黑体" w:eastAsia="黑体" w:cs="黑体"/>
          <w:sz w:val="24"/>
          <w:szCs w:val="24"/>
        </w:rPr>
      </w:pPr>
      <w:r>
        <w:rPr>
          <w:rFonts w:ascii="黑体" w:hAnsi="黑体" w:eastAsia="黑体" w:cs="黑体"/>
          <w:spacing w:val="1"/>
          <w:sz w:val="24"/>
          <w:szCs w:val="24"/>
        </w:rPr>
        <w:t>磋商小组分别对各供应商的商务、技术响应文件中的各项内容进行评议</w:t>
      </w:r>
      <w:r>
        <w:rPr>
          <w:rFonts w:ascii="黑体" w:hAnsi="黑体" w:eastAsia="黑体" w:cs="黑体"/>
          <w:sz w:val="24"/>
          <w:szCs w:val="24"/>
        </w:rPr>
        <w:t>比较，详</w:t>
      </w:r>
      <w:r>
        <w:rPr>
          <w:rFonts w:ascii="黑体" w:hAnsi="黑体" w:eastAsia="黑体" w:cs="黑体"/>
          <w:spacing w:val="1"/>
          <w:sz w:val="24"/>
          <w:szCs w:val="24"/>
        </w:rPr>
        <w:t>细对比其商务、技术方案等各种因素方面是否满足磋商文件的要求。在商务、</w:t>
      </w:r>
      <w:r>
        <w:rPr>
          <w:rFonts w:ascii="黑体" w:hAnsi="黑体" w:eastAsia="黑体" w:cs="黑体"/>
          <w:sz w:val="24"/>
          <w:szCs w:val="24"/>
        </w:rPr>
        <w:t>技术评</w:t>
      </w:r>
    </w:p>
    <w:p w14:paraId="643838F9">
      <w:pPr>
        <w:spacing w:before="1" w:line="221" w:lineRule="auto"/>
        <w:ind w:left="7"/>
        <w:rPr>
          <w:rFonts w:ascii="黑体" w:hAnsi="黑体" w:eastAsia="黑体" w:cs="黑体"/>
          <w:sz w:val="24"/>
          <w:szCs w:val="24"/>
        </w:rPr>
      </w:pPr>
      <w:r>
        <w:rPr>
          <w:rFonts w:ascii="黑体" w:hAnsi="黑体" w:eastAsia="黑体" w:cs="黑体"/>
          <w:sz w:val="24"/>
          <w:szCs w:val="24"/>
        </w:rPr>
        <w:t>审表的相应项各自记名打分。</w:t>
      </w:r>
    </w:p>
    <w:p w14:paraId="4D98EAEC">
      <w:pPr>
        <w:spacing w:before="180" w:line="221" w:lineRule="auto"/>
        <w:ind w:left="508"/>
        <w:rPr>
          <w:rFonts w:ascii="黑体" w:hAnsi="黑体" w:eastAsia="黑体" w:cs="黑体"/>
          <w:sz w:val="24"/>
          <w:szCs w:val="24"/>
        </w:rPr>
      </w:pPr>
      <w:r>
        <w:rPr>
          <w:rFonts w:ascii="黑体" w:hAnsi="黑体" w:eastAsia="黑体" w:cs="黑体"/>
          <w:sz w:val="24"/>
          <w:szCs w:val="24"/>
          <w14:textOutline w14:w="4358" w14:cap="sq" w14:cmpd="sng">
            <w14:solidFill>
              <w14:srgbClr w14:val="000000"/>
            </w14:solidFill>
            <w14:prstDash w14:val="solid"/>
            <w14:bevel/>
          </w14:textOutline>
        </w:rPr>
        <w:t>（2）商务、技术得分统计</w:t>
      </w:r>
    </w:p>
    <w:p w14:paraId="16CA6350">
      <w:pPr>
        <w:spacing w:before="257" w:line="468" w:lineRule="exact"/>
        <w:jc w:val="right"/>
        <w:rPr>
          <w:rFonts w:ascii="黑体" w:hAnsi="黑体" w:eastAsia="黑体" w:cs="黑体"/>
          <w:sz w:val="24"/>
          <w:szCs w:val="24"/>
        </w:rPr>
      </w:pPr>
      <w:r>
        <w:rPr>
          <w:rFonts w:ascii="黑体" w:hAnsi="黑体" w:eastAsia="黑体" w:cs="黑体"/>
          <w:spacing w:val="1"/>
          <w:position w:val="17"/>
          <w:sz w:val="24"/>
          <w:szCs w:val="24"/>
        </w:rPr>
        <w:t>将所有磋商小组的商务、技术评分的算术平均值即为每个有效供应商的</w:t>
      </w:r>
      <w:r>
        <w:rPr>
          <w:rFonts w:ascii="黑体" w:hAnsi="黑体" w:eastAsia="黑体" w:cs="黑体"/>
          <w:position w:val="17"/>
          <w:sz w:val="24"/>
          <w:szCs w:val="24"/>
        </w:rPr>
        <w:t>技术得分</w:t>
      </w:r>
    </w:p>
    <w:p w14:paraId="0AE85559">
      <w:pPr>
        <w:spacing w:before="2" w:line="212" w:lineRule="auto"/>
        <w:ind w:left="21"/>
        <w:rPr>
          <w:rFonts w:ascii="黑体" w:hAnsi="黑体" w:eastAsia="黑体" w:cs="黑体"/>
          <w:sz w:val="24"/>
          <w:szCs w:val="24"/>
        </w:rPr>
      </w:pPr>
      <w:r>
        <w:rPr>
          <w:rFonts w:ascii="黑体" w:hAnsi="黑体" w:eastAsia="黑体" w:cs="黑体"/>
          <w:spacing w:val="-1"/>
          <w:sz w:val="24"/>
          <w:szCs w:val="24"/>
        </w:rPr>
        <w:t>（四舍五入后，精确到0.01）。</w:t>
      </w:r>
    </w:p>
    <w:p w14:paraId="2BDC7181">
      <w:pPr>
        <w:spacing w:before="191" w:line="389" w:lineRule="exact"/>
        <w:ind w:left="508"/>
        <w:rPr>
          <w:rFonts w:ascii="黑体" w:hAnsi="黑体" w:eastAsia="黑体" w:cs="黑体"/>
          <w:sz w:val="24"/>
          <w:szCs w:val="24"/>
        </w:rPr>
      </w:pPr>
      <w:r>
        <w:rPr>
          <w:rFonts w:ascii="黑体" w:hAnsi="黑体" w:eastAsia="黑体" w:cs="黑体"/>
          <w:spacing w:val="-1"/>
          <w:position w:val="10"/>
          <w:sz w:val="24"/>
          <w:szCs w:val="24"/>
          <w14:textOutline w14:w="4358" w14:cap="sq" w14:cmpd="sng">
            <w14:solidFill>
              <w14:srgbClr w14:val="000000"/>
            </w14:solidFill>
            <w14:prstDash w14:val="solid"/>
            <w14:bevel/>
          </w14:textOutline>
        </w:rPr>
        <w:t>（3）价格核准和评分</w:t>
      </w:r>
    </w:p>
    <w:p w14:paraId="7386F03D">
      <w:pPr>
        <w:spacing w:line="221" w:lineRule="auto"/>
        <w:ind w:left="481"/>
        <w:rPr>
          <w:rFonts w:ascii="黑体" w:hAnsi="黑体" w:eastAsia="黑体" w:cs="黑体"/>
          <w:sz w:val="24"/>
          <w:szCs w:val="24"/>
        </w:rPr>
      </w:pPr>
      <w:r>
        <w:rPr>
          <w:rFonts w:ascii="黑体" w:hAnsi="黑体" w:eastAsia="黑体" w:cs="黑体"/>
          <w:spacing w:val="2"/>
          <w:sz w:val="24"/>
          <w:szCs w:val="24"/>
          <w14:textOutline w14:w="4358" w14:cap="sq" w14:cmpd="sng">
            <w14:solidFill>
              <w14:srgbClr w14:val="000000"/>
            </w14:solidFill>
            <w14:prstDash w14:val="solid"/>
            <w14:bevel/>
          </w14:textOutline>
        </w:rPr>
        <w:t>A、价格的核准</w:t>
      </w:r>
    </w:p>
    <w:p w14:paraId="078958FD">
      <w:pPr>
        <w:spacing w:before="179" w:line="359" w:lineRule="auto"/>
        <w:ind w:left="2" w:firstLine="474"/>
        <w:rPr>
          <w:rFonts w:ascii="黑体" w:hAnsi="黑体" w:eastAsia="黑体" w:cs="黑体"/>
          <w:sz w:val="24"/>
          <w:szCs w:val="24"/>
        </w:rPr>
      </w:pPr>
      <w:r>
        <w:rPr>
          <w:rFonts w:ascii="黑体" w:hAnsi="黑体" w:eastAsia="黑体" w:cs="黑体"/>
          <w:spacing w:val="1"/>
          <w:sz w:val="24"/>
          <w:szCs w:val="24"/>
        </w:rPr>
        <w:t>供应商不得以低于成本的报价竞争。如果磋商小组发现供应商的报价明显低于其他供应商的，使得其报价可能低于其个别成本的，将要求该供应商作书面说明并</w:t>
      </w:r>
      <w:r>
        <w:rPr>
          <w:rFonts w:ascii="黑体" w:hAnsi="黑体" w:eastAsia="黑体" w:cs="黑体"/>
          <w:sz w:val="24"/>
          <w:szCs w:val="24"/>
        </w:rPr>
        <w:t>提供</w:t>
      </w:r>
      <w:r>
        <w:rPr>
          <w:rFonts w:ascii="黑体" w:hAnsi="黑体" w:eastAsia="黑体" w:cs="黑体"/>
          <w:spacing w:val="1"/>
          <w:sz w:val="24"/>
          <w:szCs w:val="24"/>
        </w:rPr>
        <w:t>相关证明材料。供应商不能合理说明或不能提供相关证明材料的，磋商小组将认</w:t>
      </w:r>
      <w:r>
        <w:rPr>
          <w:rFonts w:ascii="黑体" w:hAnsi="黑体" w:eastAsia="黑体" w:cs="黑体"/>
          <w:sz w:val="24"/>
          <w:szCs w:val="24"/>
        </w:rPr>
        <w:t>定该</w:t>
      </w:r>
    </w:p>
    <w:p w14:paraId="41706970">
      <w:pPr>
        <w:spacing w:before="2" w:line="212" w:lineRule="auto"/>
        <w:rPr>
          <w:rFonts w:ascii="黑体" w:hAnsi="黑体" w:eastAsia="黑体" w:cs="黑体"/>
          <w:sz w:val="24"/>
          <w:szCs w:val="24"/>
        </w:rPr>
      </w:pPr>
      <w:r>
        <w:rPr>
          <w:rFonts w:ascii="黑体" w:hAnsi="黑体" w:eastAsia="黑体" w:cs="黑体"/>
          <w:spacing w:val="2"/>
          <w:sz w:val="24"/>
          <w:szCs w:val="24"/>
        </w:rPr>
        <w:t>供应商以低于成本报价竞争，其响应文件作无效处理。</w:t>
      </w:r>
    </w:p>
    <w:p w14:paraId="6587C322">
      <w:pPr>
        <w:spacing w:before="191" w:line="465" w:lineRule="exact"/>
        <w:jc w:val="right"/>
        <w:rPr>
          <w:rFonts w:ascii="黑体" w:hAnsi="黑体" w:eastAsia="黑体" w:cs="黑体"/>
          <w:sz w:val="24"/>
          <w:szCs w:val="24"/>
        </w:rPr>
      </w:pPr>
      <w:r>
        <w:rPr>
          <w:rFonts w:ascii="黑体" w:hAnsi="黑体" w:eastAsia="黑体" w:cs="黑体"/>
          <w:spacing w:val="1"/>
          <w:position w:val="17"/>
          <w:sz w:val="24"/>
          <w:szCs w:val="24"/>
        </w:rPr>
        <w:t>磋商小组先对入围供应商的最后报价进行复核，审查其是否有计算上的错误，修</w:t>
      </w:r>
    </w:p>
    <w:p w14:paraId="3914AF22">
      <w:pPr>
        <w:spacing w:before="1" w:line="221" w:lineRule="auto"/>
        <w:ind w:left="5"/>
        <w:rPr>
          <w:rFonts w:ascii="黑体" w:hAnsi="黑体" w:eastAsia="黑体" w:cs="黑体"/>
          <w:sz w:val="24"/>
          <w:szCs w:val="24"/>
        </w:rPr>
      </w:pPr>
      <w:r>
        <w:rPr>
          <w:rFonts w:ascii="黑体" w:hAnsi="黑体" w:eastAsia="黑体" w:cs="黑体"/>
          <w:sz w:val="24"/>
          <w:szCs w:val="24"/>
        </w:rPr>
        <w:t>正错误的原则如下</w:t>
      </w:r>
    </w:p>
    <w:p w14:paraId="5AD6B2F4">
      <w:pPr>
        <w:spacing w:before="180" w:line="359" w:lineRule="auto"/>
        <w:ind w:left="4" w:firstLine="492"/>
        <w:rPr>
          <w:rFonts w:ascii="黑体" w:hAnsi="黑体" w:eastAsia="黑体" w:cs="黑体"/>
          <w:sz w:val="24"/>
          <w:szCs w:val="24"/>
        </w:rPr>
      </w:pPr>
      <w:r>
        <w:rPr>
          <w:rFonts w:ascii="黑体" w:hAnsi="黑体" w:eastAsia="黑体" w:cs="黑体"/>
          <w:spacing w:val="1"/>
          <w:sz w:val="24"/>
          <w:szCs w:val="24"/>
        </w:rPr>
        <w:t>响应文件的大写金额和小写金额不一致的，以大</w:t>
      </w:r>
      <w:r>
        <w:rPr>
          <w:rFonts w:ascii="黑体" w:hAnsi="黑体" w:eastAsia="黑体" w:cs="黑体"/>
          <w:sz w:val="24"/>
          <w:szCs w:val="24"/>
        </w:rPr>
        <w:t>写金额为准；总价金额与按单价</w:t>
      </w:r>
      <w:r>
        <w:rPr>
          <w:rFonts w:ascii="黑体" w:hAnsi="黑体" w:eastAsia="黑体" w:cs="黑体"/>
          <w:spacing w:val="1"/>
          <w:sz w:val="24"/>
          <w:szCs w:val="24"/>
        </w:rPr>
        <w:t>汇总金额不一致的，以单价金额计算结果为准；单价金额小数点有明显错位</w:t>
      </w:r>
      <w:r>
        <w:rPr>
          <w:rFonts w:ascii="黑体" w:hAnsi="黑体" w:eastAsia="黑体" w:cs="黑体"/>
          <w:sz w:val="24"/>
          <w:szCs w:val="24"/>
        </w:rPr>
        <w:t>的，应以</w:t>
      </w:r>
    </w:p>
    <w:p w14:paraId="35C241CA">
      <w:pPr>
        <w:spacing w:before="2" w:line="212" w:lineRule="auto"/>
        <w:jc w:val="right"/>
        <w:rPr>
          <w:rFonts w:ascii="黑体" w:hAnsi="黑体" w:eastAsia="黑体" w:cs="黑体"/>
          <w:sz w:val="24"/>
          <w:szCs w:val="24"/>
        </w:rPr>
      </w:pPr>
      <w:r>
        <w:rPr>
          <w:rFonts w:ascii="黑体" w:hAnsi="黑体" w:eastAsia="黑体" w:cs="黑体"/>
          <w:spacing w:val="1"/>
          <w:sz w:val="24"/>
          <w:szCs w:val="24"/>
        </w:rPr>
        <w:t>总价为准，并修改单价；对不同文字文本响应文件的解释发生异议的，以</w:t>
      </w:r>
      <w:r>
        <w:rPr>
          <w:rFonts w:ascii="黑体" w:hAnsi="黑体" w:eastAsia="黑体" w:cs="黑体"/>
          <w:sz w:val="24"/>
          <w:szCs w:val="24"/>
        </w:rPr>
        <w:t>中文文本为</w:t>
      </w:r>
    </w:p>
    <w:p w14:paraId="2764C569">
      <w:pPr>
        <w:spacing w:line="212" w:lineRule="auto"/>
        <w:rPr>
          <w:rFonts w:ascii="黑体" w:hAnsi="黑体" w:eastAsia="黑体" w:cs="黑体"/>
          <w:sz w:val="24"/>
          <w:szCs w:val="24"/>
        </w:rPr>
        <w:sectPr>
          <w:footerReference r:id="rId18" w:type="default"/>
          <w:pgSz w:w="11906" w:h="16839"/>
          <w:pgMar w:top="1404" w:right="1561" w:bottom="1012" w:left="1424" w:header="0" w:footer="850" w:gutter="0"/>
          <w:cols w:space="720" w:num="1"/>
        </w:sectPr>
      </w:pPr>
    </w:p>
    <w:p w14:paraId="658F6B50">
      <w:pPr>
        <w:spacing w:before="48" w:line="224" w:lineRule="auto"/>
        <w:ind w:left="2"/>
        <w:rPr>
          <w:rFonts w:ascii="黑体" w:hAnsi="黑体" w:eastAsia="黑体" w:cs="黑体"/>
          <w:sz w:val="24"/>
          <w:szCs w:val="24"/>
        </w:rPr>
      </w:pPr>
      <w:r>
        <w:rPr>
          <w:rFonts w:ascii="黑体" w:hAnsi="黑体" w:eastAsia="黑体" w:cs="黑体"/>
          <w:spacing w:val="-6"/>
          <w:sz w:val="24"/>
          <w:szCs w:val="24"/>
        </w:rPr>
        <w:t>准。</w:t>
      </w:r>
    </w:p>
    <w:p w14:paraId="24A978DF">
      <w:pPr>
        <w:spacing w:before="174" w:line="468" w:lineRule="exact"/>
        <w:ind w:left="487"/>
        <w:rPr>
          <w:rFonts w:ascii="黑体" w:hAnsi="黑体" w:eastAsia="黑体" w:cs="黑体"/>
          <w:sz w:val="24"/>
          <w:szCs w:val="24"/>
        </w:rPr>
      </w:pPr>
      <w:r>
        <w:rPr>
          <w:rFonts w:ascii="黑体" w:hAnsi="黑体" w:eastAsia="黑体" w:cs="黑体"/>
          <w:spacing w:val="1"/>
          <w:position w:val="17"/>
          <w:sz w:val="24"/>
          <w:szCs w:val="24"/>
        </w:rPr>
        <w:t>按上述修正错误的方法调整后的最后报价，对供应商具有约束力。如果供</w:t>
      </w:r>
      <w:r>
        <w:rPr>
          <w:rFonts w:ascii="黑体" w:hAnsi="黑体" w:eastAsia="黑体" w:cs="黑体"/>
          <w:position w:val="17"/>
          <w:sz w:val="24"/>
          <w:szCs w:val="24"/>
        </w:rPr>
        <w:t>应商不</w:t>
      </w:r>
    </w:p>
    <w:p w14:paraId="06C294AB">
      <w:pPr>
        <w:spacing w:before="1" w:line="212" w:lineRule="auto"/>
        <w:rPr>
          <w:rFonts w:ascii="黑体" w:hAnsi="黑体" w:eastAsia="黑体" w:cs="黑体"/>
          <w:sz w:val="24"/>
          <w:szCs w:val="24"/>
        </w:rPr>
      </w:pPr>
      <w:r>
        <w:rPr>
          <w:rFonts w:ascii="黑体" w:hAnsi="黑体" w:eastAsia="黑体" w:cs="黑体"/>
          <w:spacing w:val="1"/>
          <w:sz w:val="24"/>
          <w:szCs w:val="24"/>
        </w:rPr>
        <w:t>接受修正后的价格，则其响应文件作无效处理。</w:t>
      </w:r>
    </w:p>
    <w:p w14:paraId="49B5BD1B">
      <w:pPr>
        <w:spacing w:before="188" w:line="222" w:lineRule="auto"/>
        <w:ind w:left="434"/>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B、政策价格扣除</w:t>
      </w:r>
    </w:p>
    <w:p w14:paraId="16A21357">
      <w:pPr>
        <w:spacing w:before="258" w:line="222" w:lineRule="auto"/>
        <w:ind w:left="501"/>
        <w:rPr>
          <w:rFonts w:ascii="黑体" w:hAnsi="黑体" w:eastAsia="黑体" w:cs="黑体"/>
          <w:sz w:val="24"/>
          <w:szCs w:val="24"/>
        </w:rPr>
      </w:pPr>
      <w:r>
        <w:rPr>
          <w:rFonts w:ascii="黑体" w:hAnsi="黑体" w:eastAsia="黑体" w:cs="黑体"/>
          <w:sz w:val="24"/>
          <w:szCs w:val="24"/>
        </w:rPr>
        <w:t>1）小型和微型企业产品价格扣除</w:t>
      </w:r>
    </w:p>
    <w:p w14:paraId="4525EC87">
      <w:pPr>
        <w:spacing w:before="180" w:line="360" w:lineRule="auto"/>
        <w:ind w:left="5" w:firstLine="484"/>
        <w:rPr>
          <w:rFonts w:ascii="黑体" w:hAnsi="黑体" w:eastAsia="黑体" w:cs="黑体"/>
          <w:sz w:val="24"/>
          <w:szCs w:val="24"/>
        </w:rPr>
      </w:pPr>
      <w:r>
        <w:rPr>
          <w:rFonts w:ascii="黑体" w:hAnsi="黑体" w:eastAsia="黑体" w:cs="黑体"/>
          <w:spacing w:val="1"/>
          <w:sz w:val="24"/>
          <w:szCs w:val="24"/>
        </w:rPr>
        <w:t>a）根据财务部、工业和信息化部印发的《政府采购</w:t>
      </w:r>
      <w:r>
        <w:rPr>
          <w:rFonts w:ascii="黑体" w:hAnsi="黑体" w:eastAsia="黑体" w:cs="黑体"/>
          <w:sz w:val="24"/>
          <w:szCs w:val="24"/>
        </w:rPr>
        <w:t>促进中小企业发展暂行办法》（财库[2011]181号）的规定，对小型和微型企业产品的价格给予6%的扣除，联合体</w:t>
      </w:r>
      <w:r>
        <w:rPr>
          <w:rFonts w:ascii="黑体" w:hAnsi="黑体" w:eastAsia="黑体" w:cs="黑体"/>
          <w:spacing w:val="2"/>
          <w:sz w:val="24"/>
          <w:szCs w:val="24"/>
        </w:rPr>
        <w:t>一方为小型、微型企业且小型、微型企业协议合同金额占联合体协议合同总金额30%</w:t>
      </w:r>
      <w:r>
        <w:rPr>
          <w:rFonts w:ascii="黑体" w:hAnsi="黑体" w:eastAsia="黑体" w:cs="黑体"/>
          <w:spacing w:val="-1"/>
          <w:sz w:val="24"/>
          <w:szCs w:val="24"/>
        </w:rPr>
        <w:t>以上的对联合体总金额扣除2%，用扣除后的价格参与评审；报价产品中仅有部分小型</w:t>
      </w:r>
    </w:p>
    <w:p w14:paraId="7A15B70C">
      <w:pPr>
        <w:spacing w:before="1" w:line="212" w:lineRule="auto"/>
        <w:ind w:left="2"/>
        <w:rPr>
          <w:rFonts w:ascii="黑体" w:hAnsi="黑体" w:eastAsia="黑体" w:cs="黑体"/>
          <w:sz w:val="24"/>
          <w:szCs w:val="24"/>
        </w:rPr>
      </w:pPr>
      <w:r>
        <w:rPr>
          <w:rFonts w:ascii="黑体" w:hAnsi="黑体" w:eastAsia="黑体" w:cs="黑体"/>
          <w:spacing w:val="2"/>
          <w:sz w:val="24"/>
          <w:szCs w:val="24"/>
        </w:rPr>
        <w:t>和微型企业产品的，则按所投小型和微型企业产品的价格予以扣除。</w:t>
      </w:r>
    </w:p>
    <w:p w14:paraId="1BA03848">
      <w:pPr>
        <w:spacing w:before="191" w:line="468" w:lineRule="exact"/>
        <w:ind w:left="491"/>
        <w:rPr>
          <w:rFonts w:ascii="黑体" w:hAnsi="黑体" w:eastAsia="黑体" w:cs="黑体"/>
          <w:sz w:val="24"/>
          <w:szCs w:val="24"/>
        </w:rPr>
      </w:pPr>
      <w:r>
        <w:rPr>
          <w:rFonts w:ascii="黑体" w:hAnsi="黑体" w:eastAsia="黑体" w:cs="黑体"/>
          <w:spacing w:val="1"/>
          <w:position w:val="17"/>
          <w:sz w:val="24"/>
          <w:szCs w:val="24"/>
        </w:rPr>
        <w:t>b)《政府采购促进中小企业发展暂行办法》所称中小企业（含</w:t>
      </w:r>
      <w:r>
        <w:rPr>
          <w:rFonts w:ascii="黑体" w:hAnsi="黑体" w:eastAsia="黑体" w:cs="黑体"/>
          <w:position w:val="17"/>
          <w:sz w:val="24"/>
          <w:szCs w:val="24"/>
        </w:rPr>
        <w:t>中型、小型、微型</w:t>
      </w:r>
    </w:p>
    <w:p w14:paraId="6EAE572F">
      <w:pPr>
        <w:spacing w:before="1" w:line="212" w:lineRule="auto"/>
        <w:rPr>
          <w:rFonts w:ascii="黑体" w:hAnsi="黑体" w:eastAsia="黑体" w:cs="黑体"/>
          <w:sz w:val="24"/>
          <w:szCs w:val="24"/>
        </w:rPr>
      </w:pPr>
      <w:r>
        <w:rPr>
          <w:rFonts w:ascii="黑体" w:hAnsi="黑体" w:eastAsia="黑体" w:cs="黑体"/>
          <w:spacing w:val="1"/>
          <w:sz w:val="24"/>
          <w:szCs w:val="24"/>
        </w:rPr>
        <w:t>企业，下同）应当同时符合以下条件：</w:t>
      </w:r>
    </w:p>
    <w:p w14:paraId="19EA08C6">
      <w:pPr>
        <w:spacing w:before="191" w:line="213" w:lineRule="auto"/>
        <w:ind w:left="489"/>
        <w:rPr>
          <w:rFonts w:ascii="黑体" w:hAnsi="黑体" w:eastAsia="黑体" w:cs="黑体"/>
          <w:sz w:val="24"/>
          <w:szCs w:val="24"/>
        </w:rPr>
      </w:pPr>
      <w:r>
        <w:rPr>
          <w:rFonts w:ascii="黑体" w:hAnsi="黑体" w:eastAsia="黑体" w:cs="黑体"/>
          <w:spacing w:val="1"/>
          <w:sz w:val="24"/>
          <w:szCs w:val="24"/>
        </w:rPr>
        <w:t>①符合中小企业划分标准；</w:t>
      </w:r>
    </w:p>
    <w:p w14:paraId="126C3FB9">
      <w:pPr>
        <w:spacing w:before="192" w:line="468" w:lineRule="exact"/>
        <w:ind w:left="489"/>
        <w:rPr>
          <w:rFonts w:ascii="黑体" w:hAnsi="黑体" w:eastAsia="黑体" w:cs="黑体"/>
          <w:sz w:val="24"/>
          <w:szCs w:val="24"/>
        </w:rPr>
      </w:pPr>
      <w:r>
        <w:rPr>
          <w:rFonts w:ascii="黑体" w:hAnsi="黑体" w:eastAsia="黑体" w:cs="黑体"/>
          <w:spacing w:val="1"/>
          <w:position w:val="17"/>
          <w:sz w:val="24"/>
          <w:szCs w:val="24"/>
        </w:rPr>
        <w:t>②提供本企业制造的货物、承担的工程或者服务，或者提供其他中小</w:t>
      </w:r>
      <w:r>
        <w:rPr>
          <w:rFonts w:ascii="黑体" w:hAnsi="黑体" w:eastAsia="黑体" w:cs="黑体"/>
          <w:position w:val="17"/>
          <w:sz w:val="24"/>
          <w:szCs w:val="24"/>
        </w:rPr>
        <w:t>企业制造的</w:t>
      </w:r>
    </w:p>
    <w:p w14:paraId="705B3778">
      <w:pPr>
        <w:spacing w:line="221" w:lineRule="auto"/>
        <w:ind w:left="4"/>
        <w:rPr>
          <w:rFonts w:ascii="黑体" w:hAnsi="黑体" w:eastAsia="黑体" w:cs="黑体"/>
          <w:sz w:val="24"/>
          <w:szCs w:val="24"/>
        </w:rPr>
      </w:pPr>
      <w:r>
        <w:rPr>
          <w:rFonts w:ascii="黑体" w:hAnsi="黑体" w:eastAsia="黑体" w:cs="黑体"/>
          <w:spacing w:val="2"/>
          <w:sz w:val="24"/>
          <w:szCs w:val="24"/>
        </w:rPr>
        <w:t>货物。本项所称货物不包括使用大型企业注册商标</w:t>
      </w:r>
      <w:r>
        <w:rPr>
          <w:rFonts w:ascii="黑体" w:hAnsi="黑体" w:eastAsia="黑体" w:cs="黑体"/>
          <w:spacing w:val="1"/>
          <w:sz w:val="24"/>
          <w:szCs w:val="24"/>
        </w:rPr>
        <w:t>的货物。</w:t>
      </w:r>
    </w:p>
    <w:p w14:paraId="7F544E93">
      <w:pPr>
        <w:spacing w:before="180" w:line="360" w:lineRule="auto"/>
        <w:ind w:left="3" w:right="106" w:firstLine="503"/>
        <w:rPr>
          <w:rFonts w:ascii="黑体" w:hAnsi="黑体" w:eastAsia="黑体" w:cs="黑体"/>
          <w:sz w:val="24"/>
          <w:szCs w:val="24"/>
        </w:rPr>
      </w:pPr>
      <w:r>
        <w:rPr>
          <w:rFonts w:ascii="黑体" w:hAnsi="黑体" w:eastAsia="黑体" w:cs="黑体"/>
          <w:spacing w:val="1"/>
          <w:sz w:val="24"/>
          <w:szCs w:val="24"/>
        </w:rPr>
        <w:t>中小企业划分标准以《工业和信息化部、国</w:t>
      </w:r>
      <w:r>
        <w:rPr>
          <w:rFonts w:ascii="黑体" w:hAnsi="黑体" w:eastAsia="黑体" w:cs="黑体"/>
          <w:sz w:val="24"/>
          <w:szCs w:val="24"/>
        </w:rPr>
        <w:t>家统计局、国家发展和改革委员会、</w:t>
      </w:r>
      <w:r>
        <w:rPr>
          <w:rFonts w:ascii="黑体" w:hAnsi="黑体" w:eastAsia="黑体" w:cs="黑体"/>
          <w:spacing w:val="2"/>
          <w:sz w:val="24"/>
          <w:szCs w:val="24"/>
        </w:rPr>
        <w:t>财政部关于印发中小企业划型标准的通知》（工信部联企业[2011]300</w:t>
      </w:r>
      <w:r>
        <w:rPr>
          <w:rFonts w:ascii="黑体" w:hAnsi="黑体" w:eastAsia="黑体" w:cs="黑体"/>
          <w:spacing w:val="1"/>
          <w:sz w:val="24"/>
          <w:szCs w:val="24"/>
        </w:rPr>
        <w:t>号）规定的划</w:t>
      </w:r>
    </w:p>
    <w:p w14:paraId="10BE9CB9">
      <w:pPr>
        <w:spacing w:before="1" w:line="212" w:lineRule="auto"/>
        <w:ind w:left="7"/>
        <w:rPr>
          <w:rFonts w:ascii="黑体" w:hAnsi="黑体" w:eastAsia="黑体" w:cs="黑体"/>
          <w:sz w:val="24"/>
          <w:szCs w:val="24"/>
        </w:rPr>
      </w:pPr>
      <w:r>
        <w:rPr>
          <w:rFonts w:ascii="黑体" w:hAnsi="黑体" w:eastAsia="黑体" w:cs="黑体"/>
          <w:spacing w:val="2"/>
          <w:sz w:val="24"/>
          <w:szCs w:val="24"/>
        </w:rPr>
        <w:t>分标准为准。小型、微型企业提供中型企业制造的货物的，视同为中型企业。</w:t>
      </w:r>
    </w:p>
    <w:p w14:paraId="786B4589">
      <w:pPr>
        <w:spacing w:before="192" w:line="220" w:lineRule="auto"/>
        <w:ind w:left="489"/>
        <w:rPr>
          <w:rFonts w:ascii="黑体" w:hAnsi="黑体" w:eastAsia="黑体" w:cs="黑体"/>
          <w:sz w:val="24"/>
          <w:szCs w:val="24"/>
        </w:rPr>
      </w:pPr>
      <w:r>
        <w:rPr>
          <w:rFonts w:ascii="黑体" w:hAnsi="黑体" w:eastAsia="黑体" w:cs="黑体"/>
          <w:spacing w:val="2"/>
          <w:sz w:val="24"/>
          <w:szCs w:val="24"/>
        </w:rPr>
        <w:t>③参加政府采购活动的中小企业应当提供《中小企业声明函》</w:t>
      </w:r>
    </w:p>
    <w:p w14:paraId="3D251DB8">
      <w:pPr>
        <w:spacing w:before="181" w:line="221" w:lineRule="auto"/>
        <w:ind w:left="487"/>
        <w:rPr>
          <w:rFonts w:ascii="黑体" w:hAnsi="黑体" w:eastAsia="黑体" w:cs="黑体"/>
          <w:sz w:val="24"/>
          <w:szCs w:val="24"/>
        </w:rPr>
      </w:pPr>
      <w:r>
        <w:rPr>
          <w:rFonts w:ascii="黑体" w:hAnsi="黑体" w:eastAsia="黑体" w:cs="黑体"/>
          <w:spacing w:val="1"/>
          <w:sz w:val="24"/>
          <w:szCs w:val="24"/>
        </w:rPr>
        <w:t>2）监狱企业产品价格扣除</w:t>
      </w:r>
    </w:p>
    <w:p w14:paraId="671637AE">
      <w:pPr>
        <w:spacing w:before="181" w:line="213" w:lineRule="auto"/>
        <w:ind w:left="490"/>
        <w:rPr>
          <w:rFonts w:ascii="黑体" w:hAnsi="黑体" w:eastAsia="黑体" w:cs="黑体"/>
          <w:sz w:val="24"/>
          <w:szCs w:val="24"/>
        </w:rPr>
      </w:pPr>
      <w:r>
        <w:rPr>
          <w:rFonts w:ascii="黑体" w:hAnsi="黑体" w:eastAsia="黑体" w:cs="黑体"/>
          <w:spacing w:val="1"/>
          <w:sz w:val="24"/>
          <w:szCs w:val="24"/>
        </w:rPr>
        <w:t>a）监狱企业视同小型、微型企业，按上述1.的a)条款享受评审</w:t>
      </w:r>
      <w:r>
        <w:rPr>
          <w:rFonts w:ascii="黑体" w:hAnsi="黑体" w:eastAsia="黑体" w:cs="黑体"/>
          <w:sz w:val="24"/>
          <w:szCs w:val="24"/>
        </w:rPr>
        <w:t>中价格扣除。</w:t>
      </w:r>
    </w:p>
    <w:p w14:paraId="29A8FFD7">
      <w:pPr>
        <w:spacing w:before="191" w:line="360" w:lineRule="auto"/>
        <w:ind w:left="4" w:right="106" w:firstLine="486"/>
        <w:rPr>
          <w:rFonts w:ascii="黑体" w:hAnsi="黑体" w:eastAsia="黑体" w:cs="黑体"/>
          <w:sz w:val="24"/>
          <w:szCs w:val="24"/>
        </w:rPr>
      </w:pPr>
      <w:r>
        <w:rPr>
          <w:rFonts w:ascii="黑体" w:hAnsi="黑体" w:eastAsia="黑体" w:cs="黑体"/>
          <w:spacing w:val="4"/>
          <w:sz w:val="24"/>
          <w:szCs w:val="24"/>
        </w:rPr>
        <w:t>b）监狱企业是指由司法部认定的为罪犯、戒毒人员提供生产项目和劳动对象，</w:t>
      </w:r>
      <w:r>
        <w:rPr>
          <w:rFonts w:ascii="黑体" w:hAnsi="黑体" w:eastAsia="黑体" w:cs="黑体"/>
          <w:spacing w:val="1"/>
          <w:sz w:val="24"/>
          <w:szCs w:val="24"/>
        </w:rPr>
        <w:t>且全部产权属于司法部监狱管理局、戒毒管理局、直属煤矿管理局，各省、自治区、直辖市监狱管理局、戒毒管理局，各地（设区的市）监狱、强制隔离戒毒所、</w:t>
      </w:r>
      <w:r>
        <w:rPr>
          <w:rFonts w:ascii="黑体" w:hAnsi="黑体" w:eastAsia="黑体" w:cs="黑体"/>
          <w:sz w:val="24"/>
          <w:szCs w:val="24"/>
        </w:rPr>
        <w:t>戒毒康</w:t>
      </w:r>
    </w:p>
    <w:p w14:paraId="0AF39DA9">
      <w:pPr>
        <w:spacing w:before="2" w:line="212" w:lineRule="auto"/>
        <w:ind w:left="4"/>
        <w:rPr>
          <w:rFonts w:ascii="黑体" w:hAnsi="黑体" w:eastAsia="黑体" w:cs="黑体"/>
          <w:sz w:val="24"/>
          <w:szCs w:val="24"/>
        </w:rPr>
      </w:pPr>
      <w:r>
        <w:rPr>
          <w:rFonts w:ascii="黑体" w:hAnsi="黑体" w:eastAsia="黑体" w:cs="黑体"/>
          <w:spacing w:val="2"/>
          <w:sz w:val="24"/>
          <w:szCs w:val="24"/>
        </w:rPr>
        <w:t>复所，以及新疆生产建设兵团监狱管理局、戒毒管理局的</w:t>
      </w:r>
      <w:r>
        <w:rPr>
          <w:rFonts w:ascii="黑体" w:hAnsi="黑体" w:eastAsia="黑体" w:cs="黑体"/>
          <w:spacing w:val="1"/>
          <w:sz w:val="24"/>
          <w:szCs w:val="24"/>
        </w:rPr>
        <w:t>企业。</w:t>
      </w:r>
    </w:p>
    <w:p w14:paraId="19F3F1CC">
      <w:pPr>
        <w:spacing w:before="191" w:line="468" w:lineRule="exact"/>
        <w:ind w:left="488"/>
        <w:rPr>
          <w:rFonts w:ascii="黑体" w:hAnsi="黑体" w:eastAsia="黑体" w:cs="黑体"/>
          <w:sz w:val="24"/>
          <w:szCs w:val="24"/>
        </w:rPr>
      </w:pPr>
      <w:r>
        <w:rPr>
          <w:rFonts w:ascii="黑体" w:hAnsi="黑体" w:eastAsia="黑体" w:cs="黑体"/>
          <w:spacing w:val="4"/>
          <w:position w:val="17"/>
          <w:sz w:val="24"/>
          <w:szCs w:val="24"/>
        </w:rPr>
        <w:t>c）监狱企业参加政府采购活动时，应当提供由省级以上监狱管理局、戒毒管理</w:t>
      </w:r>
    </w:p>
    <w:p w14:paraId="6A2524B3">
      <w:pPr>
        <w:spacing w:before="1" w:line="212" w:lineRule="auto"/>
        <w:ind w:left="1"/>
        <w:rPr>
          <w:rFonts w:ascii="黑体" w:hAnsi="黑体" w:eastAsia="黑体" w:cs="黑体"/>
          <w:sz w:val="24"/>
          <w:szCs w:val="24"/>
        </w:rPr>
      </w:pPr>
      <w:r>
        <w:rPr>
          <w:rFonts w:ascii="黑体" w:hAnsi="黑体" w:eastAsia="黑体" w:cs="黑体"/>
          <w:spacing w:val="2"/>
          <w:sz w:val="24"/>
          <w:szCs w:val="24"/>
        </w:rPr>
        <w:t>局（含新疆生产建设兵团）出具的属于监狱企业的证明文件，否则不予认可。</w:t>
      </w:r>
    </w:p>
    <w:p w14:paraId="2DB3B49F">
      <w:pPr>
        <w:spacing w:before="191" w:line="217" w:lineRule="auto"/>
        <w:ind w:left="489"/>
        <w:rPr>
          <w:rFonts w:ascii="黑体" w:hAnsi="黑体" w:eastAsia="黑体" w:cs="黑体"/>
          <w:sz w:val="24"/>
          <w:szCs w:val="24"/>
        </w:rPr>
      </w:pPr>
      <w:r>
        <w:rPr>
          <w:rFonts w:ascii="黑体" w:hAnsi="黑体" w:eastAsia="黑体" w:cs="黑体"/>
          <w:spacing w:val="1"/>
          <w:sz w:val="24"/>
          <w:szCs w:val="24"/>
        </w:rPr>
        <w:t>3）残疾人福利性单位产品价格扣除</w:t>
      </w:r>
    </w:p>
    <w:p w14:paraId="3409B115">
      <w:pPr>
        <w:spacing w:before="186" w:line="468" w:lineRule="exact"/>
        <w:ind w:left="490"/>
        <w:rPr>
          <w:rFonts w:ascii="黑体" w:hAnsi="黑体" w:eastAsia="黑体" w:cs="黑体"/>
          <w:sz w:val="24"/>
          <w:szCs w:val="24"/>
        </w:rPr>
      </w:pPr>
      <w:r>
        <w:rPr>
          <w:rFonts w:ascii="黑体" w:hAnsi="黑体" w:eastAsia="黑体" w:cs="黑体"/>
          <w:position w:val="17"/>
          <w:sz w:val="24"/>
          <w:szCs w:val="24"/>
        </w:rPr>
        <w:t>a）残疾人福利性单位视同小型、微型企业，按上述1.的a</w:t>
      </w:r>
      <w:r>
        <w:rPr>
          <w:rFonts w:ascii="黑体" w:hAnsi="黑体" w:eastAsia="黑体" w:cs="黑体"/>
          <w:spacing w:val="-1"/>
          <w:position w:val="17"/>
          <w:sz w:val="24"/>
          <w:szCs w:val="24"/>
        </w:rPr>
        <w:t>)条款享受评审中价格</w:t>
      </w:r>
    </w:p>
    <w:p w14:paraId="15EDE28A">
      <w:pPr>
        <w:spacing w:before="1" w:line="221" w:lineRule="auto"/>
        <w:rPr>
          <w:rFonts w:ascii="黑体" w:hAnsi="黑体" w:eastAsia="黑体" w:cs="黑体"/>
          <w:sz w:val="24"/>
          <w:szCs w:val="24"/>
        </w:rPr>
      </w:pPr>
      <w:r>
        <w:rPr>
          <w:rFonts w:ascii="黑体" w:hAnsi="黑体" w:eastAsia="黑体" w:cs="黑体"/>
          <w:spacing w:val="-3"/>
          <w:sz w:val="24"/>
          <w:szCs w:val="24"/>
        </w:rPr>
        <w:t>扣除。</w:t>
      </w:r>
    </w:p>
    <w:p w14:paraId="1D211620">
      <w:pPr>
        <w:spacing w:line="221" w:lineRule="auto"/>
        <w:rPr>
          <w:rFonts w:ascii="黑体" w:hAnsi="黑体" w:eastAsia="黑体" w:cs="黑体"/>
          <w:sz w:val="24"/>
          <w:szCs w:val="24"/>
        </w:rPr>
        <w:sectPr>
          <w:footerReference r:id="rId19" w:type="default"/>
          <w:pgSz w:w="11906" w:h="16839"/>
          <w:pgMar w:top="1404" w:right="1447" w:bottom="1012" w:left="1423" w:header="0" w:footer="850" w:gutter="0"/>
          <w:cols w:space="720" w:num="1"/>
        </w:sectPr>
      </w:pPr>
    </w:p>
    <w:p w14:paraId="378161AF">
      <w:pPr>
        <w:spacing w:before="101" w:line="360" w:lineRule="auto"/>
        <w:ind w:firstLine="491"/>
        <w:jc w:val="both"/>
        <w:rPr>
          <w:rFonts w:ascii="黑体" w:hAnsi="黑体" w:eastAsia="黑体" w:cs="黑体"/>
          <w:sz w:val="24"/>
          <w:szCs w:val="24"/>
        </w:rPr>
      </w:pPr>
      <w:r>
        <w:rPr>
          <w:rFonts w:ascii="黑体" w:hAnsi="黑体" w:eastAsia="黑体" w:cs="黑体"/>
          <w:spacing w:val="4"/>
          <w:sz w:val="24"/>
          <w:szCs w:val="24"/>
        </w:rPr>
        <w:t>b）根据财政部、民政部、中国残疾人联合会印发的《关于促进残疾人就业政府</w:t>
      </w:r>
      <w:r>
        <w:rPr>
          <w:rFonts w:ascii="黑体" w:hAnsi="黑体" w:eastAsia="黑体" w:cs="黑体"/>
          <w:spacing w:val="2"/>
          <w:sz w:val="24"/>
          <w:szCs w:val="24"/>
        </w:rPr>
        <w:t>采购政策的通知》（财库〔2017〕141号）的规定，符合条件的残疾人福利性单位在</w:t>
      </w:r>
      <w:r>
        <w:rPr>
          <w:rFonts w:ascii="黑体" w:hAnsi="黑体" w:eastAsia="黑体" w:cs="黑体"/>
          <w:spacing w:val="1"/>
          <w:sz w:val="24"/>
          <w:szCs w:val="24"/>
        </w:rPr>
        <w:t>参加政府采购活动时，应当提供该通知规定的《残疾人福利性单位声明函》（格式见第六章投标文件格式</w:t>
      </w:r>
      <w:r>
        <w:rPr>
          <w:rFonts w:ascii="黑体" w:hAnsi="黑体" w:eastAsia="黑体" w:cs="黑体"/>
          <w:spacing w:val="2"/>
          <w:sz w:val="24"/>
          <w:szCs w:val="24"/>
        </w:rPr>
        <w:t>），</w:t>
      </w:r>
      <w:r>
        <w:rPr>
          <w:rFonts w:ascii="黑体" w:hAnsi="黑体" w:eastAsia="黑体" w:cs="黑体"/>
          <w:spacing w:val="1"/>
          <w:sz w:val="24"/>
          <w:szCs w:val="24"/>
        </w:rPr>
        <w:t>并对声明的真实性负责。一旦中标将在中标公告中公告其声明函，接受社会监督。供应商提供的《残疾人福利性单位声明函》与事实不符的，依</w:t>
      </w:r>
    </w:p>
    <w:p w14:paraId="131DE8A0">
      <w:pPr>
        <w:spacing w:before="1" w:line="220" w:lineRule="auto"/>
        <w:ind w:left="4"/>
        <w:rPr>
          <w:rFonts w:ascii="黑体" w:hAnsi="黑体" w:eastAsia="黑体" w:cs="黑体"/>
          <w:sz w:val="24"/>
          <w:szCs w:val="24"/>
        </w:rPr>
      </w:pPr>
      <w:r>
        <w:rPr>
          <w:rFonts w:ascii="黑体" w:hAnsi="黑体" w:eastAsia="黑体" w:cs="黑体"/>
          <w:spacing w:val="2"/>
          <w:sz w:val="24"/>
          <w:szCs w:val="24"/>
        </w:rPr>
        <w:t>照《政府采购法》第七十七条第一款的规定追究法</w:t>
      </w:r>
      <w:r>
        <w:rPr>
          <w:rFonts w:ascii="黑体" w:hAnsi="黑体" w:eastAsia="黑体" w:cs="黑体"/>
          <w:spacing w:val="1"/>
          <w:sz w:val="24"/>
          <w:szCs w:val="24"/>
        </w:rPr>
        <w:t>律责任。</w:t>
      </w:r>
    </w:p>
    <w:p w14:paraId="463E1BE8">
      <w:pPr>
        <w:spacing w:before="180" w:line="468" w:lineRule="exact"/>
        <w:jc w:val="right"/>
        <w:rPr>
          <w:rFonts w:ascii="黑体" w:hAnsi="黑体" w:eastAsia="黑体" w:cs="黑体"/>
          <w:sz w:val="24"/>
          <w:szCs w:val="24"/>
        </w:rPr>
      </w:pPr>
      <w:r>
        <w:rPr>
          <w:rFonts w:ascii="黑体" w:hAnsi="黑体" w:eastAsia="黑体" w:cs="黑体"/>
          <w:spacing w:val="4"/>
          <w:position w:val="17"/>
          <w:sz w:val="24"/>
          <w:szCs w:val="24"/>
        </w:rPr>
        <w:t>4）供应商同时为小型、微型企业、监狱企业和残疾人福利性单位任两种或以上</w:t>
      </w:r>
    </w:p>
    <w:p w14:paraId="2C0EDDD3">
      <w:pPr>
        <w:spacing w:before="1" w:line="212" w:lineRule="auto"/>
        <w:ind w:left="1"/>
        <w:rPr>
          <w:rFonts w:ascii="黑体" w:hAnsi="黑体" w:eastAsia="黑体" w:cs="黑体"/>
          <w:sz w:val="24"/>
          <w:szCs w:val="24"/>
        </w:rPr>
      </w:pPr>
      <w:r>
        <w:rPr>
          <w:rFonts w:ascii="黑体" w:hAnsi="黑体" w:eastAsia="黑体" w:cs="黑体"/>
          <w:spacing w:val="2"/>
          <w:sz w:val="24"/>
          <w:szCs w:val="24"/>
        </w:rPr>
        <w:t>情况的，评审中只享受一次价格扣除。不重复进行价格扣除。</w:t>
      </w:r>
    </w:p>
    <w:p w14:paraId="295B1360">
      <w:pPr>
        <w:spacing w:before="111" w:line="222" w:lineRule="auto"/>
        <w:ind w:left="488"/>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C、价格评分</w:t>
      </w:r>
    </w:p>
    <w:p w14:paraId="5E3B92AC">
      <w:pPr>
        <w:spacing w:before="179" w:line="359" w:lineRule="auto"/>
        <w:ind w:left="3" w:firstLine="474"/>
        <w:jc w:val="both"/>
        <w:rPr>
          <w:rFonts w:ascii="黑体" w:hAnsi="黑体" w:eastAsia="黑体" w:cs="黑体"/>
          <w:sz w:val="24"/>
          <w:szCs w:val="24"/>
        </w:rPr>
      </w:pPr>
      <w:r>
        <w:rPr>
          <w:rFonts w:ascii="黑体" w:hAnsi="黑体" w:eastAsia="黑体" w:cs="黑体"/>
          <w:spacing w:val="1"/>
          <w:sz w:val="24"/>
          <w:szCs w:val="24"/>
        </w:rPr>
        <w:t>磋商小组对入围的供应商的最后价格进行修正及价格扣除得出评审价。综合评分法中的价格分统一采用低价优先法计算，即满足磋商文件要求（通过资格、符合</w:t>
      </w:r>
      <w:r>
        <w:rPr>
          <w:rFonts w:ascii="黑体" w:hAnsi="黑体" w:eastAsia="黑体" w:cs="黑体"/>
          <w:sz w:val="24"/>
          <w:szCs w:val="24"/>
        </w:rPr>
        <w:t>性审</w:t>
      </w:r>
      <w:r>
        <w:rPr>
          <w:rFonts w:ascii="黑体" w:hAnsi="黑体" w:eastAsia="黑体" w:cs="黑体"/>
          <w:spacing w:val="1"/>
          <w:sz w:val="24"/>
          <w:szCs w:val="24"/>
        </w:rPr>
        <w:t>查）且价格最低的有效最后报价（指修正后的价格，下同）为磋商基准价，其价</w:t>
      </w:r>
      <w:r>
        <w:rPr>
          <w:rFonts w:ascii="黑体" w:hAnsi="黑体" w:eastAsia="黑体" w:cs="黑体"/>
          <w:sz w:val="24"/>
          <w:szCs w:val="24"/>
        </w:rPr>
        <w:t>格分</w:t>
      </w:r>
    </w:p>
    <w:p w14:paraId="214B443E">
      <w:pPr>
        <w:spacing w:before="1" w:line="220" w:lineRule="auto"/>
        <w:ind w:left="7"/>
        <w:rPr>
          <w:rFonts w:ascii="黑体" w:hAnsi="黑体" w:eastAsia="黑体" w:cs="黑体"/>
          <w:sz w:val="24"/>
          <w:szCs w:val="24"/>
        </w:rPr>
      </w:pPr>
      <w:r>
        <w:rPr>
          <w:rFonts w:ascii="黑体" w:hAnsi="黑体" w:eastAsia="黑体" w:cs="黑体"/>
          <w:spacing w:val="1"/>
          <w:sz w:val="24"/>
          <w:szCs w:val="24"/>
        </w:rPr>
        <w:t>为满分。其他供应商的价格分统一按照下列公式计算：</w:t>
      </w:r>
    </w:p>
    <w:p w14:paraId="4F3FD942">
      <w:pPr>
        <w:spacing w:before="177" w:line="222" w:lineRule="auto"/>
        <w:ind w:left="488"/>
        <w:outlineLvl w:val="1"/>
        <w:rPr>
          <w:rFonts w:ascii="黑体" w:hAnsi="黑体" w:eastAsia="黑体" w:cs="黑体"/>
          <w:sz w:val="24"/>
          <w:szCs w:val="24"/>
        </w:rPr>
      </w:pPr>
      <w:r>
        <w:rPr>
          <w:rFonts w:ascii="黑体" w:hAnsi="黑体" w:eastAsia="黑体" w:cs="黑体"/>
          <w:spacing w:val="3"/>
          <w:sz w:val="24"/>
          <w:szCs w:val="24"/>
          <w14:textOutline w14:w="4358" w14:cap="sq" w14:cmpd="sng">
            <w14:solidFill>
              <w14:srgbClr w14:val="000000"/>
            </w14:solidFill>
            <w14:prstDash w14:val="solid"/>
            <w14:bevel/>
          </w14:textOutline>
        </w:rPr>
        <w:t>磋商报价得分</w:t>
      </w:r>
      <w:r>
        <w:rPr>
          <w:rFonts w:ascii="黑体" w:hAnsi="黑体" w:eastAsia="黑体" w:cs="黑体"/>
          <w:spacing w:val="-26"/>
          <w:sz w:val="24"/>
          <w:szCs w:val="24"/>
          <w14:textOutline w14:w="4358" w14:cap="sq" w14:cmpd="sng">
            <w14:solidFill>
              <w14:srgbClr w14:val="000000"/>
            </w14:solidFill>
            <w14:prstDash w14:val="solid"/>
            <w14:bevel/>
          </w14:textOutline>
        </w:rPr>
        <w:t>＝（</w:t>
      </w:r>
      <w:r>
        <w:rPr>
          <w:rFonts w:ascii="黑体" w:hAnsi="黑体" w:eastAsia="黑体" w:cs="黑体"/>
          <w:spacing w:val="3"/>
          <w:sz w:val="24"/>
          <w:szCs w:val="24"/>
          <w14:textOutline w14:w="4358" w14:cap="sq" w14:cmpd="sng">
            <w14:solidFill>
              <w14:srgbClr w14:val="000000"/>
            </w14:solidFill>
            <w14:prstDash w14:val="solid"/>
            <w14:bevel/>
          </w14:textOutline>
        </w:rPr>
        <w:t>磋商基准价／最终磋商报价）×分值。</w:t>
      </w:r>
    </w:p>
    <w:p w14:paraId="66493579">
      <w:pPr>
        <w:spacing w:line="222" w:lineRule="auto"/>
        <w:rPr>
          <w:rFonts w:ascii="黑体" w:hAnsi="黑体" w:eastAsia="黑体" w:cs="黑体"/>
          <w:sz w:val="24"/>
          <w:szCs w:val="24"/>
        </w:rPr>
        <w:sectPr>
          <w:footerReference r:id="rId20" w:type="default"/>
          <w:pgSz w:w="11906" w:h="16839"/>
          <w:pgMar w:top="1431" w:right="1561" w:bottom="1012" w:left="1423" w:header="0" w:footer="850" w:gutter="0"/>
          <w:cols w:space="720" w:num="1"/>
        </w:sectPr>
      </w:pPr>
    </w:p>
    <w:p w14:paraId="003676BC">
      <w:pPr>
        <w:spacing w:before="48" w:line="223" w:lineRule="auto"/>
        <w:ind w:left="110"/>
        <w:rPr>
          <w:rFonts w:ascii="黑体" w:hAnsi="黑体" w:eastAsia="黑体" w:cs="黑体"/>
          <w:sz w:val="24"/>
          <w:szCs w:val="24"/>
        </w:rPr>
      </w:pPr>
      <w:r>
        <w:rPr>
          <w:rFonts w:ascii="黑体" w:hAnsi="黑体" w:eastAsia="黑体" w:cs="黑体"/>
          <w:spacing w:val="-4"/>
          <w:sz w:val="24"/>
          <w:szCs w:val="24"/>
          <w14:textOutline w14:w="4358" w14:cap="sq" w14:cmpd="sng">
            <w14:solidFill>
              <w14:srgbClr w14:val="000000"/>
            </w14:solidFill>
            <w14:prstDash w14:val="solid"/>
            <w14:bevel/>
          </w14:textOutline>
        </w:rPr>
        <w:t>附表一：</w:t>
      </w:r>
    </w:p>
    <w:p w14:paraId="0CDC8B5C">
      <w:pPr>
        <w:spacing w:before="175" w:line="222" w:lineRule="auto"/>
        <w:ind w:left="3911"/>
        <w:outlineLvl w:val="1"/>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资格性审查表</w:t>
      </w:r>
    </w:p>
    <w:p w14:paraId="13C084C9">
      <w:pPr>
        <w:spacing w:line="144" w:lineRule="exact"/>
      </w:pPr>
    </w:p>
    <w:tbl>
      <w:tblPr>
        <w:tblStyle w:val="13"/>
        <w:tblW w:w="92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05"/>
        <w:gridCol w:w="8238"/>
      </w:tblGrid>
      <w:tr w14:paraId="2FCCAE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005" w:type="dxa"/>
            <w:vAlign w:val="top"/>
          </w:tcPr>
          <w:p w14:paraId="65D14EEB">
            <w:pPr>
              <w:pStyle w:val="14"/>
              <w:spacing w:before="52" w:line="223" w:lineRule="auto"/>
              <w:ind w:left="267"/>
            </w:pPr>
            <w:r>
              <w:rPr>
                <w:spacing w:val="-4"/>
              </w:rPr>
              <w:t>序号</w:t>
            </w:r>
          </w:p>
        </w:tc>
        <w:tc>
          <w:tcPr>
            <w:tcW w:w="8238" w:type="dxa"/>
            <w:vAlign w:val="top"/>
          </w:tcPr>
          <w:p w14:paraId="20EF366F">
            <w:pPr>
              <w:pStyle w:val="14"/>
              <w:spacing w:before="51" w:line="222" w:lineRule="auto"/>
              <w:ind w:left="3639"/>
            </w:pPr>
            <w:r>
              <w:rPr>
                <w:spacing w:val="-1"/>
              </w:rPr>
              <w:t>评审内容</w:t>
            </w:r>
          </w:p>
        </w:tc>
      </w:tr>
      <w:tr w14:paraId="44F7FD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0" w:hRule="atLeast"/>
        </w:trPr>
        <w:tc>
          <w:tcPr>
            <w:tcW w:w="1005" w:type="dxa"/>
            <w:vAlign w:val="top"/>
          </w:tcPr>
          <w:p w14:paraId="2B81A402">
            <w:pPr>
              <w:pStyle w:val="14"/>
              <w:spacing w:before="161" w:line="184" w:lineRule="auto"/>
              <w:ind w:left="461"/>
            </w:pPr>
            <w:r>
              <w:t>1</w:t>
            </w:r>
          </w:p>
        </w:tc>
        <w:tc>
          <w:tcPr>
            <w:tcW w:w="8238" w:type="dxa"/>
            <w:vAlign w:val="top"/>
          </w:tcPr>
          <w:p w14:paraId="2576FC49">
            <w:pPr>
              <w:pStyle w:val="14"/>
              <w:spacing w:before="186" w:line="213" w:lineRule="auto"/>
              <w:ind w:left="110"/>
            </w:pPr>
            <w:r>
              <w:rPr>
                <w:spacing w:val="2"/>
              </w:rPr>
              <w:t>在中华人民共和国境内注册，具有有效的营业执照；</w:t>
            </w:r>
          </w:p>
        </w:tc>
      </w:tr>
      <w:tr w14:paraId="61A399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05" w:type="dxa"/>
            <w:vAlign w:val="top"/>
          </w:tcPr>
          <w:p w14:paraId="2F60CBD8">
            <w:pPr>
              <w:pStyle w:val="14"/>
              <w:spacing w:before="171" w:line="185" w:lineRule="auto"/>
              <w:ind w:left="447"/>
            </w:pPr>
            <w:r>
              <w:t>2</w:t>
            </w:r>
          </w:p>
        </w:tc>
        <w:tc>
          <w:tcPr>
            <w:tcW w:w="8238" w:type="dxa"/>
            <w:vAlign w:val="top"/>
          </w:tcPr>
          <w:p w14:paraId="58010C62">
            <w:pPr>
              <w:pStyle w:val="14"/>
              <w:spacing w:before="195" w:line="213" w:lineRule="auto"/>
              <w:ind w:left="110"/>
            </w:pPr>
            <w:bookmarkStart w:id="10" w:name="OLE_LINK15"/>
            <w:r>
              <w:rPr>
                <w:rFonts w:hint="eastAsia"/>
              </w:rPr>
              <w:t>提供近一年（</w:t>
            </w:r>
            <w:r>
              <w:rPr>
                <w:rFonts w:hint="eastAsia"/>
                <w:lang w:val="en-US" w:eastAsia="zh-CN"/>
              </w:rPr>
              <w:t>2024年度</w:t>
            </w:r>
            <w:r>
              <w:rPr>
                <w:rFonts w:hint="eastAsia"/>
              </w:rPr>
              <w:t>）财务</w:t>
            </w:r>
            <w:r>
              <w:rPr>
                <w:rFonts w:hint="eastAsia"/>
                <w:lang w:val="en-US" w:eastAsia="zh-CN"/>
              </w:rPr>
              <w:t>审计报告</w:t>
            </w:r>
            <w:r>
              <w:rPr>
                <w:rFonts w:hint="eastAsia"/>
              </w:rPr>
              <w:t>满足</w:t>
            </w:r>
            <w:r>
              <w:rPr>
                <w:rFonts w:hint="eastAsia"/>
                <w:lang w:eastAsia="zh-CN"/>
              </w:rPr>
              <w:t>竞争性磋商文件</w:t>
            </w:r>
            <w:r>
              <w:rPr>
                <w:rFonts w:hint="eastAsia"/>
              </w:rPr>
              <w:t>的要求（新成立公司除外）</w:t>
            </w:r>
            <w:bookmarkEnd w:id="10"/>
            <w:r>
              <w:rPr>
                <w:rFonts w:hint="eastAsia"/>
              </w:rPr>
              <w:t>；</w:t>
            </w:r>
          </w:p>
        </w:tc>
      </w:tr>
      <w:tr w14:paraId="5AF25E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9" w:hRule="atLeast"/>
        </w:trPr>
        <w:tc>
          <w:tcPr>
            <w:tcW w:w="1005" w:type="dxa"/>
            <w:vAlign w:val="top"/>
          </w:tcPr>
          <w:p w14:paraId="0B74801C">
            <w:pPr>
              <w:pStyle w:val="14"/>
              <w:spacing w:before="170" w:line="185" w:lineRule="auto"/>
              <w:ind w:left="449"/>
            </w:pPr>
            <w:r>
              <w:t>3</w:t>
            </w:r>
          </w:p>
        </w:tc>
        <w:tc>
          <w:tcPr>
            <w:tcW w:w="8238" w:type="dxa"/>
            <w:vAlign w:val="top"/>
          </w:tcPr>
          <w:p w14:paraId="3823FCB1">
            <w:pPr>
              <w:pStyle w:val="14"/>
              <w:spacing w:before="44" w:line="225" w:lineRule="auto"/>
              <w:ind w:left="120" w:right="37" w:hanging="10"/>
              <w:rPr>
                <w:rFonts w:hint="eastAsia" w:eastAsia="黑体"/>
                <w:lang w:eastAsia="zh-CN"/>
              </w:rPr>
            </w:pPr>
            <w:r>
              <w:rPr>
                <w:rFonts w:hint="eastAsia"/>
              </w:rPr>
              <w:t>资质条件：</w:t>
            </w:r>
            <w:r>
              <w:rPr>
                <w:rFonts w:hint="eastAsia"/>
                <w:lang w:eastAsia="zh-CN"/>
              </w:rPr>
              <w:t>市政公用工程</w:t>
            </w:r>
            <w:r>
              <w:rPr>
                <w:rFonts w:hint="eastAsia"/>
              </w:rPr>
              <w:t>总承包叁级(含叁级)及以上资质，在人员、设备、资金等方面具有相应的施工能力，有安全生产许可证；有类似项目业绩</w:t>
            </w:r>
            <w:r>
              <w:rPr>
                <w:rFonts w:hint="eastAsia"/>
                <w:lang w:eastAsia="zh-CN"/>
              </w:rPr>
              <w:t>。</w:t>
            </w:r>
          </w:p>
        </w:tc>
      </w:tr>
      <w:tr w14:paraId="4A2C16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7" w:hRule="atLeast"/>
        </w:trPr>
        <w:tc>
          <w:tcPr>
            <w:tcW w:w="1005" w:type="dxa"/>
            <w:vAlign w:val="top"/>
          </w:tcPr>
          <w:p w14:paraId="3B877B6D">
            <w:pPr>
              <w:spacing w:line="242" w:lineRule="auto"/>
              <w:rPr>
                <w:rFonts w:ascii="Arial"/>
                <w:sz w:val="21"/>
              </w:rPr>
            </w:pPr>
          </w:p>
          <w:p w14:paraId="3FE2D0A7">
            <w:pPr>
              <w:pStyle w:val="14"/>
              <w:spacing w:before="78" w:line="184" w:lineRule="auto"/>
              <w:ind w:left="443"/>
            </w:pPr>
            <w:r>
              <w:t>4</w:t>
            </w:r>
          </w:p>
        </w:tc>
        <w:tc>
          <w:tcPr>
            <w:tcW w:w="8238" w:type="dxa"/>
            <w:vAlign w:val="top"/>
          </w:tcPr>
          <w:p w14:paraId="35780407">
            <w:pPr>
              <w:pStyle w:val="14"/>
              <w:spacing w:before="38" w:line="228" w:lineRule="auto"/>
              <w:ind w:left="112" w:right="37" w:hanging="2"/>
              <w:jc w:val="both"/>
            </w:pPr>
            <w:r>
              <w:rPr>
                <w:rFonts w:hint="eastAsia"/>
              </w:rPr>
              <w:t>项目负责人资格：</w:t>
            </w:r>
            <w:r>
              <w:rPr>
                <w:rFonts w:hint="eastAsia"/>
                <w:lang w:eastAsia="zh-CN"/>
              </w:rPr>
              <w:t>市政公用工程</w:t>
            </w:r>
            <w:r>
              <w:rPr>
                <w:rFonts w:hint="eastAsia"/>
              </w:rPr>
              <w:t>专业贰级(含贰级)及以上建造师执业资格，具备有效的安全生产考核合格证书，且未担任其他建设工程项目的项目经理。</w:t>
            </w:r>
          </w:p>
        </w:tc>
      </w:tr>
      <w:tr w14:paraId="356123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9" w:hRule="atLeast"/>
        </w:trPr>
        <w:tc>
          <w:tcPr>
            <w:tcW w:w="1005" w:type="dxa"/>
            <w:vAlign w:val="top"/>
          </w:tcPr>
          <w:p w14:paraId="2E9718CD">
            <w:pPr>
              <w:spacing w:line="402" w:lineRule="auto"/>
              <w:rPr>
                <w:rFonts w:ascii="Arial"/>
                <w:sz w:val="21"/>
              </w:rPr>
            </w:pPr>
          </w:p>
          <w:p w14:paraId="0D4D21A1">
            <w:pPr>
              <w:pStyle w:val="14"/>
              <w:spacing w:before="78" w:line="182" w:lineRule="auto"/>
              <w:ind w:left="444"/>
            </w:pPr>
            <w:r>
              <w:t>5</w:t>
            </w:r>
          </w:p>
        </w:tc>
        <w:tc>
          <w:tcPr>
            <w:tcW w:w="8238" w:type="dxa"/>
            <w:vAlign w:val="top"/>
          </w:tcPr>
          <w:p w14:paraId="4F33E64F">
            <w:pPr>
              <w:pStyle w:val="14"/>
              <w:spacing w:before="37" w:line="231" w:lineRule="auto"/>
              <w:ind w:left="111" w:right="35"/>
              <w:jc w:val="both"/>
            </w:pPr>
            <w:r>
              <w:rPr>
                <w:spacing w:val="5"/>
              </w:rPr>
              <w:t>凡拟参加本次磋商项目的供应商须具有良好的信誉，未在“信用中</w:t>
            </w:r>
            <w:r>
              <w:rPr>
                <w:spacing w:val="4"/>
              </w:rPr>
              <w:t>国”网站</w:t>
            </w:r>
            <w:r>
              <w:rPr>
                <w:spacing w:val="6"/>
              </w:rPr>
              <w:t>（</w:t>
            </w:r>
            <w:r>
              <w:t>www</w:t>
            </w:r>
            <w:r>
              <w:rPr>
                <w:spacing w:val="6"/>
              </w:rPr>
              <w:t>.</w:t>
            </w:r>
            <w:r>
              <w:t>creditchina</w:t>
            </w:r>
            <w:r>
              <w:rPr>
                <w:spacing w:val="6"/>
              </w:rPr>
              <w:t>.</w:t>
            </w:r>
            <w:r>
              <w:t>gov</w:t>
            </w:r>
            <w:r>
              <w:rPr>
                <w:spacing w:val="6"/>
              </w:rPr>
              <w:t>.</w:t>
            </w:r>
            <w:r>
              <w:t>cn</w:t>
            </w:r>
            <w:r>
              <w:rPr>
                <w:spacing w:val="6"/>
              </w:rPr>
              <w:t>）被列入失信被执行人、重大税收违法案件当事</w:t>
            </w:r>
            <w:r>
              <w:rPr>
                <w:spacing w:val="1"/>
              </w:rPr>
              <w:t>人名单、中国政府采购网（</w:t>
            </w:r>
            <w:r>
              <w:t>www</w:t>
            </w:r>
            <w:r>
              <w:rPr>
                <w:spacing w:val="1"/>
              </w:rPr>
              <w:t>.</w:t>
            </w:r>
            <w:r>
              <w:t>ccgp</w:t>
            </w:r>
            <w:r>
              <w:rPr>
                <w:spacing w:val="1"/>
              </w:rPr>
              <w:t>.</w:t>
            </w:r>
            <w:r>
              <w:t>gov</w:t>
            </w:r>
            <w:r>
              <w:rPr>
                <w:spacing w:val="1"/>
              </w:rPr>
              <w:t>.</w:t>
            </w:r>
            <w:r>
              <w:t>cn</w:t>
            </w:r>
            <w:r>
              <w:rPr>
                <w:spacing w:val="1"/>
              </w:rPr>
              <w:t>）被列入政府采购严重违法失信行为记录名单（尚在处罚期内的）。</w:t>
            </w:r>
          </w:p>
        </w:tc>
      </w:tr>
      <w:tr w14:paraId="5C1B8D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0" w:hRule="atLeast"/>
        </w:trPr>
        <w:tc>
          <w:tcPr>
            <w:tcW w:w="1005" w:type="dxa"/>
            <w:vAlign w:val="top"/>
          </w:tcPr>
          <w:p w14:paraId="07065188">
            <w:pPr>
              <w:pStyle w:val="14"/>
              <w:spacing w:before="174" w:line="184" w:lineRule="auto"/>
              <w:ind w:left="448"/>
            </w:pPr>
            <w:r>
              <w:t>6</w:t>
            </w:r>
          </w:p>
        </w:tc>
        <w:tc>
          <w:tcPr>
            <w:tcW w:w="8238" w:type="dxa"/>
            <w:vAlign w:val="top"/>
          </w:tcPr>
          <w:p w14:paraId="49633258">
            <w:pPr>
              <w:pStyle w:val="14"/>
              <w:spacing w:before="154" w:line="222" w:lineRule="auto"/>
              <w:ind w:left="110"/>
              <w:rPr>
                <w:rFonts w:hint="default" w:eastAsia="黑体"/>
                <w:lang w:val="en-US" w:eastAsia="zh-CN"/>
              </w:rPr>
            </w:pPr>
            <w:r>
              <w:rPr>
                <w:rFonts w:hint="eastAsia"/>
                <w:spacing w:val="1"/>
                <w:lang w:val="en-US" w:eastAsia="zh-CN"/>
              </w:rPr>
              <w:t>中小企业声明函</w:t>
            </w:r>
          </w:p>
        </w:tc>
      </w:tr>
      <w:tr w14:paraId="206B00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0" w:hRule="atLeast"/>
        </w:trPr>
        <w:tc>
          <w:tcPr>
            <w:tcW w:w="1005" w:type="dxa"/>
            <w:vAlign w:val="top"/>
          </w:tcPr>
          <w:p w14:paraId="58A98A07">
            <w:pPr>
              <w:pStyle w:val="14"/>
              <w:spacing w:before="174" w:line="184" w:lineRule="auto"/>
              <w:ind w:left="448"/>
              <w:rPr>
                <w:rFonts w:hint="eastAsia" w:eastAsia="黑体"/>
                <w:lang w:val="en-US" w:eastAsia="zh-CN"/>
              </w:rPr>
            </w:pPr>
            <w:r>
              <w:rPr>
                <w:rFonts w:hint="eastAsia"/>
                <w:lang w:val="en-US" w:eastAsia="zh-CN"/>
              </w:rPr>
              <w:t>7</w:t>
            </w:r>
          </w:p>
        </w:tc>
        <w:tc>
          <w:tcPr>
            <w:tcW w:w="8238" w:type="dxa"/>
            <w:vAlign w:val="top"/>
          </w:tcPr>
          <w:p w14:paraId="29CD7386">
            <w:pPr>
              <w:pStyle w:val="14"/>
              <w:spacing w:before="154" w:line="222" w:lineRule="auto"/>
              <w:ind w:left="110"/>
              <w:rPr>
                <w:rFonts w:hint="eastAsia"/>
                <w:spacing w:val="1"/>
                <w:lang w:val="en-US" w:eastAsia="zh-CN"/>
              </w:rPr>
            </w:pPr>
            <w:r>
              <w:rPr>
                <w:rFonts w:hint="eastAsia"/>
                <w:spacing w:val="1"/>
                <w:lang w:val="en-US" w:eastAsia="zh-CN"/>
              </w:rPr>
              <w:t>拟派的项目经理是否未担任其他在建工程项目的项目经理，并且中标后至完工前也不得在其他项目任职（供应商需提供承诺书）</w:t>
            </w:r>
          </w:p>
        </w:tc>
      </w:tr>
      <w:tr w14:paraId="7807A6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1005" w:type="dxa"/>
            <w:vAlign w:val="top"/>
          </w:tcPr>
          <w:p w14:paraId="715B7393">
            <w:pPr>
              <w:pStyle w:val="14"/>
              <w:spacing w:before="68" w:line="226" w:lineRule="auto"/>
              <w:ind w:left="266"/>
            </w:pPr>
            <w:r>
              <w:rPr>
                <w:spacing w:val="-4"/>
              </w:rPr>
              <w:t>结论</w:t>
            </w:r>
          </w:p>
        </w:tc>
        <w:tc>
          <w:tcPr>
            <w:tcW w:w="8238" w:type="dxa"/>
            <w:vAlign w:val="top"/>
          </w:tcPr>
          <w:p w14:paraId="7441C9EA">
            <w:pPr>
              <w:pStyle w:val="14"/>
              <w:spacing w:before="82" w:line="222" w:lineRule="auto"/>
              <w:ind w:left="116"/>
            </w:pPr>
            <w:r>
              <w:rPr>
                <w:spacing w:val="-2"/>
              </w:rPr>
              <w:t>是否符合</w:t>
            </w:r>
          </w:p>
        </w:tc>
      </w:tr>
    </w:tbl>
    <w:p w14:paraId="5343F07C">
      <w:pPr>
        <w:spacing w:before="129" w:line="221" w:lineRule="auto"/>
        <w:ind w:left="95"/>
        <w:rPr>
          <w:rFonts w:ascii="黑体" w:hAnsi="黑体" w:eastAsia="黑体" w:cs="黑体"/>
          <w:sz w:val="20"/>
          <w:szCs w:val="20"/>
        </w:rPr>
      </w:pPr>
      <w:r>
        <w:rPr>
          <w:rFonts w:ascii="黑体" w:hAnsi="黑体" w:eastAsia="黑体" w:cs="黑体"/>
          <w:spacing w:val="13"/>
          <w:sz w:val="20"/>
          <w:szCs w:val="20"/>
          <w14:textOutline w14:w="3795" w14:cap="sq" w14:cmpd="sng">
            <w14:solidFill>
              <w14:srgbClr w14:val="000000"/>
            </w14:solidFill>
            <w14:prstDash w14:val="solid"/>
            <w14:bevel/>
          </w14:textOutline>
        </w:rPr>
        <w:t>备注：如有一项未通过，评标委员将认定整个响应文件未响应竞争性磋商</w:t>
      </w:r>
      <w:r>
        <w:rPr>
          <w:rFonts w:ascii="黑体" w:hAnsi="黑体" w:eastAsia="黑体" w:cs="黑体"/>
          <w:spacing w:val="12"/>
          <w:sz w:val="20"/>
          <w:szCs w:val="20"/>
          <w14:textOutline w14:w="3795" w14:cap="sq" w14:cmpd="sng">
            <w14:solidFill>
              <w14:srgbClr w14:val="000000"/>
            </w14:solidFill>
            <w14:prstDash w14:val="solid"/>
            <w14:bevel/>
          </w14:textOutline>
        </w:rPr>
        <w:t>文件而予以废标处理。</w:t>
      </w:r>
    </w:p>
    <w:p w14:paraId="797F6AD7">
      <w:pPr>
        <w:spacing w:before="78" w:line="223" w:lineRule="auto"/>
        <w:ind w:left="110"/>
        <w:outlineLvl w:val="1"/>
        <w:rPr>
          <w:rFonts w:ascii="黑体" w:hAnsi="黑体" w:eastAsia="黑体" w:cs="黑体"/>
          <w:sz w:val="24"/>
          <w:szCs w:val="24"/>
        </w:rPr>
      </w:pPr>
      <w:r>
        <w:rPr>
          <w:rFonts w:ascii="黑体" w:hAnsi="黑体" w:eastAsia="黑体" w:cs="黑体"/>
          <w:spacing w:val="-4"/>
          <w:sz w:val="24"/>
          <w:szCs w:val="24"/>
          <w14:textOutline w14:w="4358" w14:cap="sq" w14:cmpd="sng">
            <w14:solidFill>
              <w14:srgbClr w14:val="000000"/>
            </w14:solidFill>
            <w14:prstDash w14:val="solid"/>
            <w14:bevel/>
          </w14:textOutline>
        </w:rPr>
        <w:t>附表二：</w:t>
      </w:r>
    </w:p>
    <w:p w14:paraId="676E9ADB">
      <w:pPr>
        <w:spacing w:before="177" w:line="222" w:lineRule="auto"/>
        <w:ind w:left="3902"/>
        <w:outlineLvl w:val="1"/>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符合性审查表</w:t>
      </w:r>
    </w:p>
    <w:p w14:paraId="30CE5DB0">
      <w:pPr>
        <w:spacing w:line="142" w:lineRule="exact"/>
      </w:pPr>
    </w:p>
    <w:tbl>
      <w:tblPr>
        <w:tblStyle w:val="13"/>
        <w:tblW w:w="9083" w:type="dxa"/>
        <w:tblInd w:w="8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76"/>
        <w:gridCol w:w="7907"/>
      </w:tblGrid>
      <w:tr w14:paraId="5F033C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2" w:hRule="atLeast"/>
        </w:trPr>
        <w:tc>
          <w:tcPr>
            <w:tcW w:w="1176" w:type="dxa"/>
            <w:vAlign w:val="top"/>
          </w:tcPr>
          <w:p w14:paraId="30D9E6D3">
            <w:pPr>
              <w:pStyle w:val="14"/>
              <w:spacing w:before="56" w:line="223" w:lineRule="auto"/>
              <w:ind w:left="350"/>
            </w:pPr>
            <w:r>
              <w:rPr>
                <w:spacing w:val="-4"/>
                <w14:textOutline w14:w="4358" w14:cap="sq" w14:cmpd="sng">
                  <w14:solidFill>
                    <w14:srgbClr w14:val="000000"/>
                  </w14:solidFill>
                  <w14:prstDash w14:val="solid"/>
                  <w14:bevel/>
                </w14:textOutline>
              </w:rPr>
              <w:t>序号</w:t>
            </w:r>
          </w:p>
        </w:tc>
        <w:tc>
          <w:tcPr>
            <w:tcW w:w="7907" w:type="dxa"/>
            <w:vAlign w:val="top"/>
          </w:tcPr>
          <w:p w14:paraId="1BD3EBA9">
            <w:pPr>
              <w:pStyle w:val="14"/>
              <w:spacing w:before="56" w:line="222" w:lineRule="auto"/>
              <w:ind w:left="3469"/>
            </w:pPr>
            <w:r>
              <w:rPr>
                <w14:textOutline w14:w="4358" w14:cap="sq" w14:cmpd="sng">
                  <w14:solidFill>
                    <w14:srgbClr w14:val="000000"/>
                  </w14:solidFill>
                  <w14:prstDash w14:val="solid"/>
                  <w14:bevel/>
                </w14:textOutline>
              </w:rPr>
              <w:t>评审内容</w:t>
            </w:r>
          </w:p>
        </w:tc>
      </w:tr>
      <w:tr w14:paraId="2B987D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7" w:hRule="atLeast"/>
        </w:trPr>
        <w:tc>
          <w:tcPr>
            <w:tcW w:w="1176" w:type="dxa"/>
            <w:vAlign w:val="top"/>
          </w:tcPr>
          <w:p w14:paraId="0F9E3197">
            <w:pPr>
              <w:pStyle w:val="14"/>
              <w:spacing w:before="89" w:line="184" w:lineRule="auto"/>
              <w:ind w:left="545"/>
            </w:pPr>
            <w:r>
              <w:t>1</w:t>
            </w:r>
          </w:p>
        </w:tc>
        <w:tc>
          <w:tcPr>
            <w:tcW w:w="7907" w:type="dxa"/>
            <w:vAlign w:val="top"/>
          </w:tcPr>
          <w:p w14:paraId="14265FE5">
            <w:pPr>
              <w:pStyle w:val="14"/>
              <w:spacing w:before="51" w:line="222" w:lineRule="auto"/>
              <w:ind w:left="111"/>
            </w:pPr>
            <w:bookmarkStart w:id="11" w:name="OLE_LINK16"/>
            <w:r>
              <w:rPr>
                <w:spacing w:val="1"/>
              </w:rPr>
              <w:t>投标报价没有超过最高限价</w:t>
            </w:r>
            <w:bookmarkEnd w:id="11"/>
          </w:p>
        </w:tc>
      </w:tr>
      <w:tr w14:paraId="6C4681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8" w:hRule="atLeast"/>
        </w:trPr>
        <w:tc>
          <w:tcPr>
            <w:tcW w:w="1176" w:type="dxa"/>
            <w:vAlign w:val="top"/>
          </w:tcPr>
          <w:p w14:paraId="24BE47E1">
            <w:pPr>
              <w:pStyle w:val="14"/>
              <w:spacing w:before="88" w:line="185" w:lineRule="auto"/>
              <w:ind w:left="531"/>
            </w:pPr>
            <w:r>
              <w:t>2</w:t>
            </w:r>
          </w:p>
        </w:tc>
        <w:tc>
          <w:tcPr>
            <w:tcW w:w="7907" w:type="dxa"/>
            <w:vAlign w:val="top"/>
          </w:tcPr>
          <w:p w14:paraId="2208C436">
            <w:pPr>
              <w:pStyle w:val="14"/>
              <w:spacing w:before="69" w:line="221" w:lineRule="auto"/>
              <w:ind w:left="117"/>
            </w:pPr>
            <w:bookmarkStart w:id="12" w:name="OLE_LINK17"/>
            <w:r>
              <w:rPr>
                <w:spacing w:val="2"/>
              </w:rPr>
              <w:t>是否按规定提交法定代表人证明书或法人授</w:t>
            </w:r>
            <w:r>
              <w:rPr>
                <w:spacing w:val="1"/>
              </w:rPr>
              <w:t>权委托书</w:t>
            </w:r>
            <w:bookmarkEnd w:id="12"/>
          </w:p>
        </w:tc>
      </w:tr>
      <w:tr w14:paraId="693A85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7" w:hRule="atLeast"/>
        </w:trPr>
        <w:tc>
          <w:tcPr>
            <w:tcW w:w="1176" w:type="dxa"/>
            <w:vAlign w:val="top"/>
          </w:tcPr>
          <w:p w14:paraId="04B0F9B3">
            <w:pPr>
              <w:pStyle w:val="14"/>
              <w:spacing w:before="90" w:line="185" w:lineRule="auto"/>
              <w:ind w:left="532"/>
            </w:pPr>
            <w:r>
              <w:t>3</w:t>
            </w:r>
          </w:p>
        </w:tc>
        <w:tc>
          <w:tcPr>
            <w:tcW w:w="7907" w:type="dxa"/>
            <w:vAlign w:val="top"/>
          </w:tcPr>
          <w:p w14:paraId="39FA5D06">
            <w:pPr>
              <w:pStyle w:val="14"/>
              <w:spacing w:before="68" w:line="222" w:lineRule="auto"/>
              <w:ind w:left="117"/>
            </w:pPr>
            <w:bookmarkStart w:id="13" w:name="OLE_LINK18"/>
            <w:r>
              <w:rPr>
                <w:spacing w:val="1"/>
              </w:rPr>
              <w:t>是否符合磋商文件的签署盖章要求</w:t>
            </w:r>
            <w:bookmarkEnd w:id="13"/>
          </w:p>
        </w:tc>
      </w:tr>
      <w:tr w14:paraId="1CEF18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8" w:hRule="atLeast"/>
        </w:trPr>
        <w:tc>
          <w:tcPr>
            <w:tcW w:w="1176" w:type="dxa"/>
            <w:vAlign w:val="top"/>
          </w:tcPr>
          <w:p w14:paraId="2D1E4C7F">
            <w:pPr>
              <w:pStyle w:val="14"/>
              <w:spacing w:before="92" w:line="184" w:lineRule="auto"/>
              <w:ind w:left="526"/>
            </w:pPr>
            <w:r>
              <w:t>4</w:t>
            </w:r>
          </w:p>
        </w:tc>
        <w:tc>
          <w:tcPr>
            <w:tcW w:w="7907" w:type="dxa"/>
            <w:vAlign w:val="top"/>
          </w:tcPr>
          <w:p w14:paraId="0C7C9A19">
            <w:pPr>
              <w:pStyle w:val="14"/>
              <w:spacing w:before="55" w:line="222" w:lineRule="auto"/>
              <w:ind w:left="117"/>
            </w:pPr>
            <w:bookmarkStart w:id="14" w:name="OLE_LINK19"/>
            <w:r>
              <w:rPr>
                <w:spacing w:val="1"/>
              </w:rPr>
              <w:t>是否按要求交纳投标保证金</w:t>
            </w:r>
            <w:bookmarkEnd w:id="14"/>
          </w:p>
        </w:tc>
      </w:tr>
      <w:tr w14:paraId="06FAC0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8" w:hRule="atLeast"/>
        </w:trPr>
        <w:tc>
          <w:tcPr>
            <w:tcW w:w="1176" w:type="dxa"/>
            <w:vAlign w:val="top"/>
          </w:tcPr>
          <w:p w14:paraId="008CAC10">
            <w:pPr>
              <w:pStyle w:val="14"/>
              <w:spacing w:before="94" w:line="182" w:lineRule="auto"/>
              <w:ind w:left="527"/>
            </w:pPr>
            <w:r>
              <w:t>5</w:t>
            </w:r>
          </w:p>
        </w:tc>
        <w:tc>
          <w:tcPr>
            <w:tcW w:w="7907" w:type="dxa"/>
            <w:vAlign w:val="top"/>
          </w:tcPr>
          <w:p w14:paraId="499A8BFB">
            <w:pPr>
              <w:pStyle w:val="14"/>
              <w:spacing w:before="54" w:line="221" w:lineRule="auto"/>
              <w:ind w:left="122"/>
            </w:pPr>
            <w:bookmarkStart w:id="15" w:name="OLE_LINK20"/>
            <w:r>
              <w:t>响应文件有效期是否为</w:t>
            </w:r>
            <w:r>
              <w:rPr>
                <w:rFonts w:hint="eastAsia"/>
                <w:lang w:val="en-US" w:eastAsia="zh-CN"/>
              </w:rPr>
              <w:t>45</w:t>
            </w:r>
            <w:r>
              <w:t>天</w:t>
            </w:r>
            <w:bookmarkEnd w:id="15"/>
          </w:p>
        </w:tc>
      </w:tr>
      <w:tr w14:paraId="14FC31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7" w:hRule="atLeast"/>
        </w:trPr>
        <w:tc>
          <w:tcPr>
            <w:tcW w:w="1176" w:type="dxa"/>
            <w:vAlign w:val="top"/>
          </w:tcPr>
          <w:p w14:paraId="36822985">
            <w:pPr>
              <w:pStyle w:val="14"/>
              <w:spacing w:before="91" w:line="184" w:lineRule="auto"/>
              <w:ind w:left="531"/>
            </w:pPr>
            <w:r>
              <w:t>6</w:t>
            </w:r>
          </w:p>
        </w:tc>
        <w:tc>
          <w:tcPr>
            <w:tcW w:w="7907" w:type="dxa"/>
            <w:vAlign w:val="top"/>
          </w:tcPr>
          <w:p w14:paraId="430B2747">
            <w:pPr>
              <w:pStyle w:val="14"/>
              <w:spacing w:before="54" w:line="222" w:lineRule="auto"/>
              <w:ind w:left="117"/>
            </w:pPr>
            <w:bookmarkStart w:id="16" w:name="OLE_LINK21"/>
            <w:r>
              <w:rPr>
                <w:spacing w:val="1"/>
              </w:rPr>
              <w:t>是否满足项目的工期要求</w:t>
            </w:r>
            <w:bookmarkEnd w:id="16"/>
          </w:p>
        </w:tc>
      </w:tr>
      <w:tr w14:paraId="6A85AE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1176" w:type="dxa"/>
            <w:vAlign w:val="top"/>
          </w:tcPr>
          <w:p w14:paraId="745398A5">
            <w:pPr>
              <w:pStyle w:val="14"/>
              <w:spacing w:before="94" w:line="182" w:lineRule="auto"/>
              <w:ind w:left="533"/>
            </w:pPr>
            <w:r>
              <w:t>7</w:t>
            </w:r>
          </w:p>
        </w:tc>
        <w:tc>
          <w:tcPr>
            <w:tcW w:w="7907" w:type="dxa"/>
            <w:vAlign w:val="top"/>
          </w:tcPr>
          <w:p w14:paraId="39206C44">
            <w:pPr>
              <w:pStyle w:val="14"/>
              <w:spacing w:before="55" w:line="213" w:lineRule="auto"/>
              <w:ind w:left="122"/>
            </w:pPr>
            <w:bookmarkStart w:id="17" w:name="OLE_LINK22"/>
            <w:r>
              <w:rPr>
                <w:spacing w:val="1"/>
              </w:rPr>
              <w:t>响应文件是否满足工程量清单的要求，且没有重大偏离</w:t>
            </w:r>
            <w:bookmarkEnd w:id="17"/>
          </w:p>
        </w:tc>
      </w:tr>
      <w:tr w14:paraId="522A9C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176" w:type="dxa"/>
            <w:vAlign w:val="top"/>
          </w:tcPr>
          <w:p w14:paraId="589EF4FF">
            <w:pPr>
              <w:pStyle w:val="14"/>
              <w:spacing w:before="91" w:line="184" w:lineRule="auto"/>
              <w:ind w:left="530"/>
            </w:pPr>
            <w:r>
              <w:t>8</w:t>
            </w:r>
          </w:p>
        </w:tc>
        <w:tc>
          <w:tcPr>
            <w:tcW w:w="7907" w:type="dxa"/>
            <w:vAlign w:val="top"/>
          </w:tcPr>
          <w:p w14:paraId="53D45920">
            <w:pPr>
              <w:pStyle w:val="14"/>
              <w:spacing w:before="54" w:line="222" w:lineRule="auto"/>
              <w:ind w:left="118"/>
            </w:pPr>
            <w:r>
              <w:rPr>
                <w:spacing w:val="1"/>
              </w:rPr>
              <w:t>没有其它未实质性响应磋商文件的要求</w:t>
            </w:r>
          </w:p>
        </w:tc>
      </w:tr>
      <w:tr w14:paraId="629AAB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1176" w:type="dxa"/>
            <w:vAlign w:val="top"/>
          </w:tcPr>
          <w:p w14:paraId="79DA1546">
            <w:pPr>
              <w:pStyle w:val="14"/>
              <w:spacing w:before="62" w:line="226" w:lineRule="auto"/>
              <w:ind w:left="351"/>
            </w:pPr>
            <w:r>
              <w:rPr>
                <w:spacing w:val="-4"/>
              </w:rPr>
              <w:t>结论</w:t>
            </w:r>
          </w:p>
        </w:tc>
        <w:tc>
          <w:tcPr>
            <w:tcW w:w="7907" w:type="dxa"/>
            <w:vAlign w:val="top"/>
          </w:tcPr>
          <w:p w14:paraId="54FF4DD6">
            <w:pPr>
              <w:pStyle w:val="14"/>
              <w:spacing w:before="62" w:line="222" w:lineRule="auto"/>
              <w:ind w:left="117"/>
            </w:pPr>
            <w:r>
              <w:rPr>
                <w:spacing w:val="-2"/>
              </w:rPr>
              <w:t>是否符合</w:t>
            </w:r>
          </w:p>
        </w:tc>
      </w:tr>
    </w:tbl>
    <w:p w14:paraId="092B26A8">
      <w:pPr>
        <w:spacing w:before="130" w:line="221" w:lineRule="auto"/>
        <w:ind w:left="95"/>
        <w:rPr>
          <w:rFonts w:ascii="黑体" w:hAnsi="黑体" w:eastAsia="黑体" w:cs="黑体"/>
          <w:sz w:val="20"/>
          <w:szCs w:val="20"/>
        </w:rPr>
      </w:pPr>
      <w:r>
        <w:rPr>
          <w:rFonts w:ascii="黑体" w:hAnsi="黑体" w:eastAsia="黑体" w:cs="黑体"/>
          <w:spacing w:val="10"/>
          <w:sz w:val="20"/>
          <w:szCs w:val="20"/>
          <w14:textOutline w14:w="3795" w14:cap="sq" w14:cmpd="sng">
            <w14:solidFill>
              <w14:srgbClr w14:val="000000"/>
            </w14:solidFill>
            <w14:prstDash w14:val="solid"/>
            <w14:bevel/>
          </w14:textOutline>
        </w:rPr>
        <w:t>备注：如有一项未通过，评标委员会将认定整个响应</w:t>
      </w:r>
      <w:r>
        <w:rPr>
          <w:rFonts w:ascii="黑体" w:hAnsi="黑体" w:eastAsia="黑体" w:cs="黑体"/>
          <w:spacing w:val="9"/>
          <w:sz w:val="20"/>
          <w:szCs w:val="20"/>
          <w14:textOutline w14:w="3795" w14:cap="sq" w14:cmpd="sng">
            <w14:solidFill>
              <w14:srgbClr w14:val="000000"/>
            </w14:solidFill>
            <w14:prstDash w14:val="solid"/>
            <w14:bevel/>
          </w14:textOutline>
        </w:rPr>
        <w:t>文件未响应竞争性磋商文件而予以废标处理。</w:t>
      </w:r>
    </w:p>
    <w:p w14:paraId="4D762A00">
      <w:pPr>
        <w:spacing w:line="221" w:lineRule="auto"/>
        <w:rPr>
          <w:rFonts w:ascii="黑体" w:hAnsi="黑体" w:eastAsia="黑体" w:cs="黑体"/>
          <w:sz w:val="20"/>
          <w:szCs w:val="20"/>
        </w:rPr>
        <w:sectPr>
          <w:footerReference r:id="rId21" w:type="default"/>
          <w:pgSz w:w="11906" w:h="16839"/>
          <w:pgMar w:top="1404" w:right="1329" w:bottom="1012" w:left="1328" w:header="0" w:footer="850" w:gutter="0"/>
          <w:cols w:space="720" w:num="1"/>
        </w:sectPr>
      </w:pPr>
    </w:p>
    <w:p w14:paraId="2BAACC87">
      <w:pPr>
        <w:spacing w:before="53" w:line="223" w:lineRule="auto"/>
        <w:ind w:left="240"/>
        <w:rPr>
          <w:rFonts w:ascii="黑体" w:hAnsi="黑体" w:eastAsia="黑体" w:cs="黑体"/>
          <w:sz w:val="24"/>
          <w:szCs w:val="24"/>
        </w:rPr>
      </w:pPr>
      <w:r>
        <w:rPr>
          <w:rFonts w:ascii="黑体" w:hAnsi="黑体" w:eastAsia="黑体" w:cs="黑体"/>
          <w:spacing w:val="-4"/>
          <w:sz w:val="24"/>
          <w:szCs w:val="24"/>
          <w14:textOutline w14:w="4358" w14:cap="sq" w14:cmpd="sng">
            <w14:solidFill>
              <w14:srgbClr w14:val="000000"/>
            </w14:solidFill>
            <w14:prstDash w14:val="solid"/>
            <w14:bevel/>
          </w14:textOutline>
        </w:rPr>
        <w:t>附表三：</w:t>
      </w:r>
    </w:p>
    <w:p w14:paraId="576485FB">
      <w:pPr>
        <w:spacing w:before="83" w:line="222" w:lineRule="auto"/>
        <w:ind w:left="4083"/>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技术评审表</w:t>
      </w:r>
    </w:p>
    <w:p w14:paraId="6CE5F1A3">
      <w:pPr>
        <w:spacing w:line="19" w:lineRule="exact"/>
      </w:pPr>
    </w:p>
    <w:tbl>
      <w:tblPr>
        <w:tblStyle w:val="13"/>
        <w:tblW w:w="95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7"/>
        <w:gridCol w:w="1449"/>
        <w:gridCol w:w="6546"/>
        <w:gridCol w:w="802"/>
      </w:tblGrid>
      <w:tr w14:paraId="36F34A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4" w:hRule="atLeast"/>
        </w:trPr>
        <w:tc>
          <w:tcPr>
            <w:tcW w:w="707" w:type="dxa"/>
            <w:vAlign w:val="top"/>
          </w:tcPr>
          <w:p w14:paraId="5F6EFD00">
            <w:pPr>
              <w:pStyle w:val="14"/>
              <w:spacing w:before="241" w:line="224" w:lineRule="auto"/>
              <w:ind w:left="137"/>
              <w:rPr>
                <w:sz w:val="22"/>
                <w:szCs w:val="22"/>
              </w:rPr>
            </w:pPr>
            <w:r>
              <w:rPr>
                <w:spacing w:val="-3"/>
                <w:sz w:val="22"/>
                <w:szCs w:val="22"/>
                <w14:textOutline w14:w="4013" w14:cap="sq" w14:cmpd="sng">
                  <w14:solidFill>
                    <w14:srgbClr w14:val="000000"/>
                  </w14:solidFill>
                  <w14:prstDash w14:val="solid"/>
                  <w14:bevel/>
                </w14:textOutline>
              </w:rPr>
              <w:t>序号</w:t>
            </w:r>
          </w:p>
        </w:tc>
        <w:tc>
          <w:tcPr>
            <w:tcW w:w="7995" w:type="dxa"/>
            <w:gridSpan w:val="2"/>
            <w:vAlign w:val="top"/>
          </w:tcPr>
          <w:p w14:paraId="4C014DD1">
            <w:pPr>
              <w:pStyle w:val="14"/>
              <w:spacing w:before="242" w:line="222" w:lineRule="auto"/>
              <w:ind w:left="3555"/>
              <w:rPr>
                <w:sz w:val="22"/>
                <w:szCs w:val="22"/>
              </w:rPr>
            </w:pPr>
            <w:r>
              <w:rPr>
                <w:sz w:val="22"/>
                <w:szCs w:val="22"/>
                <w14:textOutline w14:w="4013" w14:cap="sq" w14:cmpd="sng">
                  <w14:solidFill>
                    <w14:srgbClr w14:val="000000"/>
                  </w14:solidFill>
                  <w14:prstDash w14:val="solid"/>
                  <w14:bevel/>
                </w14:textOutline>
              </w:rPr>
              <w:t>评审内容</w:t>
            </w:r>
          </w:p>
        </w:tc>
        <w:tc>
          <w:tcPr>
            <w:tcW w:w="802" w:type="dxa"/>
            <w:vAlign w:val="top"/>
          </w:tcPr>
          <w:p w14:paraId="23308C37">
            <w:pPr>
              <w:pStyle w:val="14"/>
              <w:spacing w:before="241" w:line="223" w:lineRule="auto"/>
              <w:ind w:left="188"/>
              <w:rPr>
                <w:sz w:val="22"/>
                <w:szCs w:val="22"/>
              </w:rPr>
            </w:pPr>
            <w:r>
              <w:rPr>
                <w:spacing w:val="-5"/>
                <w:sz w:val="22"/>
                <w:szCs w:val="22"/>
                <w14:textOutline w14:w="4013" w14:cap="sq" w14:cmpd="sng">
                  <w14:solidFill>
                    <w14:srgbClr w14:val="000000"/>
                  </w14:solidFill>
                  <w14:prstDash w14:val="solid"/>
                  <w14:bevel/>
                </w14:textOutline>
              </w:rPr>
              <w:t>分值</w:t>
            </w:r>
          </w:p>
        </w:tc>
      </w:tr>
      <w:tr w14:paraId="3A0A06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12" w:hRule="atLeast"/>
        </w:trPr>
        <w:tc>
          <w:tcPr>
            <w:tcW w:w="707" w:type="dxa"/>
            <w:vAlign w:val="top"/>
          </w:tcPr>
          <w:p w14:paraId="29BC27DC">
            <w:pPr>
              <w:spacing w:line="249" w:lineRule="auto"/>
              <w:rPr>
                <w:rFonts w:ascii="Arial"/>
                <w:sz w:val="21"/>
              </w:rPr>
            </w:pPr>
          </w:p>
          <w:p w14:paraId="590A7742">
            <w:pPr>
              <w:spacing w:line="249" w:lineRule="auto"/>
              <w:rPr>
                <w:rFonts w:ascii="Arial"/>
                <w:sz w:val="21"/>
              </w:rPr>
            </w:pPr>
          </w:p>
          <w:p w14:paraId="58650FFA">
            <w:pPr>
              <w:spacing w:line="249" w:lineRule="auto"/>
              <w:rPr>
                <w:rFonts w:ascii="Arial"/>
                <w:sz w:val="21"/>
              </w:rPr>
            </w:pPr>
          </w:p>
          <w:p w14:paraId="5AB64EA1">
            <w:pPr>
              <w:spacing w:line="250" w:lineRule="auto"/>
              <w:rPr>
                <w:rFonts w:ascii="Arial"/>
                <w:sz w:val="21"/>
              </w:rPr>
            </w:pPr>
          </w:p>
          <w:p w14:paraId="36BB6B09">
            <w:pPr>
              <w:spacing w:line="250" w:lineRule="auto"/>
              <w:rPr>
                <w:rFonts w:ascii="Arial"/>
                <w:sz w:val="21"/>
              </w:rPr>
            </w:pPr>
          </w:p>
          <w:p w14:paraId="47557747">
            <w:pPr>
              <w:spacing w:line="250" w:lineRule="auto"/>
              <w:rPr>
                <w:rFonts w:ascii="Arial"/>
                <w:sz w:val="21"/>
              </w:rPr>
            </w:pPr>
          </w:p>
          <w:p w14:paraId="0DB866AE">
            <w:pPr>
              <w:pStyle w:val="14"/>
              <w:spacing w:before="72" w:line="184" w:lineRule="auto"/>
              <w:ind w:left="316"/>
              <w:rPr>
                <w:sz w:val="22"/>
                <w:szCs w:val="22"/>
              </w:rPr>
            </w:pPr>
            <w:r>
              <w:rPr>
                <w:sz w:val="22"/>
                <w:szCs w:val="22"/>
              </w:rPr>
              <w:t>1</w:t>
            </w:r>
          </w:p>
        </w:tc>
        <w:tc>
          <w:tcPr>
            <w:tcW w:w="1449" w:type="dxa"/>
            <w:vAlign w:val="top"/>
          </w:tcPr>
          <w:p w14:paraId="0EFF1310">
            <w:pPr>
              <w:spacing w:line="281" w:lineRule="auto"/>
              <w:rPr>
                <w:rFonts w:ascii="Arial"/>
                <w:sz w:val="21"/>
              </w:rPr>
            </w:pPr>
          </w:p>
          <w:p w14:paraId="6686E6E1">
            <w:pPr>
              <w:spacing w:line="281" w:lineRule="auto"/>
              <w:rPr>
                <w:rFonts w:ascii="Arial"/>
                <w:sz w:val="21"/>
              </w:rPr>
            </w:pPr>
          </w:p>
          <w:p w14:paraId="47EF54E1">
            <w:pPr>
              <w:spacing w:line="281" w:lineRule="auto"/>
              <w:rPr>
                <w:rFonts w:ascii="Arial"/>
                <w:sz w:val="21"/>
              </w:rPr>
            </w:pPr>
          </w:p>
          <w:p w14:paraId="5056CD45">
            <w:pPr>
              <w:spacing w:line="281" w:lineRule="auto"/>
              <w:rPr>
                <w:rFonts w:ascii="Arial"/>
                <w:sz w:val="21"/>
              </w:rPr>
            </w:pPr>
          </w:p>
          <w:p w14:paraId="796EDAE8">
            <w:pPr>
              <w:spacing w:line="282" w:lineRule="auto"/>
              <w:rPr>
                <w:rFonts w:ascii="Arial"/>
                <w:sz w:val="21"/>
              </w:rPr>
            </w:pPr>
          </w:p>
          <w:p w14:paraId="56145157">
            <w:pPr>
              <w:pStyle w:val="14"/>
              <w:spacing w:before="71" w:line="401" w:lineRule="exact"/>
              <w:ind w:left="110"/>
              <w:rPr>
                <w:sz w:val="22"/>
                <w:szCs w:val="22"/>
              </w:rPr>
            </w:pPr>
            <w:r>
              <w:rPr>
                <w:spacing w:val="26"/>
                <w:position w:val="13"/>
                <w:sz w:val="22"/>
                <w:szCs w:val="22"/>
              </w:rPr>
              <w:t>施工方案技</w:t>
            </w:r>
          </w:p>
          <w:p w14:paraId="20109262">
            <w:pPr>
              <w:pStyle w:val="14"/>
              <w:spacing w:before="1" w:line="223" w:lineRule="auto"/>
              <w:ind w:left="111"/>
              <w:rPr>
                <w:sz w:val="22"/>
                <w:szCs w:val="22"/>
              </w:rPr>
            </w:pPr>
            <w:r>
              <w:rPr>
                <w:spacing w:val="-1"/>
                <w:sz w:val="22"/>
                <w:szCs w:val="22"/>
              </w:rPr>
              <w:t>术措施</w:t>
            </w:r>
          </w:p>
        </w:tc>
        <w:tc>
          <w:tcPr>
            <w:tcW w:w="6546" w:type="dxa"/>
            <w:vAlign w:val="top"/>
          </w:tcPr>
          <w:p w14:paraId="2E03D8AA">
            <w:pPr>
              <w:pStyle w:val="14"/>
              <w:spacing w:before="30" w:line="234" w:lineRule="auto"/>
              <w:ind w:left="110" w:right="103"/>
              <w:jc w:val="both"/>
              <w:rPr>
                <w:sz w:val="22"/>
                <w:szCs w:val="22"/>
              </w:rPr>
            </w:pPr>
            <w:bookmarkStart w:id="18" w:name="OLE_LINK27"/>
            <w:r>
              <w:rPr>
                <w:spacing w:val="2"/>
                <w:sz w:val="22"/>
                <w:szCs w:val="22"/>
              </w:rPr>
              <w:t>施工方案与技术措施（20分）基本要求：施工方案满</w:t>
            </w:r>
            <w:r>
              <w:rPr>
                <w:spacing w:val="1"/>
                <w:sz w:val="22"/>
                <w:szCs w:val="22"/>
              </w:rPr>
              <w:t>足本工程进</w:t>
            </w:r>
            <w:r>
              <w:rPr>
                <w:spacing w:val="6"/>
                <w:sz w:val="22"/>
                <w:szCs w:val="22"/>
              </w:rPr>
              <w:t>度及管理需要，技术措施满足本项目的实际特点，满</w:t>
            </w:r>
            <w:r>
              <w:rPr>
                <w:spacing w:val="5"/>
                <w:sz w:val="22"/>
                <w:szCs w:val="22"/>
              </w:rPr>
              <w:t>足现行国家</w:t>
            </w:r>
            <w:r>
              <w:rPr>
                <w:spacing w:val="2"/>
                <w:sz w:val="22"/>
                <w:szCs w:val="22"/>
              </w:rPr>
              <w:t>施工质量验收规范。磋商小组根据以下评分标准进行评审：</w:t>
            </w:r>
          </w:p>
          <w:p w14:paraId="3A3A0DAB">
            <w:pPr>
              <w:pStyle w:val="14"/>
              <w:spacing w:before="18" w:line="222" w:lineRule="auto"/>
              <w:ind w:left="103"/>
              <w:rPr>
                <w:sz w:val="22"/>
                <w:szCs w:val="22"/>
              </w:rPr>
            </w:pPr>
            <w:r>
              <w:rPr>
                <w:spacing w:val="2"/>
                <w:sz w:val="22"/>
                <w:szCs w:val="22"/>
              </w:rPr>
              <w:t>《施工方案与技术措施》要求包括但不限于以下要素：</w:t>
            </w:r>
          </w:p>
          <w:p w14:paraId="57B65001">
            <w:pPr>
              <w:pStyle w:val="14"/>
              <w:spacing w:before="20" w:line="227" w:lineRule="auto"/>
              <w:ind w:left="112" w:right="914"/>
              <w:jc w:val="both"/>
              <w:rPr>
                <w:sz w:val="22"/>
                <w:szCs w:val="22"/>
              </w:rPr>
            </w:pPr>
            <w:r>
              <w:rPr>
                <w:sz w:val="22"/>
                <w:szCs w:val="22"/>
              </w:rPr>
              <w:t>①供应商制定有针对各个分部分项工程完整的施工方法；②供应商制定有针对各个分部分项工程完整的施工工艺；</w:t>
            </w:r>
          </w:p>
          <w:p w14:paraId="2305606E">
            <w:pPr>
              <w:pStyle w:val="14"/>
              <w:spacing w:before="30" w:line="227" w:lineRule="auto"/>
              <w:ind w:left="115" w:right="25" w:hanging="3"/>
              <w:rPr>
                <w:sz w:val="22"/>
                <w:szCs w:val="22"/>
              </w:rPr>
            </w:pPr>
            <w:r>
              <w:rPr>
                <w:spacing w:val="1"/>
                <w:sz w:val="22"/>
                <w:szCs w:val="22"/>
              </w:rPr>
              <w:t>③供应商制定有针对本项目的施工安排，有针对</w:t>
            </w:r>
            <w:r>
              <w:rPr>
                <w:sz w:val="22"/>
                <w:szCs w:val="22"/>
              </w:rPr>
              <w:t>性的对施工用电、用水、交通进行部署；</w:t>
            </w:r>
          </w:p>
          <w:p w14:paraId="48C3F1CC">
            <w:pPr>
              <w:pStyle w:val="14"/>
              <w:spacing w:before="31" w:line="230" w:lineRule="auto"/>
              <w:ind w:left="112" w:right="1138"/>
              <w:rPr>
                <w:sz w:val="22"/>
                <w:szCs w:val="22"/>
              </w:rPr>
            </w:pPr>
            <w:r>
              <w:rPr>
                <w:sz w:val="22"/>
                <w:szCs w:val="22"/>
              </w:rPr>
              <w:t>④供应商制定有针对本项目的施工前的准备工作计划；</w:t>
            </w:r>
            <w:r>
              <w:rPr>
                <w:spacing w:val="2"/>
                <w:sz w:val="22"/>
                <w:szCs w:val="22"/>
              </w:rPr>
              <w:t>⑤供应商制定有针对本项目的施工平面布置。</w:t>
            </w:r>
          </w:p>
          <w:p w14:paraId="36BE92FC">
            <w:pPr>
              <w:pStyle w:val="14"/>
              <w:spacing w:before="22" w:line="214" w:lineRule="auto"/>
              <w:ind w:left="112"/>
              <w:rPr>
                <w:sz w:val="22"/>
                <w:szCs w:val="22"/>
              </w:rPr>
            </w:pPr>
            <w:r>
              <w:rPr>
                <w:spacing w:val="2"/>
                <w:sz w:val="22"/>
                <w:szCs w:val="22"/>
              </w:rPr>
              <w:t>完全满足上述要求的得基本分20分，在基本分的基础上</w:t>
            </w:r>
          </w:p>
          <w:p w14:paraId="3BA0C475">
            <w:pPr>
              <w:pStyle w:val="14"/>
              <w:spacing w:before="31" w:line="214" w:lineRule="auto"/>
              <w:ind w:left="115"/>
              <w:rPr>
                <w:sz w:val="22"/>
                <w:szCs w:val="22"/>
              </w:rPr>
            </w:pPr>
            <w:r>
              <w:rPr>
                <w:spacing w:val="1"/>
                <w:sz w:val="22"/>
                <w:szCs w:val="22"/>
              </w:rPr>
              <w:t>其中上述要素要求有一项不足扣2分，缺失的扣4分，扣完为</w:t>
            </w:r>
          </w:p>
          <w:p w14:paraId="10E0ACE3">
            <w:pPr>
              <w:pStyle w:val="14"/>
              <w:spacing w:before="28" w:line="208" w:lineRule="auto"/>
              <w:ind w:left="115"/>
              <w:rPr>
                <w:sz w:val="22"/>
                <w:szCs w:val="22"/>
              </w:rPr>
            </w:pPr>
            <w:r>
              <w:rPr>
                <w:spacing w:val="-6"/>
                <w:sz w:val="22"/>
                <w:szCs w:val="22"/>
              </w:rPr>
              <w:t>止。</w:t>
            </w:r>
            <w:bookmarkEnd w:id="18"/>
          </w:p>
        </w:tc>
        <w:tc>
          <w:tcPr>
            <w:tcW w:w="802" w:type="dxa"/>
            <w:vAlign w:val="top"/>
          </w:tcPr>
          <w:p w14:paraId="05F7F29A">
            <w:pPr>
              <w:spacing w:line="272" w:lineRule="auto"/>
              <w:rPr>
                <w:rFonts w:ascii="Arial"/>
                <w:sz w:val="21"/>
              </w:rPr>
            </w:pPr>
          </w:p>
          <w:p w14:paraId="1EAE6E87">
            <w:pPr>
              <w:spacing w:line="272" w:lineRule="auto"/>
              <w:rPr>
                <w:rFonts w:ascii="Arial"/>
                <w:sz w:val="21"/>
              </w:rPr>
            </w:pPr>
          </w:p>
          <w:p w14:paraId="4DC72C12">
            <w:pPr>
              <w:spacing w:line="272" w:lineRule="auto"/>
              <w:rPr>
                <w:rFonts w:ascii="Arial"/>
                <w:sz w:val="21"/>
              </w:rPr>
            </w:pPr>
          </w:p>
          <w:p w14:paraId="1F213DDC">
            <w:pPr>
              <w:spacing w:line="272" w:lineRule="auto"/>
              <w:rPr>
                <w:rFonts w:ascii="Arial"/>
                <w:sz w:val="21"/>
              </w:rPr>
            </w:pPr>
          </w:p>
          <w:p w14:paraId="35ABA7CA">
            <w:pPr>
              <w:spacing w:line="272" w:lineRule="auto"/>
              <w:rPr>
                <w:rFonts w:ascii="Arial"/>
                <w:sz w:val="21"/>
              </w:rPr>
            </w:pPr>
          </w:p>
          <w:p w14:paraId="2EE40CF0">
            <w:pPr>
              <w:spacing w:line="272" w:lineRule="auto"/>
              <w:rPr>
                <w:rFonts w:ascii="Arial"/>
                <w:sz w:val="21"/>
              </w:rPr>
            </w:pPr>
          </w:p>
          <w:p w14:paraId="214C1191">
            <w:pPr>
              <w:pStyle w:val="14"/>
              <w:spacing w:before="72" w:line="223" w:lineRule="auto"/>
              <w:ind w:left="155"/>
              <w:rPr>
                <w:sz w:val="22"/>
                <w:szCs w:val="22"/>
              </w:rPr>
            </w:pPr>
            <w:r>
              <w:rPr>
                <w:spacing w:val="-2"/>
                <w:sz w:val="22"/>
                <w:szCs w:val="22"/>
              </w:rPr>
              <w:t>20分</w:t>
            </w:r>
          </w:p>
        </w:tc>
      </w:tr>
      <w:tr w14:paraId="59974D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28" w:hRule="atLeast"/>
        </w:trPr>
        <w:tc>
          <w:tcPr>
            <w:tcW w:w="707" w:type="dxa"/>
            <w:vAlign w:val="top"/>
          </w:tcPr>
          <w:p w14:paraId="7D317960">
            <w:pPr>
              <w:spacing w:line="254" w:lineRule="auto"/>
              <w:rPr>
                <w:rFonts w:ascii="Arial"/>
                <w:sz w:val="21"/>
              </w:rPr>
            </w:pPr>
          </w:p>
          <w:p w14:paraId="086C703F">
            <w:pPr>
              <w:spacing w:line="254" w:lineRule="auto"/>
              <w:rPr>
                <w:rFonts w:ascii="Arial"/>
                <w:sz w:val="21"/>
              </w:rPr>
            </w:pPr>
          </w:p>
          <w:p w14:paraId="6BEB192B">
            <w:pPr>
              <w:spacing w:line="254" w:lineRule="auto"/>
              <w:rPr>
                <w:rFonts w:ascii="Arial"/>
                <w:sz w:val="21"/>
              </w:rPr>
            </w:pPr>
          </w:p>
          <w:p w14:paraId="3217CE23">
            <w:pPr>
              <w:spacing w:line="254" w:lineRule="auto"/>
              <w:rPr>
                <w:rFonts w:ascii="Arial"/>
                <w:sz w:val="21"/>
              </w:rPr>
            </w:pPr>
          </w:p>
          <w:p w14:paraId="70975C16">
            <w:pPr>
              <w:spacing w:line="254" w:lineRule="auto"/>
              <w:rPr>
                <w:rFonts w:ascii="Arial"/>
                <w:sz w:val="21"/>
              </w:rPr>
            </w:pPr>
          </w:p>
          <w:p w14:paraId="33EE1729">
            <w:pPr>
              <w:spacing w:line="254" w:lineRule="auto"/>
              <w:rPr>
                <w:rFonts w:ascii="Arial"/>
                <w:sz w:val="21"/>
              </w:rPr>
            </w:pPr>
          </w:p>
          <w:p w14:paraId="0CEEFCA5">
            <w:pPr>
              <w:pStyle w:val="14"/>
              <w:spacing w:before="72" w:line="186" w:lineRule="auto"/>
              <w:ind w:left="303"/>
              <w:rPr>
                <w:sz w:val="22"/>
                <w:szCs w:val="22"/>
              </w:rPr>
            </w:pPr>
            <w:r>
              <w:rPr>
                <w:sz w:val="22"/>
                <w:szCs w:val="22"/>
              </w:rPr>
              <w:t>2</w:t>
            </w:r>
          </w:p>
        </w:tc>
        <w:tc>
          <w:tcPr>
            <w:tcW w:w="1449" w:type="dxa"/>
            <w:vAlign w:val="top"/>
          </w:tcPr>
          <w:p w14:paraId="48C9AE90">
            <w:pPr>
              <w:spacing w:line="253" w:lineRule="auto"/>
              <w:rPr>
                <w:rFonts w:ascii="Arial"/>
                <w:sz w:val="21"/>
              </w:rPr>
            </w:pPr>
          </w:p>
          <w:p w14:paraId="4A647446">
            <w:pPr>
              <w:spacing w:line="253" w:lineRule="auto"/>
              <w:rPr>
                <w:rFonts w:ascii="Arial"/>
                <w:sz w:val="21"/>
              </w:rPr>
            </w:pPr>
          </w:p>
          <w:p w14:paraId="3DE7306F">
            <w:pPr>
              <w:spacing w:line="253" w:lineRule="auto"/>
              <w:rPr>
                <w:rFonts w:ascii="Arial"/>
                <w:sz w:val="21"/>
              </w:rPr>
            </w:pPr>
          </w:p>
          <w:p w14:paraId="123F27B0">
            <w:pPr>
              <w:spacing w:line="253" w:lineRule="auto"/>
              <w:rPr>
                <w:rFonts w:ascii="Arial"/>
                <w:sz w:val="21"/>
              </w:rPr>
            </w:pPr>
          </w:p>
          <w:p w14:paraId="088C6DEF">
            <w:pPr>
              <w:spacing w:line="254" w:lineRule="auto"/>
              <w:rPr>
                <w:rFonts w:ascii="Arial"/>
                <w:sz w:val="21"/>
              </w:rPr>
            </w:pPr>
          </w:p>
          <w:p w14:paraId="3F2AC64C">
            <w:pPr>
              <w:pStyle w:val="14"/>
              <w:spacing w:before="71" w:line="401" w:lineRule="exact"/>
              <w:ind w:left="113"/>
              <w:rPr>
                <w:sz w:val="22"/>
                <w:szCs w:val="22"/>
              </w:rPr>
            </w:pPr>
            <w:r>
              <w:rPr>
                <w:spacing w:val="25"/>
                <w:position w:val="13"/>
                <w:sz w:val="22"/>
                <w:szCs w:val="22"/>
              </w:rPr>
              <w:t>质量管理体</w:t>
            </w:r>
          </w:p>
          <w:p w14:paraId="71866898">
            <w:pPr>
              <w:pStyle w:val="14"/>
              <w:spacing w:before="1" w:line="223" w:lineRule="auto"/>
              <w:ind w:left="116"/>
              <w:rPr>
                <w:sz w:val="22"/>
                <w:szCs w:val="22"/>
              </w:rPr>
            </w:pPr>
            <w:r>
              <w:rPr>
                <w:spacing w:val="-2"/>
                <w:sz w:val="22"/>
                <w:szCs w:val="22"/>
              </w:rPr>
              <w:t>系与措施</w:t>
            </w:r>
          </w:p>
        </w:tc>
        <w:tc>
          <w:tcPr>
            <w:tcW w:w="6546" w:type="dxa"/>
            <w:vAlign w:val="top"/>
          </w:tcPr>
          <w:p w14:paraId="12D67443">
            <w:pPr>
              <w:pStyle w:val="14"/>
              <w:spacing w:before="34" w:line="233" w:lineRule="auto"/>
              <w:ind w:left="110" w:right="105" w:firstLine="3"/>
              <w:jc w:val="both"/>
              <w:rPr>
                <w:sz w:val="22"/>
                <w:szCs w:val="22"/>
              </w:rPr>
            </w:pPr>
            <w:bookmarkStart w:id="19" w:name="OLE_LINK28"/>
            <w:r>
              <w:rPr>
                <w:spacing w:val="2"/>
                <w:sz w:val="22"/>
                <w:szCs w:val="22"/>
              </w:rPr>
              <w:t>质量管理体系与措施（10分）基本要求：</w:t>
            </w:r>
            <w:r>
              <w:rPr>
                <w:spacing w:val="1"/>
                <w:sz w:val="22"/>
                <w:szCs w:val="22"/>
              </w:rPr>
              <w:t>质量管理体系健全，措</w:t>
            </w:r>
            <w:r>
              <w:rPr>
                <w:spacing w:val="6"/>
                <w:sz w:val="22"/>
                <w:szCs w:val="22"/>
              </w:rPr>
              <w:t>施对实现质量目标有针对性。磋商小组根据以下评分</w:t>
            </w:r>
            <w:r>
              <w:rPr>
                <w:spacing w:val="5"/>
                <w:sz w:val="22"/>
                <w:szCs w:val="22"/>
              </w:rPr>
              <w:t>标准进行评</w:t>
            </w:r>
            <w:r>
              <w:rPr>
                <w:spacing w:val="2"/>
                <w:sz w:val="22"/>
                <w:szCs w:val="22"/>
              </w:rPr>
              <w:t>审：《质量管理体系与措施》包括但不限于以下要素：</w:t>
            </w:r>
          </w:p>
          <w:p w14:paraId="5844E9B5">
            <w:pPr>
              <w:pStyle w:val="14"/>
              <w:spacing w:before="20" w:line="227" w:lineRule="auto"/>
              <w:ind w:left="112" w:right="468"/>
              <w:rPr>
                <w:sz w:val="22"/>
                <w:szCs w:val="22"/>
              </w:rPr>
            </w:pPr>
            <w:r>
              <w:rPr>
                <w:sz w:val="22"/>
                <w:szCs w:val="22"/>
              </w:rPr>
              <w:t>①供应商制定有针对本项目的确保工程质量的技术组织措施；</w:t>
            </w:r>
            <w:r>
              <w:rPr>
                <w:spacing w:val="2"/>
                <w:sz w:val="22"/>
                <w:szCs w:val="22"/>
              </w:rPr>
              <w:t>②供应商制定有针对本项目的质量保证体系；</w:t>
            </w:r>
          </w:p>
          <w:p w14:paraId="4DDBE334">
            <w:pPr>
              <w:pStyle w:val="14"/>
              <w:spacing w:before="30" w:line="227" w:lineRule="auto"/>
              <w:ind w:left="110" w:right="105" w:firstLine="1"/>
              <w:rPr>
                <w:sz w:val="22"/>
                <w:szCs w:val="22"/>
              </w:rPr>
            </w:pPr>
            <w:r>
              <w:rPr>
                <w:spacing w:val="6"/>
                <w:sz w:val="22"/>
                <w:szCs w:val="22"/>
              </w:rPr>
              <w:t>③供应商制定有针对本项目的针对质量目标及质</w:t>
            </w:r>
            <w:r>
              <w:rPr>
                <w:spacing w:val="5"/>
                <w:sz w:val="22"/>
                <w:szCs w:val="22"/>
              </w:rPr>
              <w:t>量控制的保证措</w:t>
            </w:r>
            <w:r>
              <w:rPr>
                <w:spacing w:val="-3"/>
                <w:sz w:val="22"/>
                <w:szCs w:val="22"/>
              </w:rPr>
              <w:t>施；</w:t>
            </w:r>
          </w:p>
          <w:p w14:paraId="0E51BEFD">
            <w:pPr>
              <w:pStyle w:val="14"/>
              <w:spacing w:before="30" w:line="238" w:lineRule="auto"/>
              <w:ind w:left="112"/>
              <w:rPr>
                <w:sz w:val="22"/>
                <w:szCs w:val="22"/>
              </w:rPr>
            </w:pPr>
            <w:r>
              <w:rPr>
                <w:spacing w:val="2"/>
                <w:sz w:val="22"/>
                <w:szCs w:val="22"/>
              </w:rPr>
              <w:t>④供应商制定有针对本项目的质量管理制度；</w:t>
            </w:r>
          </w:p>
          <w:p w14:paraId="42584B01">
            <w:pPr>
              <w:pStyle w:val="14"/>
              <w:spacing w:before="1" w:line="220" w:lineRule="auto"/>
              <w:ind w:left="112"/>
              <w:rPr>
                <w:sz w:val="22"/>
                <w:szCs w:val="22"/>
              </w:rPr>
            </w:pPr>
            <w:r>
              <w:rPr>
                <w:spacing w:val="2"/>
                <w:sz w:val="22"/>
                <w:szCs w:val="22"/>
              </w:rPr>
              <w:t>⑤供应商制定有针对本项目的质量检查制度。</w:t>
            </w:r>
          </w:p>
          <w:p w14:paraId="517DDBDE">
            <w:pPr>
              <w:pStyle w:val="14"/>
              <w:spacing w:before="22" w:line="214" w:lineRule="auto"/>
              <w:ind w:left="112"/>
              <w:rPr>
                <w:sz w:val="22"/>
                <w:szCs w:val="22"/>
              </w:rPr>
            </w:pPr>
            <w:r>
              <w:rPr>
                <w:spacing w:val="2"/>
                <w:sz w:val="22"/>
                <w:szCs w:val="22"/>
              </w:rPr>
              <w:t>完全满足上述要求的得基本分10分，在基本分的基础上</w:t>
            </w:r>
          </w:p>
          <w:p w14:paraId="27C55726">
            <w:pPr>
              <w:pStyle w:val="14"/>
              <w:spacing w:before="31" w:line="214" w:lineRule="auto"/>
              <w:ind w:left="115"/>
              <w:rPr>
                <w:sz w:val="22"/>
                <w:szCs w:val="22"/>
              </w:rPr>
            </w:pPr>
            <w:r>
              <w:rPr>
                <w:spacing w:val="2"/>
                <w:sz w:val="22"/>
                <w:szCs w:val="22"/>
              </w:rPr>
              <w:t>其中上述要素要求有一项不足扣1分，缺失的扣2分，扣完为</w:t>
            </w:r>
          </w:p>
          <w:p w14:paraId="1C450F93">
            <w:pPr>
              <w:pStyle w:val="14"/>
              <w:spacing w:before="30" w:line="207" w:lineRule="auto"/>
              <w:ind w:left="115"/>
              <w:rPr>
                <w:sz w:val="22"/>
                <w:szCs w:val="22"/>
              </w:rPr>
            </w:pPr>
            <w:r>
              <w:rPr>
                <w:spacing w:val="-6"/>
                <w:sz w:val="22"/>
                <w:szCs w:val="22"/>
              </w:rPr>
              <w:t>止。</w:t>
            </w:r>
            <w:bookmarkEnd w:id="19"/>
          </w:p>
        </w:tc>
        <w:tc>
          <w:tcPr>
            <w:tcW w:w="802" w:type="dxa"/>
            <w:vAlign w:val="top"/>
          </w:tcPr>
          <w:p w14:paraId="0D50BFFC">
            <w:pPr>
              <w:spacing w:line="248" w:lineRule="auto"/>
              <w:rPr>
                <w:rFonts w:ascii="Arial"/>
                <w:sz w:val="21"/>
              </w:rPr>
            </w:pPr>
          </w:p>
          <w:p w14:paraId="1F5288EA">
            <w:pPr>
              <w:spacing w:line="248" w:lineRule="auto"/>
              <w:rPr>
                <w:rFonts w:ascii="Arial"/>
                <w:sz w:val="21"/>
              </w:rPr>
            </w:pPr>
          </w:p>
          <w:p w14:paraId="35DC7AB2">
            <w:pPr>
              <w:spacing w:line="249" w:lineRule="auto"/>
              <w:rPr>
                <w:rFonts w:ascii="Arial"/>
                <w:sz w:val="21"/>
              </w:rPr>
            </w:pPr>
          </w:p>
          <w:p w14:paraId="191265F6">
            <w:pPr>
              <w:spacing w:line="249" w:lineRule="auto"/>
              <w:rPr>
                <w:rFonts w:ascii="Arial"/>
                <w:sz w:val="21"/>
              </w:rPr>
            </w:pPr>
          </w:p>
          <w:p w14:paraId="6C232F41">
            <w:pPr>
              <w:spacing w:line="249" w:lineRule="auto"/>
              <w:rPr>
                <w:rFonts w:ascii="Arial"/>
                <w:sz w:val="21"/>
              </w:rPr>
            </w:pPr>
          </w:p>
          <w:p w14:paraId="544A892F">
            <w:pPr>
              <w:spacing w:line="249" w:lineRule="auto"/>
              <w:rPr>
                <w:rFonts w:ascii="Arial"/>
                <w:sz w:val="21"/>
              </w:rPr>
            </w:pPr>
          </w:p>
          <w:p w14:paraId="31A40B31">
            <w:pPr>
              <w:pStyle w:val="14"/>
              <w:spacing w:before="72" w:line="223" w:lineRule="auto"/>
              <w:ind w:left="168"/>
              <w:rPr>
                <w:sz w:val="22"/>
                <w:szCs w:val="22"/>
              </w:rPr>
            </w:pPr>
            <w:r>
              <w:rPr>
                <w:spacing w:val="-7"/>
                <w:sz w:val="22"/>
                <w:szCs w:val="22"/>
              </w:rPr>
              <w:t>10分</w:t>
            </w:r>
          </w:p>
        </w:tc>
      </w:tr>
      <w:tr w14:paraId="6BD623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29" w:hRule="atLeast"/>
        </w:trPr>
        <w:tc>
          <w:tcPr>
            <w:tcW w:w="707" w:type="dxa"/>
            <w:vAlign w:val="top"/>
          </w:tcPr>
          <w:p w14:paraId="3B5723EB">
            <w:pPr>
              <w:spacing w:line="254" w:lineRule="auto"/>
              <w:rPr>
                <w:rFonts w:ascii="Arial"/>
                <w:sz w:val="21"/>
              </w:rPr>
            </w:pPr>
          </w:p>
          <w:p w14:paraId="0F868264">
            <w:pPr>
              <w:spacing w:line="254" w:lineRule="auto"/>
              <w:rPr>
                <w:rFonts w:ascii="Arial"/>
                <w:sz w:val="21"/>
              </w:rPr>
            </w:pPr>
          </w:p>
          <w:p w14:paraId="4CE5F5B3">
            <w:pPr>
              <w:spacing w:line="254" w:lineRule="auto"/>
              <w:rPr>
                <w:rFonts w:ascii="Arial"/>
                <w:sz w:val="21"/>
              </w:rPr>
            </w:pPr>
          </w:p>
          <w:p w14:paraId="50C3E38F">
            <w:pPr>
              <w:spacing w:line="254" w:lineRule="auto"/>
              <w:rPr>
                <w:rFonts w:ascii="Arial"/>
                <w:sz w:val="21"/>
              </w:rPr>
            </w:pPr>
          </w:p>
          <w:p w14:paraId="67BB61E9">
            <w:pPr>
              <w:spacing w:line="254" w:lineRule="auto"/>
              <w:rPr>
                <w:rFonts w:ascii="Arial"/>
                <w:sz w:val="21"/>
              </w:rPr>
            </w:pPr>
          </w:p>
          <w:p w14:paraId="4726D551">
            <w:pPr>
              <w:spacing w:line="255" w:lineRule="auto"/>
              <w:rPr>
                <w:rFonts w:ascii="Arial"/>
                <w:sz w:val="21"/>
              </w:rPr>
            </w:pPr>
          </w:p>
          <w:p w14:paraId="2A583200">
            <w:pPr>
              <w:pStyle w:val="14"/>
              <w:spacing w:before="72" w:line="186" w:lineRule="auto"/>
              <w:ind w:left="305"/>
              <w:rPr>
                <w:sz w:val="22"/>
                <w:szCs w:val="22"/>
              </w:rPr>
            </w:pPr>
            <w:r>
              <w:rPr>
                <w:sz w:val="22"/>
                <w:szCs w:val="22"/>
              </w:rPr>
              <w:t>3</w:t>
            </w:r>
          </w:p>
        </w:tc>
        <w:tc>
          <w:tcPr>
            <w:tcW w:w="1449" w:type="dxa"/>
            <w:vAlign w:val="top"/>
          </w:tcPr>
          <w:p w14:paraId="4A63DF1A">
            <w:pPr>
              <w:spacing w:line="271" w:lineRule="auto"/>
              <w:rPr>
                <w:rFonts w:ascii="Arial"/>
                <w:sz w:val="21"/>
              </w:rPr>
            </w:pPr>
          </w:p>
          <w:p w14:paraId="6690E1CE">
            <w:pPr>
              <w:spacing w:line="271" w:lineRule="auto"/>
              <w:rPr>
                <w:rFonts w:ascii="Arial"/>
                <w:sz w:val="21"/>
              </w:rPr>
            </w:pPr>
          </w:p>
          <w:p w14:paraId="7C7A830C">
            <w:pPr>
              <w:spacing w:line="272" w:lineRule="auto"/>
              <w:rPr>
                <w:rFonts w:ascii="Arial"/>
                <w:sz w:val="21"/>
              </w:rPr>
            </w:pPr>
          </w:p>
          <w:p w14:paraId="0C1C3C06">
            <w:pPr>
              <w:spacing w:line="272" w:lineRule="auto"/>
              <w:rPr>
                <w:rFonts w:ascii="Arial"/>
                <w:sz w:val="21"/>
              </w:rPr>
            </w:pPr>
          </w:p>
          <w:p w14:paraId="44FA3AAF">
            <w:pPr>
              <w:spacing w:line="272" w:lineRule="auto"/>
              <w:rPr>
                <w:rFonts w:ascii="Arial"/>
                <w:sz w:val="21"/>
              </w:rPr>
            </w:pPr>
          </w:p>
          <w:p w14:paraId="30C72C7F">
            <w:pPr>
              <w:pStyle w:val="14"/>
              <w:spacing w:before="71" w:line="439" w:lineRule="exact"/>
              <w:ind w:left="120"/>
              <w:rPr>
                <w:sz w:val="22"/>
                <w:szCs w:val="22"/>
              </w:rPr>
            </w:pPr>
            <w:r>
              <w:rPr>
                <w:spacing w:val="-2"/>
                <w:position w:val="16"/>
                <w:sz w:val="22"/>
                <w:szCs w:val="22"/>
              </w:rPr>
              <w:t>安全管理体</w:t>
            </w:r>
          </w:p>
          <w:p w14:paraId="4AA99D06">
            <w:pPr>
              <w:pStyle w:val="14"/>
              <w:spacing w:before="1" w:line="223" w:lineRule="auto"/>
              <w:ind w:left="116"/>
              <w:rPr>
                <w:sz w:val="22"/>
                <w:szCs w:val="22"/>
              </w:rPr>
            </w:pPr>
            <w:r>
              <w:rPr>
                <w:spacing w:val="-2"/>
                <w:sz w:val="22"/>
                <w:szCs w:val="22"/>
              </w:rPr>
              <w:t>系与措施</w:t>
            </w:r>
          </w:p>
        </w:tc>
        <w:tc>
          <w:tcPr>
            <w:tcW w:w="6546" w:type="dxa"/>
            <w:vAlign w:val="top"/>
          </w:tcPr>
          <w:p w14:paraId="2EBABA3B">
            <w:pPr>
              <w:pStyle w:val="14"/>
              <w:spacing w:before="34" w:line="235" w:lineRule="auto"/>
              <w:ind w:left="112" w:right="105" w:firstLine="8"/>
              <w:jc w:val="both"/>
              <w:rPr>
                <w:sz w:val="22"/>
                <w:szCs w:val="22"/>
              </w:rPr>
            </w:pPr>
            <w:bookmarkStart w:id="20" w:name="OLE_LINK29"/>
            <w:r>
              <w:rPr>
                <w:spacing w:val="1"/>
                <w:sz w:val="22"/>
                <w:szCs w:val="22"/>
              </w:rPr>
              <w:t>安全管理体系与措施（10分）基本要求：安全管理体系、安全教</w:t>
            </w:r>
            <w:r>
              <w:rPr>
                <w:spacing w:val="6"/>
                <w:sz w:val="22"/>
                <w:szCs w:val="22"/>
              </w:rPr>
              <w:t>育及培训计划健全、安全防护符合国家及地方安</w:t>
            </w:r>
            <w:r>
              <w:rPr>
                <w:spacing w:val="5"/>
                <w:sz w:val="22"/>
                <w:szCs w:val="22"/>
              </w:rPr>
              <w:t>全管理规定。磋</w:t>
            </w:r>
            <w:r>
              <w:rPr>
                <w:spacing w:val="6"/>
                <w:sz w:val="22"/>
                <w:szCs w:val="22"/>
              </w:rPr>
              <w:t>商小组根据以下评分标准进行评审：《安全管理</w:t>
            </w:r>
            <w:r>
              <w:rPr>
                <w:spacing w:val="5"/>
                <w:sz w:val="22"/>
                <w:szCs w:val="22"/>
              </w:rPr>
              <w:t>体系与措施》包</w:t>
            </w:r>
            <w:r>
              <w:rPr>
                <w:spacing w:val="1"/>
                <w:sz w:val="22"/>
                <w:szCs w:val="22"/>
              </w:rPr>
              <w:t>括但不限于以下要素：</w:t>
            </w:r>
          </w:p>
          <w:p w14:paraId="77A65293">
            <w:pPr>
              <w:pStyle w:val="14"/>
              <w:spacing w:before="21" w:line="214" w:lineRule="auto"/>
              <w:ind w:left="112"/>
              <w:rPr>
                <w:sz w:val="22"/>
                <w:szCs w:val="22"/>
              </w:rPr>
            </w:pPr>
            <w:r>
              <w:rPr>
                <w:spacing w:val="2"/>
                <w:sz w:val="22"/>
                <w:szCs w:val="22"/>
              </w:rPr>
              <w:t>①供应商制定有针对本项目的安全管理体系；</w:t>
            </w:r>
          </w:p>
          <w:p w14:paraId="6B799028">
            <w:pPr>
              <w:pStyle w:val="14"/>
              <w:spacing w:before="30" w:line="238" w:lineRule="auto"/>
              <w:ind w:left="112"/>
              <w:rPr>
                <w:sz w:val="22"/>
                <w:szCs w:val="22"/>
              </w:rPr>
            </w:pPr>
            <w:r>
              <w:rPr>
                <w:spacing w:val="2"/>
                <w:sz w:val="22"/>
                <w:szCs w:val="22"/>
              </w:rPr>
              <w:t>②供应商制定有针对本项目的安全教育及培训计划；</w:t>
            </w:r>
          </w:p>
          <w:p w14:paraId="06F46238">
            <w:pPr>
              <w:pStyle w:val="14"/>
              <w:spacing w:line="213" w:lineRule="auto"/>
              <w:ind w:left="112"/>
              <w:rPr>
                <w:sz w:val="22"/>
                <w:szCs w:val="22"/>
              </w:rPr>
            </w:pPr>
            <w:r>
              <w:rPr>
                <w:spacing w:val="2"/>
                <w:sz w:val="22"/>
                <w:szCs w:val="22"/>
              </w:rPr>
              <w:t>③供应商制定有针对本项目的安全技术措施；</w:t>
            </w:r>
          </w:p>
          <w:p w14:paraId="704F5E20">
            <w:pPr>
              <w:pStyle w:val="14"/>
              <w:spacing w:before="33" w:line="214" w:lineRule="auto"/>
              <w:ind w:left="112"/>
              <w:rPr>
                <w:sz w:val="22"/>
                <w:szCs w:val="22"/>
              </w:rPr>
            </w:pPr>
            <w:r>
              <w:rPr>
                <w:spacing w:val="2"/>
                <w:sz w:val="22"/>
                <w:szCs w:val="22"/>
              </w:rPr>
              <w:t>④供应商制定有针对本项目的安全应急预案；</w:t>
            </w:r>
          </w:p>
          <w:p w14:paraId="06FD5EA5">
            <w:pPr>
              <w:pStyle w:val="14"/>
              <w:spacing w:before="28" w:line="227" w:lineRule="auto"/>
              <w:ind w:left="115" w:right="105" w:hanging="3"/>
              <w:rPr>
                <w:sz w:val="22"/>
                <w:szCs w:val="22"/>
              </w:rPr>
            </w:pPr>
            <w:r>
              <w:rPr>
                <w:spacing w:val="6"/>
                <w:sz w:val="22"/>
                <w:szCs w:val="22"/>
              </w:rPr>
              <w:t>⑤供应商制定有针对本项目的安全目标控制保障</w:t>
            </w:r>
            <w:r>
              <w:rPr>
                <w:spacing w:val="5"/>
                <w:sz w:val="22"/>
                <w:szCs w:val="22"/>
              </w:rPr>
              <w:t>措施。完全满足</w:t>
            </w:r>
            <w:r>
              <w:rPr>
                <w:spacing w:val="1"/>
                <w:sz w:val="22"/>
                <w:szCs w:val="22"/>
              </w:rPr>
              <w:t>上述要求的得基本分10分，在基本分的基础上</w:t>
            </w:r>
          </w:p>
          <w:p w14:paraId="19FBD628">
            <w:pPr>
              <w:pStyle w:val="14"/>
              <w:spacing w:before="30" w:line="223" w:lineRule="auto"/>
              <w:ind w:left="111" w:right="923" w:firstLine="3"/>
              <w:rPr>
                <w:sz w:val="22"/>
                <w:szCs w:val="22"/>
              </w:rPr>
            </w:pPr>
            <w:r>
              <w:rPr>
                <w:spacing w:val="-1"/>
                <w:sz w:val="22"/>
                <w:szCs w:val="22"/>
              </w:rPr>
              <w:t>其中上述要素要求有一项不足扣1分，缺失的扣2分，</w:t>
            </w:r>
            <w:r>
              <w:rPr>
                <w:sz w:val="22"/>
                <w:szCs w:val="22"/>
              </w:rPr>
              <w:t>扣完为止。</w:t>
            </w:r>
            <w:bookmarkEnd w:id="20"/>
          </w:p>
        </w:tc>
        <w:tc>
          <w:tcPr>
            <w:tcW w:w="802" w:type="dxa"/>
            <w:vAlign w:val="top"/>
          </w:tcPr>
          <w:p w14:paraId="28395B9E">
            <w:pPr>
              <w:spacing w:line="253" w:lineRule="auto"/>
              <w:rPr>
                <w:rFonts w:ascii="Arial"/>
                <w:sz w:val="21"/>
              </w:rPr>
            </w:pPr>
          </w:p>
          <w:p w14:paraId="7D9BF7B1">
            <w:pPr>
              <w:spacing w:line="253" w:lineRule="auto"/>
              <w:rPr>
                <w:rFonts w:ascii="Arial"/>
                <w:sz w:val="21"/>
              </w:rPr>
            </w:pPr>
          </w:p>
          <w:p w14:paraId="1702DB2A">
            <w:pPr>
              <w:spacing w:line="254" w:lineRule="auto"/>
              <w:rPr>
                <w:rFonts w:ascii="Arial"/>
                <w:sz w:val="21"/>
              </w:rPr>
            </w:pPr>
          </w:p>
          <w:p w14:paraId="096CD649">
            <w:pPr>
              <w:spacing w:line="254" w:lineRule="auto"/>
              <w:rPr>
                <w:rFonts w:ascii="Arial"/>
                <w:sz w:val="21"/>
              </w:rPr>
            </w:pPr>
          </w:p>
          <w:p w14:paraId="072F449D">
            <w:pPr>
              <w:spacing w:line="254" w:lineRule="auto"/>
              <w:rPr>
                <w:rFonts w:ascii="Arial"/>
                <w:sz w:val="21"/>
              </w:rPr>
            </w:pPr>
          </w:p>
          <w:p w14:paraId="7603F564">
            <w:pPr>
              <w:spacing w:line="254" w:lineRule="auto"/>
              <w:rPr>
                <w:rFonts w:ascii="Arial"/>
                <w:sz w:val="21"/>
              </w:rPr>
            </w:pPr>
          </w:p>
          <w:p w14:paraId="7F3E353F">
            <w:pPr>
              <w:pStyle w:val="14"/>
              <w:spacing w:before="72" w:line="223" w:lineRule="auto"/>
              <w:ind w:left="168"/>
              <w:rPr>
                <w:sz w:val="22"/>
                <w:szCs w:val="22"/>
              </w:rPr>
            </w:pPr>
            <w:r>
              <w:rPr>
                <w:spacing w:val="-7"/>
                <w:sz w:val="22"/>
                <w:szCs w:val="22"/>
              </w:rPr>
              <w:t>10分</w:t>
            </w:r>
          </w:p>
        </w:tc>
      </w:tr>
    </w:tbl>
    <w:p w14:paraId="55C2B983">
      <w:pPr>
        <w:pStyle w:val="5"/>
      </w:pPr>
    </w:p>
    <w:p w14:paraId="4AB12FA5">
      <w:pPr>
        <w:sectPr>
          <w:footerReference r:id="rId22" w:type="default"/>
          <w:pgSz w:w="11906" w:h="16839"/>
          <w:pgMar w:top="1431" w:right="1198" w:bottom="1012" w:left="1198" w:header="0" w:footer="850" w:gutter="0"/>
          <w:cols w:space="720" w:num="1"/>
        </w:sectPr>
      </w:pPr>
    </w:p>
    <w:tbl>
      <w:tblPr>
        <w:tblStyle w:val="13"/>
        <w:tblW w:w="95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7"/>
        <w:gridCol w:w="1449"/>
        <w:gridCol w:w="6546"/>
        <w:gridCol w:w="802"/>
      </w:tblGrid>
      <w:tr w14:paraId="33459B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33" w:hRule="atLeast"/>
        </w:trPr>
        <w:tc>
          <w:tcPr>
            <w:tcW w:w="707" w:type="dxa"/>
            <w:vAlign w:val="top"/>
          </w:tcPr>
          <w:p w14:paraId="0B563929">
            <w:pPr>
              <w:spacing w:line="247" w:lineRule="auto"/>
              <w:rPr>
                <w:rFonts w:ascii="Arial"/>
                <w:sz w:val="21"/>
              </w:rPr>
            </w:pPr>
          </w:p>
          <w:p w14:paraId="630BB567">
            <w:pPr>
              <w:spacing w:line="247" w:lineRule="auto"/>
              <w:rPr>
                <w:rFonts w:ascii="Arial"/>
                <w:sz w:val="21"/>
              </w:rPr>
            </w:pPr>
          </w:p>
          <w:p w14:paraId="79D0C563">
            <w:pPr>
              <w:spacing w:line="247" w:lineRule="auto"/>
              <w:rPr>
                <w:rFonts w:ascii="Arial"/>
                <w:sz w:val="21"/>
              </w:rPr>
            </w:pPr>
          </w:p>
          <w:p w14:paraId="3F513D23">
            <w:pPr>
              <w:spacing w:line="247" w:lineRule="auto"/>
              <w:rPr>
                <w:rFonts w:ascii="Arial"/>
                <w:sz w:val="21"/>
              </w:rPr>
            </w:pPr>
          </w:p>
          <w:p w14:paraId="0D4D492F">
            <w:pPr>
              <w:spacing w:line="247" w:lineRule="auto"/>
              <w:rPr>
                <w:rFonts w:ascii="Arial"/>
                <w:sz w:val="21"/>
              </w:rPr>
            </w:pPr>
          </w:p>
          <w:p w14:paraId="376FF1B0">
            <w:pPr>
              <w:spacing w:line="247" w:lineRule="auto"/>
              <w:rPr>
                <w:rFonts w:ascii="Arial"/>
                <w:sz w:val="21"/>
              </w:rPr>
            </w:pPr>
          </w:p>
          <w:p w14:paraId="024E991D">
            <w:pPr>
              <w:pStyle w:val="14"/>
              <w:spacing w:before="71" w:line="184" w:lineRule="auto"/>
              <w:ind w:left="299"/>
              <w:rPr>
                <w:sz w:val="22"/>
                <w:szCs w:val="22"/>
              </w:rPr>
            </w:pPr>
            <w:r>
              <w:rPr>
                <w:sz w:val="22"/>
                <w:szCs w:val="22"/>
              </w:rPr>
              <w:t>4</w:t>
            </w:r>
          </w:p>
        </w:tc>
        <w:tc>
          <w:tcPr>
            <w:tcW w:w="1449" w:type="dxa"/>
            <w:vAlign w:val="top"/>
          </w:tcPr>
          <w:p w14:paraId="0E8185A5">
            <w:pPr>
              <w:spacing w:line="276" w:lineRule="auto"/>
              <w:rPr>
                <w:rFonts w:ascii="Arial"/>
                <w:sz w:val="21"/>
              </w:rPr>
            </w:pPr>
          </w:p>
          <w:p w14:paraId="2CFA1559">
            <w:pPr>
              <w:spacing w:line="277" w:lineRule="auto"/>
              <w:rPr>
                <w:rFonts w:ascii="Arial"/>
                <w:sz w:val="21"/>
              </w:rPr>
            </w:pPr>
          </w:p>
          <w:p w14:paraId="6226E4A8">
            <w:pPr>
              <w:spacing w:line="277" w:lineRule="auto"/>
              <w:rPr>
                <w:rFonts w:ascii="Arial"/>
                <w:sz w:val="21"/>
              </w:rPr>
            </w:pPr>
          </w:p>
          <w:p w14:paraId="3B90C4F1">
            <w:pPr>
              <w:spacing w:line="277" w:lineRule="auto"/>
              <w:rPr>
                <w:rFonts w:ascii="Arial"/>
                <w:sz w:val="21"/>
              </w:rPr>
            </w:pPr>
          </w:p>
          <w:p w14:paraId="066A0809">
            <w:pPr>
              <w:pStyle w:val="14"/>
              <w:spacing w:before="71" w:line="222" w:lineRule="auto"/>
              <w:ind w:left="172"/>
              <w:rPr>
                <w:sz w:val="22"/>
                <w:szCs w:val="22"/>
              </w:rPr>
            </w:pPr>
            <w:r>
              <w:rPr>
                <w:sz w:val="22"/>
                <w:szCs w:val="22"/>
              </w:rPr>
              <w:t>环境保护管</w:t>
            </w:r>
          </w:p>
          <w:p w14:paraId="18E4B79A">
            <w:pPr>
              <w:pStyle w:val="14"/>
              <w:spacing w:before="77" w:line="224" w:lineRule="auto"/>
              <w:ind w:left="171"/>
              <w:rPr>
                <w:sz w:val="22"/>
                <w:szCs w:val="22"/>
              </w:rPr>
            </w:pPr>
            <w:r>
              <w:rPr>
                <w:sz w:val="22"/>
                <w:szCs w:val="22"/>
              </w:rPr>
              <w:t>理体系与措</w:t>
            </w:r>
          </w:p>
          <w:p w14:paraId="095BEEC3">
            <w:pPr>
              <w:pStyle w:val="14"/>
              <w:spacing w:before="73" w:line="227" w:lineRule="auto"/>
              <w:ind w:left="616"/>
              <w:rPr>
                <w:sz w:val="22"/>
                <w:szCs w:val="22"/>
              </w:rPr>
            </w:pPr>
            <w:r>
              <w:rPr>
                <w:sz w:val="22"/>
                <w:szCs w:val="22"/>
              </w:rPr>
              <w:t>施</w:t>
            </w:r>
          </w:p>
        </w:tc>
        <w:tc>
          <w:tcPr>
            <w:tcW w:w="6546" w:type="dxa"/>
            <w:vAlign w:val="top"/>
          </w:tcPr>
          <w:p w14:paraId="07A012A3">
            <w:pPr>
              <w:pStyle w:val="14"/>
              <w:spacing w:before="127" w:line="234" w:lineRule="auto"/>
              <w:ind w:left="111" w:right="105"/>
              <w:jc w:val="both"/>
              <w:rPr>
                <w:sz w:val="22"/>
                <w:szCs w:val="22"/>
              </w:rPr>
            </w:pPr>
            <w:bookmarkStart w:id="21" w:name="OLE_LINK30"/>
            <w:r>
              <w:rPr>
                <w:spacing w:val="2"/>
                <w:sz w:val="22"/>
                <w:szCs w:val="22"/>
              </w:rPr>
              <w:t>环境保护管理体系与措施（5分)基本要求：</w:t>
            </w:r>
            <w:r>
              <w:rPr>
                <w:spacing w:val="1"/>
                <w:sz w:val="22"/>
                <w:szCs w:val="22"/>
              </w:rPr>
              <w:t>环境保护管理体系健</w:t>
            </w:r>
            <w:r>
              <w:rPr>
                <w:spacing w:val="6"/>
                <w:sz w:val="22"/>
                <w:szCs w:val="22"/>
              </w:rPr>
              <w:t>全、污染物处理及排放符合国家及地方环境保护标</w:t>
            </w:r>
            <w:r>
              <w:rPr>
                <w:spacing w:val="5"/>
                <w:sz w:val="22"/>
                <w:szCs w:val="22"/>
              </w:rPr>
              <w:t>准，技术及管</w:t>
            </w:r>
            <w:r>
              <w:rPr>
                <w:spacing w:val="2"/>
                <w:sz w:val="22"/>
                <w:szCs w:val="22"/>
              </w:rPr>
              <w:t>理措施到位。磋商小组根据以下评分标准进行评审：</w:t>
            </w:r>
          </w:p>
          <w:p w14:paraId="3A529641">
            <w:pPr>
              <w:pStyle w:val="14"/>
              <w:spacing w:before="21" w:line="231" w:lineRule="auto"/>
              <w:ind w:left="112" w:right="1138" w:hanging="9"/>
              <w:jc w:val="both"/>
              <w:rPr>
                <w:sz w:val="22"/>
                <w:szCs w:val="22"/>
              </w:rPr>
            </w:pPr>
            <w:r>
              <w:rPr>
                <w:sz w:val="22"/>
                <w:szCs w:val="22"/>
              </w:rPr>
              <w:t>《环境保护管理体系与措施》包括但不限于以下要素：①供应商制定有针对本项目所在环境的环境保护措施；②供应商制定有针对本项目所在环境的卫生保护措施；</w:t>
            </w:r>
          </w:p>
          <w:p w14:paraId="4BA8B9DF">
            <w:pPr>
              <w:pStyle w:val="14"/>
              <w:spacing w:before="27" w:line="227" w:lineRule="auto"/>
              <w:ind w:left="112" w:right="247"/>
              <w:rPr>
                <w:sz w:val="22"/>
                <w:szCs w:val="22"/>
              </w:rPr>
            </w:pPr>
            <w:r>
              <w:rPr>
                <w:spacing w:val="1"/>
                <w:sz w:val="22"/>
                <w:szCs w:val="22"/>
              </w:rPr>
              <w:t>③供应商制定有针对本项目所在环境的污染</w:t>
            </w:r>
            <w:r>
              <w:rPr>
                <w:sz w:val="22"/>
                <w:szCs w:val="22"/>
              </w:rPr>
              <w:t>物处理及排放措施；</w:t>
            </w:r>
            <w:r>
              <w:rPr>
                <w:spacing w:val="2"/>
                <w:sz w:val="22"/>
                <w:szCs w:val="22"/>
              </w:rPr>
              <w:t>④供应商制定有针对本项目的环境保护管理体系；</w:t>
            </w:r>
          </w:p>
          <w:p w14:paraId="27CAB9F6">
            <w:pPr>
              <w:pStyle w:val="14"/>
              <w:spacing w:before="31" w:line="221" w:lineRule="auto"/>
              <w:ind w:left="112"/>
              <w:rPr>
                <w:sz w:val="22"/>
                <w:szCs w:val="22"/>
              </w:rPr>
            </w:pPr>
            <w:r>
              <w:rPr>
                <w:spacing w:val="2"/>
                <w:sz w:val="22"/>
                <w:szCs w:val="22"/>
              </w:rPr>
              <w:t>⑤供应商制定有针对本项目的现场文明施工措施。</w:t>
            </w:r>
          </w:p>
          <w:p w14:paraId="103DAD94">
            <w:pPr>
              <w:pStyle w:val="14"/>
              <w:spacing w:before="22" w:line="214" w:lineRule="auto"/>
              <w:ind w:left="112"/>
              <w:rPr>
                <w:sz w:val="22"/>
                <w:szCs w:val="22"/>
              </w:rPr>
            </w:pPr>
            <w:r>
              <w:rPr>
                <w:spacing w:val="2"/>
                <w:sz w:val="22"/>
                <w:szCs w:val="22"/>
              </w:rPr>
              <w:t>完全满足上述要求的得基本分5分，在基本分的基础上</w:t>
            </w:r>
          </w:p>
          <w:p w14:paraId="39468E5F">
            <w:pPr>
              <w:pStyle w:val="14"/>
              <w:spacing w:before="30" w:line="214" w:lineRule="auto"/>
              <w:ind w:left="115"/>
              <w:rPr>
                <w:sz w:val="22"/>
                <w:szCs w:val="22"/>
              </w:rPr>
            </w:pPr>
            <w:r>
              <w:rPr>
                <w:spacing w:val="2"/>
                <w:sz w:val="22"/>
                <w:szCs w:val="22"/>
              </w:rPr>
              <w:t>其中上述要素要求有一项不足或缺失的扣1分，扣完</w:t>
            </w:r>
            <w:r>
              <w:rPr>
                <w:spacing w:val="1"/>
                <w:sz w:val="22"/>
                <w:szCs w:val="22"/>
              </w:rPr>
              <w:t>为止。</w:t>
            </w:r>
            <w:bookmarkEnd w:id="21"/>
          </w:p>
        </w:tc>
        <w:tc>
          <w:tcPr>
            <w:tcW w:w="802" w:type="dxa"/>
            <w:vAlign w:val="top"/>
          </w:tcPr>
          <w:p w14:paraId="402E3466">
            <w:pPr>
              <w:spacing w:line="241" w:lineRule="auto"/>
              <w:rPr>
                <w:rFonts w:ascii="Arial"/>
                <w:sz w:val="21"/>
              </w:rPr>
            </w:pPr>
          </w:p>
          <w:p w14:paraId="3BECBCA6">
            <w:pPr>
              <w:spacing w:line="241" w:lineRule="auto"/>
              <w:rPr>
                <w:rFonts w:ascii="Arial"/>
                <w:sz w:val="21"/>
              </w:rPr>
            </w:pPr>
          </w:p>
          <w:p w14:paraId="6F57034E">
            <w:pPr>
              <w:spacing w:line="241" w:lineRule="auto"/>
              <w:rPr>
                <w:rFonts w:ascii="Arial"/>
                <w:sz w:val="21"/>
              </w:rPr>
            </w:pPr>
          </w:p>
          <w:p w14:paraId="491524B2">
            <w:pPr>
              <w:spacing w:line="241" w:lineRule="auto"/>
              <w:rPr>
                <w:rFonts w:ascii="Arial"/>
                <w:sz w:val="21"/>
              </w:rPr>
            </w:pPr>
          </w:p>
          <w:p w14:paraId="7BD09A83">
            <w:pPr>
              <w:spacing w:line="242" w:lineRule="auto"/>
              <w:rPr>
                <w:rFonts w:ascii="Arial"/>
                <w:sz w:val="21"/>
              </w:rPr>
            </w:pPr>
          </w:p>
          <w:p w14:paraId="1F537752">
            <w:pPr>
              <w:spacing w:line="242" w:lineRule="auto"/>
              <w:rPr>
                <w:rFonts w:ascii="Arial"/>
                <w:sz w:val="21"/>
              </w:rPr>
            </w:pPr>
          </w:p>
          <w:p w14:paraId="35AB0E4C">
            <w:pPr>
              <w:pStyle w:val="14"/>
              <w:spacing w:before="71" w:line="223" w:lineRule="auto"/>
              <w:ind w:left="207"/>
              <w:rPr>
                <w:sz w:val="22"/>
                <w:szCs w:val="22"/>
              </w:rPr>
            </w:pPr>
            <w:r>
              <w:rPr>
                <w:spacing w:val="-2"/>
                <w:sz w:val="22"/>
                <w:szCs w:val="22"/>
              </w:rPr>
              <w:t>5分</w:t>
            </w:r>
          </w:p>
        </w:tc>
      </w:tr>
      <w:tr w14:paraId="7E0354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31" w:hRule="atLeast"/>
        </w:trPr>
        <w:tc>
          <w:tcPr>
            <w:tcW w:w="707" w:type="dxa"/>
            <w:vAlign w:val="top"/>
          </w:tcPr>
          <w:p w14:paraId="750AE602">
            <w:pPr>
              <w:spacing w:line="255" w:lineRule="auto"/>
              <w:rPr>
                <w:rFonts w:ascii="Arial"/>
                <w:sz w:val="21"/>
              </w:rPr>
            </w:pPr>
          </w:p>
          <w:p w14:paraId="4EB50891">
            <w:pPr>
              <w:spacing w:line="255" w:lineRule="auto"/>
              <w:rPr>
                <w:rFonts w:ascii="Arial"/>
                <w:sz w:val="21"/>
              </w:rPr>
            </w:pPr>
          </w:p>
          <w:p w14:paraId="1BAAEB38">
            <w:pPr>
              <w:spacing w:line="255" w:lineRule="auto"/>
              <w:rPr>
                <w:rFonts w:ascii="Arial"/>
                <w:sz w:val="21"/>
              </w:rPr>
            </w:pPr>
          </w:p>
          <w:p w14:paraId="657AEF51">
            <w:pPr>
              <w:spacing w:line="255" w:lineRule="auto"/>
              <w:rPr>
                <w:rFonts w:ascii="Arial"/>
                <w:sz w:val="21"/>
              </w:rPr>
            </w:pPr>
          </w:p>
          <w:p w14:paraId="7486178E">
            <w:pPr>
              <w:spacing w:line="255" w:lineRule="auto"/>
              <w:rPr>
                <w:rFonts w:ascii="Arial"/>
                <w:sz w:val="21"/>
              </w:rPr>
            </w:pPr>
          </w:p>
          <w:p w14:paraId="2D208461">
            <w:pPr>
              <w:spacing w:line="255" w:lineRule="auto"/>
              <w:rPr>
                <w:rFonts w:ascii="Arial"/>
                <w:sz w:val="21"/>
              </w:rPr>
            </w:pPr>
          </w:p>
          <w:p w14:paraId="2D4DEA78">
            <w:pPr>
              <w:pStyle w:val="14"/>
              <w:spacing w:before="71" w:line="182" w:lineRule="auto"/>
              <w:ind w:left="300"/>
              <w:rPr>
                <w:sz w:val="22"/>
                <w:szCs w:val="22"/>
              </w:rPr>
            </w:pPr>
            <w:r>
              <w:rPr>
                <w:sz w:val="22"/>
                <w:szCs w:val="22"/>
              </w:rPr>
              <w:t>5</w:t>
            </w:r>
          </w:p>
        </w:tc>
        <w:tc>
          <w:tcPr>
            <w:tcW w:w="1449" w:type="dxa"/>
            <w:vAlign w:val="top"/>
          </w:tcPr>
          <w:p w14:paraId="36CA46D8">
            <w:pPr>
              <w:spacing w:line="264" w:lineRule="auto"/>
              <w:rPr>
                <w:rFonts w:ascii="Arial"/>
                <w:sz w:val="21"/>
              </w:rPr>
            </w:pPr>
          </w:p>
          <w:p w14:paraId="7DF85FF9">
            <w:pPr>
              <w:spacing w:line="265" w:lineRule="auto"/>
              <w:rPr>
                <w:rFonts w:ascii="Arial"/>
                <w:sz w:val="21"/>
              </w:rPr>
            </w:pPr>
          </w:p>
          <w:p w14:paraId="7B202751">
            <w:pPr>
              <w:spacing w:line="265" w:lineRule="auto"/>
              <w:rPr>
                <w:rFonts w:ascii="Arial"/>
                <w:sz w:val="21"/>
              </w:rPr>
            </w:pPr>
          </w:p>
          <w:p w14:paraId="0A89D54B">
            <w:pPr>
              <w:spacing w:line="265" w:lineRule="auto"/>
              <w:rPr>
                <w:rFonts w:ascii="Arial"/>
                <w:sz w:val="21"/>
              </w:rPr>
            </w:pPr>
          </w:p>
          <w:p w14:paraId="64BC4958">
            <w:pPr>
              <w:spacing w:line="265" w:lineRule="auto"/>
              <w:rPr>
                <w:rFonts w:ascii="Arial"/>
                <w:sz w:val="21"/>
              </w:rPr>
            </w:pPr>
          </w:p>
          <w:p w14:paraId="14AEFBBC">
            <w:pPr>
              <w:pStyle w:val="14"/>
              <w:spacing w:before="71" w:line="256" w:lineRule="auto"/>
              <w:ind w:left="283" w:right="169" w:hanging="111"/>
              <w:rPr>
                <w:sz w:val="22"/>
                <w:szCs w:val="22"/>
              </w:rPr>
            </w:pPr>
            <w:r>
              <w:rPr>
                <w:sz w:val="22"/>
                <w:szCs w:val="22"/>
              </w:rPr>
              <w:t>工程进度计划与措施</w:t>
            </w:r>
          </w:p>
        </w:tc>
        <w:tc>
          <w:tcPr>
            <w:tcW w:w="6546" w:type="dxa"/>
            <w:vAlign w:val="top"/>
          </w:tcPr>
          <w:p w14:paraId="311D4CE2">
            <w:pPr>
              <w:pStyle w:val="14"/>
              <w:spacing w:before="34" w:line="235" w:lineRule="auto"/>
              <w:ind w:left="110" w:right="105" w:firstLine="2"/>
              <w:jc w:val="both"/>
              <w:rPr>
                <w:sz w:val="22"/>
                <w:szCs w:val="22"/>
              </w:rPr>
            </w:pPr>
            <w:r>
              <w:rPr>
                <w:spacing w:val="2"/>
                <w:sz w:val="22"/>
                <w:szCs w:val="22"/>
              </w:rPr>
              <w:t>工程进度计划与措施(10分)基本要求</w:t>
            </w:r>
            <w:r>
              <w:rPr>
                <w:spacing w:val="1"/>
                <w:sz w:val="22"/>
                <w:szCs w:val="22"/>
              </w:rPr>
              <w:t>：工程进度计划符合采购文</w:t>
            </w:r>
            <w:r>
              <w:rPr>
                <w:spacing w:val="2"/>
                <w:sz w:val="22"/>
                <w:szCs w:val="22"/>
              </w:rPr>
              <w:t>件要求，关键路径准确、清晰，逻辑关系正确，</w:t>
            </w:r>
            <w:r>
              <w:rPr>
                <w:spacing w:val="1"/>
                <w:sz w:val="22"/>
                <w:szCs w:val="22"/>
              </w:rPr>
              <w:t>措施能有效保证</w:t>
            </w:r>
            <w:r>
              <w:rPr>
                <w:spacing w:val="6"/>
                <w:sz w:val="22"/>
                <w:szCs w:val="22"/>
              </w:rPr>
              <w:t>计划的实施。磋商小组根据以下评分标准进行评审：</w:t>
            </w:r>
            <w:r>
              <w:rPr>
                <w:spacing w:val="5"/>
                <w:sz w:val="22"/>
                <w:szCs w:val="22"/>
              </w:rPr>
              <w:t>《工程进度</w:t>
            </w:r>
            <w:r>
              <w:rPr>
                <w:spacing w:val="1"/>
                <w:sz w:val="22"/>
                <w:szCs w:val="22"/>
              </w:rPr>
              <w:t>计划与措施》包括但不限于以下要素：</w:t>
            </w:r>
          </w:p>
          <w:p w14:paraId="5600799C">
            <w:pPr>
              <w:pStyle w:val="14"/>
              <w:spacing w:before="21" w:line="214" w:lineRule="auto"/>
              <w:ind w:left="112"/>
              <w:rPr>
                <w:sz w:val="22"/>
                <w:szCs w:val="22"/>
              </w:rPr>
            </w:pPr>
            <w:r>
              <w:rPr>
                <w:spacing w:val="2"/>
                <w:sz w:val="22"/>
                <w:szCs w:val="22"/>
              </w:rPr>
              <w:t>①供应商制定有针对本项目的工期进度计划；</w:t>
            </w:r>
          </w:p>
          <w:p w14:paraId="02339F6A">
            <w:pPr>
              <w:pStyle w:val="14"/>
              <w:spacing w:before="30" w:line="214" w:lineRule="auto"/>
              <w:ind w:left="112"/>
              <w:rPr>
                <w:sz w:val="22"/>
                <w:szCs w:val="22"/>
              </w:rPr>
            </w:pPr>
            <w:r>
              <w:rPr>
                <w:spacing w:val="2"/>
                <w:sz w:val="22"/>
                <w:szCs w:val="22"/>
              </w:rPr>
              <w:t>②供应商制定有针对本项目的施工进度网络</w:t>
            </w:r>
            <w:r>
              <w:rPr>
                <w:spacing w:val="1"/>
                <w:sz w:val="22"/>
                <w:szCs w:val="22"/>
              </w:rPr>
              <w:t>图；</w:t>
            </w:r>
          </w:p>
          <w:p w14:paraId="160F0913">
            <w:pPr>
              <w:pStyle w:val="14"/>
              <w:spacing w:before="30"/>
              <w:ind w:left="112"/>
              <w:rPr>
                <w:sz w:val="22"/>
                <w:szCs w:val="22"/>
              </w:rPr>
            </w:pPr>
            <w:r>
              <w:rPr>
                <w:spacing w:val="2"/>
                <w:sz w:val="22"/>
                <w:szCs w:val="22"/>
              </w:rPr>
              <w:t>③供应商制定有针对本项目的工期进度保证措施；</w:t>
            </w:r>
          </w:p>
          <w:p w14:paraId="5113C338">
            <w:pPr>
              <w:pStyle w:val="14"/>
              <w:spacing w:line="213" w:lineRule="auto"/>
              <w:ind w:left="112"/>
              <w:rPr>
                <w:sz w:val="22"/>
                <w:szCs w:val="22"/>
              </w:rPr>
            </w:pPr>
            <w:r>
              <w:rPr>
                <w:spacing w:val="2"/>
                <w:sz w:val="22"/>
                <w:szCs w:val="22"/>
              </w:rPr>
              <w:t>④供应商制定有针对本项目的工期目标控制措施；</w:t>
            </w:r>
          </w:p>
          <w:p w14:paraId="73281485">
            <w:pPr>
              <w:pStyle w:val="14"/>
              <w:spacing w:before="28" w:line="221" w:lineRule="auto"/>
              <w:ind w:left="112"/>
              <w:rPr>
                <w:sz w:val="22"/>
                <w:szCs w:val="22"/>
              </w:rPr>
            </w:pPr>
            <w:r>
              <w:rPr>
                <w:spacing w:val="2"/>
                <w:sz w:val="22"/>
                <w:szCs w:val="22"/>
              </w:rPr>
              <w:t>⑤供应商制定有针对本项目的工期管理方案。</w:t>
            </w:r>
          </w:p>
          <w:p w14:paraId="7BBD2BC6">
            <w:pPr>
              <w:pStyle w:val="14"/>
              <w:spacing w:before="22" w:line="214" w:lineRule="auto"/>
              <w:ind w:left="112"/>
              <w:rPr>
                <w:sz w:val="22"/>
                <w:szCs w:val="22"/>
              </w:rPr>
            </w:pPr>
            <w:r>
              <w:rPr>
                <w:spacing w:val="2"/>
                <w:sz w:val="22"/>
                <w:szCs w:val="22"/>
              </w:rPr>
              <w:t>完全满足上述要求的得基本分10分，在基本分的基础上</w:t>
            </w:r>
          </w:p>
          <w:p w14:paraId="16FAA748">
            <w:pPr>
              <w:pStyle w:val="14"/>
              <w:spacing w:before="31" w:line="214" w:lineRule="auto"/>
              <w:ind w:left="115"/>
              <w:rPr>
                <w:sz w:val="22"/>
                <w:szCs w:val="22"/>
              </w:rPr>
            </w:pPr>
            <w:r>
              <w:rPr>
                <w:spacing w:val="1"/>
                <w:sz w:val="22"/>
                <w:szCs w:val="22"/>
              </w:rPr>
              <w:t>其中上述要素要求有一项不足扣1分，缺失的扣2分</w:t>
            </w:r>
            <w:r>
              <w:rPr>
                <w:sz w:val="22"/>
                <w:szCs w:val="22"/>
              </w:rPr>
              <w:t>，扣完为</w:t>
            </w:r>
            <w:r>
              <w:rPr>
                <w:spacing w:val="-6"/>
                <w:sz w:val="22"/>
                <w:szCs w:val="22"/>
              </w:rPr>
              <w:t>止。</w:t>
            </w:r>
          </w:p>
        </w:tc>
        <w:tc>
          <w:tcPr>
            <w:tcW w:w="802" w:type="dxa"/>
            <w:vAlign w:val="top"/>
          </w:tcPr>
          <w:p w14:paraId="11CAA032">
            <w:pPr>
              <w:spacing w:line="248" w:lineRule="auto"/>
              <w:rPr>
                <w:rFonts w:ascii="Arial"/>
                <w:sz w:val="21"/>
              </w:rPr>
            </w:pPr>
          </w:p>
          <w:p w14:paraId="425E897E">
            <w:pPr>
              <w:spacing w:line="249" w:lineRule="auto"/>
              <w:rPr>
                <w:rFonts w:ascii="Arial"/>
                <w:sz w:val="21"/>
              </w:rPr>
            </w:pPr>
          </w:p>
          <w:p w14:paraId="4AF9D805">
            <w:pPr>
              <w:spacing w:line="249" w:lineRule="auto"/>
              <w:rPr>
                <w:rFonts w:ascii="Arial"/>
                <w:sz w:val="21"/>
              </w:rPr>
            </w:pPr>
          </w:p>
          <w:p w14:paraId="4C9202A0">
            <w:pPr>
              <w:spacing w:line="249" w:lineRule="auto"/>
              <w:rPr>
                <w:rFonts w:ascii="Arial"/>
                <w:sz w:val="21"/>
              </w:rPr>
            </w:pPr>
          </w:p>
          <w:p w14:paraId="516463DF">
            <w:pPr>
              <w:spacing w:line="249" w:lineRule="auto"/>
              <w:rPr>
                <w:rFonts w:ascii="Arial"/>
                <w:sz w:val="21"/>
              </w:rPr>
            </w:pPr>
          </w:p>
          <w:p w14:paraId="721C6E1A">
            <w:pPr>
              <w:spacing w:line="249" w:lineRule="auto"/>
              <w:rPr>
                <w:rFonts w:ascii="Arial"/>
                <w:sz w:val="21"/>
              </w:rPr>
            </w:pPr>
          </w:p>
          <w:p w14:paraId="18A554BC">
            <w:pPr>
              <w:pStyle w:val="14"/>
              <w:spacing w:before="72" w:line="223" w:lineRule="auto"/>
              <w:ind w:left="168"/>
              <w:rPr>
                <w:sz w:val="22"/>
                <w:szCs w:val="22"/>
              </w:rPr>
            </w:pPr>
            <w:r>
              <w:rPr>
                <w:spacing w:val="-7"/>
                <w:sz w:val="22"/>
                <w:szCs w:val="22"/>
              </w:rPr>
              <w:t>10分</w:t>
            </w:r>
          </w:p>
        </w:tc>
      </w:tr>
    </w:tbl>
    <w:p w14:paraId="57B5E006">
      <w:pPr>
        <w:spacing w:before="67" w:line="223" w:lineRule="auto"/>
        <w:ind w:left="240"/>
        <w:rPr>
          <w:rFonts w:ascii="黑体" w:hAnsi="黑体" w:eastAsia="黑体" w:cs="黑体"/>
          <w:sz w:val="24"/>
          <w:szCs w:val="24"/>
        </w:rPr>
      </w:pPr>
      <w:r>
        <w:rPr>
          <w:rFonts w:ascii="黑体" w:hAnsi="黑体" w:eastAsia="黑体" w:cs="黑体"/>
          <w:spacing w:val="-4"/>
          <w:sz w:val="24"/>
          <w:szCs w:val="24"/>
          <w14:textOutline w14:w="4358" w14:cap="sq" w14:cmpd="sng">
            <w14:solidFill>
              <w14:srgbClr w14:val="000000"/>
            </w14:solidFill>
            <w14:prstDash w14:val="solid"/>
            <w14:bevel/>
          </w14:textOutline>
        </w:rPr>
        <w:t>附表四：</w:t>
      </w:r>
    </w:p>
    <w:p w14:paraId="0FF1B77A">
      <w:pPr>
        <w:spacing w:before="84" w:line="221" w:lineRule="auto"/>
        <w:ind w:left="4092"/>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商务评审表</w:t>
      </w:r>
    </w:p>
    <w:p w14:paraId="6098F38E">
      <w:pPr>
        <w:spacing w:line="20" w:lineRule="exact"/>
      </w:pPr>
    </w:p>
    <w:tbl>
      <w:tblPr>
        <w:tblStyle w:val="13"/>
        <w:tblW w:w="95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8"/>
        <w:gridCol w:w="1450"/>
        <w:gridCol w:w="6544"/>
        <w:gridCol w:w="802"/>
      </w:tblGrid>
      <w:tr w14:paraId="3FB2C3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708" w:type="dxa"/>
            <w:vAlign w:val="top"/>
          </w:tcPr>
          <w:p w14:paraId="4ED08CF9">
            <w:pPr>
              <w:pStyle w:val="14"/>
              <w:spacing w:before="80" w:line="224" w:lineRule="auto"/>
              <w:ind w:left="137"/>
              <w:rPr>
                <w:sz w:val="22"/>
                <w:szCs w:val="22"/>
              </w:rPr>
            </w:pPr>
            <w:r>
              <w:rPr>
                <w:spacing w:val="-3"/>
                <w:sz w:val="22"/>
                <w:szCs w:val="22"/>
                <w14:textOutline w14:w="4013" w14:cap="sq" w14:cmpd="sng">
                  <w14:solidFill>
                    <w14:srgbClr w14:val="000000"/>
                  </w14:solidFill>
                  <w14:prstDash w14:val="solid"/>
                  <w14:bevel/>
                </w14:textOutline>
              </w:rPr>
              <w:t>序号</w:t>
            </w:r>
          </w:p>
        </w:tc>
        <w:tc>
          <w:tcPr>
            <w:tcW w:w="7994" w:type="dxa"/>
            <w:gridSpan w:val="2"/>
            <w:vAlign w:val="top"/>
          </w:tcPr>
          <w:p w14:paraId="10B9DCE1">
            <w:pPr>
              <w:pStyle w:val="14"/>
              <w:spacing w:before="81" w:line="222" w:lineRule="auto"/>
              <w:ind w:left="3556"/>
              <w:rPr>
                <w:sz w:val="22"/>
                <w:szCs w:val="22"/>
              </w:rPr>
            </w:pPr>
            <w:r>
              <w:rPr>
                <w:sz w:val="22"/>
                <w:szCs w:val="22"/>
                <w14:textOutline w14:w="4013" w14:cap="sq" w14:cmpd="sng">
                  <w14:solidFill>
                    <w14:srgbClr w14:val="000000"/>
                  </w14:solidFill>
                  <w14:prstDash w14:val="solid"/>
                  <w14:bevel/>
                </w14:textOutline>
              </w:rPr>
              <w:t>评审内容</w:t>
            </w:r>
          </w:p>
        </w:tc>
        <w:tc>
          <w:tcPr>
            <w:tcW w:w="802" w:type="dxa"/>
            <w:vAlign w:val="top"/>
          </w:tcPr>
          <w:p w14:paraId="22A6B12B">
            <w:pPr>
              <w:pStyle w:val="14"/>
              <w:spacing w:before="81" w:line="223" w:lineRule="auto"/>
              <w:ind w:left="188"/>
              <w:rPr>
                <w:sz w:val="22"/>
                <w:szCs w:val="22"/>
              </w:rPr>
            </w:pPr>
            <w:r>
              <w:rPr>
                <w:spacing w:val="-5"/>
                <w:sz w:val="22"/>
                <w:szCs w:val="22"/>
                <w14:textOutline w14:w="4013" w14:cap="sq" w14:cmpd="sng">
                  <w14:solidFill>
                    <w14:srgbClr w14:val="000000"/>
                  </w14:solidFill>
                  <w14:prstDash w14:val="solid"/>
                  <w14:bevel/>
                </w14:textOutline>
              </w:rPr>
              <w:t>分值</w:t>
            </w:r>
          </w:p>
        </w:tc>
      </w:tr>
      <w:tr w14:paraId="59A1BB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047" w:hRule="atLeast"/>
        </w:trPr>
        <w:tc>
          <w:tcPr>
            <w:tcW w:w="708" w:type="dxa"/>
            <w:vAlign w:val="top"/>
          </w:tcPr>
          <w:p w14:paraId="14455D2C">
            <w:pPr>
              <w:spacing w:line="265" w:lineRule="auto"/>
              <w:rPr>
                <w:rFonts w:ascii="Arial"/>
                <w:sz w:val="21"/>
              </w:rPr>
            </w:pPr>
          </w:p>
          <w:p w14:paraId="51200780">
            <w:pPr>
              <w:pStyle w:val="14"/>
              <w:spacing w:before="71" w:line="184" w:lineRule="auto"/>
              <w:ind w:left="316"/>
              <w:rPr>
                <w:sz w:val="22"/>
                <w:szCs w:val="22"/>
              </w:rPr>
            </w:pPr>
            <w:r>
              <w:rPr>
                <w:sz w:val="22"/>
                <w:szCs w:val="22"/>
              </w:rPr>
              <w:t>1</w:t>
            </w:r>
          </w:p>
        </w:tc>
        <w:tc>
          <w:tcPr>
            <w:tcW w:w="1450" w:type="dxa"/>
            <w:vAlign w:val="top"/>
          </w:tcPr>
          <w:p w14:paraId="14670ACB">
            <w:pPr>
              <w:spacing w:line="400" w:lineRule="auto"/>
              <w:rPr>
                <w:rFonts w:ascii="Arial"/>
                <w:sz w:val="21"/>
              </w:rPr>
            </w:pPr>
          </w:p>
          <w:p w14:paraId="1EAF63D0">
            <w:pPr>
              <w:pStyle w:val="14"/>
              <w:spacing w:before="72" w:line="222" w:lineRule="auto"/>
              <w:ind w:left="282"/>
              <w:rPr>
                <w:rFonts w:hint="default" w:eastAsia="黑体"/>
                <w:sz w:val="22"/>
                <w:szCs w:val="22"/>
                <w:lang w:val="en-US" w:eastAsia="zh-CN"/>
              </w:rPr>
            </w:pPr>
            <w:r>
              <w:rPr>
                <w:rFonts w:hint="eastAsia"/>
                <w:sz w:val="22"/>
                <w:szCs w:val="22"/>
                <w:lang w:val="en-US" w:eastAsia="zh-CN"/>
              </w:rPr>
              <w:t>企业业绩</w:t>
            </w:r>
          </w:p>
        </w:tc>
        <w:tc>
          <w:tcPr>
            <w:tcW w:w="6544" w:type="dxa"/>
            <w:vAlign w:val="top"/>
          </w:tcPr>
          <w:p w14:paraId="4874CA9A">
            <w:pPr>
              <w:pStyle w:val="14"/>
              <w:spacing w:before="130" w:line="214" w:lineRule="auto"/>
              <w:ind w:left="112"/>
              <w:rPr>
                <w:sz w:val="22"/>
                <w:szCs w:val="22"/>
              </w:rPr>
            </w:pPr>
            <w:bookmarkStart w:id="22" w:name="OLE_LINK23"/>
            <w:r>
              <w:rPr>
                <w:spacing w:val="1"/>
                <w:sz w:val="22"/>
                <w:szCs w:val="22"/>
              </w:rPr>
              <w:t>供应商近</w:t>
            </w:r>
            <w:r>
              <w:rPr>
                <w:rFonts w:hint="eastAsia"/>
                <w:spacing w:val="1"/>
                <w:sz w:val="22"/>
                <w:szCs w:val="22"/>
                <w:lang w:val="en-US" w:eastAsia="zh-CN"/>
              </w:rPr>
              <w:t>5</w:t>
            </w:r>
            <w:r>
              <w:rPr>
                <w:spacing w:val="1"/>
                <w:sz w:val="22"/>
                <w:szCs w:val="22"/>
              </w:rPr>
              <w:t>年（从投标截止日往前推算，以合同签订日期为准）</w:t>
            </w:r>
          </w:p>
          <w:p w14:paraId="0296B75D">
            <w:pPr>
              <w:pStyle w:val="14"/>
              <w:spacing w:before="85" w:line="255" w:lineRule="auto"/>
              <w:ind w:left="113" w:right="105" w:firstLine="4"/>
              <w:rPr>
                <w:sz w:val="22"/>
                <w:szCs w:val="22"/>
              </w:rPr>
            </w:pPr>
            <w:r>
              <w:rPr>
                <w:spacing w:val="1"/>
                <w:sz w:val="22"/>
                <w:szCs w:val="22"/>
              </w:rPr>
              <w:t>具有一个已完成类似项目业绩的得</w:t>
            </w:r>
            <w:r>
              <w:rPr>
                <w:rFonts w:hint="eastAsia"/>
                <w:spacing w:val="1"/>
                <w:sz w:val="22"/>
                <w:szCs w:val="22"/>
                <w:lang w:val="en-US" w:eastAsia="zh-CN"/>
              </w:rPr>
              <w:t>2</w:t>
            </w:r>
            <w:r>
              <w:rPr>
                <w:spacing w:val="1"/>
                <w:sz w:val="22"/>
                <w:szCs w:val="22"/>
              </w:rPr>
              <w:t>分，最</w:t>
            </w:r>
            <w:r>
              <w:rPr>
                <w:sz w:val="22"/>
                <w:szCs w:val="22"/>
              </w:rPr>
              <w:t>多得</w:t>
            </w:r>
            <w:r>
              <w:rPr>
                <w:rFonts w:hint="eastAsia"/>
                <w:sz w:val="22"/>
                <w:szCs w:val="22"/>
                <w:lang w:val="en-US" w:eastAsia="zh-CN"/>
              </w:rPr>
              <w:t>6</w:t>
            </w:r>
            <w:r>
              <w:rPr>
                <w:sz w:val="22"/>
                <w:szCs w:val="22"/>
              </w:rPr>
              <w:t>分。</w:t>
            </w:r>
            <w:r>
              <w:rPr>
                <w:color w:val="auto"/>
                <w:sz w:val="22"/>
                <w:szCs w:val="22"/>
              </w:rPr>
              <w:t>（提供施</w:t>
            </w:r>
            <w:r>
              <w:rPr>
                <w:color w:val="auto"/>
                <w:spacing w:val="1"/>
                <w:sz w:val="22"/>
                <w:szCs w:val="22"/>
              </w:rPr>
              <w:t>工合同</w:t>
            </w:r>
            <w:r>
              <w:rPr>
                <w:rFonts w:hint="eastAsia"/>
                <w:color w:val="auto"/>
                <w:spacing w:val="1"/>
                <w:sz w:val="22"/>
                <w:szCs w:val="22"/>
                <w:lang w:eastAsia="zh-CN"/>
              </w:rPr>
              <w:t>、</w:t>
            </w:r>
            <w:r>
              <w:rPr>
                <w:rFonts w:hint="eastAsia"/>
                <w:color w:val="auto"/>
                <w:spacing w:val="1"/>
                <w:sz w:val="22"/>
                <w:szCs w:val="22"/>
                <w:lang w:val="en-US" w:eastAsia="zh-CN"/>
              </w:rPr>
              <w:t>中标通知书</w:t>
            </w:r>
            <w:r>
              <w:rPr>
                <w:color w:val="auto"/>
                <w:spacing w:val="1"/>
                <w:sz w:val="22"/>
                <w:szCs w:val="22"/>
              </w:rPr>
              <w:t>和竣工验收报告）</w:t>
            </w:r>
            <w:bookmarkEnd w:id="22"/>
          </w:p>
        </w:tc>
        <w:tc>
          <w:tcPr>
            <w:tcW w:w="802" w:type="dxa"/>
            <w:vAlign w:val="top"/>
          </w:tcPr>
          <w:p w14:paraId="0E20E49A">
            <w:pPr>
              <w:spacing w:line="400" w:lineRule="auto"/>
              <w:rPr>
                <w:rFonts w:ascii="Arial"/>
                <w:sz w:val="21"/>
              </w:rPr>
            </w:pPr>
          </w:p>
          <w:p w14:paraId="143B717B">
            <w:pPr>
              <w:pStyle w:val="14"/>
              <w:spacing w:before="72" w:line="223" w:lineRule="auto"/>
              <w:ind w:left="211"/>
              <w:rPr>
                <w:sz w:val="22"/>
                <w:szCs w:val="22"/>
              </w:rPr>
            </w:pPr>
            <w:r>
              <w:rPr>
                <w:rFonts w:hint="eastAsia"/>
                <w:spacing w:val="-4"/>
                <w:sz w:val="22"/>
                <w:szCs w:val="22"/>
                <w:lang w:val="en-US" w:eastAsia="zh-CN"/>
              </w:rPr>
              <w:t>6</w:t>
            </w:r>
            <w:r>
              <w:rPr>
                <w:spacing w:val="-4"/>
                <w:sz w:val="22"/>
                <w:szCs w:val="22"/>
              </w:rPr>
              <w:t>分</w:t>
            </w:r>
          </w:p>
        </w:tc>
      </w:tr>
      <w:tr w14:paraId="631B8D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82" w:hRule="atLeast"/>
        </w:trPr>
        <w:tc>
          <w:tcPr>
            <w:tcW w:w="708" w:type="dxa"/>
            <w:vAlign w:val="top"/>
          </w:tcPr>
          <w:p w14:paraId="7EC45190">
            <w:pPr>
              <w:spacing w:line="280" w:lineRule="auto"/>
              <w:rPr>
                <w:rFonts w:ascii="Arial"/>
                <w:sz w:val="21"/>
              </w:rPr>
            </w:pPr>
          </w:p>
          <w:p w14:paraId="28E4F473">
            <w:pPr>
              <w:spacing w:line="281" w:lineRule="auto"/>
              <w:rPr>
                <w:rFonts w:ascii="Arial"/>
                <w:sz w:val="21"/>
              </w:rPr>
            </w:pPr>
          </w:p>
          <w:p w14:paraId="125A44EC">
            <w:pPr>
              <w:spacing w:line="281" w:lineRule="auto"/>
              <w:rPr>
                <w:rFonts w:ascii="Arial"/>
                <w:sz w:val="21"/>
              </w:rPr>
            </w:pPr>
          </w:p>
          <w:p w14:paraId="0808D355">
            <w:pPr>
              <w:pStyle w:val="14"/>
              <w:spacing w:before="72" w:line="186" w:lineRule="auto"/>
              <w:ind w:left="303"/>
              <w:rPr>
                <w:sz w:val="22"/>
                <w:szCs w:val="22"/>
              </w:rPr>
            </w:pPr>
            <w:r>
              <w:rPr>
                <w:sz w:val="22"/>
                <w:szCs w:val="22"/>
              </w:rPr>
              <w:t>2</w:t>
            </w:r>
          </w:p>
        </w:tc>
        <w:tc>
          <w:tcPr>
            <w:tcW w:w="1450" w:type="dxa"/>
            <w:vAlign w:val="top"/>
          </w:tcPr>
          <w:p w14:paraId="7234B49A">
            <w:pPr>
              <w:spacing w:line="270" w:lineRule="auto"/>
              <w:rPr>
                <w:rFonts w:ascii="Arial"/>
                <w:sz w:val="21"/>
              </w:rPr>
            </w:pPr>
          </w:p>
          <w:p w14:paraId="515110C6">
            <w:pPr>
              <w:spacing w:line="270" w:lineRule="auto"/>
              <w:rPr>
                <w:rFonts w:ascii="Arial"/>
                <w:sz w:val="21"/>
              </w:rPr>
            </w:pPr>
          </w:p>
          <w:p w14:paraId="611FEDD2">
            <w:pPr>
              <w:spacing w:line="270" w:lineRule="auto"/>
              <w:rPr>
                <w:rFonts w:ascii="Arial"/>
                <w:sz w:val="21"/>
              </w:rPr>
            </w:pPr>
          </w:p>
          <w:p w14:paraId="30FD0E7C">
            <w:pPr>
              <w:pStyle w:val="14"/>
              <w:spacing w:before="71" w:line="222" w:lineRule="auto"/>
              <w:ind w:left="287"/>
              <w:rPr>
                <w:sz w:val="22"/>
                <w:szCs w:val="22"/>
              </w:rPr>
            </w:pPr>
            <w:r>
              <w:rPr>
                <w:spacing w:val="-1"/>
                <w:sz w:val="22"/>
                <w:szCs w:val="22"/>
              </w:rPr>
              <w:t>人员配备</w:t>
            </w:r>
          </w:p>
        </w:tc>
        <w:tc>
          <w:tcPr>
            <w:tcW w:w="6544" w:type="dxa"/>
            <w:vAlign w:val="top"/>
          </w:tcPr>
          <w:p w14:paraId="4FEB9ED2">
            <w:pPr>
              <w:pStyle w:val="14"/>
              <w:spacing w:before="87" w:line="255" w:lineRule="auto"/>
              <w:ind w:left="115" w:right="204"/>
              <w:rPr>
                <w:rFonts w:hint="eastAsia"/>
                <w:spacing w:val="1"/>
                <w:sz w:val="22"/>
                <w:szCs w:val="22"/>
              </w:rPr>
            </w:pPr>
            <w:bookmarkStart w:id="23" w:name="OLE_LINK24"/>
            <w:r>
              <w:rPr>
                <w:rFonts w:hint="eastAsia"/>
                <w:spacing w:val="1"/>
                <w:sz w:val="22"/>
                <w:szCs w:val="22"/>
              </w:rPr>
              <w:t>针对本项目拟派项目班子成员，（包括项目经理、技术负责人、施工员、安全员、质量员、资料员、材料员、预算员岗位），人员配备齐全合理，满足需要得4分；</w:t>
            </w:r>
          </w:p>
          <w:p w14:paraId="7CBE8A08">
            <w:pPr>
              <w:pStyle w:val="14"/>
              <w:spacing w:before="87" w:line="255" w:lineRule="auto"/>
              <w:ind w:left="115" w:right="204"/>
              <w:rPr>
                <w:sz w:val="22"/>
                <w:szCs w:val="22"/>
              </w:rPr>
            </w:pPr>
            <w:r>
              <w:rPr>
                <w:rFonts w:hint="eastAsia"/>
                <w:spacing w:val="1"/>
                <w:sz w:val="22"/>
                <w:szCs w:val="22"/>
              </w:rPr>
              <w:t>缺一人扣0.5分。</w:t>
            </w:r>
            <w:r>
              <w:rPr>
                <w:spacing w:val="1"/>
                <w:sz w:val="22"/>
                <w:szCs w:val="22"/>
              </w:rPr>
              <w:t>注：提供的人员必须提供近3个月本单位的缴纳社保证明，否则</w:t>
            </w:r>
            <w:r>
              <w:rPr>
                <w:spacing w:val="3"/>
                <w:sz w:val="22"/>
                <w:szCs w:val="22"/>
              </w:rPr>
              <w:t>不计分.</w:t>
            </w:r>
            <w:bookmarkEnd w:id="23"/>
          </w:p>
        </w:tc>
        <w:tc>
          <w:tcPr>
            <w:tcW w:w="802" w:type="dxa"/>
            <w:vAlign w:val="top"/>
          </w:tcPr>
          <w:p w14:paraId="7940E90F">
            <w:pPr>
              <w:spacing w:line="270" w:lineRule="auto"/>
              <w:rPr>
                <w:rFonts w:ascii="Arial"/>
                <w:sz w:val="21"/>
              </w:rPr>
            </w:pPr>
          </w:p>
          <w:p w14:paraId="70C59CD2">
            <w:pPr>
              <w:spacing w:line="270" w:lineRule="auto"/>
              <w:rPr>
                <w:rFonts w:ascii="Arial"/>
                <w:sz w:val="21"/>
              </w:rPr>
            </w:pPr>
          </w:p>
          <w:p w14:paraId="7DE1D591">
            <w:pPr>
              <w:spacing w:line="270" w:lineRule="auto"/>
              <w:rPr>
                <w:rFonts w:ascii="Arial"/>
                <w:sz w:val="21"/>
              </w:rPr>
            </w:pPr>
          </w:p>
          <w:p w14:paraId="00EB6DE3">
            <w:pPr>
              <w:pStyle w:val="14"/>
              <w:spacing w:before="72" w:line="223" w:lineRule="auto"/>
              <w:ind w:left="211"/>
              <w:rPr>
                <w:sz w:val="22"/>
                <w:szCs w:val="22"/>
              </w:rPr>
            </w:pPr>
            <w:r>
              <w:rPr>
                <w:rFonts w:hint="eastAsia"/>
                <w:spacing w:val="-4"/>
                <w:sz w:val="22"/>
                <w:szCs w:val="22"/>
                <w:lang w:val="en-US" w:eastAsia="zh-CN"/>
              </w:rPr>
              <w:t>4</w:t>
            </w:r>
            <w:r>
              <w:rPr>
                <w:spacing w:val="-4"/>
                <w:sz w:val="22"/>
                <w:szCs w:val="22"/>
              </w:rPr>
              <w:t>分</w:t>
            </w:r>
          </w:p>
        </w:tc>
      </w:tr>
      <w:tr w14:paraId="0989F9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3" w:hRule="atLeast"/>
        </w:trPr>
        <w:tc>
          <w:tcPr>
            <w:tcW w:w="708" w:type="dxa"/>
            <w:vAlign w:val="top"/>
          </w:tcPr>
          <w:p w14:paraId="69AAA9C5">
            <w:pPr>
              <w:pStyle w:val="14"/>
              <w:spacing w:before="72" w:line="186" w:lineRule="auto"/>
              <w:ind w:left="303"/>
              <w:rPr>
                <w:rFonts w:hint="eastAsia" w:ascii="黑体" w:hAnsi="黑体" w:eastAsia="黑体" w:cs="黑体"/>
                <w:snapToGrid w:val="0"/>
                <w:color w:val="000000"/>
                <w:kern w:val="0"/>
                <w:sz w:val="22"/>
                <w:szCs w:val="22"/>
                <w:lang w:val="en-US" w:eastAsia="zh-CN" w:bidi="ar-SA"/>
              </w:rPr>
            </w:pPr>
          </w:p>
          <w:p w14:paraId="65963105">
            <w:pPr>
              <w:pStyle w:val="14"/>
              <w:spacing w:before="72" w:line="186" w:lineRule="auto"/>
              <w:ind w:left="303"/>
              <w:rPr>
                <w:rFonts w:hint="default" w:ascii="黑体" w:hAnsi="黑体" w:eastAsia="黑体" w:cs="黑体"/>
                <w:snapToGrid w:val="0"/>
                <w:color w:val="000000"/>
                <w:kern w:val="0"/>
                <w:sz w:val="22"/>
                <w:szCs w:val="22"/>
                <w:lang w:val="en-US" w:eastAsia="zh-CN" w:bidi="ar-SA"/>
              </w:rPr>
            </w:pPr>
            <w:r>
              <w:rPr>
                <w:rFonts w:hint="eastAsia" w:cs="黑体"/>
                <w:snapToGrid w:val="0"/>
                <w:color w:val="000000"/>
                <w:kern w:val="0"/>
                <w:sz w:val="22"/>
                <w:szCs w:val="22"/>
                <w:lang w:val="en-US" w:eastAsia="zh-CN" w:bidi="ar-SA"/>
              </w:rPr>
              <w:t>3</w:t>
            </w:r>
          </w:p>
          <w:p w14:paraId="0DD6713F">
            <w:pPr>
              <w:pStyle w:val="14"/>
              <w:spacing w:before="72" w:line="186" w:lineRule="auto"/>
              <w:ind w:left="303"/>
              <w:rPr>
                <w:rFonts w:hint="eastAsia" w:ascii="Arial" w:eastAsia="宋体"/>
                <w:sz w:val="21"/>
                <w:lang w:val="en-US" w:eastAsia="zh-CN"/>
              </w:rPr>
            </w:pPr>
          </w:p>
        </w:tc>
        <w:tc>
          <w:tcPr>
            <w:tcW w:w="1450" w:type="dxa"/>
            <w:vAlign w:val="top"/>
          </w:tcPr>
          <w:p w14:paraId="38D7E09C">
            <w:pPr>
              <w:spacing w:line="303" w:lineRule="auto"/>
              <w:rPr>
                <w:rFonts w:ascii="Arial"/>
                <w:sz w:val="21"/>
              </w:rPr>
            </w:pPr>
          </w:p>
          <w:p w14:paraId="73419131">
            <w:pPr>
              <w:pStyle w:val="14"/>
              <w:spacing w:before="72" w:line="255" w:lineRule="auto"/>
              <w:ind w:left="393" w:right="168" w:hanging="211"/>
              <w:rPr>
                <w:rFonts w:hint="default" w:eastAsia="黑体"/>
                <w:sz w:val="22"/>
                <w:szCs w:val="22"/>
                <w:lang w:val="en-US" w:eastAsia="zh-CN"/>
              </w:rPr>
            </w:pPr>
            <w:r>
              <w:rPr>
                <w:rFonts w:hint="eastAsia"/>
                <w:spacing w:val="-2"/>
                <w:sz w:val="22"/>
                <w:szCs w:val="22"/>
                <w:lang w:val="en-US" w:eastAsia="zh-CN"/>
              </w:rPr>
              <w:t>项目团队</w:t>
            </w:r>
          </w:p>
        </w:tc>
        <w:tc>
          <w:tcPr>
            <w:tcW w:w="6544" w:type="dxa"/>
            <w:vAlign w:val="top"/>
          </w:tcPr>
          <w:p w14:paraId="41F610EE">
            <w:pPr>
              <w:pStyle w:val="14"/>
              <w:spacing w:before="34" w:line="271" w:lineRule="auto"/>
              <w:ind w:right="204"/>
              <w:jc w:val="both"/>
              <w:rPr>
                <w:rFonts w:hint="eastAsia"/>
                <w:sz w:val="22"/>
                <w:szCs w:val="22"/>
              </w:rPr>
            </w:pPr>
            <w:bookmarkStart w:id="24" w:name="OLE_LINK25"/>
            <w:r>
              <w:rPr>
                <w:rFonts w:hint="eastAsia"/>
                <w:sz w:val="22"/>
                <w:szCs w:val="22"/>
              </w:rPr>
              <w:t>项目团队中每增加一名工程师职称证书以上(含中级)或建造师资格证书的:得1分，最高得</w:t>
            </w:r>
            <w:r>
              <w:rPr>
                <w:rFonts w:hint="eastAsia"/>
                <w:sz w:val="22"/>
                <w:szCs w:val="22"/>
                <w:lang w:val="en-US" w:eastAsia="zh-CN"/>
              </w:rPr>
              <w:t>2</w:t>
            </w:r>
            <w:r>
              <w:rPr>
                <w:rFonts w:hint="eastAsia"/>
                <w:sz w:val="22"/>
                <w:szCs w:val="22"/>
              </w:rPr>
              <w:t>分</w:t>
            </w:r>
          </w:p>
          <w:p w14:paraId="47843CEE">
            <w:pPr>
              <w:pStyle w:val="14"/>
              <w:spacing w:before="34" w:line="271" w:lineRule="auto"/>
              <w:ind w:left="111" w:right="204"/>
              <w:jc w:val="both"/>
              <w:rPr>
                <w:sz w:val="22"/>
                <w:szCs w:val="22"/>
              </w:rPr>
            </w:pPr>
            <w:r>
              <w:rPr>
                <w:rFonts w:hint="eastAsia"/>
                <w:sz w:val="22"/>
                <w:szCs w:val="22"/>
              </w:rPr>
              <w:t>注:须提供近三个月社保证明。</w:t>
            </w:r>
            <w:bookmarkEnd w:id="24"/>
          </w:p>
        </w:tc>
        <w:tc>
          <w:tcPr>
            <w:tcW w:w="802" w:type="dxa"/>
            <w:vAlign w:val="top"/>
          </w:tcPr>
          <w:p w14:paraId="50B07FCE">
            <w:pPr>
              <w:pStyle w:val="14"/>
              <w:spacing w:before="71" w:line="223" w:lineRule="auto"/>
              <w:ind w:left="212"/>
              <w:rPr>
                <w:rFonts w:hint="eastAsia"/>
                <w:spacing w:val="-5"/>
                <w:sz w:val="22"/>
                <w:szCs w:val="22"/>
                <w:lang w:val="en-US" w:eastAsia="zh-CN"/>
              </w:rPr>
            </w:pPr>
          </w:p>
          <w:p w14:paraId="6D985809">
            <w:pPr>
              <w:pStyle w:val="14"/>
              <w:spacing w:before="71" w:line="223" w:lineRule="auto"/>
              <w:ind w:left="212"/>
              <w:rPr>
                <w:sz w:val="22"/>
                <w:szCs w:val="22"/>
              </w:rPr>
            </w:pPr>
            <w:r>
              <w:rPr>
                <w:rFonts w:hint="eastAsia"/>
                <w:spacing w:val="-5"/>
                <w:sz w:val="22"/>
                <w:szCs w:val="22"/>
                <w:lang w:val="en-US" w:eastAsia="zh-CN"/>
              </w:rPr>
              <w:t>2</w:t>
            </w:r>
            <w:r>
              <w:rPr>
                <w:spacing w:val="-5"/>
                <w:sz w:val="22"/>
                <w:szCs w:val="22"/>
              </w:rPr>
              <w:t>分</w:t>
            </w:r>
          </w:p>
        </w:tc>
      </w:tr>
      <w:tr w14:paraId="74DBC9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4" w:hRule="atLeast"/>
        </w:trPr>
        <w:tc>
          <w:tcPr>
            <w:tcW w:w="708" w:type="dxa"/>
            <w:vAlign w:val="top"/>
          </w:tcPr>
          <w:p w14:paraId="3EB052C5">
            <w:pPr>
              <w:pStyle w:val="14"/>
              <w:spacing w:before="72" w:line="186" w:lineRule="auto"/>
              <w:ind w:left="303"/>
              <w:rPr>
                <w:rFonts w:hint="eastAsia" w:eastAsia="宋体"/>
                <w:sz w:val="21"/>
                <w:lang w:val="en-US" w:eastAsia="zh-CN"/>
              </w:rPr>
            </w:pPr>
          </w:p>
          <w:p w14:paraId="4AE3DF4E">
            <w:pPr>
              <w:pStyle w:val="14"/>
              <w:spacing w:before="72" w:line="186" w:lineRule="auto"/>
              <w:ind w:left="303"/>
              <w:rPr>
                <w:rFonts w:hint="eastAsia" w:eastAsia="宋体"/>
                <w:sz w:val="21"/>
                <w:lang w:val="en-US" w:eastAsia="zh-CN"/>
              </w:rPr>
            </w:pPr>
          </w:p>
          <w:p w14:paraId="71554931">
            <w:pPr>
              <w:pStyle w:val="14"/>
              <w:spacing w:before="72" w:line="186" w:lineRule="auto"/>
              <w:ind w:left="303"/>
              <w:rPr>
                <w:rFonts w:hint="eastAsia" w:ascii="Arial" w:eastAsia="宋体"/>
                <w:sz w:val="21"/>
                <w:lang w:val="en-US" w:eastAsia="zh-CN"/>
              </w:rPr>
            </w:pPr>
            <w:r>
              <w:rPr>
                <w:rFonts w:hint="eastAsia" w:eastAsia="宋体"/>
                <w:sz w:val="21"/>
                <w:lang w:val="en-US" w:eastAsia="zh-CN"/>
              </w:rPr>
              <w:t>4</w:t>
            </w:r>
          </w:p>
        </w:tc>
        <w:tc>
          <w:tcPr>
            <w:tcW w:w="1450" w:type="dxa"/>
            <w:vAlign w:val="top"/>
          </w:tcPr>
          <w:p w14:paraId="095B36D5">
            <w:pPr>
              <w:pStyle w:val="14"/>
              <w:spacing w:before="72" w:line="255" w:lineRule="auto"/>
              <w:ind w:left="393" w:right="168" w:hanging="211"/>
              <w:rPr>
                <w:rFonts w:hint="eastAsia"/>
                <w:color w:val="FF0000"/>
                <w:spacing w:val="-2"/>
                <w:sz w:val="22"/>
                <w:szCs w:val="22"/>
              </w:rPr>
            </w:pPr>
          </w:p>
          <w:p w14:paraId="635A4F4A">
            <w:pPr>
              <w:pStyle w:val="14"/>
              <w:spacing w:before="72" w:line="255" w:lineRule="auto"/>
              <w:ind w:left="393" w:right="168" w:hanging="211"/>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认证体系</w:t>
            </w:r>
          </w:p>
          <w:p w14:paraId="150F4443">
            <w:pPr>
              <w:pStyle w:val="14"/>
              <w:spacing w:before="72" w:line="255" w:lineRule="auto"/>
              <w:ind w:left="393" w:right="168" w:hanging="211"/>
              <w:rPr>
                <w:color w:val="FF0000"/>
                <w:spacing w:val="-2"/>
                <w:sz w:val="22"/>
                <w:szCs w:val="22"/>
              </w:rPr>
            </w:pPr>
          </w:p>
        </w:tc>
        <w:tc>
          <w:tcPr>
            <w:tcW w:w="6544" w:type="dxa"/>
            <w:vAlign w:val="top"/>
          </w:tcPr>
          <w:p w14:paraId="2E7073E4">
            <w:pPr>
              <w:pStyle w:val="14"/>
              <w:spacing w:before="34" w:line="271" w:lineRule="auto"/>
              <w:ind w:right="204"/>
              <w:jc w:val="both"/>
              <w:rPr>
                <w:rFonts w:hint="eastAsia"/>
                <w:sz w:val="22"/>
                <w:szCs w:val="22"/>
              </w:rPr>
            </w:pPr>
            <w:r>
              <w:rPr>
                <w:rFonts w:hint="eastAsia"/>
                <w:sz w:val="22"/>
                <w:szCs w:val="22"/>
              </w:rPr>
              <w:t xml:space="preserve">①已经取得质量管理体系认证且运行情况良好的得 </w:t>
            </w:r>
            <w:r>
              <w:rPr>
                <w:rFonts w:hint="eastAsia"/>
                <w:sz w:val="22"/>
                <w:szCs w:val="22"/>
                <w:lang w:val="en-US" w:eastAsia="zh-CN"/>
              </w:rPr>
              <w:t>1</w:t>
            </w:r>
            <w:r>
              <w:rPr>
                <w:rFonts w:hint="eastAsia"/>
                <w:sz w:val="22"/>
                <w:szCs w:val="22"/>
              </w:rPr>
              <w:t>分，没有不得分。</w:t>
            </w:r>
          </w:p>
          <w:p w14:paraId="1D07ABFF">
            <w:pPr>
              <w:pStyle w:val="14"/>
              <w:spacing w:before="34" w:line="271" w:lineRule="auto"/>
              <w:ind w:right="204"/>
              <w:jc w:val="both"/>
              <w:rPr>
                <w:rFonts w:hint="eastAsia"/>
                <w:sz w:val="22"/>
                <w:szCs w:val="22"/>
              </w:rPr>
            </w:pPr>
            <w:r>
              <w:rPr>
                <w:rFonts w:hint="eastAsia"/>
                <w:sz w:val="22"/>
                <w:szCs w:val="22"/>
              </w:rPr>
              <w:t>②已经取得环境管理体系认证且运行情况良好的得</w:t>
            </w:r>
            <w:r>
              <w:rPr>
                <w:rFonts w:hint="eastAsia"/>
                <w:sz w:val="22"/>
                <w:szCs w:val="22"/>
                <w:lang w:val="en-US" w:eastAsia="zh-CN"/>
              </w:rPr>
              <w:t>1</w:t>
            </w:r>
            <w:r>
              <w:rPr>
                <w:rFonts w:hint="eastAsia"/>
                <w:sz w:val="22"/>
                <w:szCs w:val="22"/>
              </w:rPr>
              <w:t>分，没有不得分。</w:t>
            </w:r>
          </w:p>
          <w:p w14:paraId="41BA149B">
            <w:pPr>
              <w:pStyle w:val="14"/>
              <w:spacing w:before="34" w:line="271" w:lineRule="auto"/>
              <w:ind w:right="204"/>
              <w:jc w:val="both"/>
              <w:rPr>
                <w:rFonts w:hint="eastAsia" w:eastAsia="黑体"/>
                <w:color w:val="FF0000"/>
                <w:spacing w:val="2"/>
                <w:sz w:val="22"/>
                <w:szCs w:val="22"/>
                <w:lang w:val="en-US" w:eastAsia="zh-CN"/>
              </w:rPr>
            </w:pPr>
            <w:r>
              <w:rPr>
                <w:rFonts w:hint="eastAsia"/>
                <w:sz w:val="22"/>
                <w:szCs w:val="22"/>
              </w:rPr>
              <w:t>③已经取得职业安全健康管理体系认证目运行情况良好的得</w:t>
            </w:r>
            <w:r>
              <w:rPr>
                <w:rFonts w:hint="eastAsia"/>
                <w:sz w:val="22"/>
                <w:szCs w:val="22"/>
                <w:lang w:val="en-US" w:eastAsia="zh-CN"/>
              </w:rPr>
              <w:t>1</w:t>
            </w:r>
            <w:r>
              <w:rPr>
                <w:rFonts w:hint="eastAsia"/>
                <w:sz w:val="22"/>
                <w:szCs w:val="22"/>
              </w:rPr>
              <w:t>分</w:t>
            </w:r>
            <w:r>
              <w:rPr>
                <w:rFonts w:hint="eastAsia"/>
                <w:sz w:val="22"/>
                <w:szCs w:val="22"/>
                <w:lang w:eastAsia="zh-CN"/>
              </w:rPr>
              <w:t>，</w:t>
            </w:r>
            <w:r>
              <w:rPr>
                <w:rFonts w:hint="eastAsia"/>
                <w:sz w:val="22"/>
                <w:szCs w:val="22"/>
              </w:rPr>
              <w:t>没有不得分。</w:t>
            </w:r>
          </w:p>
        </w:tc>
        <w:tc>
          <w:tcPr>
            <w:tcW w:w="802" w:type="dxa"/>
            <w:vAlign w:val="top"/>
          </w:tcPr>
          <w:p w14:paraId="62D0AC43">
            <w:pPr>
              <w:pStyle w:val="14"/>
              <w:spacing w:before="71" w:line="223" w:lineRule="auto"/>
              <w:ind w:left="212"/>
              <w:rPr>
                <w:rFonts w:hint="eastAsia"/>
                <w:spacing w:val="-5"/>
                <w:sz w:val="22"/>
                <w:szCs w:val="22"/>
                <w:lang w:val="en-US" w:eastAsia="zh-CN"/>
              </w:rPr>
            </w:pPr>
          </w:p>
          <w:p w14:paraId="2B5AFED5">
            <w:pPr>
              <w:pStyle w:val="14"/>
              <w:spacing w:before="71" w:line="223" w:lineRule="auto"/>
              <w:ind w:left="212"/>
              <w:rPr>
                <w:rFonts w:hint="default"/>
                <w:spacing w:val="-5"/>
                <w:sz w:val="22"/>
                <w:szCs w:val="22"/>
                <w:lang w:val="en-US" w:eastAsia="zh-CN"/>
              </w:rPr>
            </w:pPr>
            <w:r>
              <w:rPr>
                <w:rFonts w:hint="eastAsia"/>
                <w:spacing w:val="-5"/>
                <w:sz w:val="22"/>
                <w:szCs w:val="22"/>
                <w:lang w:val="en-US" w:eastAsia="zh-CN"/>
              </w:rPr>
              <w:t>3分</w:t>
            </w:r>
          </w:p>
        </w:tc>
      </w:tr>
      <w:tr w14:paraId="028A97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8" w:hRule="atLeast"/>
        </w:trPr>
        <w:tc>
          <w:tcPr>
            <w:tcW w:w="2158" w:type="dxa"/>
            <w:gridSpan w:val="2"/>
            <w:vAlign w:val="top"/>
          </w:tcPr>
          <w:p w14:paraId="60BC3B79">
            <w:pPr>
              <w:pStyle w:val="14"/>
              <w:spacing w:before="36" w:line="225" w:lineRule="auto"/>
              <w:ind w:left="870"/>
              <w:rPr>
                <w:sz w:val="22"/>
                <w:szCs w:val="22"/>
              </w:rPr>
            </w:pPr>
            <w:r>
              <w:rPr>
                <w:spacing w:val="-7"/>
                <w:sz w:val="22"/>
                <w:szCs w:val="22"/>
              </w:rPr>
              <w:t>小计</w:t>
            </w:r>
          </w:p>
        </w:tc>
        <w:tc>
          <w:tcPr>
            <w:tcW w:w="6544" w:type="dxa"/>
            <w:vAlign w:val="top"/>
          </w:tcPr>
          <w:p w14:paraId="20BDE67C">
            <w:pPr>
              <w:rPr>
                <w:rFonts w:ascii="Arial"/>
                <w:sz w:val="21"/>
              </w:rPr>
            </w:pPr>
          </w:p>
        </w:tc>
        <w:tc>
          <w:tcPr>
            <w:tcW w:w="802" w:type="dxa"/>
            <w:vAlign w:val="top"/>
          </w:tcPr>
          <w:p w14:paraId="6AAB69A4">
            <w:pPr>
              <w:pStyle w:val="14"/>
              <w:spacing w:before="36" w:line="223" w:lineRule="auto"/>
              <w:ind w:left="168"/>
              <w:rPr>
                <w:sz w:val="22"/>
                <w:szCs w:val="22"/>
              </w:rPr>
            </w:pPr>
            <w:r>
              <w:rPr>
                <w:spacing w:val="-7"/>
                <w:sz w:val="22"/>
                <w:szCs w:val="22"/>
              </w:rPr>
              <w:t>15分</w:t>
            </w:r>
          </w:p>
        </w:tc>
      </w:tr>
      <w:tr w14:paraId="47E9CB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1" w:hRule="atLeast"/>
        </w:trPr>
        <w:tc>
          <w:tcPr>
            <w:tcW w:w="708" w:type="dxa"/>
            <w:vAlign w:val="top"/>
          </w:tcPr>
          <w:p w14:paraId="1A29A319">
            <w:pPr>
              <w:pStyle w:val="14"/>
              <w:spacing w:before="294" w:line="184" w:lineRule="auto"/>
              <w:ind w:left="316"/>
              <w:rPr>
                <w:sz w:val="22"/>
                <w:szCs w:val="22"/>
              </w:rPr>
            </w:pPr>
            <w:r>
              <w:rPr>
                <w:sz w:val="22"/>
                <w:szCs w:val="22"/>
              </w:rPr>
              <w:t>1</w:t>
            </w:r>
          </w:p>
        </w:tc>
        <w:tc>
          <w:tcPr>
            <w:tcW w:w="1450" w:type="dxa"/>
            <w:vAlign w:val="top"/>
          </w:tcPr>
          <w:p w14:paraId="508C9E93">
            <w:pPr>
              <w:pStyle w:val="14"/>
              <w:spacing w:before="289" w:line="222" w:lineRule="auto"/>
              <w:ind w:left="111"/>
              <w:rPr>
                <w:sz w:val="22"/>
                <w:szCs w:val="22"/>
              </w:rPr>
            </w:pPr>
            <w:r>
              <w:rPr>
                <w:sz w:val="22"/>
                <w:szCs w:val="22"/>
              </w:rPr>
              <w:t>报价得分</w:t>
            </w:r>
          </w:p>
        </w:tc>
        <w:tc>
          <w:tcPr>
            <w:tcW w:w="6544" w:type="dxa"/>
            <w:vAlign w:val="top"/>
          </w:tcPr>
          <w:p w14:paraId="73D6EE8D">
            <w:pPr>
              <w:pStyle w:val="14"/>
              <w:spacing w:before="147" w:line="222" w:lineRule="auto"/>
              <w:ind w:left="112"/>
              <w:rPr>
                <w:sz w:val="22"/>
                <w:szCs w:val="22"/>
              </w:rPr>
            </w:pPr>
            <w:r>
              <w:rPr>
                <w:sz w:val="22"/>
                <w:szCs w:val="22"/>
              </w:rPr>
              <w:t>磋商报价得分＝(磋商基准价/最后磋商报价)×价格分值</w:t>
            </w:r>
          </w:p>
          <w:p w14:paraId="44E82222">
            <w:pPr>
              <w:pStyle w:val="14"/>
              <w:spacing w:before="18" w:line="222" w:lineRule="auto"/>
              <w:ind w:left="112"/>
              <w:rPr>
                <w:sz w:val="22"/>
                <w:szCs w:val="22"/>
              </w:rPr>
            </w:pPr>
            <w:r>
              <w:rPr>
                <w:spacing w:val="2"/>
                <w:sz w:val="22"/>
                <w:szCs w:val="22"/>
              </w:rPr>
              <w:t>磋商基准价为满足磋商文件要求且最后报价最低的供应商的价格</w:t>
            </w:r>
          </w:p>
        </w:tc>
        <w:tc>
          <w:tcPr>
            <w:tcW w:w="802" w:type="dxa"/>
            <w:vAlign w:val="top"/>
          </w:tcPr>
          <w:p w14:paraId="5CA9B16E">
            <w:pPr>
              <w:pStyle w:val="14"/>
              <w:spacing w:before="259" w:line="223" w:lineRule="auto"/>
              <w:ind w:left="157"/>
              <w:rPr>
                <w:sz w:val="22"/>
                <w:szCs w:val="22"/>
              </w:rPr>
            </w:pPr>
            <w:r>
              <w:rPr>
                <w:spacing w:val="-3"/>
                <w:sz w:val="22"/>
                <w:szCs w:val="22"/>
              </w:rPr>
              <w:t>30分</w:t>
            </w:r>
          </w:p>
        </w:tc>
      </w:tr>
    </w:tbl>
    <w:p w14:paraId="7A54BD83">
      <w:pPr>
        <w:pStyle w:val="5"/>
      </w:pPr>
    </w:p>
    <w:p w14:paraId="71028B7C">
      <w:pPr>
        <w:pStyle w:val="5"/>
        <w:spacing w:line="292" w:lineRule="auto"/>
        <w:rPr>
          <w:rFonts w:ascii="黑体" w:hAnsi="黑体" w:eastAsia="黑体" w:cs="黑体"/>
          <w:sz w:val="24"/>
          <w:szCs w:val="24"/>
        </w:rPr>
      </w:pPr>
      <w:r>
        <w:rPr>
          <w:rFonts w:hint="eastAsia" w:eastAsia="宋体"/>
          <w:lang w:val="en-US" w:eastAsia="zh-CN"/>
        </w:rPr>
        <w:t xml:space="preserve">         </w:t>
      </w:r>
      <w:r>
        <w:rPr>
          <w:rFonts w:ascii="黑体" w:hAnsi="黑体" w:eastAsia="黑体" w:cs="黑体"/>
          <w:spacing w:val="8"/>
          <w:sz w:val="24"/>
          <w:szCs w:val="24"/>
        </w:rPr>
        <w:t>25.6供应商在评标过程中，所进行的力图影响评标</w:t>
      </w:r>
      <w:r>
        <w:rPr>
          <w:rFonts w:ascii="黑体" w:hAnsi="黑体" w:eastAsia="黑体" w:cs="黑体"/>
          <w:spacing w:val="7"/>
          <w:sz w:val="24"/>
          <w:szCs w:val="24"/>
        </w:rPr>
        <w:t>结果的不符合招标规则的活</w:t>
      </w:r>
    </w:p>
    <w:p w14:paraId="23E1EFA4">
      <w:pPr>
        <w:spacing w:before="191" w:line="213" w:lineRule="auto"/>
        <w:ind w:left="9"/>
        <w:rPr>
          <w:rFonts w:ascii="黑体" w:hAnsi="黑体" w:eastAsia="黑体" w:cs="黑体"/>
          <w:sz w:val="24"/>
          <w:szCs w:val="24"/>
        </w:rPr>
      </w:pPr>
      <w:r>
        <w:rPr>
          <w:rFonts w:ascii="黑体" w:hAnsi="黑体" w:eastAsia="黑体" w:cs="黑体"/>
          <w:spacing w:val="4"/>
          <w:sz w:val="24"/>
          <w:szCs w:val="24"/>
        </w:rPr>
        <w:t>动，可能导致其被取消中标资格。</w:t>
      </w:r>
    </w:p>
    <w:p w14:paraId="680D33F7">
      <w:pPr>
        <w:spacing w:before="190" w:line="222" w:lineRule="auto"/>
        <w:ind w:left="498"/>
        <w:rPr>
          <w:rFonts w:ascii="黑体" w:hAnsi="黑体" w:eastAsia="黑体" w:cs="黑体"/>
          <w:sz w:val="24"/>
          <w:szCs w:val="24"/>
        </w:rPr>
      </w:pPr>
      <w:r>
        <w:rPr>
          <w:rFonts w:ascii="黑体" w:hAnsi="黑体" w:eastAsia="黑体" w:cs="黑体"/>
          <w:spacing w:val="4"/>
          <w:sz w:val="24"/>
          <w:szCs w:val="24"/>
        </w:rPr>
        <w:t>25.7与竞争性磋商文件有重大偏离的响应文件将被拒绝。</w:t>
      </w:r>
    </w:p>
    <w:p w14:paraId="0F550DFA">
      <w:pPr>
        <w:spacing w:before="179" w:line="222" w:lineRule="auto"/>
        <w:ind w:left="6"/>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26中标供应商的确认</w:t>
      </w:r>
    </w:p>
    <w:p w14:paraId="02159FC6">
      <w:pPr>
        <w:spacing w:before="179" w:line="360" w:lineRule="auto"/>
        <w:ind w:left="27" w:right="44" w:firstLine="428"/>
        <w:jc w:val="both"/>
        <w:rPr>
          <w:rFonts w:ascii="黑体" w:hAnsi="黑体" w:eastAsia="黑体" w:cs="黑体"/>
          <w:sz w:val="24"/>
          <w:szCs w:val="24"/>
        </w:rPr>
      </w:pPr>
      <w:r>
        <w:rPr>
          <w:rFonts w:ascii="黑体" w:hAnsi="黑体" w:eastAsia="黑体" w:cs="黑体"/>
          <w:spacing w:val="-15"/>
          <w:sz w:val="24"/>
          <w:szCs w:val="24"/>
        </w:rPr>
        <w:t>26.1评标委员会推荐得分最高的为第一中标候选人。采购人应当接受评标委员会推荐的</w:t>
      </w:r>
      <w:r>
        <w:rPr>
          <w:rFonts w:ascii="黑体" w:hAnsi="黑体" w:eastAsia="黑体" w:cs="黑体"/>
          <w:spacing w:val="-19"/>
          <w:sz w:val="24"/>
          <w:szCs w:val="24"/>
        </w:rPr>
        <w:t>中标候选人，不得在评标委员会推荐的中标候选人之外确定中标人。评标委员会无义务向</w:t>
      </w:r>
      <w:r>
        <w:rPr>
          <w:rFonts w:ascii="黑体" w:hAnsi="黑体" w:eastAsia="黑体" w:cs="黑体"/>
          <w:spacing w:val="-20"/>
          <w:sz w:val="24"/>
          <w:szCs w:val="24"/>
        </w:rPr>
        <w:t>供应</w:t>
      </w:r>
    </w:p>
    <w:p w14:paraId="6E8D8616">
      <w:pPr>
        <w:spacing w:before="1" w:line="221" w:lineRule="auto"/>
        <w:ind w:left="16"/>
        <w:rPr>
          <w:rFonts w:ascii="黑体" w:hAnsi="黑体" w:eastAsia="黑体" w:cs="黑体"/>
          <w:sz w:val="24"/>
          <w:szCs w:val="24"/>
        </w:rPr>
      </w:pPr>
      <w:r>
        <w:rPr>
          <w:rFonts w:ascii="黑体" w:hAnsi="黑体" w:eastAsia="黑体" w:cs="黑体"/>
          <w:spacing w:val="-16"/>
          <w:sz w:val="24"/>
          <w:szCs w:val="24"/>
        </w:rPr>
        <w:t>商进行任何有关评标的解释工作。</w:t>
      </w:r>
    </w:p>
    <w:p w14:paraId="64DE0A36">
      <w:pPr>
        <w:spacing w:before="180" w:line="360" w:lineRule="auto"/>
        <w:ind w:left="12" w:right="66" w:firstLine="486"/>
        <w:jc w:val="both"/>
        <w:rPr>
          <w:rFonts w:ascii="黑体" w:hAnsi="黑体" w:eastAsia="黑体" w:cs="黑体"/>
          <w:sz w:val="24"/>
          <w:szCs w:val="24"/>
        </w:rPr>
      </w:pPr>
      <w:r>
        <w:rPr>
          <w:rFonts w:ascii="黑体" w:hAnsi="黑体" w:eastAsia="黑体" w:cs="黑体"/>
          <w:spacing w:val="8"/>
          <w:sz w:val="24"/>
          <w:szCs w:val="24"/>
        </w:rPr>
        <w:t>26.2采购人应当确定排名第一的中标候选人为中标</w:t>
      </w:r>
      <w:r>
        <w:rPr>
          <w:rFonts w:ascii="黑体" w:hAnsi="黑体" w:eastAsia="黑体" w:cs="黑体"/>
          <w:spacing w:val="7"/>
          <w:sz w:val="24"/>
          <w:szCs w:val="24"/>
        </w:rPr>
        <w:t>供应商。排名第一的中标候</w:t>
      </w:r>
      <w:r>
        <w:rPr>
          <w:rFonts w:ascii="黑体" w:hAnsi="黑体" w:eastAsia="黑体" w:cs="黑体"/>
          <w:spacing w:val="5"/>
          <w:sz w:val="24"/>
          <w:szCs w:val="24"/>
        </w:rPr>
        <w:t>选人放弃中标、因不可抗力提出不能履行合同，或者竞</w:t>
      </w:r>
      <w:r>
        <w:rPr>
          <w:rFonts w:ascii="黑体" w:hAnsi="黑体" w:eastAsia="黑体" w:cs="黑体"/>
          <w:spacing w:val="4"/>
          <w:sz w:val="24"/>
          <w:szCs w:val="24"/>
        </w:rPr>
        <w:t>争性磋商文件规定应当提交履</w:t>
      </w:r>
      <w:r>
        <w:rPr>
          <w:rFonts w:ascii="黑体" w:hAnsi="黑体" w:eastAsia="黑体" w:cs="黑体"/>
          <w:spacing w:val="5"/>
          <w:sz w:val="24"/>
          <w:szCs w:val="24"/>
        </w:rPr>
        <w:t>约保证金而在规定的期限内未能提交的，采购人可以确</w:t>
      </w:r>
      <w:r>
        <w:rPr>
          <w:rFonts w:ascii="黑体" w:hAnsi="黑体" w:eastAsia="黑体" w:cs="黑体"/>
          <w:spacing w:val="4"/>
          <w:sz w:val="24"/>
          <w:szCs w:val="24"/>
        </w:rPr>
        <w:t>定排名第二的中标候选人为中</w:t>
      </w:r>
    </w:p>
    <w:p w14:paraId="0B038EA7">
      <w:pPr>
        <w:spacing w:before="1" w:line="221" w:lineRule="auto"/>
        <w:ind w:left="3"/>
        <w:rPr>
          <w:rFonts w:ascii="黑体" w:hAnsi="黑体" w:eastAsia="黑体" w:cs="黑体"/>
          <w:sz w:val="24"/>
          <w:szCs w:val="24"/>
        </w:rPr>
      </w:pPr>
      <w:r>
        <w:rPr>
          <w:rFonts w:ascii="黑体" w:hAnsi="黑体" w:eastAsia="黑体" w:cs="黑体"/>
          <w:spacing w:val="2"/>
          <w:sz w:val="24"/>
          <w:szCs w:val="24"/>
        </w:rPr>
        <w:t>标供应商。</w:t>
      </w:r>
    </w:p>
    <w:p w14:paraId="07E6E095">
      <w:pPr>
        <w:spacing w:before="180" w:line="468" w:lineRule="exact"/>
        <w:ind w:right="68"/>
        <w:jc w:val="right"/>
        <w:rPr>
          <w:rFonts w:ascii="黑体" w:hAnsi="黑体" w:eastAsia="黑体" w:cs="黑体"/>
          <w:sz w:val="24"/>
          <w:szCs w:val="24"/>
        </w:rPr>
      </w:pPr>
      <w:r>
        <w:rPr>
          <w:rFonts w:ascii="黑体" w:hAnsi="黑体" w:eastAsia="黑体" w:cs="黑体"/>
          <w:spacing w:val="8"/>
          <w:position w:val="17"/>
          <w:sz w:val="24"/>
          <w:szCs w:val="24"/>
        </w:rPr>
        <w:t>26.3在确定中标供应商前，采购人不得与投标供应</w:t>
      </w:r>
      <w:r>
        <w:rPr>
          <w:rFonts w:ascii="黑体" w:hAnsi="黑体" w:eastAsia="黑体" w:cs="黑体"/>
          <w:spacing w:val="7"/>
          <w:position w:val="17"/>
          <w:sz w:val="24"/>
          <w:szCs w:val="24"/>
        </w:rPr>
        <w:t>商就投标价格、投标方案等</w:t>
      </w:r>
    </w:p>
    <w:p w14:paraId="5815ED30">
      <w:pPr>
        <w:spacing w:line="221" w:lineRule="auto"/>
        <w:ind w:left="14"/>
        <w:rPr>
          <w:rFonts w:ascii="黑体" w:hAnsi="黑体" w:eastAsia="黑体" w:cs="黑体"/>
          <w:sz w:val="24"/>
          <w:szCs w:val="24"/>
        </w:rPr>
      </w:pPr>
      <w:r>
        <w:rPr>
          <w:rFonts w:ascii="黑体" w:hAnsi="黑体" w:eastAsia="黑体" w:cs="黑体"/>
          <w:spacing w:val="2"/>
          <w:sz w:val="24"/>
          <w:szCs w:val="24"/>
        </w:rPr>
        <w:t>实质性内容进行磋商。</w:t>
      </w:r>
    </w:p>
    <w:p w14:paraId="3E28B58A">
      <w:pPr>
        <w:spacing w:before="181" w:line="222" w:lineRule="auto"/>
        <w:ind w:left="6"/>
        <w:rPr>
          <w:rFonts w:ascii="黑体" w:hAnsi="黑体" w:eastAsia="黑体" w:cs="黑体"/>
          <w:sz w:val="24"/>
          <w:szCs w:val="24"/>
        </w:rPr>
      </w:pPr>
      <w:r>
        <w:rPr>
          <w:rFonts w:ascii="黑体" w:hAnsi="黑体" w:eastAsia="黑体" w:cs="黑体"/>
          <w:spacing w:val="-2"/>
          <w:sz w:val="24"/>
          <w:szCs w:val="24"/>
          <w14:textOutline w14:w="4358" w14:cap="sq" w14:cmpd="sng">
            <w14:solidFill>
              <w14:srgbClr w14:val="000000"/>
            </w14:solidFill>
            <w14:prstDash w14:val="solid"/>
            <w14:bevel/>
          </w14:textOutline>
        </w:rPr>
        <w:t>27中标通知</w:t>
      </w:r>
    </w:p>
    <w:p w14:paraId="070DF0E9">
      <w:pPr>
        <w:spacing w:before="179" w:line="468" w:lineRule="exact"/>
        <w:ind w:right="55"/>
        <w:jc w:val="right"/>
        <w:rPr>
          <w:rFonts w:ascii="黑体" w:hAnsi="黑体" w:eastAsia="黑体" w:cs="黑体"/>
          <w:sz w:val="24"/>
          <w:szCs w:val="24"/>
        </w:rPr>
      </w:pPr>
      <w:r>
        <w:rPr>
          <w:rFonts w:ascii="黑体" w:hAnsi="黑体" w:eastAsia="黑体" w:cs="黑体"/>
          <w:spacing w:val="7"/>
          <w:position w:val="17"/>
          <w:sz w:val="24"/>
          <w:szCs w:val="24"/>
        </w:rPr>
        <w:t>27.1采购人或者采购代理机构应当自中标供应商确定之日起2个工作日内，发</w:t>
      </w:r>
    </w:p>
    <w:p w14:paraId="4B356945">
      <w:pPr>
        <w:spacing w:before="1" w:line="212" w:lineRule="auto"/>
        <w:ind w:left="24"/>
        <w:rPr>
          <w:rFonts w:ascii="黑体" w:hAnsi="黑体" w:eastAsia="黑体" w:cs="黑体"/>
          <w:sz w:val="24"/>
          <w:szCs w:val="24"/>
        </w:rPr>
      </w:pPr>
      <w:r>
        <w:rPr>
          <w:rFonts w:ascii="黑体" w:hAnsi="黑体" w:eastAsia="黑体" w:cs="黑体"/>
          <w:spacing w:val="5"/>
          <w:sz w:val="24"/>
          <w:szCs w:val="24"/>
        </w:rPr>
        <w:t>出中标通知书，并在</w:t>
      </w:r>
      <w:r>
        <w:rPr>
          <w:rFonts w:hint="eastAsia" w:ascii="黑体" w:hAnsi="黑体" w:eastAsia="黑体" w:cs="黑体"/>
          <w:spacing w:val="5"/>
          <w:sz w:val="24"/>
          <w:szCs w:val="24"/>
          <w:lang w:val="en-US" w:eastAsia="zh-CN"/>
        </w:rPr>
        <w:t>新疆政府采购网</w:t>
      </w:r>
      <w:r>
        <w:rPr>
          <w:rFonts w:ascii="黑体" w:hAnsi="黑体" w:eastAsia="黑体" w:cs="黑体"/>
          <w:spacing w:val="5"/>
          <w:sz w:val="24"/>
          <w:szCs w:val="24"/>
        </w:rPr>
        <w:t>上公告</w:t>
      </w:r>
      <w:r>
        <w:rPr>
          <w:rFonts w:ascii="黑体" w:hAnsi="黑体" w:eastAsia="黑体" w:cs="黑体"/>
          <w:spacing w:val="4"/>
          <w:sz w:val="24"/>
          <w:szCs w:val="24"/>
        </w:rPr>
        <w:t>中标结果。</w:t>
      </w:r>
    </w:p>
    <w:p w14:paraId="5FD6D221">
      <w:pPr>
        <w:spacing w:before="191" w:line="468" w:lineRule="exact"/>
        <w:ind w:left="498"/>
        <w:rPr>
          <w:rFonts w:ascii="黑体" w:hAnsi="黑体" w:eastAsia="黑体" w:cs="黑体"/>
          <w:sz w:val="24"/>
          <w:szCs w:val="24"/>
        </w:rPr>
      </w:pPr>
      <w:r>
        <w:rPr>
          <w:rFonts w:ascii="黑体" w:hAnsi="黑体" w:eastAsia="黑体" w:cs="黑体"/>
          <w:spacing w:val="7"/>
          <w:position w:val="17"/>
          <w:sz w:val="24"/>
          <w:szCs w:val="24"/>
        </w:rPr>
        <w:t>27.2中标通知书对采购人和中标供应商均具有法</w:t>
      </w:r>
      <w:r>
        <w:rPr>
          <w:rFonts w:ascii="黑体" w:hAnsi="黑体" w:eastAsia="黑体" w:cs="黑体"/>
          <w:spacing w:val="6"/>
          <w:position w:val="17"/>
          <w:sz w:val="24"/>
          <w:szCs w:val="24"/>
        </w:rPr>
        <w:t>律效力。中标通知书发出后，</w:t>
      </w:r>
    </w:p>
    <w:p w14:paraId="33FABC1C">
      <w:pPr>
        <w:spacing w:before="1" w:line="212" w:lineRule="auto"/>
        <w:ind w:left="6"/>
        <w:rPr>
          <w:rFonts w:ascii="黑体" w:hAnsi="黑体" w:eastAsia="黑体" w:cs="黑体"/>
          <w:sz w:val="24"/>
          <w:szCs w:val="24"/>
        </w:rPr>
      </w:pPr>
      <w:r>
        <w:rPr>
          <w:rFonts w:ascii="黑体" w:hAnsi="黑体" w:eastAsia="黑体" w:cs="黑体"/>
          <w:spacing w:val="5"/>
          <w:sz w:val="24"/>
          <w:szCs w:val="24"/>
        </w:rPr>
        <w:t>采购人改变中标结果的，或者中标供应商放弃中标项目的，应当依法承担法律责任。</w:t>
      </w:r>
    </w:p>
    <w:p w14:paraId="33427819">
      <w:pPr>
        <w:spacing w:before="191" w:line="222" w:lineRule="auto"/>
        <w:ind w:left="6"/>
        <w:rPr>
          <w:rFonts w:ascii="黑体" w:hAnsi="黑体" w:eastAsia="黑体" w:cs="黑体"/>
          <w:sz w:val="24"/>
          <w:szCs w:val="24"/>
        </w:rPr>
      </w:pPr>
      <w:r>
        <w:rPr>
          <w:rFonts w:ascii="黑体" w:hAnsi="黑体" w:eastAsia="黑体" w:cs="黑体"/>
          <w:spacing w:val="4"/>
          <w:sz w:val="24"/>
          <w:szCs w:val="24"/>
          <w14:textOutline w14:w="4358" w14:cap="sq" w14:cmpd="sng">
            <w14:solidFill>
              <w14:srgbClr w14:val="000000"/>
            </w14:solidFill>
            <w14:prstDash w14:val="solid"/>
            <w14:bevel/>
          </w14:textOutline>
        </w:rPr>
        <w:t>28拒绝投标的权力</w:t>
      </w:r>
    </w:p>
    <w:p w14:paraId="6E61033F">
      <w:pPr>
        <w:spacing w:before="180" w:line="468" w:lineRule="exact"/>
        <w:ind w:right="27"/>
        <w:jc w:val="right"/>
        <w:rPr>
          <w:rFonts w:ascii="黑体" w:hAnsi="黑体" w:eastAsia="黑体" w:cs="黑体"/>
          <w:sz w:val="24"/>
          <w:szCs w:val="24"/>
        </w:rPr>
      </w:pPr>
      <w:r>
        <w:rPr>
          <w:rFonts w:ascii="黑体" w:hAnsi="黑体" w:eastAsia="黑体" w:cs="黑体"/>
          <w:spacing w:val="-18"/>
          <w:position w:val="17"/>
          <w:sz w:val="24"/>
          <w:szCs w:val="24"/>
        </w:rPr>
        <w:t>采购人有权在定标前拒绝任何有不正当行为或扰乱正常采购工作的</w:t>
      </w:r>
      <w:r>
        <w:rPr>
          <w:rFonts w:ascii="黑体" w:hAnsi="黑体" w:eastAsia="黑体" w:cs="黑体"/>
          <w:spacing w:val="-19"/>
          <w:position w:val="17"/>
          <w:sz w:val="24"/>
          <w:szCs w:val="24"/>
        </w:rPr>
        <w:t>供应商，由此对供应商</w:t>
      </w:r>
    </w:p>
    <w:p w14:paraId="447F4FF1">
      <w:pPr>
        <w:spacing w:before="1" w:line="212" w:lineRule="auto"/>
        <w:ind w:left="6"/>
        <w:rPr>
          <w:rFonts w:ascii="黑体" w:hAnsi="黑体" w:eastAsia="黑体" w:cs="黑体"/>
          <w:sz w:val="24"/>
          <w:szCs w:val="24"/>
        </w:rPr>
      </w:pPr>
      <w:r>
        <w:rPr>
          <w:rFonts w:ascii="黑体" w:hAnsi="黑体" w:eastAsia="黑体" w:cs="黑体"/>
          <w:spacing w:val="-15"/>
          <w:sz w:val="24"/>
          <w:szCs w:val="24"/>
        </w:rPr>
        <w:t>造成的损失不负任何责任，同时对此也不做任何解</w:t>
      </w:r>
      <w:r>
        <w:rPr>
          <w:rFonts w:ascii="黑体" w:hAnsi="黑体" w:eastAsia="黑体" w:cs="黑体"/>
          <w:spacing w:val="-16"/>
          <w:sz w:val="24"/>
          <w:szCs w:val="24"/>
        </w:rPr>
        <w:t>释。</w:t>
      </w:r>
    </w:p>
    <w:p w14:paraId="35E0FC79">
      <w:pPr>
        <w:pStyle w:val="5"/>
        <w:spacing w:line="258" w:lineRule="auto"/>
      </w:pPr>
    </w:p>
    <w:p w14:paraId="55D5BDFC">
      <w:pPr>
        <w:pStyle w:val="5"/>
        <w:spacing w:line="258" w:lineRule="auto"/>
      </w:pPr>
    </w:p>
    <w:p w14:paraId="22560F6D">
      <w:pPr>
        <w:pStyle w:val="5"/>
        <w:spacing w:line="259" w:lineRule="auto"/>
      </w:pPr>
    </w:p>
    <w:p w14:paraId="5A96954B">
      <w:pPr>
        <w:pStyle w:val="5"/>
        <w:spacing w:line="259" w:lineRule="auto"/>
      </w:pPr>
    </w:p>
    <w:p w14:paraId="1F723A36">
      <w:pPr>
        <w:pStyle w:val="5"/>
        <w:spacing w:line="259" w:lineRule="auto"/>
      </w:pPr>
    </w:p>
    <w:p w14:paraId="360BBB77">
      <w:pPr>
        <w:pStyle w:val="5"/>
        <w:spacing w:line="259" w:lineRule="auto"/>
      </w:pPr>
    </w:p>
    <w:p w14:paraId="1A71E594">
      <w:pPr>
        <w:pStyle w:val="5"/>
        <w:spacing w:line="259" w:lineRule="auto"/>
      </w:pPr>
    </w:p>
    <w:p w14:paraId="59BD8120">
      <w:pPr>
        <w:pStyle w:val="5"/>
        <w:spacing w:line="259" w:lineRule="auto"/>
      </w:pPr>
    </w:p>
    <w:p w14:paraId="183BDE7A">
      <w:pPr>
        <w:pStyle w:val="5"/>
        <w:spacing w:line="259" w:lineRule="auto"/>
      </w:pPr>
    </w:p>
    <w:p w14:paraId="4C93B9EF">
      <w:pPr>
        <w:pStyle w:val="5"/>
        <w:spacing w:line="259" w:lineRule="auto"/>
      </w:pPr>
    </w:p>
    <w:p w14:paraId="67291F6C">
      <w:pPr>
        <w:pStyle w:val="5"/>
        <w:spacing w:line="259" w:lineRule="auto"/>
      </w:pPr>
    </w:p>
    <w:p w14:paraId="3BCF60FE">
      <w:pPr>
        <w:pStyle w:val="5"/>
        <w:spacing w:line="259" w:lineRule="auto"/>
      </w:pPr>
    </w:p>
    <w:p w14:paraId="6EFC690D">
      <w:pPr>
        <w:pStyle w:val="5"/>
        <w:spacing w:line="259" w:lineRule="auto"/>
      </w:pPr>
    </w:p>
    <w:p w14:paraId="267F7525">
      <w:pPr>
        <w:pStyle w:val="5"/>
        <w:spacing w:line="259" w:lineRule="auto"/>
      </w:pPr>
    </w:p>
    <w:p w14:paraId="7329ADD4">
      <w:pPr>
        <w:pStyle w:val="5"/>
        <w:spacing w:line="259" w:lineRule="auto"/>
      </w:pPr>
    </w:p>
    <w:p w14:paraId="1AE604BE">
      <w:pPr>
        <w:pStyle w:val="5"/>
        <w:spacing w:line="259" w:lineRule="auto"/>
      </w:pPr>
    </w:p>
    <w:p w14:paraId="5BFC777F">
      <w:pPr>
        <w:pStyle w:val="5"/>
        <w:spacing w:line="259" w:lineRule="auto"/>
      </w:pPr>
    </w:p>
    <w:p w14:paraId="3B231C0A">
      <w:pPr>
        <w:pStyle w:val="5"/>
        <w:spacing w:line="259" w:lineRule="auto"/>
      </w:pPr>
    </w:p>
    <w:p w14:paraId="377FAD3A">
      <w:pPr>
        <w:pStyle w:val="5"/>
        <w:spacing w:line="259" w:lineRule="auto"/>
      </w:pPr>
    </w:p>
    <w:p w14:paraId="2E128969">
      <w:pPr>
        <w:pStyle w:val="5"/>
        <w:spacing w:line="259" w:lineRule="auto"/>
      </w:pPr>
    </w:p>
    <w:p w14:paraId="799D6D88">
      <w:pPr>
        <w:spacing w:before="92" w:line="223" w:lineRule="auto"/>
        <w:ind w:left="3613"/>
        <w:rPr>
          <w:rFonts w:ascii="黑体" w:hAnsi="黑体" w:eastAsia="黑体" w:cs="黑体"/>
          <w:spacing w:val="3"/>
          <w:sz w:val="28"/>
          <w:szCs w:val="28"/>
          <w14:textOutline w14:w="5103" w14:cap="sq" w14:cmpd="sng">
            <w14:solidFill>
              <w14:srgbClr w14:val="000000"/>
            </w14:solidFill>
            <w14:prstDash w14:val="solid"/>
            <w14:bevel/>
          </w14:textOutline>
        </w:rPr>
      </w:pPr>
    </w:p>
    <w:p w14:paraId="6281983E">
      <w:pPr>
        <w:spacing w:before="92" w:line="223" w:lineRule="auto"/>
        <w:ind w:left="3613"/>
        <w:rPr>
          <w:rFonts w:ascii="黑体" w:hAnsi="黑体" w:eastAsia="黑体" w:cs="黑体"/>
          <w:sz w:val="28"/>
          <w:szCs w:val="28"/>
        </w:rPr>
      </w:pPr>
      <w:r>
        <w:rPr>
          <w:rFonts w:ascii="黑体" w:hAnsi="黑体" w:eastAsia="黑体" w:cs="黑体"/>
          <w:spacing w:val="3"/>
          <w:sz w:val="28"/>
          <w:szCs w:val="28"/>
          <w14:textOutline w14:w="5103" w14:cap="sq" w14:cmpd="sng">
            <w14:solidFill>
              <w14:srgbClr w14:val="000000"/>
            </w14:solidFill>
            <w14:prstDash w14:val="solid"/>
            <w14:bevel/>
          </w14:textOutline>
        </w:rPr>
        <w:t>七、授予合同</w:t>
      </w:r>
    </w:p>
    <w:p w14:paraId="4C0F4E13">
      <w:pPr>
        <w:spacing w:before="229" w:line="221" w:lineRule="auto"/>
        <w:ind w:left="6"/>
        <w:rPr>
          <w:rFonts w:ascii="黑体" w:hAnsi="黑体" w:eastAsia="黑体" w:cs="黑体"/>
          <w:sz w:val="24"/>
          <w:szCs w:val="24"/>
        </w:rPr>
      </w:pPr>
      <w:r>
        <w:rPr>
          <w:rFonts w:ascii="黑体" w:hAnsi="黑体" w:eastAsia="黑体" w:cs="黑体"/>
          <w:spacing w:val="2"/>
          <w:sz w:val="24"/>
          <w:szCs w:val="24"/>
          <w14:textOutline w14:w="4358" w14:cap="sq" w14:cmpd="sng">
            <w14:solidFill>
              <w14:srgbClr w14:val="000000"/>
            </w14:solidFill>
            <w14:prstDash w14:val="solid"/>
            <w14:bevel/>
          </w14:textOutline>
        </w:rPr>
        <w:t>29签订商务合同</w:t>
      </w:r>
    </w:p>
    <w:p w14:paraId="1241CA37">
      <w:pPr>
        <w:spacing w:before="181" w:line="468" w:lineRule="exact"/>
        <w:ind w:right="66"/>
        <w:jc w:val="right"/>
        <w:rPr>
          <w:rFonts w:ascii="黑体" w:hAnsi="黑体" w:eastAsia="黑体" w:cs="黑体"/>
          <w:sz w:val="24"/>
          <w:szCs w:val="24"/>
        </w:rPr>
      </w:pPr>
      <w:r>
        <w:rPr>
          <w:rFonts w:ascii="黑体" w:hAnsi="黑体" w:eastAsia="黑体" w:cs="黑体"/>
          <w:spacing w:val="2"/>
          <w:position w:val="17"/>
          <w:sz w:val="24"/>
          <w:szCs w:val="24"/>
        </w:rPr>
        <w:t>29.1采购人与中标供应商应当在中标通知书发出之日起30日内，按照竞争性磋</w:t>
      </w:r>
    </w:p>
    <w:p w14:paraId="50425807">
      <w:pPr>
        <w:spacing w:before="1" w:line="221" w:lineRule="auto"/>
        <w:ind w:left="16"/>
        <w:rPr>
          <w:rFonts w:ascii="黑体" w:hAnsi="黑体" w:eastAsia="黑体" w:cs="黑体"/>
          <w:sz w:val="24"/>
          <w:szCs w:val="24"/>
        </w:rPr>
      </w:pPr>
      <w:r>
        <w:rPr>
          <w:rFonts w:ascii="黑体" w:hAnsi="黑体" w:eastAsia="黑体" w:cs="黑体"/>
          <w:spacing w:val="4"/>
          <w:sz w:val="24"/>
          <w:szCs w:val="24"/>
        </w:rPr>
        <w:t>商文件确定的事项签订政府采购合同。</w:t>
      </w:r>
    </w:p>
    <w:p w14:paraId="03C49159">
      <w:pPr>
        <w:spacing w:before="180" w:line="360" w:lineRule="auto"/>
        <w:ind w:left="8" w:firstLine="490"/>
        <w:rPr>
          <w:rFonts w:ascii="黑体" w:hAnsi="黑体" w:eastAsia="黑体" w:cs="黑体"/>
          <w:spacing w:val="4"/>
          <w:sz w:val="24"/>
          <w:szCs w:val="24"/>
        </w:rPr>
      </w:pPr>
      <w:r>
        <w:rPr>
          <w:rFonts w:ascii="黑体" w:hAnsi="黑体" w:eastAsia="黑体" w:cs="黑体"/>
          <w:spacing w:val="7"/>
          <w:sz w:val="24"/>
          <w:szCs w:val="24"/>
        </w:rPr>
        <w:t>29.2中标合同不得转让。经采购人同意，中标供应商可以依法采</w:t>
      </w:r>
      <w:r>
        <w:rPr>
          <w:rFonts w:ascii="黑体" w:hAnsi="黑体" w:eastAsia="黑体" w:cs="黑体"/>
          <w:spacing w:val="6"/>
          <w:sz w:val="24"/>
          <w:szCs w:val="24"/>
        </w:rPr>
        <w:t>取分包方式履</w:t>
      </w:r>
      <w:r>
        <w:rPr>
          <w:rFonts w:ascii="黑体" w:hAnsi="黑体" w:eastAsia="黑体" w:cs="黑体"/>
          <w:sz w:val="24"/>
          <w:szCs w:val="24"/>
        </w:rPr>
        <w:t>行合同。政府采购合同分包履行的，中标供应商就采购项目和分包项目向采购人负责，</w:t>
      </w:r>
      <w:r>
        <w:rPr>
          <w:rFonts w:ascii="黑体" w:hAnsi="黑体" w:eastAsia="黑体" w:cs="黑体"/>
          <w:spacing w:val="4"/>
          <w:sz w:val="24"/>
          <w:szCs w:val="24"/>
        </w:rPr>
        <w:t>分包供应商就分包项目承担责任。</w:t>
      </w:r>
    </w:p>
    <w:p w14:paraId="1692F13C">
      <w:pPr>
        <w:spacing w:before="78" w:line="360" w:lineRule="auto"/>
        <w:ind w:left="19" w:right="21" w:firstLine="474"/>
        <w:rPr>
          <w:rFonts w:ascii="黑体" w:hAnsi="黑体" w:eastAsia="黑体" w:cs="黑体"/>
          <w:sz w:val="24"/>
          <w:szCs w:val="24"/>
        </w:rPr>
      </w:pPr>
      <w:r>
        <w:rPr>
          <w:rFonts w:ascii="黑体" w:hAnsi="黑体" w:eastAsia="黑体" w:cs="黑体"/>
          <w:spacing w:val="8"/>
          <w:sz w:val="24"/>
          <w:szCs w:val="24"/>
        </w:rPr>
        <w:t>29.3竞争性磋商文件要求中标或者成交供应商提交</w:t>
      </w:r>
      <w:r>
        <w:rPr>
          <w:rFonts w:ascii="黑体" w:hAnsi="黑体" w:eastAsia="黑体" w:cs="黑体"/>
          <w:spacing w:val="7"/>
          <w:sz w:val="24"/>
          <w:szCs w:val="24"/>
        </w:rPr>
        <w:t>履约保证金的，供应商应当</w:t>
      </w:r>
      <w:r>
        <w:rPr>
          <w:rFonts w:ascii="黑体" w:hAnsi="黑体" w:eastAsia="黑体" w:cs="黑体"/>
          <w:spacing w:val="4"/>
          <w:sz w:val="24"/>
          <w:szCs w:val="24"/>
        </w:rPr>
        <w:t>以支票、汇票、本票或者金融机构、担保机构出具的保函等非现金形式提交。履约保</w:t>
      </w:r>
    </w:p>
    <w:p w14:paraId="459406C3">
      <w:pPr>
        <w:spacing w:line="221" w:lineRule="auto"/>
        <w:ind w:left="3"/>
        <w:rPr>
          <w:rFonts w:ascii="黑体" w:hAnsi="黑体" w:eastAsia="黑体" w:cs="黑体"/>
          <w:sz w:val="24"/>
          <w:szCs w:val="24"/>
        </w:rPr>
      </w:pPr>
      <w:r>
        <w:rPr>
          <w:rFonts w:ascii="黑体" w:hAnsi="黑体" w:eastAsia="黑体" w:cs="黑体"/>
          <w:spacing w:val="3"/>
          <w:sz w:val="24"/>
          <w:szCs w:val="24"/>
        </w:rPr>
        <w:t>证金的数额不得超过政府采购合同金额的10%。</w:t>
      </w:r>
    </w:p>
    <w:p w14:paraId="1322DA20">
      <w:pPr>
        <w:spacing w:before="179" w:line="468" w:lineRule="exact"/>
        <w:ind w:right="24"/>
        <w:jc w:val="right"/>
        <w:rPr>
          <w:rFonts w:ascii="黑体" w:hAnsi="黑体" w:eastAsia="黑体" w:cs="黑体"/>
          <w:sz w:val="24"/>
          <w:szCs w:val="24"/>
        </w:rPr>
      </w:pPr>
      <w:r>
        <w:rPr>
          <w:rFonts w:ascii="黑体" w:hAnsi="黑体" w:eastAsia="黑体" w:cs="黑体"/>
          <w:spacing w:val="7"/>
          <w:position w:val="17"/>
          <w:sz w:val="24"/>
          <w:szCs w:val="24"/>
        </w:rPr>
        <w:t>29.4中标供应商拒绝与采购人签订合同的，采购人可以按照评审</w:t>
      </w:r>
      <w:r>
        <w:rPr>
          <w:rFonts w:ascii="黑体" w:hAnsi="黑体" w:eastAsia="黑体" w:cs="黑体"/>
          <w:spacing w:val="6"/>
          <w:position w:val="17"/>
          <w:sz w:val="24"/>
          <w:szCs w:val="24"/>
        </w:rPr>
        <w:t>报告推荐的中</w:t>
      </w:r>
    </w:p>
    <w:p w14:paraId="05D620C9">
      <w:pPr>
        <w:spacing w:before="1" w:line="212" w:lineRule="auto"/>
        <w:rPr>
          <w:rFonts w:ascii="黑体" w:hAnsi="黑体" w:eastAsia="黑体" w:cs="黑体"/>
          <w:sz w:val="24"/>
          <w:szCs w:val="24"/>
        </w:rPr>
      </w:pPr>
      <w:r>
        <w:rPr>
          <w:rFonts w:ascii="黑体" w:hAnsi="黑体" w:eastAsia="黑体" w:cs="黑体"/>
          <w:spacing w:val="5"/>
          <w:sz w:val="24"/>
          <w:szCs w:val="24"/>
        </w:rPr>
        <w:t>标候选人名单排序，确定下一候选人为中标供应商，也可以重新开展政府采购活动。</w:t>
      </w:r>
    </w:p>
    <w:p w14:paraId="6E631FE0">
      <w:pPr>
        <w:spacing w:before="191" w:line="221" w:lineRule="auto"/>
        <w:ind w:left="494"/>
        <w:rPr>
          <w:rFonts w:ascii="黑体" w:hAnsi="黑体" w:eastAsia="黑体" w:cs="黑体"/>
          <w:sz w:val="24"/>
          <w:szCs w:val="24"/>
        </w:rPr>
      </w:pPr>
      <w:r>
        <w:rPr>
          <w:rFonts w:ascii="黑体" w:hAnsi="黑体" w:eastAsia="黑体" w:cs="黑体"/>
          <w:spacing w:val="5"/>
          <w:sz w:val="24"/>
          <w:szCs w:val="24"/>
        </w:rPr>
        <w:t>29.5政府采购合同的双方当事人不得擅自变更、中止或者终</w:t>
      </w:r>
      <w:r>
        <w:rPr>
          <w:rFonts w:ascii="黑体" w:hAnsi="黑体" w:eastAsia="黑体" w:cs="黑体"/>
          <w:spacing w:val="4"/>
          <w:sz w:val="24"/>
          <w:szCs w:val="24"/>
        </w:rPr>
        <w:t>止合同。</w:t>
      </w:r>
    </w:p>
    <w:p w14:paraId="6B7CDDAE">
      <w:pPr>
        <w:spacing w:before="181" w:line="360" w:lineRule="auto"/>
        <w:ind w:left="8" w:right="21" w:firstLine="486"/>
        <w:rPr>
          <w:rFonts w:ascii="黑体" w:hAnsi="黑体" w:eastAsia="黑体" w:cs="黑体"/>
          <w:sz w:val="24"/>
          <w:szCs w:val="24"/>
        </w:rPr>
      </w:pPr>
      <w:r>
        <w:rPr>
          <w:rFonts w:ascii="黑体" w:hAnsi="黑体" w:eastAsia="黑体" w:cs="黑体"/>
          <w:spacing w:val="12"/>
          <w:sz w:val="24"/>
          <w:szCs w:val="24"/>
        </w:rPr>
        <w:t>政府采购合同继续履行将损害国家利益和社会公共利益的，双方当事人应</w:t>
      </w:r>
      <w:r>
        <w:rPr>
          <w:rFonts w:ascii="黑体" w:hAnsi="黑体" w:eastAsia="黑体" w:cs="黑体"/>
          <w:spacing w:val="11"/>
          <w:sz w:val="24"/>
          <w:szCs w:val="24"/>
        </w:rPr>
        <w:t>当变</w:t>
      </w:r>
      <w:r>
        <w:rPr>
          <w:rFonts w:ascii="黑体" w:hAnsi="黑体" w:eastAsia="黑体" w:cs="黑体"/>
          <w:spacing w:val="5"/>
          <w:sz w:val="24"/>
          <w:szCs w:val="24"/>
        </w:rPr>
        <w:t>更、中止或者终止合同。有过错的一方应当承担赔偿责</w:t>
      </w:r>
      <w:r>
        <w:rPr>
          <w:rFonts w:ascii="黑体" w:hAnsi="黑体" w:eastAsia="黑体" w:cs="黑体"/>
          <w:spacing w:val="4"/>
          <w:sz w:val="24"/>
          <w:szCs w:val="24"/>
        </w:rPr>
        <w:t>任，双方都有过错的，各自承</w:t>
      </w:r>
    </w:p>
    <w:p w14:paraId="39673A7E">
      <w:pPr>
        <w:spacing w:before="1" w:line="220" w:lineRule="auto"/>
        <w:ind w:left="3"/>
        <w:rPr>
          <w:rFonts w:ascii="黑体" w:hAnsi="黑体" w:eastAsia="黑体" w:cs="黑体"/>
          <w:sz w:val="24"/>
          <w:szCs w:val="24"/>
        </w:rPr>
      </w:pPr>
      <w:r>
        <w:rPr>
          <w:rFonts w:ascii="黑体" w:hAnsi="黑体" w:eastAsia="黑体" w:cs="黑体"/>
          <w:spacing w:val="2"/>
          <w:sz w:val="24"/>
          <w:szCs w:val="24"/>
        </w:rPr>
        <w:t>担相应的责任。</w:t>
      </w:r>
    </w:p>
    <w:p w14:paraId="016F3552">
      <w:pPr>
        <w:spacing w:before="181" w:line="221" w:lineRule="auto"/>
        <w:ind w:left="4"/>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30商务合同的组成</w:t>
      </w:r>
    </w:p>
    <w:p w14:paraId="73B4890B">
      <w:pPr>
        <w:spacing w:before="181" w:line="221" w:lineRule="auto"/>
        <w:ind w:left="496"/>
        <w:rPr>
          <w:rFonts w:ascii="黑体" w:hAnsi="黑体" w:eastAsia="黑体" w:cs="黑体"/>
          <w:sz w:val="24"/>
          <w:szCs w:val="24"/>
        </w:rPr>
      </w:pPr>
      <w:r>
        <w:rPr>
          <w:rFonts w:ascii="黑体" w:hAnsi="黑体" w:eastAsia="黑体" w:cs="黑体"/>
          <w:spacing w:val="4"/>
          <w:sz w:val="24"/>
          <w:szCs w:val="24"/>
        </w:rPr>
        <w:t>30.1下列文件均为商务合同不可分割的组成部分：</w:t>
      </w:r>
    </w:p>
    <w:p w14:paraId="72C96A1B">
      <w:pPr>
        <w:spacing w:before="181" w:line="213" w:lineRule="auto"/>
        <w:ind w:left="496"/>
        <w:rPr>
          <w:rFonts w:ascii="黑体" w:hAnsi="黑体" w:eastAsia="黑体" w:cs="黑体"/>
          <w:sz w:val="24"/>
          <w:szCs w:val="24"/>
        </w:rPr>
      </w:pPr>
      <w:r>
        <w:rPr>
          <w:rFonts w:ascii="黑体" w:hAnsi="黑体" w:eastAsia="黑体" w:cs="黑体"/>
          <w:spacing w:val="-1"/>
          <w:sz w:val="24"/>
          <w:szCs w:val="24"/>
        </w:rPr>
        <w:t>30.1.1中标通知书；</w:t>
      </w:r>
    </w:p>
    <w:p w14:paraId="18BCE03E">
      <w:pPr>
        <w:spacing w:before="191" w:line="213" w:lineRule="auto"/>
        <w:ind w:left="496"/>
        <w:rPr>
          <w:rFonts w:ascii="黑体" w:hAnsi="黑体" w:eastAsia="黑体" w:cs="黑体"/>
          <w:sz w:val="24"/>
          <w:szCs w:val="24"/>
        </w:rPr>
      </w:pPr>
      <w:r>
        <w:rPr>
          <w:rFonts w:ascii="黑体" w:hAnsi="黑体" w:eastAsia="黑体" w:cs="黑体"/>
          <w:spacing w:val="1"/>
          <w:sz w:val="24"/>
          <w:szCs w:val="24"/>
        </w:rPr>
        <w:t>30.1.2中标供应商的响应文件；</w:t>
      </w:r>
    </w:p>
    <w:p w14:paraId="3C731BDF">
      <w:pPr>
        <w:spacing w:before="191" w:line="213" w:lineRule="auto"/>
        <w:ind w:left="496"/>
        <w:rPr>
          <w:rFonts w:ascii="黑体" w:hAnsi="黑体" w:eastAsia="黑体" w:cs="黑体"/>
          <w:sz w:val="24"/>
          <w:szCs w:val="24"/>
        </w:rPr>
      </w:pPr>
      <w:r>
        <w:rPr>
          <w:rFonts w:ascii="黑体" w:hAnsi="黑体" w:eastAsia="黑体" w:cs="黑体"/>
          <w:spacing w:val="4"/>
          <w:sz w:val="24"/>
          <w:szCs w:val="24"/>
        </w:rPr>
        <w:t>30.1.3供应商澄清、说明或补正文件；</w:t>
      </w:r>
    </w:p>
    <w:p w14:paraId="1EBF2F57">
      <w:pPr>
        <w:spacing w:before="190" w:line="222" w:lineRule="auto"/>
        <w:ind w:left="496"/>
        <w:rPr>
          <w:rFonts w:ascii="黑体" w:hAnsi="黑体" w:eastAsia="黑体" w:cs="黑体"/>
          <w:sz w:val="24"/>
          <w:szCs w:val="24"/>
        </w:rPr>
      </w:pPr>
      <w:r>
        <w:rPr>
          <w:rFonts w:ascii="黑体" w:hAnsi="黑体" w:eastAsia="黑体" w:cs="黑体"/>
          <w:spacing w:val="3"/>
          <w:sz w:val="24"/>
          <w:szCs w:val="24"/>
        </w:rPr>
        <w:t>30.1.4竞争性磋商文件。</w:t>
      </w:r>
    </w:p>
    <w:p w14:paraId="4F3EA8D5">
      <w:pPr>
        <w:spacing w:before="236" w:line="222" w:lineRule="auto"/>
        <w:ind w:left="1815"/>
        <w:rPr>
          <w:rFonts w:ascii="黑体" w:hAnsi="黑体" w:eastAsia="黑体" w:cs="黑体"/>
          <w:sz w:val="28"/>
          <w:szCs w:val="28"/>
        </w:rPr>
      </w:pPr>
      <w:r>
        <w:rPr>
          <w:rFonts w:ascii="黑体" w:hAnsi="黑体" w:eastAsia="黑体" w:cs="黑体"/>
          <w:spacing w:val="6"/>
          <w:sz w:val="28"/>
          <w:szCs w:val="28"/>
          <w14:textOutline w14:w="5103" w14:cap="sq" w14:cmpd="sng">
            <w14:solidFill>
              <w14:srgbClr w14:val="000000"/>
            </w14:solidFill>
            <w14:prstDash w14:val="solid"/>
            <w14:bevel/>
          </w14:textOutline>
        </w:rPr>
        <w:t>八、采购人更改货物、工程或者服务的权利</w:t>
      </w:r>
    </w:p>
    <w:p w14:paraId="60D0F589">
      <w:pPr>
        <w:spacing w:before="308" w:line="480" w:lineRule="auto"/>
        <w:ind w:left="11" w:firstLine="442"/>
        <w:jc w:val="both"/>
        <w:rPr>
          <w:rFonts w:ascii="黑体" w:hAnsi="黑体" w:eastAsia="黑体" w:cs="黑体"/>
          <w:sz w:val="24"/>
          <w:szCs w:val="24"/>
        </w:rPr>
      </w:pPr>
      <w:r>
        <w:rPr>
          <w:rFonts w:ascii="黑体" w:hAnsi="黑体" w:eastAsia="黑体" w:cs="黑体"/>
          <w:spacing w:val="-19"/>
          <w:sz w:val="24"/>
          <w:szCs w:val="24"/>
        </w:rPr>
        <w:t>31</w:t>
      </w:r>
      <w:r>
        <w:rPr>
          <w:rFonts w:ascii="黑体" w:hAnsi="黑体" w:eastAsia="黑体" w:cs="黑体"/>
          <w:spacing w:val="-18"/>
          <w:sz w:val="24"/>
          <w:szCs w:val="24"/>
        </w:rPr>
        <w:t>政府采购合同履行中，采购人需追加与合同标的相同的货物、工程或者服务的，在</w:t>
      </w:r>
      <w:r>
        <w:rPr>
          <w:rFonts w:ascii="黑体" w:hAnsi="黑体" w:eastAsia="黑体" w:cs="黑体"/>
          <w:spacing w:val="-16"/>
          <w:sz w:val="24"/>
          <w:szCs w:val="24"/>
        </w:rPr>
        <w:t>不</w:t>
      </w:r>
      <w:r>
        <w:rPr>
          <w:rFonts w:ascii="黑体" w:hAnsi="黑体" w:eastAsia="黑体" w:cs="黑体"/>
          <w:spacing w:val="-20"/>
          <w:sz w:val="24"/>
          <w:szCs w:val="24"/>
        </w:rPr>
        <w:t>改变</w:t>
      </w:r>
      <w:r>
        <w:rPr>
          <w:rFonts w:ascii="黑体" w:hAnsi="黑体" w:eastAsia="黑体" w:cs="黑体"/>
          <w:spacing w:val="-19"/>
          <w:sz w:val="24"/>
          <w:szCs w:val="24"/>
        </w:rPr>
        <w:t>合同其他条款的前提下，可以与供应商协商签订补充合同，但所有补充合同的采购金额</w:t>
      </w:r>
      <w:r>
        <w:rPr>
          <w:rFonts w:ascii="黑体" w:hAnsi="黑体" w:eastAsia="黑体" w:cs="黑体"/>
          <w:spacing w:val="-17"/>
          <w:sz w:val="24"/>
          <w:szCs w:val="24"/>
        </w:rPr>
        <w:t>不</w:t>
      </w:r>
    </w:p>
    <w:p w14:paraId="0EDDECED">
      <w:pPr>
        <w:spacing w:before="1" w:line="221" w:lineRule="auto"/>
        <w:ind w:left="5"/>
        <w:rPr>
          <w:rFonts w:ascii="黑体" w:hAnsi="黑体" w:eastAsia="黑体" w:cs="黑体"/>
          <w:sz w:val="24"/>
          <w:szCs w:val="24"/>
        </w:rPr>
      </w:pPr>
      <w:r>
        <w:rPr>
          <w:rFonts w:ascii="黑体" w:hAnsi="黑体" w:eastAsia="黑体" w:cs="黑体"/>
          <w:spacing w:val="-15"/>
          <w:sz w:val="24"/>
          <w:szCs w:val="24"/>
        </w:rPr>
        <w:t>得超过原合同采购金额的百分之十。</w:t>
      </w:r>
    </w:p>
    <w:p w14:paraId="2EE401D7">
      <w:pPr>
        <w:spacing w:before="316" w:line="222" w:lineRule="auto"/>
        <w:ind w:left="3689"/>
        <w:outlineLvl w:val="0"/>
        <w:rPr>
          <w:rFonts w:ascii="黑体" w:hAnsi="黑体" w:eastAsia="黑体" w:cs="黑体"/>
          <w:sz w:val="28"/>
          <w:szCs w:val="28"/>
        </w:rPr>
      </w:pPr>
      <w:r>
        <w:rPr>
          <w:rFonts w:ascii="黑体" w:hAnsi="黑体" w:eastAsia="黑体" w:cs="黑体"/>
          <w:spacing w:val="3"/>
          <w:sz w:val="28"/>
          <w:szCs w:val="28"/>
          <w14:textOutline w14:w="5103" w14:cap="sq" w14:cmpd="sng">
            <w14:solidFill>
              <w14:srgbClr w14:val="000000"/>
            </w14:solidFill>
            <w14:prstDash w14:val="solid"/>
            <w14:bevel/>
          </w14:textOutline>
        </w:rPr>
        <w:t>九、其他事项</w:t>
      </w:r>
    </w:p>
    <w:p w14:paraId="26245C49">
      <w:pPr>
        <w:spacing w:before="230" w:line="221" w:lineRule="auto"/>
        <w:ind w:left="496"/>
        <w:rPr>
          <w:rFonts w:ascii="黑体" w:hAnsi="黑体" w:eastAsia="黑体" w:cs="黑体"/>
          <w:sz w:val="24"/>
          <w:szCs w:val="24"/>
        </w:rPr>
      </w:pPr>
      <w:r>
        <w:rPr>
          <w:rFonts w:ascii="黑体" w:hAnsi="黑体" w:eastAsia="黑体" w:cs="黑体"/>
          <w:spacing w:val="3"/>
          <w:sz w:val="24"/>
          <w:szCs w:val="24"/>
        </w:rPr>
        <w:t>32采购代理服务费</w:t>
      </w:r>
    </w:p>
    <w:p w14:paraId="6DDEEEA8">
      <w:pPr>
        <w:spacing w:before="181" w:line="468" w:lineRule="exact"/>
        <w:ind w:right="21"/>
        <w:jc w:val="right"/>
        <w:rPr>
          <w:rFonts w:ascii="黑体" w:hAnsi="黑体" w:eastAsia="黑体" w:cs="黑体"/>
          <w:sz w:val="24"/>
          <w:szCs w:val="24"/>
        </w:rPr>
      </w:pPr>
      <w:r>
        <w:rPr>
          <w:rFonts w:ascii="黑体" w:hAnsi="黑体" w:eastAsia="黑体" w:cs="黑体"/>
          <w:spacing w:val="8"/>
          <w:position w:val="17"/>
          <w:sz w:val="24"/>
          <w:szCs w:val="24"/>
        </w:rPr>
        <w:t>32.1</w:t>
      </w:r>
      <w:r>
        <w:rPr>
          <w:rFonts w:ascii="黑体" w:hAnsi="黑体" w:eastAsia="黑体" w:cs="黑体"/>
          <w:spacing w:val="8"/>
          <w:position w:val="17"/>
          <w:sz w:val="24"/>
          <w:szCs w:val="24"/>
          <w14:textOutline w14:w="4358" w14:cap="sq" w14:cmpd="sng">
            <w14:solidFill>
              <w14:srgbClr w14:val="000000"/>
            </w14:solidFill>
            <w14:prstDash w14:val="solid"/>
            <w14:bevel/>
          </w14:textOutline>
        </w:rPr>
        <w:t>收取标准按发改价格〔2015〕299号(国家发展改革委关于进一步放</w:t>
      </w:r>
      <w:r>
        <w:rPr>
          <w:rFonts w:ascii="黑体" w:hAnsi="黑体" w:eastAsia="黑体" w:cs="黑体"/>
          <w:spacing w:val="7"/>
          <w:position w:val="17"/>
          <w:sz w:val="24"/>
          <w:szCs w:val="24"/>
          <w14:textOutline w14:w="4358" w14:cap="sq" w14:cmpd="sng">
            <w14:solidFill>
              <w14:srgbClr w14:val="000000"/>
            </w14:solidFill>
            <w14:prstDash w14:val="solid"/>
            <w14:bevel/>
          </w14:textOutline>
        </w:rPr>
        <w:t>开建</w:t>
      </w:r>
    </w:p>
    <w:p w14:paraId="06C00F8B">
      <w:pPr>
        <w:spacing w:before="1" w:line="219" w:lineRule="auto"/>
        <w:ind w:left="5"/>
        <w:rPr>
          <w:rFonts w:ascii="黑体" w:hAnsi="黑体" w:eastAsia="黑体" w:cs="黑体"/>
          <w:sz w:val="24"/>
          <w:szCs w:val="24"/>
        </w:rPr>
      </w:pPr>
      <w:r>
        <w:rPr>
          <w:rFonts w:ascii="黑体" w:hAnsi="黑体" w:eastAsia="黑体" w:cs="黑体"/>
          <w:spacing w:val="5"/>
          <w:sz w:val="24"/>
          <w:szCs w:val="24"/>
          <w14:textOutline w14:w="4358" w14:cap="sq" w14:cmpd="sng">
            <w14:solidFill>
              <w14:srgbClr w14:val="000000"/>
            </w14:solidFill>
            <w14:prstDash w14:val="solid"/>
            <w14:bevel/>
          </w14:textOutline>
        </w:rPr>
        <w:t>设项目专业服务价格的通知)执行,由成交供应商支付。</w:t>
      </w:r>
    </w:p>
    <w:p w14:paraId="3197D1D0">
      <w:pPr>
        <w:spacing w:before="182" w:line="221" w:lineRule="auto"/>
        <w:ind w:left="453"/>
        <w:rPr>
          <w:rFonts w:ascii="黑体" w:hAnsi="黑体" w:eastAsia="黑体" w:cs="黑体"/>
          <w:sz w:val="24"/>
          <w:szCs w:val="24"/>
        </w:rPr>
      </w:pPr>
      <w:r>
        <w:rPr>
          <w:rFonts w:ascii="黑体" w:hAnsi="黑体" w:eastAsia="黑体" w:cs="黑体"/>
          <w:spacing w:val="-14"/>
          <w:sz w:val="24"/>
          <w:szCs w:val="24"/>
        </w:rPr>
        <w:t>32.2采购代理服务费的计算基数是</w:t>
      </w:r>
      <w:r>
        <w:rPr>
          <w:rFonts w:ascii="黑体" w:hAnsi="黑体" w:eastAsia="黑体" w:cs="黑体"/>
          <w:spacing w:val="-14"/>
          <w:sz w:val="24"/>
          <w:szCs w:val="24"/>
          <w:u w:val="single" w:color="000000"/>
          <w14:textOutline w14:w="4358" w14:cap="sq" w14:cmpd="sng">
            <w14:solidFill>
              <w14:srgbClr w14:val="000000"/>
            </w14:solidFill>
            <w14:prstDash w14:val="solid"/>
            <w14:bevel/>
          </w14:textOutline>
        </w:rPr>
        <w:t>中标通知书中载明的中</w:t>
      </w:r>
      <w:r>
        <w:rPr>
          <w:rFonts w:ascii="黑体" w:hAnsi="黑体" w:eastAsia="黑体" w:cs="黑体"/>
          <w:spacing w:val="-15"/>
          <w:sz w:val="24"/>
          <w:szCs w:val="24"/>
          <w:u w:val="single" w:color="000000"/>
          <w14:textOutline w14:w="4358" w14:cap="sq" w14:cmpd="sng">
            <w14:solidFill>
              <w14:srgbClr w14:val="000000"/>
            </w14:solidFill>
            <w14:prstDash w14:val="solid"/>
            <w14:bevel/>
          </w14:textOutline>
        </w:rPr>
        <w:t>标总金额</w:t>
      </w:r>
      <w:r>
        <w:rPr>
          <w:rFonts w:ascii="黑体" w:hAnsi="黑体" w:eastAsia="黑体" w:cs="黑体"/>
          <w:spacing w:val="-15"/>
          <w:sz w:val="24"/>
          <w:szCs w:val="24"/>
        </w:rPr>
        <w:t>。</w:t>
      </w:r>
    </w:p>
    <w:p w14:paraId="1659098D">
      <w:pPr>
        <w:spacing w:before="181" w:line="468" w:lineRule="exact"/>
        <w:ind w:right="21"/>
        <w:jc w:val="right"/>
        <w:rPr>
          <w:rFonts w:ascii="黑体" w:hAnsi="黑体" w:eastAsia="黑体" w:cs="黑体"/>
          <w:sz w:val="24"/>
          <w:szCs w:val="24"/>
        </w:rPr>
      </w:pPr>
      <w:r>
        <w:rPr>
          <w:rFonts w:ascii="黑体" w:hAnsi="黑体" w:eastAsia="黑体" w:cs="黑体"/>
          <w:spacing w:val="4"/>
          <w:position w:val="16"/>
          <w:sz w:val="24"/>
          <w:szCs w:val="24"/>
        </w:rPr>
        <w:t>33本竞争性磋商文件是根据《中华人民共和国政府采购法》、《中华人民共和</w:t>
      </w:r>
    </w:p>
    <w:p w14:paraId="50B7D42E">
      <w:pPr>
        <w:spacing w:before="2" w:line="212" w:lineRule="auto"/>
        <w:ind w:left="18"/>
        <w:rPr>
          <w:rFonts w:ascii="黑体" w:hAnsi="黑体" w:eastAsia="黑体" w:cs="黑体"/>
          <w:sz w:val="24"/>
          <w:szCs w:val="24"/>
        </w:rPr>
      </w:pPr>
      <w:r>
        <w:rPr>
          <w:rFonts w:ascii="黑体" w:hAnsi="黑体" w:eastAsia="黑体" w:cs="黑体"/>
          <w:spacing w:val="5"/>
          <w:sz w:val="24"/>
          <w:szCs w:val="24"/>
        </w:rPr>
        <w:t>国政府采购法实施条例》的规定编制，解释</w:t>
      </w:r>
      <w:r>
        <w:rPr>
          <w:rFonts w:ascii="黑体" w:hAnsi="黑体" w:eastAsia="黑体" w:cs="黑体"/>
          <w:spacing w:val="4"/>
          <w:sz w:val="24"/>
          <w:szCs w:val="24"/>
        </w:rPr>
        <w:t>权属采购代理机构。</w:t>
      </w:r>
    </w:p>
    <w:p w14:paraId="6F47DDFE">
      <w:pPr>
        <w:spacing w:before="191" w:line="468" w:lineRule="exact"/>
        <w:ind w:right="12"/>
        <w:jc w:val="right"/>
        <w:rPr>
          <w:rFonts w:ascii="黑体" w:hAnsi="黑体" w:eastAsia="黑体" w:cs="黑体"/>
          <w:sz w:val="24"/>
          <w:szCs w:val="24"/>
        </w:rPr>
      </w:pPr>
      <w:r>
        <w:rPr>
          <w:rFonts w:ascii="黑体" w:hAnsi="黑体" w:eastAsia="黑体" w:cs="黑体"/>
          <w:spacing w:val="5"/>
          <w:position w:val="17"/>
          <w:sz w:val="24"/>
          <w:szCs w:val="24"/>
        </w:rPr>
        <w:t>34参与本次采购的供应商应当有商务、技术人员对评</w:t>
      </w:r>
      <w:r>
        <w:rPr>
          <w:rFonts w:ascii="黑体" w:hAnsi="黑体" w:eastAsia="黑体" w:cs="黑体"/>
          <w:spacing w:val="4"/>
          <w:position w:val="17"/>
          <w:sz w:val="24"/>
          <w:szCs w:val="24"/>
        </w:rPr>
        <w:t>标委员会提出的商务、技</w:t>
      </w:r>
    </w:p>
    <w:p w14:paraId="4A619253">
      <w:pPr>
        <w:spacing w:before="1" w:line="220" w:lineRule="auto"/>
        <w:ind w:left="3"/>
        <w:rPr>
          <w:rFonts w:ascii="黑体" w:hAnsi="黑体" w:eastAsia="黑体" w:cs="黑体"/>
          <w:sz w:val="24"/>
          <w:szCs w:val="24"/>
        </w:rPr>
      </w:pPr>
      <w:r>
        <w:rPr>
          <w:rFonts w:ascii="黑体" w:hAnsi="黑体" w:eastAsia="黑体" w:cs="黑体"/>
          <w:spacing w:val="3"/>
          <w:sz w:val="24"/>
          <w:szCs w:val="24"/>
        </w:rPr>
        <w:t>术问题进行答疑。</w:t>
      </w:r>
    </w:p>
    <w:p w14:paraId="6F5577E0">
      <w:pPr>
        <w:spacing w:line="220" w:lineRule="auto"/>
        <w:rPr>
          <w:rFonts w:ascii="黑体" w:hAnsi="黑体" w:eastAsia="黑体" w:cs="黑体"/>
          <w:sz w:val="24"/>
          <w:szCs w:val="24"/>
        </w:rPr>
        <w:sectPr>
          <w:headerReference r:id="rId23" w:type="default"/>
          <w:footerReference r:id="rId24" w:type="default"/>
          <w:pgSz w:w="11906" w:h="16839"/>
          <w:pgMar w:top="400" w:right="1401" w:bottom="1012" w:left="1420" w:header="0" w:footer="850" w:gutter="0"/>
          <w:cols w:space="720" w:num="1"/>
        </w:sectPr>
      </w:pPr>
    </w:p>
    <w:p w14:paraId="6A210EFF">
      <w:pPr>
        <w:pStyle w:val="5"/>
        <w:spacing w:line="265" w:lineRule="auto"/>
      </w:pPr>
    </w:p>
    <w:p w14:paraId="7032F997">
      <w:pPr>
        <w:pStyle w:val="5"/>
        <w:spacing w:line="265" w:lineRule="auto"/>
      </w:pPr>
    </w:p>
    <w:p w14:paraId="7EAA1BE2">
      <w:pPr>
        <w:pStyle w:val="5"/>
        <w:spacing w:line="266" w:lineRule="auto"/>
      </w:pPr>
    </w:p>
    <w:p w14:paraId="6903988B">
      <w:pPr>
        <w:pStyle w:val="5"/>
        <w:spacing w:line="266" w:lineRule="auto"/>
      </w:pPr>
    </w:p>
    <w:p w14:paraId="68C9CF82">
      <w:pPr>
        <w:spacing w:before="101" w:line="227" w:lineRule="auto"/>
        <w:ind w:left="3278"/>
        <w:outlineLvl w:val="0"/>
        <w:rPr>
          <w:rFonts w:ascii="黑体" w:hAnsi="黑体" w:eastAsia="黑体" w:cs="黑体"/>
          <w:sz w:val="31"/>
          <w:szCs w:val="31"/>
        </w:rPr>
      </w:pPr>
      <w:bookmarkStart w:id="25" w:name="bookmark3"/>
      <w:bookmarkEnd w:id="25"/>
      <w:r>
        <w:rPr>
          <w:rFonts w:ascii="黑体" w:hAnsi="黑体" w:eastAsia="黑体" w:cs="黑体"/>
          <w:spacing w:val="13"/>
          <w:sz w:val="31"/>
          <w:szCs w:val="31"/>
          <w14:textOutline w14:w="5793" w14:cap="sq" w14:cmpd="sng">
            <w14:solidFill>
              <w14:srgbClr w14:val="000000"/>
            </w14:solidFill>
            <w14:prstDash w14:val="solid"/>
            <w14:bevel/>
          </w14:textOutline>
        </w:rPr>
        <w:t>第三章采购需求</w:t>
      </w:r>
    </w:p>
    <w:p w14:paraId="2407F8BD">
      <w:pPr>
        <w:pStyle w:val="5"/>
        <w:spacing w:line="264" w:lineRule="auto"/>
      </w:pPr>
    </w:p>
    <w:p w14:paraId="12966F22">
      <w:pPr>
        <w:pStyle w:val="5"/>
        <w:spacing w:line="264" w:lineRule="auto"/>
      </w:pPr>
    </w:p>
    <w:p w14:paraId="15F27806">
      <w:pPr>
        <w:pStyle w:val="5"/>
        <w:spacing w:line="265" w:lineRule="auto"/>
      </w:pPr>
    </w:p>
    <w:p w14:paraId="541FFDE1">
      <w:pPr>
        <w:spacing w:before="101" w:line="198" w:lineRule="auto"/>
        <w:ind w:left="3007"/>
        <w:outlineLvl w:val="0"/>
        <w:rPr>
          <w:rFonts w:ascii="黑体" w:hAnsi="黑体" w:eastAsia="黑体" w:cs="黑体"/>
          <w:sz w:val="28"/>
          <w:szCs w:val="28"/>
        </w:rPr>
      </w:pPr>
      <w:r>
        <w:rPr>
          <w:rFonts w:ascii="黑体" w:hAnsi="黑体" w:eastAsia="黑体" w:cs="黑体"/>
          <w:spacing w:val="6"/>
          <w:sz w:val="28"/>
          <w:szCs w:val="28"/>
          <w14:textOutline w14:w="5103" w14:cap="sq" w14:cmpd="sng">
            <w14:solidFill>
              <w14:srgbClr w14:val="000000"/>
            </w14:solidFill>
            <w14:prstDash w14:val="solid"/>
            <w14:bevel/>
          </w14:textOutline>
        </w:rPr>
        <w:t>详见工程量清单</w:t>
      </w:r>
      <w:r>
        <w:rPr>
          <w:rFonts w:ascii="黑体" w:hAnsi="黑体" w:eastAsia="黑体" w:cs="黑体"/>
          <w:spacing w:val="6"/>
          <w:sz w:val="31"/>
          <w:szCs w:val="31"/>
          <w14:textOutline w14:w="5793" w14:cap="sq" w14:cmpd="sng">
            <w14:solidFill>
              <w14:srgbClr w14:val="000000"/>
            </w14:solidFill>
            <w14:prstDash w14:val="solid"/>
            <w14:bevel/>
          </w14:textOutline>
        </w:rPr>
        <w:t>，</w:t>
      </w:r>
      <w:r>
        <w:rPr>
          <w:rFonts w:ascii="黑体" w:hAnsi="黑体" w:eastAsia="黑体" w:cs="黑体"/>
          <w:spacing w:val="6"/>
          <w:sz w:val="28"/>
          <w:szCs w:val="28"/>
          <w14:textOutline w14:w="5103" w14:cap="sq" w14:cmpd="sng">
            <w14:solidFill>
              <w14:srgbClr w14:val="000000"/>
            </w14:solidFill>
            <w14:prstDash w14:val="solid"/>
            <w14:bevel/>
          </w14:textOutline>
        </w:rPr>
        <w:t>另附</w:t>
      </w:r>
    </w:p>
    <w:p w14:paraId="77223460">
      <w:pPr>
        <w:spacing w:line="198" w:lineRule="auto"/>
        <w:rPr>
          <w:rFonts w:ascii="黑体" w:hAnsi="黑体" w:eastAsia="黑体" w:cs="黑体"/>
          <w:sz w:val="28"/>
          <w:szCs w:val="28"/>
        </w:rPr>
        <w:sectPr>
          <w:footerReference r:id="rId25" w:type="default"/>
          <w:pgSz w:w="11906" w:h="16839"/>
          <w:pgMar w:top="400" w:right="1785" w:bottom="1012" w:left="1785" w:header="0" w:footer="850" w:gutter="0"/>
          <w:cols w:space="720" w:num="1"/>
        </w:sectPr>
      </w:pPr>
    </w:p>
    <w:p w14:paraId="571AD05E">
      <w:pPr>
        <w:pStyle w:val="5"/>
        <w:spacing w:line="265" w:lineRule="auto"/>
      </w:pPr>
    </w:p>
    <w:p w14:paraId="45A2095A">
      <w:pPr>
        <w:pStyle w:val="5"/>
        <w:spacing w:line="266" w:lineRule="auto"/>
      </w:pPr>
    </w:p>
    <w:p w14:paraId="4F1FA142">
      <w:pPr>
        <w:pStyle w:val="5"/>
        <w:spacing w:line="266" w:lineRule="auto"/>
      </w:pPr>
    </w:p>
    <w:p w14:paraId="4C134AE4">
      <w:pPr>
        <w:pStyle w:val="5"/>
        <w:spacing w:line="266" w:lineRule="auto"/>
      </w:pPr>
    </w:p>
    <w:p w14:paraId="35244B05">
      <w:pPr>
        <w:spacing w:before="140" w:line="223" w:lineRule="auto"/>
        <w:ind w:left="2068"/>
        <w:outlineLvl w:val="0"/>
        <w:rPr>
          <w:rFonts w:hint="eastAsia" w:ascii="黑体" w:hAnsi="黑体" w:eastAsia="黑体" w:cs="黑体"/>
          <w:color w:val="auto"/>
          <w:sz w:val="43"/>
          <w:szCs w:val="43"/>
        </w:rPr>
      </w:pPr>
      <w:r>
        <w:rPr>
          <w:rFonts w:hint="eastAsia" w:ascii="黑体" w:hAnsi="黑体" w:eastAsia="黑体" w:cs="黑体"/>
          <w:color w:val="auto"/>
          <w:spacing w:val="12"/>
          <w:sz w:val="43"/>
          <w:szCs w:val="43"/>
          <w14:textOutline w14:w="7972" w14:cap="sq" w14:cmpd="sng">
            <w14:solidFill>
              <w14:srgbClr w14:val="000000"/>
            </w14:solidFill>
            <w14:prstDash w14:val="solid"/>
            <w14:bevel/>
          </w14:textOutline>
        </w:rPr>
        <w:t>第</w:t>
      </w:r>
      <w:r>
        <w:rPr>
          <w:rFonts w:hint="eastAsia" w:ascii="黑体" w:hAnsi="黑体" w:eastAsia="黑体" w:cs="黑体"/>
          <w:color w:val="auto"/>
          <w:spacing w:val="9"/>
          <w:sz w:val="43"/>
          <w:szCs w:val="43"/>
          <w14:textOutline w14:w="7972" w14:cap="sq" w14:cmpd="sng">
            <w14:solidFill>
              <w14:srgbClr w14:val="000000"/>
            </w14:solidFill>
            <w14:prstDash w14:val="solid"/>
            <w14:bevel/>
          </w14:textOutline>
        </w:rPr>
        <w:t>四章</w:t>
      </w:r>
      <w:r>
        <w:rPr>
          <w:rFonts w:hint="eastAsia" w:ascii="黑体" w:hAnsi="黑体" w:eastAsia="黑体" w:cs="黑体"/>
          <w:color w:val="auto"/>
          <w:spacing w:val="9"/>
          <w:sz w:val="43"/>
          <w:szCs w:val="43"/>
        </w:rPr>
        <w:t xml:space="preserve"> </w:t>
      </w:r>
      <w:r>
        <w:rPr>
          <w:rFonts w:hint="eastAsia" w:ascii="黑体" w:hAnsi="黑体" w:eastAsia="黑体" w:cs="黑体"/>
          <w:color w:val="auto"/>
          <w:spacing w:val="9"/>
          <w:sz w:val="43"/>
          <w:szCs w:val="43"/>
          <w14:textOutline w14:w="7972" w14:cap="sq" w14:cmpd="sng">
            <w14:solidFill>
              <w14:srgbClr w14:val="000000"/>
            </w14:solidFill>
            <w14:prstDash w14:val="solid"/>
            <w14:bevel/>
          </w14:textOutline>
        </w:rPr>
        <w:t>合同条款及格式</w:t>
      </w:r>
    </w:p>
    <w:p w14:paraId="213FD512">
      <w:pPr>
        <w:spacing w:before="329" w:line="227" w:lineRule="auto"/>
        <w:ind w:left="3097"/>
        <w:outlineLvl w:val="1"/>
        <w:rPr>
          <w:rFonts w:hint="eastAsia" w:ascii="黑体" w:hAnsi="黑体" w:eastAsia="黑体" w:cs="黑体"/>
          <w:color w:val="auto"/>
          <w:sz w:val="31"/>
          <w:szCs w:val="31"/>
        </w:rPr>
      </w:pPr>
      <w:r>
        <w:rPr>
          <w:rFonts w:hint="eastAsia" w:ascii="黑体" w:hAnsi="黑体" w:eastAsia="黑体" w:cs="黑体"/>
          <w:color w:val="auto"/>
          <w:spacing w:val="8"/>
          <w:sz w:val="31"/>
          <w:szCs w:val="31"/>
          <w14:textOutline w14:w="5793" w14:cap="sq" w14:cmpd="sng">
            <w14:solidFill>
              <w14:srgbClr w14:val="000000"/>
            </w14:solidFill>
            <w14:prstDash w14:val="solid"/>
            <w14:bevel/>
          </w14:textOutline>
        </w:rPr>
        <w:t>第一节</w:t>
      </w:r>
      <w:r>
        <w:rPr>
          <w:rFonts w:hint="eastAsia" w:ascii="黑体" w:hAnsi="黑体" w:eastAsia="黑体" w:cs="黑体"/>
          <w:color w:val="auto"/>
          <w:spacing w:val="8"/>
          <w:sz w:val="31"/>
          <w:szCs w:val="31"/>
        </w:rPr>
        <w:t xml:space="preserve">  </w:t>
      </w:r>
      <w:r>
        <w:rPr>
          <w:rFonts w:hint="eastAsia" w:ascii="黑体" w:hAnsi="黑体" w:eastAsia="黑体" w:cs="黑体"/>
          <w:color w:val="auto"/>
          <w:spacing w:val="8"/>
          <w:sz w:val="31"/>
          <w:szCs w:val="31"/>
          <w14:textOutline w14:w="5793" w14:cap="sq" w14:cmpd="sng">
            <w14:solidFill>
              <w14:srgbClr w14:val="000000"/>
            </w14:solidFill>
            <w14:prstDash w14:val="solid"/>
            <w14:bevel/>
          </w14:textOutline>
        </w:rPr>
        <w:t>合同条款</w:t>
      </w:r>
    </w:p>
    <w:p w14:paraId="0F7A8421">
      <w:pPr>
        <w:spacing w:line="345" w:lineRule="auto"/>
        <w:rPr>
          <w:rFonts w:hint="eastAsia" w:ascii="黑体" w:hAnsi="黑体" w:eastAsia="黑体" w:cs="黑体"/>
          <w:color w:val="auto"/>
          <w:sz w:val="21"/>
        </w:rPr>
      </w:pPr>
    </w:p>
    <w:p w14:paraId="646DA9C9">
      <w:pPr>
        <w:pStyle w:val="15"/>
        <w:jc w:val="center"/>
        <w:rPr>
          <w:rFonts w:hint="eastAsia" w:ascii="黑体" w:hAnsi="黑体" w:eastAsia="黑体" w:cs="黑体"/>
          <w:bCs/>
          <w:color w:val="auto"/>
          <w:sz w:val="32"/>
          <w:szCs w:val="32"/>
          <w:highlight w:val="none"/>
        </w:rPr>
      </w:pPr>
    </w:p>
    <w:p w14:paraId="3FA08600">
      <w:pPr>
        <w:pStyle w:val="15"/>
        <w:jc w:val="center"/>
        <w:rPr>
          <w:rFonts w:hint="eastAsia" w:ascii="黑体" w:hAnsi="黑体" w:eastAsia="黑体" w:cs="黑体"/>
          <w:b/>
          <w:color w:val="auto"/>
          <w:sz w:val="52"/>
          <w:szCs w:val="52"/>
          <w:highlight w:val="none"/>
        </w:rPr>
      </w:pPr>
      <w:r>
        <w:rPr>
          <w:rFonts w:hint="eastAsia" w:ascii="黑体" w:hAnsi="黑体" w:eastAsia="黑体" w:cs="黑体"/>
          <w:bCs/>
          <w:color w:val="auto"/>
          <w:sz w:val="32"/>
          <w:szCs w:val="32"/>
          <w:highlight w:val="none"/>
        </w:rPr>
        <w:t>（GF—2017—0201）</w:t>
      </w:r>
    </w:p>
    <w:p w14:paraId="0C452B7A">
      <w:pPr>
        <w:pStyle w:val="15"/>
        <w:jc w:val="center"/>
        <w:rPr>
          <w:rFonts w:hint="eastAsia" w:ascii="黑体" w:hAnsi="黑体" w:eastAsia="黑体" w:cs="黑体"/>
          <w:b/>
          <w:color w:val="auto"/>
          <w:sz w:val="52"/>
          <w:szCs w:val="52"/>
          <w:highlight w:val="none"/>
        </w:rPr>
      </w:pPr>
    </w:p>
    <w:p w14:paraId="5CB94A33">
      <w:pPr>
        <w:pStyle w:val="15"/>
        <w:jc w:val="center"/>
        <w:rPr>
          <w:rFonts w:hint="eastAsia" w:ascii="黑体" w:hAnsi="黑体" w:eastAsia="黑体" w:cs="黑体"/>
          <w:b/>
          <w:color w:val="auto"/>
          <w:sz w:val="52"/>
          <w:szCs w:val="52"/>
          <w:highlight w:val="none"/>
        </w:rPr>
      </w:pPr>
    </w:p>
    <w:p w14:paraId="46BCEAAD">
      <w:pPr>
        <w:pStyle w:val="15"/>
        <w:jc w:val="center"/>
        <w:rPr>
          <w:rFonts w:hint="eastAsia" w:ascii="黑体" w:hAnsi="黑体" w:eastAsia="黑体" w:cs="黑体"/>
          <w:b/>
          <w:color w:val="auto"/>
          <w:sz w:val="52"/>
          <w:szCs w:val="52"/>
          <w:highlight w:val="none"/>
        </w:rPr>
      </w:pPr>
    </w:p>
    <w:p w14:paraId="4FBAF479">
      <w:pPr>
        <w:pStyle w:val="15"/>
        <w:jc w:val="center"/>
        <w:rPr>
          <w:rFonts w:hint="eastAsia" w:ascii="黑体" w:hAnsi="黑体" w:eastAsia="黑体" w:cs="黑体"/>
          <w:b/>
          <w:color w:val="auto"/>
          <w:sz w:val="72"/>
          <w:szCs w:val="52"/>
          <w:highlight w:val="none"/>
          <w:lang w:eastAsia="zh-CN"/>
        </w:rPr>
      </w:pPr>
      <w:r>
        <w:rPr>
          <w:rFonts w:hint="eastAsia" w:ascii="黑体" w:hAnsi="黑体" w:eastAsia="黑体" w:cs="黑体"/>
          <w:b/>
          <w:color w:val="auto"/>
          <w:sz w:val="72"/>
          <w:szCs w:val="52"/>
          <w:highlight w:val="none"/>
        </w:rPr>
        <w:t>建设工程施工合同</w:t>
      </w:r>
    </w:p>
    <w:p w14:paraId="0B5C311B">
      <w:pPr>
        <w:pStyle w:val="15"/>
        <w:jc w:val="center"/>
        <w:rPr>
          <w:rFonts w:hint="eastAsia" w:ascii="黑体" w:hAnsi="黑体" w:eastAsia="黑体" w:cs="黑体"/>
          <w:b/>
          <w:color w:val="auto"/>
          <w:sz w:val="52"/>
          <w:szCs w:val="52"/>
          <w:highlight w:val="none"/>
        </w:rPr>
      </w:pPr>
      <w:r>
        <w:rPr>
          <w:rFonts w:hint="eastAsia" w:ascii="黑体" w:hAnsi="黑体" w:eastAsia="黑体" w:cs="黑体"/>
          <w:b/>
          <w:color w:val="auto"/>
          <w:sz w:val="52"/>
          <w:szCs w:val="52"/>
          <w:highlight w:val="none"/>
        </w:rPr>
        <w:t>（示范文本）</w:t>
      </w:r>
    </w:p>
    <w:p w14:paraId="5576133C">
      <w:pPr>
        <w:pStyle w:val="15"/>
        <w:jc w:val="center"/>
        <w:rPr>
          <w:rFonts w:hint="eastAsia" w:ascii="黑体" w:hAnsi="黑体" w:eastAsia="黑体" w:cs="黑体"/>
          <w:b/>
          <w:color w:val="auto"/>
          <w:sz w:val="52"/>
          <w:szCs w:val="52"/>
          <w:highlight w:val="none"/>
        </w:rPr>
      </w:pPr>
    </w:p>
    <w:p w14:paraId="743C40F4">
      <w:pPr>
        <w:pStyle w:val="15"/>
        <w:jc w:val="center"/>
        <w:rPr>
          <w:rFonts w:hint="eastAsia" w:ascii="黑体" w:hAnsi="黑体" w:eastAsia="黑体" w:cs="黑体"/>
          <w:b/>
          <w:color w:val="auto"/>
          <w:sz w:val="72"/>
          <w:szCs w:val="72"/>
          <w:highlight w:val="none"/>
        </w:rPr>
      </w:pPr>
    </w:p>
    <w:p w14:paraId="59704676">
      <w:pPr>
        <w:pStyle w:val="15"/>
        <w:jc w:val="center"/>
        <w:rPr>
          <w:rFonts w:hint="eastAsia" w:ascii="黑体" w:hAnsi="黑体" w:eastAsia="黑体" w:cs="黑体"/>
          <w:b/>
          <w:color w:val="auto"/>
          <w:sz w:val="52"/>
          <w:szCs w:val="52"/>
          <w:highlight w:val="none"/>
        </w:rPr>
      </w:pPr>
    </w:p>
    <w:p w14:paraId="7EF52521">
      <w:pPr>
        <w:pStyle w:val="15"/>
        <w:jc w:val="center"/>
        <w:rPr>
          <w:rFonts w:hint="eastAsia" w:ascii="黑体" w:hAnsi="黑体" w:eastAsia="黑体" w:cs="黑体"/>
          <w:b/>
          <w:color w:val="auto"/>
          <w:sz w:val="52"/>
          <w:szCs w:val="52"/>
          <w:highlight w:val="none"/>
        </w:rPr>
      </w:pPr>
    </w:p>
    <w:p w14:paraId="03547C1E">
      <w:pPr>
        <w:pStyle w:val="15"/>
        <w:jc w:val="both"/>
        <w:rPr>
          <w:rFonts w:hint="eastAsia" w:ascii="黑体" w:hAnsi="黑体" w:eastAsia="黑体" w:cs="黑体"/>
          <w:b/>
          <w:color w:val="auto"/>
          <w:sz w:val="52"/>
          <w:szCs w:val="52"/>
          <w:highlight w:val="none"/>
        </w:rPr>
      </w:pPr>
    </w:p>
    <w:p w14:paraId="5FD1D428">
      <w:pPr>
        <w:pStyle w:val="15"/>
        <w:jc w:val="both"/>
        <w:rPr>
          <w:rFonts w:hint="eastAsia" w:ascii="黑体" w:hAnsi="黑体" w:eastAsia="黑体" w:cs="黑体"/>
          <w:b/>
          <w:color w:val="auto"/>
          <w:sz w:val="52"/>
          <w:szCs w:val="52"/>
          <w:highlight w:val="none"/>
        </w:rPr>
      </w:pPr>
    </w:p>
    <w:p w14:paraId="2A386D40">
      <w:pPr>
        <w:pStyle w:val="15"/>
        <w:jc w:val="center"/>
        <w:rPr>
          <w:rFonts w:hint="eastAsia" w:ascii="黑体" w:hAnsi="黑体" w:eastAsia="黑体" w:cs="黑体"/>
          <w:b/>
          <w:color w:val="auto"/>
          <w:sz w:val="52"/>
          <w:szCs w:val="52"/>
          <w:highlight w:val="none"/>
        </w:rPr>
      </w:pPr>
    </w:p>
    <w:p w14:paraId="69337B6B">
      <w:pPr>
        <w:pStyle w:val="15"/>
        <w:rPr>
          <w:rFonts w:hint="eastAsia" w:ascii="黑体" w:hAnsi="黑体" w:eastAsia="黑体" w:cs="黑体"/>
          <w:b/>
          <w:color w:val="auto"/>
          <w:sz w:val="28"/>
          <w:szCs w:val="28"/>
          <w:highlight w:val="none"/>
        </w:rPr>
      </w:pPr>
    </w:p>
    <w:p w14:paraId="7C934A7F">
      <w:pPr>
        <w:pStyle w:val="15"/>
        <w:rPr>
          <w:rFonts w:hint="eastAsia" w:ascii="黑体" w:hAnsi="黑体" w:eastAsia="黑体" w:cs="黑体"/>
          <w:b/>
          <w:color w:val="auto"/>
          <w:sz w:val="28"/>
          <w:szCs w:val="28"/>
          <w:highlight w:val="none"/>
        </w:rPr>
      </w:pPr>
    </w:p>
    <w:p w14:paraId="2F2A34B6">
      <w:pPr>
        <w:pStyle w:val="15"/>
        <w:ind w:right="2719" w:rightChars="1295" w:firstLine="2738" w:firstLineChars="1304"/>
        <w:jc w:val="distribute"/>
        <w:rPr>
          <w:rFonts w:hint="eastAsia" w:ascii="黑体" w:hAnsi="黑体" w:eastAsia="黑体" w:cs="黑体"/>
          <w:b/>
          <w:color w:val="auto"/>
          <w:sz w:val="32"/>
          <w:szCs w:val="28"/>
          <w:highlight w:val="none"/>
        </w:rPr>
      </w:pPr>
      <w:r>
        <w:rPr>
          <w:rFonts w:hint="eastAsia" w:ascii="黑体" w:hAnsi="黑体" w:eastAsia="黑体" w:cs="黑体"/>
          <w:color w:val="auto"/>
          <w:highlight w:val="none"/>
        </w:rPr>
        <mc:AlternateContent>
          <mc:Choice Requires="wps">
            <w:drawing>
              <wp:anchor distT="0" distB="0" distL="114300" distR="114300" simplePos="0" relativeHeight="251659264" behindDoc="0" locked="0" layoutInCell="1" allowOverlap="1">
                <wp:simplePos x="0" y="0"/>
                <wp:positionH relativeFrom="column">
                  <wp:posOffset>4105910</wp:posOffset>
                </wp:positionH>
                <wp:positionV relativeFrom="paragraph">
                  <wp:posOffset>127000</wp:posOffset>
                </wp:positionV>
                <wp:extent cx="716280" cy="450215"/>
                <wp:effectExtent l="4445" t="5080" r="22225" b="20955"/>
                <wp:wrapNone/>
                <wp:docPr id="5" name="文本框 5"/>
                <wp:cNvGraphicFramePr/>
                <a:graphic xmlns:a="http://schemas.openxmlformats.org/drawingml/2006/main">
                  <a:graphicData uri="http://schemas.microsoft.com/office/word/2010/wordprocessingShape">
                    <wps:wsp>
                      <wps:cNvSpPr txBox="1"/>
                      <wps:spPr>
                        <a:xfrm>
                          <a:off x="0" y="0"/>
                          <a:ext cx="716280" cy="450215"/>
                        </a:xfrm>
                        <a:prstGeom prst="rect">
                          <a:avLst/>
                        </a:prstGeom>
                        <a:noFill/>
                        <a:ln w="9525" cap="flat" cmpd="sng">
                          <a:solidFill>
                            <a:srgbClr val="FFFFFF"/>
                          </a:solidFill>
                          <a:prstDash val="solid"/>
                          <a:miter/>
                          <a:headEnd type="none" w="med" len="med"/>
                          <a:tailEnd type="none" w="med" len="med"/>
                        </a:ln>
                      </wps:spPr>
                      <wps:txbx>
                        <w:txbxContent>
                          <w:p w14:paraId="7B54E45A">
                            <w:pPr>
                              <w:pStyle w:val="15"/>
                              <w:rPr>
                                <w:rFonts w:hint="eastAsia"/>
                                <w:b/>
                                <w:bCs/>
                                <w:sz w:val="32"/>
                              </w:rPr>
                            </w:pPr>
                            <w:r>
                              <w:rPr>
                                <w:rFonts w:hint="eastAsia"/>
                                <w:b/>
                                <w:bCs/>
                                <w:sz w:val="32"/>
                              </w:rPr>
                              <w:t>制定</w:t>
                            </w:r>
                          </w:p>
                        </w:txbxContent>
                      </wps:txbx>
                      <wps:bodyPr upright="1"/>
                    </wps:wsp>
                  </a:graphicData>
                </a:graphic>
              </wp:anchor>
            </w:drawing>
          </mc:Choice>
          <mc:Fallback>
            <w:pict>
              <v:shape id="_x0000_s1026" o:spid="_x0000_s1026" o:spt="202" type="#_x0000_t202" style="position:absolute;left:0pt;margin-left:323.3pt;margin-top:10pt;height:35.45pt;width:56.4pt;z-index:251659264;mso-width-relative:page;mso-height-relative:page;" filled="f" stroked="t" coordsize="21600,21600" o:gfxdata="UEsDBAoAAAAAAIdO4kAAAAAAAAAAAAAAAAAEAAAAZHJzL1BLAwQUAAAACACHTuJAi0gkZNgAAAAJ&#10;AQAADwAAAGRycy9kb3ducmV2LnhtbE2PQU7DMBBF90jcwRokNlVrFwXThDhdILFgUaClB3DjaRyI&#10;x1HsJOX2mBUsR//p/zfl9uI6NuEQWk8K1isBDKn2pqVGwfHjebkBFqImoztPqOAbA2yr66tSF8bP&#10;tMfpEBuWSigUWoGNsS84D7VFp8PK90gpO/vB6ZjOoeFm0HMqdx2/E0Jyp1tKC1b3+GSx/jqMTsH+&#10;xb4vKNvtOsMn+Xl8Hd/mzUKp25u1eAQW8RL/YPjVT+pQJaeTH8kE1imQmZQJVZBmgCXg4T7PgJ0U&#10;5CIHXpX8/wfVD1BLAwQUAAAACACHTuJAZxYgtQYCAAAMBAAADgAAAGRycy9lMm9Eb2MueG1srVNL&#10;jhMxEN0jcQfLe9JJRIYhSmckCGGDAGngAI5d3W3JP7mcdOcCcANWbNhzrjnHlN2ZDAybLOiFu+wq&#10;v6r3qry6GaxhB4iovav5bDLlDJz0Sru25l+/bF9cc4ZJOCWMd1DzIyC/WT9/turDEua+80ZBZATi&#10;cNmHmncphWVVoezACpz4AI6cjY9WJNrGtlJR9IRuTTWfTq+q3kcVopeASKeb0clPiPESQN80WsLG&#10;y70Fl0bUCEYkooSdDsjXpdqmAZk+NQ1CYqbmxDSVlZKQvctrtV6JZRtF6LQ8lSAuKeEJJyu0o6Rn&#10;qI1Igu2j/gfKahk9+iZNpLfVSKQoQixm0yfa3HYiQOFCUmM4i47/D1Z+PHyOTKuaLzhzwlLD7358&#10;v/v5++7XN7bI8vQBlxR1GyguDW/8QEPzcI50mFkPTbT5T3wY+Unc41lcGBKTdPhqdjW/Jo8k18vF&#10;dD4r6NXj5RAxvQdvWTZqHql3RVJx+ICJCqHQh5Ccy/mtNqb0zzjW1/z1Yk4cpKCZbGgWyLSBeKFr&#10;Cwx6o1W+ki9jbHdvTWQHQXOxLV/mRCn+Csv5NgK7Ma64xomxOkEsuTsQ6p1TLB0DaefoyfBcjAXF&#10;mQF6YdkqkUloc0kkFWEc1ZKFHwXOVhp2A8Fkc+fVkZqxD1G3HSlV2lHCaUgKidNA5yn8c19AHx/x&#10;+h5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LSCRk2AAAAAkBAAAPAAAAAAAAAAEAIAAAACIAAABk&#10;cnMvZG93bnJldi54bWxQSwECFAAUAAAACACHTuJAZxYgtQYCAAAMBAAADgAAAAAAAAABACAAAAAn&#10;AQAAZHJzL2Uyb0RvYy54bWxQSwUGAAAAAAYABgBZAQAAnwUAAAAA&#10;">
                <v:fill on="f" focussize="0,0"/>
                <v:stroke color="#FFFFFF" joinstyle="miter"/>
                <v:imagedata o:title=""/>
                <o:lock v:ext="edit" aspectratio="f"/>
                <v:textbox>
                  <w:txbxContent>
                    <w:p w14:paraId="7B54E45A">
                      <w:pPr>
                        <w:pStyle w:val="15"/>
                        <w:rPr>
                          <w:rFonts w:hint="eastAsia"/>
                          <w:b/>
                          <w:bCs/>
                          <w:sz w:val="32"/>
                        </w:rPr>
                      </w:pPr>
                      <w:r>
                        <w:rPr>
                          <w:rFonts w:hint="eastAsia"/>
                          <w:b/>
                          <w:bCs/>
                          <w:sz w:val="32"/>
                        </w:rPr>
                        <w:t>制定</w:t>
                      </w:r>
                    </w:p>
                  </w:txbxContent>
                </v:textbox>
              </v:shape>
            </w:pict>
          </mc:Fallback>
        </mc:AlternateContent>
      </w:r>
      <w:r>
        <w:rPr>
          <w:rFonts w:hint="eastAsia" w:ascii="黑体" w:hAnsi="黑体" w:eastAsia="黑体" w:cs="黑体"/>
          <w:b/>
          <w:color w:val="auto"/>
          <w:sz w:val="32"/>
          <w:szCs w:val="28"/>
          <w:highlight w:val="none"/>
        </w:rPr>
        <w:t>住房城乡建设部</w:t>
      </w:r>
    </w:p>
    <w:p w14:paraId="545B4248">
      <w:pPr>
        <w:pStyle w:val="15"/>
        <w:ind w:right="2719" w:rightChars="1295" w:firstLine="2750" w:firstLineChars="856"/>
        <w:jc w:val="distribute"/>
        <w:rPr>
          <w:rFonts w:hint="eastAsia" w:ascii="黑体" w:hAnsi="黑体" w:eastAsia="黑体" w:cs="黑体"/>
          <w:color w:val="auto"/>
          <w:highlight w:val="none"/>
          <w:lang w:val="zh-CN"/>
        </w:rPr>
      </w:pPr>
      <w:r>
        <w:rPr>
          <w:rFonts w:hint="eastAsia" w:ascii="黑体" w:hAnsi="黑体" w:eastAsia="黑体" w:cs="黑体"/>
          <w:b/>
          <w:color w:val="auto"/>
          <w:sz w:val="32"/>
          <w:szCs w:val="28"/>
          <w:highlight w:val="none"/>
        </w:rPr>
        <w:t>国家工商行政管理总局</w:t>
      </w:r>
      <w:bookmarkStart w:id="26" w:name="_Toc256000013"/>
      <w:bookmarkStart w:id="27" w:name="_Toc296890982"/>
      <w:bookmarkStart w:id="28" w:name="_Toc296503025"/>
      <w:bookmarkStart w:id="29" w:name="_Toc144974826"/>
      <w:bookmarkStart w:id="30" w:name="_Toc152042546"/>
      <w:bookmarkStart w:id="31" w:name="_Toc152045767"/>
      <w:bookmarkStart w:id="32" w:name="_Toc179632785"/>
    </w:p>
    <w:p w14:paraId="3B46DD9B">
      <w:pPr>
        <w:pStyle w:val="16"/>
        <w:spacing w:before="0" w:after="0" w:line="240" w:lineRule="auto"/>
        <w:jc w:val="center"/>
        <w:outlineLvl w:val="0"/>
        <w:rPr>
          <w:rFonts w:hint="eastAsia" w:ascii="黑体" w:hAnsi="黑体" w:eastAsia="黑体" w:cs="黑体"/>
          <w:color w:val="auto"/>
          <w:highlight w:val="none"/>
          <w:lang w:val="zh-CN"/>
        </w:rPr>
      </w:pPr>
      <w:r>
        <w:rPr>
          <w:rFonts w:hint="eastAsia" w:ascii="黑体" w:hAnsi="黑体" w:eastAsia="黑体" w:cs="黑体"/>
          <w:color w:val="auto"/>
          <w:highlight w:val="none"/>
          <w:lang w:val="zh-CN"/>
        </w:rPr>
        <w:t>说  明</w:t>
      </w:r>
      <w:bookmarkEnd w:id="26"/>
    </w:p>
    <w:p w14:paraId="47E7142F">
      <w:pPr>
        <w:pStyle w:val="15"/>
        <w:keepNext w:val="0"/>
        <w:keepLines w:val="0"/>
        <w:pageBreakBefore w:val="0"/>
        <w:widowControl w:val="0"/>
        <w:kinsoku/>
        <w:wordWrap/>
        <w:overflowPunct/>
        <w:topLinePunct w:val="0"/>
        <w:autoSpaceDE/>
        <w:autoSpaceDN/>
        <w:bidi w:val="0"/>
        <w:adjustRightInd w:val="0"/>
        <w:snapToGrid w:val="0"/>
        <w:spacing w:line="360" w:lineRule="auto"/>
        <w:ind w:firstLine="600" w:firstLineChars="200"/>
        <w:textAlignment w:val="auto"/>
        <w:rPr>
          <w:rFonts w:hint="eastAsia" w:ascii="黑体" w:hAnsi="黑体" w:eastAsia="黑体" w:cs="黑体"/>
          <w:bCs/>
          <w:color w:val="auto"/>
          <w:sz w:val="24"/>
          <w:szCs w:val="24"/>
          <w:highlight w:val="none"/>
        </w:rPr>
      </w:pPr>
      <w:r>
        <w:rPr>
          <w:rFonts w:hint="eastAsia" w:ascii="黑体" w:hAnsi="黑体" w:eastAsia="黑体" w:cs="黑体"/>
          <w:color w:val="auto"/>
          <w:sz w:val="30"/>
          <w:szCs w:val="30"/>
          <w:highlight w:val="none"/>
        </w:rPr>
        <w:t>为了指导建设工程施工合同当事人的签约行为，维护合同当事人的合法权益，依据《中华人民共和国合同法》、《中华人民共和国建筑法》、《中华人民共和国招标投标法》以及相关法律法规，住房城乡建设部、国家工商行政管理总局对《建设工程施工合同（示范文本）》（GF-2013-0201）进行了修订，制定了《建设工程施工合同（示范文本）》（GF-2017-0201）（以下简称《示范文本》）。为了便于合同当事人使用《示范文本》，现就有关问题说明如下：</w:t>
      </w:r>
      <w:bookmarkStart w:id="33" w:name="_Toc256000014"/>
    </w:p>
    <w:bookmarkEnd w:id="33"/>
    <w:p w14:paraId="13A64824">
      <w:pPr>
        <w:pStyle w:val="15"/>
        <w:keepNext/>
        <w:keepLines/>
        <w:pageBreakBefore/>
        <w:widowControl w:val="0"/>
        <w:kinsoku/>
        <w:wordWrap/>
        <w:overflowPunct/>
        <w:topLinePunct w:val="0"/>
        <w:autoSpaceDE/>
        <w:autoSpaceDN/>
        <w:bidi w:val="0"/>
        <w:spacing w:line="360" w:lineRule="auto"/>
        <w:ind w:firstLine="480" w:firstLineChars="200"/>
        <w:textAlignment w:val="auto"/>
        <w:outlineLvl w:val="0"/>
        <w:rPr>
          <w:rFonts w:hint="eastAsia" w:ascii="黑体" w:hAnsi="黑体" w:eastAsia="黑体" w:cs="黑体"/>
          <w:color w:val="auto"/>
          <w:sz w:val="24"/>
          <w:szCs w:val="24"/>
          <w:highlight w:val="none"/>
        </w:rPr>
      </w:pPr>
      <w:r>
        <w:rPr>
          <w:rFonts w:hint="eastAsia" w:ascii="黑体" w:hAnsi="黑体" w:eastAsia="黑体" w:cs="黑体"/>
          <w:bCs/>
          <w:color w:val="auto"/>
          <w:sz w:val="24"/>
          <w:szCs w:val="24"/>
          <w:highlight w:val="none"/>
        </w:rPr>
        <w:t>一、《示范文本》的组成</w:t>
      </w:r>
    </w:p>
    <w:p w14:paraId="198C1167">
      <w:pPr>
        <w:pStyle w:val="15"/>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《示范文本》由合同协议书、通用合同条款和专用合同条款三部分组成。</w:t>
      </w:r>
    </w:p>
    <w:p w14:paraId="7459975C">
      <w:pPr>
        <w:pStyle w:val="15"/>
        <w:widowControl w:val="0"/>
        <w:kinsoku/>
        <w:wordWrap/>
        <w:overflowPunct/>
        <w:topLinePunct w:val="0"/>
        <w:autoSpaceDE/>
        <w:autoSpaceDN/>
        <w:bidi w:val="0"/>
        <w:spacing w:line="360" w:lineRule="auto"/>
        <w:ind w:firstLine="480" w:firstLineChars="200"/>
        <w:textAlignment w:val="auto"/>
        <w:outlineLvl w:val="0"/>
        <w:rPr>
          <w:rFonts w:hint="eastAsia" w:ascii="黑体" w:hAnsi="黑体" w:eastAsia="黑体" w:cs="黑体"/>
          <w:color w:val="auto"/>
          <w:sz w:val="24"/>
          <w:szCs w:val="24"/>
          <w:highlight w:val="none"/>
        </w:rPr>
      </w:pPr>
      <w:bookmarkStart w:id="34" w:name="_Toc256000015"/>
      <w:r>
        <w:rPr>
          <w:rFonts w:hint="eastAsia" w:ascii="黑体" w:hAnsi="黑体" w:eastAsia="黑体" w:cs="黑体"/>
          <w:color w:val="auto"/>
          <w:sz w:val="24"/>
          <w:szCs w:val="24"/>
          <w:highlight w:val="none"/>
        </w:rPr>
        <w:t>（一）合同协议书</w:t>
      </w:r>
      <w:bookmarkEnd w:id="34"/>
    </w:p>
    <w:p w14:paraId="7F867181">
      <w:pPr>
        <w:pStyle w:val="15"/>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示范文本》合同协议书共计13条，主要包括：工程概况、合同工期、质量标准、签约合同价和合同价格形式、项目经理、合同文件构成、承诺以及合同生效条件等重要内容，集中约定了合同当事人基本的合同权利义务。</w:t>
      </w:r>
    </w:p>
    <w:p w14:paraId="459EDC67">
      <w:pPr>
        <w:pStyle w:val="15"/>
        <w:widowControl w:val="0"/>
        <w:kinsoku/>
        <w:wordWrap/>
        <w:overflowPunct/>
        <w:topLinePunct w:val="0"/>
        <w:autoSpaceDE/>
        <w:autoSpaceDN/>
        <w:bidi w:val="0"/>
        <w:spacing w:line="360" w:lineRule="auto"/>
        <w:ind w:firstLine="480" w:firstLineChars="200"/>
        <w:textAlignment w:val="auto"/>
        <w:outlineLvl w:val="0"/>
        <w:rPr>
          <w:rFonts w:hint="eastAsia" w:ascii="黑体" w:hAnsi="黑体" w:eastAsia="黑体" w:cs="黑体"/>
          <w:color w:val="auto"/>
          <w:sz w:val="24"/>
          <w:szCs w:val="24"/>
          <w:highlight w:val="none"/>
        </w:rPr>
      </w:pPr>
      <w:bookmarkStart w:id="35" w:name="_Toc256000016"/>
      <w:r>
        <w:rPr>
          <w:rFonts w:hint="eastAsia" w:ascii="黑体" w:hAnsi="黑体" w:eastAsia="黑体" w:cs="黑体"/>
          <w:color w:val="auto"/>
          <w:sz w:val="24"/>
          <w:szCs w:val="24"/>
          <w:highlight w:val="none"/>
        </w:rPr>
        <w:t>（二）通用合同条款</w:t>
      </w:r>
      <w:bookmarkEnd w:id="35"/>
    </w:p>
    <w:p w14:paraId="5186D2CB">
      <w:pPr>
        <w:pStyle w:val="15"/>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通用合同条款是合同当事人根据《中华人民共和国建筑法》、《中华人民共和国合同法》等法律法规的规定，就工程建设的实施及相关事项，对合同当事人的权利义务作出的原则性约定。</w:t>
      </w:r>
    </w:p>
    <w:p w14:paraId="6CEAAA3A">
      <w:pPr>
        <w:pStyle w:val="15"/>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通用合同条款共计20条，具体条款分别为：一般约定、发包人、承包人、监理人、工程质量、安全文明施工与环境保护、工期和进度、材料与设备、试验与检验、变更、价格调整、合同价格、计量与支付、验收和工程试车、竣工结算、缺陷责任与保修、违约、不可抗力、保险、索赔和争议解决。前述条款安排既考虑了现行法律法规对工程建设的有关要求，也考虑了建设工程施工管理的特殊需要。</w:t>
      </w:r>
    </w:p>
    <w:p w14:paraId="669418D3">
      <w:pPr>
        <w:pStyle w:val="15"/>
        <w:widowControl w:val="0"/>
        <w:kinsoku/>
        <w:wordWrap/>
        <w:overflowPunct/>
        <w:topLinePunct w:val="0"/>
        <w:autoSpaceDE/>
        <w:autoSpaceDN/>
        <w:bidi w:val="0"/>
        <w:spacing w:line="360" w:lineRule="auto"/>
        <w:ind w:firstLine="480" w:firstLineChars="200"/>
        <w:textAlignment w:val="auto"/>
        <w:outlineLvl w:val="0"/>
        <w:rPr>
          <w:rFonts w:hint="eastAsia" w:ascii="黑体" w:hAnsi="黑体" w:eastAsia="黑体" w:cs="黑体"/>
          <w:color w:val="auto"/>
          <w:sz w:val="24"/>
          <w:szCs w:val="24"/>
          <w:highlight w:val="none"/>
        </w:rPr>
      </w:pPr>
      <w:bookmarkStart w:id="36" w:name="_Toc256000017"/>
      <w:r>
        <w:rPr>
          <w:rFonts w:hint="eastAsia" w:ascii="黑体" w:hAnsi="黑体" w:eastAsia="黑体" w:cs="黑体"/>
          <w:color w:val="auto"/>
          <w:sz w:val="24"/>
          <w:szCs w:val="24"/>
          <w:highlight w:val="none"/>
        </w:rPr>
        <w:t>（三）专用合同条款</w:t>
      </w:r>
      <w:bookmarkEnd w:id="36"/>
    </w:p>
    <w:p w14:paraId="46851BBA">
      <w:pPr>
        <w:pStyle w:val="15"/>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专用合同条款是对通用合同条款原则性约定的细化、完善、补充、修改或另行约定的条款。合同当事人可以根据不同建设工程的特点及具体情况，通过双方的谈判、协商对相应的专用合同条款进行修改补充。在使用专用合同条款时，应注意以下事项：</w:t>
      </w:r>
    </w:p>
    <w:p w14:paraId="2D6F5B7E">
      <w:pPr>
        <w:pStyle w:val="15"/>
        <w:widowControl w:val="0"/>
        <w:kinsoku/>
        <w:wordWrap/>
        <w:overflowPunct/>
        <w:topLinePunct w:val="0"/>
        <w:autoSpaceDE/>
        <w:autoSpaceDN/>
        <w:bidi w:val="0"/>
        <w:spacing w:line="360" w:lineRule="auto"/>
        <w:ind w:right="25" w:rightChars="12" w:firstLine="480" w:firstLineChars="200"/>
        <w:textAlignment w:val="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1.专用合同条款的编号应与相应的通用合同条款的编号一致；</w:t>
      </w:r>
    </w:p>
    <w:p w14:paraId="7427D520">
      <w:pPr>
        <w:pStyle w:val="15"/>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2.合同当事人可以通过对专用合同条款的修改，满足具体建设工程的特殊要求，避免直接修改通用合同条款；</w:t>
      </w:r>
    </w:p>
    <w:p w14:paraId="71293BD4">
      <w:pPr>
        <w:pStyle w:val="15"/>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Cs/>
          <w:color w:val="auto"/>
          <w:sz w:val="24"/>
          <w:szCs w:val="24"/>
          <w:highlight w:val="none"/>
        </w:rPr>
      </w:pPr>
      <w:r>
        <w:rPr>
          <w:rFonts w:hint="eastAsia" w:ascii="黑体" w:hAnsi="黑体" w:eastAsia="黑体" w:cs="黑体"/>
          <w:color w:val="auto"/>
          <w:sz w:val="24"/>
          <w:szCs w:val="24"/>
          <w:highlight w:val="none"/>
        </w:rPr>
        <w:t>3.在专用合同条款中有横道线的地方，合同当事人可针对相应的通用合同条款进行细化、完善、补充、修改或另行约定；如无细化、完善、补充、修改或另行约定，则填写“无”或划“/”。</w:t>
      </w:r>
      <w:bookmarkStart w:id="37" w:name="_Toc256000018"/>
    </w:p>
    <w:p w14:paraId="1B656D69">
      <w:pPr>
        <w:pStyle w:val="15"/>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color w:val="auto"/>
          <w:sz w:val="24"/>
          <w:szCs w:val="24"/>
          <w:highlight w:val="none"/>
        </w:rPr>
      </w:pPr>
      <w:r>
        <w:rPr>
          <w:rFonts w:hint="eastAsia" w:ascii="黑体" w:hAnsi="黑体" w:eastAsia="黑体" w:cs="黑体"/>
          <w:bCs/>
          <w:color w:val="auto"/>
          <w:sz w:val="24"/>
          <w:szCs w:val="24"/>
          <w:highlight w:val="none"/>
        </w:rPr>
        <w:t>二、《示范文本》的性质和适用范围</w:t>
      </w:r>
      <w:bookmarkEnd w:id="37"/>
    </w:p>
    <w:p w14:paraId="6374E8AA">
      <w:pPr>
        <w:pStyle w:val="15"/>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《示范文本》为非强制性使用文本。《示范文本》适用于房屋</w:t>
      </w:r>
      <w:r>
        <w:rPr>
          <w:rFonts w:hint="eastAsia" w:ascii="黑体" w:hAnsi="黑体" w:eastAsia="黑体" w:cs="黑体"/>
          <w:color w:val="auto"/>
          <w:sz w:val="24"/>
          <w:szCs w:val="24"/>
          <w:highlight w:val="none"/>
          <w:lang w:eastAsia="zh-CN"/>
        </w:rPr>
        <w:t>市政公用工程</w:t>
      </w:r>
      <w:r>
        <w:rPr>
          <w:rFonts w:hint="eastAsia" w:ascii="黑体" w:hAnsi="黑体" w:eastAsia="黑体" w:cs="黑体"/>
          <w:color w:val="auto"/>
          <w:sz w:val="24"/>
          <w:szCs w:val="24"/>
          <w:highlight w:val="none"/>
        </w:rPr>
        <w:t>、土木工程、线路管道和设备安装工程、装修工程等建设工程的施工承发包活动,合同当事人可结合建设工程具体情况，根据《示范文本》订立合同，并按照法律法规规定和合同约定承担相应的法律责任及合同权利义务。</w:t>
      </w:r>
    </w:p>
    <w:p w14:paraId="04F90255">
      <w:pPr>
        <w:pStyle w:val="15"/>
        <w:jc w:val="center"/>
        <w:outlineLvl w:val="1"/>
        <w:rPr>
          <w:rFonts w:hint="eastAsia" w:ascii="黑体" w:hAnsi="黑体" w:eastAsia="黑体" w:cs="黑体"/>
          <w:color w:val="auto"/>
          <w:sz w:val="24"/>
          <w:szCs w:val="24"/>
          <w:highlight w:val="none"/>
        </w:rPr>
      </w:pPr>
      <w:bookmarkStart w:id="38" w:name="_Toc256000019"/>
      <w:bookmarkStart w:id="39" w:name="_Toc351203480"/>
    </w:p>
    <w:p w14:paraId="37BD108A">
      <w:pPr>
        <w:pStyle w:val="15"/>
        <w:jc w:val="center"/>
        <w:outlineLvl w:val="1"/>
        <w:rPr>
          <w:rFonts w:hint="eastAsia" w:ascii="黑体" w:hAnsi="黑体" w:eastAsia="黑体" w:cs="黑体"/>
          <w:color w:val="auto"/>
          <w:sz w:val="24"/>
          <w:szCs w:val="24"/>
          <w:highlight w:val="none"/>
        </w:rPr>
      </w:pPr>
    </w:p>
    <w:p w14:paraId="096364BA">
      <w:pPr>
        <w:pStyle w:val="15"/>
        <w:jc w:val="center"/>
        <w:outlineLvl w:val="1"/>
        <w:rPr>
          <w:rFonts w:hint="eastAsia" w:ascii="黑体" w:hAnsi="黑体" w:eastAsia="黑体" w:cs="黑体"/>
          <w:color w:val="auto"/>
          <w:sz w:val="24"/>
          <w:szCs w:val="24"/>
          <w:highlight w:val="none"/>
        </w:rPr>
      </w:pPr>
    </w:p>
    <w:p w14:paraId="09E59BDD">
      <w:pPr>
        <w:pStyle w:val="15"/>
        <w:jc w:val="center"/>
        <w:outlineLvl w:val="1"/>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第一部分 合同协议书</w:t>
      </w:r>
      <w:bookmarkEnd w:id="27"/>
      <w:bookmarkEnd w:id="28"/>
      <w:bookmarkEnd w:id="38"/>
      <w:bookmarkEnd w:id="39"/>
    </w:p>
    <w:p w14:paraId="0EFFA23C">
      <w:pPr>
        <w:pStyle w:val="15"/>
        <w:spacing w:line="360" w:lineRule="auto"/>
        <w:rPr>
          <w:rFonts w:hint="eastAsia" w:ascii="黑体" w:hAnsi="黑体" w:eastAsia="黑体" w:cs="黑体"/>
          <w:b/>
          <w:color w:val="auto"/>
          <w:sz w:val="24"/>
          <w:szCs w:val="24"/>
          <w:highlight w:val="none"/>
          <w:u w:val="single"/>
        </w:rPr>
      </w:pPr>
      <w:r>
        <w:rPr>
          <w:rFonts w:hint="eastAsia" w:ascii="黑体" w:hAnsi="黑体" w:eastAsia="黑体" w:cs="黑体"/>
          <w:b/>
          <w:color w:val="auto"/>
          <w:sz w:val="24"/>
          <w:szCs w:val="24"/>
          <w:highlight w:val="none"/>
        </w:rPr>
        <w:t>发包人（全称）：</w:t>
      </w:r>
      <w:r>
        <w:rPr>
          <w:rFonts w:hint="eastAsia" w:ascii="黑体" w:hAnsi="黑体" w:eastAsia="黑体" w:cs="黑体"/>
          <w:b/>
          <w:color w:val="auto"/>
          <w:sz w:val="24"/>
          <w:szCs w:val="24"/>
          <w:highlight w:val="none"/>
          <w:u w:val="single"/>
        </w:rPr>
        <w:t>                       </w:t>
      </w:r>
    </w:p>
    <w:p w14:paraId="09533E89">
      <w:pPr>
        <w:pStyle w:val="15"/>
        <w:spacing w:line="360" w:lineRule="auto"/>
        <w:rPr>
          <w:rFonts w:hint="eastAsia" w:ascii="黑体" w:hAnsi="黑体" w:eastAsia="黑体" w:cs="黑体"/>
          <w:b/>
          <w:color w:val="auto"/>
          <w:sz w:val="24"/>
          <w:szCs w:val="24"/>
          <w:highlight w:val="none"/>
          <w:u w:val="single"/>
        </w:rPr>
      </w:pPr>
      <w:r>
        <w:rPr>
          <w:rFonts w:hint="eastAsia" w:ascii="黑体" w:hAnsi="黑体" w:eastAsia="黑体" w:cs="黑体"/>
          <w:b/>
          <w:color w:val="auto"/>
          <w:sz w:val="24"/>
          <w:szCs w:val="24"/>
          <w:highlight w:val="none"/>
        </w:rPr>
        <w:t>承包人（全称）：</w:t>
      </w:r>
      <w:r>
        <w:rPr>
          <w:rFonts w:hint="eastAsia" w:ascii="黑体" w:hAnsi="黑体" w:eastAsia="黑体" w:cs="黑体"/>
          <w:b/>
          <w:color w:val="auto"/>
          <w:sz w:val="24"/>
          <w:szCs w:val="24"/>
          <w:highlight w:val="none"/>
          <w:u w:val="single"/>
        </w:rPr>
        <w:t>                      </w:t>
      </w:r>
    </w:p>
    <w:p w14:paraId="63E2F88B">
      <w:pPr>
        <w:pStyle w:val="15"/>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根据《中华人民共和国合同法》、《中华人民共和国建筑法》及有关法律规定，遵循平等、自愿、公平和诚实信用的原则，双方就</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工程施工及有关事项协商一致，共同达成如下协议：</w:t>
      </w:r>
    </w:p>
    <w:p w14:paraId="4E03F90B">
      <w:pPr>
        <w:pStyle w:val="15"/>
        <w:outlineLvl w:val="2"/>
        <w:rPr>
          <w:rFonts w:hint="eastAsia" w:ascii="黑体" w:hAnsi="黑体" w:eastAsia="黑体" w:cs="黑体"/>
          <w:color w:val="auto"/>
          <w:sz w:val="24"/>
          <w:szCs w:val="24"/>
          <w:highlight w:val="none"/>
        </w:rPr>
      </w:pPr>
      <w:bookmarkStart w:id="40" w:name="_Toc351203481"/>
      <w:bookmarkStart w:id="41" w:name="_Toc256000020"/>
      <w:r>
        <w:rPr>
          <w:rFonts w:hint="eastAsia" w:ascii="黑体" w:hAnsi="黑体" w:eastAsia="黑体" w:cs="黑体"/>
          <w:color w:val="auto"/>
          <w:sz w:val="24"/>
          <w:szCs w:val="24"/>
          <w:highlight w:val="none"/>
        </w:rPr>
        <w:t>一、工程概况</w:t>
      </w:r>
      <w:bookmarkEnd w:id="40"/>
      <w:bookmarkEnd w:id="41"/>
    </w:p>
    <w:p w14:paraId="28681B0A">
      <w:pPr>
        <w:pStyle w:val="15"/>
        <w:spacing w:line="360" w:lineRule="auto"/>
        <w:ind w:firstLine="470" w:firstLineChars="196"/>
        <w:rPr>
          <w:rFonts w:hint="eastAsia" w:ascii="黑体" w:hAnsi="黑体" w:eastAsia="黑体" w:cs="黑体"/>
          <w:color w:val="auto"/>
          <w:sz w:val="24"/>
          <w:szCs w:val="24"/>
          <w:highlight w:val="none"/>
          <w:u w:val="single"/>
        </w:rPr>
      </w:pPr>
      <w:r>
        <w:rPr>
          <w:rFonts w:hint="eastAsia" w:ascii="黑体" w:hAnsi="黑体" w:eastAsia="黑体" w:cs="黑体"/>
          <w:bCs/>
          <w:color w:val="auto"/>
          <w:sz w:val="24"/>
          <w:szCs w:val="24"/>
          <w:highlight w:val="none"/>
        </w:rPr>
        <w:t>1.工程名称</w:t>
      </w:r>
      <w:r>
        <w:rPr>
          <w:rFonts w:hint="eastAsia" w:ascii="黑体" w:hAnsi="黑体" w:eastAsia="黑体" w:cs="黑体"/>
          <w:color w:val="auto"/>
          <w:sz w:val="24"/>
          <w:szCs w:val="24"/>
          <w:highlight w:val="none"/>
        </w:rPr>
        <w:t>：</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0D5BCE4A">
      <w:pPr>
        <w:pStyle w:val="15"/>
        <w:spacing w:line="360" w:lineRule="auto"/>
        <w:ind w:firstLine="470" w:firstLineChars="196"/>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2.工程地点：</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716048E8">
      <w:pPr>
        <w:pStyle w:val="15"/>
        <w:spacing w:line="360" w:lineRule="auto"/>
        <w:ind w:firstLine="470" w:firstLineChars="196"/>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3.工程立项批准文号：</w:t>
      </w:r>
      <w:r>
        <w:rPr>
          <w:rFonts w:hint="eastAsia" w:ascii="黑体" w:hAnsi="黑体" w:eastAsia="黑体" w:cs="黑体"/>
          <w:color w:val="auto"/>
          <w:sz w:val="24"/>
          <w:szCs w:val="24"/>
          <w:highlight w:val="none"/>
          <w:u w:val="single"/>
        </w:rPr>
        <w:t xml:space="preserve">       </w:t>
      </w:r>
      <w:r>
        <w:rPr>
          <w:rFonts w:hint="eastAsia" w:ascii="黑体" w:hAnsi="黑体" w:eastAsia="黑体" w:cs="黑体"/>
          <w:bCs/>
          <w:color w:val="auto"/>
          <w:sz w:val="24"/>
          <w:szCs w:val="24"/>
          <w:highlight w:val="none"/>
        </w:rPr>
        <w:t>。</w:t>
      </w:r>
    </w:p>
    <w:p w14:paraId="2B6DBEE2">
      <w:pPr>
        <w:pStyle w:val="15"/>
        <w:spacing w:line="360" w:lineRule="auto"/>
        <w:ind w:firstLine="470" w:firstLineChars="196"/>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4.资金来源：</w:t>
      </w:r>
      <w:r>
        <w:rPr>
          <w:rFonts w:hint="eastAsia" w:ascii="黑体" w:hAnsi="黑体" w:eastAsia="黑体" w:cs="黑体"/>
          <w:color w:val="auto"/>
          <w:sz w:val="24"/>
          <w:szCs w:val="24"/>
          <w:highlight w:val="none"/>
          <w:u w:val="single"/>
        </w:rPr>
        <w:t xml:space="preserve">       </w:t>
      </w:r>
      <w:r>
        <w:rPr>
          <w:rFonts w:hint="eastAsia" w:ascii="黑体" w:hAnsi="黑体" w:eastAsia="黑体" w:cs="黑体"/>
          <w:bCs/>
          <w:color w:val="auto"/>
          <w:sz w:val="24"/>
          <w:szCs w:val="24"/>
          <w:highlight w:val="none"/>
        </w:rPr>
        <w:t>。</w:t>
      </w:r>
    </w:p>
    <w:p w14:paraId="3D8CA5F5">
      <w:pPr>
        <w:pStyle w:val="15"/>
        <w:spacing w:line="360" w:lineRule="auto"/>
        <w:ind w:firstLine="470" w:firstLineChars="196"/>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5.工程内容：</w:t>
      </w:r>
      <w:r>
        <w:rPr>
          <w:rFonts w:hint="eastAsia" w:ascii="黑体" w:hAnsi="黑体" w:eastAsia="黑体" w:cs="黑体"/>
          <w:color w:val="auto"/>
          <w:sz w:val="24"/>
          <w:szCs w:val="24"/>
          <w:highlight w:val="none"/>
          <w:u w:val="single"/>
        </w:rPr>
        <w:t xml:space="preserve">       </w:t>
      </w:r>
      <w:r>
        <w:rPr>
          <w:rFonts w:hint="eastAsia" w:ascii="黑体" w:hAnsi="黑体" w:eastAsia="黑体" w:cs="黑体"/>
          <w:bCs/>
          <w:color w:val="auto"/>
          <w:sz w:val="24"/>
          <w:szCs w:val="24"/>
          <w:highlight w:val="none"/>
        </w:rPr>
        <w:t>。</w:t>
      </w:r>
    </w:p>
    <w:p w14:paraId="5D045782">
      <w:pPr>
        <w:pStyle w:val="15"/>
        <w:spacing w:line="360" w:lineRule="auto"/>
        <w:ind w:firstLine="470" w:firstLineChars="196"/>
        <w:rPr>
          <w:rFonts w:hint="eastAsia" w:ascii="黑体" w:hAnsi="黑体" w:eastAsia="黑体" w:cs="黑体"/>
          <w:bCs/>
          <w:color w:val="auto"/>
          <w:sz w:val="24"/>
          <w:szCs w:val="24"/>
          <w:highlight w:val="none"/>
        </w:rPr>
      </w:pPr>
      <w:r>
        <w:rPr>
          <w:rFonts w:hint="eastAsia" w:ascii="黑体" w:hAnsi="黑体" w:eastAsia="黑体" w:cs="黑体"/>
          <w:color w:val="auto"/>
          <w:sz w:val="24"/>
          <w:szCs w:val="24"/>
          <w:highlight w:val="none"/>
        </w:rPr>
        <w:t>群体工程应附《承包人承揽工程项目一览表》（附件1）。</w:t>
      </w:r>
    </w:p>
    <w:p w14:paraId="37CC4E0B">
      <w:pPr>
        <w:pStyle w:val="15"/>
        <w:spacing w:line="360" w:lineRule="auto"/>
        <w:ind w:firstLine="470" w:firstLineChars="196"/>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6.工程承包范围：</w:t>
      </w:r>
    </w:p>
    <w:p w14:paraId="5A7FF029">
      <w:pPr>
        <w:pStyle w:val="15"/>
        <w:spacing w:line="360" w:lineRule="auto"/>
        <w:ind w:firstLine="463" w:firstLineChars="193"/>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u w:val="single"/>
        </w:rPr>
        <w:t>   </w:t>
      </w:r>
    </w:p>
    <w:p w14:paraId="4BF29696">
      <w:pPr>
        <w:pStyle w:val="15"/>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u w:val="single"/>
        </w:rPr>
        <w:t> </w:t>
      </w:r>
      <w:r>
        <w:rPr>
          <w:rFonts w:hint="eastAsia" w:ascii="黑体" w:hAnsi="黑体" w:eastAsia="黑体" w:cs="黑体"/>
          <w:color w:val="auto"/>
          <w:sz w:val="24"/>
          <w:szCs w:val="24"/>
          <w:highlight w:val="none"/>
        </w:rPr>
        <w:t>。</w:t>
      </w:r>
    </w:p>
    <w:p w14:paraId="3EAF9D90">
      <w:pPr>
        <w:pStyle w:val="15"/>
        <w:outlineLvl w:val="2"/>
        <w:rPr>
          <w:rFonts w:hint="eastAsia" w:ascii="黑体" w:hAnsi="黑体" w:eastAsia="黑体" w:cs="黑体"/>
          <w:color w:val="auto"/>
          <w:sz w:val="24"/>
          <w:szCs w:val="24"/>
          <w:highlight w:val="none"/>
        </w:rPr>
      </w:pPr>
      <w:bookmarkStart w:id="42" w:name="_Toc256000021"/>
      <w:bookmarkStart w:id="43" w:name="_Toc351203482"/>
      <w:r>
        <w:rPr>
          <w:rFonts w:hint="eastAsia" w:ascii="黑体" w:hAnsi="黑体" w:eastAsia="黑体" w:cs="黑体"/>
          <w:color w:val="auto"/>
          <w:sz w:val="24"/>
          <w:szCs w:val="24"/>
          <w:highlight w:val="none"/>
        </w:rPr>
        <w:t>二、合同工期</w:t>
      </w:r>
      <w:bookmarkEnd w:id="42"/>
      <w:bookmarkEnd w:id="43"/>
    </w:p>
    <w:p w14:paraId="10C3A04B">
      <w:pPr>
        <w:pStyle w:val="15"/>
        <w:spacing w:line="360" w:lineRule="auto"/>
        <w:ind w:firstLine="459"/>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计划开工日期：</w:t>
      </w:r>
      <w:r>
        <w:rPr>
          <w:rFonts w:hint="eastAsia" w:ascii="黑体" w:hAnsi="黑体" w:eastAsia="黑体" w:cs="黑体"/>
          <w:color w:val="auto"/>
          <w:sz w:val="24"/>
          <w:szCs w:val="24"/>
          <w:highlight w:val="none"/>
          <w:u w:val="single"/>
        </w:rPr>
        <w:t></w:t>
      </w:r>
      <w:r>
        <w:rPr>
          <w:rFonts w:hint="eastAsia" w:ascii="黑体" w:hAnsi="黑体" w:eastAsia="黑体" w:cs="黑体"/>
          <w:color w:val="auto"/>
          <w:sz w:val="24"/>
          <w:szCs w:val="24"/>
          <w:highlight w:val="none"/>
        </w:rPr>
        <w:t>年</w:t>
      </w:r>
      <w:r>
        <w:rPr>
          <w:rFonts w:hint="eastAsia" w:ascii="黑体" w:hAnsi="黑体" w:eastAsia="黑体" w:cs="黑体"/>
          <w:color w:val="auto"/>
          <w:sz w:val="24"/>
          <w:szCs w:val="24"/>
          <w:highlight w:val="none"/>
          <w:u w:val="single"/>
        </w:rPr>
        <w:t></w:t>
      </w:r>
      <w:r>
        <w:rPr>
          <w:rFonts w:hint="eastAsia" w:ascii="黑体" w:hAnsi="黑体" w:eastAsia="黑体" w:cs="黑体"/>
          <w:color w:val="auto"/>
          <w:sz w:val="24"/>
          <w:szCs w:val="24"/>
          <w:highlight w:val="none"/>
        </w:rPr>
        <w:t>月</w:t>
      </w:r>
      <w:r>
        <w:rPr>
          <w:rFonts w:hint="eastAsia" w:ascii="黑体" w:hAnsi="黑体" w:eastAsia="黑体" w:cs="黑体"/>
          <w:color w:val="auto"/>
          <w:sz w:val="24"/>
          <w:szCs w:val="24"/>
          <w:highlight w:val="none"/>
          <w:u w:val="single"/>
        </w:rPr>
        <w:t></w:t>
      </w:r>
      <w:r>
        <w:rPr>
          <w:rFonts w:hint="eastAsia" w:ascii="黑体" w:hAnsi="黑体" w:eastAsia="黑体" w:cs="黑体"/>
          <w:color w:val="auto"/>
          <w:sz w:val="24"/>
          <w:szCs w:val="24"/>
          <w:highlight w:val="none"/>
        </w:rPr>
        <w:t>日。</w:t>
      </w:r>
    </w:p>
    <w:p w14:paraId="616F2478">
      <w:pPr>
        <w:pStyle w:val="15"/>
        <w:spacing w:line="360" w:lineRule="auto"/>
        <w:ind w:firstLine="459"/>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计划竣工日期：</w:t>
      </w:r>
      <w:r>
        <w:rPr>
          <w:rFonts w:hint="eastAsia" w:ascii="黑体" w:hAnsi="黑体" w:eastAsia="黑体" w:cs="黑体"/>
          <w:color w:val="auto"/>
          <w:sz w:val="24"/>
          <w:szCs w:val="24"/>
          <w:highlight w:val="none"/>
          <w:u w:val="single"/>
        </w:rPr>
        <w:t></w:t>
      </w:r>
      <w:r>
        <w:rPr>
          <w:rFonts w:hint="eastAsia" w:ascii="黑体" w:hAnsi="黑体" w:eastAsia="黑体" w:cs="黑体"/>
          <w:color w:val="auto"/>
          <w:sz w:val="24"/>
          <w:szCs w:val="24"/>
          <w:highlight w:val="none"/>
        </w:rPr>
        <w:t>年</w:t>
      </w:r>
      <w:r>
        <w:rPr>
          <w:rFonts w:hint="eastAsia" w:ascii="黑体" w:hAnsi="黑体" w:eastAsia="黑体" w:cs="黑体"/>
          <w:color w:val="auto"/>
          <w:sz w:val="24"/>
          <w:szCs w:val="24"/>
          <w:highlight w:val="none"/>
          <w:u w:val="single"/>
        </w:rPr>
        <w:t></w:t>
      </w:r>
      <w:r>
        <w:rPr>
          <w:rFonts w:hint="eastAsia" w:ascii="黑体" w:hAnsi="黑体" w:eastAsia="黑体" w:cs="黑体"/>
          <w:color w:val="auto"/>
          <w:sz w:val="24"/>
          <w:szCs w:val="24"/>
          <w:highlight w:val="none"/>
        </w:rPr>
        <w:t>月</w:t>
      </w:r>
      <w:r>
        <w:rPr>
          <w:rFonts w:hint="eastAsia" w:ascii="黑体" w:hAnsi="黑体" w:eastAsia="黑体" w:cs="黑体"/>
          <w:color w:val="auto"/>
          <w:sz w:val="24"/>
          <w:szCs w:val="24"/>
          <w:highlight w:val="none"/>
          <w:u w:val="single"/>
        </w:rPr>
        <w:t></w:t>
      </w:r>
      <w:r>
        <w:rPr>
          <w:rFonts w:hint="eastAsia" w:ascii="黑体" w:hAnsi="黑体" w:eastAsia="黑体" w:cs="黑体"/>
          <w:color w:val="auto"/>
          <w:sz w:val="24"/>
          <w:szCs w:val="24"/>
          <w:highlight w:val="none"/>
        </w:rPr>
        <w:t>日。</w:t>
      </w:r>
    </w:p>
    <w:p w14:paraId="33917A56">
      <w:pPr>
        <w:pStyle w:val="15"/>
        <w:spacing w:line="360" w:lineRule="auto"/>
        <w:ind w:firstLine="459"/>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工期总日历天数：</w:t>
      </w:r>
      <w:r>
        <w:rPr>
          <w:rFonts w:hint="eastAsia" w:ascii="黑体" w:hAnsi="黑体" w:eastAsia="黑体" w:cs="黑体"/>
          <w:color w:val="auto"/>
          <w:sz w:val="24"/>
          <w:szCs w:val="24"/>
          <w:highlight w:val="none"/>
          <w:u w:val="single"/>
        </w:rPr>
        <w:t></w:t>
      </w:r>
      <w:r>
        <w:rPr>
          <w:rFonts w:hint="eastAsia" w:ascii="黑体" w:hAnsi="黑体" w:eastAsia="黑体" w:cs="黑体"/>
          <w:color w:val="auto"/>
          <w:sz w:val="24"/>
          <w:szCs w:val="24"/>
          <w:highlight w:val="none"/>
        </w:rPr>
        <w:t>天。工期总日历天数与根据前述计划开竣工日期计算的工期天数不一致的，以工期总日历天数为准。</w:t>
      </w:r>
    </w:p>
    <w:p w14:paraId="3262024F">
      <w:pPr>
        <w:pStyle w:val="15"/>
        <w:outlineLvl w:val="2"/>
        <w:rPr>
          <w:rFonts w:hint="eastAsia" w:ascii="黑体" w:hAnsi="黑体" w:eastAsia="黑体" w:cs="黑体"/>
          <w:color w:val="auto"/>
          <w:sz w:val="24"/>
          <w:szCs w:val="24"/>
          <w:highlight w:val="none"/>
        </w:rPr>
      </w:pPr>
      <w:bookmarkStart w:id="44" w:name="_Toc351203483"/>
      <w:bookmarkStart w:id="45" w:name="_Toc256000022"/>
      <w:r>
        <w:rPr>
          <w:rFonts w:hint="eastAsia" w:ascii="黑体" w:hAnsi="黑体" w:eastAsia="黑体" w:cs="黑体"/>
          <w:color w:val="auto"/>
          <w:sz w:val="24"/>
          <w:szCs w:val="24"/>
          <w:highlight w:val="none"/>
        </w:rPr>
        <w:t>三、质量标准</w:t>
      </w:r>
      <w:bookmarkEnd w:id="44"/>
      <w:bookmarkEnd w:id="45"/>
    </w:p>
    <w:p w14:paraId="69ED905C">
      <w:pPr>
        <w:pStyle w:val="15"/>
        <w:spacing w:line="360" w:lineRule="auto"/>
        <w:ind w:firstLine="459"/>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工程质量符合</w:t>
      </w:r>
      <w:r>
        <w:rPr>
          <w:rFonts w:hint="eastAsia" w:ascii="黑体" w:hAnsi="黑体" w:eastAsia="黑体" w:cs="黑体"/>
          <w:color w:val="auto"/>
          <w:sz w:val="24"/>
          <w:szCs w:val="24"/>
          <w:highlight w:val="none"/>
          <w:u w:val="single"/>
        </w:rPr>
        <w:t></w:t>
      </w:r>
      <w:r>
        <w:rPr>
          <w:rFonts w:hint="eastAsia" w:ascii="黑体" w:hAnsi="黑体" w:eastAsia="黑体" w:cs="黑体"/>
          <w:color w:val="auto"/>
          <w:sz w:val="24"/>
          <w:szCs w:val="24"/>
          <w:highlight w:val="none"/>
        </w:rPr>
        <w:t>标准。</w:t>
      </w:r>
    </w:p>
    <w:p w14:paraId="3A397C65">
      <w:pPr>
        <w:pStyle w:val="15"/>
        <w:outlineLvl w:val="2"/>
        <w:rPr>
          <w:rFonts w:hint="eastAsia" w:ascii="黑体" w:hAnsi="黑体" w:eastAsia="黑体" w:cs="黑体"/>
          <w:color w:val="auto"/>
          <w:sz w:val="24"/>
          <w:szCs w:val="24"/>
          <w:highlight w:val="none"/>
        </w:rPr>
      </w:pPr>
      <w:bookmarkStart w:id="46" w:name="_Toc351203484"/>
      <w:bookmarkStart w:id="47" w:name="_Toc256000023"/>
      <w:r>
        <w:rPr>
          <w:rFonts w:hint="eastAsia" w:ascii="黑体" w:hAnsi="黑体" w:eastAsia="黑体" w:cs="黑体"/>
          <w:color w:val="auto"/>
          <w:sz w:val="24"/>
          <w:szCs w:val="24"/>
          <w:highlight w:val="none"/>
        </w:rPr>
        <w:t>四、签约合同价与合同价格形式</w:t>
      </w:r>
      <w:bookmarkEnd w:id="46"/>
      <w:bookmarkEnd w:id="47"/>
      <w:r>
        <w:rPr>
          <w:rFonts w:hint="eastAsia" w:ascii="黑体" w:hAnsi="黑体" w:eastAsia="黑体" w:cs="黑体"/>
          <w:color w:val="auto"/>
          <w:sz w:val="24"/>
          <w:szCs w:val="24"/>
          <w:highlight w:val="none"/>
        </w:rPr>
        <w:tab/>
      </w:r>
    </w:p>
    <w:p w14:paraId="0A6ED3C2">
      <w:pPr>
        <w:pStyle w:val="15"/>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1.签约合同价为：</w:t>
      </w:r>
    </w:p>
    <w:p w14:paraId="36DD4A11">
      <w:pPr>
        <w:pStyle w:val="15"/>
        <w:spacing w:line="360" w:lineRule="auto"/>
        <w:ind w:firstLine="600" w:firstLineChars="25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人民币（大写）</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元)；</w:t>
      </w:r>
    </w:p>
    <w:p w14:paraId="676369C8">
      <w:pPr>
        <w:pStyle w:val="15"/>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其中：</w:t>
      </w:r>
    </w:p>
    <w:p w14:paraId="7E687F13">
      <w:pPr>
        <w:pStyle w:val="15"/>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（1）安全文明施工费：</w:t>
      </w:r>
    </w:p>
    <w:p w14:paraId="08FB9A61">
      <w:pPr>
        <w:pStyle w:val="15"/>
        <w:spacing w:line="360" w:lineRule="auto"/>
        <w:ind w:firstLine="1080" w:firstLineChars="45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人民币（大写）</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 xml:space="preserve"> (¥</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元)；</w:t>
      </w:r>
    </w:p>
    <w:p w14:paraId="7C5934E3">
      <w:pPr>
        <w:pStyle w:val="15"/>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（2）材料和工程设备暂估价金额：</w:t>
      </w:r>
    </w:p>
    <w:p w14:paraId="4238A19B">
      <w:pPr>
        <w:pStyle w:val="15"/>
        <w:spacing w:line="360" w:lineRule="auto"/>
        <w:ind w:firstLine="1080" w:firstLineChars="45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人民币（大写）</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 xml:space="preserve"> (¥</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元)；</w:t>
      </w:r>
    </w:p>
    <w:p w14:paraId="330E857B">
      <w:pPr>
        <w:pStyle w:val="15"/>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（3）专业工程暂估价金额：</w:t>
      </w:r>
    </w:p>
    <w:p w14:paraId="6938EB14">
      <w:pPr>
        <w:pStyle w:val="15"/>
        <w:spacing w:line="360" w:lineRule="auto"/>
        <w:ind w:firstLine="1080" w:firstLineChars="45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人民币（大写）</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 xml:space="preserve"> (¥</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元)；</w:t>
      </w:r>
    </w:p>
    <w:p w14:paraId="033576C8">
      <w:pPr>
        <w:pStyle w:val="15"/>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（4）暂列金额：</w:t>
      </w:r>
    </w:p>
    <w:p w14:paraId="78AEEE03">
      <w:pPr>
        <w:pStyle w:val="15"/>
        <w:spacing w:line="360" w:lineRule="auto"/>
        <w:ind w:firstLine="1080" w:firstLineChars="45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人民币（大写）</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 xml:space="preserve"> (¥</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元)。</w:t>
      </w:r>
    </w:p>
    <w:p w14:paraId="7E641777">
      <w:pPr>
        <w:pStyle w:val="15"/>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2.合同价格形式：</w:t>
      </w:r>
      <w:r>
        <w:rPr>
          <w:rFonts w:hint="eastAsia" w:ascii="黑体" w:hAnsi="黑体" w:eastAsia="黑体" w:cs="黑体"/>
          <w:color w:val="auto"/>
          <w:sz w:val="24"/>
          <w:szCs w:val="24"/>
          <w:highlight w:val="none"/>
          <w:u w:val="single"/>
        </w:rPr>
        <w:t>                      </w:t>
      </w:r>
      <w:r>
        <w:rPr>
          <w:rFonts w:hint="eastAsia" w:ascii="黑体" w:hAnsi="黑体" w:eastAsia="黑体" w:cs="黑体"/>
          <w:color w:val="auto"/>
          <w:sz w:val="24"/>
          <w:szCs w:val="24"/>
          <w:highlight w:val="none"/>
        </w:rPr>
        <w:t>。</w:t>
      </w:r>
    </w:p>
    <w:p w14:paraId="386BF831">
      <w:pPr>
        <w:pStyle w:val="15"/>
        <w:outlineLvl w:val="2"/>
        <w:rPr>
          <w:rFonts w:hint="eastAsia" w:ascii="黑体" w:hAnsi="黑体" w:eastAsia="黑体" w:cs="黑体"/>
          <w:color w:val="auto"/>
          <w:sz w:val="24"/>
          <w:szCs w:val="24"/>
          <w:highlight w:val="none"/>
        </w:rPr>
      </w:pPr>
      <w:bookmarkStart w:id="48" w:name="_Toc351203485"/>
      <w:bookmarkStart w:id="49" w:name="_Toc256000024"/>
      <w:r>
        <w:rPr>
          <w:rFonts w:hint="eastAsia" w:ascii="黑体" w:hAnsi="黑体" w:eastAsia="黑体" w:cs="黑体"/>
          <w:color w:val="auto"/>
          <w:sz w:val="24"/>
          <w:szCs w:val="24"/>
          <w:highlight w:val="none"/>
        </w:rPr>
        <w:t>五、</w:t>
      </w:r>
      <w:bookmarkEnd w:id="48"/>
      <w:r>
        <w:rPr>
          <w:rFonts w:hint="eastAsia" w:ascii="黑体" w:hAnsi="黑体" w:eastAsia="黑体" w:cs="黑体"/>
          <w:color w:val="auto"/>
          <w:sz w:val="24"/>
          <w:szCs w:val="24"/>
          <w:highlight w:val="none"/>
        </w:rPr>
        <w:t>项目经理</w:t>
      </w:r>
      <w:bookmarkEnd w:id="49"/>
    </w:p>
    <w:p w14:paraId="77556D0C">
      <w:pPr>
        <w:pStyle w:val="15"/>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承包人项目经理：</w:t>
      </w:r>
      <w:r>
        <w:rPr>
          <w:rFonts w:hint="eastAsia" w:ascii="黑体" w:hAnsi="黑体" w:eastAsia="黑体" w:cs="黑体"/>
          <w:color w:val="auto"/>
          <w:sz w:val="24"/>
          <w:szCs w:val="24"/>
          <w:highlight w:val="none"/>
          <w:u w:val="single"/>
        </w:rPr>
        <w:t>                     </w:t>
      </w:r>
      <w:r>
        <w:rPr>
          <w:rFonts w:hint="eastAsia" w:ascii="黑体" w:hAnsi="黑体" w:eastAsia="黑体" w:cs="黑体"/>
          <w:color w:val="auto"/>
          <w:sz w:val="24"/>
          <w:szCs w:val="24"/>
          <w:highlight w:val="none"/>
        </w:rPr>
        <w:t>。</w:t>
      </w:r>
    </w:p>
    <w:p w14:paraId="770D1890">
      <w:pPr>
        <w:pStyle w:val="15"/>
        <w:outlineLvl w:val="2"/>
        <w:rPr>
          <w:rFonts w:hint="eastAsia" w:ascii="黑体" w:hAnsi="黑体" w:eastAsia="黑体" w:cs="黑体"/>
          <w:color w:val="auto"/>
          <w:sz w:val="24"/>
          <w:szCs w:val="24"/>
          <w:highlight w:val="none"/>
        </w:rPr>
      </w:pPr>
      <w:bookmarkStart w:id="50" w:name="_Toc256000025"/>
      <w:bookmarkStart w:id="51" w:name="_Toc351203486"/>
      <w:r>
        <w:rPr>
          <w:rFonts w:hint="eastAsia" w:ascii="黑体" w:hAnsi="黑体" w:eastAsia="黑体" w:cs="黑体"/>
          <w:color w:val="auto"/>
          <w:sz w:val="24"/>
          <w:szCs w:val="24"/>
          <w:highlight w:val="none"/>
        </w:rPr>
        <w:t>六、合同文件构成</w:t>
      </w:r>
      <w:bookmarkEnd w:id="50"/>
      <w:bookmarkEnd w:id="51"/>
    </w:p>
    <w:p w14:paraId="2AEBDAC8">
      <w:pPr>
        <w:pStyle w:val="15"/>
        <w:spacing w:line="360" w:lineRule="auto"/>
        <w:ind w:firstLine="480" w:firstLineChars="200"/>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本协议书与下列文件一起构成合同文件：</w:t>
      </w:r>
    </w:p>
    <w:p w14:paraId="089549B6">
      <w:pPr>
        <w:pStyle w:val="15"/>
        <w:autoSpaceDE w:val="0"/>
        <w:autoSpaceDN w:val="0"/>
        <w:adjustRightInd w:val="0"/>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（1）中标通知书（如果有）；</w:t>
      </w:r>
    </w:p>
    <w:p w14:paraId="7C161776">
      <w:pPr>
        <w:pStyle w:val="15"/>
        <w:autoSpaceDE w:val="0"/>
        <w:autoSpaceDN w:val="0"/>
        <w:adjustRightInd w:val="0"/>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 xml:space="preserve">（2）投标函及其附录（如果有）； </w:t>
      </w:r>
    </w:p>
    <w:p w14:paraId="353C94E9">
      <w:pPr>
        <w:pStyle w:val="15"/>
        <w:autoSpaceDE w:val="0"/>
        <w:autoSpaceDN w:val="0"/>
        <w:adjustRightInd w:val="0"/>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（3）专用合同条款及其附件；</w:t>
      </w:r>
    </w:p>
    <w:p w14:paraId="7849D46F">
      <w:pPr>
        <w:pStyle w:val="15"/>
        <w:autoSpaceDE w:val="0"/>
        <w:autoSpaceDN w:val="0"/>
        <w:adjustRightInd w:val="0"/>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（4）通用合同条款；</w:t>
      </w:r>
    </w:p>
    <w:p w14:paraId="14337F33">
      <w:pPr>
        <w:pStyle w:val="15"/>
        <w:autoSpaceDE w:val="0"/>
        <w:autoSpaceDN w:val="0"/>
        <w:adjustRightInd w:val="0"/>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（5）技术标准和要求；</w:t>
      </w:r>
    </w:p>
    <w:p w14:paraId="28E9D1DE">
      <w:pPr>
        <w:pStyle w:val="15"/>
        <w:autoSpaceDE w:val="0"/>
        <w:autoSpaceDN w:val="0"/>
        <w:adjustRightInd w:val="0"/>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（6）图纸；</w:t>
      </w:r>
    </w:p>
    <w:p w14:paraId="31CD4AD0">
      <w:pPr>
        <w:pStyle w:val="15"/>
        <w:autoSpaceDE w:val="0"/>
        <w:autoSpaceDN w:val="0"/>
        <w:adjustRightInd w:val="0"/>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（7）已标价工程量清单或预算书；</w:t>
      </w:r>
    </w:p>
    <w:p w14:paraId="5BC97F1E">
      <w:pPr>
        <w:pStyle w:val="15"/>
        <w:autoSpaceDE w:val="0"/>
        <w:autoSpaceDN w:val="0"/>
        <w:adjustRightInd w:val="0"/>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（8）其他合同文件。</w:t>
      </w:r>
    </w:p>
    <w:p w14:paraId="68D59237">
      <w:pPr>
        <w:pStyle w:val="15"/>
        <w:autoSpaceDE w:val="0"/>
        <w:autoSpaceDN w:val="0"/>
        <w:adjustRightInd w:val="0"/>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在合同订立及履行过程中形成的与合同有关的文件均构成合同文件组成部分。</w:t>
      </w:r>
    </w:p>
    <w:p w14:paraId="589686D2">
      <w:pPr>
        <w:pStyle w:val="15"/>
        <w:autoSpaceDE w:val="0"/>
        <w:autoSpaceDN w:val="0"/>
        <w:adjustRightInd w:val="0"/>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上述各项合同文件包括合同当事人就该项合同文件所作出的补充和修改，属于同一类内容的文件，应以最新签署的为准。专用合同条款及其附件须经合同当事人签字或盖章。</w:t>
      </w:r>
    </w:p>
    <w:p w14:paraId="24350542">
      <w:pPr>
        <w:pStyle w:val="15"/>
        <w:outlineLvl w:val="2"/>
        <w:rPr>
          <w:rFonts w:hint="eastAsia" w:ascii="黑体" w:hAnsi="黑体" w:eastAsia="黑体" w:cs="黑体"/>
          <w:color w:val="auto"/>
          <w:sz w:val="24"/>
          <w:szCs w:val="24"/>
          <w:highlight w:val="none"/>
        </w:rPr>
      </w:pPr>
      <w:bookmarkStart w:id="52" w:name="_Toc351203487"/>
      <w:bookmarkStart w:id="53" w:name="_Toc256000026"/>
      <w:r>
        <w:rPr>
          <w:rFonts w:hint="eastAsia" w:ascii="黑体" w:hAnsi="黑体" w:eastAsia="黑体" w:cs="黑体"/>
          <w:color w:val="auto"/>
          <w:sz w:val="24"/>
          <w:szCs w:val="24"/>
          <w:highlight w:val="none"/>
        </w:rPr>
        <w:t>七、承诺</w:t>
      </w:r>
      <w:bookmarkEnd w:id="52"/>
      <w:bookmarkEnd w:id="53"/>
    </w:p>
    <w:p w14:paraId="0431EA84">
      <w:pPr>
        <w:pStyle w:val="15"/>
        <w:spacing w:line="360" w:lineRule="auto"/>
        <w:ind w:firstLine="480" w:firstLineChars="200"/>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1.发包人承诺按照法律规定履行项目审批手续、筹集工程建设资金并按照合同约定的期限和方式支付合同价款。</w:t>
      </w:r>
    </w:p>
    <w:p w14:paraId="053F995F">
      <w:pPr>
        <w:pStyle w:val="15"/>
        <w:spacing w:line="360" w:lineRule="auto"/>
        <w:ind w:firstLine="480" w:firstLineChars="200"/>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2.承包人承诺按照法律规定及合同约定组织完成工程施工，确保工程质量和安全，不进行转包及违法分包，并在缺陷责任期及保修期内承担相应的工程维修责任。</w:t>
      </w:r>
    </w:p>
    <w:p w14:paraId="1CAA74F1">
      <w:pPr>
        <w:pStyle w:val="15"/>
        <w:spacing w:line="360" w:lineRule="auto"/>
        <w:ind w:firstLine="480" w:firstLineChars="200"/>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3.发包人和承包人通过招投标形式签订合同的，双方理解并承诺不再就同一工程另行签订与合同实质性内容相背离的协议。</w:t>
      </w:r>
    </w:p>
    <w:p w14:paraId="3CA0CEEA">
      <w:pPr>
        <w:pStyle w:val="15"/>
        <w:outlineLvl w:val="2"/>
        <w:rPr>
          <w:rFonts w:hint="eastAsia" w:ascii="黑体" w:hAnsi="黑体" w:eastAsia="黑体" w:cs="黑体"/>
          <w:color w:val="auto"/>
          <w:sz w:val="24"/>
          <w:szCs w:val="24"/>
          <w:highlight w:val="none"/>
        </w:rPr>
      </w:pPr>
      <w:bookmarkStart w:id="54" w:name="_Toc351203488"/>
      <w:bookmarkStart w:id="55" w:name="_Toc256000027"/>
      <w:r>
        <w:rPr>
          <w:rFonts w:hint="eastAsia" w:ascii="黑体" w:hAnsi="黑体" w:eastAsia="黑体" w:cs="黑体"/>
          <w:color w:val="auto"/>
          <w:sz w:val="24"/>
          <w:szCs w:val="24"/>
          <w:highlight w:val="none"/>
        </w:rPr>
        <w:t>八、词语含义</w:t>
      </w:r>
      <w:bookmarkEnd w:id="54"/>
      <w:bookmarkEnd w:id="55"/>
    </w:p>
    <w:p w14:paraId="2E07479F">
      <w:pPr>
        <w:pStyle w:val="15"/>
        <w:spacing w:line="360" w:lineRule="auto"/>
        <w:ind w:firstLine="480" w:firstLineChars="200"/>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本协议书中词语含义与第二部分通用合同条款中赋予的含义相同。</w:t>
      </w:r>
    </w:p>
    <w:p w14:paraId="4505260E">
      <w:pPr>
        <w:pStyle w:val="15"/>
        <w:outlineLvl w:val="2"/>
        <w:rPr>
          <w:rFonts w:hint="eastAsia" w:ascii="黑体" w:hAnsi="黑体" w:eastAsia="黑体" w:cs="黑体"/>
          <w:color w:val="auto"/>
          <w:sz w:val="24"/>
          <w:szCs w:val="24"/>
          <w:highlight w:val="none"/>
        </w:rPr>
      </w:pPr>
      <w:bookmarkStart w:id="56" w:name="_Toc351203489"/>
      <w:bookmarkStart w:id="57" w:name="_Toc256000028"/>
      <w:r>
        <w:rPr>
          <w:rFonts w:hint="eastAsia" w:ascii="黑体" w:hAnsi="黑体" w:eastAsia="黑体" w:cs="黑体"/>
          <w:color w:val="auto"/>
          <w:sz w:val="24"/>
          <w:szCs w:val="24"/>
          <w:highlight w:val="none"/>
        </w:rPr>
        <w:t>九、签订时间</w:t>
      </w:r>
      <w:bookmarkEnd w:id="56"/>
      <w:bookmarkEnd w:id="57"/>
    </w:p>
    <w:p w14:paraId="1D312B1F">
      <w:pPr>
        <w:pStyle w:val="15"/>
        <w:spacing w:line="360" w:lineRule="auto"/>
        <w:ind w:firstLine="480" w:firstLineChars="200"/>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本合同于</w:t>
      </w:r>
      <w:r>
        <w:rPr>
          <w:rFonts w:hint="eastAsia" w:ascii="黑体" w:hAnsi="黑体" w:eastAsia="黑体" w:cs="黑体"/>
          <w:bCs/>
          <w:color w:val="auto"/>
          <w:sz w:val="24"/>
          <w:szCs w:val="24"/>
          <w:highlight w:val="none"/>
          <w:u w:val="single"/>
        </w:rPr>
        <w:t xml:space="preserve">         </w:t>
      </w:r>
      <w:r>
        <w:rPr>
          <w:rFonts w:hint="eastAsia" w:ascii="黑体" w:hAnsi="黑体" w:eastAsia="黑体" w:cs="黑体"/>
          <w:bCs/>
          <w:color w:val="auto"/>
          <w:sz w:val="24"/>
          <w:szCs w:val="24"/>
          <w:highlight w:val="none"/>
        </w:rPr>
        <w:t>年</w:t>
      </w:r>
      <w:r>
        <w:rPr>
          <w:rFonts w:hint="eastAsia" w:ascii="黑体" w:hAnsi="黑体" w:eastAsia="黑体" w:cs="黑体"/>
          <w:bCs/>
          <w:color w:val="auto"/>
          <w:sz w:val="24"/>
          <w:szCs w:val="24"/>
          <w:highlight w:val="none"/>
          <w:u w:val="single"/>
        </w:rPr>
        <w:t xml:space="preserve">    </w:t>
      </w:r>
      <w:r>
        <w:rPr>
          <w:rFonts w:hint="eastAsia" w:ascii="黑体" w:hAnsi="黑体" w:eastAsia="黑体" w:cs="黑体"/>
          <w:bCs/>
          <w:color w:val="auto"/>
          <w:sz w:val="24"/>
          <w:szCs w:val="24"/>
          <w:highlight w:val="none"/>
        </w:rPr>
        <w:t>月</w:t>
      </w:r>
      <w:r>
        <w:rPr>
          <w:rFonts w:hint="eastAsia" w:ascii="黑体" w:hAnsi="黑体" w:eastAsia="黑体" w:cs="黑体"/>
          <w:bCs/>
          <w:color w:val="auto"/>
          <w:sz w:val="24"/>
          <w:szCs w:val="24"/>
          <w:highlight w:val="none"/>
          <w:u w:val="single"/>
        </w:rPr>
        <w:t xml:space="preserve">    </w:t>
      </w:r>
      <w:r>
        <w:rPr>
          <w:rFonts w:hint="eastAsia" w:ascii="黑体" w:hAnsi="黑体" w:eastAsia="黑体" w:cs="黑体"/>
          <w:bCs/>
          <w:color w:val="auto"/>
          <w:sz w:val="24"/>
          <w:szCs w:val="24"/>
          <w:highlight w:val="none"/>
        </w:rPr>
        <w:t>日签订。</w:t>
      </w:r>
    </w:p>
    <w:p w14:paraId="4C56F0C4">
      <w:pPr>
        <w:pStyle w:val="15"/>
        <w:outlineLvl w:val="2"/>
        <w:rPr>
          <w:rFonts w:hint="eastAsia" w:ascii="黑体" w:hAnsi="黑体" w:eastAsia="黑体" w:cs="黑体"/>
          <w:color w:val="auto"/>
          <w:sz w:val="24"/>
          <w:szCs w:val="24"/>
          <w:highlight w:val="none"/>
        </w:rPr>
      </w:pPr>
      <w:bookmarkStart w:id="58" w:name="_Toc351203490"/>
      <w:bookmarkStart w:id="59" w:name="_Toc256000029"/>
      <w:r>
        <w:rPr>
          <w:rFonts w:hint="eastAsia" w:ascii="黑体" w:hAnsi="黑体" w:eastAsia="黑体" w:cs="黑体"/>
          <w:color w:val="auto"/>
          <w:sz w:val="24"/>
          <w:szCs w:val="24"/>
          <w:highlight w:val="none"/>
        </w:rPr>
        <w:t>十、签订地点</w:t>
      </w:r>
      <w:bookmarkEnd w:id="58"/>
      <w:bookmarkEnd w:id="59"/>
    </w:p>
    <w:p w14:paraId="3DC0BF13">
      <w:pPr>
        <w:pStyle w:val="15"/>
        <w:spacing w:line="360" w:lineRule="auto"/>
        <w:ind w:firstLine="480" w:firstLineChars="200"/>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本合同在</w:t>
      </w:r>
      <w:r>
        <w:rPr>
          <w:rFonts w:hint="eastAsia" w:ascii="黑体" w:hAnsi="黑体" w:eastAsia="黑体" w:cs="黑体"/>
          <w:bCs/>
          <w:color w:val="auto"/>
          <w:sz w:val="24"/>
          <w:szCs w:val="24"/>
          <w:highlight w:val="none"/>
          <w:u w:val="single"/>
        </w:rPr>
        <w:t xml:space="preserve">                                    </w:t>
      </w:r>
      <w:r>
        <w:rPr>
          <w:rFonts w:hint="eastAsia" w:ascii="黑体" w:hAnsi="黑体" w:eastAsia="黑体" w:cs="黑体"/>
          <w:bCs/>
          <w:color w:val="auto"/>
          <w:sz w:val="24"/>
          <w:szCs w:val="24"/>
          <w:highlight w:val="none"/>
        </w:rPr>
        <w:t>签订。</w:t>
      </w:r>
    </w:p>
    <w:p w14:paraId="27A950C1">
      <w:pPr>
        <w:pStyle w:val="15"/>
        <w:outlineLvl w:val="2"/>
        <w:rPr>
          <w:rFonts w:hint="eastAsia" w:ascii="黑体" w:hAnsi="黑体" w:eastAsia="黑体" w:cs="黑体"/>
          <w:color w:val="auto"/>
          <w:sz w:val="24"/>
          <w:szCs w:val="24"/>
          <w:highlight w:val="none"/>
        </w:rPr>
      </w:pPr>
      <w:bookmarkStart w:id="60" w:name="_Toc256000030"/>
      <w:bookmarkStart w:id="61" w:name="_Toc351203491"/>
      <w:r>
        <w:rPr>
          <w:rFonts w:hint="eastAsia" w:ascii="黑体" w:hAnsi="黑体" w:eastAsia="黑体" w:cs="黑体"/>
          <w:color w:val="auto"/>
          <w:sz w:val="24"/>
          <w:szCs w:val="24"/>
          <w:highlight w:val="none"/>
        </w:rPr>
        <w:t>十一、补充协议</w:t>
      </w:r>
      <w:bookmarkEnd w:id="60"/>
      <w:bookmarkEnd w:id="61"/>
    </w:p>
    <w:p w14:paraId="2CE1B42B">
      <w:pPr>
        <w:pStyle w:val="15"/>
        <w:spacing w:line="360" w:lineRule="auto"/>
        <w:ind w:firstLine="480" w:firstLineChars="200"/>
        <w:rPr>
          <w:rFonts w:hint="eastAsia" w:ascii="黑体" w:hAnsi="黑体" w:eastAsia="黑体" w:cs="黑体"/>
          <w:b/>
          <w:bCs/>
          <w:color w:val="auto"/>
          <w:sz w:val="24"/>
          <w:szCs w:val="24"/>
          <w:highlight w:val="none"/>
        </w:rPr>
      </w:pPr>
      <w:r>
        <w:rPr>
          <w:rFonts w:hint="eastAsia" w:ascii="黑体" w:hAnsi="黑体" w:eastAsia="黑体" w:cs="黑体"/>
          <w:bCs/>
          <w:color w:val="auto"/>
          <w:sz w:val="24"/>
          <w:szCs w:val="24"/>
          <w:highlight w:val="none"/>
        </w:rPr>
        <w:t>合同未尽事宜，合同当事人另行签订补充协议，补充协议是合同的组成部分。</w:t>
      </w:r>
    </w:p>
    <w:p w14:paraId="5FD170BA">
      <w:pPr>
        <w:pStyle w:val="15"/>
        <w:outlineLvl w:val="2"/>
        <w:rPr>
          <w:rFonts w:hint="eastAsia" w:ascii="黑体" w:hAnsi="黑体" w:eastAsia="黑体" w:cs="黑体"/>
          <w:color w:val="auto"/>
          <w:sz w:val="24"/>
          <w:szCs w:val="24"/>
          <w:highlight w:val="none"/>
        </w:rPr>
      </w:pPr>
      <w:bookmarkStart w:id="62" w:name="_Toc351203492"/>
      <w:bookmarkStart w:id="63" w:name="_Toc256000031"/>
      <w:r>
        <w:rPr>
          <w:rFonts w:hint="eastAsia" w:ascii="黑体" w:hAnsi="黑体" w:eastAsia="黑体" w:cs="黑体"/>
          <w:color w:val="auto"/>
          <w:sz w:val="24"/>
          <w:szCs w:val="24"/>
          <w:highlight w:val="none"/>
        </w:rPr>
        <w:t>十二、合同生效</w:t>
      </w:r>
      <w:bookmarkEnd w:id="62"/>
      <w:bookmarkEnd w:id="63"/>
    </w:p>
    <w:p w14:paraId="30A7C311">
      <w:pPr>
        <w:pStyle w:val="15"/>
        <w:spacing w:line="360" w:lineRule="auto"/>
        <w:ind w:firstLine="480" w:firstLineChars="200"/>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本合同自</w:t>
      </w:r>
      <w:r>
        <w:rPr>
          <w:rFonts w:hint="eastAsia" w:ascii="黑体" w:hAnsi="黑体" w:eastAsia="黑体" w:cs="黑体"/>
          <w:bCs/>
          <w:color w:val="auto"/>
          <w:sz w:val="24"/>
          <w:szCs w:val="24"/>
          <w:highlight w:val="none"/>
          <w:u w:val="single"/>
        </w:rPr>
        <w:t xml:space="preserve">                                   </w:t>
      </w:r>
      <w:r>
        <w:rPr>
          <w:rFonts w:hint="eastAsia" w:ascii="黑体" w:hAnsi="黑体" w:eastAsia="黑体" w:cs="黑体"/>
          <w:bCs/>
          <w:color w:val="auto"/>
          <w:sz w:val="24"/>
          <w:szCs w:val="24"/>
          <w:highlight w:val="none"/>
        </w:rPr>
        <w:t>生效。</w:t>
      </w:r>
    </w:p>
    <w:p w14:paraId="3E7CC2A1">
      <w:pPr>
        <w:pStyle w:val="15"/>
        <w:outlineLvl w:val="2"/>
        <w:rPr>
          <w:rFonts w:hint="eastAsia" w:ascii="黑体" w:hAnsi="黑体" w:eastAsia="黑体" w:cs="黑体"/>
          <w:color w:val="auto"/>
          <w:sz w:val="24"/>
          <w:szCs w:val="24"/>
          <w:highlight w:val="none"/>
        </w:rPr>
      </w:pPr>
      <w:bookmarkStart w:id="64" w:name="_Toc256000032"/>
      <w:bookmarkStart w:id="65" w:name="_Toc351203493"/>
      <w:r>
        <w:rPr>
          <w:rFonts w:hint="eastAsia" w:ascii="黑体" w:hAnsi="黑体" w:eastAsia="黑体" w:cs="黑体"/>
          <w:color w:val="auto"/>
          <w:sz w:val="24"/>
          <w:szCs w:val="24"/>
          <w:highlight w:val="none"/>
        </w:rPr>
        <w:t>十三、合同份数</w:t>
      </w:r>
      <w:bookmarkEnd w:id="64"/>
      <w:bookmarkEnd w:id="65"/>
    </w:p>
    <w:p w14:paraId="384B68FE">
      <w:pPr>
        <w:pStyle w:val="15"/>
        <w:spacing w:line="360" w:lineRule="auto"/>
        <w:ind w:firstLine="480" w:firstLineChars="200"/>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本合同一式</w:t>
      </w:r>
      <w:r>
        <w:rPr>
          <w:rFonts w:hint="eastAsia" w:ascii="黑体" w:hAnsi="黑体" w:eastAsia="黑体" w:cs="黑体"/>
          <w:bCs/>
          <w:color w:val="auto"/>
          <w:sz w:val="24"/>
          <w:szCs w:val="24"/>
          <w:highlight w:val="none"/>
          <w:u w:val="single"/>
        </w:rPr>
        <w:t xml:space="preserve">    </w:t>
      </w:r>
      <w:r>
        <w:rPr>
          <w:rFonts w:hint="eastAsia" w:ascii="黑体" w:hAnsi="黑体" w:eastAsia="黑体" w:cs="黑体"/>
          <w:bCs/>
          <w:color w:val="auto"/>
          <w:sz w:val="24"/>
          <w:szCs w:val="24"/>
          <w:highlight w:val="none"/>
        </w:rPr>
        <w:t>份，均具有同等法律效力，发包人执</w:t>
      </w:r>
      <w:r>
        <w:rPr>
          <w:rFonts w:hint="eastAsia" w:ascii="黑体" w:hAnsi="黑体" w:eastAsia="黑体" w:cs="黑体"/>
          <w:bCs/>
          <w:color w:val="auto"/>
          <w:sz w:val="24"/>
          <w:szCs w:val="24"/>
          <w:highlight w:val="none"/>
          <w:u w:val="single"/>
        </w:rPr>
        <w:t xml:space="preserve">    </w:t>
      </w:r>
      <w:r>
        <w:rPr>
          <w:rFonts w:hint="eastAsia" w:ascii="黑体" w:hAnsi="黑体" w:eastAsia="黑体" w:cs="黑体"/>
          <w:bCs/>
          <w:color w:val="auto"/>
          <w:sz w:val="24"/>
          <w:szCs w:val="24"/>
          <w:highlight w:val="none"/>
        </w:rPr>
        <w:t>份，承包人执</w:t>
      </w:r>
      <w:r>
        <w:rPr>
          <w:rFonts w:hint="eastAsia" w:ascii="黑体" w:hAnsi="黑体" w:eastAsia="黑体" w:cs="黑体"/>
          <w:bCs/>
          <w:color w:val="auto"/>
          <w:sz w:val="24"/>
          <w:szCs w:val="24"/>
          <w:highlight w:val="none"/>
          <w:u w:val="single"/>
        </w:rPr>
        <w:t xml:space="preserve">    </w:t>
      </w:r>
      <w:r>
        <w:rPr>
          <w:rFonts w:hint="eastAsia" w:ascii="黑体" w:hAnsi="黑体" w:eastAsia="黑体" w:cs="黑体"/>
          <w:bCs/>
          <w:color w:val="auto"/>
          <w:sz w:val="24"/>
          <w:szCs w:val="24"/>
          <w:highlight w:val="none"/>
        </w:rPr>
        <w:t>份。</w:t>
      </w:r>
    </w:p>
    <w:p w14:paraId="2D4E4B7D">
      <w:pPr>
        <w:pStyle w:val="15"/>
        <w:spacing w:line="360" w:lineRule="auto"/>
        <w:rPr>
          <w:rFonts w:hint="eastAsia" w:ascii="黑体" w:hAnsi="黑体" w:eastAsia="黑体" w:cs="黑体"/>
          <w:bCs/>
          <w:color w:val="auto"/>
          <w:sz w:val="24"/>
          <w:szCs w:val="24"/>
          <w:highlight w:val="none"/>
        </w:rPr>
      </w:pPr>
    </w:p>
    <w:p w14:paraId="00C0B615">
      <w:pPr>
        <w:pStyle w:val="15"/>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发包人：  (公章)             承包人：  (公章)</w:t>
      </w:r>
    </w:p>
    <w:p w14:paraId="7D3253CC">
      <w:pPr>
        <w:pStyle w:val="15"/>
        <w:spacing w:line="360" w:lineRule="auto"/>
        <w:rPr>
          <w:rFonts w:hint="eastAsia" w:ascii="黑体" w:hAnsi="黑体" w:eastAsia="黑体" w:cs="黑体"/>
          <w:color w:val="auto"/>
          <w:sz w:val="24"/>
          <w:szCs w:val="24"/>
          <w:highlight w:val="none"/>
          <w:u w:val="single"/>
        </w:rPr>
      </w:pPr>
      <w:r>
        <w:rPr>
          <w:rFonts w:hint="eastAsia" w:ascii="黑体" w:hAnsi="黑体" w:eastAsia="黑体" w:cs="黑体"/>
          <w:color w:val="auto"/>
          <w:sz w:val="24"/>
          <w:szCs w:val="24"/>
          <w:highlight w:val="none"/>
        </w:rPr>
        <w:t xml:space="preserve">                                 </w:t>
      </w:r>
    </w:p>
    <w:p w14:paraId="1660D9AF">
      <w:pPr>
        <w:pStyle w:val="15"/>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法定代表人或其委托代理人：  法定代表人或其委托代理人：</w:t>
      </w:r>
    </w:p>
    <w:p w14:paraId="3866DF3E">
      <w:pPr>
        <w:pStyle w:val="15"/>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（签字）                    （签字）</w:t>
      </w:r>
    </w:p>
    <w:p w14:paraId="40775A26">
      <w:pPr>
        <w:pStyle w:val="15"/>
        <w:spacing w:line="360" w:lineRule="auto"/>
        <w:rPr>
          <w:rFonts w:hint="eastAsia" w:ascii="黑体" w:hAnsi="黑体" w:eastAsia="黑体" w:cs="黑体"/>
          <w:color w:val="auto"/>
          <w:sz w:val="24"/>
          <w:szCs w:val="24"/>
          <w:highlight w:val="none"/>
          <w:u w:val="single"/>
        </w:rPr>
      </w:pPr>
    </w:p>
    <w:p w14:paraId="6851DE5A">
      <w:pPr>
        <w:pStyle w:val="15"/>
        <w:tabs>
          <w:tab w:val="left" w:pos="4410"/>
        </w:tabs>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组织机构代码：</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 xml:space="preserve">  组织机构代码：</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 xml:space="preserve"> </w:t>
      </w:r>
    </w:p>
    <w:p w14:paraId="5A87241D">
      <w:pPr>
        <w:pStyle w:val="15"/>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地  址：</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 xml:space="preserve">  地  址：</w:t>
      </w:r>
      <w:r>
        <w:rPr>
          <w:rFonts w:hint="eastAsia" w:ascii="黑体" w:hAnsi="黑体" w:eastAsia="黑体" w:cs="黑体"/>
          <w:color w:val="auto"/>
          <w:sz w:val="24"/>
          <w:szCs w:val="24"/>
          <w:highlight w:val="none"/>
          <w:u w:val="single"/>
        </w:rPr>
        <w:t xml:space="preserve">        </w:t>
      </w:r>
    </w:p>
    <w:p w14:paraId="022AC530">
      <w:pPr>
        <w:pStyle w:val="15"/>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邮政编码：</w:t>
      </w:r>
      <w:r>
        <w:rPr>
          <w:rFonts w:hint="eastAsia" w:ascii="黑体" w:hAnsi="黑体" w:eastAsia="黑体" w:cs="黑体"/>
          <w:color w:val="auto"/>
          <w:sz w:val="24"/>
          <w:szCs w:val="24"/>
          <w:highlight w:val="none"/>
          <w:u w:val="single"/>
        </w:rPr>
        <w:t xml:space="preserve">      </w:t>
      </w:r>
      <w:r>
        <w:rPr>
          <w:rFonts w:hint="eastAsia" w:ascii="黑体" w:hAnsi="黑体" w:eastAsia="黑体" w:cs="黑体"/>
          <w:color w:val="auto"/>
          <w:sz w:val="24"/>
          <w:szCs w:val="24"/>
          <w:highlight w:val="none"/>
        </w:rPr>
        <w:t xml:space="preserve">  邮政编码：</w:t>
      </w:r>
      <w:r>
        <w:rPr>
          <w:rFonts w:hint="eastAsia" w:ascii="黑体" w:hAnsi="黑体" w:eastAsia="黑体" w:cs="黑体"/>
          <w:color w:val="auto"/>
          <w:sz w:val="24"/>
          <w:szCs w:val="24"/>
          <w:highlight w:val="none"/>
          <w:u w:val="single"/>
        </w:rPr>
        <w:t xml:space="preserve">   </w:t>
      </w:r>
    </w:p>
    <w:p w14:paraId="22F3A065">
      <w:pPr>
        <w:pStyle w:val="15"/>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法定代表人：</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 xml:space="preserve">  法定代表人：</w:t>
      </w:r>
      <w:r>
        <w:rPr>
          <w:rFonts w:hint="eastAsia" w:ascii="黑体" w:hAnsi="黑体" w:eastAsia="黑体" w:cs="黑体"/>
          <w:color w:val="auto"/>
          <w:sz w:val="24"/>
          <w:szCs w:val="24"/>
          <w:highlight w:val="none"/>
          <w:u w:val="single"/>
        </w:rPr>
        <w:t xml:space="preserve">             </w:t>
      </w:r>
    </w:p>
    <w:p w14:paraId="611DBDC1">
      <w:pPr>
        <w:pStyle w:val="15"/>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委托代理人：</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 xml:space="preserve">  委托代理人：</w:t>
      </w:r>
      <w:r>
        <w:rPr>
          <w:rFonts w:hint="eastAsia" w:ascii="黑体" w:hAnsi="黑体" w:eastAsia="黑体" w:cs="黑体"/>
          <w:color w:val="auto"/>
          <w:sz w:val="24"/>
          <w:szCs w:val="24"/>
          <w:highlight w:val="none"/>
          <w:u w:val="single"/>
        </w:rPr>
        <w:t xml:space="preserve">             </w:t>
      </w:r>
    </w:p>
    <w:p w14:paraId="00D262F6">
      <w:pPr>
        <w:pStyle w:val="15"/>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电  话：</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 xml:space="preserve">  电  话：</w:t>
      </w:r>
      <w:r>
        <w:rPr>
          <w:rFonts w:hint="eastAsia" w:ascii="黑体" w:hAnsi="黑体" w:eastAsia="黑体" w:cs="黑体"/>
          <w:color w:val="auto"/>
          <w:sz w:val="24"/>
          <w:szCs w:val="24"/>
          <w:highlight w:val="none"/>
          <w:u w:val="single"/>
        </w:rPr>
        <w:t xml:space="preserve">     </w:t>
      </w:r>
    </w:p>
    <w:p w14:paraId="7BD4C3D7">
      <w:pPr>
        <w:pStyle w:val="15"/>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传  真：</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 xml:space="preserve">  传  真：</w:t>
      </w:r>
      <w:r>
        <w:rPr>
          <w:rFonts w:hint="eastAsia" w:ascii="黑体" w:hAnsi="黑体" w:eastAsia="黑体" w:cs="黑体"/>
          <w:color w:val="auto"/>
          <w:sz w:val="24"/>
          <w:szCs w:val="24"/>
          <w:highlight w:val="none"/>
          <w:u w:val="single"/>
        </w:rPr>
        <w:t xml:space="preserve">     </w:t>
      </w:r>
    </w:p>
    <w:p w14:paraId="19B64C6A">
      <w:pPr>
        <w:pStyle w:val="15"/>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电子信箱：</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 xml:space="preserve">  电子信箱：</w:t>
      </w:r>
      <w:r>
        <w:rPr>
          <w:rFonts w:hint="eastAsia" w:ascii="黑体" w:hAnsi="黑体" w:eastAsia="黑体" w:cs="黑体"/>
          <w:color w:val="auto"/>
          <w:sz w:val="24"/>
          <w:szCs w:val="24"/>
          <w:highlight w:val="none"/>
          <w:u w:val="single"/>
        </w:rPr>
        <w:t xml:space="preserve">   </w:t>
      </w:r>
    </w:p>
    <w:p w14:paraId="223D6244">
      <w:pPr>
        <w:pStyle w:val="15"/>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开户银行：</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 xml:space="preserve">  开户银行：</w:t>
      </w:r>
      <w:r>
        <w:rPr>
          <w:rFonts w:hint="eastAsia" w:ascii="黑体" w:hAnsi="黑体" w:eastAsia="黑体" w:cs="黑体"/>
          <w:color w:val="auto"/>
          <w:sz w:val="24"/>
          <w:szCs w:val="24"/>
          <w:highlight w:val="none"/>
          <w:u w:val="single"/>
        </w:rPr>
        <w:t xml:space="preserve">   </w:t>
      </w:r>
    </w:p>
    <w:p w14:paraId="1CD46770">
      <w:pPr>
        <w:pStyle w:val="15"/>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账  号：</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 xml:space="preserve">   账  号：</w:t>
      </w:r>
      <w:r>
        <w:rPr>
          <w:rFonts w:hint="eastAsia" w:ascii="黑体" w:hAnsi="黑体" w:eastAsia="黑体" w:cs="黑体"/>
          <w:color w:val="auto"/>
          <w:sz w:val="24"/>
          <w:szCs w:val="24"/>
          <w:highlight w:val="none"/>
          <w:u w:val="single"/>
        </w:rPr>
        <w:t xml:space="preserve">     </w:t>
      </w:r>
    </w:p>
    <w:p w14:paraId="7045CFE3">
      <w:pPr>
        <w:pStyle w:val="15"/>
        <w:jc w:val="center"/>
        <w:outlineLvl w:val="1"/>
        <w:rPr>
          <w:rFonts w:hint="eastAsia" w:ascii="黑体" w:hAnsi="黑体" w:eastAsia="黑体" w:cs="黑体"/>
          <w:color w:val="auto"/>
          <w:sz w:val="24"/>
          <w:szCs w:val="24"/>
          <w:highlight w:val="none"/>
        </w:rPr>
      </w:pPr>
      <w:bookmarkStart w:id="66" w:name="_Toc351203494"/>
      <w:bookmarkStart w:id="67" w:name="_Toc256000033"/>
    </w:p>
    <w:p w14:paraId="267603D4">
      <w:pPr>
        <w:pStyle w:val="15"/>
        <w:jc w:val="center"/>
        <w:outlineLvl w:val="1"/>
        <w:rPr>
          <w:rFonts w:hint="eastAsia" w:ascii="黑体" w:hAnsi="黑体" w:eastAsia="黑体" w:cs="黑体"/>
          <w:color w:val="auto"/>
          <w:sz w:val="24"/>
          <w:szCs w:val="24"/>
          <w:highlight w:val="none"/>
        </w:rPr>
      </w:pPr>
    </w:p>
    <w:p w14:paraId="59D54910">
      <w:pPr>
        <w:pStyle w:val="15"/>
        <w:jc w:val="center"/>
        <w:outlineLvl w:val="1"/>
        <w:rPr>
          <w:rFonts w:hint="eastAsia" w:ascii="黑体" w:hAnsi="黑体" w:eastAsia="黑体" w:cs="黑体"/>
          <w:color w:val="auto"/>
          <w:sz w:val="24"/>
          <w:szCs w:val="24"/>
          <w:highlight w:val="none"/>
        </w:rPr>
      </w:pPr>
    </w:p>
    <w:p w14:paraId="444CC509">
      <w:pPr>
        <w:pStyle w:val="15"/>
        <w:jc w:val="center"/>
        <w:outlineLvl w:val="1"/>
        <w:rPr>
          <w:rFonts w:hint="eastAsia" w:ascii="黑体" w:hAnsi="黑体" w:eastAsia="黑体" w:cs="黑体"/>
          <w:color w:val="auto"/>
          <w:sz w:val="24"/>
          <w:szCs w:val="24"/>
          <w:highlight w:val="none"/>
        </w:rPr>
      </w:pPr>
    </w:p>
    <w:p w14:paraId="08E3C082">
      <w:pPr>
        <w:pStyle w:val="15"/>
        <w:jc w:val="center"/>
        <w:outlineLvl w:val="1"/>
        <w:rPr>
          <w:rFonts w:hint="eastAsia" w:ascii="黑体" w:hAnsi="黑体" w:eastAsia="黑体" w:cs="黑体"/>
          <w:color w:val="auto"/>
          <w:sz w:val="24"/>
          <w:szCs w:val="24"/>
          <w:highlight w:val="none"/>
        </w:rPr>
      </w:pPr>
    </w:p>
    <w:p w14:paraId="3D9391E6">
      <w:pPr>
        <w:pStyle w:val="15"/>
        <w:jc w:val="center"/>
        <w:outlineLvl w:val="1"/>
        <w:rPr>
          <w:rFonts w:hint="eastAsia" w:ascii="黑体" w:hAnsi="黑体" w:eastAsia="黑体" w:cs="黑体"/>
          <w:color w:val="auto"/>
          <w:sz w:val="24"/>
          <w:szCs w:val="24"/>
          <w:highlight w:val="none"/>
        </w:rPr>
      </w:pPr>
    </w:p>
    <w:p w14:paraId="7EA38891">
      <w:pPr>
        <w:pStyle w:val="15"/>
        <w:jc w:val="center"/>
        <w:outlineLvl w:val="1"/>
        <w:rPr>
          <w:rFonts w:hint="eastAsia" w:ascii="黑体" w:hAnsi="黑体" w:eastAsia="黑体" w:cs="黑体"/>
          <w:color w:val="auto"/>
          <w:sz w:val="24"/>
          <w:szCs w:val="24"/>
          <w:highlight w:val="none"/>
        </w:rPr>
      </w:pPr>
    </w:p>
    <w:p w14:paraId="1251B147">
      <w:pPr>
        <w:pStyle w:val="15"/>
        <w:jc w:val="center"/>
        <w:outlineLvl w:val="1"/>
        <w:rPr>
          <w:rFonts w:hint="eastAsia" w:ascii="黑体" w:hAnsi="黑体" w:eastAsia="黑体" w:cs="黑体"/>
          <w:color w:val="auto"/>
          <w:sz w:val="24"/>
          <w:szCs w:val="24"/>
          <w:highlight w:val="none"/>
        </w:rPr>
      </w:pPr>
    </w:p>
    <w:p w14:paraId="65E315FA">
      <w:pPr>
        <w:pStyle w:val="15"/>
        <w:jc w:val="center"/>
        <w:outlineLvl w:val="1"/>
        <w:rPr>
          <w:rFonts w:hint="eastAsia" w:ascii="黑体" w:hAnsi="黑体" w:eastAsia="黑体" w:cs="黑体"/>
          <w:color w:val="auto"/>
          <w:sz w:val="24"/>
          <w:szCs w:val="24"/>
          <w:highlight w:val="none"/>
        </w:rPr>
      </w:pPr>
    </w:p>
    <w:p w14:paraId="0A4F57BC">
      <w:pPr>
        <w:pStyle w:val="15"/>
        <w:jc w:val="center"/>
        <w:outlineLvl w:val="1"/>
        <w:rPr>
          <w:rFonts w:hint="eastAsia" w:ascii="黑体" w:hAnsi="黑体" w:eastAsia="黑体" w:cs="黑体"/>
          <w:color w:val="auto"/>
          <w:sz w:val="24"/>
          <w:szCs w:val="24"/>
          <w:highlight w:val="none"/>
        </w:rPr>
      </w:pPr>
    </w:p>
    <w:p w14:paraId="58FA4B07">
      <w:pPr>
        <w:pStyle w:val="15"/>
        <w:jc w:val="center"/>
        <w:outlineLvl w:val="1"/>
        <w:rPr>
          <w:rFonts w:hint="eastAsia" w:ascii="黑体" w:hAnsi="黑体" w:eastAsia="黑体" w:cs="黑体"/>
          <w:color w:val="auto"/>
          <w:sz w:val="24"/>
          <w:szCs w:val="24"/>
          <w:highlight w:val="none"/>
        </w:rPr>
      </w:pPr>
    </w:p>
    <w:p w14:paraId="69F7BB3E">
      <w:pPr>
        <w:pStyle w:val="15"/>
        <w:jc w:val="center"/>
        <w:outlineLvl w:val="1"/>
        <w:rPr>
          <w:rFonts w:hint="eastAsia" w:ascii="黑体" w:hAnsi="黑体" w:eastAsia="黑体" w:cs="黑体"/>
          <w:color w:val="auto"/>
          <w:sz w:val="24"/>
          <w:szCs w:val="24"/>
          <w:highlight w:val="none"/>
        </w:rPr>
      </w:pPr>
    </w:p>
    <w:p w14:paraId="1AE03E5E">
      <w:pPr>
        <w:pStyle w:val="15"/>
        <w:jc w:val="center"/>
        <w:outlineLvl w:val="1"/>
        <w:rPr>
          <w:rFonts w:hint="eastAsia" w:ascii="黑体" w:hAnsi="黑体" w:eastAsia="黑体" w:cs="黑体"/>
          <w:color w:val="auto"/>
          <w:sz w:val="24"/>
          <w:szCs w:val="24"/>
          <w:highlight w:val="none"/>
        </w:rPr>
      </w:pPr>
    </w:p>
    <w:p w14:paraId="579F8BE1">
      <w:pPr>
        <w:pStyle w:val="15"/>
        <w:jc w:val="center"/>
        <w:outlineLvl w:val="1"/>
        <w:rPr>
          <w:rFonts w:hint="eastAsia" w:ascii="黑体" w:hAnsi="黑体" w:eastAsia="黑体" w:cs="黑体"/>
          <w:color w:val="auto"/>
          <w:sz w:val="24"/>
          <w:szCs w:val="24"/>
          <w:highlight w:val="none"/>
          <w:lang w:eastAsia="zh-CN"/>
        </w:rPr>
      </w:pPr>
      <w:r>
        <w:rPr>
          <w:rFonts w:hint="eastAsia" w:ascii="黑体" w:hAnsi="黑体" w:eastAsia="黑体" w:cs="黑体"/>
          <w:color w:val="auto"/>
          <w:sz w:val="24"/>
          <w:szCs w:val="24"/>
          <w:highlight w:val="none"/>
        </w:rPr>
        <w:t>第二部分 通用合同条款</w:t>
      </w:r>
      <w:bookmarkEnd w:id="66"/>
      <w:bookmarkEnd w:id="67"/>
      <w:bookmarkStart w:id="68" w:name="_Toc337558727"/>
      <w:r>
        <w:rPr>
          <w:rFonts w:hint="eastAsia" w:ascii="黑体" w:hAnsi="黑体" w:eastAsia="黑体" w:cs="黑体"/>
          <w:color w:val="auto"/>
          <w:sz w:val="24"/>
          <w:szCs w:val="24"/>
          <w:highlight w:val="none"/>
          <w:lang w:eastAsia="zh-CN"/>
        </w:rPr>
        <w:t>（略）</w:t>
      </w:r>
    </w:p>
    <w:bookmarkEnd w:id="68"/>
    <w:p w14:paraId="426EC52B">
      <w:pPr>
        <w:pStyle w:val="15"/>
        <w:autoSpaceDE w:val="0"/>
        <w:autoSpaceDN w:val="0"/>
        <w:adjustRightInd w:val="0"/>
        <w:spacing w:line="360" w:lineRule="auto"/>
        <w:ind w:firstLine="480" w:firstLineChars="200"/>
        <w:jc w:val="left"/>
        <w:rPr>
          <w:rFonts w:hint="eastAsia" w:ascii="黑体" w:hAnsi="黑体" w:eastAsia="黑体" w:cs="黑体"/>
          <w:color w:val="auto"/>
          <w:kern w:val="0"/>
          <w:sz w:val="24"/>
          <w:szCs w:val="24"/>
          <w:highlight w:val="none"/>
        </w:rPr>
      </w:pPr>
    </w:p>
    <w:bookmarkEnd w:id="29"/>
    <w:bookmarkEnd w:id="30"/>
    <w:bookmarkEnd w:id="31"/>
    <w:bookmarkEnd w:id="32"/>
    <w:p w14:paraId="63F19C75">
      <w:pPr>
        <w:pStyle w:val="4"/>
        <w:rPr>
          <w:rFonts w:hint="eastAsia" w:ascii="黑体" w:hAnsi="黑体" w:eastAsia="黑体" w:cs="黑体"/>
          <w:color w:val="auto"/>
          <w:sz w:val="24"/>
          <w:szCs w:val="24"/>
          <w:highlight w:val="none"/>
          <w:lang w:val="zh-CN"/>
        </w:rPr>
      </w:pPr>
    </w:p>
    <w:p w14:paraId="012E75D8">
      <w:pPr>
        <w:pStyle w:val="15"/>
        <w:jc w:val="center"/>
        <w:outlineLvl w:val="1"/>
        <w:rPr>
          <w:rFonts w:hint="eastAsia" w:ascii="黑体" w:hAnsi="黑体" w:eastAsia="黑体" w:cs="黑体"/>
          <w:color w:val="auto"/>
          <w:sz w:val="24"/>
          <w:szCs w:val="24"/>
          <w:highlight w:val="none"/>
        </w:rPr>
      </w:pPr>
      <w:bookmarkStart w:id="69" w:name="_Toc256000054"/>
      <w:r>
        <w:rPr>
          <w:rFonts w:hint="eastAsia" w:ascii="黑体" w:hAnsi="黑体" w:eastAsia="黑体" w:cs="黑体"/>
          <w:color w:val="auto"/>
          <w:sz w:val="24"/>
          <w:szCs w:val="24"/>
          <w:highlight w:val="none"/>
        </w:rPr>
        <w:t>第三部分 专用合同条款</w:t>
      </w:r>
      <w:bookmarkEnd w:id="69"/>
    </w:p>
    <w:p w14:paraId="715DFBD7">
      <w:pPr>
        <w:pStyle w:val="18"/>
        <w:outlineLvl w:val="2"/>
        <w:rPr>
          <w:rFonts w:hint="eastAsia" w:ascii="黑体" w:hAnsi="黑体" w:eastAsia="黑体" w:cs="黑体"/>
          <w:b/>
          <w:color w:val="auto"/>
          <w:sz w:val="24"/>
          <w:szCs w:val="24"/>
          <w:highlight w:val="none"/>
        </w:rPr>
      </w:pPr>
      <w:bookmarkStart w:id="70" w:name="_Toc26381"/>
      <w:bookmarkStart w:id="71" w:name="_Toc351203633"/>
      <w:bookmarkStart w:id="72" w:name="_Toc256000055"/>
      <w:r>
        <w:rPr>
          <w:rFonts w:hint="eastAsia" w:ascii="黑体" w:hAnsi="黑体" w:eastAsia="黑体" w:cs="黑体"/>
          <w:b/>
          <w:color w:val="auto"/>
          <w:sz w:val="24"/>
          <w:szCs w:val="24"/>
          <w:highlight w:val="none"/>
        </w:rPr>
        <w:t>1</w:t>
      </w:r>
      <w:bookmarkStart w:id="73" w:name="_Toc296503156"/>
      <w:bookmarkStart w:id="74" w:name="_Toc292559866"/>
      <w:bookmarkStart w:id="75" w:name="_Toc296944495"/>
      <w:bookmarkStart w:id="76" w:name="_Toc292559361"/>
      <w:bookmarkStart w:id="77" w:name="_Toc296347155"/>
      <w:bookmarkStart w:id="78" w:name="_Toc297120456"/>
      <w:bookmarkStart w:id="79" w:name="_Toc296890984"/>
      <w:bookmarkStart w:id="80" w:name="_Toc297048342"/>
      <w:bookmarkStart w:id="81" w:name="_Toc296346657"/>
      <w:bookmarkStart w:id="82" w:name="_Toc296891196"/>
      <w:r>
        <w:rPr>
          <w:rFonts w:hint="eastAsia" w:ascii="黑体" w:hAnsi="黑体" w:eastAsia="黑体" w:cs="黑体"/>
          <w:b/>
          <w:color w:val="auto"/>
          <w:sz w:val="24"/>
          <w:szCs w:val="24"/>
          <w:highlight w:val="none"/>
        </w:rPr>
        <w:t>. 一般约定</w:t>
      </w:r>
      <w:bookmarkEnd w:id="70"/>
      <w:bookmarkEnd w:id="71"/>
      <w:bookmarkEnd w:id="72"/>
    </w:p>
    <w:bookmarkEnd w:id="73"/>
    <w:bookmarkEnd w:id="74"/>
    <w:bookmarkEnd w:id="75"/>
    <w:bookmarkEnd w:id="76"/>
    <w:bookmarkEnd w:id="77"/>
    <w:bookmarkEnd w:id="78"/>
    <w:bookmarkEnd w:id="79"/>
    <w:bookmarkEnd w:id="80"/>
    <w:bookmarkEnd w:id="81"/>
    <w:bookmarkEnd w:id="82"/>
    <w:p w14:paraId="62B87539">
      <w:pPr>
        <w:pStyle w:val="19"/>
        <w:spacing w:before="120" w:after="120" w:line="360" w:lineRule="auto"/>
        <w:ind w:firstLine="480" w:firstLineChars="200"/>
        <w:rPr>
          <w:rFonts w:hint="eastAsia" w:ascii="黑体" w:hAnsi="黑体" w:eastAsia="黑体" w:cs="黑体"/>
          <w:b w:val="0"/>
          <w:color w:val="auto"/>
          <w:sz w:val="24"/>
          <w:szCs w:val="24"/>
          <w:highlight w:val="none"/>
        </w:rPr>
      </w:pPr>
      <w:r>
        <w:rPr>
          <w:rFonts w:hint="eastAsia" w:ascii="黑体" w:hAnsi="黑体" w:eastAsia="黑体" w:cs="黑体"/>
          <w:b w:val="0"/>
          <w:color w:val="auto"/>
          <w:sz w:val="24"/>
          <w:szCs w:val="24"/>
          <w:highlight w:val="none"/>
        </w:rPr>
        <w:t>1.1 词语定义</w:t>
      </w:r>
    </w:p>
    <w:p w14:paraId="58B54B57">
      <w:pPr>
        <w:pStyle w:val="18"/>
        <w:spacing w:line="360" w:lineRule="auto"/>
        <w:ind w:firstLine="480" w:firstLineChars="200"/>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1.1.1合同</w:t>
      </w:r>
    </w:p>
    <w:p w14:paraId="0B596C2E">
      <w:pPr>
        <w:pStyle w:val="18"/>
        <w:spacing w:line="360" w:lineRule="auto"/>
        <w:ind w:left="1650" w:hanging="1320" w:hangingChars="550"/>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1.1.1.10其他合同文件包括：</w:t>
      </w:r>
      <w:r>
        <w:rPr>
          <w:rFonts w:hint="eastAsia" w:ascii="黑体" w:hAnsi="黑体" w:eastAsia="黑体" w:cs="黑体"/>
          <w:color w:val="auto"/>
          <w:sz w:val="24"/>
          <w:szCs w:val="24"/>
          <w:highlight w:val="none"/>
          <w:u w:val="single"/>
        </w:rPr>
        <w:t></w:t>
      </w:r>
      <w:r>
        <w:rPr>
          <w:rFonts w:hint="eastAsia" w:ascii="黑体" w:hAnsi="黑体" w:eastAsia="黑体" w:cs="黑体"/>
          <w:color w:val="auto"/>
          <w:sz w:val="24"/>
          <w:szCs w:val="24"/>
          <w:highlight w:val="none"/>
          <w:u w:val="single"/>
          <w:lang w:val="en-US" w:eastAsia="zh-CN"/>
        </w:rPr>
        <w:t xml:space="preserve">                                   </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65C8DF7D">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1.1.2 合同当事人及其他相关方</w:t>
      </w:r>
    </w:p>
    <w:p w14:paraId="1F1FD490">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1.1.2.4监理人：</w:t>
      </w:r>
    </w:p>
    <w:p w14:paraId="3A720A29">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名    称：</w:t>
      </w:r>
      <w:r>
        <w:rPr>
          <w:rFonts w:hint="eastAsia" w:ascii="黑体" w:hAnsi="黑体" w:eastAsia="黑体" w:cs="黑体"/>
          <w:color w:val="auto"/>
          <w:sz w:val="24"/>
          <w:szCs w:val="24"/>
          <w:highlight w:val="none"/>
          <w:u w:val="single"/>
        </w:rPr>
        <w:t xml:space="preserve">          </w:t>
      </w:r>
      <w:r>
        <w:rPr>
          <w:rFonts w:hint="eastAsia" w:ascii="黑体" w:hAnsi="黑体" w:eastAsia="黑体" w:cs="黑体"/>
          <w:color w:val="auto"/>
          <w:sz w:val="24"/>
          <w:szCs w:val="24"/>
          <w:highlight w:val="none"/>
        </w:rPr>
        <w:t>；</w:t>
      </w:r>
    </w:p>
    <w:p w14:paraId="1E30B309">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资质类别和等级：</w:t>
      </w:r>
      <w:r>
        <w:rPr>
          <w:rFonts w:hint="eastAsia" w:ascii="黑体" w:hAnsi="黑体" w:eastAsia="黑体" w:cs="黑体"/>
          <w:color w:val="auto"/>
          <w:sz w:val="24"/>
          <w:szCs w:val="24"/>
          <w:highlight w:val="none"/>
          <w:u w:val="single"/>
        </w:rPr>
        <w:t>               </w:t>
      </w:r>
      <w:r>
        <w:rPr>
          <w:rFonts w:hint="eastAsia" w:ascii="黑体" w:hAnsi="黑体" w:eastAsia="黑体" w:cs="黑体"/>
          <w:color w:val="auto"/>
          <w:sz w:val="24"/>
          <w:szCs w:val="24"/>
          <w:highlight w:val="none"/>
        </w:rPr>
        <w:t>；</w:t>
      </w:r>
    </w:p>
    <w:p w14:paraId="3257F1C0">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联系电话：</w:t>
      </w:r>
      <w:r>
        <w:rPr>
          <w:rFonts w:hint="eastAsia" w:ascii="黑体" w:hAnsi="黑体" w:eastAsia="黑体" w:cs="黑体"/>
          <w:color w:val="auto"/>
          <w:sz w:val="24"/>
          <w:szCs w:val="24"/>
          <w:highlight w:val="none"/>
          <w:u w:val="single"/>
        </w:rPr>
        <w:t>             </w:t>
      </w:r>
      <w:r>
        <w:rPr>
          <w:rFonts w:hint="eastAsia" w:ascii="黑体" w:hAnsi="黑体" w:eastAsia="黑体" w:cs="黑体"/>
          <w:color w:val="auto"/>
          <w:sz w:val="24"/>
          <w:szCs w:val="24"/>
          <w:highlight w:val="none"/>
        </w:rPr>
        <w:t>；</w:t>
      </w:r>
    </w:p>
    <w:p w14:paraId="1D008E4C">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电子信箱：</w:t>
      </w:r>
      <w:r>
        <w:rPr>
          <w:rFonts w:hint="eastAsia" w:ascii="黑体" w:hAnsi="黑体" w:eastAsia="黑体" w:cs="黑体"/>
          <w:color w:val="auto"/>
          <w:sz w:val="24"/>
          <w:szCs w:val="24"/>
          <w:highlight w:val="none"/>
          <w:u w:val="single"/>
        </w:rPr>
        <w:t>                </w:t>
      </w:r>
      <w:r>
        <w:rPr>
          <w:rFonts w:hint="eastAsia" w:ascii="黑体" w:hAnsi="黑体" w:eastAsia="黑体" w:cs="黑体"/>
          <w:color w:val="auto"/>
          <w:sz w:val="24"/>
          <w:szCs w:val="24"/>
          <w:highlight w:val="none"/>
        </w:rPr>
        <w:t>；</w:t>
      </w:r>
    </w:p>
    <w:p w14:paraId="40F7B58A">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通信地址：</w:t>
      </w:r>
      <w:r>
        <w:rPr>
          <w:rFonts w:hint="eastAsia" w:ascii="黑体" w:hAnsi="黑体" w:eastAsia="黑体" w:cs="黑体"/>
          <w:color w:val="auto"/>
          <w:sz w:val="24"/>
          <w:szCs w:val="24"/>
          <w:highlight w:val="none"/>
          <w:u w:val="single"/>
        </w:rPr>
        <w:t>              </w:t>
      </w:r>
      <w:r>
        <w:rPr>
          <w:rFonts w:hint="eastAsia" w:ascii="黑体" w:hAnsi="黑体" w:eastAsia="黑体" w:cs="黑体"/>
          <w:color w:val="auto"/>
          <w:sz w:val="24"/>
          <w:szCs w:val="24"/>
          <w:highlight w:val="none"/>
        </w:rPr>
        <w:t>。</w:t>
      </w:r>
    </w:p>
    <w:p w14:paraId="7AF177EE">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1.1.2.5 设计人：</w:t>
      </w:r>
    </w:p>
    <w:p w14:paraId="4185DA20">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名    称：</w:t>
      </w:r>
      <w:r>
        <w:rPr>
          <w:rFonts w:hint="eastAsia" w:ascii="黑体" w:hAnsi="黑体" w:eastAsia="黑体" w:cs="黑体"/>
          <w:color w:val="auto"/>
          <w:sz w:val="24"/>
          <w:szCs w:val="24"/>
          <w:highlight w:val="none"/>
          <w:u w:val="single"/>
        </w:rPr>
        <w:t xml:space="preserve">                 </w:t>
      </w:r>
      <w:r>
        <w:rPr>
          <w:rFonts w:hint="eastAsia" w:ascii="黑体" w:hAnsi="黑体" w:eastAsia="黑体" w:cs="黑体"/>
          <w:color w:val="auto"/>
          <w:sz w:val="24"/>
          <w:szCs w:val="24"/>
          <w:highlight w:val="none"/>
        </w:rPr>
        <w:t>；</w:t>
      </w:r>
    </w:p>
    <w:p w14:paraId="1E84BB37">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资质类别和等级：</w:t>
      </w:r>
      <w:r>
        <w:rPr>
          <w:rFonts w:hint="eastAsia" w:ascii="黑体" w:hAnsi="黑体" w:eastAsia="黑体" w:cs="黑体"/>
          <w:color w:val="auto"/>
          <w:sz w:val="24"/>
          <w:szCs w:val="24"/>
          <w:highlight w:val="none"/>
          <w:u w:val="single"/>
        </w:rPr>
        <w:t>             </w:t>
      </w:r>
      <w:r>
        <w:rPr>
          <w:rFonts w:hint="eastAsia" w:ascii="黑体" w:hAnsi="黑体" w:eastAsia="黑体" w:cs="黑体"/>
          <w:color w:val="auto"/>
          <w:sz w:val="24"/>
          <w:szCs w:val="24"/>
          <w:highlight w:val="none"/>
        </w:rPr>
        <w:t>；</w:t>
      </w:r>
    </w:p>
    <w:p w14:paraId="0D7476CC">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联系电话：</w:t>
      </w:r>
      <w:r>
        <w:rPr>
          <w:rFonts w:hint="eastAsia" w:ascii="黑体" w:hAnsi="黑体" w:eastAsia="黑体" w:cs="黑体"/>
          <w:color w:val="auto"/>
          <w:sz w:val="24"/>
          <w:szCs w:val="24"/>
          <w:highlight w:val="none"/>
          <w:u w:val="single"/>
        </w:rPr>
        <w:t>                 </w:t>
      </w:r>
      <w:r>
        <w:rPr>
          <w:rFonts w:hint="eastAsia" w:ascii="黑体" w:hAnsi="黑体" w:eastAsia="黑体" w:cs="黑体"/>
          <w:color w:val="auto"/>
          <w:sz w:val="24"/>
          <w:szCs w:val="24"/>
          <w:highlight w:val="none"/>
        </w:rPr>
        <w:t>；</w:t>
      </w:r>
    </w:p>
    <w:p w14:paraId="6155A9EE">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电子信箱：</w:t>
      </w:r>
      <w:r>
        <w:rPr>
          <w:rFonts w:hint="eastAsia" w:ascii="黑体" w:hAnsi="黑体" w:eastAsia="黑体" w:cs="黑体"/>
          <w:color w:val="auto"/>
          <w:sz w:val="24"/>
          <w:szCs w:val="24"/>
          <w:highlight w:val="none"/>
          <w:u w:val="single"/>
        </w:rPr>
        <w:t xml:space="preserve">                    </w:t>
      </w:r>
      <w:r>
        <w:rPr>
          <w:rFonts w:hint="eastAsia" w:ascii="黑体" w:hAnsi="黑体" w:eastAsia="黑体" w:cs="黑体"/>
          <w:color w:val="auto"/>
          <w:sz w:val="24"/>
          <w:szCs w:val="24"/>
          <w:highlight w:val="none"/>
        </w:rPr>
        <w:t>；</w:t>
      </w:r>
    </w:p>
    <w:p w14:paraId="1B276937">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通信地址：</w:t>
      </w:r>
      <w:r>
        <w:rPr>
          <w:rFonts w:hint="eastAsia" w:ascii="黑体" w:hAnsi="黑体" w:eastAsia="黑体" w:cs="黑体"/>
          <w:color w:val="auto"/>
          <w:sz w:val="24"/>
          <w:szCs w:val="24"/>
          <w:highlight w:val="none"/>
          <w:u w:val="single"/>
        </w:rPr>
        <w:t>                </w:t>
      </w:r>
      <w:r>
        <w:rPr>
          <w:rFonts w:hint="eastAsia" w:ascii="黑体" w:hAnsi="黑体" w:eastAsia="黑体" w:cs="黑体"/>
          <w:color w:val="auto"/>
          <w:sz w:val="24"/>
          <w:szCs w:val="24"/>
          <w:highlight w:val="none"/>
        </w:rPr>
        <w:t>。</w:t>
      </w:r>
    </w:p>
    <w:p w14:paraId="7F462C07">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1.1.3 工程和设备</w:t>
      </w:r>
    </w:p>
    <w:p w14:paraId="5F43485F">
      <w:pPr>
        <w:pStyle w:val="18"/>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1.1.3.7 作为施工现场组成部分的其他场所包括：</w:t>
      </w:r>
      <w:r>
        <w:rPr>
          <w:rFonts w:hint="eastAsia" w:ascii="黑体" w:hAnsi="黑体" w:eastAsia="黑体" w:cs="黑体"/>
          <w:color w:val="auto"/>
          <w:sz w:val="24"/>
          <w:szCs w:val="24"/>
          <w:highlight w:val="none"/>
          <w:u w:val="single"/>
        </w:rPr>
        <w:t xml:space="preserve"> 通用条款规定的发包方提供的施工场地 </w:t>
      </w:r>
      <w:r>
        <w:rPr>
          <w:rFonts w:hint="eastAsia" w:ascii="黑体" w:hAnsi="黑体" w:eastAsia="黑体" w:cs="黑体"/>
          <w:color w:val="auto"/>
          <w:sz w:val="24"/>
          <w:szCs w:val="24"/>
          <w:highlight w:val="none"/>
        </w:rPr>
        <w:t>。</w:t>
      </w:r>
    </w:p>
    <w:p w14:paraId="20CB0336">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1.1.3.9 永久占地包括：</w:t>
      </w:r>
      <w:r>
        <w:rPr>
          <w:rFonts w:hint="eastAsia" w:ascii="黑体" w:hAnsi="黑体" w:eastAsia="黑体" w:cs="黑体"/>
          <w:color w:val="auto"/>
          <w:sz w:val="24"/>
          <w:szCs w:val="24"/>
          <w:highlight w:val="none"/>
          <w:u w:val="single"/>
        </w:rPr>
        <w:t xml:space="preserve">    依据设计图纸确定 </w:t>
      </w:r>
      <w:r>
        <w:rPr>
          <w:rFonts w:hint="eastAsia" w:ascii="黑体" w:hAnsi="黑体" w:eastAsia="黑体" w:cs="黑体"/>
          <w:color w:val="auto"/>
          <w:kern w:val="0"/>
          <w:sz w:val="24"/>
          <w:szCs w:val="24"/>
          <w:highlight w:val="none"/>
        </w:rPr>
        <w:t>。</w:t>
      </w:r>
    </w:p>
    <w:p w14:paraId="5EFBDE64">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kern w:val="0"/>
          <w:sz w:val="24"/>
          <w:szCs w:val="24"/>
          <w:highlight w:val="none"/>
        </w:rPr>
        <w:t>1.1.3.10 临时占地包括：</w:t>
      </w:r>
      <w:r>
        <w:rPr>
          <w:rFonts w:hint="eastAsia" w:ascii="黑体" w:hAnsi="黑体" w:eastAsia="黑体" w:cs="黑体"/>
          <w:color w:val="auto"/>
          <w:sz w:val="24"/>
          <w:szCs w:val="24"/>
          <w:highlight w:val="none"/>
          <w:u w:val="single"/>
        </w:rPr>
        <w:t xml:space="preserve">   双方在合同履行过程中确定</w:t>
      </w:r>
      <w:r>
        <w:rPr>
          <w:rFonts w:hint="eastAsia" w:ascii="黑体" w:hAnsi="黑体" w:eastAsia="黑体" w:cs="黑体"/>
          <w:color w:val="auto"/>
          <w:kern w:val="0"/>
          <w:sz w:val="24"/>
          <w:szCs w:val="24"/>
          <w:highlight w:val="none"/>
        </w:rPr>
        <w:t>。</w:t>
      </w:r>
    </w:p>
    <w:p w14:paraId="239513B0">
      <w:pPr>
        <w:pStyle w:val="19"/>
        <w:spacing w:before="120" w:after="120" w:line="360" w:lineRule="auto"/>
        <w:ind w:firstLine="480" w:firstLineChars="200"/>
        <w:rPr>
          <w:rFonts w:hint="eastAsia" w:ascii="黑体" w:hAnsi="黑体" w:eastAsia="黑体" w:cs="黑体"/>
          <w:b w:val="0"/>
          <w:color w:val="auto"/>
          <w:sz w:val="24"/>
          <w:szCs w:val="24"/>
          <w:highlight w:val="none"/>
        </w:rPr>
      </w:pPr>
      <w:r>
        <w:rPr>
          <w:rFonts w:hint="eastAsia" w:ascii="黑体" w:hAnsi="黑体" w:eastAsia="黑体" w:cs="黑体"/>
          <w:b w:val="0"/>
          <w:color w:val="auto"/>
          <w:sz w:val="24"/>
          <w:szCs w:val="24"/>
          <w:highlight w:val="none"/>
        </w:rPr>
        <w:t xml:space="preserve">1.3法律 </w:t>
      </w:r>
    </w:p>
    <w:p w14:paraId="58225560">
      <w:pPr>
        <w:pStyle w:val="18"/>
        <w:autoSpaceDE w:val="0"/>
        <w:autoSpaceDN w:val="0"/>
        <w:adjustRightInd w:val="0"/>
        <w:spacing w:line="360" w:lineRule="auto"/>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适用于合同的其他规范性文件：</w:t>
      </w:r>
      <w:r>
        <w:rPr>
          <w:rFonts w:hint="eastAsia" w:ascii="黑体" w:hAnsi="黑体" w:eastAsia="黑体" w:cs="黑体"/>
          <w:color w:val="auto"/>
          <w:sz w:val="24"/>
          <w:szCs w:val="24"/>
          <w:highlight w:val="none"/>
          <w:u w:val="single"/>
        </w:rPr>
        <w:t xml:space="preserve">执行通用条款     </w:t>
      </w:r>
      <w:r>
        <w:rPr>
          <w:rFonts w:hint="eastAsia" w:ascii="黑体" w:hAnsi="黑体" w:eastAsia="黑体" w:cs="黑体"/>
          <w:color w:val="auto"/>
          <w:sz w:val="24"/>
          <w:szCs w:val="24"/>
          <w:highlight w:val="none"/>
        </w:rPr>
        <w:t>。</w:t>
      </w:r>
    </w:p>
    <w:p w14:paraId="5143B9C8">
      <w:pPr>
        <w:pStyle w:val="19"/>
        <w:spacing w:before="120" w:after="120" w:line="360" w:lineRule="auto"/>
        <w:ind w:firstLine="480" w:firstLineChars="200"/>
        <w:rPr>
          <w:rFonts w:hint="eastAsia" w:ascii="黑体" w:hAnsi="黑体" w:eastAsia="黑体" w:cs="黑体"/>
          <w:b w:val="0"/>
          <w:color w:val="auto"/>
          <w:sz w:val="24"/>
          <w:szCs w:val="24"/>
          <w:highlight w:val="none"/>
        </w:rPr>
      </w:pPr>
      <w:r>
        <w:rPr>
          <w:rFonts w:hint="eastAsia" w:ascii="黑体" w:hAnsi="黑体" w:eastAsia="黑体" w:cs="黑体"/>
          <w:b w:val="0"/>
          <w:color w:val="auto"/>
          <w:sz w:val="24"/>
          <w:szCs w:val="24"/>
          <w:highlight w:val="none"/>
        </w:rPr>
        <w:t>1.4 标准和规范</w:t>
      </w:r>
    </w:p>
    <w:p w14:paraId="5CC8CDA8">
      <w:pPr>
        <w:pStyle w:val="18"/>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1.4.1适用于工程的标准规范包括：</w:t>
      </w:r>
      <w:r>
        <w:rPr>
          <w:rFonts w:hint="eastAsia" w:ascii="黑体" w:hAnsi="黑体" w:eastAsia="黑体" w:cs="黑体"/>
          <w:color w:val="auto"/>
          <w:sz w:val="24"/>
          <w:szCs w:val="24"/>
          <w:highlight w:val="none"/>
          <w:u w:val="single"/>
        </w:rPr>
        <w:t>执行通用条款   </w:t>
      </w:r>
      <w:r>
        <w:rPr>
          <w:rFonts w:hint="eastAsia" w:ascii="黑体" w:hAnsi="黑体" w:eastAsia="黑体" w:cs="黑体"/>
          <w:color w:val="auto"/>
          <w:sz w:val="24"/>
          <w:szCs w:val="24"/>
          <w:highlight w:val="none"/>
        </w:rPr>
        <w:t>。</w:t>
      </w:r>
    </w:p>
    <w:p w14:paraId="618D8F59">
      <w:pPr>
        <w:pStyle w:val="18"/>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1.4.2 发包人提供国外标准、规范的名称：</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2C9E2F97">
      <w:pPr>
        <w:pStyle w:val="18"/>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发包人提供国外标准、规范的份数：</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0D6247B9">
      <w:pPr>
        <w:pStyle w:val="18"/>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发包人提供国外标准、规范的名称：</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13137451">
      <w:pPr>
        <w:pStyle w:val="18"/>
        <w:spacing w:line="360" w:lineRule="auto"/>
        <w:ind w:left="596" w:leftChars="284"/>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1.4.3发包人对工程的技术标准和功能要求的特殊要求：</w:t>
      </w:r>
      <w:r>
        <w:rPr>
          <w:rFonts w:hint="eastAsia" w:ascii="黑体" w:hAnsi="黑体" w:eastAsia="黑体" w:cs="黑体"/>
          <w:color w:val="auto"/>
          <w:sz w:val="24"/>
          <w:szCs w:val="24"/>
          <w:highlight w:val="none"/>
          <w:u w:val="single"/>
          <w:lang w:val="en-US" w:eastAsia="zh-CN"/>
        </w:rPr>
        <w:t xml:space="preserve">  /</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443A445D">
      <w:pPr>
        <w:pStyle w:val="19"/>
        <w:spacing w:before="120" w:after="120" w:line="360" w:lineRule="auto"/>
        <w:ind w:firstLine="480" w:firstLineChars="200"/>
        <w:rPr>
          <w:rFonts w:hint="eastAsia" w:ascii="黑体" w:hAnsi="黑体" w:eastAsia="黑体" w:cs="黑体"/>
          <w:b w:val="0"/>
          <w:color w:val="auto"/>
          <w:sz w:val="24"/>
          <w:szCs w:val="24"/>
          <w:highlight w:val="none"/>
        </w:rPr>
      </w:pPr>
      <w:r>
        <w:rPr>
          <w:rFonts w:hint="eastAsia" w:ascii="黑体" w:hAnsi="黑体" w:eastAsia="黑体" w:cs="黑体"/>
          <w:b w:val="0"/>
          <w:color w:val="auto"/>
          <w:sz w:val="24"/>
          <w:szCs w:val="24"/>
          <w:highlight w:val="none"/>
        </w:rPr>
        <w:t>1.5 合同文件的优先顺序</w:t>
      </w:r>
    </w:p>
    <w:p w14:paraId="1F94B4AF">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合同文件组成及优先顺序为：</w:t>
      </w:r>
      <w:r>
        <w:rPr>
          <w:rFonts w:hint="eastAsia" w:ascii="黑体" w:hAnsi="黑体" w:eastAsia="黑体" w:cs="黑体"/>
          <w:color w:val="auto"/>
          <w:sz w:val="24"/>
          <w:szCs w:val="24"/>
          <w:highlight w:val="none"/>
          <w:u w:val="single"/>
        </w:rPr>
        <w:t>执行通用条款     </w:t>
      </w:r>
      <w:r>
        <w:rPr>
          <w:rFonts w:hint="eastAsia" w:ascii="黑体" w:hAnsi="黑体" w:eastAsia="黑体" w:cs="黑体"/>
          <w:color w:val="auto"/>
          <w:sz w:val="24"/>
          <w:szCs w:val="24"/>
          <w:highlight w:val="none"/>
        </w:rPr>
        <w:t>。</w:t>
      </w:r>
    </w:p>
    <w:p w14:paraId="223E4AE4">
      <w:pPr>
        <w:pStyle w:val="19"/>
        <w:spacing w:before="120" w:after="120" w:line="360" w:lineRule="auto"/>
        <w:ind w:firstLine="480" w:firstLineChars="200"/>
        <w:rPr>
          <w:rFonts w:hint="eastAsia" w:ascii="黑体" w:hAnsi="黑体" w:eastAsia="黑体" w:cs="黑体"/>
          <w:b w:val="0"/>
          <w:color w:val="auto"/>
          <w:sz w:val="24"/>
          <w:szCs w:val="24"/>
          <w:highlight w:val="none"/>
        </w:rPr>
      </w:pPr>
      <w:r>
        <w:rPr>
          <w:rFonts w:hint="eastAsia" w:ascii="黑体" w:hAnsi="黑体" w:eastAsia="黑体" w:cs="黑体"/>
          <w:b w:val="0"/>
          <w:color w:val="auto"/>
          <w:sz w:val="24"/>
          <w:szCs w:val="24"/>
          <w:highlight w:val="none"/>
        </w:rPr>
        <w:t>1.6 图纸和承包人文件</w:t>
      </w:r>
      <w:r>
        <w:rPr>
          <w:rFonts w:hint="eastAsia" w:ascii="黑体" w:hAnsi="黑体" w:eastAsia="黑体" w:cs="黑体"/>
          <w:b w:val="0"/>
          <w:color w:val="auto"/>
          <w:sz w:val="24"/>
          <w:szCs w:val="24"/>
          <w:highlight w:val="none"/>
        </w:rPr>
        <w:tab/>
      </w:r>
    </w:p>
    <w:p w14:paraId="11AB681C">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1.6.1 图纸的提供</w:t>
      </w:r>
    </w:p>
    <w:p w14:paraId="6AFB7371">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发包人向承包人提供图纸的期限：</w:t>
      </w:r>
      <w:r>
        <w:rPr>
          <w:rFonts w:hint="eastAsia" w:ascii="黑体" w:hAnsi="黑体" w:eastAsia="黑体" w:cs="黑体"/>
          <w:color w:val="auto"/>
          <w:sz w:val="24"/>
          <w:szCs w:val="24"/>
          <w:highlight w:val="none"/>
          <w:u w:val="single"/>
        </w:rPr>
        <w:t>进场前提供基础施工图</w:t>
      </w:r>
      <w:r>
        <w:rPr>
          <w:rFonts w:hint="eastAsia" w:ascii="黑体" w:hAnsi="黑体" w:eastAsia="黑体" w:cs="黑体"/>
          <w:color w:val="auto"/>
          <w:sz w:val="24"/>
          <w:szCs w:val="24"/>
          <w:highlight w:val="none"/>
        </w:rPr>
        <w:t>；</w:t>
      </w:r>
    </w:p>
    <w:p w14:paraId="56E7376E">
      <w:pPr>
        <w:keepNext w:val="0"/>
        <w:keepLines w:val="0"/>
        <w:widowControl/>
        <w:suppressLineNumbers w:val="0"/>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发包人向承包人提供图纸的数量：</w:t>
      </w:r>
      <w:r>
        <w:rPr>
          <w:rFonts w:hint="eastAsia" w:ascii="黑体" w:hAnsi="黑体" w:eastAsia="黑体" w:cs="黑体"/>
          <w:color w:val="auto"/>
          <w:sz w:val="24"/>
          <w:szCs w:val="24"/>
          <w:highlight w:val="none"/>
          <w:u w:val="single"/>
        </w:rPr>
        <w:t></w:t>
      </w:r>
      <w:r>
        <w:rPr>
          <w:rFonts w:hint="eastAsia" w:ascii="黑体" w:hAnsi="黑体" w:eastAsia="黑体" w:cs="黑体"/>
          <w:snapToGrid/>
          <w:color w:val="auto"/>
          <w:kern w:val="2"/>
          <w:sz w:val="24"/>
          <w:szCs w:val="24"/>
          <w:highlight w:val="none"/>
          <w:u w:val="single"/>
          <w:lang w:val="en-US" w:eastAsia="zh-CN" w:bidi="ar-SA"/>
        </w:rPr>
        <w:t>贰份</w:t>
      </w:r>
      <w:r>
        <w:rPr>
          <w:rFonts w:hint="eastAsia" w:ascii="黑体" w:hAnsi="黑体" w:eastAsia="黑体" w:cs="黑体"/>
          <w:color w:val="auto"/>
          <w:sz w:val="24"/>
          <w:szCs w:val="24"/>
          <w:highlight w:val="none"/>
        </w:rPr>
        <w:t>；</w:t>
      </w:r>
    </w:p>
    <w:p w14:paraId="4DF8F21C">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发包人向承包人提供图纸的内容：</w:t>
      </w:r>
      <w:r>
        <w:rPr>
          <w:rFonts w:hint="eastAsia" w:ascii="黑体" w:hAnsi="黑体" w:eastAsia="黑体" w:cs="黑体"/>
          <w:color w:val="auto"/>
          <w:sz w:val="24"/>
          <w:szCs w:val="24"/>
          <w:highlight w:val="none"/>
          <w:u w:val="single"/>
        </w:rPr>
        <w:t>施工图 </w:t>
      </w:r>
      <w:r>
        <w:rPr>
          <w:rFonts w:hint="eastAsia" w:ascii="黑体" w:hAnsi="黑体" w:eastAsia="黑体" w:cs="黑体"/>
          <w:color w:val="auto"/>
          <w:sz w:val="24"/>
          <w:szCs w:val="24"/>
          <w:highlight w:val="none"/>
        </w:rPr>
        <w:t>。</w:t>
      </w:r>
    </w:p>
    <w:p w14:paraId="3C37493F">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1.6.4 承包人文件</w:t>
      </w:r>
    </w:p>
    <w:p w14:paraId="4863B889">
      <w:pPr>
        <w:pStyle w:val="18"/>
        <w:spacing w:line="360" w:lineRule="auto"/>
        <w:ind w:left="596" w:leftChars="284"/>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需要由承包人提供的文件，包括：</w:t>
      </w:r>
      <w:r>
        <w:rPr>
          <w:rFonts w:hint="eastAsia" w:ascii="黑体" w:hAnsi="黑体" w:eastAsia="黑体" w:cs="黑体"/>
          <w:color w:val="auto"/>
          <w:sz w:val="24"/>
          <w:szCs w:val="24"/>
          <w:highlight w:val="none"/>
          <w:u w:val="single"/>
        </w:rPr>
        <w:t xml:space="preserve">各月完成工程量及进度报表 </w:t>
      </w:r>
      <w:r>
        <w:rPr>
          <w:rFonts w:hint="eastAsia" w:ascii="黑体" w:hAnsi="黑体" w:eastAsia="黑体" w:cs="黑体"/>
          <w:color w:val="auto"/>
          <w:sz w:val="24"/>
          <w:szCs w:val="24"/>
          <w:highlight w:val="none"/>
        </w:rPr>
        <w:t>；</w:t>
      </w:r>
    </w:p>
    <w:p w14:paraId="0B937571">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承包人提供的文件的期限为：</w:t>
      </w:r>
      <w:r>
        <w:rPr>
          <w:rFonts w:hint="eastAsia" w:ascii="黑体" w:hAnsi="黑体" w:eastAsia="黑体" w:cs="黑体"/>
          <w:color w:val="auto"/>
          <w:sz w:val="24"/>
          <w:szCs w:val="24"/>
          <w:highlight w:val="none"/>
          <w:u w:val="single"/>
        </w:rPr>
        <w:t>每月25日前</w:t>
      </w:r>
      <w:r>
        <w:rPr>
          <w:rFonts w:hint="eastAsia" w:ascii="黑体" w:hAnsi="黑体" w:eastAsia="黑体" w:cs="黑体"/>
          <w:color w:val="auto"/>
          <w:sz w:val="24"/>
          <w:szCs w:val="24"/>
          <w:highlight w:val="none"/>
        </w:rPr>
        <w:t>；</w:t>
      </w:r>
    </w:p>
    <w:p w14:paraId="37684F30">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承包人提供的文件的数量为：</w:t>
      </w:r>
      <w:r>
        <w:rPr>
          <w:rFonts w:hint="eastAsia" w:ascii="黑体" w:hAnsi="黑体" w:eastAsia="黑体" w:cs="黑体"/>
          <w:color w:val="auto"/>
          <w:sz w:val="24"/>
          <w:szCs w:val="24"/>
          <w:highlight w:val="none"/>
          <w:u w:val="single"/>
        </w:rPr>
        <w:t>1套</w:t>
      </w:r>
      <w:r>
        <w:rPr>
          <w:rFonts w:hint="eastAsia" w:ascii="黑体" w:hAnsi="黑体" w:eastAsia="黑体" w:cs="黑体"/>
          <w:color w:val="auto"/>
          <w:sz w:val="24"/>
          <w:szCs w:val="24"/>
          <w:highlight w:val="none"/>
        </w:rPr>
        <w:t>；</w:t>
      </w:r>
    </w:p>
    <w:p w14:paraId="1F80E0BD">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承包人提供的文件的形式为：</w:t>
      </w:r>
      <w:r>
        <w:rPr>
          <w:rFonts w:hint="eastAsia" w:ascii="黑体" w:hAnsi="黑体" w:eastAsia="黑体" w:cs="黑体"/>
          <w:color w:val="auto"/>
          <w:sz w:val="24"/>
          <w:szCs w:val="24"/>
          <w:highlight w:val="none"/>
          <w:u w:val="single"/>
        </w:rPr>
        <w:t>书面</w:t>
      </w:r>
      <w:r>
        <w:rPr>
          <w:rFonts w:hint="eastAsia" w:ascii="黑体" w:hAnsi="黑体" w:eastAsia="黑体" w:cs="黑体"/>
          <w:color w:val="auto"/>
          <w:sz w:val="24"/>
          <w:szCs w:val="24"/>
          <w:highlight w:val="none"/>
        </w:rPr>
        <w:t>；</w:t>
      </w:r>
    </w:p>
    <w:p w14:paraId="5C0444F4">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发包人审批承包人文件的期限：</w:t>
      </w:r>
      <w:r>
        <w:rPr>
          <w:rFonts w:hint="eastAsia" w:ascii="黑体" w:hAnsi="黑体" w:eastAsia="黑体" w:cs="黑体"/>
          <w:color w:val="auto"/>
          <w:sz w:val="24"/>
          <w:szCs w:val="24"/>
          <w:highlight w:val="none"/>
          <w:u w:val="single"/>
        </w:rPr>
        <w:t>/</w:t>
      </w:r>
      <w:r>
        <w:rPr>
          <w:rFonts w:hint="eastAsia" w:ascii="黑体" w:hAnsi="黑体" w:eastAsia="黑体" w:cs="黑体"/>
          <w:color w:val="auto"/>
          <w:sz w:val="24"/>
          <w:szCs w:val="24"/>
          <w:highlight w:val="none"/>
        </w:rPr>
        <w:t>。</w:t>
      </w:r>
    </w:p>
    <w:p w14:paraId="118DE2EF">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1.6.5 现场图纸准备</w:t>
      </w:r>
    </w:p>
    <w:p w14:paraId="3E288958">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关于现场图纸准备的约定：</w:t>
      </w:r>
      <w:r>
        <w:rPr>
          <w:rFonts w:hint="eastAsia" w:ascii="黑体" w:hAnsi="黑体" w:eastAsia="黑体" w:cs="黑体"/>
          <w:color w:val="auto"/>
          <w:sz w:val="24"/>
          <w:szCs w:val="24"/>
          <w:highlight w:val="none"/>
          <w:u w:val="single"/>
        </w:rPr>
        <w:t>双方自行协商</w:t>
      </w:r>
      <w:r>
        <w:rPr>
          <w:rFonts w:hint="eastAsia" w:ascii="黑体" w:hAnsi="黑体" w:eastAsia="黑体" w:cs="黑体"/>
          <w:color w:val="auto"/>
          <w:sz w:val="24"/>
          <w:szCs w:val="24"/>
          <w:highlight w:val="none"/>
        </w:rPr>
        <w:t>。</w:t>
      </w:r>
    </w:p>
    <w:p w14:paraId="4016EA54">
      <w:pPr>
        <w:pStyle w:val="19"/>
        <w:spacing w:before="120" w:after="120" w:line="360" w:lineRule="auto"/>
        <w:ind w:firstLine="480" w:firstLineChars="200"/>
        <w:rPr>
          <w:rFonts w:hint="eastAsia" w:ascii="黑体" w:hAnsi="黑体" w:eastAsia="黑体" w:cs="黑体"/>
          <w:b w:val="0"/>
          <w:color w:val="auto"/>
          <w:sz w:val="24"/>
          <w:szCs w:val="24"/>
          <w:highlight w:val="none"/>
        </w:rPr>
      </w:pPr>
      <w:r>
        <w:rPr>
          <w:rFonts w:hint="eastAsia" w:ascii="黑体" w:hAnsi="黑体" w:eastAsia="黑体" w:cs="黑体"/>
          <w:b w:val="0"/>
          <w:color w:val="auto"/>
          <w:sz w:val="24"/>
          <w:szCs w:val="24"/>
          <w:highlight w:val="none"/>
        </w:rPr>
        <w:t>1.7 联络</w:t>
      </w:r>
    </w:p>
    <w:p w14:paraId="7254F999">
      <w:pPr>
        <w:pStyle w:val="18"/>
        <w:spacing w:line="360" w:lineRule="auto"/>
        <w:ind w:firstLine="480" w:firstLineChars="200"/>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1.7.1发包人和承包人应当在</w:t>
      </w:r>
      <w:r>
        <w:rPr>
          <w:rFonts w:hint="eastAsia" w:ascii="黑体" w:hAnsi="黑体" w:eastAsia="黑体" w:cs="黑体"/>
          <w:color w:val="auto"/>
          <w:sz w:val="24"/>
          <w:szCs w:val="24"/>
          <w:highlight w:val="none"/>
          <w:u w:val="single"/>
        </w:rPr>
        <w:t xml:space="preserve">7 </w:t>
      </w:r>
      <w:r>
        <w:rPr>
          <w:rFonts w:hint="eastAsia" w:ascii="黑体" w:hAnsi="黑体" w:eastAsia="黑体" w:cs="黑体"/>
          <w:color w:val="auto"/>
          <w:kern w:val="0"/>
          <w:sz w:val="24"/>
          <w:szCs w:val="24"/>
          <w:highlight w:val="none"/>
        </w:rPr>
        <w:t>天内将与合同有关的通知、批准、证明、证书、指示、指令、要求、请求、同意、意见、确定和决定等书面函件送达对方当事人。</w:t>
      </w:r>
    </w:p>
    <w:p w14:paraId="46575ACE">
      <w:pPr>
        <w:pStyle w:val="18"/>
        <w:spacing w:line="360" w:lineRule="auto"/>
        <w:ind w:firstLine="480" w:firstLineChars="200"/>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1.7.2 发包人接收文件的地点：</w:t>
      </w:r>
      <w:r>
        <w:rPr>
          <w:rFonts w:hint="eastAsia" w:ascii="黑体" w:hAnsi="黑体" w:eastAsia="黑体" w:cs="黑体"/>
          <w:color w:val="auto"/>
          <w:sz w:val="24"/>
          <w:szCs w:val="24"/>
          <w:highlight w:val="none"/>
          <w:u w:val="single"/>
        </w:rPr>
        <w:t>项目所在地发包人项目部</w:t>
      </w:r>
      <w:r>
        <w:rPr>
          <w:rFonts w:hint="eastAsia" w:ascii="黑体" w:hAnsi="黑体" w:eastAsia="黑体" w:cs="黑体"/>
          <w:color w:val="auto"/>
          <w:kern w:val="0"/>
          <w:sz w:val="24"/>
          <w:szCs w:val="24"/>
          <w:highlight w:val="none"/>
        </w:rPr>
        <w:t>；</w:t>
      </w:r>
    </w:p>
    <w:p w14:paraId="0942A9E7">
      <w:pPr>
        <w:pStyle w:val="18"/>
        <w:spacing w:line="360" w:lineRule="auto"/>
        <w:ind w:firstLine="480" w:firstLineChars="200"/>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发包人指定的接收人为：</w:t>
      </w:r>
      <w:r>
        <w:rPr>
          <w:rFonts w:hint="eastAsia" w:ascii="黑体" w:hAnsi="黑体" w:eastAsia="黑体" w:cs="黑体"/>
          <w:color w:val="auto"/>
          <w:sz w:val="24"/>
          <w:szCs w:val="24"/>
          <w:highlight w:val="none"/>
          <w:u w:val="single"/>
        </w:rPr>
        <w:t></w:t>
      </w:r>
      <w:r>
        <w:rPr>
          <w:rFonts w:hint="eastAsia" w:ascii="黑体" w:hAnsi="黑体" w:eastAsia="黑体" w:cs="黑体"/>
          <w:color w:val="auto"/>
          <w:sz w:val="24"/>
          <w:szCs w:val="24"/>
          <w:highlight w:val="none"/>
          <w:u w:val="single"/>
          <w:lang w:val="en-US" w:eastAsia="zh-CN"/>
        </w:rPr>
        <w:t xml:space="preserve">           </w:t>
      </w:r>
      <w:r>
        <w:rPr>
          <w:rFonts w:hint="eastAsia" w:ascii="黑体" w:hAnsi="黑体" w:eastAsia="黑体" w:cs="黑体"/>
          <w:color w:val="auto"/>
          <w:sz w:val="24"/>
          <w:szCs w:val="24"/>
          <w:highlight w:val="none"/>
          <w:u w:val="single"/>
        </w:rPr>
        <w:t></w:t>
      </w:r>
      <w:r>
        <w:rPr>
          <w:rFonts w:hint="eastAsia" w:ascii="黑体" w:hAnsi="黑体" w:eastAsia="黑体" w:cs="黑体"/>
          <w:color w:val="auto"/>
          <w:kern w:val="0"/>
          <w:sz w:val="24"/>
          <w:szCs w:val="24"/>
          <w:highlight w:val="none"/>
        </w:rPr>
        <w:t>。</w:t>
      </w:r>
    </w:p>
    <w:p w14:paraId="5489B367">
      <w:pPr>
        <w:pStyle w:val="18"/>
        <w:spacing w:line="360" w:lineRule="auto"/>
        <w:ind w:firstLine="480" w:firstLineChars="200"/>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承包人接收文件的地点：</w:t>
      </w:r>
      <w:r>
        <w:rPr>
          <w:rFonts w:hint="eastAsia" w:ascii="黑体" w:hAnsi="黑体" w:eastAsia="黑体" w:cs="黑体"/>
          <w:color w:val="auto"/>
          <w:sz w:val="24"/>
          <w:szCs w:val="24"/>
          <w:highlight w:val="none"/>
          <w:u w:val="single"/>
        </w:rPr>
        <w:t>项目所在地承包人项目</w:t>
      </w:r>
      <w:r>
        <w:rPr>
          <w:rFonts w:hint="eastAsia" w:ascii="黑体" w:hAnsi="黑体" w:eastAsia="黑体" w:cs="黑体"/>
          <w:color w:val="auto"/>
          <w:kern w:val="0"/>
          <w:sz w:val="24"/>
          <w:szCs w:val="24"/>
          <w:highlight w:val="none"/>
        </w:rPr>
        <w:t>；</w:t>
      </w:r>
    </w:p>
    <w:p w14:paraId="13419A5E">
      <w:pPr>
        <w:pStyle w:val="18"/>
        <w:spacing w:line="360" w:lineRule="auto"/>
        <w:ind w:firstLine="480" w:firstLineChars="200"/>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承包人指定的接收人为：</w:t>
      </w:r>
      <w:r>
        <w:rPr>
          <w:rFonts w:hint="eastAsia" w:ascii="黑体" w:hAnsi="黑体" w:eastAsia="黑体" w:cs="黑体"/>
          <w:color w:val="auto"/>
          <w:sz w:val="24"/>
          <w:szCs w:val="24"/>
          <w:highlight w:val="none"/>
          <w:u w:val="single"/>
        </w:rPr>
        <w:t>承包方项目经理    </w:t>
      </w:r>
      <w:r>
        <w:rPr>
          <w:rFonts w:hint="eastAsia" w:ascii="黑体" w:hAnsi="黑体" w:eastAsia="黑体" w:cs="黑体"/>
          <w:color w:val="auto"/>
          <w:kern w:val="0"/>
          <w:sz w:val="24"/>
          <w:szCs w:val="24"/>
          <w:highlight w:val="none"/>
        </w:rPr>
        <w:t>。</w:t>
      </w:r>
    </w:p>
    <w:p w14:paraId="1591B943">
      <w:pPr>
        <w:pStyle w:val="18"/>
        <w:spacing w:line="360" w:lineRule="auto"/>
        <w:ind w:firstLine="480" w:firstLineChars="200"/>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监理人接收文件的地点：</w:t>
      </w:r>
      <w:r>
        <w:rPr>
          <w:rFonts w:hint="eastAsia" w:ascii="黑体" w:hAnsi="黑体" w:eastAsia="黑体" w:cs="黑体"/>
          <w:color w:val="auto"/>
          <w:sz w:val="24"/>
          <w:szCs w:val="24"/>
          <w:highlight w:val="none"/>
          <w:u w:val="single"/>
        </w:rPr>
        <w:t>项目所在地监理人办公室   </w:t>
      </w:r>
      <w:r>
        <w:rPr>
          <w:rFonts w:hint="eastAsia" w:ascii="黑体" w:hAnsi="黑体" w:eastAsia="黑体" w:cs="黑体"/>
          <w:color w:val="auto"/>
          <w:kern w:val="0"/>
          <w:sz w:val="24"/>
          <w:szCs w:val="24"/>
          <w:highlight w:val="none"/>
        </w:rPr>
        <w:t>；</w:t>
      </w:r>
    </w:p>
    <w:p w14:paraId="3560E3E0">
      <w:pPr>
        <w:pStyle w:val="18"/>
        <w:spacing w:line="360" w:lineRule="auto"/>
        <w:ind w:firstLine="480" w:firstLineChars="200"/>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监理人指定的接收人为：</w:t>
      </w:r>
      <w:r>
        <w:rPr>
          <w:rFonts w:hint="eastAsia" w:ascii="黑体" w:hAnsi="黑体" w:eastAsia="黑体" w:cs="黑体"/>
          <w:color w:val="auto"/>
          <w:sz w:val="24"/>
          <w:szCs w:val="24"/>
          <w:highlight w:val="none"/>
          <w:u w:val="single"/>
        </w:rPr>
        <w:t>监理工程师  </w:t>
      </w:r>
      <w:r>
        <w:rPr>
          <w:rFonts w:hint="eastAsia" w:ascii="黑体" w:hAnsi="黑体" w:eastAsia="黑体" w:cs="黑体"/>
          <w:color w:val="auto"/>
          <w:kern w:val="0"/>
          <w:sz w:val="24"/>
          <w:szCs w:val="24"/>
          <w:highlight w:val="none"/>
        </w:rPr>
        <w:t>。</w:t>
      </w:r>
    </w:p>
    <w:p w14:paraId="0F75F06C">
      <w:pPr>
        <w:pStyle w:val="19"/>
        <w:spacing w:before="120" w:after="120" w:line="360" w:lineRule="auto"/>
        <w:ind w:firstLine="480" w:firstLineChars="200"/>
        <w:rPr>
          <w:rFonts w:hint="eastAsia" w:ascii="黑体" w:hAnsi="黑体" w:eastAsia="黑体" w:cs="黑体"/>
          <w:b w:val="0"/>
          <w:color w:val="auto"/>
          <w:sz w:val="24"/>
          <w:szCs w:val="24"/>
          <w:highlight w:val="none"/>
        </w:rPr>
      </w:pPr>
      <w:r>
        <w:rPr>
          <w:rFonts w:hint="eastAsia" w:ascii="黑体" w:hAnsi="黑体" w:eastAsia="黑体" w:cs="黑体"/>
          <w:b w:val="0"/>
          <w:color w:val="auto"/>
          <w:sz w:val="24"/>
          <w:szCs w:val="24"/>
          <w:highlight w:val="none"/>
        </w:rPr>
        <w:t>1.10 交通运输</w:t>
      </w:r>
    </w:p>
    <w:p w14:paraId="5ED130B2">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w:t>
      </w:r>
      <w:bookmarkStart w:id="83" w:name="_Toc303539100"/>
      <w:bookmarkStart w:id="84" w:name="_Toc304295521"/>
      <w:bookmarkStart w:id="85" w:name="_Toc312677986"/>
      <w:bookmarkStart w:id="86" w:name="_Toc318581155"/>
      <w:bookmarkStart w:id="87" w:name="_Toc300934943"/>
      <w:r>
        <w:rPr>
          <w:rFonts w:hint="eastAsia" w:ascii="黑体" w:hAnsi="黑体" w:eastAsia="黑体" w:cs="黑体"/>
          <w:color w:val="auto"/>
          <w:sz w:val="24"/>
          <w:szCs w:val="24"/>
          <w:highlight w:val="none"/>
        </w:rPr>
        <w:t>.10.1 出入现场的权利</w:t>
      </w:r>
    </w:p>
    <w:p w14:paraId="23865A01">
      <w:pPr>
        <w:pStyle w:val="18"/>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关于出入现场的权利的约定：</w:t>
      </w:r>
      <w:r>
        <w:rPr>
          <w:rFonts w:hint="eastAsia" w:ascii="黑体" w:hAnsi="黑体" w:eastAsia="黑体" w:cs="黑体"/>
          <w:color w:val="auto"/>
          <w:sz w:val="24"/>
          <w:szCs w:val="24"/>
          <w:highlight w:val="none"/>
          <w:u w:val="single"/>
        </w:rPr>
        <w:t></w:t>
      </w:r>
      <w:r>
        <w:rPr>
          <w:rFonts w:hint="eastAsia" w:ascii="黑体" w:hAnsi="黑体" w:eastAsia="黑体" w:cs="黑体"/>
          <w:color w:val="auto"/>
          <w:sz w:val="24"/>
          <w:szCs w:val="24"/>
          <w:highlight w:val="none"/>
          <w:u w:val="single"/>
          <w:lang w:val="en-US" w:eastAsia="zh-CN"/>
        </w:rPr>
        <w:t>由承包人按发包人要求取得出入现场所需的批准手续</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bookmarkEnd w:id="83"/>
    <w:bookmarkEnd w:id="84"/>
    <w:bookmarkEnd w:id="85"/>
    <w:bookmarkEnd w:id="86"/>
    <w:bookmarkEnd w:id="87"/>
    <w:p w14:paraId="7D0DA7F1">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w:t>
      </w:r>
      <w:bookmarkStart w:id="88" w:name="_Toc303539101"/>
      <w:bookmarkStart w:id="89" w:name="_Toc312677987"/>
      <w:bookmarkStart w:id="90" w:name="_Toc304295522"/>
      <w:bookmarkStart w:id="91" w:name="_Toc300934944"/>
      <w:bookmarkStart w:id="92" w:name="_Toc318581156"/>
      <w:r>
        <w:rPr>
          <w:rFonts w:hint="eastAsia" w:ascii="黑体" w:hAnsi="黑体" w:eastAsia="黑体" w:cs="黑体"/>
          <w:color w:val="auto"/>
          <w:sz w:val="24"/>
          <w:szCs w:val="24"/>
          <w:highlight w:val="none"/>
        </w:rPr>
        <w:t>.10.3 场内交通</w:t>
      </w:r>
    </w:p>
    <w:p w14:paraId="763D840A">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关于场外交通和场内交通的边界的约定：</w:t>
      </w:r>
      <w:r>
        <w:rPr>
          <w:rFonts w:hint="eastAsia" w:ascii="黑体" w:hAnsi="黑体" w:eastAsia="黑体" w:cs="黑体"/>
          <w:color w:val="auto"/>
          <w:kern w:val="0"/>
          <w:sz w:val="24"/>
          <w:szCs w:val="24"/>
          <w:highlight w:val="none"/>
          <w:u w:val="single"/>
          <w:lang w:val="en-US" w:eastAsia="zh-CN"/>
        </w:rPr>
        <w:t>本项目施工现场</w:t>
      </w:r>
      <w:r>
        <w:rPr>
          <w:rFonts w:hint="eastAsia" w:ascii="黑体" w:hAnsi="黑体" w:eastAsia="黑体" w:cs="黑体"/>
          <w:color w:val="auto"/>
          <w:sz w:val="24"/>
          <w:szCs w:val="24"/>
          <w:highlight w:val="none"/>
        </w:rPr>
        <w:t>。</w:t>
      </w:r>
    </w:p>
    <w:p w14:paraId="7A977A1C">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关于发包人向承包人免费提供满足工程施工需要的场内道路和交通设施的约定：</w:t>
      </w:r>
      <w:r>
        <w:rPr>
          <w:rFonts w:hint="eastAsia" w:ascii="黑体" w:hAnsi="黑体" w:eastAsia="黑体" w:cs="黑体"/>
          <w:color w:val="auto"/>
          <w:sz w:val="24"/>
          <w:szCs w:val="24"/>
          <w:highlight w:val="none"/>
          <w:u w:val="single"/>
        </w:rPr>
        <w:t></w:t>
      </w:r>
      <w:r>
        <w:rPr>
          <w:rFonts w:hint="eastAsia" w:ascii="黑体" w:hAnsi="黑体" w:eastAsia="黑体" w:cs="黑体"/>
          <w:color w:val="auto"/>
          <w:sz w:val="24"/>
          <w:szCs w:val="24"/>
          <w:highlight w:val="none"/>
        </w:rPr>
        <w:t>。</w:t>
      </w:r>
      <w:bookmarkEnd w:id="88"/>
      <w:bookmarkEnd w:id="89"/>
      <w:bookmarkEnd w:id="90"/>
      <w:bookmarkEnd w:id="91"/>
      <w:bookmarkEnd w:id="92"/>
      <w:r>
        <w:rPr>
          <w:rFonts w:hint="eastAsia" w:ascii="黑体" w:hAnsi="黑体" w:eastAsia="黑体" w:cs="黑体"/>
          <w:color w:val="auto"/>
          <w:sz w:val="24"/>
          <w:szCs w:val="24"/>
          <w:highlight w:val="none"/>
        </w:rPr>
        <w:t xml:space="preserve">  </w:t>
      </w:r>
      <w:bookmarkStart w:id="93" w:name="_Toc318581157"/>
    </w:p>
    <w:p w14:paraId="14974947">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1.10.4超大件和超重件的运输</w:t>
      </w:r>
    </w:p>
    <w:p w14:paraId="72F42A04">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运输超大件或超重件所需的道路和桥梁临时加固改造费用和其他有关费用由</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val="en-US" w:eastAsia="zh-CN"/>
        </w:rPr>
        <w:t>/</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承担。</w:t>
      </w:r>
    </w:p>
    <w:bookmarkEnd w:id="93"/>
    <w:p w14:paraId="5BD51ABF">
      <w:pPr>
        <w:pStyle w:val="19"/>
        <w:spacing w:before="120" w:after="120" w:line="360" w:lineRule="auto"/>
        <w:ind w:firstLine="480" w:firstLineChars="200"/>
        <w:rPr>
          <w:rFonts w:hint="eastAsia" w:ascii="黑体" w:hAnsi="黑体" w:eastAsia="黑体" w:cs="黑体"/>
          <w:b w:val="0"/>
          <w:color w:val="auto"/>
          <w:sz w:val="24"/>
          <w:szCs w:val="24"/>
          <w:highlight w:val="none"/>
        </w:rPr>
      </w:pPr>
      <w:r>
        <w:rPr>
          <w:rFonts w:hint="eastAsia" w:ascii="黑体" w:hAnsi="黑体" w:eastAsia="黑体" w:cs="黑体"/>
          <w:b w:val="0"/>
          <w:color w:val="auto"/>
          <w:sz w:val="24"/>
          <w:szCs w:val="24"/>
          <w:highlight w:val="none"/>
        </w:rPr>
        <w:t>1.11 知识产权</w:t>
      </w:r>
    </w:p>
    <w:p w14:paraId="77457531">
      <w:pPr>
        <w:pStyle w:val="18"/>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1.11.1关于发包人提供给承包人的图纸、发包人为实施工程自行编制或委托编制的技术规范以及反映发包人关于合同要求或其他类似性质的文件的著作权的归属：</w:t>
      </w:r>
      <w:r>
        <w:rPr>
          <w:rFonts w:hint="eastAsia" w:ascii="黑体" w:hAnsi="黑体" w:eastAsia="黑体" w:cs="黑体"/>
          <w:color w:val="auto"/>
          <w:sz w:val="24"/>
          <w:szCs w:val="24"/>
          <w:highlight w:val="none"/>
          <w:u w:val="single"/>
        </w:rPr>
        <w:t xml:space="preserve">执行通用条款    </w:t>
      </w:r>
      <w:r>
        <w:rPr>
          <w:rFonts w:hint="eastAsia" w:ascii="黑体" w:hAnsi="黑体" w:eastAsia="黑体" w:cs="黑体"/>
          <w:color w:val="auto"/>
          <w:sz w:val="24"/>
          <w:szCs w:val="24"/>
          <w:highlight w:val="none"/>
        </w:rPr>
        <w:t>。</w:t>
      </w:r>
    </w:p>
    <w:p w14:paraId="20604F72">
      <w:pPr>
        <w:pStyle w:val="18"/>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关于发包人提供的上述文件的使用限制的要求：</w:t>
      </w:r>
      <w:r>
        <w:rPr>
          <w:rFonts w:hint="eastAsia" w:ascii="黑体" w:hAnsi="黑体" w:eastAsia="黑体" w:cs="黑体"/>
          <w:color w:val="auto"/>
          <w:sz w:val="24"/>
          <w:szCs w:val="24"/>
          <w:highlight w:val="none"/>
          <w:u w:val="single"/>
        </w:rPr>
        <w:t xml:space="preserve">  执行通用条款   </w:t>
      </w:r>
      <w:r>
        <w:rPr>
          <w:rFonts w:hint="eastAsia" w:ascii="黑体" w:hAnsi="黑体" w:eastAsia="黑体" w:cs="黑体"/>
          <w:color w:val="auto"/>
          <w:sz w:val="24"/>
          <w:szCs w:val="24"/>
          <w:highlight w:val="none"/>
        </w:rPr>
        <w:t>。</w:t>
      </w:r>
    </w:p>
    <w:p w14:paraId="272B4FCC">
      <w:pPr>
        <w:pStyle w:val="18"/>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1.11.2 关于承包人为实施工程所编制文件的著作权的归属：</w:t>
      </w:r>
      <w:r>
        <w:rPr>
          <w:rFonts w:hint="eastAsia" w:ascii="黑体" w:hAnsi="黑体" w:eastAsia="黑体" w:cs="黑体"/>
          <w:color w:val="auto"/>
          <w:sz w:val="24"/>
          <w:szCs w:val="24"/>
          <w:highlight w:val="none"/>
          <w:u w:val="single"/>
        </w:rPr>
        <w:t xml:space="preserve"> 执行通用条款</w:t>
      </w:r>
      <w:r>
        <w:rPr>
          <w:rFonts w:hint="eastAsia" w:ascii="黑体" w:hAnsi="黑体" w:eastAsia="黑体" w:cs="黑体"/>
          <w:color w:val="auto"/>
          <w:sz w:val="24"/>
          <w:szCs w:val="24"/>
          <w:highlight w:val="none"/>
        </w:rPr>
        <w:t>。</w:t>
      </w:r>
    </w:p>
    <w:p w14:paraId="0C8F01D8">
      <w:pPr>
        <w:pStyle w:val="18"/>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关于承包人提供的上述文件的使用限制的要求：</w:t>
      </w:r>
      <w:r>
        <w:rPr>
          <w:rFonts w:hint="eastAsia" w:ascii="黑体" w:hAnsi="黑体" w:eastAsia="黑体" w:cs="黑体"/>
          <w:color w:val="auto"/>
          <w:sz w:val="24"/>
          <w:szCs w:val="24"/>
          <w:highlight w:val="none"/>
          <w:u w:val="single"/>
        </w:rPr>
        <w:t xml:space="preserve">执行通用条款     </w:t>
      </w:r>
      <w:r>
        <w:rPr>
          <w:rFonts w:hint="eastAsia" w:ascii="黑体" w:hAnsi="黑体" w:eastAsia="黑体" w:cs="黑体"/>
          <w:color w:val="auto"/>
          <w:sz w:val="24"/>
          <w:szCs w:val="24"/>
          <w:highlight w:val="none"/>
        </w:rPr>
        <w:t>。</w:t>
      </w:r>
    </w:p>
    <w:p w14:paraId="2C9371AE">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sz w:val="24"/>
          <w:szCs w:val="24"/>
          <w:highlight w:val="none"/>
        </w:rPr>
        <w:t>1.11.4 承包人在施工过程中所采用的专利、专有技术、技术秘密的使用费的承担方式：</w:t>
      </w:r>
      <w:r>
        <w:rPr>
          <w:rFonts w:hint="eastAsia" w:ascii="黑体" w:hAnsi="黑体" w:eastAsia="黑体" w:cs="黑体"/>
          <w:color w:val="auto"/>
          <w:sz w:val="24"/>
          <w:szCs w:val="24"/>
          <w:highlight w:val="none"/>
          <w:u w:val="single"/>
        </w:rPr>
        <w:t xml:space="preserve">执行通用条款   </w:t>
      </w:r>
      <w:r>
        <w:rPr>
          <w:rFonts w:hint="eastAsia" w:ascii="黑体" w:hAnsi="黑体" w:eastAsia="黑体" w:cs="黑体"/>
          <w:color w:val="auto"/>
          <w:kern w:val="0"/>
          <w:sz w:val="24"/>
          <w:szCs w:val="24"/>
          <w:highlight w:val="none"/>
        </w:rPr>
        <w:t>。</w:t>
      </w:r>
    </w:p>
    <w:p w14:paraId="484B9A04">
      <w:pPr>
        <w:pStyle w:val="19"/>
        <w:spacing w:before="120" w:after="120" w:line="360" w:lineRule="auto"/>
        <w:ind w:firstLine="480" w:firstLineChars="200"/>
        <w:rPr>
          <w:rFonts w:hint="eastAsia" w:ascii="黑体" w:hAnsi="黑体" w:eastAsia="黑体" w:cs="黑体"/>
          <w:b w:val="0"/>
          <w:color w:val="auto"/>
          <w:sz w:val="24"/>
          <w:szCs w:val="24"/>
          <w:highlight w:val="none"/>
        </w:rPr>
      </w:pPr>
      <w:r>
        <w:rPr>
          <w:rFonts w:hint="eastAsia" w:ascii="黑体" w:hAnsi="黑体" w:eastAsia="黑体" w:cs="黑体"/>
          <w:b w:val="0"/>
          <w:color w:val="auto"/>
          <w:sz w:val="24"/>
          <w:szCs w:val="24"/>
          <w:highlight w:val="none"/>
        </w:rPr>
        <w:t>1.13工程量清单错误的修正</w:t>
      </w:r>
    </w:p>
    <w:p w14:paraId="566A93D1">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出现工程量清单错误时，是否调整合同价格：</w:t>
      </w:r>
      <w:r>
        <w:rPr>
          <w:rFonts w:hint="eastAsia" w:ascii="黑体" w:hAnsi="黑体" w:eastAsia="黑体" w:cs="黑体"/>
          <w:color w:val="auto"/>
          <w:sz w:val="24"/>
          <w:szCs w:val="24"/>
          <w:highlight w:val="none"/>
          <w:u w:val="single"/>
        </w:rPr>
        <w:t xml:space="preserve">   是  </w:t>
      </w:r>
      <w:r>
        <w:rPr>
          <w:rFonts w:hint="eastAsia" w:ascii="黑体" w:hAnsi="黑体" w:eastAsia="黑体" w:cs="黑体"/>
          <w:color w:val="auto"/>
          <w:kern w:val="0"/>
          <w:sz w:val="24"/>
          <w:szCs w:val="24"/>
          <w:highlight w:val="none"/>
        </w:rPr>
        <w:t>。</w:t>
      </w:r>
    </w:p>
    <w:p w14:paraId="055C63D0">
      <w:pPr>
        <w:pStyle w:val="18"/>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允许调整合同价格的工程量偏差范围：</w:t>
      </w:r>
      <w:r>
        <w:rPr>
          <w:rFonts w:hint="eastAsia" w:ascii="黑体" w:hAnsi="黑体" w:eastAsia="黑体" w:cs="黑体"/>
          <w:color w:val="auto"/>
          <w:sz w:val="24"/>
          <w:szCs w:val="24"/>
          <w:highlight w:val="none"/>
          <w:u w:val="single"/>
        </w:rPr>
        <w:t xml:space="preserve">  ±3    </w:t>
      </w:r>
      <w:r>
        <w:rPr>
          <w:rFonts w:hint="eastAsia" w:ascii="黑体" w:hAnsi="黑体" w:eastAsia="黑体" w:cs="黑体"/>
          <w:color w:val="auto"/>
          <w:kern w:val="0"/>
          <w:sz w:val="24"/>
          <w:szCs w:val="24"/>
          <w:highlight w:val="none"/>
        </w:rPr>
        <w:t>。</w:t>
      </w:r>
    </w:p>
    <w:p w14:paraId="78766DF9">
      <w:pPr>
        <w:pStyle w:val="18"/>
        <w:outlineLvl w:val="2"/>
        <w:rPr>
          <w:rFonts w:hint="eastAsia" w:ascii="黑体" w:hAnsi="黑体" w:eastAsia="黑体" w:cs="黑体"/>
          <w:b/>
          <w:color w:val="auto"/>
          <w:sz w:val="24"/>
          <w:szCs w:val="24"/>
          <w:highlight w:val="none"/>
        </w:rPr>
      </w:pPr>
      <w:bookmarkStart w:id="94" w:name="_Toc351203634"/>
      <w:bookmarkStart w:id="95" w:name="_Toc3214"/>
      <w:bookmarkStart w:id="96" w:name="_Toc256000056"/>
      <w:r>
        <w:rPr>
          <w:rFonts w:hint="eastAsia" w:ascii="黑体" w:hAnsi="黑体" w:eastAsia="黑体" w:cs="黑体"/>
          <w:b/>
          <w:color w:val="auto"/>
          <w:sz w:val="24"/>
          <w:szCs w:val="24"/>
          <w:highlight w:val="none"/>
        </w:rPr>
        <w:t>2</w:t>
      </w:r>
      <w:bookmarkStart w:id="97" w:name="_Toc296346658"/>
      <w:bookmarkStart w:id="98" w:name="_Toc296891197"/>
      <w:bookmarkStart w:id="99" w:name="_Toc297048343"/>
      <w:bookmarkStart w:id="100" w:name="_Toc292559362"/>
      <w:bookmarkStart w:id="101" w:name="_Toc296347156"/>
      <w:bookmarkStart w:id="102" w:name="_Toc297120457"/>
      <w:bookmarkStart w:id="103" w:name="_Toc292559867"/>
      <w:bookmarkStart w:id="104" w:name="_Toc296503157"/>
      <w:bookmarkStart w:id="105" w:name="_Toc296944496"/>
      <w:bookmarkStart w:id="106" w:name="_Toc296890985"/>
      <w:r>
        <w:rPr>
          <w:rFonts w:hint="eastAsia" w:ascii="黑体" w:hAnsi="黑体" w:eastAsia="黑体" w:cs="黑体"/>
          <w:b/>
          <w:color w:val="auto"/>
          <w:sz w:val="24"/>
          <w:szCs w:val="24"/>
          <w:highlight w:val="none"/>
        </w:rPr>
        <w:t>. 发包人</w:t>
      </w:r>
      <w:bookmarkEnd w:id="94"/>
      <w:bookmarkEnd w:id="95"/>
      <w:bookmarkEnd w:id="96"/>
    </w:p>
    <w:bookmarkEnd w:id="97"/>
    <w:bookmarkEnd w:id="98"/>
    <w:bookmarkEnd w:id="99"/>
    <w:bookmarkEnd w:id="100"/>
    <w:bookmarkEnd w:id="101"/>
    <w:bookmarkEnd w:id="102"/>
    <w:bookmarkEnd w:id="103"/>
    <w:bookmarkEnd w:id="104"/>
    <w:bookmarkEnd w:id="105"/>
    <w:bookmarkEnd w:id="106"/>
    <w:p w14:paraId="194DC1A4">
      <w:pPr>
        <w:pStyle w:val="19"/>
        <w:spacing w:before="120" w:after="120" w:line="360" w:lineRule="auto"/>
        <w:ind w:firstLine="480" w:firstLineChars="200"/>
        <w:rPr>
          <w:rFonts w:hint="eastAsia" w:ascii="黑体" w:hAnsi="黑体" w:eastAsia="黑体" w:cs="黑体"/>
          <w:b w:val="0"/>
          <w:color w:val="auto"/>
          <w:sz w:val="24"/>
          <w:szCs w:val="24"/>
          <w:highlight w:val="none"/>
        </w:rPr>
      </w:pPr>
      <w:r>
        <w:rPr>
          <w:rFonts w:hint="eastAsia" w:ascii="黑体" w:hAnsi="黑体" w:eastAsia="黑体" w:cs="黑体"/>
          <w:b w:val="0"/>
          <w:color w:val="auto"/>
          <w:sz w:val="24"/>
          <w:szCs w:val="24"/>
          <w:highlight w:val="none"/>
        </w:rPr>
        <w:t>2.2 发包人代表</w:t>
      </w:r>
    </w:p>
    <w:p w14:paraId="713B5034">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发包人代表：</w:t>
      </w:r>
    </w:p>
    <w:p w14:paraId="78B453E3">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姓    名：</w:t>
      </w:r>
      <w:r>
        <w:rPr>
          <w:rFonts w:hint="eastAsia" w:ascii="黑体" w:hAnsi="黑体" w:eastAsia="黑体" w:cs="黑体"/>
          <w:color w:val="auto"/>
          <w:sz w:val="24"/>
          <w:szCs w:val="24"/>
          <w:highlight w:val="none"/>
          <w:u w:val="single"/>
        </w:rPr>
        <w:t>     </w:t>
      </w:r>
      <w:r>
        <w:rPr>
          <w:rFonts w:hint="eastAsia" w:ascii="黑体" w:hAnsi="黑体" w:eastAsia="黑体" w:cs="黑体"/>
          <w:color w:val="auto"/>
          <w:sz w:val="24"/>
          <w:szCs w:val="24"/>
          <w:highlight w:val="none"/>
        </w:rPr>
        <w:t>；</w:t>
      </w:r>
    </w:p>
    <w:p w14:paraId="323B5EE9">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身份证号：</w:t>
      </w:r>
      <w:r>
        <w:rPr>
          <w:rFonts w:hint="eastAsia" w:ascii="黑体" w:hAnsi="黑体" w:eastAsia="黑体" w:cs="黑体"/>
          <w:color w:val="auto"/>
          <w:sz w:val="24"/>
          <w:szCs w:val="24"/>
          <w:highlight w:val="none"/>
          <w:u w:val="single"/>
        </w:rPr>
        <w:t>      </w:t>
      </w:r>
      <w:r>
        <w:rPr>
          <w:rFonts w:hint="eastAsia" w:ascii="黑体" w:hAnsi="黑体" w:eastAsia="黑体" w:cs="黑体"/>
          <w:color w:val="auto"/>
          <w:sz w:val="24"/>
          <w:szCs w:val="24"/>
          <w:highlight w:val="none"/>
        </w:rPr>
        <w:t>；</w:t>
      </w:r>
    </w:p>
    <w:p w14:paraId="3C8A2C3D">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职    务：</w:t>
      </w:r>
      <w:r>
        <w:rPr>
          <w:rFonts w:hint="eastAsia" w:ascii="黑体" w:hAnsi="黑体" w:eastAsia="黑体" w:cs="黑体"/>
          <w:color w:val="auto"/>
          <w:sz w:val="24"/>
          <w:szCs w:val="24"/>
          <w:highlight w:val="none"/>
          <w:u w:val="single"/>
        </w:rPr>
        <w:t>    </w:t>
      </w:r>
      <w:r>
        <w:rPr>
          <w:rFonts w:hint="eastAsia" w:ascii="黑体" w:hAnsi="黑体" w:eastAsia="黑体" w:cs="黑体"/>
          <w:color w:val="auto"/>
          <w:sz w:val="24"/>
          <w:szCs w:val="24"/>
          <w:highlight w:val="none"/>
        </w:rPr>
        <w:t>；</w:t>
      </w:r>
    </w:p>
    <w:p w14:paraId="7D07F852">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联系电话：</w:t>
      </w:r>
      <w:r>
        <w:rPr>
          <w:rFonts w:hint="eastAsia" w:ascii="黑体" w:hAnsi="黑体" w:eastAsia="黑体" w:cs="黑体"/>
          <w:color w:val="auto"/>
          <w:sz w:val="24"/>
          <w:szCs w:val="24"/>
          <w:highlight w:val="none"/>
          <w:u w:val="single"/>
        </w:rPr>
        <w:t>     </w:t>
      </w:r>
      <w:r>
        <w:rPr>
          <w:rFonts w:hint="eastAsia" w:ascii="黑体" w:hAnsi="黑体" w:eastAsia="黑体" w:cs="黑体"/>
          <w:color w:val="auto"/>
          <w:sz w:val="24"/>
          <w:szCs w:val="24"/>
          <w:highlight w:val="none"/>
        </w:rPr>
        <w:t>；</w:t>
      </w:r>
    </w:p>
    <w:p w14:paraId="7394678B">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电子信箱：</w:t>
      </w:r>
      <w:r>
        <w:rPr>
          <w:rFonts w:hint="eastAsia" w:ascii="黑体" w:hAnsi="黑体" w:eastAsia="黑体" w:cs="黑体"/>
          <w:color w:val="auto"/>
          <w:sz w:val="24"/>
          <w:szCs w:val="24"/>
          <w:highlight w:val="none"/>
          <w:u w:val="single"/>
        </w:rPr>
        <w:t>     </w:t>
      </w:r>
      <w:r>
        <w:rPr>
          <w:rFonts w:hint="eastAsia" w:ascii="黑体" w:hAnsi="黑体" w:eastAsia="黑体" w:cs="黑体"/>
          <w:color w:val="auto"/>
          <w:sz w:val="24"/>
          <w:szCs w:val="24"/>
          <w:highlight w:val="none"/>
        </w:rPr>
        <w:t>；</w:t>
      </w:r>
    </w:p>
    <w:p w14:paraId="36593579">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通信地址：</w:t>
      </w:r>
      <w:r>
        <w:rPr>
          <w:rFonts w:hint="eastAsia" w:ascii="黑体" w:hAnsi="黑体" w:eastAsia="黑体" w:cs="黑体"/>
          <w:color w:val="auto"/>
          <w:sz w:val="24"/>
          <w:szCs w:val="24"/>
          <w:highlight w:val="none"/>
          <w:u w:val="single"/>
        </w:rPr>
        <w:t>    </w:t>
      </w:r>
      <w:r>
        <w:rPr>
          <w:rFonts w:hint="eastAsia" w:ascii="黑体" w:hAnsi="黑体" w:eastAsia="黑体" w:cs="黑体"/>
          <w:color w:val="auto"/>
          <w:sz w:val="24"/>
          <w:szCs w:val="24"/>
          <w:highlight w:val="none"/>
        </w:rPr>
        <w:t>。</w:t>
      </w:r>
    </w:p>
    <w:p w14:paraId="78AACCA3">
      <w:pPr>
        <w:pStyle w:val="18"/>
        <w:spacing w:line="360" w:lineRule="auto"/>
        <w:rPr>
          <w:rFonts w:hint="eastAsia" w:ascii="黑体" w:hAnsi="黑体" w:eastAsia="黑体" w:cs="黑体"/>
          <w:b/>
          <w:color w:val="auto"/>
          <w:sz w:val="24"/>
          <w:szCs w:val="24"/>
          <w:highlight w:val="none"/>
        </w:rPr>
      </w:pPr>
      <w:r>
        <w:rPr>
          <w:rFonts w:hint="eastAsia" w:ascii="黑体" w:hAnsi="黑体" w:eastAsia="黑体" w:cs="黑体"/>
          <w:color w:val="auto"/>
          <w:sz w:val="24"/>
          <w:szCs w:val="24"/>
          <w:highlight w:val="none"/>
        </w:rPr>
        <w:t>发包人对发包人代表的授权范围如下：</w:t>
      </w:r>
      <w:r>
        <w:rPr>
          <w:rFonts w:hint="eastAsia" w:ascii="黑体" w:hAnsi="黑体" w:eastAsia="黑体" w:cs="黑体"/>
          <w:color w:val="auto"/>
          <w:sz w:val="24"/>
          <w:szCs w:val="24"/>
          <w:highlight w:val="none"/>
          <w:u w:val="single"/>
        </w:rPr>
        <w:t></w:t>
      </w:r>
      <w:r>
        <w:rPr>
          <w:rFonts w:hint="eastAsia" w:ascii="黑体" w:hAnsi="黑体" w:eastAsia="黑体" w:cs="黑体"/>
          <w:color w:val="auto"/>
          <w:sz w:val="24"/>
          <w:szCs w:val="24"/>
          <w:highlight w:val="none"/>
          <w:u w:val="single"/>
          <w:lang w:val="en-US" w:eastAsia="zh-CN"/>
        </w:rPr>
        <w:t>督促指导监理工程师行使职权、协调施工现场各方面的关系、协调工程质量、进度和安全文明施工中存在的问题，解决有关设计和技术签证，办理现场经济技术签证</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3248D83E">
      <w:pPr>
        <w:pStyle w:val="19"/>
        <w:spacing w:before="120" w:after="120" w:line="360" w:lineRule="auto"/>
        <w:ind w:firstLine="480" w:firstLineChars="200"/>
        <w:rPr>
          <w:rFonts w:hint="eastAsia" w:ascii="黑体" w:hAnsi="黑体" w:eastAsia="黑体" w:cs="黑体"/>
          <w:b w:val="0"/>
          <w:color w:val="auto"/>
          <w:sz w:val="24"/>
          <w:szCs w:val="24"/>
          <w:highlight w:val="none"/>
        </w:rPr>
      </w:pPr>
      <w:r>
        <w:rPr>
          <w:rFonts w:hint="eastAsia" w:ascii="黑体" w:hAnsi="黑体" w:eastAsia="黑体" w:cs="黑体"/>
          <w:b w:val="0"/>
          <w:color w:val="auto"/>
          <w:sz w:val="24"/>
          <w:szCs w:val="24"/>
          <w:highlight w:val="none"/>
        </w:rPr>
        <w:t>2.4 施工现场、施工条件和基础资料的提供</w:t>
      </w:r>
    </w:p>
    <w:p w14:paraId="14E140E3">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2.4.1 提供施工现场</w:t>
      </w:r>
    </w:p>
    <w:p w14:paraId="3C82653D">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关于发包人移交施工现场的期限要求：</w:t>
      </w:r>
      <w:r>
        <w:rPr>
          <w:rFonts w:hint="eastAsia" w:ascii="黑体" w:hAnsi="黑体" w:eastAsia="黑体" w:cs="黑体"/>
          <w:color w:val="auto"/>
          <w:sz w:val="24"/>
          <w:szCs w:val="24"/>
          <w:highlight w:val="none"/>
          <w:u w:val="single"/>
        </w:rPr>
        <w:t></w:t>
      </w:r>
      <w:r>
        <w:rPr>
          <w:rFonts w:hint="eastAsia" w:ascii="黑体" w:hAnsi="黑体" w:eastAsia="黑体" w:cs="黑体"/>
          <w:color w:val="auto"/>
          <w:sz w:val="24"/>
          <w:szCs w:val="24"/>
          <w:highlight w:val="none"/>
          <w:u w:val="single"/>
          <w:lang w:val="en-US" w:eastAsia="zh-CN"/>
        </w:rPr>
        <w:t>发包人在开工前三日内完成“通用条款”规定的义务</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565A96F0">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2.4.2 提供施工条件</w:t>
      </w:r>
    </w:p>
    <w:p w14:paraId="77D3CE86">
      <w:pPr>
        <w:pStyle w:val="18"/>
        <w:spacing w:line="360" w:lineRule="auto"/>
        <w:ind w:firstLine="480" w:firstLineChars="200"/>
        <w:rPr>
          <w:rFonts w:hint="eastAsia" w:ascii="黑体" w:hAnsi="黑体" w:eastAsia="黑体" w:cs="黑体"/>
          <w:color w:val="auto"/>
          <w:sz w:val="24"/>
          <w:szCs w:val="24"/>
          <w:highlight w:val="none"/>
          <w:u w:val="single"/>
        </w:rPr>
      </w:pPr>
      <w:r>
        <w:rPr>
          <w:rFonts w:hint="eastAsia" w:ascii="黑体" w:hAnsi="黑体" w:eastAsia="黑体" w:cs="黑体"/>
          <w:color w:val="auto"/>
          <w:sz w:val="24"/>
          <w:szCs w:val="24"/>
          <w:highlight w:val="none"/>
        </w:rPr>
        <w:t>关于发包人应负责提供施工所需要的条件，包括：</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val="en-US" w:eastAsia="zh-CN"/>
        </w:rPr>
        <w:t>执行通用条款</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726944C4">
      <w:pPr>
        <w:pStyle w:val="19"/>
        <w:spacing w:before="120" w:after="120" w:line="360" w:lineRule="auto"/>
        <w:ind w:firstLine="480" w:firstLineChars="200"/>
        <w:rPr>
          <w:rFonts w:hint="eastAsia" w:ascii="黑体" w:hAnsi="黑体" w:eastAsia="黑体" w:cs="黑体"/>
          <w:b w:val="0"/>
          <w:color w:val="auto"/>
          <w:sz w:val="24"/>
          <w:szCs w:val="24"/>
          <w:highlight w:val="none"/>
        </w:rPr>
      </w:pPr>
      <w:r>
        <w:rPr>
          <w:rFonts w:hint="eastAsia" w:ascii="黑体" w:hAnsi="黑体" w:eastAsia="黑体" w:cs="黑体"/>
          <w:b w:val="0"/>
          <w:color w:val="auto"/>
          <w:sz w:val="24"/>
          <w:szCs w:val="24"/>
          <w:highlight w:val="none"/>
        </w:rPr>
        <w:t>2.5 资金来源证明及支付担保</w:t>
      </w:r>
    </w:p>
    <w:p w14:paraId="286310C2">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发包人提供资金来源证明的期限要求：</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12A4C38E">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发包人是否提供支付担保：</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4A59E06D">
      <w:pPr>
        <w:pStyle w:val="18"/>
        <w:spacing w:line="360" w:lineRule="auto"/>
        <w:ind w:firstLine="480" w:firstLineChars="200"/>
        <w:rPr>
          <w:rFonts w:hint="eastAsia" w:ascii="黑体" w:hAnsi="黑体" w:eastAsia="黑体" w:cs="黑体"/>
          <w:color w:val="auto"/>
          <w:sz w:val="24"/>
          <w:szCs w:val="24"/>
          <w:highlight w:val="none"/>
          <w:u w:val="single"/>
        </w:rPr>
      </w:pPr>
      <w:r>
        <w:rPr>
          <w:rFonts w:hint="eastAsia" w:ascii="黑体" w:hAnsi="黑体" w:eastAsia="黑体" w:cs="黑体"/>
          <w:color w:val="auto"/>
          <w:sz w:val="24"/>
          <w:szCs w:val="24"/>
          <w:highlight w:val="none"/>
        </w:rPr>
        <w:t>发包人提供支付担保的形式：</w:t>
      </w:r>
      <w:r>
        <w:rPr>
          <w:rFonts w:hint="eastAsia" w:ascii="黑体" w:hAnsi="黑体" w:eastAsia="黑体" w:cs="黑体"/>
          <w:color w:val="auto"/>
          <w:sz w:val="24"/>
          <w:szCs w:val="24"/>
          <w:highlight w:val="none"/>
          <w:u w:val="single"/>
        </w:rPr>
        <w:t>/ </w:t>
      </w:r>
      <w:r>
        <w:rPr>
          <w:rFonts w:hint="eastAsia" w:ascii="黑体" w:hAnsi="黑体" w:eastAsia="黑体" w:cs="黑体"/>
          <w:color w:val="auto"/>
          <w:sz w:val="24"/>
          <w:szCs w:val="24"/>
          <w:highlight w:val="none"/>
        </w:rPr>
        <w:t>。</w:t>
      </w:r>
    </w:p>
    <w:p w14:paraId="4684AF73">
      <w:pPr>
        <w:pStyle w:val="18"/>
        <w:outlineLvl w:val="2"/>
        <w:rPr>
          <w:rFonts w:hint="eastAsia" w:ascii="黑体" w:hAnsi="黑体" w:eastAsia="黑体" w:cs="黑体"/>
          <w:b/>
          <w:color w:val="auto"/>
          <w:sz w:val="24"/>
          <w:szCs w:val="24"/>
          <w:highlight w:val="none"/>
        </w:rPr>
      </w:pPr>
      <w:bookmarkStart w:id="107" w:name="_Toc256000057"/>
      <w:bookmarkStart w:id="108" w:name="_Toc351203635"/>
      <w:bookmarkStart w:id="109" w:name="_Toc18424"/>
      <w:r>
        <w:rPr>
          <w:rFonts w:hint="eastAsia" w:ascii="黑体" w:hAnsi="黑体" w:eastAsia="黑体" w:cs="黑体"/>
          <w:b/>
          <w:color w:val="auto"/>
          <w:sz w:val="24"/>
          <w:szCs w:val="24"/>
          <w:highlight w:val="none"/>
        </w:rPr>
        <w:t>3</w:t>
      </w:r>
      <w:bookmarkStart w:id="110" w:name="_Toc292559868"/>
      <w:bookmarkStart w:id="111" w:name="_Toc297120458"/>
      <w:bookmarkStart w:id="112" w:name="_Toc292559363"/>
      <w:bookmarkStart w:id="113" w:name="_Toc296890986"/>
      <w:bookmarkStart w:id="114" w:name="_Toc297048344"/>
      <w:bookmarkStart w:id="115" w:name="_Toc296503158"/>
      <w:bookmarkStart w:id="116" w:name="_Toc296891198"/>
      <w:bookmarkStart w:id="117" w:name="_Toc296347157"/>
      <w:bookmarkStart w:id="118" w:name="_Toc296944497"/>
      <w:bookmarkStart w:id="119" w:name="_Toc296346659"/>
      <w:r>
        <w:rPr>
          <w:rFonts w:hint="eastAsia" w:ascii="黑体" w:hAnsi="黑体" w:eastAsia="黑体" w:cs="黑体"/>
          <w:b/>
          <w:color w:val="auto"/>
          <w:sz w:val="24"/>
          <w:szCs w:val="24"/>
          <w:highlight w:val="none"/>
        </w:rPr>
        <w:t>. 承包人</w:t>
      </w:r>
      <w:bookmarkEnd w:id="107"/>
      <w:bookmarkEnd w:id="108"/>
      <w:bookmarkEnd w:id="109"/>
    </w:p>
    <w:bookmarkEnd w:id="110"/>
    <w:bookmarkEnd w:id="111"/>
    <w:bookmarkEnd w:id="112"/>
    <w:bookmarkEnd w:id="113"/>
    <w:bookmarkEnd w:id="114"/>
    <w:bookmarkEnd w:id="115"/>
    <w:bookmarkEnd w:id="116"/>
    <w:bookmarkEnd w:id="117"/>
    <w:bookmarkEnd w:id="118"/>
    <w:bookmarkEnd w:id="119"/>
    <w:p w14:paraId="6DB3A8FF">
      <w:pPr>
        <w:pStyle w:val="19"/>
        <w:spacing w:before="120" w:after="120" w:line="360" w:lineRule="auto"/>
        <w:ind w:firstLine="480" w:firstLineChars="200"/>
        <w:rPr>
          <w:rFonts w:hint="eastAsia" w:ascii="黑体" w:hAnsi="黑体" w:eastAsia="黑体" w:cs="黑体"/>
          <w:b w:val="0"/>
          <w:color w:val="auto"/>
          <w:sz w:val="24"/>
          <w:szCs w:val="24"/>
          <w:highlight w:val="none"/>
        </w:rPr>
      </w:pPr>
      <w:r>
        <w:rPr>
          <w:rFonts w:hint="eastAsia" w:ascii="黑体" w:hAnsi="黑体" w:eastAsia="黑体" w:cs="黑体"/>
          <w:b w:val="0"/>
          <w:color w:val="auto"/>
          <w:sz w:val="24"/>
          <w:szCs w:val="24"/>
          <w:highlight w:val="none"/>
        </w:rPr>
        <w:t>3.1 承包人的一般义务</w:t>
      </w:r>
    </w:p>
    <w:p w14:paraId="35EA444F">
      <w:pPr>
        <w:pStyle w:val="18"/>
        <w:spacing w:line="360" w:lineRule="auto"/>
        <w:jc w:val="left"/>
        <w:rPr>
          <w:rFonts w:hint="eastAsia" w:ascii="黑体" w:hAnsi="黑体" w:eastAsia="黑体" w:cs="黑体"/>
          <w:color w:val="auto"/>
          <w:sz w:val="24"/>
          <w:szCs w:val="24"/>
          <w:highlight w:val="none"/>
        </w:rPr>
      </w:pPr>
      <w:r>
        <w:rPr>
          <w:rFonts w:hint="eastAsia" w:ascii="黑体" w:hAnsi="黑体" w:eastAsia="黑体" w:cs="黑体"/>
          <w:color w:val="auto"/>
          <w:kern w:val="0"/>
          <w:sz w:val="24"/>
          <w:szCs w:val="24"/>
          <w:highlight w:val="none"/>
        </w:rPr>
        <w:t>（9）</w:t>
      </w:r>
      <w:r>
        <w:rPr>
          <w:rFonts w:hint="eastAsia" w:ascii="黑体" w:hAnsi="黑体" w:eastAsia="黑体" w:cs="黑体"/>
          <w:color w:val="auto"/>
          <w:sz w:val="24"/>
          <w:szCs w:val="24"/>
          <w:highlight w:val="none"/>
        </w:rPr>
        <w:t>承包人提交的竣工资料的内容：</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val="en-US" w:eastAsia="zh-CN"/>
        </w:rPr>
        <w:t>竣工图及资料</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70503A77">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承包人需要提交的竣工资料套数：</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eastAsia="zh-CN"/>
        </w:rPr>
        <w:t>两</w:t>
      </w:r>
      <w:r>
        <w:rPr>
          <w:rFonts w:hint="eastAsia" w:ascii="黑体" w:hAnsi="黑体" w:eastAsia="黑体" w:cs="黑体"/>
          <w:color w:val="auto"/>
          <w:sz w:val="24"/>
          <w:szCs w:val="24"/>
          <w:highlight w:val="none"/>
          <w:u w:val="single"/>
        </w:rPr>
        <w:t xml:space="preserve">套   </w:t>
      </w:r>
      <w:r>
        <w:rPr>
          <w:rFonts w:hint="eastAsia" w:ascii="黑体" w:hAnsi="黑体" w:eastAsia="黑体" w:cs="黑体"/>
          <w:color w:val="auto"/>
          <w:sz w:val="24"/>
          <w:szCs w:val="24"/>
          <w:highlight w:val="none"/>
        </w:rPr>
        <w:t>。</w:t>
      </w:r>
    </w:p>
    <w:p w14:paraId="0136A72A">
      <w:pPr>
        <w:pStyle w:val="18"/>
        <w:spacing w:line="360" w:lineRule="auto"/>
        <w:ind w:left="638" w:leftChars="304"/>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承包人提交的竣工资料的费用承担：</w:t>
      </w:r>
      <w:r>
        <w:rPr>
          <w:rFonts w:hint="eastAsia" w:ascii="黑体" w:hAnsi="黑体" w:eastAsia="黑体" w:cs="黑体"/>
          <w:color w:val="auto"/>
          <w:sz w:val="24"/>
          <w:szCs w:val="24"/>
          <w:highlight w:val="none"/>
          <w:u w:val="single"/>
        </w:rPr>
        <w:t xml:space="preserve">     由承包人承担      </w:t>
      </w:r>
      <w:r>
        <w:rPr>
          <w:rFonts w:hint="eastAsia" w:ascii="黑体" w:hAnsi="黑体" w:eastAsia="黑体" w:cs="黑体"/>
          <w:color w:val="auto"/>
          <w:sz w:val="24"/>
          <w:szCs w:val="24"/>
          <w:highlight w:val="none"/>
        </w:rPr>
        <w:t>。</w:t>
      </w:r>
    </w:p>
    <w:p w14:paraId="48CB31BC">
      <w:pPr>
        <w:pStyle w:val="18"/>
        <w:spacing w:line="360" w:lineRule="auto"/>
        <w:ind w:left="638" w:leftChars="304"/>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承包人提交的竣工资料移交时间：</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val="en-US" w:eastAsia="zh-CN"/>
        </w:rPr>
        <w:t>工程竣工后壹个月内</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38CDCEDF">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承包人提交的竣工资料形式要求：</w:t>
      </w:r>
      <w:r>
        <w:rPr>
          <w:rFonts w:hint="eastAsia" w:ascii="黑体" w:hAnsi="黑体" w:eastAsia="黑体" w:cs="黑体"/>
          <w:color w:val="auto"/>
          <w:sz w:val="24"/>
          <w:szCs w:val="24"/>
          <w:highlight w:val="none"/>
          <w:u w:val="single"/>
        </w:rPr>
        <w:t xml:space="preserve">   书面        </w:t>
      </w:r>
      <w:r>
        <w:rPr>
          <w:rFonts w:hint="eastAsia" w:ascii="黑体" w:hAnsi="黑体" w:eastAsia="黑体" w:cs="黑体"/>
          <w:color w:val="auto"/>
          <w:sz w:val="24"/>
          <w:szCs w:val="24"/>
          <w:highlight w:val="none"/>
        </w:rPr>
        <w:t>。</w:t>
      </w:r>
    </w:p>
    <w:p w14:paraId="5920E4A4">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kern w:val="0"/>
          <w:sz w:val="24"/>
          <w:szCs w:val="24"/>
          <w:highlight w:val="none"/>
        </w:rPr>
        <w:t>（10）承包人应履行的其他义务：</w:t>
      </w:r>
      <w:r>
        <w:rPr>
          <w:rFonts w:hint="eastAsia" w:ascii="黑体" w:hAnsi="黑体" w:eastAsia="黑体" w:cs="黑体"/>
          <w:color w:val="auto"/>
          <w:sz w:val="24"/>
          <w:szCs w:val="24"/>
          <w:highlight w:val="none"/>
          <w:u w:val="single"/>
        </w:rPr>
        <w:t>双方</w:t>
      </w:r>
      <w:r>
        <w:rPr>
          <w:rFonts w:hint="eastAsia" w:ascii="黑体" w:hAnsi="黑体" w:eastAsia="黑体" w:cs="黑体"/>
          <w:color w:val="auto"/>
          <w:sz w:val="24"/>
          <w:szCs w:val="24"/>
          <w:highlight w:val="none"/>
          <w:u w:val="single"/>
          <w:lang w:eastAsia="zh-CN"/>
        </w:rPr>
        <w:t>协商确定</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303BA519">
      <w:pPr>
        <w:pStyle w:val="19"/>
        <w:spacing w:before="120" w:after="120" w:line="360" w:lineRule="auto"/>
        <w:ind w:firstLine="480" w:firstLineChars="200"/>
        <w:rPr>
          <w:rFonts w:hint="eastAsia" w:ascii="黑体" w:hAnsi="黑体" w:eastAsia="黑体" w:cs="黑体"/>
          <w:b w:val="0"/>
          <w:color w:val="auto"/>
          <w:sz w:val="24"/>
          <w:szCs w:val="24"/>
          <w:highlight w:val="none"/>
        </w:rPr>
      </w:pPr>
      <w:r>
        <w:rPr>
          <w:rFonts w:hint="eastAsia" w:ascii="黑体" w:hAnsi="黑体" w:eastAsia="黑体" w:cs="黑体"/>
          <w:b w:val="0"/>
          <w:color w:val="auto"/>
          <w:sz w:val="24"/>
          <w:szCs w:val="24"/>
          <w:highlight w:val="none"/>
        </w:rPr>
        <w:t>3.2 项目经理</w:t>
      </w:r>
    </w:p>
    <w:p w14:paraId="553DA4C1">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kern w:val="0"/>
          <w:sz w:val="24"/>
          <w:szCs w:val="24"/>
          <w:highlight w:val="none"/>
        </w:rPr>
        <w:t xml:space="preserve">3.2.1 </w:t>
      </w:r>
      <w:r>
        <w:rPr>
          <w:rFonts w:hint="eastAsia" w:ascii="黑体" w:hAnsi="黑体" w:eastAsia="黑体" w:cs="黑体"/>
          <w:color w:val="auto"/>
          <w:sz w:val="24"/>
          <w:szCs w:val="24"/>
          <w:highlight w:val="none"/>
        </w:rPr>
        <w:t>项目经理：</w:t>
      </w:r>
    </w:p>
    <w:p w14:paraId="268F9C57">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姓    名：</w:t>
      </w:r>
      <w:r>
        <w:rPr>
          <w:rFonts w:hint="eastAsia" w:ascii="黑体" w:hAnsi="黑体" w:eastAsia="黑体" w:cs="黑体"/>
          <w:color w:val="auto"/>
          <w:sz w:val="24"/>
          <w:szCs w:val="24"/>
          <w:highlight w:val="none"/>
          <w:u w:val="single"/>
        </w:rPr>
        <w:t>         </w:t>
      </w:r>
      <w:r>
        <w:rPr>
          <w:rFonts w:hint="eastAsia" w:ascii="黑体" w:hAnsi="黑体" w:eastAsia="黑体" w:cs="黑体"/>
          <w:color w:val="auto"/>
          <w:sz w:val="24"/>
          <w:szCs w:val="24"/>
          <w:highlight w:val="none"/>
        </w:rPr>
        <w:t>；</w:t>
      </w:r>
    </w:p>
    <w:p w14:paraId="15F1820E">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身份证号：</w:t>
      </w:r>
      <w:r>
        <w:rPr>
          <w:rFonts w:hint="eastAsia" w:ascii="黑体" w:hAnsi="黑体" w:eastAsia="黑体" w:cs="黑体"/>
          <w:color w:val="auto"/>
          <w:sz w:val="24"/>
          <w:szCs w:val="24"/>
          <w:highlight w:val="none"/>
          <w:u w:val="single"/>
        </w:rPr>
        <w:t>         </w:t>
      </w:r>
      <w:r>
        <w:rPr>
          <w:rFonts w:hint="eastAsia" w:ascii="黑体" w:hAnsi="黑体" w:eastAsia="黑体" w:cs="黑体"/>
          <w:color w:val="auto"/>
          <w:sz w:val="24"/>
          <w:szCs w:val="24"/>
          <w:highlight w:val="none"/>
        </w:rPr>
        <w:t>；</w:t>
      </w:r>
    </w:p>
    <w:p w14:paraId="4BDB373D">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建造师执业资格等级：</w:t>
      </w:r>
      <w:r>
        <w:rPr>
          <w:rFonts w:hint="eastAsia" w:ascii="黑体" w:hAnsi="黑体" w:eastAsia="黑体" w:cs="黑体"/>
          <w:color w:val="auto"/>
          <w:sz w:val="24"/>
          <w:szCs w:val="24"/>
          <w:highlight w:val="none"/>
          <w:u w:val="single"/>
        </w:rPr>
        <w:t>   </w:t>
      </w:r>
      <w:r>
        <w:rPr>
          <w:rFonts w:hint="eastAsia" w:ascii="黑体" w:hAnsi="黑体" w:eastAsia="黑体" w:cs="黑体"/>
          <w:color w:val="auto"/>
          <w:sz w:val="24"/>
          <w:szCs w:val="24"/>
          <w:highlight w:val="none"/>
        </w:rPr>
        <w:t>；</w:t>
      </w:r>
    </w:p>
    <w:p w14:paraId="075BDC5D">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建造师注册证书号：</w:t>
      </w:r>
      <w:r>
        <w:rPr>
          <w:rFonts w:hint="eastAsia" w:ascii="黑体" w:hAnsi="黑体" w:eastAsia="黑体" w:cs="黑体"/>
          <w:color w:val="auto"/>
          <w:sz w:val="24"/>
          <w:szCs w:val="24"/>
          <w:highlight w:val="none"/>
          <w:u w:val="single"/>
        </w:rPr>
        <w:t> </w:t>
      </w:r>
      <w:r>
        <w:rPr>
          <w:rFonts w:hint="eastAsia" w:ascii="黑体" w:hAnsi="黑体" w:eastAsia="黑体" w:cs="黑体"/>
          <w:color w:val="auto"/>
          <w:sz w:val="24"/>
          <w:szCs w:val="24"/>
          <w:highlight w:val="none"/>
        </w:rPr>
        <w:t>；</w:t>
      </w:r>
    </w:p>
    <w:p w14:paraId="59E19717">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建造师执业印章号：</w:t>
      </w:r>
      <w:r>
        <w:rPr>
          <w:rFonts w:hint="eastAsia" w:ascii="黑体" w:hAnsi="黑体" w:eastAsia="黑体" w:cs="黑体"/>
          <w:color w:val="auto"/>
          <w:sz w:val="24"/>
          <w:szCs w:val="24"/>
          <w:highlight w:val="none"/>
          <w:u w:val="single"/>
        </w:rPr>
        <w:t> </w:t>
      </w:r>
      <w:r>
        <w:rPr>
          <w:rFonts w:hint="eastAsia" w:ascii="黑体" w:hAnsi="黑体" w:eastAsia="黑体" w:cs="黑体"/>
          <w:color w:val="auto"/>
          <w:sz w:val="24"/>
          <w:szCs w:val="24"/>
          <w:highlight w:val="none"/>
        </w:rPr>
        <w:t>；</w:t>
      </w:r>
    </w:p>
    <w:p w14:paraId="355DCBC6">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安全生产考核合格证书号：</w:t>
      </w:r>
      <w:r>
        <w:rPr>
          <w:rFonts w:hint="eastAsia" w:ascii="黑体" w:hAnsi="黑体" w:eastAsia="黑体" w:cs="黑体"/>
          <w:color w:val="auto"/>
          <w:sz w:val="24"/>
          <w:szCs w:val="24"/>
          <w:highlight w:val="none"/>
          <w:u w:val="single"/>
        </w:rPr>
        <w:t> </w:t>
      </w:r>
      <w:r>
        <w:rPr>
          <w:rFonts w:hint="eastAsia" w:ascii="黑体" w:hAnsi="黑体" w:eastAsia="黑体" w:cs="黑体"/>
          <w:color w:val="auto"/>
          <w:sz w:val="24"/>
          <w:szCs w:val="24"/>
          <w:highlight w:val="none"/>
        </w:rPr>
        <w:t>；</w:t>
      </w:r>
    </w:p>
    <w:p w14:paraId="3C94AFDD">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联系电话：</w:t>
      </w:r>
      <w:r>
        <w:rPr>
          <w:rFonts w:hint="eastAsia" w:ascii="黑体" w:hAnsi="黑体" w:eastAsia="黑体" w:cs="黑体"/>
          <w:color w:val="auto"/>
          <w:sz w:val="24"/>
          <w:szCs w:val="24"/>
          <w:highlight w:val="none"/>
          <w:u w:val="single"/>
        </w:rPr>
        <w:t>         </w:t>
      </w:r>
      <w:r>
        <w:rPr>
          <w:rFonts w:hint="eastAsia" w:ascii="黑体" w:hAnsi="黑体" w:eastAsia="黑体" w:cs="黑体"/>
          <w:color w:val="auto"/>
          <w:sz w:val="24"/>
          <w:szCs w:val="24"/>
          <w:highlight w:val="none"/>
        </w:rPr>
        <w:t>；</w:t>
      </w:r>
    </w:p>
    <w:p w14:paraId="158448E9">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电子信箱：</w:t>
      </w:r>
      <w:r>
        <w:rPr>
          <w:rFonts w:hint="eastAsia" w:ascii="黑体" w:hAnsi="黑体" w:eastAsia="黑体" w:cs="黑体"/>
          <w:color w:val="auto"/>
          <w:sz w:val="24"/>
          <w:szCs w:val="24"/>
          <w:highlight w:val="none"/>
          <w:u w:val="single"/>
        </w:rPr>
        <w:t>         </w:t>
      </w:r>
      <w:r>
        <w:rPr>
          <w:rFonts w:hint="eastAsia" w:ascii="黑体" w:hAnsi="黑体" w:eastAsia="黑体" w:cs="黑体"/>
          <w:color w:val="auto"/>
          <w:sz w:val="24"/>
          <w:szCs w:val="24"/>
          <w:highlight w:val="none"/>
        </w:rPr>
        <w:t>；</w:t>
      </w:r>
    </w:p>
    <w:p w14:paraId="6879BD3B">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通信地址：</w:t>
      </w:r>
      <w:r>
        <w:rPr>
          <w:rFonts w:hint="eastAsia" w:ascii="黑体" w:hAnsi="黑体" w:eastAsia="黑体" w:cs="黑体"/>
          <w:color w:val="auto"/>
          <w:sz w:val="24"/>
          <w:szCs w:val="24"/>
          <w:highlight w:val="none"/>
          <w:u w:val="single"/>
        </w:rPr>
        <w:t>         </w:t>
      </w:r>
      <w:r>
        <w:rPr>
          <w:rFonts w:hint="eastAsia" w:ascii="黑体" w:hAnsi="黑体" w:eastAsia="黑体" w:cs="黑体"/>
          <w:color w:val="auto"/>
          <w:sz w:val="24"/>
          <w:szCs w:val="24"/>
          <w:highlight w:val="none"/>
        </w:rPr>
        <w:t>；</w:t>
      </w:r>
    </w:p>
    <w:p w14:paraId="5A61CFF1">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承包人对项目经理的授权范围如下：</w:t>
      </w:r>
      <w:r>
        <w:rPr>
          <w:rFonts w:hint="eastAsia" w:ascii="黑体" w:hAnsi="黑体" w:eastAsia="黑体" w:cs="黑体"/>
          <w:color w:val="auto"/>
          <w:sz w:val="24"/>
          <w:szCs w:val="24"/>
          <w:highlight w:val="none"/>
          <w:u w:val="single"/>
        </w:rPr>
        <w:t xml:space="preserve"> 全面负责项目施工过程中质量、安全、进度管理工作 </w:t>
      </w:r>
      <w:r>
        <w:rPr>
          <w:rFonts w:hint="eastAsia" w:ascii="黑体" w:hAnsi="黑体" w:eastAsia="黑体" w:cs="黑体"/>
          <w:color w:val="auto"/>
          <w:sz w:val="24"/>
          <w:szCs w:val="24"/>
          <w:highlight w:val="none"/>
        </w:rPr>
        <w:t>。</w:t>
      </w:r>
    </w:p>
    <w:p w14:paraId="21FC4001">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关于项目经理每月在施工现场的时间要求：</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val="en-US" w:eastAsia="zh-CN"/>
        </w:rPr>
        <w:t>/</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46B87DB3">
      <w:pPr>
        <w:pStyle w:val="18"/>
        <w:spacing w:line="360" w:lineRule="auto"/>
        <w:ind w:firstLine="480" w:firstLineChars="200"/>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承包人未提交劳动合同，以及没有为项目经理缴纳社会保险证明的违约责任：</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val="en-US" w:eastAsia="zh-CN"/>
        </w:rPr>
        <w:t>承包人承担上述违约责任给发包人造成的损失</w:t>
      </w:r>
      <w:r>
        <w:rPr>
          <w:rFonts w:hint="eastAsia" w:ascii="黑体" w:hAnsi="黑体" w:eastAsia="黑体" w:cs="黑体"/>
          <w:color w:val="auto"/>
          <w:sz w:val="24"/>
          <w:szCs w:val="24"/>
          <w:highlight w:val="none"/>
          <w:u w:val="single"/>
        </w:rPr>
        <w:t></w:t>
      </w:r>
      <w:r>
        <w:rPr>
          <w:rFonts w:hint="eastAsia" w:ascii="黑体" w:hAnsi="黑体" w:eastAsia="黑体" w:cs="黑体"/>
          <w:color w:val="auto"/>
          <w:sz w:val="24"/>
          <w:szCs w:val="24"/>
          <w:highlight w:val="none"/>
        </w:rPr>
        <w:t>。</w:t>
      </w:r>
    </w:p>
    <w:p w14:paraId="1A3905C1">
      <w:pPr>
        <w:pStyle w:val="18"/>
        <w:spacing w:line="360" w:lineRule="auto"/>
        <w:ind w:firstLine="480" w:firstLineChars="200"/>
        <w:rPr>
          <w:rFonts w:hint="eastAsia" w:ascii="黑体" w:hAnsi="黑体" w:eastAsia="黑体" w:cs="黑体"/>
          <w:color w:val="auto"/>
          <w:sz w:val="24"/>
          <w:szCs w:val="24"/>
          <w:highlight w:val="none"/>
          <w:u w:val="single"/>
        </w:rPr>
      </w:pPr>
      <w:r>
        <w:rPr>
          <w:rFonts w:hint="eastAsia" w:ascii="黑体" w:hAnsi="黑体" w:eastAsia="黑体" w:cs="黑体"/>
          <w:color w:val="auto"/>
          <w:kern w:val="0"/>
          <w:sz w:val="24"/>
          <w:szCs w:val="24"/>
          <w:highlight w:val="none"/>
        </w:rPr>
        <w:t>项目经理未经批准，擅自离开施工现场的违约责任：</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val="en-US" w:eastAsia="zh-CN"/>
        </w:rPr>
        <w:t>承包人承担上述违约责任给发包 人造成的损失</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5A2B4850">
      <w:pPr>
        <w:pStyle w:val="18"/>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3.2.3 承包人擅自更换项目经理的违约责任：</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val="en-US" w:eastAsia="zh-CN"/>
        </w:rPr>
        <w:t>承包人承担上述违约责任给发包人造成的损失</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686B008F">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3.2.4 承包人无正当理由拒绝更换项目经理的违约责任：</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val="en-US" w:eastAsia="zh-CN"/>
        </w:rPr>
        <w:t>承包人承担上述违约责任给发包人造成的损失</w:t>
      </w:r>
      <w:r>
        <w:rPr>
          <w:rFonts w:hint="eastAsia" w:ascii="黑体" w:hAnsi="黑体" w:eastAsia="黑体" w:cs="黑体"/>
          <w:color w:val="auto"/>
          <w:sz w:val="24"/>
          <w:szCs w:val="24"/>
          <w:highlight w:val="none"/>
          <w:u w:val="single"/>
        </w:rPr>
        <w:t></w:t>
      </w:r>
      <w:r>
        <w:rPr>
          <w:rFonts w:hint="eastAsia" w:ascii="黑体" w:hAnsi="黑体" w:eastAsia="黑体" w:cs="黑体"/>
          <w:color w:val="auto"/>
          <w:sz w:val="24"/>
          <w:szCs w:val="24"/>
          <w:highlight w:val="none"/>
        </w:rPr>
        <w:t>。</w:t>
      </w:r>
    </w:p>
    <w:p w14:paraId="556A8642">
      <w:pPr>
        <w:pStyle w:val="19"/>
        <w:spacing w:before="120" w:after="120" w:line="360" w:lineRule="auto"/>
        <w:ind w:firstLine="480" w:firstLineChars="200"/>
        <w:rPr>
          <w:rFonts w:hint="eastAsia" w:ascii="黑体" w:hAnsi="黑体" w:eastAsia="黑体" w:cs="黑体"/>
          <w:b w:val="0"/>
          <w:color w:val="auto"/>
          <w:sz w:val="24"/>
          <w:szCs w:val="24"/>
          <w:highlight w:val="none"/>
        </w:rPr>
      </w:pPr>
      <w:r>
        <w:rPr>
          <w:rFonts w:hint="eastAsia" w:ascii="黑体" w:hAnsi="黑体" w:eastAsia="黑体" w:cs="黑体"/>
          <w:b w:val="0"/>
          <w:color w:val="auto"/>
          <w:sz w:val="24"/>
          <w:szCs w:val="24"/>
          <w:highlight w:val="none"/>
        </w:rPr>
        <w:t>3.3 承包人人员</w:t>
      </w:r>
    </w:p>
    <w:p w14:paraId="14DE5676">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3.3.1 承包人提交项目管理机构及施工现场管理人员安排报告的期限：</w:t>
      </w:r>
      <w:r>
        <w:rPr>
          <w:rFonts w:hint="eastAsia" w:ascii="黑体" w:hAnsi="黑体" w:eastAsia="黑体" w:cs="黑体"/>
          <w:color w:val="auto"/>
          <w:sz w:val="24"/>
          <w:szCs w:val="24"/>
          <w:highlight w:val="none"/>
          <w:u w:val="single"/>
        </w:rPr>
        <w:t xml:space="preserve"> 工程开工前2天   </w:t>
      </w:r>
      <w:r>
        <w:rPr>
          <w:rFonts w:hint="eastAsia" w:ascii="黑体" w:hAnsi="黑体" w:eastAsia="黑体" w:cs="黑体"/>
          <w:color w:val="auto"/>
          <w:sz w:val="24"/>
          <w:szCs w:val="24"/>
          <w:highlight w:val="none"/>
        </w:rPr>
        <w:t>。</w:t>
      </w:r>
    </w:p>
    <w:p w14:paraId="6BBEFA9B">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3.3.3 承包人无正当理由拒绝撤换主要施工管理人员的违约责任：</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val="en-US" w:eastAsia="zh-CN"/>
        </w:rPr>
        <w:t>承包人承担上述违约责任给发包人造成的损失</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25E6AAF3">
      <w:pPr>
        <w:pStyle w:val="18"/>
        <w:spacing w:line="360" w:lineRule="auto"/>
        <w:ind w:firstLine="480" w:firstLineChars="200"/>
        <w:rPr>
          <w:rFonts w:hint="eastAsia" w:ascii="黑体" w:hAnsi="黑体" w:eastAsia="黑体" w:cs="黑体"/>
          <w:color w:val="auto"/>
          <w:sz w:val="24"/>
          <w:szCs w:val="24"/>
          <w:highlight w:val="none"/>
          <w:u w:val="single"/>
        </w:rPr>
      </w:pPr>
      <w:r>
        <w:rPr>
          <w:rFonts w:hint="eastAsia" w:ascii="黑体" w:hAnsi="黑体" w:eastAsia="黑体" w:cs="黑体"/>
          <w:color w:val="auto"/>
          <w:sz w:val="24"/>
          <w:szCs w:val="24"/>
          <w:highlight w:val="none"/>
        </w:rPr>
        <w:t>3.3.4 承包人主要施工管理人员离开施工现场的批准要求：</w:t>
      </w:r>
      <w:r>
        <w:rPr>
          <w:rFonts w:hint="eastAsia" w:ascii="黑体" w:hAnsi="黑体" w:eastAsia="黑体" w:cs="黑体"/>
          <w:color w:val="auto"/>
          <w:sz w:val="24"/>
          <w:szCs w:val="24"/>
          <w:highlight w:val="none"/>
          <w:u w:val="single"/>
        </w:rPr>
        <w:t xml:space="preserve"> 由总监理工程师批准，发包人认可后方可离开  </w:t>
      </w:r>
      <w:r>
        <w:rPr>
          <w:rFonts w:hint="eastAsia" w:ascii="黑体" w:hAnsi="黑体" w:eastAsia="黑体" w:cs="黑体"/>
          <w:color w:val="auto"/>
          <w:sz w:val="24"/>
          <w:szCs w:val="24"/>
          <w:highlight w:val="none"/>
        </w:rPr>
        <w:t>。</w:t>
      </w:r>
    </w:p>
    <w:p w14:paraId="6E5C0C61">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3.3.5承包人擅自更换主要施工管理人员的违约责任：</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val="en-US" w:eastAsia="zh-CN"/>
        </w:rPr>
        <w:t>承包人承担上述违约责任给发包人造成的损失</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555FD2EC">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承包人主要施工管理人员擅自离开施工现场的违约责任：</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val="en-US" w:eastAsia="zh-CN"/>
        </w:rPr>
        <w:t>承包人承担上述违约责任给发包人造成的损失</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11C68279">
      <w:pPr>
        <w:pStyle w:val="19"/>
        <w:spacing w:before="120" w:after="120" w:line="360" w:lineRule="auto"/>
        <w:ind w:firstLine="480" w:firstLineChars="200"/>
        <w:rPr>
          <w:rFonts w:hint="eastAsia" w:ascii="黑体" w:hAnsi="黑体" w:eastAsia="黑体" w:cs="黑体"/>
          <w:b w:val="0"/>
          <w:color w:val="auto"/>
          <w:sz w:val="24"/>
          <w:szCs w:val="24"/>
          <w:highlight w:val="none"/>
        </w:rPr>
      </w:pPr>
      <w:r>
        <w:rPr>
          <w:rFonts w:hint="eastAsia" w:ascii="黑体" w:hAnsi="黑体" w:eastAsia="黑体" w:cs="黑体"/>
          <w:b w:val="0"/>
          <w:color w:val="auto"/>
          <w:sz w:val="24"/>
          <w:szCs w:val="24"/>
          <w:highlight w:val="none"/>
        </w:rPr>
        <w:t>3</w:t>
      </w:r>
      <w:bookmarkStart w:id="120" w:name="_Toc296346660"/>
      <w:bookmarkStart w:id="121" w:name="_Toc312677988"/>
      <w:bookmarkStart w:id="122" w:name="_Toc303539102"/>
      <w:bookmarkStart w:id="123" w:name="_Toc296944498"/>
      <w:bookmarkStart w:id="124" w:name="_Toc300934945"/>
      <w:bookmarkStart w:id="125" w:name="_Toc296891199"/>
      <w:bookmarkStart w:id="126" w:name="_Toc297216151"/>
      <w:bookmarkStart w:id="127" w:name="_Toc297120459"/>
      <w:bookmarkStart w:id="128" w:name="_Toc297048345"/>
      <w:bookmarkStart w:id="129" w:name="_Toc292559364"/>
      <w:bookmarkStart w:id="130" w:name="_Toc296347158"/>
      <w:bookmarkStart w:id="131" w:name="_Toc296890987"/>
      <w:bookmarkStart w:id="132" w:name="_Toc297123492"/>
      <w:bookmarkStart w:id="133" w:name="_Toc296503159"/>
      <w:bookmarkStart w:id="134" w:name="_Toc292559869"/>
      <w:bookmarkStart w:id="135" w:name="_Toc304295523"/>
      <w:r>
        <w:rPr>
          <w:rFonts w:hint="eastAsia" w:ascii="黑体" w:hAnsi="黑体" w:eastAsia="黑体" w:cs="黑体"/>
          <w:b w:val="0"/>
          <w:color w:val="auto"/>
          <w:sz w:val="24"/>
          <w:szCs w:val="24"/>
          <w:highlight w:val="none"/>
        </w:rPr>
        <w:t>.5 分包</w:t>
      </w:r>
    </w:p>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p w14:paraId="616F3EF0">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3</w:t>
      </w:r>
      <w:bookmarkStart w:id="136" w:name="_Toc296890988"/>
      <w:bookmarkStart w:id="137" w:name="_Toc296346661"/>
      <w:bookmarkStart w:id="138" w:name="_Toc297123493"/>
      <w:bookmarkStart w:id="139" w:name="_Toc296347159"/>
      <w:bookmarkStart w:id="140" w:name="_Toc304295524"/>
      <w:bookmarkStart w:id="141" w:name="_Toc296944499"/>
      <w:bookmarkStart w:id="142" w:name="_Toc303539103"/>
      <w:bookmarkStart w:id="143" w:name="_Toc300934946"/>
      <w:bookmarkStart w:id="144" w:name="_Toc292559365"/>
      <w:bookmarkStart w:id="145" w:name="_Toc297120460"/>
      <w:bookmarkStart w:id="146" w:name="_Toc297216152"/>
      <w:bookmarkStart w:id="147" w:name="_Toc296891200"/>
      <w:bookmarkStart w:id="148" w:name="_Toc297048346"/>
      <w:bookmarkStart w:id="149" w:name="_Toc296503160"/>
      <w:bookmarkStart w:id="150" w:name="_Toc292559870"/>
      <w:bookmarkStart w:id="151" w:name="_Toc318581158"/>
      <w:bookmarkStart w:id="152" w:name="_Toc312677989"/>
      <w:r>
        <w:rPr>
          <w:rFonts w:hint="eastAsia" w:ascii="黑体" w:hAnsi="黑体" w:eastAsia="黑体" w:cs="黑体"/>
          <w:color w:val="auto"/>
          <w:sz w:val="24"/>
          <w:szCs w:val="24"/>
          <w:highlight w:val="none"/>
        </w:rPr>
        <w:t>.5.1 分包的一般约定</w:t>
      </w:r>
    </w:p>
    <w:p w14:paraId="47301DF3">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禁止分包的工程包括：</w:t>
      </w:r>
      <w:r>
        <w:rPr>
          <w:rFonts w:hint="eastAsia" w:ascii="黑体" w:hAnsi="黑体" w:eastAsia="黑体" w:cs="黑体"/>
          <w:color w:val="auto"/>
          <w:sz w:val="24"/>
          <w:szCs w:val="24"/>
          <w:highlight w:val="none"/>
          <w:u w:val="single"/>
        </w:rPr>
        <w:t></w:t>
      </w:r>
      <w:r>
        <w:rPr>
          <w:rFonts w:hint="eastAsia" w:ascii="黑体" w:hAnsi="黑体" w:eastAsia="黑体" w:cs="黑体"/>
          <w:color w:val="auto"/>
          <w:sz w:val="24"/>
          <w:szCs w:val="24"/>
          <w:highlight w:val="none"/>
          <w:u w:val="single"/>
          <w:lang w:val="en-US" w:eastAsia="zh-CN"/>
        </w:rPr>
        <w:t>/</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7399E688">
      <w:pPr>
        <w:pStyle w:val="18"/>
        <w:spacing w:line="360" w:lineRule="auto"/>
        <w:ind w:firstLine="480" w:firstLineChars="200"/>
        <w:jc w:val="left"/>
        <w:rPr>
          <w:rFonts w:hint="eastAsia" w:ascii="黑体" w:hAnsi="黑体" w:eastAsia="黑体" w:cs="黑体"/>
          <w:color w:val="auto"/>
          <w:sz w:val="24"/>
          <w:szCs w:val="24"/>
          <w:highlight w:val="none"/>
          <w:u w:val="single"/>
        </w:rPr>
      </w:pPr>
      <w:r>
        <w:rPr>
          <w:rFonts w:hint="eastAsia" w:ascii="黑体" w:hAnsi="黑体" w:eastAsia="黑体" w:cs="黑体"/>
          <w:color w:val="auto"/>
          <w:sz w:val="24"/>
          <w:szCs w:val="24"/>
          <w:highlight w:val="none"/>
        </w:rPr>
        <w:t>主体结构、关键性工作的范围：</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Start w:id="153" w:name="_Toc296347160"/>
      <w:bookmarkStart w:id="154" w:name="_Toc296890989"/>
      <w:bookmarkStart w:id="155" w:name="_Toc296503161"/>
      <w:bookmarkStart w:id="156" w:name="_Toc296891201"/>
      <w:bookmarkStart w:id="157" w:name="_Toc303539104"/>
      <w:bookmarkStart w:id="158" w:name="_Toc296944500"/>
      <w:bookmarkStart w:id="159" w:name="_Toc304295525"/>
      <w:bookmarkStart w:id="160" w:name="_Toc296346662"/>
      <w:bookmarkStart w:id="161" w:name="_Toc300934947"/>
      <w:bookmarkStart w:id="162" w:name="_Toc297123494"/>
      <w:bookmarkStart w:id="163" w:name="_Toc297120461"/>
      <w:bookmarkStart w:id="164" w:name="_Toc297048347"/>
      <w:bookmarkStart w:id="165" w:name="_Toc297216153"/>
    </w:p>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p w14:paraId="361113E9">
      <w:pPr>
        <w:pStyle w:val="18"/>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 xml:space="preserve">    3</w:t>
      </w:r>
      <w:bookmarkStart w:id="166" w:name="_Toc312677990"/>
      <w:bookmarkStart w:id="167" w:name="_Toc318581159"/>
      <w:r>
        <w:rPr>
          <w:rFonts w:hint="eastAsia" w:ascii="黑体" w:hAnsi="黑体" w:eastAsia="黑体" w:cs="黑体"/>
          <w:color w:val="auto"/>
          <w:sz w:val="24"/>
          <w:szCs w:val="24"/>
          <w:highlight w:val="none"/>
        </w:rPr>
        <w:t>.5.2分包的确定</w:t>
      </w:r>
    </w:p>
    <w:p w14:paraId="53F12382">
      <w:pPr>
        <w:pStyle w:val="18"/>
        <w:spacing w:line="360" w:lineRule="auto"/>
        <w:ind w:firstLine="480" w:firstLineChars="200"/>
        <w:rPr>
          <w:rFonts w:hint="eastAsia" w:ascii="黑体" w:hAnsi="黑体" w:eastAsia="黑体" w:cs="黑体"/>
          <w:color w:val="auto"/>
          <w:sz w:val="24"/>
          <w:szCs w:val="24"/>
          <w:highlight w:val="none"/>
          <w:u w:val="single"/>
        </w:rPr>
      </w:pPr>
      <w:r>
        <w:rPr>
          <w:rFonts w:hint="eastAsia" w:ascii="黑体" w:hAnsi="黑体" w:eastAsia="黑体" w:cs="黑体"/>
          <w:color w:val="auto"/>
          <w:sz w:val="24"/>
          <w:szCs w:val="24"/>
          <w:highlight w:val="none"/>
        </w:rPr>
        <w:t>允许分包的专业工程包括：</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267F2B2E">
      <w:pPr>
        <w:pStyle w:val="18"/>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其他关于分包的约定：</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49F2901A">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3.5.4 分包合同价款</w:t>
      </w:r>
    </w:p>
    <w:p w14:paraId="522DECDB">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关于分包合同价款支付的约定：</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bookmarkEnd w:id="166"/>
    <w:bookmarkEnd w:id="167"/>
    <w:p w14:paraId="09D70F3D">
      <w:pPr>
        <w:pStyle w:val="19"/>
        <w:spacing w:before="120" w:after="120" w:line="360" w:lineRule="auto"/>
        <w:ind w:firstLine="480" w:firstLineChars="200"/>
        <w:rPr>
          <w:rFonts w:hint="eastAsia" w:ascii="黑体" w:hAnsi="黑体" w:eastAsia="黑体" w:cs="黑体"/>
          <w:b w:val="0"/>
          <w:color w:val="auto"/>
          <w:sz w:val="24"/>
          <w:szCs w:val="24"/>
          <w:highlight w:val="none"/>
        </w:rPr>
      </w:pPr>
      <w:r>
        <w:rPr>
          <w:rFonts w:hint="eastAsia" w:ascii="黑体" w:hAnsi="黑体" w:eastAsia="黑体" w:cs="黑体"/>
          <w:b w:val="0"/>
          <w:color w:val="auto"/>
          <w:sz w:val="24"/>
          <w:szCs w:val="24"/>
          <w:highlight w:val="none"/>
        </w:rPr>
        <w:t>3.6 工程照管与成品、半成品保护</w:t>
      </w:r>
    </w:p>
    <w:p w14:paraId="65C42A31">
      <w:pPr>
        <w:pStyle w:val="18"/>
        <w:spacing w:before="120" w:after="120" w:line="360" w:lineRule="auto"/>
        <w:ind w:firstLine="480" w:firstLineChars="200"/>
        <w:rPr>
          <w:rFonts w:hint="eastAsia" w:ascii="黑体" w:hAnsi="黑体" w:eastAsia="黑体" w:cs="黑体"/>
          <w:color w:val="auto"/>
          <w:kern w:val="0"/>
          <w:sz w:val="24"/>
          <w:szCs w:val="24"/>
          <w:highlight w:val="none"/>
          <w:u w:val="single"/>
        </w:rPr>
      </w:pPr>
      <w:r>
        <w:rPr>
          <w:rFonts w:hint="eastAsia" w:ascii="黑体" w:hAnsi="黑体" w:eastAsia="黑体" w:cs="黑体"/>
          <w:color w:val="auto"/>
          <w:kern w:val="0"/>
          <w:sz w:val="24"/>
          <w:szCs w:val="24"/>
          <w:highlight w:val="none"/>
        </w:rPr>
        <w:t>承包人负责照管工程及工程相关的材料、工程设备的起始时间：</w:t>
      </w:r>
      <w:r>
        <w:rPr>
          <w:rFonts w:hint="eastAsia" w:ascii="黑体" w:hAnsi="黑体" w:eastAsia="黑体" w:cs="黑体"/>
          <w:color w:val="auto"/>
          <w:kern w:val="0"/>
          <w:sz w:val="24"/>
          <w:szCs w:val="24"/>
          <w:highlight w:val="none"/>
          <w:u w:val="single"/>
        </w:rPr>
        <w:t xml:space="preserve">  </w:t>
      </w:r>
      <w:r>
        <w:rPr>
          <w:rFonts w:hint="eastAsia" w:ascii="黑体" w:hAnsi="黑体" w:eastAsia="黑体" w:cs="黑体"/>
          <w:color w:val="auto"/>
          <w:kern w:val="0"/>
          <w:sz w:val="24"/>
          <w:szCs w:val="24"/>
          <w:highlight w:val="none"/>
          <w:u w:val="single"/>
          <w:lang w:val="en-US" w:eastAsia="zh-CN"/>
        </w:rPr>
        <w:t>材料、设备进场至验交付使用前由承包人负责保修，交付使用后由发包人做成品保护</w:t>
      </w:r>
      <w:r>
        <w:rPr>
          <w:rFonts w:hint="eastAsia" w:ascii="黑体" w:hAnsi="黑体" w:eastAsia="黑体" w:cs="黑体"/>
          <w:color w:val="auto"/>
          <w:kern w:val="0"/>
          <w:sz w:val="24"/>
          <w:szCs w:val="24"/>
          <w:highlight w:val="none"/>
          <w:u w:val="single"/>
        </w:rPr>
        <w:t xml:space="preserve">       </w:t>
      </w:r>
      <w:r>
        <w:rPr>
          <w:rFonts w:hint="eastAsia" w:ascii="黑体" w:hAnsi="黑体" w:eastAsia="黑体" w:cs="黑体"/>
          <w:color w:val="auto"/>
          <w:kern w:val="0"/>
          <w:sz w:val="24"/>
          <w:szCs w:val="24"/>
          <w:highlight w:val="none"/>
        </w:rPr>
        <w:t>。</w:t>
      </w:r>
    </w:p>
    <w:p w14:paraId="43EE8B13">
      <w:pPr>
        <w:pStyle w:val="19"/>
        <w:spacing w:before="120" w:after="120" w:line="360" w:lineRule="auto"/>
        <w:ind w:firstLine="480" w:firstLineChars="200"/>
        <w:rPr>
          <w:rFonts w:hint="eastAsia" w:ascii="黑体" w:hAnsi="黑体" w:eastAsia="黑体" w:cs="黑体"/>
          <w:b w:val="0"/>
          <w:color w:val="auto"/>
          <w:sz w:val="24"/>
          <w:szCs w:val="24"/>
          <w:highlight w:val="none"/>
        </w:rPr>
      </w:pPr>
      <w:r>
        <w:rPr>
          <w:rFonts w:hint="eastAsia" w:ascii="黑体" w:hAnsi="黑体" w:eastAsia="黑体" w:cs="黑体"/>
          <w:b w:val="0"/>
          <w:color w:val="auto"/>
          <w:sz w:val="24"/>
          <w:szCs w:val="24"/>
          <w:highlight w:val="none"/>
        </w:rPr>
        <w:t>3.7 履约担保</w:t>
      </w:r>
    </w:p>
    <w:p w14:paraId="64C3C672">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承包人是否提供履约担保：</w:t>
      </w:r>
      <w:r>
        <w:rPr>
          <w:rFonts w:hint="eastAsia" w:ascii="黑体" w:hAnsi="黑体" w:eastAsia="黑体" w:cs="黑体"/>
          <w:color w:val="auto"/>
          <w:sz w:val="24"/>
          <w:szCs w:val="24"/>
          <w:highlight w:val="none"/>
          <w:u w:val="single"/>
        </w:rPr>
        <w:t xml:space="preserve">  是    </w:t>
      </w:r>
      <w:r>
        <w:rPr>
          <w:rFonts w:hint="eastAsia" w:ascii="黑体" w:hAnsi="黑体" w:eastAsia="黑体" w:cs="黑体"/>
          <w:color w:val="auto"/>
          <w:sz w:val="24"/>
          <w:szCs w:val="24"/>
          <w:highlight w:val="none"/>
        </w:rPr>
        <w:t>。</w:t>
      </w:r>
    </w:p>
    <w:p w14:paraId="321C6FC5">
      <w:pPr>
        <w:pStyle w:val="18"/>
        <w:spacing w:line="360" w:lineRule="auto"/>
        <w:ind w:firstLine="480" w:firstLineChars="200"/>
        <w:jc w:val="left"/>
        <w:rPr>
          <w:rFonts w:hint="eastAsia" w:ascii="黑体" w:hAnsi="黑体" w:eastAsia="黑体" w:cs="黑体"/>
          <w:color w:val="auto"/>
          <w:sz w:val="24"/>
          <w:szCs w:val="24"/>
          <w:highlight w:val="none"/>
          <w:u w:val="single"/>
        </w:rPr>
      </w:pPr>
      <w:r>
        <w:rPr>
          <w:rFonts w:hint="eastAsia" w:ascii="黑体" w:hAnsi="黑体" w:eastAsia="黑体" w:cs="黑体"/>
          <w:color w:val="auto"/>
          <w:sz w:val="24"/>
          <w:szCs w:val="24"/>
          <w:highlight w:val="none"/>
        </w:rPr>
        <w:t>承包人提供履约担保的形式、金额及期限的：</w:t>
      </w:r>
      <w:r>
        <w:rPr>
          <w:rFonts w:hint="eastAsia" w:ascii="黑体" w:hAnsi="黑体" w:eastAsia="黑体" w:cs="黑体"/>
          <w:color w:val="auto"/>
          <w:sz w:val="24"/>
          <w:szCs w:val="24"/>
          <w:highlight w:val="none"/>
          <w:u w:val="single"/>
        </w:rPr>
        <w:t xml:space="preserve">   履约担保的形式：履约保证金（银行汇票、银行转账或银行保函）</w:t>
      </w:r>
    </w:p>
    <w:p w14:paraId="30AA5B82">
      <w:pPr>
        <w:pStyle w:val="18"/>
        <w:spacing w:line="360" w:lineRule="auto"/>
        <w:jc w:val="left"/>
        <w:rPr>
          <w:rFonts w:hint="eastAsia" w:ascii="黑体" w:hAnsi="黑体" w:eastAsia="黑体" w:cs="黑体"/>
          <w:color w:val="auto"/>
          <w:sz w:val="24"/>
          <w:szCs w:val="24"/>
          <w:highlight w:val="none"/>
          <w:u w:val="single"/>
        </w:rPr>
      </w:pPr>
      <w:r>
        <w:rPr>
          <w:rFonts w:hint="eastAsia" w:ascii="黑体" w:hAnsi="黑体" w:eastAsia="黑体" w:cs="黑体"/>
          <w:color w:val="auto"/>
          <w:sz w:val="24"/>
          <w:szCs w:val="24"/>
          <w:highlight w:val="none"/>
        </w:rPr>
        <w:t>履约担保的金额</w:t>
      </w:r>
      <w:r>
        <w:rPr>
          <w:rFonts w:hint="eastAsia" w:ascii="黑体" w:hAnsi="黑体" w:eastAsia="黑体" w:cs="黑体"/>
          <w:color w:val="auto"/>
          <w:sz w:val="24"/>
          <w:szCs w:val="24"/>
          <w:highlight w:val="none"/>
          <w:u w:val="single"/>
        </w:rPr>
        <w:t>：</w:t>
      </w:r>
      <w:r>
        <w:rPr>
          <w:rFonts w:hint="eastAsia" w:ascii="黑体" w:hAnsi="黑体" w:eastAsia="黑体" w:cs="黑体"/>
          <w:color w:val="auto"/>
          <w:sz w:val="24"/>
          <w:szCs w:val="24"/>
          <w:highlight w:val="none"/>
          <w:u w:val="single"/>
          <w:lang w:val="en-US" w:eastAsia="zh-CN"/>
        </w:rPr>
        <w:t>甲乙双方自行协商</w:t>
      </w:r>
      <w:r>
        <w:rPr>
          <w:rFonts w:hint="eastAsia" w:ascii="黑体" w:hAnsi="黑体" w:eastAsia="黑体" w:cs="黑体"/>
          <w:color w:val="auto"/>
          <w:sz w:val="24"/>
          <w:szCs w:val="24"/>
          <w:highlight w:val="none"/>
          <w:u w:val="single"/>
        </w:rPr>
        <w:t xml:space="preserve">  </w:t>
      </w:r>
    </w:p>
    <w:p w14:paraId="7090BDDC">
      <w:pPr>
        <w:pStyle w:val="18"/>
        <w:ind w:firstLine="482" w:firstLineChars="200"/>
        <w:outlineLvl w:val="2"/>
        <w:rPr>
          <w:rFonts w:hint="eastAsia" w:ascii="黑体" w:hAnsi="黑体" w:eastAsia="黑体" w:cs="黑体"/>
          <w:b/>
          <w:color w:val="auto"/>
          <w:sz w:val="24"/>
          <w:szCs w:val="24"/>
          <w:highlight w:val="none"/>
        </w:rPr>
      </w:pPr>
      <w:bookmarkStart w:id="168" w:name="_Toc256000062"/>
      <w:bookmarkStart w:id="169" w:name="_Toc256000066"/>
      <w:bookmarkStart w:id="170" w:name="_Toc256000058"/>
    </w:p>
    <w:p w14:paraId="28CEA704">
      <w:pPr>
        <w:pStyle w:val="18"/>
        <w:ind w:firstLine="482" w:firstLineChars="200"/>
        <w:outlineLvl w:val="2"/>
        <w:rPr>
          <w:rFonts w:hint="eastAsia" w:ascii="黑体" w:hAnsi="黑体" w:eastAsia="黑体" w:cs="黑体"/>
          <w:b/>
          <w:color w:val="auto"/>
          <w:sz w:val="24"/>
          <w:szCs w:val="24"/>
          <w:highlight w:val="none"/>
        </w:rPr>
      </w:pPr>
      <w:bookmarkStart w:id="171" w:name="_Toc256000060"/>
      <w:bookmarkStart w:id="172" w:name="_Toc11556"/>
      <w:r>
        <w:rPr>
          <w:rFonts w:hint="eastAsia" w:ascii="黑体" w:hAnsi="黑体" w:eastAsia="黑体" w:cs="黑体"/>
          <w:b/>
          <w:color w:val="auto"/>
          <w:sz w:val="24"/>
          <w:szCs w:val="24"/>
          <w:highlight w:val="none"/>
        </w:rPr>
        <w:t>4</w:t>
      </w:r>
      <w:bookmarkStart w:id="173" w:name="_Toc292559366"/>
      <w:bookmarkStart w:id="174" w:name="_Toc292559871"/>
      <w:bookmarkStart w:id="175" w:name="_Toc297120462"/>
      <w:bookmarkStart w:id="176" w:name="_Toc296347161"/>
      <w:bookmarkStart w:id="177" w:name="_Toc296346663"/>
      <w:bookmarkStart w:id="178" w:name="_Toc267251413"/>
      <w:bookmarkStart w:id="179" w:name="_Toc296891202"/>
      <w:bookmarkStart w:id="180" w:name="_Toc296944501"/>
      <w:bookmarkStart w:id="181" w:name="_Toc296890990"/>
      <w:bookmarkStart w:id="182" w:name="_Toc296503162"/>
      <w:bookmarkStart w:id="183" w:name="_Toc297048348"/>
      <w:r>
        <w:rPr>
          <w:rFonts w:hint="eastAsia" w:ascii="黑体" w:hAnsi="黑体" w:eastAsia="黑体" w:cs="黑体"/>
          <w:b/>
          <w:color w:val="auto"/>
          <w:sz w:val="24"/>
          <w:szCs w:val="24"/>
          <w:highlight w:val="none"/>
        </w:rPr>
        <w:t>. 监</w:t>
      </w:r>
      <w:bookmarkEnd w:id="173"/>
      <w:bookmarkEnd w:id="174"/>
      <w:bookmarkEnd w:id="175"/>
      <w:bookmarkEnd w:id="176"/>
      <w:bookmarkEnd w:id="177"/>
      <w:bookmarkEnd w:id="178"/>
      <w:bookmarkEnd w:id="179"/>
      <w:bookmarkEnd w:id="180"/>
      <w:bookmarkEnd w:id="181"/>
      <w:bookmarkEnd w:id="182"/>
      <w:bookmarkEnd w:id="183"/>
      <w:r>
        <w:rPr>
          <w:rFonts w:hint="eastAsia" w:ascii="黑体" w:hAnsi="黑体" w:eastAsia="黑体" w:cs="黑体"/>
          <w:b/>
          <w:color w:val="auto"/>
          <w:sz w:val="24"/>
          <w:szCs w:val="24"/>
          <w:highlight w:val="none"/>
        </w:rPr>
        <w:t>理人</w:t>
      </w:r>
      <w:bookmarkEnd w:id="168"/>
      <w:bookmarkEnd w:id="169"/>
      <w:bookmarkEnd w:id="170"/>
      <w:bookmarkEnd w:id="171"/>
      <w:bookmarkEnd w:id="172"/>
    </w:p>
    <w:p w14:paraId="5A850764">
      <w:pPr>
        <w:pStyle w:val="19"/>
        <w:spacing w:before="120" w:after="120" w:line="360" w:lineRule="auto"/>
        <w:ind w:firstLine="480" w:firstLineChars="200"/>
        <w:rPr>
          <w:rFonts w:hint="eastAsia" w:ascii="黑体" w:hAnsi="黑体" w:eastAsia="黑体" w:cs="黑体"/>
          <w:b w:val="0"/>
          <w:color w:val="auto"/>
          <w:sz w:val="24"/>
          <w:szCs w:val="24"/>
          <w:highlight w:val="none"/>
        </w:rPr>
      </w:pPr>
      <w:r>
        <w:rPr>
          <w:rFonts w:hint="eastAsia" w:ascii="黑体" w:hAnsi="黑体" w:eastAsia="黑体" w:cs="黑体"/>
          <w:b w:val="0"/>
          <w:color w:val="auto"/>
          <w:sz w:val="24"/>
          <w:szCs w:val="24"/>
          <w:highlight w:val="none"/>
        </w:rPr>
        <w:t>4.1监理人的一般规定</w:t>
      </w:r>
    </w:p>
    <w:p w14:paraId="18844FD1">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关于监理人的监理内容：</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4C402016">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关于监理人的监理权限：</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 xml:space="preserve">。 </w:t>
      </w:r>
    </w:p>
    <w:p w14:paraId="73A7D643">
      <w:pPr>
        <w:pStyle w:val="18"/>
        <w:spacing w:line="360" w:lineRule="auto"/>
        <w:ind w:firstLine="480" w:firstLineChars="200"/>
        <w:rPr>
          <w:rFonts w:hint="eastAsia" w:ascii="黑体" w:hAnsi="黑体" w:eastAsia="黑体" w:cs="黑体"/>
          <w:color w:val="auto"/>
          <w:sz w:val="24"/>
          <w:szCs w:val="24"/>
          <w:highlight w:val="none"/>
          <w:u w:val="single"/>
        </w:rPr>
      </w:pPr>
      <w:r>
        <w:rPr>
          <w:rFonts w:hint="eastAsia" w:ascii="黑体" w:hAnsi="黑体" w:eastAsia="黑体" w:cs="黑体"/>
          <w:color w:val="auto"/>
          <w:sz w:val="24"/>
          <w:szCs w:val="24"/>
          <w:highlight w:val="none"/>
        </w:rPr>
        <w:t>关于监理人在施工现场的办公场所、生活场所的提供和费用承担的约定：</w:t>
      </w:r>
      <w:r>
        <w:rPr>
          <w:rFonts w:hint="eastAsia" w:ascii="黑体" w:hAnsi="黑体" w:eastAsia="黑体" w:cs="黑体"/>
          <w:color w:val="auto"/>
          <w:sz w:val="24"/>
          <w:szCs w:val="24"/>
          <w:highlight w:val="none"/>
          <w:u w:val="single"/>
        </w:rPr>
        <w:t xml:space="preserve">                                                </w:t>
      </w:r>
    </w:p>
    <w:p w14:paraId="130B8DDF">
      <w:pPr>
        <w:pStyle w:val="18"/>
        <w:spacing w:line="360" w:lineRule="auto"/>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3F3AE8F9">
      <w:pPr>
        <w:pStyle w:val="19"/>
        <w:spacing w:before="120" w:after="120" w:line="360" w:lineRule="auto"/>
        <w:ind w:firstLine="480" w:firstLineChars="200"/>
        <w:rPr>
          <w:rFonts w:hint="eastAsia" w:ascii="黑体" w:hAnsi="黑体" w:eastAsia="黑体" w:cs="黑体"/>
          <w:b w:val="0"/>
          <w:color w:val="auto"/>
          <w:sz w:val="24"/>
          <w:szCs w:val="24"/>
          <w:highlight w:val="none"/>
        </w:rPr>
      </w:pPr>
      <w:r>
        <w:rPr>
          <w:rFonts w:hint="eastAsia" w:ascii="黑体" w:hAnsi="黑体" w:eastAsia="黑体" w:cs="黑体"/>
          <w:b w:val="0"/>
          <w:color w:val="auto"/>
          <w:sz w:val="24"/>
          <w:szCs w:val="24"/>
          <w:highlight w:val="none"/>
        </w:rPr>
        <w:t>4.2 监理人员</w:t>
      </w:r>
    </w:p>
    <w:p w14:paraId="4FBF10CF">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总监理工程师：</w:t>
      </w:r>
    </w:p>
    <w:p w14:paraId="788CBBD7">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姓    名：</w:t>
      </w:r>
      <w:r>
        <w:rPr>
          <w:rFonts w:hint="eastAsia" w:ascii="黑体" w:hAnsi="黑体" w:eastAsia="黑体" w:cs="黑体"/>
          <w:color w:val="auto"/>
          <w:sz w:val="24"/>
          <w:szCs w:val="24"/>
          <w:highlight w:val="none"/>
          <w:u w:val="single"/>
        </w:rPr>
        <w:t></w:t>
      </w:r>
      <w:r>
        <w:rPr>
          <w:rFonts w:hint="eastAsia" w:ascii="黑体" w:hAnsi="黑体" w:eastAsia="黑体" w:cs="黑体"/>
          <w:color w:val="auto"/>
          <w:sz w:val="24"/>
          <w:szCs w:val="24"/>
          <w:highlight w:val="none"/>
          <w:u w:val="single"/>
          <w:lang w:val="en-US" w:eastAsia="zh-CN"/>
        </w:rPr>
        <w:t xml:space="preserve"> </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4F0F09C8">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职    务：</w:t>
      </w:r>
      <w:r>
        <w:rPr>
          <w:rFonts w:hint="eastAsia" w:ascii="黑体" w:hAnsi="黑体" w:eastAsia="黑体" w:cs="黑体"/>
          <w:color w:val="auto"/>
          <w:sz w:val="24"/>
          <w:szCs w:val="24"/>
          <w:highlight w:val="none"/>
          <w:u w:val="single"/>
        </w:rPr>
        <w:t></w:t>
      </w:r>
      <w:r>
        <w:rPr>
          <w:rFonts w:hint="eastAsia" w:ascii="黑体" w:hAnsi="黑体" w:eastAsia="黑体" w:cs="黑体"/>
          <w:color w:val="auto"/>
          <w:sz w:val="24"/>
          <w:szCs w:val="24"/>
          <w:highlight w:val="none"/>
          <w:u w:val="single"/>
          <w:lang w:val="en-US" w:eastAsia="zh-CN"/>
        </w:rPr>
        <w:t xml:space="preserve"> </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5A4CEF10">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监理工程师执业资格证书号：</w:t>
      </w:r>
      <w:r>
        <w:rPr>
          <w:rFonts w:hint="eastAsia" w:ascii="黑体" w:hAnsi="黑体" w:eastAsia="黑体" w:cs="黑体"/>
          <w:color w:val="auto"/>
          <w:sz w:val="24"/>
          <w:szCs w:val="24"/>
          <w:highlight w:val="none"/>
          <w:u w:val="single"/>
        </w:rPr>
        <w:t> </w:t>
      </w:r>
      <w:r>
        <w:rPr>
          <w:rFonts w:hint="eastAsia" w:ascii="黑体" w:hAnsi="黑体" w:eastAsia="黑体" w:cs="黑体"/>
          <w:color w:val="auto"/>
          <w:sz w:val="24"/>
          <w:szCs w:val="24"/>
          <w:highlight w:val="none"/>
        </w:rPr>
        <w:t>；</w:t>
      </w:r>
    </w:p>
    <w:p w14:paraId="1849D612">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联系电话：</w:t>
      </w:r>
      <w:r>
        <w:rPr>
          <w:rFonts w:hint="eastAsia" w:ascii="黑体" w:hAnsi="黑体" w:eastAsia="黑体" w:cs="黑体"/>
          <w:color w:val="auto"/>
          <w:sz w:val="24"/>
          <w:szCs w:val="24"/>
          <w:highlight w:val="none"/>
          <w:u w:val="single"/>
        </w:rPr>
        <w:t>   </w:t>
      </w:r>
      <w:r>
        <w:rPr>
          <w:rFonts w:hint="eastAsia" w:ascii="黑体" w:hAnsi="黑体" w:eastAsia="黑体" w:cs="黑体"/>
          <w:color w:val="auto"/>
          <w:sz w:val="24"/>
          <w:szCs w:val="24"/>
          <w:highlight w:val="none"/>
        </w:rPr>
        <w:t>；</w:t>
      </w:r>
    </w:p>
    <w:p w14:paraId="60808DFD">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电子信箱：</w:t>
      </w:r>
      <w:r>
        <w:rPr>
          <w:rFonts w:hint="eastAsia" w:ascii="黑体" w:hAnsi="黑体" w:eastAsia="黑体" w:cs="黑体"/>
          <w:color w:val="auto"/>
          <w:sz w:val="24"/>
          <w:szCs w:val="24"/>
          <w:highlight w:val="none"/>
          <w:u w:val="single"/>
        </w:rPr>
        <w:t>   </w:t>
      </w:r>
      <w:r>
        <w:rPr>
          <w:rFonts w:hint="eastAsia" w:ascii="黑体" w:hAnsi="黑体" w:eastAsia="黑体" w:cs="黑体"/>
          <w:color w:val="auto"/>
          <w:sz w:val="24"/>
          <w:szCs w:val="24"/>
          <w:highlight w:val="none"/>
        </w:rPr>
        <w:t>；</w:t>
      </w:r>
    </w:p>
    <w:p w14:paraId="124D14D3">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通信地址：</w:t>
      </w:r>
      <w:r>
        <w:rPr>
          <w:rFonts w:hint="eastAsia" w:ascii="黑体" w:hAnsi="黑体" w:eastAsia="黑体" w:cs="黑体"/>
          <w:color w:val="auto"/>
          <w:sz w:val="24"/>
          <w:szCs w:val="24"/>
          <w:highlight w:val="none"/>
          <w:u w:val="single"/>
        </w:rPr>
        <w:t>   </w:t>
      </w:r>
      <w:r>
        <w:rPr>
          <w:rFonts w:hint="eastAsia" w:ascii="黑体" w:hAnsi="黑体" w:eastAsia="黑体" w:cs="黑体"/>
          <w:color w:val="auto"/>
          <w:sz w:val="24"/>
          <w:szCs w:val="24"/>
          <w:highlight w:val="none"/>
        </w:rPr>
        <w:t>；</w:t>
      </w:r>
    </w:p>
    <w:p w14:paraId="73003413">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关于监理人的其他约定：</w:t>
      </w:r>
      <w:r>
        <w:rPr>
          <w:rFonts w:hint="eastAsia" w:ascii="黑体" w:hAnsi="黑体" w:eastAsia="黑体" w:cs="黑体"/>
          <w:color w:val="auto"/>
          <w:sz w:val="24"/>
          <w:szCs w:val="24"/>
          <w:highlight w:val="none"/>
          <w:u w:val="single"/>
        </w:rPr>
        <w:t>   </w:t>
      </w:r>
      <w:r>
        <w:rPr>
          <w:rFonts w:hint="eastAsia" w:ascii="黑体" w:hAnsi="黑体" w:eastAsia="黑体" w:cs="黑体"/>
          <w:color w:val="auto"/>
          <w:sz w:val="24"/>
          <w:szCs w:val="24"/>
          <w:highlight w:val="none"/>
        </w:rPr>
        <w:t>。</w:t>
      </w:r>
    </w:p>
    <w:p w14:paraId="211A488A">
      <w:pPr>
        <w:pStyle w:val="19"/>
        <w:spacing w:before="120" w:after="120" w:line="360" w:lineRule="auto"/>
        <w:ind w:firstLine="480" w:firstLineChars="200"/>
        <w:rPr>
          <w:rFonts w:hint="eastAsia" w:ascii="黑体" w:hAnsi="黑体" w:eastAsia="黑体" w:cs="黑体"/>
          <w:b w:val="0"/>
          <w:color w:val="auto"/>
          <w:sz w:val="24"/>
          <w:szCs w:val="24"/>
          <w:highlight w:val="none"/>
        </w:rPr>
      </w:pPr>
      <w:r>
        <w:rPr>
          <w:rFonts w:hint="eastAsia" w:ascii="黑体" w:hAnsi="黑体" w:eastAsia="黑体" w:cs="黑体"/>
          <w:b w:val="0"/>
          <w:color w:val="auto"/>
          <w:sz w:val="24"/>
          <w:szCs w:val="24"/>
          <w:highlight w:val="none"/>
        </w:rPr>
        <w:t>4.4 商定或确定</w:t>
      </w:r>
    </w:p>
    <w:p w14:paraId="794A8A6B">
      <w:pPr>
        <w:pStyle w:val="18"/>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在发包人和承包人不能通过协商达成一致意见时，发包人授权监理人对以下事项进行确定：</w:t>
      </w:r>
    </w:p>
    <w:p w14:paraId="09B15007">
      <w:pPr>
        <w:pStyle w:val="18"/>
        <w:autoSpaceDE w:val="0"/>
        <w:autoSpaceDN w:val="0"/>
        <w:adjustRightInd w:val="0"/>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（1）</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15B87ECC">
      <w:pPr>
        <w:pStyle w:val="18"/>
        <w:autoSpaceDE w:val="0"/>
        <w:autoSpaceDN w:val="0"/>
        <w:adjustRightInd w:val="0"/>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（2）</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val="en-US" w:eastAsia="zh-CN"/>
        </w:rPr>
        <w:t>/</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0FC28443">
      <w:pPr>
        <w:pStyle w:val="18"/>
        <w:autoSpaceDE w:val="0"/>
        <w:autoSpaceDN w:val="0"/>
        <w:adjustRightInd w:val="0"/>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（3）</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val="en-US" w:eastAsia="zh-CN"/>
        </w:rPr>
        <w:t>/</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6E99257F">
      <w:pPr>
        <w:pStyle w:val="18"/>
        <w:keepNext/>
        <w:keepLines/>
        <w:spacing w:before="120" w:after="120" w:line="360" w:lineRule="auto"/>
        <w:outlineLvl w:val="3"/>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5. 工程质量</w:t>
      </w:r>
    </w:p>
    <w:p w14:paraId="20C85C07">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5.1 质量要求</w:t>
      </w:r>
    </w:p>
    <w:p w14:paraId="24A70CAD">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5.1.1 特殊质量标准和要求：</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40E1F5DD">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关于工程奖项的约定：</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0BACFFD4">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5.3 隐蔽工程检查</w:t>
      </w:r>
    </w:p>
    <w:p w14:paraId="4235564A">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5.3.2承包人提前通知监理人隐蔽工程检查的期限的约定：</w:t>
      </w:r>
      <w:r>
        <w:rPr>
          <w:rFonts w:hint="eastAsia" w:ascii="黑体" w:hAnsi="黑体" w:eastAsia="黑体" w:cs="黑体"/>
          <w:color w:val="auto"/>
          <w:sz w:val="24"/>
          <w:szCs w:val="24"/>
          <w:highlight w:val="none"/>
          <w:u w:val="single"/>
        </w:rPr>
        <w:t xml:space="preserve">共同检查前48小时书面通知监理人 </w:t>
      </w:r>
      <w:r>
        <w:rPr>
          <w:rFonts w:hint="eastAsia" w:ascii="黑体" w:hAnsi="黑体" w:eastAsia="黑体" w:cs="黑体"/>
          <w:b/>
          <w:color w:val="auto"/>
          <w:sz w:val="24"/>
          <w:szCs w:val="24"/>
          <w:highlight w:val="none"/>
          <w:u w:val="single"/>
        </w:rPr>
        <w:t xml:space="preserve"> </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0737ABCF">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监理人不能按时进行检查时，应提前</w:t>
      </w:r>
      <w:r>
        <w:rPr>
          <w:rFonts w:hint="eastAsia" w:ascii="黑体" w:hAnsi="黑体" w:eastAsia="黑体" w:cs="黑体"/>
          <w:color w:val="auto"/>
          <w:sz w:val="24"/>
          <w:szCs w:val="24"/>
          <w:highlight w:val="none"/>
          <w:u w:val="single"/>
        </w:rPr>
        <w:t xml:space="preserve">  24     </w:t>
      </w:r>
      <w:r>
        <w:rPr>
          <w:rFonts w:hint="eastAsia" w:ascii="黑体" w:hAnsi="黑体" w:eastAsia="黑体" w:cs="黑体"/>
          <w:color w:val="auto"/>
          <w:sz w:val="24"/>
          <w:szCs w:val="24"/>
          <w:highlight w:val="none"/>
        </w:rPr>
        <w:t>小时提交书面延期要求。</w:t>
      </w:r>
    </w:p>
    <w:p w14:paraId="3AD422E3">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关于延期最长不得超过：</w:t>
      </w:r>
      <w:r>
        <w:rPr>
          <w:rFonts w:hint="eastAsia" w:ascii="黑体" w:hAnsi="黑体" w:eastAsia="黑体" w:cs="黑体"/>
          <w:color w:val="auto"/>
          <w:sz w:val="24"/>
          <w:szCs w:val="24"/>
          <w:highlight w:val="none"/>
          <w:u w:val="single"/>
        </w:rPr>
        <w:t xml:space="preserve">   48      </w:t>
      </w:r>
      <w:r>
        <w:rPr>
          <w:rFonts w:hint="eastAsia" w:ascii="黑体" w:hAnsi="黑体" w:eastAsia="黑体" w:cs="黑体"/>
          <w:color w:val="auto"/>
          <w:sz w:val="24"/>
          <w:szCs w:val="24"/>
          <w:highlight w:val="none"/>
        </w:rPr>
        <w:t>小时。</w:t>
      </w:r>
    </w:p>
    <w:p w14:paraId="5992006D">
      <w:pPr>
        <w:pStyle w:val="18"/>
        <w:keepNext/>
        <w:keepLines/>
        <w:spacing w:before="120" w:after="120" w:line="360" w:lineRule="auto"/>
        <w:outlineLvl w:val="3"/>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6. 安全文明施工与环境保护</w:t>
      </w:r>
    </w:p>
    <w:p w14:paraId="43592E39">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6.1安全文明施工</w:t>
      </w:r>
    </w:p>
    <w:p w14:paraId="244670D4">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6.1.1 项目安全生产的达标目标及相应事项的约定：</w:t>
      </w:r>
      <w:r>
        <w:rPr>
          <w:rFonts w:hint="eastAsia" w:ascii="黑体" w:hAnsi="黑体" w:eastAsia="黑体" w:cs="黑体"/>
          <w:color w:val="auto"/>
          <w:sz w:val="24"/>
          <w:szCs w:val="24"/>
          <w:highlight w:val="none"/>
          <w:u w:val="single"/>
        </w:rPr>
        <w:t xml:space="preserve">要求达到《建筑施工安全检查标准》（JGJ59-2018）标准      </w:t>
      </w:r>
      <w:r>
        <w:rPr>
          <w:rFonts w:hint="eastAsia" w:ascii="黑体" w:hAnsi="黑体" w:eastAsia="黑体" w:cs="黑体"/>
          <w:color w:val="auto"/>
          <w:sz w:val="24"/>
          <w:szCs w:val="24"/>
          <w:highlight w:val="none"/>
        </w:rPr>
        <w:t>。</w:t>
      </w:r>
    </w:p>
    <w:p w14:paraId="03CB2901">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6.1.4 关于治安保卫的特别约定：</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val="en-US" w:eastAsia="zh-CN"/>
        </w:rPr>
        <w:t>执行通用条款</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4E67D31A">
      <w:pPr>
        <w:pStyle w:val="18"/>
        <w:spacing w:line="360" w:lineRule="auto"/>
        <w:ind w:right="-73" w:rightChars="-35"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关于编制施工场地治安管理计划的约定：</w:t>
      </w:r>
      <w:r>
        <w:rPr>
          <w:rFonts w:hint="eastAsia" w:ascii="黑体" w:hAnsi="黑体" w:eastAsia="黑体" w:cs="黑体"/>
          <w:color w:val="auto"/>
          <w:sz w:val="24"/>
          <w:szCs w:val="24"/>
          <w:highlight w:val="none"/>
          <w:u w:val="single"/>
        </w:rPr>
        <w:t xml:space="preserve">开工前提供施工场地治安管理划     </w:t>
      </w:r>
      <w:r>
        <w:rPr>
          <w:rFonts w:hint="eastAsia" w:ascii="黑体" w:hAnsi="黑体" w:eastAsia="黑体" w:cs="黑体"/>
          <w:color w:val="auto"/>
          <w:sz w:val="24"/>
          <w:szCs w:val="24"/>
          <w:highlight w:val="none"/>
        </w:rPr>
        <w:t>。</w:t>
      </w:r>
    </w:p>
    <w:p w14:paraId="5569D333">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6.1.5 文明施工</w:t>
      </w:r>
    </w:p>
    <w:p w14:paraId="14E62B96">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合同当事人对文明施工的要求：</w:t>
      </w:r>
      <w:r>
        <w:rPr>
          <w:rFonts w:hint="eastAsia" w:ascii="黑体" w:hAnsi="黑体" w:eastAsia="黑体" w:cs="黑体"/>
          <w:color w:val="auto"/>
          <w:sz w:val="24"/>
          <w:szCs w:val="24"/>
          <w:highlight w:val="none"/>
          <w:u w:val="single"/>
        </w:rPr>
        <w:t xml:space="preserve">  达到《建筑施工现场环境与卫生标准》（JGJ146-2013）  </w:t>
      </w:r>
      <w:r>
        <w:rPr>
          <w:rFonts w:hint="eastAsia" w:ascii="黑体" w:hAnsi="黑体" w:eastAsia="黑体" w:cs="黑体"/>
          <w:color w:val="auto"/>
          <w:sz w:val="24"/>
          <w:szCs w:val="24"/>
          <w:highlight w:val="none"/>
        </w:rPr>
        <w:t>。</w:t>
      </w:r>
    </w:p>
    <w:p w14:paraId="1620DEE7">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6.1.6 关于安全文明施工费支付比例和支付期限的约定：</w:t>
      </w:r>
      <w:r>
        <w:rPr>
          <w:rFonts w:hint="eastAsia" w:ascii="黑体" w:hAnsi="黑体" w:eastAsia="黑体" w:cs="黑体"/>
          <w:color w:val="auto"/>
          <w:sz w:val="24"/>
          <w:szCs w:val="24"/>
          <w:highlight w:val="none"/>
          <w:u w:val="single"/>
        </w:rPr>
        <w:t xml:space="preserve">纳入合同价格付    </w:t>
      </w:r>
      <w:r>
        <w:rPr>
          <w:rFonts w:hint="eastAsia" w:ascii="黑体" w:hAnsi="黑体" w:eastAsia="黑体" w:cs="黑体"/>
          <w:color w:val="auto"/>
          <w:sz w:val="24"/>
          <w:szCs w:val="24"/>
          <w:highlight w:val="none"/>
        </w:rPr>
        <w:t>。</w:t>
      </w:r>
    </w:p>
    <w:p w14:paraId="2809FE8F">
      <w:pPr>
        <w:pStyle w:val="18"/>
        <w:keepNext/>
        <w:keepLines/>
        <w:spacing w:before="120" w:after="120" w:line="360" w:lineRule="auto"/>
        <w:outlineLvl w:val="3"/>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7. 工期和进度</w:t>
      </w:r>
    </w:p>
    <w:p w14:paraId="0071F111">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7.1 施工组织设计</w:t>
      </w:r>
    </w:p>
    <w:p w14:paraId="7CCB1871">
      <w:pPr>
        <w:pStyle w:val="18"/>
        <w:autoSpaceDE w:val="0"/>
        <w:autoSpaceDN w:val="0"/>
        <w:adjustRightInd w:val="0"/>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sz w:val="24"/>
          <w:szCs w:val="24"/>
          <w:highlight w:val="none"/>
        </w:rPr>
        <w:t>7.1.1 合</w:t>
      </w:r>
      <w:r>
        <w:rPr>
          <w:rFonts w:hint="eastAsia" w:ascii="黑体" w:hAnsi="黑体" w:eastAsia="黑体" w:cs="黑体"/>
          <w:color w:val="auto"/>
          <w:kern w:val="0"/>
          <w:sz w:val="24"/>
          <w:szCs w:val="24"/>
          <w:highlight w:val="none"/>
        </w:rPr>
        <w:t>同当事人约定的施工组织设计应包括的其他内容：</w:t>
      </w:r>
      <w:r>
        <w:rPr>
          <w:rFonts w:hint="eastAsia" w:ascii="黑体" w:hAnsi="黑体" w:eastAsia="黑体" w:cs="黑体"/>
          <w:color w:val="auto"/>
          <w:kern w:val="0"/>
          <w:sz w:val="24"/>
          <w:szCs w:val="24"/>
          <w:highlight w:val="none"/>
          <w:u w:val="single"/>
          <w:lang w:val="en-US" w:eastAsia="zh-CN"/>
        </w:rPr>
        <w:t>按竞争性磋商文件约定，竞争性磋商文件无约定按通用条款或双方另行约定</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083AEB6C">
      <w:pPr>
        <w:pStyle w:val="18"/>
        <w:autoSpaceDE w:val="0"/>
        <w:autoSpaceDN w:val="0"/>
        <w:adjustRightInd w:val="0"/>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sz w:val="24"/>
          <w:szCs w:val="24"/>
          <w:highlight w:val="none"/>
        </w:rPr>
        <w:t xml:space="preserve">7.1.2 </w:t>
      </w:r>
      <w:r>
        <w:rPr>
          <w:rFonts w:hint="eastAsia" w:ascii="黑体" w:hAnsi="黑体" w:eastAsia="黑体" w:cs="黑体"/>
          <w:color w:val="auto"/>
          <w:kern w:val="0"/>
          <w:sz w:val="24"/>
          <w:szCs w:val="24"/>
          <w:highlight w:val="none"/>
        </w:rPr>
        <w:t>施工组织设计的提交和修改</w:t>
      </w:r>
    </w:p>
    <w:p w14:paraId="41625746">
      <w:pPr>
        <w:pStyle w:val="18"/>
        <w:autoSpaceDE w:val="0"/>
        <w:autoSpaceDN w:val="0"/>
        <w:adjustRightInd w:val="0"/>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kern w:val="0"/>
          <w:sz w:val="24"/>
          <w:szCs w:val="24"/>
          <w:highlight w:val="none"/>
        </w:rPr>
        <w:t>承包人提交详细施工组织设计的期限的约定：</w:t>
      </w:r>
      <w:r>
        <w:rPr>
          <w:rFonts w:hint="eastAsia" w:ascii="黑体" w:hAnsi="黑体" w:eastAsia="黑体" w:cs="黑体"/>
          <w:color w:val="auto"/>
          <w:sz w:val="24"/>
          <w:szCs w:val="24"/>
          <w:highlight w:val="none"/>
          <w:u w:val="single"/>
        </w:rPr>
        <w:t xml:space="preserve">  开工前      </w:t>
      </w:r>
      <w:r>
        <w:rPr>
          <w:rFonts w:hint="eastAsia" w:ascii="黑体" w:hAnsi="黑体" w:eastAsia="黑体" w:cs="黑体"/>
          <w:color w:val="auto"/>
          <w:sz w:val="24"/>
          <w:szCs w:val="24"/>
          <w:highlight w:val="none"/>
        </w:rPr>
        <w:t>。</w:t>
      </w:r>
    </w:p>
    <w:p w14:paraId="4115B791">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发包人和监理人在收到详细的施工组织设计后确认或提出修改意见的期限：</w:t>
      </w:r>
      <w:r>
        <w:rPr>
          <w:rFonts w:hint="eastAsia" w:ascii="黑体" w:hAnsi="黑体" w:eastAsia="黑体" w:cs="黑体"/>
          <w:color w:val="auto"/>
          <w:sz w:val="24"/>
          <w:szCs w:val="24"/>
          <w:highlight w:val="none"/>
          <w:u w:val="single"/>
        </w:rPr>
        <w:t xml:space="preserve">收到后7天内                          </w:t>
      </w:r>
      <w:r>
        <w:rPr>
          <w:rFonts w:hint="eastAsia" w:ascii="黑体" w:hAnsi="黑体" w:eastAsia="黑体" w:cs="黑体"/>
          <w:color w:val="auto"/>
          <w:sz w:val="24"/>
          <w:szCs w:val="24"/>
          <w:highlight w:val="none"/>
        </w:rPr>
        <w:t>。</w:t>
      </w:r>
    </w:p>
    <w:p w14:paraId="6BA259B2">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7.2 施工进度计划</w:t>
      </w:r>
    </w:p>
    <w:p w14:paraId="08581EE9">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7.2.2 施工进度计划的修订</w:t>
      </w:r>
    </w:p>
    <w:p w14:paraId="468488CE">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发包人和监理人在收到修订的施工进度计划后确认或提出修改意见的期限：</w:t>
      </w:r>
      <w:r>
        <w:rPr>
          <w:rFonts w:hint="eastAsia" w:ascii="黑体" w:hAnsi="黑体" w:eastAsia="黑体" w:cs="黑体"/>
          <w:color w:val="auto"/>
          <w:sz w:val="24"/>
          <w:szCs w:val="24"/>
          <w:highlight w:val="none"/>
          <w:u w:val="single"/>
        </w:rPr>
        <w:t xml:space="preserve">   收到后5天内             </w:t>
      </w:r>
      <w:r>
        <w:rPr>
          <w:rFonts w:hint="eastAsia" w:ascii="黑体" w:hAnsi="黑体" w:eastAsia="黑体" w:cs="黑体"/>
          <w:color w:val="auto"/>
          <w:sz w:val="24"/>
          <w:szCs w:val="24"/>
          <w:highlight w:val="none"/>
        </w:rPr>
        <w:t>。</w:t>
      </w:r>
    </w:p>
    <w:p w14:paraId="2EAC532E">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7.3 开工</w:t>
      </w:r>
    </w:p>
    <w:p w14:paraId="1E99C5C2">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7.3.1 开工准备</w:t>
      </w:r>
    </w:p>
    <w:p w14:paraId="6BB94812">
      <w:pPr>
        <w:pStyle w:val="18"/>
        <w:spacing w:line="360" w:lineRule="auto"/>
        <w:ind w:firstLine="645"/>
        <w:jc w:val="left"/>
        <w:rPr>
          <w:rFonts w:hint="eastAsia" w:ascii="黑体" w:hAnsi="黑体" w:eastAsia="黑体" w:cs="黑体"/>
          <w:color w:val="auto"/>
          <w:sz w:val="24"/>
          <w:szCs w:val="24"/>
          <w:highlight w:val="none"/>
          <w:u w:val="single"/>
        </w:rPr>
      </w:pPr>
      <w:r>
        <w:rPr>
          <w:rFonts w:hint="eastAsia" w:ascii="黑体" w:hAnsi="黑体" w:eastAsia="黑体" w:cs="黑体"/>
          <w:color w:val="auto"/>
          <w:sz w:val="24"/>
          <w:szCs w:val="24"/>
          <w:highlight w:val="none"/>
        </w:rPr>
        <w:t>关于承包人提交</w:t>
      </w:r>
      <w:r>
        <w:rPr>
          <w:rFonts w:hint="eastAsia" w:ascii="黑体" w:hAnsi="黑体" w:eastAsia="黑体" w:cs="黑体"/>
          <w:color w:val="auto"/>
          <w:kern w:val="0"/>
          <w:sz w:val="24"/>
          <w:szCs w:val="24"/>
          <w:highlight w:val="none"/>
        </w:rPr>
        <w:t>工程开工报审表的期限：</w:t>
      </w:r>
      <w:r>
        <w:rPr>
          <w:rFonts w:hint="eastAsia" w:ascii="黑体" w:hAnsi="黑体" w:eastAsia="黑体" w:cs="黑体"/>
          <w:color w:val="auto"/>
          <w:sz w:val="24"/>
          <w:szCs w:val="24"/>
          <w:highlight w:val="none"/>
          <w:u w:val="single"/>
        </w:rPr>
        <w:t xml:space="preserve"> 合同签订后、开工前 </w:t>
      </w:r>
      <w:r>
        <w:rPr>
          <w:rFonts w:hint="eastAsia" w:ascii="黑体" w:hAnsi="黑体" w:eastAsia="黑体" w:cs="黑体"/>
          <w:color w:val="auto"/>
          <w:sz w:val="24"/>
          <w:szCs w:val="24"/>
          <w:highlight w:val="none"/>
        </w:rPr>
        <w:t>。</w:t>
      </w:r>
    </w:p>
    <w:p w14:paraId="51E7EE55">
      <w:pPr>
        <w:pStyle w:val="18"/>
        <w:spacing w:line="360" w:lineRule="auto"/>
        <w:ind w:firstLine="645"/>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关于发包人应完成的其他开工准备工作及期限：</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6836FCF5">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关于承包人应完成的其他开工准备工作及期限：</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61ABDE07">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7.3.2开工通知</w:t>
      </w:r>
    </w:p>
    <w:p w14:paraId="6DDDC5EE">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因发包人原因造成监理人未能在计划开工日期之日起</w:t>
      </w:r>
      <w:r>
        <w:rPr>
          <w:rFonts w:hint="eastAsia" w:ascii="黑体" w:hAnsi="黑体" w:eastAsia="黑体" w:cs="黑体"/>
          <w:color w:val="auto"/>
          <w:sz w:val="24"/>
          <w:szCs w:val="24"/>
          <w:highlight w:val="none"/>
          <w:u w:val="single"/>
        </w:rPr>
        <w:t xml:space="preserve">  60   </w:t>
      </w:r>
      <w:r>
        <w:rPr>
          <w:rFonts w:hint="eastAsia" w:ascii="黑体" w:hAnsi="黑体" w:eastAsia="黑体" w:cs="黑体"/>
          <w:color w:val="auto"/>
          <w:sz w:val="24"/>
          <w:szCs w:val="24"/>
          <w:highlight w:val="none"/>
        </w:rPr>
        <w:t>天内发出开工通知的，承包人有权提出价格调整要求，或者解除合同。</w:t>
      </w:r>
    </w:p>
    <w:p w14:paraId="16254703">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7.4 测量放线</w:t>
      </w:r>
    </w:p>
    <w:p w14:paraId="4C9E7613">
      <w:pPr>
        <w:pStyle w:val="18"/>
        <w:spacing w:line="360" w:lineRule="auto"/>
        <w:ind w:firstLine="480" w:firstLineChars="200"/>
        <w:jc w:val="left"/>
        <w:rPr>
          <w:rFonts w:hint="eastAsia" w:ascii="黑体" w:hAnsi="黑体" w:eastAsia="黑体" w:cs="黑体"/>
          <w:color w:val="auto"/>
          <w:sz w:val="24"/>
          <w:szCs w:val="24"/>
          <w:highlight w:val="none"/>
          <w:u w:val="single"/>
        </w:rPr>
      </w:pPr>
      <w:r>
        <w:rPr>
          <w:rFonts w:hint="eastAsia" w:ascii="黑体" w:hAnsi="黑体" w:eastAsia="黑体" w:cs="黑体"/>
          <w:color w:val="auto"/>
          <w:sz w:val="24"/>
          <w:szCs w:val="24"/>
          <w:highlight w:val="none"/>
        </w:rPr>
        <w:t>7.4.1发包人通过监理人向承包人提供测量基准点、基准线和水准点及其书面资料的期限：</w:t>
      </w:r>
      <w:r>
        <w:rPr>
          <w:rFonts w:hint="eastAsia" w:ascii="黑体" w:hAnsi="黑体" w:eastAsia="黑体" w:cs="黑体"/>
          <w:color w:val="auto"/>
          <w:sz w:val="24"/>
          <w:szCs w:val="24"/>
          <w:highlight w:val="none"/>
          <w:u w:val="single"/>
        </w:rPr>
        <w:t xml:space="preserve">合同签订后、开工前             </w:t>
      </w:r>
      <w:r>
        <w:rPr>
          <w:rFonts w:hint="eastAsia" w:ascii="黑体" w:hAnsi="黑体" w:eastAsia="黑体" w:cs="黑体"/>
          <w:color w:val="auto"/>
          <w:sz w:val="24"/>
          <w:szCs w:val="24"/>
          <w:highlight w:val="none"/>
        </w:rPr>
        <w:t>。</w:t>
      </w:r>
    </w:p>
    <w:p w14:paraId="3A5840AD">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7.5 工期延误</w:t>
      </w:r>
    </w:p>
    <w:p w14:paraId="16747CC7">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7.5.1 因发包人原因导致工期延误</w:t>
      </w:r>
    </w:p>
    <w:p w14:paraId="2B72841A">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（7）因发包人原因导致工期延误的其他情形：</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val="en-US" w:eastAsia="zh-CN"/>
        </w:rPr>
        <w:t>①重大设计变更而影响工程进度；② 不可抗力影响工程进度</w:t>
      </w:r>
    </w:p>
    <w:p w14:paraId="10029D10">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7.5.2 因承包人原因导致工期延误</w:t>
      </w:r>
    </w:p>
    <w:p w14:paraId="0696E2E7">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因承包人原因造成工期延误，逾期竣工违约金的计算方法为：</w:t>
      </w:r>
      <w:r>
        <w:rPr>
          <w:rFonts w:hint="eastAsia" w:ascii="黑体" w:hAnsi="黑体" w:eastAsia="黑体" w:cs="黑体"/>
          <w:color w:val="auto"/>
          <w:sz w:val="24"/>
          <w:szCs w:val="24"/>
          <w:highlight w:val="none"/>
          <w:u w:val="single"/>
        </w:rPr>
        <w:t xml:space="preserve">工期延迟按2000元/天处罚承包人   </w:t>
      </w:r>
      <w:r>
        <w:rPr>
          <w:rFonts w:hint="eastAsia" w:ascii="黑体" w:hAnsi="黑体" w:eastAsia="黑体" w:cs="黑体"/>
          <w:color w:val="auto"/>
          <w:sz w:val="24"/>
          <w:szCs w:val="24"/>
          <w:highlight w:val="none"/>
        </w:rPr>
        <w:t>。</w:t>
      </w:r>
    </w:p>
    <w:p w14:paraId="0B6EC35B">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因承包人原因造成工期延误，逾期竣工违约金的上限：</w:t>
      </w:r>
      <w:r>
        <w:rPr>
          <w:rFonts w:hint="eastAsia" w:ascii="黑体" w:hAnsi="黑体" w:eastAsia="黑体" w:cs="黑体"/>
          <w:color w:val="auto"/>
          <w:sz w:val="24"/>
          <w:szCs w:val="24"/>
          <w:highlight w:val="none"/>
          <w:u w:val="single"/>
        </w:rPr>
        <w:t xml:space="preserve">总额不超过合同价款的3% </w:t>
      </w:r>
      <w:r>
        <w:rPr>
          <w:rFonts w:hint="eastAsia" w:ascii="黑体" w:hAnsi="黑体" w:eastAsia="黑体" w:cs="黑体"/>
          <w:color w:val="auto"/>
          <w:sz w:val="24"/>
          <w:szCs w:val="24"/>
          <w:highlight w:val="none"/>
        </w:rPr>
        <w:t>。</w:t>
      </w:r>
    </w:p>
    <w:p w14:paraId="54FE0ACB">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7.6 不利物质条件</w:t>
      </w:r>
    </w:p>
    <w:p w14:paraId="1AF40A2D">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不利物质条件的其他情形和有关约定：</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2D1E821B">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7.7异常恶劣的气候条件</w:t>
      </w:r>
    </w:p>
    <w:p w14:paraId="20AAA269">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发包人和承包人同意以下情形视为异常恶劣的气候条件：</w:t>
      </w:r>
    </w:p>
    <w:p w14:paraId="32D2C522">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val="en-US" w:eastAsia="zh-CN"/>
        </w:rPr>
        <w:t>执行通用条款</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2739D713">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6E680AE8">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7.9 提前竣工的奖励</w:t>
      </w:r>
    </w:p>
    <w:p w14:paraId="5B22CD66">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7.9.2提前竣工的奖励：</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527488B4">
      <w:pPr>
        <w:pStyle w:val="18"/>
        <w:keepNext/>
        <w:keepLines/>
        <w:spacing w:before="120" w:after="120" w:line="360" w:lineRule="auto"/>
        <w:outlineLvl w:val="3"/>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8. 材料与设备</w:t>
      </w:r>
    </w:p>
    <w:p w14:paraId="5622D598">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8.4材料与工程设备的保管与使用</w:t>
      </w:r>
    </w:p>
    <w:p w14:paraId="690A20F2">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8.4.1发包人供应的材料设备的保管费用的承担：</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val="en-US" w:eastAsia="zh-CN"/>
        </w:rPr>
        <w:t xml:space="preserve">/ </w:t>
      </w:r>
      <w:r>
        <w:rPr>
          <w:rFonts w:hint="eastAsia" w:ascii="黑体" w:hAnsi="黑体" w:eastAsia="黑体" w:cs="黑体"/>
          <w:color w:val="auto"/>
          <w:sz w:val="24"/>
          <w:szCs w:val="24"/>
          <w:highlight w:val="none"/>
        </w:rPr>
        <w:t>。</w:t>
      </w:r>
    </w:p>
    <w:p w14:paraId="3A8FED3D">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8.6 样品</w:t>
      </w:r>
    </w:p>
    <w:p w14:paraId="3EEEF991">
      <w:pPr>
        <w:pStyle w:val="18"/>
        <w:autoSpaceDE w:val="0"/>
        <w:autoSpaceDN w:val="0"/>
        <w:adjustRightInd w:val="0"/>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8.6.1</w:t>
      </w:r>
      <w:r>
        <w:rPr>
          <w:rFonts w:hint="eastAsia" w:ascii="黑体" w:hAnsi="黑体" w:eastAsia="黑体" w:cs="黑体"/>
          <w:color w:val="auto"/>
          <w:kern w:val="0"/>
          <w:sz w:val="24"/>
          <w:szCs w:val="24"/>
          <w:highlight w:val="none"/>
        </w:rPr>
        <w:tab/>
      </w:r>
      <w:r>
        <w:rPr>
          <w:rFonts w:hint="eastAsia" w:ascii="黑体" w:hAnsi="黑体" w:eastAsia="黑体" w:cs="黑体"/>
          <w:color w:val="auto"/>
          <w:kern w:val="0"/>
          <w:sz w:val="24"/>
          <w:szCs w:val="24"/>
          <w:highlight w:val="none"/>
        </w:rPr>
        <w:t>样品的报送与封存</w:t>
      </w:r>
    </w:p>
    <w:p w14:paraId="14A810AB">
      <w:pPr>
        <w:pStyle w:val="18"/>
        <w:autoSpaceDE w:val="0"/>
        <w:autoSpaceDN w:val="0"/>
        <w:adjustRightInd w:val="0"/>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kern w:val="0"/>
          <w:sz w:val="24"/>
          <w:szCs w:val="24"/>
          <w:highlight w:val="none"/>
        </w:rPr>
        <w:t>需要承包人报送样品的材料或工程设备，样品的种类、名称、规格、数量要求：</w:t>
      </w:r>
      <w:r>
        <w:rPr>
          <w:rFonts w:hint="eastAsia" w:ascii="黑体" w:hAnsi="黑体" w:eastAsia="黑体" w:cs="黑体"/>
          <w:color w:val="auto"/>
          <w:kern w:val="0"/>
          <w:sz w:val="24"/>
          <w:szCs w:val="24"/>
          <w:highlight w:val="none"/>
          <w:u w:val="single"/>
          <w:lang w:val="en-US" w:eastAsia="zh-CN"/>
        </w:rPr>
        <w:t>执行通用条款，按发包人需求确定</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5A9B88C3">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8.8 施工设备和临时设施</w:t>
      </w:r>
    </w:p>
    <w:p w14:paraId="7D9AFFE5">
      <w:pPr>
        <w:pStyle w:val="18"/>
        <w:autoSpaceDE w:val="0"/>
        <w:autoSpaceDN w:val="0"/>
        <w:adjustRightInd w:val="0"/>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8.8.1 承包人提供的施工设备和临时设施</w:t>
      </w:r>
    </w:p>
    <w:p w14:paraId="1C1E4AD0">
      <w:pPr>
        <w:pStyle w:val="18"/>
        <w:autoSpaceDE w:val="0"/>
        <w:autoSpaceDN w:val="0"/>
        <w:adjustRightInd w:val="0"/>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关于修建临时设施费用承担的约定：</w:t>
      </w:r>
      <w:r>
        <w:rPr>
          <w:rFonts w:hint="eastAsia" w:ascii="黑体" w:hAnsi="黑体" w:eastAsia="黑体" w:cs="黑体"/>
          <w:color w:val="auto"/>
          <w:sz w:val="24"/>
          <w:szCs w:val="24"/>
          <w:highlight w:val="none"/>
          <w:u w:val="single"/>
        </w:rPr>
        <w:t xml:space="preserve">  由承包人承担         </w:t>
      </w:r>
      <w:r>
        <w:rPr>
          <w:rFonts w:hint="eastAsia" w:ascii="黑体" w:hAnsi="黑体" w:eastAsia="黑体" w:cs="黑体"/>
          <w:color w:val="auto"/>
          <w:sz w:val="24"/>
          <w:szCs w:val="24"/>
          <w:highlight w:val="none"/>
        </w:rPr>
        <w:t>。</w:t>
      </w:r>
    </w:p>
    <w:p w14:paraId="5B4E913E">
      <w:pPr>
        <w:pStyle w:val="18"/>
        <w:keepNext/>
        <w:keepLines/>
        <w:spacing w:before="120" w:after="120" w:line="360" w:lineRule="auto"/>
        <w:outlineLvl w:val="3"/>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9. 试验与检验</w:t>
      </w:r>
    </w:p>
    <w:p w14:paraId="1233C676">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9.1试验设备与试验人员</w:t>
      </w:r>
    </w:p>
    <w:p w14:paraId="1A46A0E1">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9.1.2 试验设备</w:t>
      </w:r>
    </w:p>
    <w:p w14:paraId="52F14889">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施工现场需要配置的试验场所：</w:t>
      </w:r>
      <w:r>
        <w:rPr>
          <w:rFonts w:hint="eastAsia" w:ascii="黑体" w:hAnsi="黑体" w:eastAsia="黑体" w:cs="黑体"/>
          <w:color w:val="auto"/>
          <w:sz w:val="24"/>
          <w:szCs w:val="24"/>
          <w:highlight w:val="none"/>
          <w:u w:val="single"/>
        </w:rPr>
        <w:t xml:space="preserve">   按有关规定执行         </w:t>
      </w:r>
      <w:r>
        <w:rPr>
          <w:rFonts w:hint="eastAsia" w:ascii="黑体" w:hAnsi="黑体" w:eastAsia="黑体" w:cs="黑体"/>
          <w:color w:val="auto"/>
          <w:sz w:val="24"/>
          <w:szCs w:val="24"/>
          <w:highlight w:val="none"/>
        </w:rPr>
        <w:t xml:space="preserve">。 </w:t>
      </w:r>
    </w:p>
    <w:p w14:paraId="2CB067A7">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施工现场需要配备的试验设备：</w:t>
      </w:r>
      <w:r>
        <w:rPr>
          <w:rFonts w:hint="eastAsia" w:ascii="黑体" w:hAnsi="黑体" w:eastAsia="黑体" w:cs="黑体"/>
          <w:color w:val="auto"/>
          <w:sz w:val="24"/>
          <w:szCs w:val="24"/>
          <w:highlight w:val="none"/>
          <w:u w:val="single"/>
        </w:rPr>
        <w:t xml:space="preserve">   按有关规定执行        </w:t>
      </w:r>
      <w:r>
        <w:rPr>
          <w:rFonts w:hint="eastAsia" w:ascii="黑体" w:hAnsi="黑体" w:eastAsia="黑体" w:cs="黑体"/>
          <w:color w:val="auto"/>
          <w:sz w:val="24"/>
          <w:szCs w:val="24"/>
          <w:highlight w:val="none"/>
        </w:rPr>
        <w:t>。</w:t>
      </w:r>
    </w:p>
    <w:p w14:paraId="17202A55">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施工现场需要具备的其他试验条件：</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31580CF8">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 xml:space="preserve">9.4 现场工艺试验 </w:t>
      </w:r>
    </w:p>
    <w:p w14:paraId="2F17AE13">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现场工艺试验的有关约定：</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081CA744">
      <w:pPr>
        <w:pStyle w:val="18"/>
        <w:keepNext/>
        <w:keepLines/>
        <w:spacing w:before="120" w:after="120" w:line="360" w:lineRule="auto"/>
        <w:outlineLvl w:val="3"/>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10. 变更</w:t>
      </w:r>
    </w:p>
    <w:p w14:paraId="3EA5C180">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10.1变更的范围</w:t>
      </w:r>
    </w:p>
    <w:p w14:paraId="627919B1">
      <w:pPr>
        <w:pStyle w:val="18"/>
        <w:spacing w:line="360" w:lineRule="auto"/>
        <w:ind w:firstLine="6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关于变更的范围的约定：</w:t>
      </w:r>
      <w:r>
        <w:rPr>
          <w:rFonts w:hint="eastAsia" w:ascii="黑体" w:hAnsi="黑体" w:eastAsia="黑体" w:cs="黑体"/>
          <w:color w:val="auto"/>
          <w:sz w:val="24"/>
          <w:szCs w:val="24"/>
          <w:highlight w:val="none"/>
          <w:u w:val="single"/>
        </w:rPr>
        <w:t xml:space="preserve">   执行通用条款                </w:t>
      </w:r>
      <w:r>
        <w:rPr>
          <w:rFonts w:hint="eastAsia" w:ascii="黑体" w:hAnsi="黑体" w:eastAsia="黑体" w:cs="黑体"/>
          <w:color w:val="auto"/>
          <w:sz w:val="24"/>
          <w:szCs w:val="24"/>
          <w:highlight w:val="none"/>
        </w:rPr>
        <w:t>。</w:t>
      </w:r>
    </w:p>
    <w:p w14:paraId="219BB74C">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10.4 变更估价</w:t>
      </w:r>
    </w:p>
    <w:p w14:paraId="6E38EBB7">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10.4.1 变更估价原则</w:t>
      </w:r>
    </w:p>
    <w:p w14:paraId="5C5FED84">
      <w:pPr>
        <w:pStyle w:val="18"/>
        <w:spacing w:line="360" w:lineRule="auto"/>
        <w:ind w:firstLine="480" w:firstLineChars="200"/>
        <w:jc w:val="left"/>
        <w:rPr>
          <w:rFonts w:hint="eastAsia" w:ascii="黑体" w:hAnsi="黑体" w:eastAsia="黑体" w:cs="黑体"/>
          <w:color w:val="auto"/>
          <w:sz w:val="24"/>
          <w:szCs w:val="24"/>
          <w:highlight w:val="none"/>
          <w:u w:val="single"/>
        </w:rPr>
      </w:pPr>
      <w:r>
        <w:rPr>
          <w:rFonts w:hint="eastAsia" w:ascii="黑体" w:hAnsi="黑体" w:eastAsia="黑体" w:cs="黑体"/>
          <w:color w:val="auto"/>
          <w:sz w:val="24"/>
          <w:szCs w:val="24"/>
          <w:highlight w:val="none"/>
        </w:rPr>
        <w:t xml:space="preserve">关于变更估价的约定: </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val="en-US" w:eastAsia="zh-CN"/>
        </w:rPr>
        <w:t>执行通用条款</w:t>
      </w:r>
      <w:r>
        <w:rPr>
          <w:rFonts w:hint="eastAsia" w:ascii="黑体" w:hAnsi="黑体" w:eastAsia="黑体" w:cs="黑体"/>
          <w:color w:val="auto"/>
          <w:sz w:val="24"/>
          <w:szCs w:val="24"/>
          <w:highlight w:val="none"/>
          <w:u w:val="single"/>
        </w:rPr>
        <w:t>。</w:t>
      </w:r>
    </w:p>
    <w:p w14:paraId="5B5F46CA">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10.5承包人的合理化建议</w:t>
      </w:r>
    </w:p>
    <w:p w14:paraId="2D660391">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监理人审查承包人合理化建议的期限：</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5C3E72CB">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发包人审批承包人合理化建议的期限：</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1C016DD0">
      <w:pPr>
        <w:pStyle w:val="18"/>
        <w:spacing w:line="360" w:lineRule="auto"/>
        <w:ind w:firstLine="480" w:firstLineChars="200"/>
        <w:jc w:val="left"/>
        <w:rPr>
          <w:rFonts w:hint="eastAsia" w:ascii="黑体" w:hAnsi="黑体" w:eastAsia="黑体" w:cs="黑体"/>
          <w:color w:val="auto"/>
          <w:sz w:val="24"/>
          <w:szCs w:val="24"/>
          <w:highlight w:val="none"/>
          <w:u w:val="single"/>
        </w:rPr>
      </w:pPr>
      <w:r>
        <w:rPr>
          <w:rFonts w:hint="eastAsia" w:ascii="黑体" w:hAnsi="黑体" w:eastAsia="黑体" w:cs="黑体"/>
          <w:color w:val="auto"/>
          <w:sz w:val="24"/>
          <w:szCs w:val="24"/>
          <w:highlight w:val="none"/>
        </w:rPr>
        <w:t>承包人提出的合理化建议降低了合同价格或者提高了工程经济效益的奖励的方法和金额为：</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61497510">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10.7 暂估价</w:t>
      </w:r>
    </w:p>
    <w:p w14:paraId="4E8AED3F">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kern w:val="0"/>
          <w:sz w:val="24"/>
          <w:szCs w:val="24"/>
          <w:highlight w:val="none"/>
        </w:rPr>
        <w:t>暂估价材料和工程设备的明细详见附件11：《</w:t>
      </w:r>
      <w:r>
        <w:rPr>
          <w:rFonts w:hint="eastAsia" w:ascii="黑体" w:hAnsi="黑体" w:eastAsia="黑体" w:cs="黑体"/>
          <w:color w:val="auto"/>
          <w:sz w:val="24"/>
          <w:szCs w:val="24"/>
          <w:highlight w:val="none"/>
        </w:rPr>
        <w:t>暂估价一览表》</w:t>
      </w:r>
      <w:r>
        <w:rPr>
          <w:rFonts w:hint="eastAsia" w:ascii="黑体" w:hAnsi="黑体" w:eastAsia="黑体" w:cs="黑体"/>
          <w:color w:val="auto"/>
          <w:kern w:val="0"/>
          <w:sz w:val="24"/>
          <w:szCs w:val="24"/>
          <w:highlight w:val="none"/>
        </w:rPr>
        <w:t>。</w:t>
      </w:r>
    </w:p>
    <w:p w14:paraId="02B90FBE">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10.7.1 依法必须招标的暂估价项目</w:t>
      </w:r>
    </w:p>
    <w:p w14:paraId="3D2AA26E">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对于依法必须招标的暂估价项目的确认和批准采取第</w:t>
      </w:r>
      <w:r>
        <w:rPr>
          <w:rFonts w:hint="eastAsia" w:ascii="黑体" w:hAnsi="黑体" w:eastAsia="黑体" w:cs="黑体"/>
          <w:color w:val="auto"/>
          <w:sz w:val="24"/>
          <w:szCs w:val="24"/>
          <w:highlight w:val="none"/>
          <w:u w:val="single"/>
        </w:rPr>
        <w:t xml:space="preserve">  1  </w:t>
      </w:r>
      <w:r>
        <w:rPr>
          <w:rFonts w:hint="eastAsia" w:ascii="黑体" w:hAnsi="黑体" w:eastAsia="黑体" w:cs="黑体"/>
          <w:color w:val="auto"/>
          <w:sz w:val="24"/>
          <w:szCs w:val="24"/>
          <w:highlight w:val="none"/>
        </w:rPr>
        <w:t>种方式确定。</w:t>
      </w:r>
    </w:p>
    <w:p w14:paraId="26A3789B">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10.7.2 不属于依法必须招标的暂估价项目</w:t>
      </w:r>
    </w:p>
    <w:p w14:paraId="0897A7C9">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对于不属于依法必须招标的暂估价项目的确认和批准采取第</w:t>
      </w:r>
      <w:r>
        <w:rPr>
          <w:rFonts w:hint="eastAsia" w:ascii="黑体" w:hAnsi="黑体" w:eastAsia="黑体" w:cs="黑体"/>
          <w:color w:val="auto"/>
          <w:sz w:val="24"/>
          <w:szCs w:val="24"/>
          <w:highlight w:val="none"/>
          <w:u w:val="single"/>
        </w:rPr>
        <w:t xml:space="preserve"> 2  </w:t>
      </w:r>
      <w:r>
        <w:rPr>
          <w:rFonts w:hint="eastAsia" w:ascii="黑体" w:hAnsi="黑体" w:eastAsia="黑体" w:cs="黑体"/>
          <w:color w:val="auto"/>
          <w:sz w:val="24"/>
          <w:szCs w:val="24"/>
          <w:highlight w:val="none"/>
        </w:rPr>
        <w:t xml:space="preserve"> 种方式确定。</w:t>
      </w:r>
    </w:p>
    <w:p w14:paraId="7787DE8B">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sz w:val="24"/>
          <w:szCs w:val="24"/>
          <w:highlight w:val="none"/>
        </w:rPr>
        <w:t>第3种方式：</w:t>
      </w:r>
      <w:r>
        <w:rPr>
          <w:rFonts w:hint="eastAsia" w:ascii="黑体" w:hAnsi="黑体" w:eastAsia="黑体" w:cs="黑体"/>
          <w:color w:val="auto"/>
          <w:kern w:val="0"/>
          <w:sz w:val="24"/>
          <w:szCs w:val="24"/>
          <w:highlight w:val="none"/>
        </w:rPr>
        <w:t>承包人直接实施的暂估价项目</w:t>
      </w:r>
    </w:p>
    <w:p w14:paraId="392811C0">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承包人直接实施的暂估价项目的约定：</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07978CE5">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10.8 暂列金额</w:t>
      </w:r>
    </w:p>
    <w:p w14:paraId="18613840">
      <w:pPr>
        <w:pStyle w:val="18"/>
        <w:autoSpaceDE w:val="0"/>
        <w:autoSpaceDN w:val="0"/>
        <w:adjustRightInd w:val="0"/>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合同当事人关于暂列金额使用的约定：</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val="en-US" w:eastAsia="zh-CN"/>
        </w:rPr>
        <w:t>执行通用条款</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kern w:val="0"/>
          <w:sz w:val="24"/>
          <w:szCs w:val="24"/>
          <w:highlight w:val="none"/>
        </w:rPr>
        <w:t>。</w:t>
      </w:r>
    </w:p>
    <w:p w14:paraId="3F3A69F2">
      <w:pPr>
        <w:pStyle w:val="18"/>
        <w:keepNext/>
        <w:keepLines/>
        <w:spacing w:before="120" w:after="120" w:line="360" w:lineRule="auto"/>
        <w:outlineLvl w:val="3"/>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11. 价格调整</w:t>
      </w:r>
    </w:p>
    <w:p w14:paraId="638AF8E3">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11.1 市场价格波动引起的调整</w:t>
      </w:r>
    </w:p>
    <w:p w14:paraId="73F379F1">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kern w:val="0"/>
          <w:sz w:val="24"/>
          <w:szCs w:val="24"/>
          <w:highlight w:val="none"/>
        </w:rPr>
        <w:t>市场价格波动是否调整合同价格的约定：</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eastAsia="zh-CN"/>
        </w:rPr>
        <w:t>否</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04A2621F">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因市场价格波动调整合同价格，采用以下第</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eastAsia="zh-CN"/>
        </w:rPr>
        <w:t>　</w:t>
      </w:r>
      <w:r>
        <w:rPr>
          <w:rFonts w:hint="eastAsia" w:ascii="黑体" w:hAnsi="黑体" w:eastAsia="黑体" w:cs="黑体"/>
          <w:color w:val="auto"/>
          <w:sz w:val="24"/>
          <w:szCs w:val="24"/>
          <w:highlight w:val="none"/>
        </w:rPr>
        <w:t>种方式对合同价格进行调整：</w:t>
      </w:r>
    </w:p>
    <w:p w14:paraId="6F47D52A">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第1种方式：采用价格指数进行价格调整。</w:t>
      </w:r>
    </w:p>
    <w:p w14:paraId="7624C7E6">
      <w:pPr>
        <w:pStyle w:val="18"/>
        <w:spacing w:line="360" w:lineRule="auto"/>
        <w:ind w:firstLine="480" w:firstLineChars="200"/>
        <w:jc w:val="left"/>
        <w:rPr>
          <w:rFonts w:hint="eastAsia" w:ascii="黑体" w:hAnsi="黑体" w:eastAsia="黑体" w:cs="黑体"/>
          <w:color w:val="auto"/>
          <w:sz w:val="24"/>
          <w:szCs w:val="24"/>
          <w:highlight w:val="none"/>
          <w:u w:val="single"/>
        </w:rPr>
      </w:pPr>
      <w:r>
        <w:rPr>
          <w:rFonts w:hint="eastAsia" w:ascii="黑体" w:hAnsi="黑体" w:eastAsia="黑体" w:cs="黑体"/>
          <w:color w:val="auto"/>
          <w:sz w:val="24"/>
          <w:szCs w:val="24"/>
          <w:highlight w:val="none"/>
        </w:rPr>
        <w:t>关于各可调因子、定值和变值权重，以及基本价格指数及其来源的约定：</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 xml:space="preserve">；  </w:t>
      </w:r>
    </w:p>
    <w:p w14:paraId="548338E3">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第2种方式：采用造价信息进行价格调整。</w:t>
      </w:r>
    </w:p>
    <w:p w14:paraId="7B0FD629">
      <w:pPr>
        <w:pStyle w:val="18"/>
        <w:spacing w:line="360" w:lineRule="auto"/>
        <w:ind w:left="239" w:leftChars="114" w:firstLine="240" w:firstLineChars="100"/>
        <w:jc w:val="left"/>
        <w:rPr>
          <w:rFonts w:hint="eastAsia" w:ascii="黑体" w:hAnsi="黑体" w:eastAsia="黑体" w:cs="黑体"/>
          <w:color w:val="000000" w:themeColor="text1"/>
          <w:sz w:val="24"/>
          <w:szCs w:val="24"/>
          <w:highlight w:val="none"/>
          <w:u w:val="single"/>
          <w:lang w:val="en-US" w:eastAsia="zh-CN"/>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（2）关于基准价格的约定：</w:t>
      </w:r>
      <w:r>
        <w:rPr>
          <w:rFonts w:hint="eastAsia" w:ascii="黑体" w:hAnsi="黑体" w:eastAsia="黑体" w:cs="黑体"/>
          <w:color w:val="000000" w:themeColor="text1"/>
          <w:sz w:val="24"/>
          <w:szCs w:val="24"/>
          <w:highlight w:val="none"/>
          <w:u w:val="single"/>
          <w14:textFill>
            <w14:solidFill>
              <w14:schemeClr w14:val="tx1"/>
            </w14:solidFill>
          </w14:textFill>
        </w:rPr>
        <w:t xml:space="preserve">  </w:t>
      </w:r>
      <w:r>
        <w:rPr>
          <w:rFonts w:hint="eastAsia" w:ascii="黑体" w:hAnsi="黑体" w:eastAsia="黑体" w:cs="黑体"/>
          <w:color w:val="000000" w:themeColor="text1"/>
          <w:sz w:val="24"/>
          <w:szCs w:val="24"/>
          <w:highlight w:val="none"/>
          <w:u w:val="single"/>
          <w:lang w:val="en-US" w:eastAsia="zh-CN"/>
          <w14:textFill>
            <w14:solidFill>
              <w14:schemeClr w14:val="tx1"/>
            </w14:solidFill>
          </w14:textFill>
        </w:rPr>
        <w:t>本工程人工费、材料价差执行《阿勒泰地区2025年2月份建设工程综合价格信息》  。</w:t>
      </w:r>
    </w:p>
    <w:p w14:paraId="15478F52">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专用合同条款①承包人在已标价工程量清单或预算书中载明的材料单价低于基准价格的：专用合同条款合同履行期间材料单价涨幅以基准价格为基础超过</w:t>
      </w:r>
      <w:r>
        <w:rPr>
          <w:rFonts w:hint="eastAsia" w:ascii="黑体" w:hAnsi="黑体" w:eastAsia="黑体" w:cs="黑体"/>
          <w:color w:val="000000" w:themeColor="text1"/>
          <w:sz w:val="24"/>
          <w:szCs w:val="24"/>
          <w:highlight w:val="none"/>
          <w:u w:val="single"/>
          <w14:textFill>
            <w14:solidFill>
              <w14:schemeClr w14:val="tx1"/>
            </w14:solidFill>
          </w14:textFill>
        </w:rPr>
        <w:t>/</w:t>
      </w:r>
      <w:r>
        <w:rPr>
          <w:rFonts w:hint="eastAsia" w:ascii="黑体" w:hAnsi="黑体" w:eastAsia="黑体" w:cs="黑体"/>
          <w:color w:val="000000" w:themeColor="text1"/>
          <w:sz w:val="24"/>
          <w:szCs w:val="24"/>
          <w:highlight w:val="none"/>
          <w14:textFill>
            <w14:solidFill>
              <w14:schemeClr w14:val="tx1"/>
            </w14:solidFill>
          </w14:textFill>
        </w:rPr>
        <w:t>%时，或材料单价跌幅以已标价工程量清单或预算书中载明材料单价为基础超过</w:t>
      </w:r>
      <w:r>
        <w:rPr>
          <w:rFonts w:hint="eastAsia" w:ascii="黑体" w:hAnsi="黑体" w:eastAsia="黑体" w:cs="黑体"/>
          <w:color w:val="000000" w:themeColor="text1"/>
          <w:sz w:val="24"/>
          <w:szCs w:val="24"/>
          <w:highlight w:val="none"/>
          <w:u w:val="single"/>
          <w14:textFill>
            <w14:solidFill>
              <w14:schemeClr w14:val="tx1"/>
            </w14:solidFill>
          </w14:textFill>
        </w:rPr>
        <w:t>/</w:t>
      </w:r>
      <w:r>
        <w:rPr>
          <w:rFonts w:hint="eastAsia" w:ascii="黑体" w:hAnsi="黑体" w:eastAsia="黑体" w:cs="黑体"/>
          <w:color w:val="000000" w:themeColor="text1"/>
          <w:sz w:val="24"/>
          <w:szCs w:val="24"/>
          <w:highlight w:val="none"/>
          <w14:textFill>
            <w14:solidFill>
              <w14:schemeClr w14:val="tx1"/>
            </w14:solidFill>
          </w14:textFill>
        </w:rPr>
        <w:t>%时，其超过部分据实调整。</w:t>
      </w:r>
    </w:p>
    <w:p w14:paraId="15683116">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②承包人在已标价工程量清单或预算书中载明的材料单价高于基准价格的：专用合同条款合同履行期间材料单价跌幅以基准价格为基础超过</w:t>
      </w:r>
      <w:r>
        <w:rPr>
          <w:rFonts w:hint="eastAsia" w:ascii="黑体" w:hAnsi="黑体" w:eastAsia="黑体" w:cs="黑体"/>
          <w:color w:val="000000" w:themeColor="text1"/>
          <w:sz w:val="24"/>
          <w:szCs w:val="24"/>
          <w:highlight w:val="none"/>
          <w:u w:val="single"/>
          <w14:textFill>
            <w14:solidFill>
              <w14:schemeClr w14:val="tx1"/>
            </w14:solidFill>
          </w14:textFill>
        </w:rPr>
        <w:t>/</w:t>
      </w:r>
      <w:r>
        <w:rPr>
          <w:rFonts w:hint="eastAsia" w:ascii="黑体" w:hAnsi="黑体" w:eastAsia="黑体" w:cs="黑体"/>
          <w:color w:val="000000" w:themeColor="text1"/>
          <w:sz w:val="24"/>
          <w:szCs w:val="24"/>
          <w:highlight w:val="none"/>
          <w14:textFill>
            <w14:solidFill>
              <w14:schemeClr w14:val="tx1"/>
            </w14:solidFill>
          </w14:textFill>
        </w:rPr>
        <w:t>%时，材料单价涨幅以已标价工程量清单或预算书中载明材料单价为基础超过</w:t>
      </w:r>
      <w:r>
        <w:rPr>
          <w:rFonts w:hint="eastAsia" w:ascii="黑体" w:hAnsi="黑体" w:eastAsia="黑体" w:cs="黑体"/>
          <w:color w:val="000000" w:themeColor="text1"/>
          <w:sz w:val="24"/>
          <w:szCs w:val="24"/>
          <w:highlight w:val="none"/>
          <w:u w:val="single"/>
          <w14:textFill>
            <w14:solidFill>
              <w14:schemeClr w14:val="tx1"/>
            </w14:solidFill>
          </w14:textFill>
        </w:rPr>
        <w:t xml:space="preserve">/ </w:t>
      </w:r>
      <w:r>
        <w:rPr>
          <w:rFonts w:hint="eastAsia" w:ascii="黑体" w:hAnsi="黑体" w:eastAsia="黑体" w:cs="黑体"/>
          <w:color w:val="000000" w:themeColor="text1"/>
          <w:sz w:val="24"/>
          <w:szCs w:val="24"/>
          <w:highlight w:val="none"/>
          <w14:textFill>
            <w14:solidFill>
              <w14:schemeClr w14:val="tx1"/>
            </w14:solidFill>
          </w14:textFill>
        </w:rPr>
        <w:t>%时，其超过部分据实调整。</w:t>
      </w:r>
    </w:p>
    <w:p w14:paraId="74980400">
      <w:pPr>
        <w:pStyle w:val="18"/>
        <w:spacing w:line="360" w:lineRule="auto"/>
        <w:ind w:firstLine="645"/>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③承包人在已标价工程量清单或预算书中载明的材料单价等于基准单价的：专用合同条款合同履行期间材料单价涨跌幅以基准单价为基础超过±</w:t>
      </w:r>
      <w:r>
        <w:rPr>
          <w:rFonts w:hint="eastAsia" w:ascii="黑体" w:hAnsi="黑体" w:eastAsia="黑体" w:cs="黑体"/>
          <w:color w:val="000000" w:themeColor="text1"/>
          <w:sz w:val="24"/>
          <w:szCs w:val="24"/>
          <w:highlight w:val="none"/>
          <w:u w:val="single"/>
          <w14:textFill>
            <w14:solidFill>
              <w14:schemeClr w14:val="tx1"/>
            </w14:solidFill>
          </w14:textFill>
        </w:rPr>
        <w:t>3</w:t>
      </w:r>
      <w:r>
        <w:rPr>
          <w:rFonts w:hint="eastAsia" w:ascii="黑体" w:hAnsi="黑体" w:eastAsia="黑体" w:cs="黑体"/>
          <w:color w:val="000000" w:themeColor="text1"/>
          <w:sz w:val="24"/>
          <w:szCs w:val="24"/>
          <w:highlight w:val="none"/>
          <w14:textFill>
            <w14:solidFill>
              <w14:schemeClr w14:val="tx1"/>
            </w14:solidFill>
          </w14:textFill>
        </w:rPr>
        <w:t>%时，其超过部分据实调整。</w:t>
      </w:r>
    </w:p>
    <w:p w14:paraId="04424D90">
      <w:pPr>
        <w:pStyle w:val="18"/>
        <w:spacing w:line="360" w:lineRule="auto"/>
        <w:ind w:firstLine="645"/>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第3种方式：其他价格调整方式：</w:t>
      </w:r>
      <w:r>
        <w:rPr>
          <w:rFonts w:hint="eastAsia" w:ascii="黑体" w:hAnsi="黑体" w:eastAsia="黑体" w:cs="黑体"/>
          <w:color w:val="000000" w:themeColor="text1"/>
          <w:sz w:val="24"/>
          <w:szCs w:val="24"/>
          <w:highlight w:val="none"/>
          <w:u w:val="single"/>
          <w14:textFill>
            <w14:solidFill>
              <w14:schemeClr w14:val="tx1"/>
            </w14:solidFill>
          </w14:textFill>
        </w:rPr>
        <w:t xml:space="preserve">    /      </w:t>
      </w:r>
      <w:r>
        <w:rPr>
          <w:rFonts w:hint="eastAsia" w:ascii="黑体" w:hAnsi="黑体" w:eastAsia="黑体" w:cs="黑体"/>
          <w:color w:val="000000" w:themeColor="text1"/>
          <w:sz w:val="24"/>
          <w:szCs w:val="24"/>
          <w:highlight w:val="none"/>
          <w14:textFill>
            <w14:solidFill>
              <w14:schemeClr w14:val="tx1"/>
            </w14:solidFill>
          </w14:textFill>
        </w:rPr>
        <w:t>。</w:t>
      </w:r>
    </w:p>
    <w:p w14:paraId="5713F9D8">
      <w:pPr>
        <w:pStyle w:val="18"/>
        <w:keepNext/>
        <w:keepLines/>
        <w:spacing w:before="120" w:after="120" w:line="360" w:lineRule="auto"/>
        <w:outlineLvl w:val="3"/>
        <w:rPr>
          <w:rFonts w:hint="eastAsia" w:ascii="黑体" w:hAnsi="黑体" w:eastAsia="黑体" w:cs="黑体"/>
          <w:bCs/>
          <w:color w:val="000000" w:themeColor="text1"/>
          <w:sz w:val="24"/>
          <w:szCs w:val="24"/>
          <w:highlight w:val="none"/>
          <w14:textFill>
            <w14:solidFill>
              <w14:schemeClr w14:val="tx1"/>
            </w14:solidFill>
          </w14:textFill>
        </w:rPr>
      </w:pPr>
      <w:r>
        <w:rPr>
          <w:rFonts w:hint="eastAsia" w:ascii="黑体" w:hAnsi="黑体" w:eastAsia="黑体" w:cs="黑体"/>
          <w:bCs/>
          <w:color w:val="000000" w:themeColor="text1"/>
          <w:sz w:val="24"/>
          <w:szCs w:val="24"/>
          <w:highlight w:val="none"/>
          <w14:textFill>
            <w14:solidFill>
              <w14:schemeClr w14:val="tx1"/>
            </w14:solidFill>
          </w14:textFill>
        </w:rPr>
        <w:t>12. 合同价格、计量与支付</w:t>
      </w:r>
    </w:p>
    <w:p w14:paraId="542B7455">
      <w:pPr>
        <w:pStyle w:val="18"/>
        <w:spacing w:after="120" w:line="360" w:lineRule="auto"/>
        <w:ind w:firstLine="480" w:firstLineChars="200"/>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12.1 合同价格形式</w:t>
      </w:r>
    </w:p>
    <w:p w14:paraId="1443E1D6">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1、单价合同。</w:t>
      </w:r>
    </w:p>
    <w:p w14:paraId="064B3D02">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综合单价包含的风险范围：</w:t>
      </w:r>
      <w:r>
        <w:rPr>
          <w:rFonts w:hint="eastAsia" w:ascii="黑体" w:hAnsi="黑体" w:eastAsia="黑体" w:cs="黑体"/>
          <w:color w:val="000000" w:themeColor="text1"/>
          <w:sz w:val="24"/>
          <w:szCs w:val="24"/>
          <w:highlight w:val="none"/>
          <w:u w:val="single"/>
          <w14:textFill>
            <w14:solidFill>
              <w14:schemeClr w14:val="tx1"/>
            </w14:solidFill>
          </w14:textFill>
        </w:rPr>
        <w:t xml:space="preserve">各种因素引起的管理费、利润等变化及风险素     </w:t>
      </w:r>
      <w:r>
        <w:rPr>
          <w:rFonts w:hint="eastAsia" w:ascii="黑体" w:hAnsi="黑体" w:eastAsia="黑体" w:cs="黑体"/>
          <w:color w:val="000000" w:themeColor="text1"/>
          <w:sz w:val="24"/>
          <w:szCs w:val="24"/>
          <w:highlight w:val="none"/>
          <w14:textFill>
            <w14:solidFill>
              <w14:schemeClr w14:val="tx1"/>
            </w14:solidFill>
          </w14:textFill>
        </w:rPr>
        <w:t>。</w:t>
      </w:r>
    </w:p>
    <w:p w14:paraId="331F39AB">
      <w:pPr>
        <w:pStyle w:val="18"/>
        <w:spacing w:line="360" w:lineRule="auto"/>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风险费用的计算方法：</w:t>
      </w:r>
      <w:r>
        <w:rPr>
          <w:rFonts w:hint="eastAsia" w:ascii="黑体" w:hAnsi="黑体" w:eastAsia="黑体" w:cs="黑体"/>
          <w:color w:val="000000" w:themeColor="text1"/>
          <w:sz w:val="24"/>
          <w:szCs w:val="24"/>
          <w:highlight w:val="none"/>
          <w:u w:val="single"/>
          <w14:textFill>
            <w14:solidFill>
              <w14:schemeClr w14:val="tx1"/>
            </w14:solidFill>
          </w14:textFill>
        </w:rPr>
        <w:t xml:space="preserve">          /        </w:t>
      </w:r>
      <w:r>
        <w:rPr>
          <w:rFonts w:hint="eastAsia" w:ascii="黑体" w:hAnsi="黑体" w:eastAsia="黑体" w:cs="黑体"/>
          <w:color w:val="000000" w:themeColor="text1"/>
          <w:sz w:val="24"/>
          <w:szCs w:val="24"/>
          <w:highlight w:val="none"/>
          <w14:textFill>
            <w14:solidFill>
              <w14:schemeClr w14:val="tx1"/>
            </w14:solidFill>
          </w14:textFill>
        </w:rPr>
        <w:t>。</w:t>
      </w:r>
    </w:p>
    <w:p w14:paraId="3A5E9B95">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风险范围以外合同价格的调整方法：</w:t>
      </w:r>
      <w:r>
        <w:rPr>
          <w:rFonts w:hint="eastAsia" w:ascii="黑体" w:hAnsi="黑体" w:eastAsia="黑体" w:cs="黑体"/>
          <w:color w:val="000000" w:themeColor="text1"/>
          <w:sz w:val="24"/>
          <w:szCs w:val="24"/>
          <w:highlight w:val="none"/>
          <w:u w:val="single"/>
          <w14:textFill>
            <w14:solidFill>
              <w14:schemeClr w14:val="tx1"/>
            </w14:solidFill>
          </w14:textFill>
        </w:rPr>
        <w:t xml:space="preserve"> 经济签证及重大设计变更（变更标准、改变使用功能及结构类型）   </w:t>
      </w:r>
      <w:r>
        <w:rPr>
          <w:rFonts w:hint="eastAsia" w:ascii="黑体" w:hAnsi="黑体" w:eastAsia="黑体" w:cs="黑体"/>
          <w:color w:val="000000" w:themeColor="text1"/>
          <w:sz w:val="24"/>
          <w:szCs w:val="24"/>
          <w:highlight w:val="none"/>
          <w14:textFill>
            <w14:solidFill>
              <w14:schemeClr w14:val="tx1"/>
            </w14:solidFill>
          </w14:textFill>
        </w:rPr>
        <w:t>。</w:t>
      </w:r>
    </w:p>
    <w:p w14:paraId="785F22AF">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2、总价合同。</w:t>
      </w:r>
    </w:p>
    <w:p w14:paraId="41D3E504">
      <w:pPr>
        <w:pStyle w:val="18"/>
        <w:spacing w:line="360" w:lineRule="auto"/>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总价包含的风险范围：</w:t>
      </w:r>
      <w:r>
        <w:rPr>
          <w:rFonts w:hint="eastAsia" w:ascii="黑体" w:hAnsi="黑体" w:eastAsia="黑体" w:cs="黑体"/>
          <w:color w:val="000000" w:themeColor="text1"/>
          <w:sz w:val="24"/>
          <w:szCs w:val="24"/>
          <w:highlight w:val="none"/>
          <w:u w:val="single"/>
          <w14:textFill>
            <w14:solidFill>
              <w14:schemeClr w14:val="tx1"/>
            </w14:solidFill>
          </w14:textFill>
        </w:rPr>
        <w:t xml:space="preserve">      /       </w:t>
      </w:r>
      <w:r>
        <w:rPr>
          <w:rFonts w:hint="eastAsia" w:ascii="黑体" w:hAnsi="黑体" w:eastAsia="黑体" w:cs="黑体"/>
          <w:color w:val="000000" w:themeColor="text1"/>
          <w:sz w:val="24"/>
          <w:szCs w:val="24"/>
          <w:highlight w:val="none"/>
          <w14:textFill>
            <w14:solidFill>
              <w14:schemeClr w14:val="tx1"/>
            </w14:solidFill>
          </w14:textFill>
        </w:rPr>
        <w:t>。</w:t>
      </w:r>
    </w:p>
    <w:p w14:paraId="2C661C88">
      <w:pPr>
        <w:pStyle w:val="18"/>
        <w:spacing w:line="360" w:lineRule="auto"/>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风险费用的计算方法：</w:t>
      </w:r>
      <w:r>
        <w:rPr>
          <w:rFonts w:hint="eastAsia" w:ascii="黑体" w:hAnsi="黑体" w:eastAsia="黑体" w:cs="黑体"/>
          <w:color w:val="000000" w:themeColor="text1"/>
          <w:sz w:val="24"/>
          <w:szCs w:val="24"/>
          <w:highlight w:val="none"/>
          <w:u w:val="single"/>
          <w14:textFill>
            <w14:solidFill>
              <w14:schemeClr w14:val="tx1"/>
            </w14:solidFill>
          </w14:textFill>
        </w:rPr>
        <w:t xml:space="preserve">      /       </w:t>
      </w:r>
      <w:r>
        <w:rPr>
          <w:rFonts w:hint="eastAsia" w:ascii="黑体" w:hAnsi="黑体" w:eastAsia="黑体" w:cs="黑体"/>
          <w:color w:val="000000" w:themeColor="text1"/>
          <w:sz w:val="24"/>
          <w:szCs w:val="24"/>
          <w:highlight w:val="none"/>
          <w14:textFill>
            <w14:solidFill>
              <w14:schemeClr w14:val="tx1"/>
            </w14:solidFill>
          </w14:textFill>
        </w:rPr>
        <w:t>。</w:t>
      </w:r>
    </w:p>
    <w:p w14:paraId="32534FE3">
      <w:pPr>
        <w:pStyle w:val="18"/>
        <w:spacing w:line="360" w:lineRule="auto"/>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风险范围以外合同价格的调整方法：</w:t>
      </w:r>
      <w:r>
        <w:rPr>
          <w:rFonts w:hint="eastAsia" w:ascii="黑体" w:hAnsi="黑体" w:eastAsia="黑体" w:cs="黑体"/>
          <w:color w:val="000000" w:themeColor="text1"/>
          <w:sz w:val="24"/>
          <w:szCs w:val="24"/>
          <w:highlight w:val="none"/>
          <w:u w:val="single"/>
          <w14:textFill>
            <w14:solidFill>
              <w14:schemeClr w14:val="tx1"/>
            </w14:solidFill>
          </w14:textFill>
        </w:rPr>
        <w:t xml:space="preserve">   /    </w:t>
      </w:r>
      <w:r>
        <w:rPr>
          <w:rFonts w:hint="eastAsia" w:ascii="黑体" w:hAnsi="黑体" w:eastAsia="黑体" w:cs="黑体"/>
          <w:color w:val="000000" w:themeColor="text1"/>
          <w:sz w:val="24"/>
          <w:szCs w:val="24"/>
          <w:highlight w:val="none"/>
          <w14:textFill>
            <w14:solidFill>
              <w14:schemeClr w14:val="tx1"/>
            </w14:solidFill>
          </w14:textFill>
        </w:rPr>
        <w:t>。</w:t>
      </w:r>
    </w:p>
    <w:p w14:paraId="2A1EE42A">
      <w:pPr>
        <w:pStyle w:val="18"/>
        <w:spacing w:line="360" w:lineRule="auto"/>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3、其他价格方式：</w:t>
      </w:r>
      <w:r>
        <w:rPr>
          <w:rFonts w:hint="eastAsia" w:ascii="黑体" w:hAnsi="黑体" w:eastAsia="黑体" w:cs="黑体"/>
          <w:color w:val="000000" w:themeColor="text1"/>
          <w:sz w:val="24"/>
          <w:szCs w:val="24"/>
          <w:highlight w:val="none"/>
          <w:u w:val="single"/>
          <w14:textFill>
            <w14:solidFill>
              <w14:schemeClr w14:val="tx1"/>
            </w14:solidFill>
          </w14:textFill>
        </w:rPr>
        <w:t xml:space="preserve">   /   </w:t>
      </w:r>
      <w:r>
        <w:rPr>
          <w:rFonts w:hint="eastAsia" w:ascii="黑体" w:hAnsi="黑体" w:eastAsia="黑体" w:cs="黑体"/>
          <w:color w:val="000000" w:themeColor="text1"/>
          <w:sz w:val="24"/>
          <w:szCs w:val="24"/>
          <w:highlight w:val="none"/>
          <w14:textFill>
            <w14:solidFill>
              <w14:schemeClr w14:val="tx1"/>
            </w14:solidFill>
          </w14:textFill>
        </w:rPr>
        <w:t>。</w:t>
      </w:r>
    </w:p>
    <w:p w14:paraId="73988214">
      <w:pPr>
        <w:pStyle w:val="18"/>
        <w:spacing w:after="120" w:line="360" w:lineRule="auto"/>
        <w:ind w:firstLine="480" w:firstLineChars="200"/>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12.2 预付款</w:t>
      </w:r>
    </w:p>
    <w:p w14:paraId="67C3FDA6">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12.2.1 预付款的支付</w:t>
      </w:r>
    </w:p>
    <w:p w14:paraId="4A531CD6">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预付款支付比例或金额：</w:t>
      </w:r>
      <w:r>
        <w:rPr>
          <w:rFonts w:hint="eastAsia" w:ascii="黑体" w:hAnsi="黑体" w:eastAsia="黑体" w:cs="黑体"/>
          <w:color w:val="000000" w:themeColor="text1"/>
          <w:sz w:val="24"/>
          <w:szCs w:val="24"/>
          <w:highlight w:val="none"/>
          <w:u w:val="single"/>
          <w14:textFill>
            <w14:solidFill>
              <w14:schemeClr w14:val="tx1"/>
            </w14:solidFill>
          </w14:textFill>
        </w:rPr>
        <w:t xml:space="preserve">合同价款的30% </w:t>
      </w:r>
      <w:r>
        <w:rPr>
          <w:rFonts w:hint="eastAsia" w:ascii="黑体" w:hAnsi="黑体" w:eastAsia="黑体" w:cs="黑体"/>
          <w:color w:val="000000" w:themeColor="text1"/>
          <w:sz w:val="24"/>
          <w:szCs w:val="24"/>
          <w:highlight w:val="none"/>
          <w:u w:val="single"/>
          <w:lang w:val="en-US" w:eastAsia="zh-CN"/>
          <w14:textFill>
            <w14:solidFill>
              <w14:schemeClr w14:val="tx1"/>
            </w14:solidFill>
          </w14:textFill>
        </w:rPr>
        <w:t>(不含暂列金)</w:t>
      </w:r>
      <w:r>
        <w:rPr>
          <w:rFonts w:hint="eastAsia" w:ascii="黑体" w:hAnsi="黑体" w:eastAsia="黑体" w:cs="黑体"/>
          <w:color w:val="000000" w:themeColor="text1"/>
          <w:sz w:val="24"/>
          <w:szCs w:val="24"/>
          <w:highlight w:val="none"/>
          <w:u w:val="single"/>
          <w14:textFill>
            <w14:solidFill>
              <w14:schemeClr w14:val="tx1"/>
            </w14:solidFill>
          </w14:textFill>
        </w:rPr>
        <w:t>。</w:t>
      </w:r>
    </w:p>
    <w:p w14:paraId="1C420501">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预付款支付期限：</w:t>
      </w:r>
      <w:r>
        <w:rPr>
          <w:rFonts w:hint="eastAsia" w:ascii="黑体" w:hAnsi="黑体" w:eastAsia="黑体" w:cs="黑体"/>
          <w:color w:val="000000" w:themeColor="text1"/>
          <w:sz w:val="24"/>
          <w:szCs w:val="24"/>
          <w:highlight w:val="none"/>
          <w:u w:val="single"/>
          <w14:textFill>
            <w14:solidFill>
              <w14:schemeClr w14:val="tx1"/>
            </w14:solidFill>
          </w14:textFill>
        </w:rPr>
        <w:t xml:space="preserve">/            </w:t>
      </w:r>
      <w:r>
        <w:rPr>
          <w:rFonts w:hint="eastAsia" w:ascii="黑体" w:hAnsi="黑体" w:eastAsia="黑体" w:cs="黑体"/>
          <w:color w:val="000000" w:themeColor="text1"/>
          <w:sz w:val="24"/>
          <w:szCs w:val="24"/>
          <w:highlight w:val="none"/>
          <w14:textFill>
            <w14:solidFill>
              <w14:schemeClr w14:val="tx1"/>
            </w14:solidFill>
          </w14:textFill>
        </w:rPr>
        <w:t>。</w:t>
      </w:r>
    </w:p>
    <w:p w14:paraId="66007AE6">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预付款扣回的方式：</w:t>
      </w:r>
      <w:r>
        <w:rPr>
          <w:rFonts w:hint="eastAsia" w:ascii="黑体" w:hAnsi="黑体" w:eastAsia="黑体" w:cs="黑体"/>
          <w:color w:val="000000" w:themeColor="text1"/>
          <w:sz w:val="24"/>
          <w:szCs w:val="24"/>
          <w:highlight w:val="none"/>
          <w:u w:val="single"/>
          <w14:textFill>
            <w14:solidFill>
              <w14:schemeClr w14:val="tx1"/>
            </w14:solidFill>
          </w14:textFill>
        </w:rPr>
        <w:t xml:space="preserve">     /       </w:t>
      </w:r>
      <w:r>
        <w:rPr>
          <w:rFonts w:hint="eastAsia" w:ascii="黑体" w:hAnsi="黑体" w:eastAsia="黑体" w:cs="黑体"/>
          <w:color w:val="000000" w:themeColor="text1"/>
          <w:sz w:val="24"/>
          <w:szCs w:val="24"/>
          <w:highlight w:val="none"/>
          <w14:textFill>
            <w14:solidFill>
              <w14:schemeClr w14:val="tx1"/>
            </w14:solidFill>
          </w14:textFill>
        </w:rPr>
        <w:t>。</w:t>
      </w:r>
    </w:p>
    <w:p w14:paraId="3BB79819">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12.2.2 预付款担保</w:t>
      </w:r>
    </w:p>
    <w:p w14:paraId="46494D63">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承包人提交预付款担保的期限：</w:t>
      </w:r>
      <w:r>
        <w:rPr>
          <w:rFonts w:hint="eastAsia" w:ascii="黑体" w:hAnsi="黑体" w:eastAsia="黑体" w:cs="黑体"/>
          <w:color w:val="000000" w:themeColor="text1"/>
          <w:sz w:val="24"/>
          <w:szCs w:val="24"/>
          <w:highlight w:val="none"/>
          <w:u w:val="single"/>
          <w14:textFill>
            <w14:solidFill>
              <w14:schemeClr w14:val="tx1"/>
            </w14:solidFill>
          </w14:textFill>
        </w:rPr>
        <w:t xml:space="preserve">             </w:t>
      </w:r>
      <w:r>
        <w:rPr>
          <w:rFonts w:hint="eastAsia" w:ascii="黑体" w:hAnsi="黑体" w:eastAsia="黑体" w:cs="黑体"/>
          <w:color w:val="000000" w:themeColor="text1"/>
          <w:sz w:val="24"/>
          <w:szCs w:val="24"/>
          <w:highlight w:val="none"/>
          <w14:textFill>
            <w14:solidFill>
              <w14:schemeClr w14:val="tx1"/>
            </w14:solidFill>
          </w14:textFill>
        </w:rPr>
        <w:t>。</w:t>
      </w:r>
    </w:p>
    <w:p w14:paraId="62262AC7">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预付款担保的形式为</w:t>
      </w:r>
      <w:r>
        <w:rPr>
          <w:rFonts w:hint="eastAsia" w:ascii="黑体" w:hAnsi="黑体" w:eastAsia="黑体" w:cs="黑体"/>
          <w:color w:val="000000" w:themeColor="text1"/>
          <w:sz w:val="24"/>
          <w:szCs w:val="24"/>
          <w:highlight w:val="none"/>
          <w:u w:val="single"/>
          <w14:textFill>
            <w14:solidFill>
              <w14:schemeClr w14:val="tx1"/>
            </w14:solidFill>
          </w14:textFill>
        </w:rPr>
        <w:t xml:space="preserve">                </w:t>
      </w:r>
    </w:p>
    <w:p w14:paraId="21701526">
      <w:pPr>
        <w:pStyle w:val="18"/>
        <w:spacing w:after="120" w:line="360" w:lineRule="auto"/>
        <w:ind w:firstLine="480" w:firstLineChars="200"/>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12.3 计量</w:t>
      </w:r>
    </w:p>
    <w:p w14:paraId="61BB8E5B">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12.3.1 计量原则</w:t>
      </w:r>
    </w:p>
    <w:p w14:paraId="68A108AC">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工程量计算规则：</w:t>
      </w:r>
      <w:r>
        <w:rPr>
          <w:rFonts w:hint="eastAsia" w:ascii="黑体" w:hAnsi="黑体" w:eastAsia="黑体" w:cs="黑体"/>
          <w:color w:val="000000" w:themeColor="text1"/>
          <w:sz w:val="24"/>
          <w:szCs w:val="24"/>
          <w:highlight w:val="none"/>
          <w:u w:val="single"/>
          <w14:textFill>
            <w14:solidFill>
              <w14:schemeClr w14:val="tx1"/>
            </w14:solidFill>
          </w14:textFill>
        </w:rPr>
        <w:t xml:space="preserve">  </w:t>
      </w:r>
      <w:r>
        <w:rPr>
          <w:rFonts w:hint="eastAsia" w:ascii="黑体" w:hAnsi="黑体" w:eastAsia="黑体" w:cs="黑体"/>
          <w:b/>
          <w:color w:val="000000" w:themeColor="text1"/>
          <w:sz w:val="24"/>
          <w:szCs w:val="24"/>
          <w:highlight w:val="none"/>
          <w:u w:val="single"/>
          <w14:textFill>
            <w14:solidFill>
              <w14:schemeClr w14:val="tx1"/>
            </w14:solidFill>
          </w14:textFill>
        </w:rPr>
        <w:t>建设工程工程量清单计价规范（GB 50500-2013）</w:t>
      </w:r>
      <w:r>
        <w:rPr>
          <w:rFonts w:hint="eastAsia" w:ascii="黑体" w:hAnsi="黑体" w:eastAsia="黑体" w:cs="黑体"/>
          <w:color w:val="000000" w:themeColor="text1"/>
          <w:sz w:val="24"/>
          <w:szCs w:val="24"/>
          <w:highlight w:val="none"/>
          <w:u w:val="single"/>
          <w14:textFill>
            <w14:solidFill>
              <w14:schemeClr w14:val="tx1"/>
            </w14:solidFill>
          </w14:textFill>
        </w:rPr>
        <w:t xml:space="preserve">      </w:t>
      </w:r>
      <w:r>
        <w:rPr>
          <w:rFonts w:hint="eastAsia" w:ascii="黑体" w:hAnsi="黑体" w:eastAsia="黑体" w:cs="黑体"/>
          <w:color w:val="000000" w:themeColor="text1"/>
          <w:sz w:val="24"/>
          <w:szCs w:val="24"/>
          <w:highlight w:val="none"/>
          <w14:textFill>
            <w14:solidFill>
              <w14:schemeClr w14:val="tx1"/>
            </w14:solidFill>
          </w14:textFill>
        </w:rPr>
        <w:t>。</w:t>
      </w:r>
    </w:p>
    <w:p w14:paraId="0964FE5B">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12.3.2 计量周期</w:t>
      </w:r>
    </w:p>
    <w:p w14:paraId="6FF9F2CA">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关于计量周期的约定：</w:t>
      </w:r>
      <w:r>
        <w:rPr>
          <w:rFonts w:hint="eastAsia" w:ascii="黑体" w:hAnsi="黑体" w:eastAsia="黑体" w:cs="黑体"/>
          <w:color w:val="000000" w:themeColor="text1"/>
          <w:sz w:val="24"/>
          <w:szCs w:val="24"/>
          <w:highlight w:val="none"/>
          <w:u w:val="single"/>
          <w14:textFill>
            <w14:solidFill>
              <w14:schemeClr w14:val="tx1"/>
            </w14:solidFill>
          </w14:textFill>
        </w:rPr>
        <w:t xml:space="preserve">        按月计量                  </w:t>
      </w:r>
      <w:r>
        <w:rPr>
          <w:rFonts w:hint="eastAsia" w:ascii="黑体" w:hAnsi="黑体" w:eastAsia="黑体" w:cs="黑体"/>
          <w:color w:val="000000" w:themeColor="text1"/>
          <w:sz w:val="24"/>
          <w:szCs w:val="24"/>
          <w:highlight w:val="none"/>
          <w14:textFill>
            <w14:solidFill>
              <w14:schemeClr w14:val="tx1"/>
            </w14:solidFill>
          </w14:textFill>
        </w:rPr>
        <w:t>。</w:t>
      </w:r>
    </w:p>
    <w:p w14:paraId="19659F2E">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12.3.3 单价合同的计量</w:t>
      </w:r>
    </w:p>
    <w:p w14:paraId="5D2B410D">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关于单价合同计量的约定：</w:t>
      </w:r>
      <w:r>
        <w:rPr>
          <w:rFonts w:hint="eastAsia" w:ascii="黑体" w:hAnsi="黑体" w:eastAsia="黑体" w:cs="黑体"/>
          <w:color w:val="000000" w:themeColor="text1"/>
          <w:sz w:val="24"/>
          <w:szCs w:val="24"/>
          <w:highlight w:val="none"/>
          <w:u w:val="single"/>
          <w14:textFill>
            <w14:solidFill>
              <w14:schemeClr w14:val="tx1"/>
            </w14:solidFill>
          </w14:textFill>
        </w:rPr>
        <w:t xml:space="preserve">    </w:t>
      </w:r>
      <w:r>
        <w:rPr>
          <w:rFonts w:hint="eastAsia" w:ascii="黑体" w:hAnsi="黑体" w:eastAsia="黑体" w:cs="黑体"/>
          <w:color w:val="000000" w:themeColor="text1"/>
          <w:sz w:val="24"/>
          <w:szCs w:val="24"/>
          <w:highlight w:val="none"/>
          <w:u w:val="single"/>
          <w:lang w:val="en-US" w:eastAsia="zh-CN"/>
          <w14:textFill>
            <w14:solidFill>
              <w14:schemeClr w14:val="tx1"/>
            </w14:solidFill>
          </w14:textFill>
        </w:rPr>
        <w:t>按月计量</w:t>
      </w:r>
      <w:r>
        <w:rPr>
          <w:rFonts w:hint="eastAsia" w:ascii="黑体" w:hAnsi="黑体" w:eastAsia="黑体" w:cs="黑体"/>
          <w:color w:val="000000" w:themeColor="text1"/>
          <w:sz w:val="24"/>
          <w:szCs w:val="24"/>
          <w:highlight w:val="none"/>
          <w:u w:val="single"/>
          <w14:textFill>
            <w14:solidFill>
              <w14:schemeClr w14:val="tx1"/>
            </w14:solidFill>
          </w14:textFill>
        </w:rPr>
        <w:t xml:space="preserve">             </w:t>
      </w:r>
      <w:r>
        <w:rPr>
          <w:rFonts w:hint="eastAsia" w:ascii="黑体" w:hAnsi="黑体" w:eastAsia="黑体" w:cs="黑体"/>
          <w:color w:val="000000" w:themeColor="text1"/>
          <w:sz w:val="24"/>
          <w:szCs w:val="24"/>
          <w:highlight w:val="none"/>
          <w14:textFill>
            <w14:solidFill>
              <w14:schemeClr w14:val="tx1"/>
            </w14:solidFill>
          </w14:textFill>
        </w:rPr>
        <w:t>。</w:t>
      </w:r>
    </w:p>
    <w:p w14:paraId="0D157AD3">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12.3.4 总价合同的计量</w:t>
      </w:r>
    </w:p>
    <w:p w14:paraId="7E417966">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关于总价合同计量的约定：</w:t>
      </w:r>
      <w:r>
        <w:rPr>
          <w:rFonts w:hint="eastAsia" w:ascii="黑体" w:hAnsi="黑体" w:eastAsia="黑体" w:cs="黑体"/>
          <w:color w:val="000000" w:themeColor="text1"/>
          <w:sz w:val="24"/>
          <w:szCs w:val="24"/>
          <w:highlight w:val="none"/>
          <w:u w:val="single"/>
          <w14:textFill>
            <w14:solidFill>
              <w14:schemeClr w14:val="tx1"/>
            </w14:solidFill>
          </w14:textFill>
        </w:rPr>
        <w:t xml:space="preserve">   按月计量                 </w:t>
      </w:r>
      <w:r>
        <w:rPr>
          <w:rFonts w:hint="eastAsia" w:ascii="黑体" w:hAnsi="黑体" w:eastAsia="黑体" w:cs="黑体"/>
          <w:color w:val="000000" w:themeColor="text1"/>
          <w:sz w:val="24"/>
          <w:szCs w:val="24"/>
          <w:highlight w:val="none"/>
          <w14:textFill>
            <w14:solidFill>
              <w14:schemeClr w14:val="tx1"/>
            </w14:solidFill>
          </w14:textFill>
        </w:rPr>
        <w:t>。</w:t>
      </w:r>
    </w:p>
    <w:p w14:paraId="216E23B6">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12.3.5总价合同采用支付分解表计量支付的，是否适用第</w:t>
      </w:r>
      <w:r>
        <w:rPr>
          <w:rFonts w:hint="eastAsia" w:ascii="黑体" w:hAnsi="黑体" w:eastAsia="黑体" w:cs="黑体"/>
          <w:color w:val="000000" w:themeColor="text1"/>
          <w:kern w:val="0"/>
          <w:sz w:val="24"/>
          <w:szCs w:val="24"/>
          <w:highlight w:val="none"/>
          <w14:textFill>
            <w14:solidFill>
              <w14:schemeClr w14:val="tx1"/>
            </w14:solidFill>
          </w14:textFill>
        </w:rPr>
        <w:t xml:space="preserve">12.3.4 </w:t>
      </w:r>
      <w:r>
        <w:rPr>
          <w:rFonts w:hint="eastAsia" w:ascii="黑体" w:hAnsi="黑体" w:eastAsia="黑体" w:cs="黑体"/>
          <w:color w:val="000000" w:themeColor="text1"/>
          <w:sz w:val="24"/>
          <w:szCs w:val="24"/>
          <w:highlight w:val="none"/>
          <w14:textFill>
            <w14:solidFill>
              <w14:schemeClr w14:val="tx1"/>
            </w14:solidFill>
          </w14:textFill>
        </w:rPr>
        <w:t>项</w:t>
      </w:r>
      <w:r>
        <w:rPr>
          <w:rFonts w:hint="eastAsia" w:ascii="黑体" w:hAnsi="黑体" w:eastAsia="黑体" w:cs="黑体"/>
          <w:color w:val="000000" w:themeColor="text1"/>
          <w:kern w:val="0"/>
          <w:sz w:val="24"/>
          <w:szCs w:val="24"/>
          <w:highlight w:val="none"/>
          <w14:textFill>
            <w14:solidFill>
              <w14:schemeClr w14:val="tx1"/>
            </w14:solidFill>
          </w14:textFill>
        </w:rPr>
        <w:t>〔总价合同的计量〕</w:t>
      </w:r>
      <w:r>
        <w:rPr>
          <w:rFonts w:hint="eastAsia" w:ascii="黑体" w:hAnsi="黑体" w:eastAsia="黑体" w:cs="黑体"/>
          <w:color w:val="000000" w:themeColor="text1"/>
          <w:sz w:val="24"/>
          <w:szCs w:val="24"/>
          <w:highlight w:val="none"/>
          <w14:textFill>
            <w14:solidFill>
              <w14:schemeClr w14:val="tx1"/>
            </w14:solidFill>
          </w14:textFill>
        </w:rPr>
        <w:t>约定进行计量：</w:t>
      </w:r>
      <w:r>
        <w:rPr>
          <w:rFonts w:hint="eastAsia" w:ascii="黑体" w:hAnsi="黑体" w:eastAsia="黑体" w:cs="黑体"/>
          <w:color w:val="000000" w:themeColor="text1"/>
          <w:sz w:val="24"/>
          <w:szCs w:val="24"/>
          <w:highlight w:val="none"/>
          <w:u w:val="single"/>
          <w14:textFill>
            <w14:solidFill>
              <w14:schemeClr w14:val="tx1"/>
            </w14:solidFill>
          </w14:textFill>
        </w:rPr>
        <w:t xml:space="preserve">        /             </w:t>
      </w:r>
      <w:r>
        <w:rPr>
          <w:rFonts w:hint="eastAsia" w:ascii="黑体" w:hAnsi="黑体" w:eastAsia="黑体" w:cs="黑体"/>
          <w:color w:val="000000" w:themeColor="text1"/>
          <w:sz w:val="24"/>
          <w:szCs w:val="24"/>
          <w:highlight w:val="none"/>
          <w14:textFill>
            <w14:solidFill>
              <w14:schemeClr w14:val="tx1"/>
            </w14:solidFill>
          </w14:textFill>
        </w:rPr>
        <w:t>。</w:t>
      </w:r>
    </w:p>
    <w:p w14:paraId="738BDBC5">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12.3.6 其他价格形式合同的计量</w:t>
      </w:r>
    </w:p>
    <w:p w14:paraId="33E00BD5">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其他价格形式的计量方式和程序：</w:t>
      </w:r>
      <w:r>
        <w:rPr>
          <w:rFonts w:hint="eastAsia" w:ascii="黑体" w:hAnsi="黑体" w:eastAsia="黑体" w:cs="黑体"/>
          <w:color w:val="000000" w:themeColor="text1"/>
          <w:sz w:val="24"/>
          <w:szCs w:val="24"/>
          <w:highlight w:val="none"/>
          <w:u w:val="single"/>
          <w14:textFill>
            <w14:solidFill>
              <w14:schemeClr w14:val="tx1"/>
            </w14:solidFill>
          </w14:textFill>
        </w:rPr>
        <w:t xml:space="preserve">        /             </w:t>
      </w:r>
      <w:r>
        <w:rPr>
          <w:rFonts w:hint="eastAsia" w:ascii="黑体" w:hAnsi="黑体" w:eastAsia="黑体" w:cs="黑体"/>
          <w:color w:val="000000" w:themeColor="text1"/>
          <w:sz w:val="24"/>
          <w:szCs w:val="24"/>
          <w:highlight w:val="none"/>
          <w14:textFill>
            <w14:solidFill>
              <w14:schemeClr w14:val="tx1"/>
            </w14:solidFill>
          </w14:textFill>
        </w:rPr>
        <w:t>。</w:t>
      </w:r>
    </w:p>
    <w:p w14:paraId="7B04CF95">
      <w:pPr>
        <w:pStyle w:val="18"/>
        <w:spacing w:after="120" w:line="360" w:lineRule="auto"/>
        <w:ind w:firstLine="480" w:firstLineChars="200"/>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12.4 工程进度款支付</w:t>
      </w:r>
    </w:p>
    <w:p w14:paraId="6F64F1E1">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12.4.1 付款周期</w:t>
      </w:r>
    </w:p>
    <w:p w14:paraId="5398DB14">
      <w:pPr>
        <w:pStyle w:val="18"/>
        <w:spacing w:line="360" w:lineRule="auto"/>
        <w:ind w:firstLine="480" w:firstLineChars="200"/>
        <w:jc w:val="left"/>
        <w:rPr>
          <w:rFonts w:hint="eastAsia" w:ascii="黑体" w:hAnsi="黑体" w:eastAsia="黑体" w:cs="黑体"/>
          <w:color w:val="000000" w:themeColor="text1"/>
          <w:sz w:val="24"/>
          <w:szCs w:val="24"/>
          <w:highlight w:val="none"/>
          <w:u w:val="single"/>
          <w:lang w:val="en-US" w:eastAsia="zh-CN"/>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关于付款周期的约定：</w:t>
      </w:r>
      <w:r>
        <w:rPr>
          <w:rFonts w:hint="eastAsia" w:ascii="黑体" w:hAnsi="黑体" w:eastAsia="黑体" w:cs="黑体"/>
          <w:color w:val="000000" w:themeColor="text1"/>
          <w:sz w:val="24"/>
          <w:szCs w:val="24"/>
          <w:highlight w:val="none"/>
          <w:u w:val="single"/>
          <w:lang w:val="en-US" w:eastAsia="zh-CN"/>
          <w14:textFill>
            <w14:solidFill>
              <w14:schemeClr w14:val="tx1"/>
            </w14:solidFill>
          </w14:textFill>
        </w:rPr>
        <w:t>合同签订人员、设备进场开工后支付合同价款的30%；主体完成工程量的85%后支付竣工结算总额的50%；工程竣工验收合格后支付合同总价款的17%；剩余3%作为工程质量保修金。</w:t>
      </w:r>
    </w:p>
    <w:p w14:paraId="5835B9C8">
      <w:pPr>
        <w:pStyle w:val="18"/>
        <w:spacing w:line="360" w:lineRule="auto"/>
        <w:ind w:firstLine="480" w:firstLineChars="200"/>
        <w:jc w:val="left"/>
        <w:rPr>
          <w:rFonts w:hint="eastAsia" w:ascii="黑体" w:hAnsi="黑体" w:eastAsia="黑体" w:cs="黑体"/>
          <w:color w:val="000000" w:themeColor="text1"/>
          <w:sz w:val="24"/>
          <w:szCs w:val="24"/>
          <w:highlight w:val="none"/>
          <w:u w:val="single"/>
          <w14:textFill>
            <w14:solidFill>
              <w14:schemeClr w14:val="tx1"/>
            </w14:solidFill>
          </w14:textFill>
        </w:rPr>
      </w:pPr>
      <w:r>
        <w:rPr>
          <w:rFonts w:hint="eastAsia" w:ascii="黑体" w:hAnsi="黑体" w:eastAsia="黑体" w:cs="黑体"/>
          <w:color w:val="000000" w:themeColor="text1"/>
          <w:sz w:val="24"/>
          <w:szCs w:val="24"/>
          <w:highlight w:val="none"/>
          <w:u w:val="single"/>
          <w14:textFill>
            <w14:solidFill>
              <w14:schemeClr w14:val="tx1"/>
            </w14:solidFill>
          </w14:textFill>
        </w:rPr>
        <w:t xml:space="preserve"> 农民工工资保证金按有关文件规定执行。 </w:t>
      </w:r>
    </w:p>
    <w:p w14:paraId="15580BC4">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12.4.2 进度付款申请单的编制</w:t>
      </w:r>
    </w:p>
    <w:p w14:paraId="47A340B4">
      <w:pPr>
        <w:pStyle w:val="18"/>
        <w:spacing w:line="360" w:lineRule="auto"/>
        <w:ind w:firstLine="480" w:firstLineChars="200"/>
        <w:jc w:val="left"/>
        <w:rPr>
          <w:rFonts w:hint="eastAsia" w:ascii="黑体" w:hAnsi="黑体" w:eastAsia="黑体" w:cs="黑体"/>
          <w:color w:val="000000" w:themeColor="text1"/>
          <w:sz w:val="24"/>
          <w:szCs w:val="24"/>
          <w:highlight w:val="none"/>
          <w:u w:val="singl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关于进度付款申请单编制的约定：</w:t>
      </w:r>
      <w:r>
        <w:rPr>
          <w:rFonts w:hint="eastAsia" w:ascii="黑体" w:hAnsi="黑体" w:eastAsia="黑体" w:cs="黑体"/>
          <w:color w:val="000000" w:themeColor="text1"/>
          <w:sz w:val="24"/>
          <w:szCs w:val="24"/>
          <w:highlight w:val="none"/>
          <w:u w:val="single"/>
          <w14:textFill>
            <w14:solidFill>
              <w14:schemeClr w14:val="tx1"/>
            </w14:solidFill>
          </w14:textFill>
        </w:rPr>
        <w:t xml:space="preserve"> </w:t>
      </w:r>
      <w:r>
        <w:rPr>
          <w:rFonts w:hint="eastAsia" w:ascii="黑体" w:hAnsi="黑体" w:eastAsia="黑体" w:cs="黑体"/>
          <w:color w:val="000000" w:themeColor="text1"/>
          <w:sz w:val="24"/>
          <w:szCs w:val="24"/>
          <w:highlight w:val="none"/>
          <w:u w:val="single"/>
          <w:lang w:val="en-US" w:eastAsia="zh-CN"/>
          <w14:textFill>
            <w14:solidFill>
              <w14:schemeClr w14:val="tx1"/>
            </w14:solidFill>
          </w14:textFill>
        </w:rPr>
        <w:t>执行合同通用条款</w:t>
      </w:r>
    </w:p>
    <w:p w14:paraId="22366F0F">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12.4.3 进度付款申请单的提交</w:t>
      </w:r>
    </w:p>
    <w:p w14:paraId="6377E2D2">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（1）单价合同进度付款申请单提交的约定：</w:t>
      </w:r>
      <w:r>
        <w:rPr>
          <w:rFonts w:hint="eastAsia" w:ascii="黑体" w:hAnsi="黑体" w:eastAsia="黑体" w:cs="黑体"/>
          <w:color w:val="000000" w:themeColor="text1"/>
          <w:sz w:val="24"/>
          <w:szCs w:val="24"/>
          <w:highlight w:val="none"/>
          <w:u w:val="single"/>
          <w14:textFill>
            <w14:solidFill>
              <w14:schemeClr w14:val="tx1"/>
            </w14:solidFill>
          </w14:textFill>
        </w:rPr>
        <w:t xml:space="preserve"> </w:t>
      </w:r>
      <w:r>
        <w:rPr>
          <w:rFonts w:hint="eastAsia" w:ascii="黑体" w:hAnsi="黑体" w:eastAsia="黑体" w:cs="黑体"/>
          <w:color w:val="000000" w:themeColor="text1"/>
          <w:sz w:val="24"/>
          <w:szCs w:val="24"/>
          <w:highlight w:val="none"/>
          <w:u w:val="single"/>
          <w:lang w:val="en-US" w:eastAsia="zh-CN"/>
          <w14:textFill>
            <w14:solidFill>
              <w14:schemeClr w14:val="tx1"/>
            </w14:solidFill>
          </w14:textFill>
        </w:rPr>
        <w:t>/</w:t>
      </w:r>
      <w:r>
        <w:rPr>
          <w:rFonts w:hint="eastAsia" w:ascii="黑体" w:hAnsi="黑体" w:eastAsia="黑体" w:cs="黑体"/>
          <w:color w:val="000000" w:themeColor="text1"/>
          <w:sz w:val="24"/>
          <w:szCs w:val="24"/>
          <w:highlight w:val="none"/>
          <w:u w:val="single"/>
          <w14:textFill>
            <w14:solidFill>
              <w14:schemeClr w14:val="tx1"/>
            </w14:solidFill>
          </w14:textFill>
        </w:rPr>
        <w:t xml:space="preserve">   </w:t>
      </w:r>
      <w:r>
        <w:rPr>
          <w:rFonts w:hint="eastAsia" w:ascii="黑体" w:hAnsi="黑体" w:eastAsia="黑体" w:cs="黑体"/>
          <w:color w:val="000000" w:themeColor="text1"/>
          <w:sz w:val="24"/>
          <w:szCs w:val="24"/>
          <w:highlight w:val="none"/>
          <w14:textFill>
            <w14:solidFill>
              <w14:schemeClr w14:val="tx1"/>
            </w14:solidFill>
          </w14:textFill>
        </w:rPr>
        <w:t>。</w:t>
      </w:r>
    </w:p>
    <w:p w14:paraId="4E7945E3">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（2）总价合同进度付款申请单提交的约定：</w:t>
      </w:r>
      <w:r>
        <w:rPr>
          <w:rFonts w:hint="eastAsia" w:ascii="黑体" w:hAnsi="黑体" w:eastAsia="黑体" w:cs="黑体"/>
          <w:color w:val="000000" w:themeColor="text1"/>
          <w:sz w:val="24"/>
          <w:szCs w:val="24"/>
          <w:highlight w:val="none"/>
          <w:u w:val="single"/>
          <w14:textFill>
            <w14:solidFill>
              <w14:schemeClr w14:val="tx1"/>
            </w14:solidFill>
          </w14:textFill>
        </w:rPr>
        <w:t xml:space="preserve">       /        </w:t>
      </w:r>
      <w:r>
        <w:rPr>
          <w:rFonts w:hint="eastAsia" w:ascii="黑体" w:hAnsi="黑体" w:eastAsia="黑体" w:cs="黑体"/>
          <w:color w:val="000000" w:themeColor="text1"/>
          <w:sz w:val="24"/>
          <w:szCs w:val="24"/>
          <w:highlight w:val="none"/>
          <w14:textFill>
            <w14:solidFill>
              <w14:schemeClr w14:val="tx1"/>
            </w14:solidFill>
          </w14:textFill>
        </w:rPr>
        <w:t>。</w:t>
      </w:r>
    </w:p>
    <w:p w14:paraId="2D31E661">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（3）其他价格形式合同进度付款申请单提交的约定：</w:t>
      </w:r>
      <w:r>
        <w:rPr>
          <w:rFonts w:hint="eastAsia" w:ascii="黑体" w:hAnsi="黑体" w:eastAsia="黑体" w:cs="黑体"/>
          <w:color w:val="000000" w:themeColor="text1"/>
          <w:sz w:val="24"/>
          <w:szCs w:val="24"/>
          <w:highlight w:val="none"/>
          <w:u w:val="single"/>
          <w14:textFill>
            <w14:solidFill>
              <w14:schemeClr w14:val="tx1"/>
            </w14:solidFill>
          </w14:textFill>
        </w:rPr>
        <w:t xml:space="preserve">   /     </w:t>
      </w:r>
      <w:r>
        <w:rPr>
          <w:rFonts w:hint="eastAsia" w:ascii="黑体" w:hAnsi="黑体" w:eastAsia="黑体" w:cs="黑体"/>
          <w:color w:val="000000" w:themeColor="text1"/>
          <w:sz w:val="24"/>
          <w:szCs w:val="24"/>
          <w:highlight w:val="none"/>
          <w14:textFill>
            <w14:solidFill>
              <w14:schemeClr w14:val="tx1"/>
            </w14:solidFill>
          </w14:textFill>
        </w:rPr>
        <w:t>。</w:t>
      </w:r>
    </w:p>
    <w:p w14:paraId="5592302E">
      <w:pPr>
        <w:pStyle w:val="18"/>
        <w:spacing w:line="360" w:lineRule="auto"/>
        <w:ind w:firstLine="480" w:firstLineChars="200"/>
        <w:jc w:val="left"/>
        <w:rPr>
          <w:rFonts w:hint="eastAsia" w:ascii="黑体" w:hAnsi="黑体" w:eastAsia="黑体" w:cs="黑体"/>
          <w:color w:val="000000" w:themeColor="text1"/>
          <w:sz w:val="24"/>
          <w:szCs w:val="24"/>
          <w:highlight w:val="none"/>
          <w14:textFill>
            <w14:solidFill>
              <w14:schemeClr w14:val="tx1"/>
            </w14:solidFill>
          </w14:textFill>
        </w:rPr>
      </w:pPr>
      <w:r>
        <w:rPr>
          <w:rFonts w:hint="eastAsia" w:ascii="黑体" w:hAnsi="黑体" w:eastAsia="黑体" w:cs="黑体"/>
          <w:color w:val="000000" w:themeColor="text1"/>
          <w:sz w:val="24"/>
          <w:szCs w:val="24"/>
          <w:highlight w:val="none"/>
          <w14:textFill>
            <w14:solidFill>
              <w14:schemeClr w14:val="tx1"/>
            </w14:solidFill>
          </w14:textFill>
        </w:rPr>
        <w:t>12.4.4 进度款审核和支付</w:t>
      </w:r>
    </w:p>
    <w:p w14:paraId="5B843447">
      <w:pPr>
        <w:pStyle w:val="18"/>
        <w:spacing w:line="360" w:lineRule="auto"/>
        <w:ind w:firstLine="480" w:firstLineChars="200"/>
        <w:jc w:val="left"/>
        <w:rPr>
          <w:rFonts w:hint="eastAsia" w:ascii="黑体" w:hAnsi="黑体" w:eastAsia="黑体" w:cs="黑体"/>
          <w:color w:val="auto"/>
          <w:sz w:val="24"/>
          <w:szCs w:val="24"/>
          <w:highlight w:val="none"/>
          <w:u w:val="single"/>
        </w:rPr>
      </w:pPr>
      <w:r>
        <w:rPr>
          <w:rFonts w:hint="eastAsia" w:ascii="黑体" w:hAnsi="黑体" w:eastAsia="黑体" w:cs="黑体"/>
          <w:color w:val="auto"/>
          <w:sz w:val="24"/>
          <w:szCs w:val="24"/>
          <w:highlight w:val="none"/>
        </w:rPr>
        <w:t>（1）监理人审查并报送发包人的期限：</w:t>
      </w:r>
      <w:r>
        <w:rPr>
          <w:rFonts w:hint="eastAsia" w:ascii="黑体" w:hAnsi="黑体" w:eastAsia="黑体" w:cs="黑体"/>
          <w:color w:val="auto"/>
          <w:sz w:val="24"/>
          <w:szCs w:val="24"/>
          <w:highlight w:val="none"/>
          <w:u w:val="single"/>
        </w:rPr>
        <w:t xml:space="preserve">   收到申请7天内   </w:t>
      </w:r>
      <w:r>
        <w:rPr>
          <w:rFonts w:hint="eastAsia" w:ascii="黑体" w:hAnsi="黑体" w:eastAsia="黑体" w:cs="黑体"/>
          <w:color w:val="auto"/>
          <w:sz w:val="24"/>
          <w:szCs w:val="24"/>
          <w:highlight w:val="none"/>
        </w:rPr>
        <w:t>。</w:t>
      </w:r>
    </w:p>
    <w:p w14:paraId="431E2239">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发包人完成审批并签发进度款支付证书的期限：</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241B430A">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（2）发包人支付进度款的期限：</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4BE40E8B">
      <w:pPr>
        <w:pStyle w:val="18"/>
        <w:spacing w:line="360" w:lineRule="auto"/>
        <w:ind w:firstLine="600" w:firstLineChars="25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发包人逾期支付进度款的违约金的计算方式：</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49AB7409">
      <w:pPr>
        <w:pStyle w:val="18"/>
        <w:spacing w:line="360" w:lineRule="auto"/>
        <w:ind w:firstLine="600" w:firstLineChars="25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12.4.6 支付分解表的编制</w:t>
      </w:r>
    </w:p>
    <w:p w14:paraId="5BB6076D">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2、总价合同支付分解表的编制与审批：</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4BE24A4F">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3、单价合同的总价项目支付分解表的编制与审批：</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4DF723C1">
      <w:pPr>
        <w:pStyle w:val="18"/>
        <w:keepNext/>
        <w:keepLines/>
        <w:spacing w:before="120" w:after="120" w:line="360" w:lineRule="auto"/>
        <w:outlineLvl w:val="3"/>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13. 验收和工程试车</w:t>
      </w:r>
    </w:p>
    <w:p w14:paraId="79BE5D42">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13.1 分部分项工程验收</w:t>
      </w:r>
    </w:p>
    <w:p w14:paraId="24966EAE">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13.1.2监理人不能按时进行验收时，应提前</w:t>
      </w:r>
      <w:r>
        <w:rPr>
          <w:rFonts w:hint="eastAsia" w:ascii="黑体" w:hAnsi="黑体" w:eastAsia="黑体" w:cs="黑体"/>
          <w:color w:val="auto"/>
          <w:sz w:val="24"/>
          <w:szCs w:val="24"/>
          <w:highlight w:val="none"/>
          <w:u w:val="single"/>
        </w:rPr>
        <w:t xml:space="preserve">   24    </w:t>
      </w:r>
      <w:r>
        <w:rPr>
          <w:rFonts w:hint="eastAsia" w:ascii="黑体" w:hAnsi="黑体" w:eastAsia="黑体" w:cs="黑体"/>
          <w:color w:val="auto"/>
          <w:sz w:val="24"/>
          <w:szCs w:val="24"/>
          <w:highlight w:val="none"/>
        </w:rPr>
        <w:t>小时提交书面延期要求。</w:t>
      </w:r>
    </w:p>
    <w:p w14:paraId="5DDA747E">
      <w:pPr>
        <w:pStyle w:val="18"/>
        <w:spacing w:line="360" w:lineRule="auto"/>
        <w:ind w:firstLine="480" w:firstLineChars="200"/>
        <w:jc w:val="left"/>
        <w:rPr>
          <w:rFonts w:hint="eastAsia" w:ascii="黑体" w:hAnsi="黑体" w:eastAsia="黑体" w:cs="黑体"/>
          <w:b/>
          <w:color w:val="auto"/>
          <w:sz w:val="24"/>
          <w:szCs w:val="24"/>
          <w:highlight w:val="none"/>
        </w:rPr>
      </w:pPr>
      <w:r>
        <w:rPr>
          <w:rFonts w:hint="eastAsia" w:ascii="黑体" w:hAnsi="黑体" w:eastAsia="黑体" w:cs="黑体"/>
          <w:color w:val="auto"/>
          <w:sz w:val="24"/>
          <w:szCs w:val="24"/>
          <w:highlight w:val="none"/>
        </w:rPr>
        <w:t>关于延期最长不得超过：</w:t>
      </w:r>
      <w:r>
        <w:rPr>
          <w:rFonts w:hint="eastAsia" w:ascii="黑体" w:hAnsi="黑体" w:eastAsia="黑体" w:cs="黑体"/>
          <w:color w:val="auto"/>
          <w:sz w:val="24"/>
          <w:szCs w:val="24"/>
          <w:highlight w:val="none"/>
          <w:u w:val="single"/>
        </w:rPr>
        <w:t xml:space="preserve">   48      </w:t>
      </w:r>
      <w:r>
        <w:rPr>
          <w:rFonts w:hint="eastAsia" w:ascii="黑体" w:hAnsi="黑体" w:eastAsia="黑体" w:cs="黑体"/>
          <w:color w:val="auto"/>
          <w:sz w:val="24"/>
          <w:szCs w:val="24"/>
          <w:highlight w:val="none"/>
        </w:rPr>
        <w:t>小时。</w:t>
      </w:r>
    </w:p>
    <w:p w14:paraId="00A862AE">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13.2 竣工验收</w:t>
      </w:r>
    </w:p>
    <w:p w14:paraId="1F84DB8D">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13.2.2竣工验收程序</w:t>
      </w:r>
    </w:p>
    <w:p w14:paraId="165B0CC4">
      <w:pPr>
        <w:pStyle w:val="18"/>
        <w:spacing w:line="360" w:lineRule="auto"/>
        <w:ind w:left="4800" w:hanging="4800" w:hangingChars="2000"/>
        <w:jc w:val="left"/>
        <w:rPr>
          <w:rFonts w:hint="eastAsia" w:ascii="黑体" w:hAnsi="黑体" w:eastAsia="黑体" w:cs="黑体"/>
          <w:color w:val="auto"/>
          <w:sz w:val="24"/>
          <w:szCs w:val="24"/>
          <w:highlight w:val="none"/>
        </w:rPr>
      </w:pPr>
      <w:r>
        <w:rPr>
          <w:rFonts w:hint="eastAsia" w:ascii="黑体" w:hAnsi="黑体" w:eastAsia="黑体" w:cs="黑体"/>
          <w:color w:val="auto"/>
          <w:kern w:val="0"/>
          <w:sz w:val="24"/>
          <w:szCs w:val="24"/>
          <w:highlight w:val="none"/>
        </w:rPr>
        <w:t>关于竣工验收程序的约定：</w:t>
      </w:r>
      <w:r>
        <w:rPr>
          <w:rFonts w:hint="eastAsia" w:ascii="黑体" w:hAnsi="黑体" w:eastAsia="黑体" w:cs="黑体"/>
          <w:color w:val="auto"/>
          <w:sz w:val="24"/>
          <w:szCs w:val="24"/>
          <w:highlight w:val="none"/>
          <w:u w:val="single"/>
        </w:rPr>
        <w:t xml:space="preserve">   按通用条款执行             </w:t>
      </w:r>
      <w:r>
        <w:rPr>
          <w:rFonts w:hint="eastAsia" w:ascii="黑体" w:hAnsi="黑体" w:eastAsia="黑体" w:cs="黑体"/>
          <w:color w:val="auto"/>
          <w:sz w:val="24"/>
          <w:szCs w:val="24"/>
          <w:highlight w:val="none"/>
        </w:rPr>
        <w:t>。</w:t>
      </w:r>
    </w:p>
    <w:p w14:paraId="762BE22A">
      <w:pPr>
        <w:pStyle w:val="18"/>
        <w:spacing w:line="360" w:lineRule="auto"/>
        <w:ind w:firstLine="480" w:firstLineChars="200"/>
        <w:jc w:val="left"/>
        <w:rPr>
          <w:rFonts w:hint="eastAsia" w:ascii="黑体" w:hAnsi="黑体" w:eastAsia="黑体" w:cs="黑体"/>
          <w:color w:val="auto"/>
          <w:sz w:val="24"/>
          <w:szCs w:val="24"/>
          <w:highlight w:val="none"/>
          <w:u w:val="single"/>
        </w:rPr>
      </w:pPr>
      <w:r>
        <w:rPr>
          <w:rFonts w:hint="eastAsia" w:ascii="黑体" w:hAnsi="黑体" w:eastAsia="黑体" w:cs="黑体"/>
          <w:color w:val="auto"/>
          <w:kern w:val="0"/>
          <w:sz w:val="24"/>
          <w:szCs w:val="24"/>
          <w:highlight w:val="none"/>
        </w:rPr>
        <w:t>发包人不按照本项约定组织竣工验收、颁发工程接收证书的违约金的计算方法：</w:t>
      </w:r>
      <w:r>
        <w:rPr>
          <w:rFonts w:hint="eastAsia" w:ascii="黑体" w:hAnsi="黑体" w:eastAsia="黑体" w:cs="黑体"/>
          <w:color w:val="auto"/>
          <w:sz w:val="24"/>
          <w:szCs w:val="24"/>
          <w:highlight w:val="none"/>
          <w:u w:val="single"/>
        </w:rPr>
        <w:t xml:space="preserve">    按通用条款执行</w:t>
      </w:r>
      <w:r>
        <w:rPr>
          <w:rFonts w:hint="eastAsia" w:ascii="黑体" w:hAnsi="黑体" w:eastAsia="黑体" w:cs="黑体"/>
          <w:color w:val="auto"/>
          <w:sz w:val="24"/>
          <w:szCs w:val="24"/>
          <w:highlight w:val="none"/>
        </w:rPr>
        <w:t>。</w:t>
      </w:r>
    </w:p>
    <w:p w14:paraId="716E2E3B">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13.2.5移交、接收全部与部分工程</w:t>
      </w:r>
    </w:p>
    <w:p w14:paraId="6D3C6448">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承包人向发包人移交工程的期限：</w:t>
      </w:r>
      <w:r>
        <w:rPr>
          <w:rFonts w:hint="eastAsia" w:ascii="黑体" w:hAnsi="黑体" w:eastAsia="黑体" w:cs="黑体"/>
          <w:color w:val="auto"/>
          <w:sz w:val="24"/>
          <w:szCs w:val="24"/>
          <w:highlight w:val="none"/>
          <w:u w:val="single"/>
        </w:rPr>
        <w:t xml:space="preserve"> 颁发工程接收证书后7天内 </w:t>
      </w:r>
      <w:r>
        <w:rPr>
          <w:rFonts w:hint="eastAsia" w:ascii="黑体" w:hAnsi="黑体" w:eastAsia="黑体" w:cs="黑体"/>
          <w:color w:val="auto"/>
          <w:sz w:val="24"/>
          <w:szCs w:val="24"/>
          <w:highlight w:val="none"/>
        </w:rPr>
        <w:t>。</w:t>
      </w:r>
    </w:p>
    <w:p w14:paraId="3720EB43">
      <w:pPr>
        <w:pStyle w:val="18"/>
        <w:spacing w:line="360" w:lineRule="auto"/>
        <w:ind w:firstLine="480" w:firstLineChars="200"/>
        <w:jc w:val="left"/>
        <w:rPr>
          <w:rFonts w:hint="eastAsia" w:ascii="黑体" w:hAnsi="黑体" w:eastAsia="黑体" w:cs="黑体"/>
          <w:color w:val="auto"/>
          <w:sz w:val="24"/>
          <w:szCs w:val="24"/>
          <w:highlight w:val="none"/>
          <w:u w:val="single"/>
        </w:rPr>
      </w:pPr>
      <w:r>
        <w:rPr>
          <w:rFonts w:hint="eastAsia" w:ascii="黑体" w:hAnsi="黑体" w:eastAsia="黑体" w:cs="黑体"/>
          <w:color w:val="auto"/>
          <w:kern w:val="0"/>
          <w:sz w:val="24"/>
          <w:szCs w:val="24"/>
          <w:highlight w:val="none"/>
        </w:rPr>
        <w:t>发包人未按本合同约定接收全部或部分工程的，违约金的计算方法为</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6D04A9B1">
      <w:pPr>
        <w:pStyle w:val="18"/>
        <w:spacing w:line="360" w:lineRule="auto"/>
        <w:ind w:firstLine="480" w:firstLineChars="200"/>
        <w:jc w:val="left"/>
        <w:rPr>
          <w:rFonts w:hint="eastAsia" w:ascii="黑体" w:hAnsi="黑体" w:eastAsia="黑体" w:cs="黑体"/>
          <w:color w:val="auto"/>
          <w:sz w:val="24"/>
          <w:szCs w:val="24"/>
          <w:highlight w:val="none"/>
          <w:u w:val="single"/>
        </w:rPr>
      </w:pPr>
      <w:r>
        <w:rPr>
          <w:rFonts w:hint="eastAsia" w:ascii="黑体" w:hAnsi="黑体" w:eastAsia="黑体" w:cs="黑体"/>
          <w:color w:val="auto"/>
          <w:sz w:val="24"/>
          <w:szCs w:val="24"/>
          <w:highlight w:val="none"/>
        </w:rPr>
        <w:t>承包人未按时移交工程的，违约金的计算方法为：</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43D27CEA">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13.3 工程试车</w:t>
      </w:r>
    </w:p>
    <w:p w14:paraId="334B58CD">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13.3.1 试车程序</w:t>
      </w:r>
    </w:p>
    <w:p w14:paraId="0A3DA40D">
      <w:pPr>
        <w:pStyle w:val="18"/>
        <w:spacing w:line="360" w:lineRule="auto"/>
        <w:ind w:firstLine="480" w:firstLineChars="200"/>
        <w:jc w:val="left"/>
        <w:rPr>
          <w:rFonts w:hint="eastAsia" w:ascii="黑体" w:hAnsi="黑体" w:eastAsia="黑体" w:cs="黑体"/>
          <w:color w:val="auto"/>
          <w:sz w:val="24"/>
          <w:szCs w:val="24"/>
          <w:highlight w:val="none"/>
          <w:u w:val="single"/>
        </w:rPr>
      </w:pPr>
      <w:r>
        <w:rPr>
          <w:rFonts w:hint="eastAsia" w:ascii="黑体" w:hAnsi="黑体" w:eastAsia="黑体" w:cs="黑体"/>
          <w:color w:val="auto"/>
          <w:kern w:val="0"/>
          <w:sz w:val="24"/>
          <w:szCs w:val="24"/>
          <w:highlight w:val="none"/>
        </w:rPr>
        <w:t>工程试车内容：</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581813FF">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（1）单机无负荷试车费用由</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kern w:val="0"/>
          <w:sz w:val="24"/>
          <w:szCs w:val="24"/>
          <w:highlight w:val="none"/>
        </w:rPr>
        <w:t>承担；</w:t>
      </w:r>
    </w:p>
    <w:p w14:paraId="0570F9AF">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（2）无负荷联动试车费用由</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kern w:val="0"/>
          <w:sz w:val="24"/>
          <w:szCs w:val="24"/>
          <w:highlight w:val="none"/>
        </w:rPr>
        <w:t>承担。</w:t>
      </w:r>
    </w:p>
    <w:p w14:paraId="4925F36F">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13.3.3 投料试车</w:t>
      </w:r>
    </w:p>
    <w:p w14:paraId="1F8CCF51">
      <w:pPr>
        <w:pStyle w:val="18"/>
        <w:spacing w:line="360" w:lineRule="auto"/>
        <w:ind w:firstLine="480" w:firstLineChars="200"/>
        <w:jc w:val="left"/>
        <w:rPr>
          <w:rFonts w:hint="eastAsia" w:ascii="黑体" w:hAnsi="黑体" w:eastAsia="黑体" w:cs="黑体"/>
          <w:color w:val="auto"/>
          <w:sz w:val="24"/>
          <w:szCs w:val="24"/>
          <w:highlight w:val="none"/>
          <w:u w:val="single"/>
        </w:rPr>
      </w:pPr>
      <w:r>
        <w:rPr>
          <w:rFonts w:hint="eastAsia" w:ascii="黑体" w:hAnsi="黑体" w:eastAsia="黑体" w:cs="黑体"/>
          <w:color w:val="auto"/>
          <w:kern w:val="0"/>
          <w:sz w:val="24"/>
          <w:szCs w:val="24"/>
          <w:highlight w:val="none"/>
        </w:rPr>
        <w:t>关于投料试车相关事项的约定：</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1D7EA8CE">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13.6 竣工退场</w:t>
      </w:r>
    </w:p>
    <w:p w14:paraId="05357D63">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13.6.1 竣工退场</w:t>
      </w:r>
    </w:p>
    <w:p w14:paraId="6479348B">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承包人完成竣工退场的期限：</w:t>
      </w:r>
      <w:r>
        <w:rPr>
          <w:rFonts w:hint="eastAsia" w:ascii="黑体" w:hAnsi="黑体" w:eastAsia="黑体" w:cs="黑体"/>
          <w:color w:val="auto"/>
          <w:sz w:val="24"/>
          <w:szCs w:val="24"/>
          <w:highlight w:val="none"/>
          <w:u w:val="single"/>
        </w:rPr>
        <w:t xml:space="preserve">颁发工程接收证书后3天内      </w:t>
      </w:r>
      <w:r>
        <w:rPr>
          <w:rFonts w:hint="eastAsia" w:ascii="黑体" w:hAnsi="黑体" w:eastAsia="黑体" w:cs="黑体"/>
          <w:color w:val="auto"/>
          <w:kern w:val="0"/>
          <w:sz w:val="24"/>
          <w:szCs w:val="24"/>
          <w:highlight w:val="none"/>
        </w:rPr>
        <w:t>。</w:t>
      </w:r>
    </w:p>
    <w:p w14:paraId="0502E42E">
      <w:pPr>
        <w:pStyle w:val="18"/>
        <w:keepNext/>
        <w:keepLines/>
        <w:spacing w:before="120" w:after="120" w:line="360" w:lineRule="auto"/>
        <w:outlineLvl w:val="3"/>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14. 竣工结算</w:t>
      </w:r>
    </w:p>
    <w:p w14:paraId="4E471DA2">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14.1 竣工付款申请</w:t>
      </w:r>
    </w:p>
    <w:p w14:paraId="7F7DDA09">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承包人提交竣工付款申请单的期限：</w:t>
      </w:r>
      <w:r>
        <w:rPr>
          <w:rFonts w:hint="eastAsia" w:ascii="黑体" w:hAnsi="黑体" w:eastAsia="黑体" w:cs="黑体"/>
          <w:color w:val="auto"/>
          <w:sz w:val="24"/>
          <w:szCs w:val="24"/>
          <w:highlight w:val="none"/>
          <w:u w:val="single"/>
        </w:rPr>
        <w:t xml:space="preserve">工程竣工验收合格后28天内    </w:t>
      </w:r>
      <w:r>
        <w:rPr>
          <w:rFonts w:hint="eastAsia" w:ascii="黑体" w:hAnsi="黑体" w:eastAsia="黑体" w:cs="黑体"/>
          <w:color w:val="auto"/>
          <w:sz w:val="24"/>
          <w:szCs w:val="24"/>
          <w:highlight w:val="none"/>
        </w:rPr>
        <w:t>。</w:t>
      </w:r>
    </w:p>
    <w:p w14:paraId="05FC79BD">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竣工付款申请单应包括的内容：</w:t>
      </w:r>
      <w:r>
        <w:rPr>
          <w:rFonts w:hint="eastAsia" w:ascii="黑体" w:hAnsi="黑体" w:eastAsia="黑体" w:cs="黑体"/>
          <w:color w:val="auto"/>
          <w:sz w:val="24"/>
          <w:szCs w:val="24"/>
          <w:highlight w:val="none"/>
          <w:u w:val="single"/>
        </w:rPr>
        <w:t xml:space="preserve">  执行通用条款          </w:t>
      </w:r>
      <w:r>
        <w:rPr>
          <w:rFonts w:hint="eastAsia" w:ascii="黑体" w:hAnsi="黑体" w:eastAsia="黑体" w:cs="黑体"/>
          <w:color w:val="auto"/>
          <w:sz w:val="24"/>
          <w:szCs w:val="24"/>
          <w:highlight w:val="none"/>
        </w:rPr>
        <w:t>。</w:t>
      </w:r>
    </w:p>
    <w:p w14:paraId="5C2D06E4">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14.2 竣工结算审核</w:t>
      </w:r>
    </w:p>
    <w:p w14:paraId="51F7FDA5">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发包人审批竣工付款申请单的期限：</w:t>
      </w:r>
      <w:r>
        <w:rPr>
          <w:rFonts w:hint="eastAsia" w:ascii="黑体" w:hAnsi="黑体" w:eastAsia="黑体" w:cs="黑体"/>
          <w:color w:val="auto"/>
          <w:sz w:val="24"/>
          <w:szCs w:val="24"/>
          <w:highlight w:val="none"/>
          <w:u w:val="single"/>
        </w:rPr>
        <w:t xml:space="preserve">收到竣工付款申请单28天内  </w:t>
      </w:r>
      <w:r>
        <w:rPr>
          <w:rFonts w:hint="eastAsia" w:ascii="黑体" w:hAnsi="黑体" w:eastAsia="黑体" w:cs="黑体"/>
          <w:color w:val="auto"/>
          <w:sz w:val="24"/>
          <w:szCs w:val="24"/>
          <w:highlight w:val="none"/>
        </w:rPr>
        <w:t>。</w:t>
      </w:r>
    </w:p>
    <w:p w14:paraId="538BC3C1">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发包人完成竣工付款的期限：</w:t>
      </w:r>
      <w:r>
        <w:rPr>
          <w:rFonts w:hint="eastAsia" w:ascii="黑体" w:hAnsi="黑体" w:eastAsia="黑体" w:cs="黑体"/>
          <w:color w:val="auto"/>
          <w:sz w:val="24"/>
          <w:szCs w:val="24"/>
          <w:highlight w:val="none"/>
          <w:u w:val="single"/>
        </w:rPr>
        <w:t xml:space="preserve">  签发竣工付款申请单28天内  </w:t>
      </w:r>
      <w:r>
        <w:rPr>
          <w:rFonts w:hint="eastAsia" w:ascii="黑体" w:hAnsi="黑体" w:eastAsia="黑体" w:cs="黑体"/>
          <w:color w:val="auto"/>
          <w:sz w:val="24"/>
          <w:szCs w:val="24"/>
          <w:highlight w:val="none"/>
        </w:rPr>
        <w:t>。</w:t>
      </w:r>
    </w:p>
    <w:p w14:paraId="7FBC0FF7">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关于竣工付款证书异议部分复核的方式和程序：</w:t>
      </w:r>
      <w:r>
        <w:rPr>
          <w:rFonts w:hint="eastAsia" w:ascii="黑体" w:hAnsi="黑体" w:eastAsia="黑体" w:cs="黑体"/>
          <w:color w:val="auto"/>
          <w:sz w:val="24"/>
          <w:szCs w:val="24"/>
          <w:highlight w:val="none"/>
          <w:u w:val="single"/>
        </w:rPr>
        <w:t xml:space="preserve"> 执行通用条款</w:t>
      </w:r>
      <w:r>
        <w:rPr>
          <w:rFonts w:hint="eastAsia" w:ascii="黑体" w:hAnsi="黑体" w:eastAsia="黑体" w:cs="黑体"/>
          <w:color w:val="auto"/>
          <w:sz w:val="24"/>
          <w:szCs w:val="24"/>
          <w:highlight w:val="none"/>
        </w:rPr>
        <w:t>。</w:t>
      </w:r>
    </w:p>
    <w:p w14:paraId="3DB2E3D6">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14.4 最终结清</w:t>
      </w:r>
    </w:p>
    <w:p w14:paraId="6BBBEB31">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14.4.1 最终结清申请单</w:t>
      </w:r>
    </w:p>
    <w:p w14:paraId="01E3D907">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承包人提交最终结清申请单的份数：</w:t>
      </w:r>
      <w:r>
        <w:rPr>
          <w:rFonts w:hint="eastAsia" w:ascii="黑体" w:hAnsi="黑体" w:eastAsia="黑体" w:cs="黑体"/>
          <w:color w:val="auto"/>
          <w:sz w:val="24"/>
          <w:szCs w:val="24"/>
          <w:highlight w:val="none"/>
          <w:u w:val="single"/>
        </w:rPr>
        <w:t xml:space="preserve">   四份            </w:t>
      </w:r>
      <w:r>
        <w:rPr>
          <w:rFonts w:hint="eastAsia" w:ascii="黑体" w:hAnsi="黑体" w:eastAsia="黑体" w:cs="黑体"/>
          <w:color w:val="auto"/>
          <w:sz w:val="24"/>
          <w:szCs w:val="24"/>
          <w:highlight w:val="none"/>
        </w:rPr>
        <w:t>。</w:t>
      </w:r>
    </w:p>
    <w:p w14:paraId="155CCDA9">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kern w:val="0"/>
          <w:sz w:val="24"/>
          <w:szCs w:val="24"/>
          <w:highlight w:val="none"/>
        </w:rPr>
        <w:t>承包人提交最终结算申请单的期限：</w:t>
      </w:r>
      <w:r>
        <w:rPr>
          <w:rFonts w:hint="eastAsia" w:ascii="黑体" w:hAnsi="黑体" w:eastAsia="黑体" w:cs="黑体"/>
          <w:color w:val="auto"/>
          <w:sz w:val="24"/>
          <w:szCs w:val="24"/>
          <w:highlight w:val="none"/>
          <w:u w:val="single"/>
        </w:rPr>
        <w:t xml:space="preserve"> 缺陷期满且工程竣工投产一年后      </w:t>
      </w:r>
      <w:r>
        <w:rPr>
          <w:rFonts w:hint="eastAsia" w:ascii="黑体" w:hAnsi="黑体" w:eastAsia="黑体" w:cs="黑体"/>
          <w:color w:val="auto"/>
          <w:sz w:val="24"/>
          <w:szCs w:val="24"/>
          <w:highlight w:val="none"/>
        </w:rPr>
        <w:t xml:space="preserve">。 </w:t>
      </w:r>
    </w:p>
    <w:p w14:paraId="7061263E">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14.4.2 最终结清证书和支付</w:t>
      </w:r>
    </w:p>
    <w:p w14:paraId="261C0B31">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（1）发包人完成最终结清申请单的审批并颁发最终结清证书的期限：</w:t>
      </w:r>
      <w:r>
        <w:rPr>
          <w:rFonts w:hint="eastAsia" w:ascii="黑体" w:hAnsi="黑体" w:eastAsia="黑体" w:cs="黑体"/>
          <w:color w:val="auto"/>
          <w:sz w:val="24"/>
          <w:szCs w:val="24"/>
          <w:highlight w:val="none"/>
          <w:u w:val="single"/>
        </w:rPr>
        <w:t xml:space="preserve">  收到申请28天内         </w:t>
      </w:r>
      <w:r>
        <w:rPr>
          <w:rFonts w:hint="eastAsia" w:ascii="黑体" w:hAnsi="黑体" w:eastAsia="黑体" w:cs="黑体"/>
          <w:color w:val="auto"/>
          <w:sz w:val="24"/>
          <w:szCs w:val="24"/>
          <w:highlight w:val="none"/>
        </w:rPr>
        <w:t>。</w:t>
      </w:r>
    </w:p>
    <w:p w14:paraId="67BBCBC9">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（2）发包人完成支付的期限：</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val="en-US" w:eastAsia="zh-CN"/>
        </w:rPr>
        <w:t>执行合同通用条款</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w:t>
      </w:r>
    </w:p>
    <w:p w14:paraId="095FBEAD">
      <w:pPr>
        <w:pStyle w:val="18"/>
        <w:keepNext/>
        <w:keepLines/>
        <w:spacing w:before="120" w:after="120" w:line="360" w:lineRule="auto"/>
        <w:outlineLvl w:val="3"/>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15. 缺陷责任期与保修</w:t>
      </w:r>
    </w:p>
    <w:p w14:paraId="4C7A774F">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15.2缺陷责任期</w:t>
      </w:r>
    </w:p>
    <w:p w14:paraId="37D206BB">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缺陷责任期的具体期限：</w:t>
      </w:r>
      <w:r>
        <w:rPr>
          <w:rFonts w:hint="eastAsia" w:ascii="黑体" w:hAnsi="黑体" w:eastAsia="黑体" w:cs="黑体"/>
          <w:color w:val="auto"/>
          <w:sz w:val="24"/>
          <w:szCs w:val="24"/>
          <w:highlight w:val="none"/>
          <w:u w:val="single"/>
        </w:rPr>
        <w:t xml:space="preserve">    12个月                       </w:t>
      </w:r>
      <w:r>
        <w:rPr>
          <w:rFonts w:hint="eastAsia" w:ascii="黑体" w:hAnsi="黑体" w:eastAsia="黑体" w:cs="黑体"/>
          <w:color w:val="auto"/>
          <w:sz w:val="24"/>
          <w:szCs w:val="24"/>
          <w:highlight w:val="none"/>
        </w:rPr>
        <w:t>。</w:t>
      </w:r>
    </w:p>
    <w:p w14:paraId="3FF8E0B5">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15.3 质量保证金</w:t>
      </w:r>
    </w:p>
    <w:p w14:paraId="3FBFDE22">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关于是否扣留质量保证金的约定：</w:t>
      </w:r>
      <w:r>
        <w:rPr>
          <w:rFonts w:hint="eastAsia" w:ascii="黑体" w:hAnsi="黑体" w:eastAsia="黑体" w:cs="黑体"/>
          <w:color w:val="auto"/>
          <w:sz w:val="24"/>
          <w:szCs w:val="24"/>
          <w:highlight w:val="none"/>
          <w:u w:val="single"/>
        </w:rPr>
        <w:t xml:space="preserve">      扣留              </w:t>
      </w:r>
      <w:r>
        <w:rPr>
          <w:rFonts w:hint="eastAsia" w:ascii="黑体" w:hAnsi="黑体" w:eastAsia="黑体" w:cs="黑体"/>
          <w:color w:val="auto"/>
          <w:sz w:val="24"/>
          <w:szCs w:val="24"/>
          <w:highlight w:val="none"/>
        </w:rPr>
        <w:t>。</w:t>
      </w:r>
    </w:p>
    <w:p w14:paraId="6F454D3A">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15.3.1 承包人提供质量保证金的方式</w:t>
      </w:r>
    </w:p>
    <w:p w14:paraId="38657411">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质量保证金采用以下第</w:t>
      </w:r>
      <w:r>
        <w:rPr>
          <w:rFonts w:hint="eastAsia" w:ascii="黑体" w:hAnsi="黑体" w:eastAsia="黑体" w:cs="黑体"/>
          <w:color w:val="auto"/>
          <w:sz w:val="24"/>
          <w:szCs w:val="24"/>
          <w:highlight w:val="none"/>
          <w:u w:val="single"/>
        </w:rPr>
        <w:t xml:space="preserve"> 2  </w:t>
      </w:r>
      <w:r>
        <w:rPr>
          <w:rFonts w:hint="eastAsia" w:ascii="黑体" w:hAnsi="黑体" w:eastAsia="黑体" w:cs="黑体"/>
          <w:color w:val="auto"/>
          <w:sz w:val="24"/>
          <w:szCs w:val="24"/>
          <w:highlight w:val="none"/>
        </w:rPr>
        <w:t>种方式：</w:t>
      </w:r>
    </w:p>
    <w:p w14:paraId="140303E1">
      <w:pPr>
        <w:pStyle w:val="18"/>
        <w:autoSpaceDE w:val="0"/>
        <w:autoSpaceDN w:val="0"/>
        <w:adjustRightInd w:val="0"/>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（1）质量保证金保函，保证金额为：</w:t>
      </w:r>
      <w:r>
        <w:rPr>
          <w:rFonts w:hint="eastAsia" w:ascii="黑体" w:hAnsi="黑体" w:eastAsia="黑体" w:cs="黑体"/>
          <w:color w:val="auto"/>
          <w:kern w:val="0"/>
          <w:sz w:val="24"/>
          <w:szCs w:val="24"/>
          <w:highlight w:val="none"/>
          <w:u w:val="single"/>
        </w:rPr>
        <w:t xml:space="preserve">       /       </w:t>
      </w:r>
      <w:r>
        <w:rPr>
          <w:rFonts w:hint="eastAsia" w:ascii="黑体" w:hAnsi="黑体" w:eastAsia="黑体" w:cs="黑体"/>
          <w:color w:val="auto"/>
          <w:kern w:val="0"/>
          <w:sz w:val="24"/>
          <w:szCs w:val="24"/>
          <w:highlight w:val="none"/>
        </w:rPr>
        <w:t xml:space="preserve">； </w:t>
      </w:r>
    </w:p>
    <w:p w14:paraId="5B14F5F0">
      <w:pPr>
        <w:pStyle w:val="18"/>
        <w:autoSpaceDE w:val="0"/>
        <w:autoSpaceDN w:val="0"/>
        <w:adjustRightInd w:val="0"/>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（2）</w:t>
      </w:r>
      <w:r>
        <w:rPr>
          <w:rFonts w:hint="eastAsia" w:ascii="黑体" w:hAnsi="黑体" w:eastAsia="黑体" w:cs="黑体"/>
          <w:color w:val="auto"/>
          <w:kern w:val="0"/>
          <w:sz w:val="24"/>
          <w:szCs w:val="24"/>
          <w:highlight w:val="none"/>
          <w:u w:val="single"/>
        </w:rPr>
        <w:t xml:space="preserve">   3  </w:t>
      </w:r>
      <w:r>
        <w:rPr>
          <w:rFonts w:hint="eastAsia" w:ascii="黑体" w:hAnsi="黑体" w:eastAsia="黑体" w:cs="黑体"/>
          <w:color w:val="auto"/>
          <w:kern w:val="0"/>
          <w:sz w:val="24"/>
          <w:szCs w:val="24"/>
          <w:highlight w:val="none"/>
        </w:rPr>
        <w:t>%的工程款；</w:t>
      </w:r>
    </w:p>
    <w:p w14:paraId="3AFCDA7F">
      <w:pPr>
        <w:pStyle w:val="18"/>
        <w:autoSpaceDE w:val="0"/>
        <w:autoSpaceDN w:val="0"/>
        <w:adjustRightInd w:val="0"/>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（3）其他方式:</w:t>
      </w:r>
      <w:r>
        <w:rPr>
          <w:rFonts w:hint="eastAsia" w:ascii="黑体" w:hAnsi="黑体" w:eastAsia="黑体" w:cs="黑体"/>
          <w:color w:val="auto"/>
          <w:kern w:val="0"/>
          <w:sz w:val="24"/>
          <w:szCs w:val="24"/>
          <w:highlight w:val="none"/>
          <w:u w:val="single"/>
        </w:rPr>
        <w:t xml:space="preserve">             /                </w:t>
      </w:r>
      <w:r>
        <w:rPr>
          <w:rFonts w:hint="eastAsia" w:ascii="黑体" w:hAnsi="黑体" w:eastAsia="黑体" w:cs="黑体"/>
          <w:color w:val="auto"/>
          <w:kern w:val="0"/>
          <w:sz w:val="24"/>
          <w:szCs w:val="24"/>
          <w:highlight w:val="none"/>
        </w:rPr>
        <w:t>。</w:t>
      </w:r>
    </w:p>
    <w:p w14:paraId="744D40EF">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 xml:space="preserve">15.3.2 质量保证金的扣留 </w:t>
      </w:r>
    </w:p>
    <w:p w14:paraId="10199BA3">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质量保证金的扣留采取以下第</w:t>
      </w:r>
      <w:r>
        <w:rPr>
          <w:rFonts w:hint="eastAsia" w:ascii="黑体" w:hAnsi="黑体" w:eastAsia="黑体" w:cs="黑体"/>
          <w:color w:val="auto"/>
          <w:sz w:val="24"/>
          <w:szCs w:val="24"/>
          <w:highlight w:val="none"/>
          <w:u w:val="single"/>
        </w:rPr>
        <w:t xml:space="preserve">   2 </w:t>
      </w:r>
      <w:r>
        <w:rPr>
          <w:rFonts w:hint="eastAsia" w:ascii="黑体" w:hAnsi="黑体" w:eastAsia="黑体" w:cs="黑体"/>
          <w:color w:val="auto"/>
          <w:sz w:val="24"/>
          <w:szCs w:val="24"/>
          <w:highlight w:val="none"/>
        </w:rPr>
        <w:t>种方式：</w:t>
      </w:r>
    </w:p>
    <w:p w14:paraId="66E362F8">
      <w:pPr>
        <w:pStyle w:val="18"/>
        <w:autoSpaceDE w:val="0"/>
        <w:autoSpaceDN w:val="0"/>
        <w:adjustRightInd w:val="0"/>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（1）在支付工程进度款时逐次扣留，在此情形下，质量保证金的计算基数不包括预付款的支付、扣回以及价格调整的金额；</w:t>
      </w:r>
    </w:p>
    <w:p w14:paraId="796CCB03">
      <w:pPr>
        <w:pStyle w:val="18"/>
        <w:autoSpaceDE w:val="0"/>
        <w:autoSpaceDN w:val="0"/>
        <w:adjustRightInd w:val="0"/>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（2）工程竣工结算时一次性扣留质量保证金；</w:t>
      </w:r>
    </w:p>
    <w:p w14:paraId="7FD36E03">
      <w:pPr>
        <w:pStyle w:val="18"/>
        <w:autoSpaceDE w:val="0"/>
        <w:autoSpaceDN w:val="0"/>
        <w:adjustRightInd w:val="0"/>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（3）其他扣留方式:</w:t>
      </w:r>
      <w:r>
        <w:rPr>
          <w:rFonts w:hint="eastAsia" w:ascii="黑体" w:hAnsi="黑体" w:eastAsia="黑体" w:cs="黑体"/>
          <w:color w:val="auto"/>
          <w:kern w:val="0"/>
          <w:sz w:val="24"/>
          <w:szCs w:val="24"/>
          <w:highlight w:val="none"/>
          <w:u w:val="single"/>
        </w:rPr>
        <w:t xml:space="preserve">         /              </w:t>
      </w:r>
      <w:r>
        <w:rPr>
          <w:rFonts w:hint="eastAsia" w:ascii="黑体" w:hAnsi="黑体" w:eastAsia="黑体" w:cs="黑体"/>
          <w:color w:val="auto"/>
          <w:kern w:val="0"/>
          <w:sz w:val="24"/>
          <w:szCs w:val="24"/>
          <w:highlight w:val="none"/>
        </w:rPr>
        <w:t>。</w:t>
      </w:r>
    </w:p>
    <w:p w14:paraId="22A1CD1A">
      <w:pPr>
        <w:pStyle w:val="18"/>
        <w:spacing w:line="360" w:lineRule="auto"/>
        <w:ind w:firstLine="480" w:firstLineChars="200"/>
        <w:jc w:val="left"/>
        <w:rPr>
          <w:rFonts w:hint="eastAsia" w:ascii="黑体" w:hAnsi="黑体" w:eastAsia="黑体" w:cs="黑体"/>
          <w:color w:val="auto"/>
          <w:kern w:val="0"/>
          <w:sz w:val="24"/>
          <w:szCs w:val="24"/>
          <w:highlight w:val="none"/>
          <w:u w:val="single"/>
        </w:rPr>
      </w:pPr>
      <w:r>
        <w:rPr>
          <w:rFonts w:hint="eastAsia" w:ascii="黑体" w:hAnsi="黑体" w:eastAsia="黑体" w:cs="黑体"/>
          <w:color w:val="auto"/>
          <w:sz w:val="24"/>
          <w:szCs w:val="24"/>
          <w:highlight w:val="none"/>
        </w:rPr>
        <w:t>关于质量保证金的补充约定：</w:t>
      </w:r>
      <w:r>
        <w:rPr>
          <w:rFonts w:hint="eastAsia" w:ascii="黑体" w:hAnsi="黑体" w:eastAsia="黑体" w:cs="黑体"/>
          <w:color w:val="auto"/>
          <w:kern w:val="0"/>
          <w:sz w:val="24"/>
          <w:szCs w:val="24"/>
          <w:highlight w:val="none"/>
          <w:u w:val="single"/>
        </w:rPr>
        <w:t xml:space="preserve">       /              </w:t>
      </w:r>
      <w:r>
        <w:rPr>
          <w:rFonts w:hint="eastAsia" w:ascii="黑体" w:hAnsi="黑体" w:eastAsia="黑体" w:cs="黑体"/>
          <w:color w:val="auto"/>
          <w:kern w:val="0"/>
          <w:sz w:val="24"/>
          <w:szCs w:val="24"/>
          <w:highlight w:val="none"/>
        </w:rPr>
        <w:t>。</w:t>
      </w:r>
    </w:p>
    <w:p w14:paraId="69D07596">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15.4保修</w:t>
      </w:r>
    </w:p>
    <w:p w14:paraId="3937ED02">
      <w:pPr>
        <w:pStyle w:val="18"/>
        <w:spacing w:line="360" w:lineRule="auto"/>
        <w:ind w:firstLine="468" w:firstLineChars="195"/>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15.4.1 保修责任</w:t>
      </w:r>
    </w:p>
    <w:p w14:paraId="795954AA">
      <w:pPr>
        <w:pStyle w:val="18"/>
        <w:spacing w:line="360" w:lineRule="auto"/>
        <w:ind w:firstLine="468" w:firstLineChars="195"/>
        <w:jc w:val="left"/>
        <w:rPr>
          <w:rFonts w:hint="eastAsia" w:ascii="黑体" w:hAnsi="黑体" w:eastAsia="黑体" w:cs="黑体"/>
          <w:color w:val="auto"/>
          <w:kern w:val="0"/>
          <w:sz w:val="24"/>
          <w:szCs w:val="24"/>
          <w:highlight w:val="none"/>
        </w:rPr>
      </w:pPr>
      <w:r>
        <w:rPr>
          <w:rFonts w:hint="eastAsia" w:ascii="黑体" w:hAnsi="黑体" w:eastAsia="黑体" w:cs="黑体"/>
          <w:color w:val="auto"/>
          <w:sz w:val="24"/>
          <w:szCs w:val="24"/>
          <w:highlight w:val="none"/>
        </w:rPr>
        <w:t>工程保修期为：</w:t>
      </w:r>
      <w:r>
        <w:rPr>
          <w:rFonts w:hint="eastAsia" w:ascii="黑体" w:hAnsi="黑体" w:eastAsia="黑体" w:cs="黑体"/>
          <w:color w:val="auto"/>
          <w:kern w:val="0"/>
          <w:sz w:val="24"/>
          <w:szCs w:val="24"/>
          <w:highlight w:val="none"/>
          <w:u w:val="single"/>
        </w:rPr>
        <w:t xml:space="preserve">  见工程质量保修书                  </w:t>
      </w:r>
      <w:r>
        <w:rPr>
          <w:rFonts w:hint="eastAsia" w:ascii="黑体" w:hAnsi="黑体" w:eastAsia="黑体" w:cs="黑体"/>
          <w:color w:val="auto"/>
          <w:kern w:val="0"/>
          <w:sz w:val="24"/>
          <w:szCs w:val="24"/>
          <w:highlight w:val="none"/>
        </w:rPr>
        <w:t>。</w:t>
      </w:r>
    </w:p>
    <w:p w14:paraId="37B3D592">
      <w:pPr>
        <w:pStyle w:val="18"/>
        <w:spacing w:line="360" w:lineRule="auto"/>
        <w:ind w:firstLine="468" w:firstLineChars="195"/>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15.4.3 修复通知</w:t>
      </w:r>
    </w:p>
    <w:p w14:paraId="52D068CC">
      <w:pPr>
        <w:pStyle w:val="18"/>
        <w:spacing w:line="360" w:lineRule="auto"/>
        <w:ind w:firstLine="468" w:firstLineChars="195"/>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承包人收到保修通知并到达工程现场的合理时间：</w:t>
      </w:r>
      <w:r>
        <w:rPr>
          <w:rFonts w:hint="eastAsia" w:ascii="黑体" w:hAnsi="黑体" w:eastAsia="黑体" w:cs="黑体"/>
          <w:color w:val="auto"/>
          <w:kern w:val="0"/>
          <w:sz w:val="24"/>
          <w:szCs w:val="24"/>
          <w:highlight w:val="none"/>
          <w:u w:val="single"/>
        </w:rPr>
        <w:t xml:space="preserve">24小时内   </w:t>
      </w:r>
      <w:r>
        <w:rPr>
          <w:rFonts w:hint="eastAsia" w:ascii="黑体" w:hAnsi="黑体" w:eastAsia="黑体" w:cs="黑体"/>
          <w:color w:val="auto"/>
          <w:kern w:val="0"/>
          <w:sz w:val="24"/>
          <w:szCs w:val="24"/>
          <w:highlight w:val="none"/>
        </w:rPr>
        <w:t>。</w:t>
      </w:r>
    </w:p>
    <w:p w14:paraId="74C705AE">
      <w:pPr>
        <w:pStyle w:val="18"/>
        <w:keepNext/>
        <w:keepLines/>
        <w:spacing w:before="120" w:after="120" w:line="360" w:lineRule="auto"/>
        <w:outlineLvl w:val="3"/>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16. 违约</w:t>
      </w:r>
    </w:p>
    <w:p w14:paraId="6FC2DBE3">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16.1 发包人违约</w:t>
      </w:r>
    </w:p>
    <w:p w14:paraId="27964FEB">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16.1.1发包人违约的情形</w:t>
      </w:r>
    </w:p>
    <w:p w14:paraId="06FDD049">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发包人违约的其他情形：</w:t>
      </w:r>
      <w:r>
        <w:rPr>
          <w:rFonts w:hint="eastAsia" w:ascii="黑体" w:hAnsi="黑体" w:eastAsia="黑体" w:cs="黑体"/>
          <w:color w:val="auto"/>
          <w:kern w:val="0"/>
          <w:sz w:val="24"/>
          <w:szCs w:val="24"/>
          <w:highlight w:val="none"/>
          <w:u w:val="single"/>
        </w:rPr>
        <w:t xml:space="preserve">          /          </w:t>
      </w:r>
      <w:r>
        <w:rPr>
          <w:rFonts w:hint="eastAsia" w:ascii="黑体" w:hAnsi="黑体" w:eastAsia="黑体" w:cs="黑体"/>
          <w:color w:val="auto"/>
          <w:kern w:val="0"/>
          <w:sz w:val="24"/>
          <w:szCs w:val="24"/>
          <w:highlight w:val="none"/>
        </w:rPr>
        <w:t>。</w:t>
      </w:r>
    </w:p>
    <w:p w14:paraId="689E4DE3">
      <w:pPr>
        <w:pStyle w:val="18"/>
        <w:spacing w:line="360" w:lineRule="auto"/>
        <w:ind w:left="1200" w:hanging="1200" w:hangingChars="5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 xml:space="preserve">    16.1.2 发包人违约的责任</w:t>
      </w:r>
    </w:p>
    <w:p w14:paraId="062BB895">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发包人违约责任的承担方式和计算方法：</w:t>
      </w:r>
    </w:p>
    <w:p w14:paraId="39D1F302">
      <w:pPr>
        <w:pStyle w:val="18"/>
        <w:spacing w:line="360" w:lineRule="auto"/>
        <w:ind w:firstLine="480" w:firstLineChars="200"/>
        <w:jc w:val="left"/>
        <w:rPr>
          <w:rFonts w:hint="eastAsia" w:ascii="黑体" w:hAnsi="黑体" w:eastAsia="黑体" w:cs="黑体"/>
          <w:color w:val="auto"/>
          <w:kern w:val="0"/>
          <w:sz w:val="24"/>
          <w:szCs w:val="24"/>
          <w:highlight w:val="none"/>
          <w:u w:val="single"/>
        </w:rPr>
      </w:pPr>
      <w:r>
        <w:rPr>
          <w:rFonts w:hint="eastAsia" w:ascii="黑体" w:hAnsi="黑体" w:eastAsia="黑体" w:cs="黑体"/>
          <w:color w:val="auto"/>
          <w:kern w:val="0"/>
          <w:sz w:val="24"/>
          <w:szCs w:val="24"/>
          <w:highlight w:val="none"/>
        </w:rPr>
        <w:t>（1）因发包人原因未能在计划开工日期前7天内下达开工通知的违约责任：</w:t>
      </w:r>
      <w:r>
        <w:rPr>
          <w:rFonts w:hint="eastAsia" w:ascii="黑体" w:hAnsi="黑体" w:eastAsia="黑体" w:cs="黑体"/>
          <w:color w:val="auto"/>
          <w:kern w:val="0"/>
          <w:sz w:val="24"/>
          <w:szCs w:val="24"/>
          <w:highlight w:val="none"/>
          <w:u w:val="single"/>
        </w:rPr>
        <w:t xml:space="preserve">   </w:t>
      </w:r>
      <w:r>
        <w:rPr>
          <w:rFonts w:hint="eastAsia" w:ascii="黑体" w:hAnsi="黑体" w:eastAsia="黑体" w:cs="黑体"/>
          <w:color w:val="auto"/>
          <w:kern w:val="0"/>
          <w:sz w:val="24"/>
          <w:szCs w:val="24"/>
          <w:highlight w:val="none"/>
          <w:u w:val="single"/>
          <w:lang w:val="en-US" w:eastAsia="zh-CN"/>
        </w:rPr>
        <w:t>执行合同通用条款</w:t>
      </w:r>
      <w:r>
        <w:rPr>
          <w:rFonts w:hint="eastAsia" w:ascii="黑体" w:hAnsi="黑体" w:eastAsia="黑体" w:cs="黑体"/>
          <w:color w:val="auto"/>
          <w:kern w:val="0"/>
          <w:sz w:val="24"/>
          <w:szCs w:val="24"/>
          <w:highlight w:val="none"/>
        </w:rPr>
        <w:t>。</w:t>
      </w:r>
    </w:p>
    <w:p w14:paraId="51FE87D5">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（2）因发包人原因未能按合同约定支付合同价款的违约责任</w:t>
      </w:r>
      <w:r>
        <w:rPr>
          <w:rFonts w:hint="eastAsia" w:ascii="黑体" w:hAnsi="黑体" w:eastAsia="黑体" w:cs="黑体"/>
          <w:color w:val="auto"/>
          <w:kern w:val="0"/>
          <w:sz w:val="24"/>
          <w:szCs w:val="24"/>
          <w:highlight w:val="none"/>
          <w:u w:val="single"/>
        </w:rPr>
        <w:t xml:space="preserve"> ：</w:t>
      </w:r>
      <w:r>
        <w:rPr>
          <w:rFonts w:hint="eastAsia" w:ascii="黑体" w:hAnsi="黑体" w:eastAsia="黑体" w:cs="黑体"/>
          <w:color w:val="auto"/>
          <w:kern w:val="0"/>
          <w:sz w:val="24"/>
          <w:szCs w:val="24"/>
          <w:highlight w:val="none"/>
          <w:u w:val="single"/>
          <w:lang w:val="en-US" w:eastAsia="zh-CN"/>
        </w:rPr>
        <w:t>执行合同通用条款</w:t>
      </w:r>
      <w:r>
        <w:rPr>
          <w:rFonts w:hint="eastAsia" w:ascii="黑体" w:hAnsi="黑体" w:eastAsia="黑体" w:cs="黑体"/>
          <w:color w:val="auto"/>
          <w:kern w:val="0"/>
          <w:sz w:val="24"/>
          <w:szCs w:val="24"/>
          <w:highlight w:val="none"/>
        </w:rPr>
        <w:t>。</w:t>
      </w:r>
    </w:p>
    <w:p w14:paraId="01B0F6ED">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（3）发包人违反第10.1款〔变更的范围〕第（2）项约定，自行实施被取消的工作或转由他人实施的违约责任：</w:t>
      </w:r>
      <w:r>
        <w:rPr>
          <w:rFonts w:hint="eastAsia" w:ascii="黑体" w:hAnsi="黑体" w:eastAsia="黑体" w:cs="黑体"/>
          <w:color w:val="auto"/>
          <w:kern w:val="0"/>
          <w:sz w:val="24"/>
          <w:szCs w:val="24"/>
          <w:highlight w:val="none"/>
          <w:u w:val="single"/>
          <w:lang w:val="en-US" w:eastAsia="zh-CN"/>
        </w:rPr>
        <w:t>执行合同通用条款</w:t>
      </w:r>
      <w:r>
        <w:rPr>
          <w:rFonts w:hint="eastAsia" w:ascii="黑体" w:hAnsi="黑体" w:eastAsia="黑体" w:cs="黑体"/>
          <w:color w:val="auto"/>
          <w:kern w:val="0"/>
          <w:sz w:val="24"/>
          <w:szCs w:val="24"/>
          <w:highlight w:val="none"/>
          <w:u w:val="single"/>
        </w:rPr>
        <w:t xml:space="preserve">   </w:t>
      </w:r>
      <w:r>
        <w:rPr>
          <w:rFonts w:hint="eastAsia" w:ascii="黑体" w:hAnsi="黑体" w:eastAsia="黑体" w:cs="黑体"/>
          <w:color w:val="auto"/>
          <w:kern w:val="0"/>
          <w:sz w:val="24"/>
          <w:szCs w:val="24"/>
          <w:highlight w:val="none"/>
        </w:rPr>
        <w:t>。</w:t>
      </w:r>
    </w:p>
    <w:p w14:paraId="79597019">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（4）发包人提供的材料、工程设备的规格、数量或质量不符合合同约定，或因发包人原因导致交货日期延误或交货地点变更等情况的违约责任：</w:t>
      </w:r>
      <w:r>
        <w:rPr>
          <w:rFonts w:hint="eastAsia" w:ascii="黑体" w:hAnsi="黑体" w:eastAsia="黑体" w:cs="黑体"/>
          <w:color w:val="auto"/>
          <w:kern w:val="0"/>
          <w:sz w:val="24"/>
          <w:szCs w:val="24"/>
          <w:highlight w:val="none"/>
          <w:u w:val="single"/>
          <w:lang w:val="en-US" w:eastAsia="zh-CN"/>
        </w:rPr>
        <w:t>执行合同通用条款</w:t>
      </w:r>
    </w:p>
    <w:p w14:paraId="62AABACD">
      <w:pPr>
        <w:pStyle w:val="18"/>
        <w:spacing w:line="360" w:lineRule="auto"/>
        <w:ind w:firstLine="480" w:firstLineChars="200"/>
        <w:jc w:val="left"/>
        <w:rPr>
          <w:rFonts w:hint="eastAsia" w:ascii="黑体" w:hAnsi="黑体" w:eastAsia="黑体" w:cs="黑体"/>
          <w:color w:val="auto"/>
          <w:kern w:val="0"/>
          <w:sz w:val="24"/>
          <w:szCs w:val="24"/>
          <w:highlight w:val="none"/>
          <w:u w:val="single"/>
        </w:rPr>
      </w:pPr>
      <w:r>
        <w:rPr>
          <w:rFonts w:hint="eastAsia" w:ascii="黑体" w:hAnsi="黑体" w:eastAsia="黑体" w:cs="黑体"/>
          <w:color w:val="auto"/>
          <w:kern w:val="0"/>
          <w:sz w:val="24"/>
          <w:szCs w:val="24"/>
          <w:highlight w:val="none"/>
        </w:rPr>
        <w:t>（5）因发包人违反合同约定造成暂停施工的违约责任：</w:t>
      </w:r>
      <w:r>
        <w:rPr>
          <w:rFonts w:hint="eastAsia" w:ascii="黑体" w:hAnsi="黑体" w:eastAsia="黑体" w:cs="黑体"/>
          <w:color w:val="auto"/>
          <w:kern w:val="0"/>
          <w:sz w:val="24"/>
          <w:szCs w:val="24"/>
          <w:highlight w:val="none"/>
          <w:u w:val="single"/>
        </w:rPr>
        <w:t xml:space="preserve"> </w:t>
      </w:r>
      <w:r>
        <w:rPr>
          <w:rFonts w:hint="eastAsia" w:ascii="黑体" w:hAnsi="黑体" w:eastAsia="黑体" w:cs="黑体"/>
          <w:color w:val="auto"/>
          <w:kern w:val="0"/>
          <w:sz w:val="24"/>
          <w:szCs w:val="24"/>
          <w:highlight w:val="none"/>
          <w:u w:val="single"/>
          <w:lang w:val="en-US" w:eastAsia="zh-CN"/>
        </w:rPr>
        <w:t>执行合同通用条款</w:t>
      </w:r>
      <w:r>
        <w:rPr>
          <w:rFonts w:hint="eastAsia" w:ascii="黑体" w:hAnsi="黑体" w:eastAsia="黑体" w:cs="黑体"/>
          <w:color w:val="auto"/>
          <w:kern w:val="0"/>
          <w:sz w:val="24"/>
          <w:szCs w:val="24"/>
          <w:highlight w:val="none"/>
          <w:u w:val="single"/>
        </w:rPr>
        <w:t xml:space="preserve">      </w:t>
      </w:r>
    </w:p>
    <w:p w14:paraId="419A8911">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（6）发包人无正当理由没有在约定期限内发出复工指示，导致承包人无法复工的违约责任：</w:t>
      </w:r>
      <w:r>
        <w:rPr>
          <w:rFonts w:hint="eastAsia" w:ascii="黑体" w:hAnsi="黑体" w:eastAsia="黑体" w:cs="黑体"/>
          <w:color w:val="auto"/>
          <w:kern w:val="0"/>
          <w:sz w:val="24"/>
          <w:szCs w:val="24"/>
          <w:highlight w:val="none"/>
          <w:u w:val="single"/>
        </w:rPr>
        <w:t xml:space="preserve">      </w:t>
      </w:r>
      <w:r>
        <w:rPr>
          <w:rFonts w:hint="eastAsia" w:ascii="黑体" w:hAnsi="黑体" w:eastAsia="黑体" w:cs="黑体"/>
          <w:color w:val="auto"/>
          <w:kern w:val="0"/>
          <w:sz w:val="24"/>
          <w:szCs w:val="24"/>
          <w:highlight w:val="none"/>
          <w:u w:val="single"/>
          <w:lang w:val="en-US" w:eastAsia="zh-CN"/>
        </w:rPr>
        <w:t>执行合同通用条款</w:t>
      </w:r>
      <w:r>
        <w:rPr>
          <w:rFonts w:hint="eastAsia" w:ascii="黑体" w:hAnsi="黑体" w:eastAsia="黑体" w:cs="黑体"/>
          <w:color w:val="auto"/>
          <w:kern w:val="0"/>
          <w:sz w:val="24"/>
          <w:szCs w:val="24"/>
          <w:highlight w:val="none"/>
          <w:u w:val="single"/>
        </w:rPr>
        <w:t xml:space="preserve">         </w:t>
      </w:r>
      <w:r>
        <w:rPr>
          <w:rFonts w:hint="eastAsia" w:ascii="黑体" w:hAnsi="黑体" w:eastAsia="黑体" w:cs="黑体"/>
          <w:color w:val="auto"/>
          <w:kern w:val="0"/>
          <w:sz w:val="24"/>
          <w:szCs w:val="24"/>
          <w:highlight w:val="none"/>
        </w:rPr>
        <w:t>。</w:t>
      </w:r>
    </w:p>
    <w:p w14:paraId="3D33AD06">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（7）其他：</w:t>
      </w:r>
      <w:r>
        <w:rPr>
          <w:rFonts w:hint="eastAsia" w:ascii="黑体" w:hAnsi="黑体" w:eastAsia="黑体" w:cs="黑体"/>
          <w:color w:val="auto"/>
          <w:kern w:val="0"/>
          <w:sz w:val="24"/>
          <w:szCs w:val="24"/>
          <w:highlight w:val="none"/>
          <w:u w:val="single"/>
        </w:rPr>
        <w:t xml:space="preserve">               /                  </w:t>
      </w:r>
      <w:r>
        <w:rPr>
          <w:rFonts w:hint="eastAsia" w:ascii="黑体" w:hAnsi="黑体" w:eastAsia="黑体" w:cs="黑体"/>
          <w:color w:val="auto"/>
          <w:kern w:val="0"/>
          <w:sz w:val="24"/>
          <w:szCs w:val="24"/>
          <w:highlight w:val="none"/>
        </w:rPr>
        <w:t>。</w:t>
      </w:r>
    </w:p>
    <w:p w14:paraId="7F4BDBE9">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16.1.3 因发包人违约解除合同</w:t>
      </w:r>
    </w:p>
    <w:p w14:paraId="68CDC2A9">
      <w:pPr>
        <w:pStyle w:val="18"/>
        <w:autoSpaceDE w:val="0"/>
        <w:autoSpaceDN w:val="0"/>
        <w:adjustRightInd w:val="0"/>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承包人按16.1.1项〔发包人违约的情形〕约定暂停施工满</w:t>
      </w:r>
      <w:r>
        <w:rPr>
          <w:rFonts w:hint="eastAsia" w:ascii="黑体" w:hAnsi="黑体" w:eastAsia="黑体" w:cs="黑体"/>
          <w:color w:val="auto"/>
          <w:kern w:val="0"/>
          <w:sz w:val="24"/>
          <w:szCs w:val="24"/>
          <w:highlight w:val="none"/>
          <w:u w:val="single"/>
        </w:rPr>
        <w:t xml:space="preserve">  </w:t>
      </w:r>
      <w:r>
        <w:rPr>
          <w:rFonts w:hint="eastAsia" w:ascii="黑体" w:hAnsi="黑体" w:eastAsia="黑体" w:cs="黑体"/>
          <w:color w:val="auto"/>
          <w:kern w:val="0"/>
          <w:sz w:val="24"/>
          <w:szCs w:val="24"/>
          <w:highlight w:val="none"/>
          <w:u w:val="single"/>
          <w:lang w:val="en-US" w:eastAsia="zh-CN"/>
        </w:rPr>
        <w:t xml:space="preserve"> </w:t>
      </w:r>
      <w:r>
        <w:rPr>
          <w:rFonts w:hint="eastAsia" w:ascii="黑体" w:hAnsi="黑体" w:eastAsia="黑体" w:cs="黑体"/>
          <w:color w:val="auto"/>
          <w:kern w:val="0"/>
          <w:sz w:val="24"/>
          <w:szCs w:val="24"/>
          <w:highlight w:val="none"/>
          <w:u w:val="single"/>
        </w:rPr>
        <w:t xml:space="preserve">  </w:t>
      </w:r>
      <w:r>
        <w:rPr>
          <w:rFonts w:hint="eastAsia" w:ascii="黑体" w:hAnsi="黑体" w:eastAsia="黑体" w:cs="黑体"/>
          <w:color w:val="auto"/>
          <w:kern w:val="0"/>
          <w:sz w:val="24"/>
          <w:szCs w:val="24"/>
          <w:highlight w:val="none"/>
        </w:rPr>
        <w:t>天后发包人仍不纠正其违约行为并致使合同目的不能实现的，承包人有权解除合同。</w:t>
      </w:r>
    </w:p>
    <w:p w14:paraId="593BAEE4">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16.2 承包人违约</w:t>
      </w:r>
    </w:p>
    <w:p w14:paraId="3FC06202">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16.2.1 承包人违约的情形</w:t>
      </w:r>
    </w:p>
    <w:p w14:paraId="26C44975">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承包人违约的其他情形：</w:t>
      </w:r>
      <w:r>
        <w:rPr>
          <w:rFonts w:hint="eastAsia" w:ascii="黑体" w:hAnsi="黑体" w:eastAsia="黑体" w:cs="黑体"/>
          <w:color w:val="auto"/>
          <w:kern w:val="0"/>
          <w:sz w:val="24"/>
          <w:szCs w:val="24"/>
          <w:highlight w:val="none"/>
          <w:u w:val="single"/>
        </w:rPr>
        <w:t xml:space="preserve">  </w:t>
      </w:r>
      <w:r>
        <w:rPr>
          <w:rFonts w:hint="eastAsia" w:ascii="黑体" w:hAnsi="黑体" w:eastAsia="黑体" w:cs="黑体"/>
          <w:color w:val="auto"/>
          <w:kern w:val="0"/>
          <w:sz w:val="24"/>
          <w:szCs w:val="24"/>
          <w:highlight w:val="none"/>
          <w:u w:val="single"/>
          <w:lang w:val="en-US" w:eastAsia="zh-CN"/>
        </w:rPr>
        <w:t>执行合同通用条款</w:t>
      </w:r>
      <w:r>
        <w:rPr>
          <w:rFonts w:hint="eastAsia" w:ascii="黑体" w:hAnsi="黑体" w:eastAsia="黑体" w:cs="黑体"/>
          <w:color w:val="auto"/>
          <w:kern w:val="0"/>
          <w:sz w:val="24"/>
          <w:szCs w:val="24"/>
          <w:highlight w:val="none"/>
          <w:u w:val="single"/>
        </w:rPr>
        <w:t xml:space="preserve">            </w:t>
      </w:r>
      <w:r>
        <w:rPr>
          <w:rFonts w:hint="eastAsia" w:ascii="黑体" w:hAnsi="黑体" w:eastAsia="黑体" w:cs="黑体"/>
          <w:color w:val="auto"/>
          <w:kern w:val="0"/>
          <w:sz w:val="24"/>
          <w:szCs w:val="24"/>
          <w:highlight w:val="none"/>
        </w:rPr>
        <w:t>。</w:t>
      </w:r>
    </w:p>
    <w:p w14:paraId="0D784A45">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16.2.2承包人违约的责任</w:t>
      </w:r>
    </w:p>
    <w:p w14:paraId="5B214769">
      <w:pPr>
        <w:pStyle w:val="18"/>
        <w:spacing w:line="360" w:lineRule="auto"/>
        <w:ind w:firstLine="480" w:firstLineChars="200"/>
        <w:jc w:val="left"/>
        <w:rPr>
          <w:rFonts w:hint="eastAsia" w:ascii="黑体" w:hAnsi="黑体" w:eastAsia="黑体" w:cs="黑体"/>
          <w:color w:val="auto"/>
          <w:kern w:val="0"/>
          <w:sz w:val="24"/>
          <w:szCs w:val="24"/>
          <w:highlight w:val="none"/>
          <w:u w:val="single"/>
        </w:rPr>
      </w:pPr>
      <w:r>
        <w:rPr>
          <w:rFonts w:hint="eastAsia" w:ascii="黑体" w:hAnsi="黑体" w:eastAsia="黑体" w:cs="黑体"/>
          <w:color w:val="auto"/>
          <w:kern w:val="0"/>
          <w:sz w:val="24"/>
          <w:szCs w:val="24"/>
          <w:highlight w:val="none"/>
        </w:rPr>
        <w:t>承包人违约责任的承担方式和计算方法：</w:t>
      </w:r>
      <w:r>
        <w:rPr>
          <w:rFonts w:hint="eastAsia" w:ascii="黑体" w:hAnsi="黑体" w:eastAsia="黑体" w:cs="黑体"/>
          <w:color w:val="auto"/>
          <w:kern w:val="0"/>
          <w:sz w:val="24"/>
          <w:szCs w:val="24"/>
          <w:highlight w:val="none"/>
          <w:u w:val="single"/>
        </w:rPr>
        <w:t xml:space="preserve">  </w:t>
      </w:r>
      <w:r>
        <w:rPr>
          <w:rFonts w:hint="eastAsia" w:ascii="黑体" w:hAnsi="黑体" w:eastAsia="黑体" w:cs="黑体"/>
          <w:color w:val="auto"/>
          <w:kern w:val="0"/>
          <w:sz w:val="24"/>
          <w:szCs w:val="24"/>
          <w:highlight w:val="none"/>
          <w:u w:val="single"/>
          <w:lang w:val="en-US" w:eastAsia="zh-CN"/>
        </w:rPr>
        <w:t>执行合同通用条款</w:t>
      </w:r>
      <w:r>
        <w:rPr>
          <w:rFonts w:hint="eastAsia" w:ascii="黑体" w:hAnsi="黑体" w:eastAsia="黑体" w:cs="黑体"/>
          <w:color w:val="auto"/>
          <w:kern w:val="0"/>
          <w:sz w:val="24"/>
          <w:szCs w:val="24"/>
          <w:highlight w:val="none"/>
          <w:u w:val="single"/>
        </w:rPr>
        <w:t xml:space="preserve">    </w:t>
      </w:r>
      <w:r>
        <w:rPr>
          <w:rFonts w:hint="eastAsia" w:ascii="黑体" w:hAnsi="黑体" w:eastAsia="黑体" w:cs="黑体"/>
          <w:color w:val="auto"/>
          <w:kern w:val="0"/>
          <w:sz w:val="24"/>
          <w:szCs w:val="24"/>
          <w:highlight w:val="none"/>
        </w:rPr>
        <w:t>。</w:t>
      </w:r>
      <w:r>
        <w:rPr>
          <w:rFonts w:hint="eastAsia" w:ascii="黑体" w:hAnsi="黑体" w:eastAsia="黑体" w:cs="黑体"/>
          <w:color w:val="auto"/>
          <w:sz w:val="24"/>
          <w:szCs w:val="24"/>
          <w:highlight w:val="none"/>
        </w:rPr>
        <w:t xml:space="preserve">    </w:t>
      </w:r>
    </w:p>
    <w:p w14:paraId="35379AA7">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16.2.3 因承包人违约解除合同</w:t>
      </w:r>
    </w:p>
    <w:p w14:paraId="70538CD5">
      <w:pPr>
        <w:pStyle w:val="18"/>
        <w:spacing w:before="120" w:after="120" w:line="360" w:lineRule="auto"/>
        <w:ind w:firstLine="480" w:firstLineChars="200"/>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关于承包人违约解除合同的特别约定：</w:t>
      </w:r>
      <w:r>
        <w:rPr>
          <w:rFonts w:hint="eastAsia" w:ascii="黑体" w:hAnsi="黑体" w:eastAsia="黑体" w:cs="黑体"/>
          <w:color w:val="auto"/>
          <w:kern w:val="0"/>
          <w:sz w:val="24"/>
          <w:szCs w:val="24"/>
          <w:highlight w:val="none"/>
          <w:u w:val="single"/>
        </w:rPr>
        <w:t xml:space="preserve">  按通用条款执行  </w:t>
      </w:r>
      <w:r>
        <w:rPr>
          <w:rFonts w:hint="eastAsia" w:ascii="黑体" w:hAnsi="黑体" w:eastAsia="黑体" w:cs="黑体"/>
          <w:color w:val="auto"/>
          <w:kern w:val="0"/>
          <w:sz w:val="24"/>
          <w:szCs w:val="24"/>
          <w:highlight w:val="none"/>
        </w:rPr>
        <w:t>。</w:t>
      </w:r>
    </w:p>
    <w:p w14:paraId="68D697CA">
      <w:pPr>
        <w:pStyle w:val="18"/>
        <w:spacing w:before="120" w:after="120" w:line="360" w:lineRule="auto"/>
        <w:ind w:firstLine="480" w:firstLineChars="200"/>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发包人继续使用承包人在施工现场的材料、设备、临时工程、承包人文件和由承包人或以其名义编制的其他文件的费用承担方式：</w:t>
      </w:r>
      <w:r>
        <w:rPr>
          <w:rFonts w:hint="eastAsia" w:ascii="黑体" w:hAnsi="黑体" w:eastAsia="黑体" w:cs="黑体"/>
          <w:color w:val="auto"/>
          <w:kern w:val="0"/>
          <w:sz w:val="24"/>
          <w:szCs w:val="24"/>
          <w:highlight w:val="none"/>
          <w:u w:val="single"/>
        </w:rPr>
        <w:t xml:space="preserve">  双方另行确定   </w:t>
      </w:r>
      <w:r>
        <w:rPr>
          <w:rFonts w:hint="eastAsia" w:ascii="黑体" w:hAnsi="黑体" w:eastAsia="黑体" w:cs="黑体"/>
          <w:color w:val="auto"/>
          <w:kern w:val="0"/>
          <w:sz w:val="24"/>
          <w:szCs w:val="24"/>
          <w:highlight w:val="none"/>
        </w:rPr>
        <w:t>。</w:t>
      </w:r>
    </w:p>
    <w:p w14:paraId="02BF5D64">
      <w:pPr>
        <w:pStyle w:val="18"/>
        <w:keepNext/>
        <w:keepLines/>
        <w:spacing w:before="120" w:after="120" w:line="360" w:lineRule="auto"/>
        <w:outlineLvl w:val="3"/>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 xml:space="preserve">17. 不可抗力 </w:t>
      </w:r>
    </w:p>
    <w:p w14:paraId="55D6A5A5">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17.1 不可抗力的确认</w:t>
      </w:r>
    </w:p>
    <w:p w14:paraId="36555783">
      <w:pPr>
        <w:pStyle w:val="18"/>
        <w:spacing w:line="360" w:lineRule="auto"/>
        <w:ind w:firstLine="480" w:firstLineChars="200"/>
        <w:jc w:val="left"/>
        <w:rPr>
          <w:rFonts w:hint="eastAsia" w:ascii="黑体" w:hAnsi="黑体" w:eastAsia="黑体" w:cs="黑体"/>
          <w:color w:val="auto"/>
          <w:kern w:val="0"/>
          <w:sz w:val="24"/>
          <w:szCs w:val="24"/>
          <w:highlight w:val="none"/>
          <w:u w:val="single"/>
        </w:rPr>
      </w:pPr>
      <w:r>
        <w:rPr>
          <w:rFonts w:hint="eastAsia" w:ascii="黑体" w:hAnsi="黑体" w:eastAsia="黑体" w:cs="黑体"/>
          <w:color w:val="auto"/>
          <w:sz w:val="24"/>
          <w:szCs w:val="24"/>
          <w:highlight w:val="none"/>
        </w:rPr>
        <w:t xml:space="preserve">除通用合同条款约定的不可抗力事件之外，视为不可抗力的其他情形： </w:t>
      </w:r>
      <w:r>
        <w:rPr>
          <w:rFonts w:hint="eastAsia" w:ascii="黑体" w:hAnsi="黑体" w:eastAsia="黑体" w:cs="黑体"/>
          <w:color w:val="auto"/>
          <w:kern w:val="0"/>
          <w:sz w:val="24"/>
          <w:szCs w:val="24"/>
          <w:highlight w:val="none"/>
          <w:u w:val="single"/>
        </w:rPr>
        <w:t xml:space="preserve">/   </w:t>
      </w:r>
      <w:r>
        <w:rPr>
          <w:rFonts w:hint="eastAsia" w:ascii="黑体" w:hAnsi="黑体" w:eastAsia="黑体" w:cs="黑体"/>
          <w:color w:val="auto"/>
          <w:kern w:val="0"/>
          <w:sz w:val="24"/>
          <w:szCs w:val="24"/>
          <w:highlight w:val="none"/>
        </w:rPr>
        <w:t>。</w:t>
      </w:r>
    </w:p>
    <w:p w14:paraId="197EAA80">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17.4 因不可抗力解除合同</w:t>
      </w:r>
    </w:p>
    <w:p w14:paraId="6EE24249">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合同解除后，发包人应在商定或确定发包人应支付款项后</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u w:val="single"/>
          <w:lang w:val="en-US" w:eastAsia="zh-CN"/>
        </w:rPr>
        <w:t xml:space="preserve"> </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天内完成款项的支付。</w:t>
      </w:r>
    </w:p>
    <w:p w14:paraId="2BB7CB83">
      <w:pPr>
        <w:pStyle w:val="18"/>
        <w:keepNext/>
        <w:keepLines/>
        <w:spacing w:before="120" w:after="120" w:line="360" w:lineRule="auto"/>
        <w:outlineLvl w:val="3"/>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18. 保险</w:t>
      </w:r>
    </w:p>
    <w:p w14:paraId="76F47126">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18.1 工程保险</w:t>
      </w:r>
    </w:p>
    <w:p w14:paraId="6C965159">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关于工程保险的特别约定：</w:t>
      </w:r>
      <w:r>
        <w:rPr>
          <w:rFonts w:hint="eastAsia" w:ascii="黑体" w:hAnsi="黑体" w:eastAsia="黑体" w:cs="黑体"/>
          <w:color w:val="auto"/>
          <w:kern w:val="0"/>
          <w:sz w:val="24"/>
          <w:szCs w:val="24"/>
          <w:highlight w:val="none"/>
          <w:u w:val="single"/>
        </w:rPr>
        <w:t xml:space="preserve">   按通用条款执行     </w:t>
      </w:r>
      <w:r>
        <w:rPr>
          <w:rFonts w:hint="eastAsia" w:ascii="黑体" w:hAnsi="黑体" w:eastAsia="黑体" w:cs="黑体"/>
          <w:color w:val="auto"/>
          <w:kern w:val="0"/>
          <w:sz w:val="24"/>
          <w:szCs w:val="24"/>
          <w:highlight w:val="none"/>
        </w:rPr>
        <w:t>。</w:t>
      </w:r>
    </w:p>
    <w:p w14:paraId="5992B777">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18.3 其他保险</w:t>
      </w:r>
    </w:p>
    <w:p w14:paraId="180DED8C">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sz w:val="24"/>
          <w:szCs w:val="24"/>
          <w:highlight w:val="none"/>
        </w:rPr>
        <w:t>关于其他保险的约定：</w:t>
      </w:r>
      <w:r>
        <w:rPr>
          <w:rFonts w:hint="eastAsia" w:ascii="黑体" w:hAnsi="黑体" w:eastAsia="黑体" w:cs="黑体"/>
          <w:color w:val="auto"/>
          <w:kern w:val="0"/>
          <w:sz w:val="24"/>
          <w:szCs w:val="24"/>
          <w:highlight w:val="none"/>
          <w:u w:val="single"/>
        </w:rPr>
        <w:t xml:space="preserve">           /                 </w:t>
      </w:r>
      <w:r>
        <w:rPr>
          <w:rFonts w:hint="eastAsia" w:ascii="黑体" w:hAnsi="黑体" w:eastAsia="黑体" w:cs="黑体"/>
          <w:color w:val="auto"/>
          <w:kern w:val="0"/>
          <w:sz w:val="24"/>
          <w:szCs w:val="24"/>
          <w:highlight w:val="none"/>
        </w:rPr>
        <w:t>。</w:t>
      </w:r>
    </w:p>
    <w:p w14:paraId="5FAB4F74">
      <w:pPr>
        <w:pStyle w:val="18"/>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sz w:val="24"/>
          <w:szCs w:val="24"/>
          <w:highlight w:val="none"/>
        </w:rPr>
        <w:t>承包人是否应为其施工设备等办理财产保险：</w:t>
      </w:r>
      <w:r>
        <w:rPr>
          <w:rFonts w:hint="eastAsia" w:ascii="黑体" w:hAnsi="黑体" w:eastAsia="黑体" w:cs="黑体"/>
          <w:color w:val="auto"/>
          <w:sz w:val="24"/>
          <w:szCs w:val="24"/>
          <w:highlight w:val="none"/>
          <w:u w:val="single"/>
        </w:rPr>
        <w:t xml:space="preserve"> 按通用条款执行  </w:t>
      </w:r>
      <w:r>
        <w:rPr>
          <w:rFonts w:hint="eastAsia" w:ascii="黑体" w:hAnsi="黑体" w:eastAsia="黑体" w:cs="黑体"/>
          <w:color w:val="auto"/>
          <w:sz w:val="24"/>
          <w:szCs w:val="24"/>
          <w:highlight w:val="none"/>
        </w:rPr>
        <w:t>。</w:t>
      </w:r>
    </w:p>
    <w:p w14:paraId="69436B76">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18.7 通知义务</w:t>
      </w:r>
    </w:p>
    <w:p w14:paraId="4D99E9E7">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kern w:val="0"/>
          <w:sz w:val="24"/>
          <w:szCs w:val="24"/>
          <w:highlight w:val="none"/>
        </w:rPr>
        <w:t>关于变更保险合同时的通知义务的约定：</w:t>
      </w:r>
      <w:r>
        <w:rPr>
          <w:rFonts w:hint="eastAsia" w:ascii="黑体" w:hAnsi="黑体" w:eastAsia="黑体" w:cs="黑体"/>
          <w:color w:val="auto"/>
          <w:sz w:val="24"/>
          <w:szCs w:val="24"/>
          <w:highlight w:val="none"/>
          <w:u w:val="single"/>
        </w:rPr>
        <w:t xml:space="preserve">  按通用条款执行   </w:t>
      </w:r>
      <w:r>
        <w:rPr>
          <w:rFonts w:hint="eastAsia" w:ascii="黑体" w:hAnsi="黑体" w:eastAsia="黑体" w:cs="黑体"/>
          <w:color w:val="auto"/>
          <w:sz w:val="24"/>
          <w:szCs w:val="24"/>
          <w:highlight w:val="none"/>
        </w:rPr>
        <w:t>。</w:t>
      </w:r>
    </w:p>
    <w:p w14:paraId="471E8838">
      <w:pPr>
        <w:pStyle w:val="18"/>
        <w:keepNext/>
        <w:keepLines/>
        <w:spacing w:before="120" w:after="120" w:line="360" w:lineRule="auto"/>
        <w:outlineLvl w:val="3"/>
        <w:rPr>
          <w:rFonts w:hint="eastAsia" w:ascii="黑体" w:hAnsi="黑体" w:eastAsia="黑体" w:cs="黑体"/>
          <w:bCs/>
          <w:color w:val="auto"/>
          <w:sz w:val="24"/>
          <w:szCs w:val="24"/>
          <w:highlight w:val="none"/>
        </w:rPr>
      </w:pPr>
      <w:r>
        <w:rPr>
          <w:rFonts w:hint="eastAsia" w:ascii="黑体" w:hAnsi="黑体" w:eastAsia="黑体" w:cs="黑体"/>
          <w:bCs/>
          <w:color w:val="auto"/>
          <w:sz w:val="24"/>
          <w:szCs w:val="24"/>
          <w:highlight w:val="none"/>
        </w:rPr>
        <w:t>20. 争议解决</w:t>
      </w:r>
    </w:p>
    <w:p w14:paraId="46C08EE0">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20.3 争议评审</w:t>
      </w:r>
    </w:p>
    <w:p w14:paraId="06F61F47">
      <w:pPr>
        <w:pStyle w:val="18"/>
        <w:spacing w:line="360" w:lineRule="auto"/>
        <w:ind w:left="149" w:leftChars="71" w:firstLine="360" w:firstLineChars="15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合同当事人是否同意将工程争议提交争议评审小组决定：</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 xml:space="preserve">。  </w:t>
      </w:r>
    </w:p>
    <w:p w14:paraId="5A403DC4">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20.3.1 争议评审小组的确定</w:t>
      </w:r>
    </w:p>
    <w:p w14:paraId="45F73335">
      <w:pPr>
        <w:pStyle w:val="18"/>
        <w:spacing w:line="360" w:lineRule="auto"/>
        <w:ind w:firstLine="480" w:firstLineChars="200"/>
        <w:jc w:val="left"/>
        <w:rPr>
          <w:rFonts w:hint="eastAsia" w:ascii="黑体" w:hAnsi="黑体" w:eastAsia="黑体" w:cs="黑体"/>
          <w:color w:val="auto"/>
          <w:sz w:val="24"/>
          <w:szCs w:val="24"/>
          <w:highlight w:val="none"/>
          <w:u w:val="single"/>
        </w:rPr>
      </w:pPr>
      <w:r>
        <w:rPr>
          <w:rFonts w:hint="eastAsia" w:ascii="黑体" w:hAnsi="黑体" w:eastAsia="黑体" w:cs="黑体"/>
          <w:color w:val="auto"/>
          <w:sz w:val="24"/>
          <w:szCs w:val="24"/>
          <w:highlight w:val="none"/>
        </w:rPr>
        <w:t>争议评审小组成员的确定：</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1CA38C02">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选定争议评审员的期限：</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751B5AB7">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争议评审小组成员的报酬承担方式：</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2B2FF147">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其他事项的约定：</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2756B6B4">
      <w:pPr>
        <w:pStyle w:val="18"/>
        <w:autoSpaceDE w:val="0"/>
        <w:autoSpaceDN w:val="0"/>
        <w:adjustRightInd w:val="0"/>
        <w:spacing w:line="360" w:lineRule="auto"/>
        <w:ind w:firstLine="480" w:firstLineChars="200"/>
        <w:jc w:val="left"/>
        <w:rPr>
          <w:rFonts w:hint="eastAsia" w:ascii="黑体" w:hAnsi="黑体" w:eastAsia="黑体" w:cs="黑体"/>
          <w:color w:val="auto"/>
          <w:kern w:val="0"/>
          <w:sz w:val="24"/>
          <w:szCs w:val="24"/>
          <w:highlight w:val="none"/>
        </w:rPr>
      </w:pPr>
      <w:r>
        <w:rPr>
          <w:rFonts w:hint="eastAsia" w:ascii="黑体" w:hAnsi="黑体" w:eastAsia="黑体" w:cs="黑体"/>
          <w:color w:val="auto"/>
          <w:kern w:val="0"/>
          <w:sz w:val="24"/>
          <w:szCs w:val="24"/>
          <w:highlight w:val="none"/>
        </w:rPr>
        <w:t>20.3.2 争议评审小组的决定</w:t>
      </w:r>
    </w:p>
    <w:p w14:paraId="7BF8C384">
      <w:pPr>
        <w:pStyle w:val="18"/>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合同当事人关于本项的约定：</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w:t>
      </w:r>
    </w:p>
    <w:p w14:paraId="5BA23AFB">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20.4仲裁或诉讼</w:t>
      </w:r>
    </w:p>
    <w:p w14:paraId="232338F4">
      <w:pPr>
        <w:pStyle w:val="18"/>
        <w:spacing w:after="120"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因合同及合同有关事项发生的争议，按下列第</w:t>
      </w:r>
      <w:r>
        <w:rPr>
          <w:rFonts w:hint="eastAsia" w:ascii="黑体" w:hAnsi="黑体" w:eastAsia="黑体" w:cs="黑体"/>
          <w:color w:val="auto"/>
          <w:sz w:val="24"/>
          <w:szCs w:val="24"/>
          <w:highlight w:val="none"/>
          <w:u w:val="single"/>
        </w:rPr>
        <w:t xml:space="preserve">  2 </w:t>
      </w:r>
      <w:r>
        <w:rPr>
          <w:rFonts w:hint="eastAsia" w:ascii="黑体" w:hAnsi="黑体" w:eastAsia="黑体" w:cs="黑体"/>
          <w:color w:val="auto"/>
          <w:sz w:val="24"/>
          <w:szCs w:val="24"/>
          <w:highlight w:val="none"/>
        </w:rPr>
        <w:t>种方式解决：</w:t>
      </w:r>
    </w:p>
    <w:p w14:paraId="5053B960">
      <w:pPr>
        <w:pStyle w:val="18"/>
        <w:numPr>
          <w:ilvl w:val="0"/>
          <w:numId w:val="3"/>
        </w:numPr>
        <w:spacing w:line="360" w:lineRule="auto"/>
        <w:ind w:firstLine="480" w:firstLineChars="200"/>
        <w:jc w:val="lef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向</w:t>
      </w:r>
      <w:r>
        <w:rPr>
          <w:rFonts w:hint="eastAsia" w:ascii="黑体" w:hAnsi="黑体" w:eastAsia="黑体" w:cs="黑体"/>
          <w:color w:val="auto"/>
          <w:sz w:val="24"/>
          <w:szCs w:val="24"/>
          <w:highlight w:val="none"/>
          <w:u w:val="single"/>
        </w:rPr>
        <w:t xml:space="preserve">    /     </w:t>
      </w:r>
      <w:r>
        <w:rPr>
          <w:rFonts w:hint="eastAsia" w:ascii="黑体" w:hAnsi="黑体" w:eastAsia="黑体" w:cs="黑体"/>
          <w:color w:val="auto"/>
          <w:sz w:val="24"/>
          <w:szCs w:val="24"/>
          <w:highlight w:val="none"/>
        </w:rPr>
        <w:t>仲裁委员会申请仲裁；</w:t>
      </w:r>
    </w:p>
    <w:p w14:paraId="52B52AF7">
      <w:pPr>
        <w:pStyle w:val="5"/>
        <w:numPr>
          <w:ilvl w:val="0"/>
          <w:numId w:val="3"/>
        </w:numPr>
        <w:spacing w:before="249" w:line="357" w:lineRule="auto"/>
        <w:ind w:left="0" w:leftChars="0" w:firstLine="480" w:firstLineChars="200"/>
        <w:rPr>
          <w:rFonts w:hint="eastAsia" w:ascii="黑体" w:hAnsi="黑体" w:eastAsia="黑体" w:cs="黑体"/>
          <w:color w:val="auto"/>
          <w:kern w:val="2"/>
          <w:sz w:val="24"/>
          <w:szCs w:val="24"/>
          <w:highlight w:val="none"/>
          <w:lang w:val="en-US" w:eastAsia="zh-CN" w:bidi="ar-SA"/>
        </w:rPr>
      </w:pPr>
      <w:r>
        <w:rPr>
          <w:rFonts w:hint="eastAsia" w:ascii="黑体" w:hAnsi="黑体" w:eastAsia="黑体" w:cs="黑体"/>
          <w:color w:val="auto"/>
          <w:sz w:val="24"/>
          <w:szCs w:val="24"/>
          <w:highlight w:val="none"/>
        </w:rPr>
        <w:t>向</w:t>
      </w:r>
      <w:r>
        <w:rPr>
          <w:rFonts w:hint="eastAsia" w:ascii="黑体" w:hAnsi="黑体" w:eastAsia="黑体" w:cs="黑体"/>
          <w:color w:val="auto"/>
          <w:sz w:val="24"/>
          <w:szCs w:val="24"/>
          <w:highlight w:val="none"/>
          <w:u w:val="single"/>
        </w:rPr>
        <w:t xml:space="preserve">    项目所在地     </w:t>
      </w:r>
      <w:r>
        <w:rPr>
          <w:rFonts w:hint="eastAsia" w:ascii="黑体" w:hAnsi="黑体" w:eastAsia="黑体" w:cs="黑体"/>
          <w:color w:val="auto"/>
          <w:sz w:val="24"/>
          <w:szCs w:val="24"/>
          <w:highlight w:val="none"/>
        </w:rPr>
        <w:t>人民法院起诉。</w:t>
      </w:r>
      <w:r>
        <w:rPr>
          <w:rFonts w:hint="eastAsia" w:ascii="黑体" w:hAnsi="黑体" w:eastAsia="黑体" w:cs="黑体"/>
          <w:color w:val="auto"/>
          <w:kern w:val="2"/>
          <w:sz w:val="24"/>
          <w:szCs w:val="24"/>
          <w:highlight w:val="none"/>
          <w:lang w:val="en-US" w:eastAsia="zh-CN" w:bidi="ar-SA"/>
        </w:rPr>
        <w:t xml:space="preserve"> </w:t>
      </w:r>
    </w:p>
    <w:p w14:paraId="39CE26DC">
      <w:pPr>
        <w:pStyle w:val="5"/>
        <w:numPr>
          <w:ilvl w:val="0"/>
          <w:numId w:val="0"/>
        </w:numPr>
        <w:spacing w:before="249" w:line="357" w:lineRule="auto"/>
        <w:rPr>
          <w:rFonts w:hint="eastAsia" w:ascii="黑体" w:hAnsi="黑体" w:eastAsia="黑体" w:cs="黑体"/>
          <w:color w:val="auto"/>
          <w:kern w:val="0"/>
          <w:sz w:val="24"/>
          <w:szCs w:val="24"/>
          <w:highlight w:val="none"/>
          <w:lang w:val="en-US" w:eastAsia="zh-CN" w:bidi="ar-SA"/>
        </w:rPr>
      </w:pPr>
      <w:r>
        <w:rPr>
          <w:rFonts w:hint="eastAsia" w:ascii="黑体" w:hAnsi="黑体" w:eastAsia="黑体" w:cs="黑体"/>
          <w:color w:val="auto"/>
          <w:kern w:val="0"/>
          <w:sz w:val="24"/>
          <w:szCs w:val="24"/>
          <w:highlight w:val="none"/>
          <w:lang w:val="en-US" w:eastAsia="zh-CN" w:bidi="ar-SA"/>
        </w:rPr>
        <w:t xml:space="preserve">    本项目的建设符合国家、自治区以工代赈项目要求和标准，可有效带动乡村群众就地就近就业增收，通过以工代赈项目实施，可进一步提升乡村群众的就业技能培训，提升稳定就业几率，对乡村农业发展有着重大示范带动作用。本项目有以下重点务必遵循：</w:t>
      </w:r>
    </w:p>
    <w:p w14:paraId="2C2E79CC">
      <w:pPr>
        <w:pStyle w:val="5"/>
        <w:numPr>
          <w:ilvl w:val="0"/>
          <w:numId w:val="4"/>
        </w:numPr>
        <w:spacing w:before="249" w:line="357" w:lineRule="auto"/>
        <w:ind w:left="0" w:leftChars="0" w:firstLine="660" w:firstLineChars="0"/>
        <w:rPr>
          <w:rFonts w:hint="eastAsia" w:ascii="黑体" w:hAnsi="黑体" w:eastAsia="黑体" w:cs="黑体"/>
          <w:color w:val="auto"/>
          <w:kern w:val="2"/>
          <w:sz w:val="24"/>
          <w:szCs w:val="24"/>
          <w:highlight w:val="none"/>
          <w:lang w:val="en-US" w:eastAsia="zh-CN" w:bidi="ar-SA"/>
        </w:rPr>
      </w:pPr>
      <w:r>
        <w:rPr>
          <w:rFonts w:hint="eastAsia" w:ascii="黑体" w:hAnsi="黑体" w:eastAsia="黑体" w:cs="黑体"/>
          <w:color w:val="auto"/>
          <w:kern w:val="2"/>
          <w:sz w:val="24"/>
          <w:szCs w:val="24"/>
          <w:highlight w:val="none"/>
          <w:lang w:val="en-US" w:eastAsia="zh-CN" w:bidi="ar-SA"/>
        </w:rPr>
        <w:t>本项目总投资300万元（含劳务报酬90万元、占中 央资金比例30%，其中易地搬迁脱贫群众预计获得劳务报酬1万元），项目施工要吸纳当地群众就业49人，其中易地扶贫搬迁脱贫群众1人。且90万元劳务报酬发放人群为农村脱贫人口、防止返贫致贫监测对象和其他低收入人口。</w:t>
      </w:r>
    </w:p>
    <w:p w14:paraId="40F941F8">
      <w:pPr>
        <w:pStyle w:val="5"/>
        <w:numPr>
          <w:ilvl w:val="0"/>
          <w:numId w:val="4"/>
        </w:numPr>
        <w:spacing w:before="249" w:line="357" w:lineRule="auto"/>
        <w:ind w:left="0" w:leftChars="0" w:firstLine="660" w:firstLineChars="0"/>
        <w:rPr>
          <w:rFonts w:hint="eastAsia" w:ascii="黑体" w:hAnsi="黑体" w:eastAsia="黑体" w:cs="黑体"/>
          <w:color w:val="auto"/>
          <w:kern w:val="2"/>
          <w:sz w:val="24"/>
          <w:szCs w:val="24"/>
          <w:highlight w:val="none"/>
          <w:lang w:val="en-US" w:eastAsia="zh-CN" w:bidi="ar-SA"/>
        </w:rPr>
      </w:pPr>
      <w:r>
        <w:rPr>
          <w:rFonts w:hint="eastAsia" w:ascii="黑体" w:hAnsi="黑体" w:eastAsia="黑体" w:cs="黑体"/>
          <w:color w:val="auto"/>
          <w:kern w:val="2"/>
          <w:sz w:val="24"/>
          <w:szCs w:val="24"/>
          <w:highlight w:val="none"/>
          <w:lang w:val="en-US" w:eastAsia="zh-CN" w:bidi="ar-SA"/>
        </w:rPr>
        <w:t>在保证工程质量的前提下，按照“能用人工尽量不用机械，能组织当地群众务工尽量不用专业施工队伍”，且不得将租赁当地群众机械设备等费用计入劳务报酬。</w:t>
      </w:r>
    </w:p>
    <w:p w14:paraId="007F83DF">
      <w:pPr>
        <w:pStyle w:val="5"/>
        <w:numPr>
          <w:ilvl w:val="0"/>
          <w:numId w:val="0"/>
        </w:numPr>
        <w:spacing w:before="249" w:line="357" w:lineRule="auto"/>
        <w:ind w:firstLine="480" w:firstLineChars="200"/>
        <w:rPr>
          <w:rFonts w:hint="eastAsia" w:ascii="黑体" w:hAnsi="黑体" w:eastAsia="黑体" w:cs="黑体"/>
          <w:color w:val="auto"/>
          <w:kern w:val="2"/>
          <w:sz w:val="24"/>
          <w:szCs w:val="24"/>
          <w:highlight w:val="none"/>
          <w:lang w:val="en-US" w:eastAsia="zh-CN" w:bidi="ar-SA"/>
        </w:rPr>
      </w:pPr>
      <w:r>
        <w:rPr>
          <w:rFonts w:hint="eastAsia" w:ascii="黑体" w:hAnsi="黑体" w:eastAsia="黑体" w:cs="黑体"/>
          <w:color w:val="auto"/>
          <w:kern w:val="2"/>
          <w:sz w:val="24"/>
          <w:szCs w:val="24"/>
          <w:highlight w:val="none"/>
          <w:lang w:val="en-US" w:eastAsia="zh-CN" w:bidi="ar-SA"/>
        </w:rPr>
        <w:t>3.由施工单位将本项目纳入新疆农民工工资支付监控预警平台（即“新薪通”），90万元劳务工资由“新薪通”发放。施工单位需及时足额向参与务工的劳动力发放劳务报酬，支付周期最长不得超过一个月，坚决杜绝拖欠克扣、弄虚作假等行为，并按照以工代赈项目管理要求做好事前事中事后公示、劳务报酬发放公示和设立永久性公示牌，做好劳务报酬发放公示台账、工人工资表和技术培训等档案整理工作。</w:t>
      </w:r>
    </w:p>
    <w:p w14:paraId="3555B00C">
      <w:pPr>
        <w:pStyle w:val="5"/>
        <w:numPr>
          <w:ilvl w:val="0"/>
          <w:numId w:val="0"/>
        </w:numPr>
        <w:spacing w:before="249" w:line="357" w:lineRule="auto"/>
        <w:ind w:firstLine="240" w:firstLineChars="100"/>
        <w:rPr>
          <w:rFonts w:hint="eastAsia" w:ascii="黑体" w:hAnsi="黑体" w:eastAsia="黑体" w:cs="黑体"/>
          <w:color w:val="auto"/>
          <w:kern w:val="2"/>
          <w:sz w:val="24"/>
          <w:szCs w:val="24"/>
          <w:highlight w:val="none"/>
          <w:lang w:val="en-US" w:eastAsia="zh-CN" w:bidi="ar-SA"/>
        </w:rPr>
      </w:pPr>
      <w:r>
        <w:rPr>
          <w:rFonts w:hint="eastAsia" w:ascii="黑体" w:hAnsi="黑体" w:eastAsia="黑体" w:cs="黑体"/>
          <w:color w:val="auto"/>
          <w:kern w:val="2"/>
          <w:sz w:val="24"/>
          <w:szCs w:val="24"/>
          <w:highlight w:val="none"/>
          <w:lang w:val="en-US" w:eastAsia="zh-CN" w:bidi="ar-SA"/>
        </w:rPr>
        <w:t>4.根据上级下发的相关以工代赈政策文件进行施工。</w:t>
      </w:r>
    </w:p>
    <w:p w14:paraId="3E783889">
      <w:pPr>
        <w:pStyle w:val="5"/>
        <w:numPr>
          <w:ilvl w:val="0"/>
          <w:numId w:val="0"/>
        </w:numPr>
        <w:spacing w:before="249" w:line="357" w:lineRule="auto"/>
        <w:ind w:firstLine="648" w:firstLineChars="200"/>
        <w:rPr>
          <w:rFonts w:hint="eastAsia"/>
          <w:spacing w:val="7"/>
          <w:sz w:val="31"/>
          <w:szCs w:val="31"/>
          <w:lang w:val="en-US" w:eastAsia="zh-CN"/>
        </w:rPr>
      </w:pPr>
    </w:p>
    <w:p w14:paraId="40A2215F">
      <w:pPr>
        <w:pStyle w:val="5"/>
        <w:spacing w:before="235" w:line="356" w:lineRule="auto"/>
        <w:ind w:right="158" w:firstLine="612" w:firstLineChars="200"/>
        <w:jc w:val="both"/>
        <w:rPr>
          <w:rFonts w:hint="default"/>
          <w:spacing w:val="-7"/>
          <w:sz w:val="32"/>
          <w:szCs w:val="32"/>
          <w:lang w:val="en-US" w:eastAsia="zh-CN"/>
        </w:rPr>
      </w:pPr>
    </w:p>
    <w:p w14:paraId="5B93C438">
      <w:pPr>
        <w:spacing w:line="500" w:lineRule="exact"/>
        <w:ind w:firstLine="480" w:firstLineChars="200"/>
        <w:rPr>
          <w:rFonts w:hint="eastAsia" w:ascii="黑体" w:hAnsi="黑体" w:eastAsia="黑体" w:cs="黑体"/>
          <w:color w:val="auto"/>
          <w:sz w:val="24"/>
          <w:szCs w:val="24"/>
          <w:highlight w:val="none"/>
        </w:rPr>
      </w:pPr>
    </w:p>
    <w:p w14:paraId="062EB158">
      <w:pPr>
        <w:spacing w:line="246" w:lineRule="auto"/>
        <w:rPr>
          <w:rFonts w:ascii="Arial"/>
          <w:color w:val="auto"/>
          <w:sz w:val="21"/>
        </w:rPr>
      </w:pPr>
    </w:p>
    <w:p w14:paraId="4C33A1F0">
      <w:pPr>
        <w:rPr>
          <w:color w:val="auto"/>
        </w:rPr>
        <w:sectPr>
          <w:headerReference r:id="rId26" w:type="default"/>
          <w:footerReference r:id="rId27" w:type="default"/>
          <w:pgSz w:w="11906" w:h="16839"/>
          <w:pgMar w:top="850" w:right="1038" w:bottom="850" w:left="1628" w:header="1134" w:footer="996" w:gutter="0"/>
          <w:cols w:space="720" w:num="1"/>
        </w:sectPr>
      </w:pPr>
    </w:p>
    <w:p w14:paraId="1246AE8E">
      <w:pPr>
        <w:pStyle w:val="5"/>
        <w:spacing w:line="265" w:lineRule="auto"/>
      </w:pPr>
    </w:p>
    <w:p w14:paraId="467B1513">
      <w:pPr>
        <w:pStyle w:val="5"/>
        <w:spacing w:line="265" w:lineRule="auto"/>
      </w:pPr>
    </w:p>
    <w:p w14:paraId="41118766">
      <w:pPr>
        <w:pStyle w:val="5"/>
        <w:spacing w:line="266" w:lineRule="auto"/>
      </w:pPr>
    </w:p>
    <w:p w14:paraId="657A7C48">
      <w:pPr>
        <w:pStyle w:val="5"/>
        <w:spacing w:line="266" w:lineRule="auto"/>
      </w:pPr>
    </w:p>
    <w:p w14:paraId="4D3FD60D">
      <w:pPr>
        <w:spacing w:before="101" w:line="227" w:lineRule="auto"/>
        <w:ind w:left="1838"/>
        <w:rPr>
          <w:rFonts w:ascii="黑体" w:hAnsi="黑体" w:eastAsia="黑体" w:cs="黑体"/>
          <w:sz w:val="31"/>
          <w:szCs w:val="31"/>
        </w:rPr>
      </w:pPr>
      <w:r>
        <w:rPr>
          <w:rFonts w:ascii="黑体" w:hAnsi="黑体" w:eastAsia="黑体" w:cs="黑体"/>
          <w:spacing w:val="15"/>
          <w:sz w:val="31"/>
          <w:szCs w:val="31"/>
          <w14:textOutline w14:w="5793" w14:cap="sq" w14:cmpd="sng">
            <w14:solidFill>
              <w14:srgbClr w14:val="000000"/>
            </w14:solidFill>
            <w14:prstDash w14:val="solid"/>
            <w14:bevel/>
          </w14:textOutline>
        </w:rPr>
        <w:t>第五章主要响应文件的格式及其内容</w:t>
      </w:r>
    </w:p>
    <w:p w14:paraId="7AEED368">
      <w:pPr>
        <w:pStyle w:val="5"/>
        <w:spacing w:line="245" w:lineRule="auto"/>
      </w:pPr>
    </w:p>
    <w:p w14:paraId="21FB35F3">
      <w:pPr>
        <w:pStyle w:val="5"/>
        <w:spacing w:line="246" w:lineRule="auto"/>
      </w:pPr>
    </w:p>
    <w:p w14:paraId="760B5A42">
      <w:pPr>
        <w:pStyle w:val="5"/>
        <w:spacing w:line="246" w:lineRule="auto"/>
      </w:pPr>
    </w:p>
    <w:p w14:paraId="2D42E6B6">
      <w:pPr>
        <w:pStyle w:val="5"/>
        <w:spacing w:line="246" w:lineRule="auto"/>
      </w:pPr>
    </w:p>
    <w:p w14:paraId="154E086C">
      <w:pPr>
        <w:pStyle w:val="5"/>
        <w:spacing w:line="246" w:lineRule="auto"/>
      </w:pPr>
    </w:p>
    <w:p w14:paraId="380D479E">
      <w:pPr>
        <w:pStyle w:val="5"/>
        <w:spacing w:line="246" w:lineRule="auto"/>
      </w:pPr>
    </w:p>
    <w:p w14:paraId="137DE986">
      <w:pPr>
        <w:pStyle w:val="5"/>
        <w:spacing w:line="246" w:lineRule="auto"/>
      </w:pPr>
    </w:p>
    <w:p w14:paraId="4AE74941">
      <w:pPr>
        <w:spacing w:before="231" w:line="224" w:lineRule="auto"/>
        <w:ind w:left="2422"/>
        <w:rPr>
          <w:rFonts w:ascii="黑体" w:hAnsi="黑体" w:eastAsia="黑体" w:cs="黑体"/>
          <w:sz w:val="71"/>
          <w:szCs w:val="71"/>
        </w:rPr>
      </w:pPr>
      <w:bookmarkStart w:id="184" w:name="bookmark5"/>
      <w:bookmarkEnd w:id="184"/>
      <w:r>
        <w:rPr>
          <w:rFonts w:ascii="黑体" w:hAnsi="黑体" w:eastAsia="黑体" w:cs="黑体"/>
          <w:sz w:val="71"/>
          <w:szCs w:val="71"/>
          <w14:textOutline w14:w="13075" w14:cap="sq" w14:cmpd="sng">
            <w14:solidFill>
              <w14:srgbClr w14:val="000000"/>
            </w14:solidFill>
            <w14:prstDash w14:val="solid"/>
            <w14:bevel/>
          </w14:textOutline>
        </w:rPr>
        <w:t>（项目名称）</w:t>
      </w:r>
    </w:p>
    <w:p w14:paraId="78841F23">
      <w:pPr>
        <w:pStyle w:val="5"/>
        <w:spacing w:line="251" w:lineRule="auto"/>
      </w:pPr>
    </w:p>
    <w:p w14:paraId="148EB829">
      <w:pPr>
        <w:pStyle w:val="5"/>
        <w:spacing w:line="251" w:lineRule="auto"/>
      </w:pPr>
    </w:p>
    <w:p w14:paraId="3899092E">
      <w:pPr>
        <w:pStyle w:val="5"/>
        <w:spacing w:line="252" w:lineRule="auto"/>
      </w:pPr>
    </w:p>
    <w:p w14:paraId="43565B4C">
      <w:pPr>
        <w:pStyle w:val="5"/>
        <w:spacing w:line="252" w:lineRule="auto"/>
      </w:pPr>
    </w:p>
    <w:p w14:paraId="4DD81423">
      <w:pPr>
        <w:pStyle w:val="5"/>
        <w:spacing w:line="252" w:lineRule="auto"/>
      </w:pPr>
    </w:p>
    <w:p w14:paraId="737562DE">
      <w:pPr>
        <w:spacing w:before="100" w:line="226" w:lineRule="auto"/>
        <w:ind w:left="2285"/>
        <w:rPr>
          <w:rFonts w:ascii="黑体" w:hAnsi="黑体" w:eastAsia="黑体" w:cs="黑体"/>
          <w:sz w:val="31"/>
          <w:szCs w:val="31"/>
        </w:rPr>
      </w:pPr>
      <w:r>
        <w:rPr>
          <w:rFonts w:ascii="黑体" w:hAnsi="黑体" w:eastAsia="黑体" w:cs="黑体"/>
          <w:spacing w:val="9"/>
          <w:sz w:val="31"/>
          <w:szCs w:val="31"/>
          <w14:textOutline w14:w="5793" w14:cap="sq" w14:cmpd="sng">
            <w14:solidFill>
              <w14:srgbClr w14:val="000000"/>
            </w14:solidFill>
            <w14:prstDash w14:val="solid"/>
            <w14:bevel/>
          </w14:textOutline>
        </w:rPr>
        <w:t>项目编号：</w:t>
      </w:r>
    </w:p>
    <w:p w14:paraId="35A2FC82">
      <w:pPr>
        <w:pStyle w:val="5"/>
        <w:spacing w:line="242" w:lineRule="auto"/>
      </w:pPr>
    </w:p>
    <w:p w14:paraId="1C621D09">
      <w:pPr>
        <w:pStyle w:val="5"/>
        <w:spacing w:line="242" w:lineRule="auto"/>
      </w:pPr>
    </w:p>
    <w:p w14:paraId="22242917">
      <w:pPr>
        <w:pStyle w:val="5"/>
        <w:spacing w:line="242" w:lineRule="auto"/>
      </w:pPr>
    </w:p>
    <w:p w14:paraId="1BF92A9B">
      <w:pPr>
        <w:pStyle w:val="5"/>
        <w:spacing w:line="242" w:lineRule="auto"/>
      </w:pPr>
    </w:p>
    <w:p w14:paraId="4BAC63D7">
      <w:pPr>
        <w:pStyle w:val="5"/>
        <w:spacing w:line="242" w:lineRule="auto"/>
      </w:pPr>
    </w:p>
    <w:p w14:paraId="65A1E676">
      <w:pPr>
        <w:spacing w:before="230" w:line="224" w:lineRule="auto"/>
        <w:ind w:left="2578"/>
        <w:outlineLvl w:val="0"/>
        <w:rPr>
          <w:rFonts w:ascii="黑体" w:hAnsi="黑体" w:eastAsia="黑体" w:cs="黑体"/>
          <w:sz w:val="71"/>
          <w:szCs w:val="71"/>
        </w:rPr>
      </w:pPr>
      <w:r>
        <w:rPr>
          <w:rFonts w:ascii="黑体" w:hAnsi="黑体" w:eastAsia="黑体" w:cs="黑体"/>
          <w:spacing w:val="-25"/>
          <w:sz w:val="71"/>
          <w:szCs w:val="71"/>
          <w14:textOutline w14:w="13075" w14:cap="sq" w14:cmpd="sng">
            <w14:solidFill>
              <w14:srgbClr w14:val="000000"/>
            </w14:solidFill>
            <w14:prstDash w14:val="solid"/>
            <w14:bevel/>
          </w14:textOutline>
        </w:rPr>
        <w:t>响应文件</w:t>
      </w:r>
    </w:p>
    <w:p w14:paraId="7AE8E11E">
      <w:pPr>
        <w:pStyle w:val="5"/>
        <w:spacing w:line="242" w:lineRule="auto"/>
      </w:pPr>
    </w:p>
    <w:p w14:paraId="6EB2B473">
      <w:pPr>
        <w:pStyle w:val="5"/>
        <w:spacing w:line="242" w:lineRule="auto"/>
      </w:pPr>
    </w:p>
    <w:p w14:paraId="1A947AFA">
      <w:pPr>
        <w:pStyle w:val="5"/>
        <w:spacing w:line="242" w:lineRule="auto"/>
      </w:pPr>
    </w:p>
    <w:p w14:paraId="7A88B1AF">
      <w:pPr>
        <w:pStyle w:val="5"/>
        <w:spacing w:line="242" w:lineRule="auto"/>
      </w:pPr>
    </w:p>
    <w:p w14:paraId="3100EA3F">
      <w:pPr>
        <w:pStyle w:val="5"/>
        <w:spacing w:line="242" w:lineRule="auto"/>
      </w:pPr>
    </w:p>
    <w:p w14:paraId="4393795A">
      <w:pPr>
        <w:pStyle w:val="5"/>
        <w:spacing w:line="242" w:lineRule="auto"/>
      </w:pPr>
    </w:p>
    <w:p w14:paraId="603DFDB9">
      <w:pPr>
        <w:pStyle w:val="5"/>
        <w:spacing w:line="242" w:lineRule="auto"/>
      </w:pPr>
    </w:p>
    <w:p w14:paraId="72AA4CA4">
      <w:pPr>
        <w:pStyle w:val="5"/>
        <w:spacing w:line="242" w:lineRule="auto"/>
      </w:pPr>
    </w:p>
    <w:p w14:paraId="6F3010E8">
      <w:pPr>
        <w:pStyle w:val="5"/>
        <w:spacing w:line="242" w:lineRule="auto"/>
      </w:pPr>
    </w:p>
    <w:p w14:paraId="6FD1D5EC">
      <w:pPr>
        <w:pStyle w:val="5"/>
        <w:spacing w:line="242" w:lineRule="auto"/>
      </w:pPr>
    </w:p>
    <w:p w14:paraId="33C30922">
      <w:pPr>
        <w:pStyle w:val="5"/>
        <w:spacing w:line="242" w:lineRule="auto"/>
      </w:pPr>
    </w:p>
    <w:p w14:paraId="497E8C52">
      <w:pPr>
        <w:pStyle w:val="5"/>
        <w:spacing w:line="242" w:lineRule="auto"/>
      </w:pPr>
    </w:p>
    <w:p w14:paraId="05B13285">
      <w:pPr>
        <w:pStyle w:val="5"/>
        <w:spacing w:line="242" w:lineRule="auto"/>
      </w:pPr>
    </w:p>
    <w:p w14:paraId="2E3A293D">
      <w:pPr>
        <w:spacing w:before="92" w:line="222" w:lineRule="auto"/>
        <w:rPr>
          <w:rFonts w:ascii="黑体" w:hAnsi="黑体" w:eastAsia="黑体" w:cs="黑体"/>
          <w:sz w:val="28"/>
          <w:szCs w:val="28"/>
        </w:rPr>
      </w:pPr>
      <w:r>
        <w:rPr>
          <w:rFonts w:ascii="黑体" w:hAnsi="黑体" w:eastAsia="黑体" w:cs="黑体"/>
          <w:spacing w:val="4"/>
          <w:sz w:val="28"/>
          <w:szCs w:val="28"/>
          <w14:textOutline w14:w="5103" w14:cap="sq" w14:cmpd="sng">
            <w14:solidFill>
              <w14:srgbClr w14:val="000000"/>
            </w14:solidFill>
            <w14:prstDash w14:val="solid"/>
            <w14:bevel/>
          </w14:textOutline>
        </w:rPr>
        <w:t>供应商名称（盖章</w:t>
      </w:r>
      <w:r>
        <w:rPr>
          <w:rFonts w:ascii="黑体" w:hAnsi="黑体" w:eastAsia="黑体" w:cs="黑体"/>
          <w:spacing w:val="3"/>
          <w:sz w:val="28"/>
          <w:szCs w:val="28"/>
          <w14:textOutline w14:w="5103" w14:cap="sq" w14:cmpd="sng">
            <w14:solidFill>
              <w14:srgbClr w14:val="000000"/>
            </w14:solidFill>
            <w14:prstDash w14:val="solid"/>
            <w14:bevel/>
          </w14:textOutline>
        </w:rPr>
        <w:t>）：</w:t>
      </w:r>
    </w:p>
    <w:p w14:paraId="28EDACDC">
      <w:pPr>
        <w:pStyle w:val="5"/>
        <w:spacing w:line="271" w:lineRule="auto"/>
      </w:pPr>
    </w:p>
    <w:p w14:paraId="63B2B6D5">
      <w:pPr>
        <w:pStyle w:val="5"/>
        <w:spacing w:line="272" w:lineRule="auto"/>
      </w:pPr>
    </w:p>
    <w:p w14:paraId="7352EC12">
      <w:pPr>
        <w:pStyle w:val="5"/>
        <w:spacing w:line="272" w:lineRule="auto"/>
      </w:pPr>
    </w:p>
    <w:p w14:paraId="6DA39906">
      <w:pPr>
        <w:spacing w:before="91" w:line="222" w:lineRule="auto"/>
        <w:ind w:left="3"/>
        <w:rPr>
          <w:rFonts w:ascii="黑体" w:hAnsi="黑体" w:eastAsia="黑体" w:cs="黑体"/>
          <w:sz w:val="28"/>
          <w:szCs w:val="28"/>
        </w:rPr>
      </w:pPr>
      <w:r>
        <w:rPr>
          <w:rFonts w:ascii="黑体" w:hAnsi="黑体" w:eastAsia="黑体" w:cs="黑体"/>
          <w:spacing w:val="5"/>
          <w:sz w:val="28"/>
          <w:szCs w:val="28"/>
          <w14:textOutline w14:w="5103" w14:cap="sq" w14:cmpd="sng">
            <w14:solidFill>
              <w14:srgbClr w14:val="000000"/>
            </w14:solidFill>
            <w14:prstDash w14:val="solid"/>
            <w14:bevel/>
          </w14:textOutline>
        </w:rPr>
        <w:t>法定代表人或委托代理人（签字或盖章</w:t>
      </w:r>
      <w:r>
        <w:rPr>
          <w:rFonts w:ascii="黑体" w:hAnsi="黑体" w:eastAsia="黑体" w:cs="黑体"/>
          <w:spacing w:val="7"/>
          <w:sz w:val="28"/>
          <w:szCs w:val="28"/>
          <w14:textOutline w14:w="5103" w14:cap="sq" w14:cmpd="sng">
            <w14:solidFill>
              <w14:srgbClr w14:val="000000"/>
            </w14:solidFill>
            <w14:prstDash w14:val="solid"/>
            <w14:bevel/>
          </w14:textOutline>
        </w:rPr>
        <w:t>）：</w:t>
      </w:r>
    </w:p>
    <w:p w14:paraId="0F9D86AF">
      <w:pPr>
        <w:pStyle w:val="5"/>
        <w:spacing w:line="271" w:lineRule="auto"/>
      </w:pPr>
    </w:p>
    <w:p w14:paraId="35C8AA28">
      <w:pPr>
        <w:pStyle w:val="5"/>
        <w:spacing w:line="271" w:lineRule="auto"/>
      </w:pPr>
    </w:p>
    <w:p w14:paraId="05BB70B3">
      <w:pPr>
        <w:pStyle w:val="5"/>
        <w:spacing w:line="272" w:lineRule="auto"/>
      </w:pPr>
    </w:p>
    <w:p w14:paraId="77D7AE8E">
      <w:pPr>
        <w:spacing w:before="92" w:line="224" w:lineRule="auto"/>
        <w:ind w:left="2929"/>
        <w:rPr>
          <w:rFonts w:ascii="黑体" w:hAnsi="黑体" w:eastAsia="黑体" w:cs="黑体"/>
          <w:sz w:val="28"/>
          <w:szCs w:val="28"/>
        </w:rPr>
      </w:pPr>
      <w:r>
        <w:rPr>
          <w:rFonts w:ascii="黑体" w:hAnsi="黑体" w:eastAsia="黑体" w:cs="黑体"/>
          <w:spacing w:val="-13"/>
          <w:sz w:val="28"/>
          <w:szCs w:val="28"/>
          <w14:textOutline w14:w="5103" w14:cap="sq" w14:cmpd="sng">
            <w14:solidFill>
              <w14:srgbClr w14:val="000000"/>
            </w14:solidFill>
            <w14:prstDash w14:val="solid"/>
            <w14:bevel/>
          </w14:textOutline>
        </w:rPr>
        <w:t>日期：年月日</w:t>
      </w:r>
    </w:p>
    <w:p w14:paraId="2A730EF6">
      <w:pPr>
        <w:spacing w:line="224" w:lineRule="auto"/>
        <w:rPr>
          <w:rFonts w:ascii="黑体" w:hAnsi="黑体" w:eastAsia="黑体" w:cs="黑体"/>
          <w:sz w:val="28"/>
          <w:szCs w:val="28"/>
        </w:rPr>
        <w:sectPr>
          <w:footerReference r:id="rId28" w:type="default"/>
          <w:pgSz w:w="11906" w:h="16839"/>
          <w:pgMar w:top="400" w:right="1785" w:bottom="1012" w:left="1425" w:header="0" w:footer="850" w:gutter="0"/>
          <w:cols w:space="720" w:num="1"/>
        </w:sectPr>
      </w:pPr>
    </w:p>
    <w:p w14:paraId="29FD9510">
      <w:pPr>
        <w:pStyle w:val="5"/>
        <w:spacing w:line="265" w:lineRule="auto"/>
      </w:pPr>
    </w:p>
    <w:p w14:paraId="322BC604">
      <w:pPr>
        <w:pStyle w:val="5"/>
        <w:spacing w:line="265" w:lineRule="auto"/>
      </w:pPr>
    </w:p>
    <w:p w14:paraId="70E56BA8">
      <w:pPr>
        <w:pStyle w:val="5"/>
        <w:spacing w:line="266" w:lineRule="auto"/>
      </w:pPr>
    </w:p>
    <w:p w14:paraId="4DD77533">
      <w:pPr>
        <w:pStyle w:val="5"/>
        <w:spacing w:line="266" w:lineRule="auto"/>
      </w:pPr>
    </w:p>
    <w:p w14:paraId="4711EEB0">
      <w:pPr>
        <w:spacing w:before="101" w:line="227" w:lineRule="auto"/>
        <w:ind w:left="4578"/>
        <w:rPr>
          <w:rFonts w:ascii="黑体" w:hAnsi="黑体" w:eastAsia="黑体" w:cs="黑体"/>
          <w:sz w:val="31"/>
          <w:szCs w:val="31"/>
        </w:rPr>
      </w:pPr>
      <w:r>
        <w:rPr>
          <w:rFonts w:ascii="黑体" w:hAnsi="黑体" w:eastAsia="黑体" w:cs="黑体"/>
          <w:spacing w:val="-14"/>
          <w:sz w:val="31"/>
          <w:szCs w:val="31"/>
          <w14:textOutline w14:w="5793" w14:cap="sq" w14:cmpd="sng">
            <w14:solidFill>
              <w14:srgbClr w14:val="000000"/>
            </w14:solidFill>
            <w14:prstDash w14:val="solid"/>
            <w14:bevel/>
          </w14:textOutline>
        </w:rPr>
        <w:t>目录</w:t>
      </w:r>
    </w:p>
    <w:p w14:paraId="5845E44C">
      <w:pPr>
        <w:spacing w:before="204" w:line="221" w:lineRule="auto"/>
        <w:ind w:left="20"/>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（1）投标函（详见附件1）</w:t>
      </w:r>
    </w:p>
    <w:p w14:paraId="4E2488C5">
      <w:pPr>
        <w:spacing w:before="180" w:line="468" w:lineRule="exact"/>
        <w:ind w:left="20"/>
        <w:rPr>
          <w:rFonts w:ascii="黑体" w:hAnsi="黑体" w:eastAsia="黑体" w:cs="黑体"/>
          <w:sz w:val="24"/>
          <w:szCs w:val="24"/>
        </w:rPr>
      </w:pPr>
      <w:r>
        <w:rPr>
          <w:rFonts w:ascii="黑体" w:hAnsi="黑体" w:eastAsia="黑体" w:cs="黑体"/>
          <w:spacing w:val="4"/>
          <w:position w:val="17"/>
          <w:sz w:val="24"/>
          <w:szCs w:val="24"/>
          <w14:textOutline w14:w="4358" w14:cap="sq" w14:cmpd="sng">
            <w14:solidFill>
              <w14:srgbClr w14:val="000000"/>
            </w14:solidFill>
            <w14:prstDash w14:val="solid"/>
            <w14:bevel/>
          </w14:textOutline>
        </w:rPr>
        <w:t>（2）法定代表人资格证明及授权委托书（详见附件2）</w:t>
      </w:r>
    </w:p>
    <w:p w14:paraId="652BE22F">
      <w:pPr>
        <w:spacing w:before="1" w:line="220" w:lineRule="auto"/>
        <w:ind w:left="20"/>
        <w:rPr>
          <w:rFonts w:ascii="黑体" w:hAnsi="黑体" w:eastAsia="黑体" w:cs="黑体"/>
          <w:sz w:val="24"/>
          <w:szCs w:val="24"/>
        </w:rPr>
      </w:pPr>
      <w:r>
        <w:rPr>
          <w:rFonts w:ascii="黑体" w:hAnsi="黑体" w:eastAsia="黑体" w:cs="黑体"/>
          <w:spacing w:val="2"/>
          <w:sz w:val="24"/>
          <w:szCs w:val="24"/>
          <w14:textOutline w14:w="4358" w14:cap="sq" w14:cmpd="sng">
            <w14:solidFill>
              <w14:srgbClr w14:val="000000"/>
            </w14:solidFill>
            <w14:prstDash w14:val="solid"/>
            <w14:bevel/>
          </w14:textOutline>
        </w:rPr>
        <w:t>（3）报价一览表（详见附件3）</w:t>
      </w:r>
    </w:p>
    <w:p w14:paraId="7C53AB21">
      <w:pPr>
        <w:spacing w:before="181" w:line="468" w:lineRule="exact"/>
        <w:ind w:left="497"/>
        <w:rPr>
          <w:rFonts w:ascii="黑体" w:hAnsi="黑体" w:eastAsia="黑体" w:cs="黑体"/>
          <w:sz w:val="24"/>
          <w:szCs w:val="24"/>
        </w:rPr>
      </w:pPr>
      <w:r>
        <w:rPr>
          <w:rFonts w:ascii="黑体" w:hAnsi="黑体" w:eastAsia="黑体" w:cs="黑体"/>
          <w:spacing w:val="3"/>
          <w:position w:val="17"/>
          <w:sz w:val="24"/>
          <w:szCs w:val="24"/>
          <w14:textOutline w14:w="4358" w14:cap="sq" w14:cmpd="sng">
            <w14:solidFill>
              <w14:srgbClr w14:val="000000"/>
            </w14:solidFill>
            <w14:prstDash w14:val="solid"/>
            <w14:bevel/>
          </w14:textOutline>
        </w:rPr>
        <w:t>分项报价明细表（附件3.1）</w:t>
      </w:r>
    </w:p>
    <w:p w14:paraId="068FE296">
      <w:pPr>
        <w:spacing w:before="1" w:line="220" w:lineRule="auto"/>
        <w:ind w:left="20"/>
        <w:rPr>
          <w:rFonts w:ascii="黑体" w:hAnsi="黑体" w:eastAsia="黑体" w:cs="黑体"/>
          <w:sz w:val="24"/>
          <w:szCs w:val="24"/>
        </w:rPr>
      </w:pPr>
      <w:r>
        <w:rPr>
          <w:rFonts w:ascii="黑体" w:hAnsi="黑体" w:eastAsia="黑体" w:cs="黑体"/>
          <w:spacing w:val="3"/>
          <w:sz w:val="24"/>
          <w:szCs w:val="24"/>
          <w14:textOutline w14:w="4358" w14:cap="sq" w14:cmpd="sng">
            <w14:solidFill>
              <w14:srgbClr w14:val="000000"/>
            </w14:solidFill>
            <w14:prstDash w14:val="solid"/>
            <w14:bevel/>
          </w14:textOutline>
        </w:rPr>
        <w:t>（4）供应商概况表（详见附件4）</w:t>
      </w:r>
    </w:p>
    <w:p w14:paraId="5753118B">
      <w:pPr>
        <w:spacing w:before="181" w:line="221" w:lineRule="auto"/>
        <w:ind w:left="20"/>
        <w:rPr>
          <w:rFonts w:ascii="黑体" w:hAnsi="黑体" w:eastAsia="黑体" w:cs="黑体"/>
          <w:sz w:val="24"/>
          <w:szCs w:val="24"/>
        </w:rPr>
      </w:pPr>
      <w:r>
        <w:rPr>
          <w:rFonts w:ascii="黑体" w:hAnsi="黑体" w:eastAsia="黑体" w:cs="黑体"/>
          <w:spacing w:val="2"/>
          <w:sz w:val="24"/>
          <w:szCs w:val="24"/>
          <w14:textOutline w14:w="4358" w14:cap="sq" w14:cmpd="sng">
            <w14:solidFill>
              <w14:srgbClr w14:val="000000"/>
            </w14:solidFill>
            <w14:prstDash w14:val="solid"/>
            <w14:bevel/>
          </w14:textOutline>
        </w:rPr>
        <w:t>（5）声明（详见附件5）</w:t>
      </w:r>
    </w:p>
    <w:p w14:paraId="0336EDBF">
      <w:pPr>
        <w:spacing w:before="181" w:line="468" w:lineRule="exact"/>
        <w:ind w:left="20"/>
        <w:rPr>
          <w:rFonts w:ascii="黑体" w:hAnsi="黑体" w:eastAsia="黑体" w:cs="黑体"/>
          <w:sz w:val="24"/>
          <w:szCs w:val="24"/>
        </w:rPr>
      </w:pPr>
      <w:r>
        <w:rPr>
          <w:rFonts w:ascii="黑体" w:hAnsi="黑体" w:eastAsia="黑体" w:cs="黑体"/>
          <w:spacing w:val="4"/>
          <w:position w:val="17"/>
          <w:sz w:val="24"/>
          <w:szCs w:val="24"/>
          <w14:textOutline w14:w="4358" w14:cap="sq" w14:cmpd="sng">
            <w14:solidFill>
              <w14:srgbClr w14:val="000000"/>
            </w14:solidFill>
            <w14:prstDash w14:val="solid"/>
            <w14:bevel/>
          </w14:textOutline>
        </w:rPr>
        <w:t>（6）无重大违法记录的书面声明（详见附件6）</w:t>
      </w:r>
    </w:p>
    <w:p w14:paraId="72549A02">
      <w:pPr>
        <w:spacing w:before="1" w:line="220" w:lineRule="auto"/>
        <w:ind w:left="20"/>
        <w:rPr>
          <w:rFonts w:ascii="黑体" w:hAnsi="黑体" w:eastAsia="黑体" w:cs="黑体"/>
          <w:sz w:val="24"/>
          <w:szCs w:val="24"/>
        </w:rPr>
      </w:pPr>
      <w:r>
        <w:rPr>
          <w:rFonts w:ascii="黑体" w:hAnsi="黑体" w:eastAsia="黑体" w:cs="黑体"/>
          <w:spacing w:val="2"/>
          <w:sz w:val="24"/>
          <w:szCs w:val="24"/>
          <w14:textOutline w14:w="4358" w14:cap="sq" w14:cmpd="sng">
            <w14:solidFill>
              <w14:srgbClr w14:val="000000"/>
            </w14:solidFill>
            <w14:prstDash w14:val="solid"/>
            <w14:bevel/>
          </w14:textOutline>
        </w:rPr>
        <w:t>（7）企业</w:t>
      </w:r>
      <w:r>
        <w:rPr>
          <w:rFonts w:hint="eastAsia" w:ascii="黑体" w:hAnsi="黑体" w:eastAsia="黑体" w:cs="黑体"/>
          <w:spacing w:val="2"/>
          <w:sz w:val="24"/>
          <w:szCs w:val="24"/>
          <w:lang w:eastAsia="zh-CN"/>
          <w14:textOutline w14:w="4358" w14:cap="sq" w14:cmpd="sng">
            <w14:solidFill>
              <w14:srgbClr w14:val="000000"/>
            </w14:solidFill>
            <w14:prstDash w14:val="solid"/>
            <w14:bevel/>
          </w14:textOutline>
        </w:rPr>
        <w:t>（</w:t>
      </w:r>
      <w:r>
        <w:rPr>
          <w:rFonts w:hint="eastAsia" w:ascii="黑体" w:hAnsi="黑体" w:eastAsia="黑体" w:cs="黑体"/>
          <w:spacing w:val="2"/>
          <w:sz w:val="24"/>
          <w:szCs w:val="24"/>
          <w:lang w:val="en-US" w:eastAsia="zh-CN"/>
          <w14:textOutline w14:w="4358" w14:cap="sq" w14:cmpd="sng">
            <w14:solidFill>
              <w14:srgbClr w14:val="000000"/>
            </w14:solidFill>
            <w14:prstDash w14:val="solid"/>
            <w14:bevel/>
          </w14:textOutline>
        </w:rPr>
        <w:t>2024年度</w:t>
      </w:r>
      <w:r>
        <w:rPr>
          <w:rFonts w:hint="eastAsia" w:ascii="黑体" w:hAnsi="黑体" w:eastAsia="黑体" w:cs="黑体"/>
          <w:spacing w:val="2"/>
          <w:sz w:val="24"/>
          <w:szCs w:val="24"/>
          <w:lang w:eastAsia="zh-CN"/>
          <w14:textOutline w14:w="4358" w14:cap="sq" w14:cmpd="sng">
            <w14:solidFill>
              <w14:srgbClr w14:val="000000"/>
            </w14:solidFill>
            <w14:prstDash w14:val="solid"/>
            <w14:bevel/>
          </w14:textOutline>
        </w:rPr>
        <w:t>）</w:t>
      </w:r>
      <w:r>
        <w:rPr>
          <w:rFonts w:ascii="黑体" w:hAnsi="黑体" w:eastAsia="黑体" w:cs="黑体"/>
          <w:spacing w:val="2"/>
          <w:sz w:val="24"/>
          <w:szCs w:val="24"/>
          <w14:textOutline w14:w="4358" w14:cap="sq" w14:cmpd="sng">
            <w14:solidFill>
              <w14:srgbClr w14:val="000000"/>
            </w14:solidFill>
            <w14:prstDash w14:val="solid"/>
            <w14:bevel/>
          </w14:textOutline>
        </w:rPr>
        <w:t>财务审计报告（详见附件7）</w:t>
      </w:r>
    </w:p>
    <w:p w14:paraId="2929E355">
      <w:pPr>
        <w:spacing w:before="180" w:line="221" w:lineRule="auto"/>
        <w:ind w:left="20"/>
        <w:rPr>
          <w:rFonts w:ascii="黑体" w:hAnsi="黑体" w:eastAsia="黑体" w:cs="黑体"/>
          <w:sz w:val="24"/>
          <w:szCs w:val="24"/>
        </w:rPr>
      </w:pPr>
      <w:r>
        <w:rPr>
          <w:rFonts w:ascii="黑体" w:hAnsi="黑体" w:eastAsia="黑体" w:cs="黑体"/>
          <w:spacing w:val="4"/>
          <w:sz w:val="24"/>
          <w:szCs w:val="24"/>
          <w14:textOutline w14:w="4358" w14:cap="sq" w14:cmpd="sng">
            <w14:solidFill>
              <w14:srgbClr w14:val="000000"/>
            </w14:solidFill>
            <w14:prstDash w14:val="solid"/>
            <w14:bevel/>
          </w14:textOutline>
        </w:rPr>
        <w:t>（8）“重法纪、讲诚信”承诺书（详见附件8）</w:t>
      </w:r>
    </w:p>
    <w:p w14:paraId="5CCB0637">
      <w:pPr>
        <w:spacing w:before="181" w:line="468" w:lineRule="exact"/>
        <w:ind w:left="20"/>
        <w:rPr>
          <w:rFonts w:ascii="黑体" w:hAnsi="黑体" w:eastAsia="黑体" w:cs="黑体"/>
          <w:sz w:val="24"/>
          <w:szCs w:val="24"/>
        </w:rPr>
      </w:pPr>
      <w:r>
        <w:rPr>
          <w:rFonts w:ascii="黑体" w:hAnsi="黑体" w:eastAsia="黑体" w:cs="黑体"/>
          <w:spacing w:val="3"/>
          <w:position w:val="17"/>
          <w:sz w:val="24"/>
          <w:szCs w:val="24"/>
          <w14:textOutline w14:w="4358" w14:cap="sq" w14:cmpd="sng">
            <w14:solidFill>
              <w14:srgbClr w14:val="000000"/>
            </w14:solidFill>
            <w14:prstDash w14:val="solid"/>
            <w14:bevel/>
          </w14:textOutline>
        </w:rPr>
        <w:t>（9）反商业贿赂承诺书（详见附件9）</w:t>
      </w:r>
    </w:p>
    <w:p w14:paraId="388534FD">
      <w:pPr>
        <w:spacing w:before="1" w:line="220" w:lineRule="auto"/>
        <w:ind w:left="20"/>
        <w:rPr>
          <w:rFonts w:ascii="黑体" w:hAnsi="黑体" w:eastAsia="黑体" w:cs="黑体"/>
          <w:sz w:val="24"/>
          <w:szCs w:val="24"/>
        </w:rPr>
      </w:pPr>
      <w:r>
        <w:rPr>
          <w:rFonts w:ascii="黑体" w:hAnsi="黑体" w:eastAsia="黑体" w:cs="黑体"/>
          <w:spacing w:val="2"/>
          <w:sz w:val="24"/>
          <w:szCs w:val="24"/>
          <w14:textOutline w14:w="4358" w14:cap="sq" w14:cmpd="sng">
            <w14:solidFill>
              <w14:srgbClr w14:val="000000"/>
            </w14:solidFill>
            <w14:prstDash w14:val="solid"/>
            <w14:bevel/>
          </w14:textOutline>
        </w:rPr>
        <w:t>（10）商务条款偏离表（详见附件10）</w:t>
      </w:r>
    </w:p>
    <w:p w14:paraId="77B6893D">
      <w:pPr>
        <w:spacing w:before="238" w:line="226" w:lineRule="auto"/>
        <w:outlineLvl w:val="1"/>
        <w:rPr>
          <w:rFonts w:ascii="黑体" w:hAnsi="黑体" w:eastAsia="黑体" w:cs="黑体"/>
          <w:spacing w:val="3"/>
          <w:position w:val="17"/>
          <w:sz w:val="24"/>
          <w:szCs w:val="24"/>
          <w14:textOutline w14:w="4358" w14:cap="sq" w14:cmpd="sng">
            <w14:solidFill>
              <w14:srgbClr w14:val="000000"/>
            </w14:solidFill>
            <w14:prstDash w14:val="solid"/>
            <w14:bevel/>
          </w14:textOutline>
        </w:rPr>
      </w:pPr>
      <w:r>
        <w:rPr>
          <w:rFonts w:ascii="黑体" w:hAnsi="黑体" w:eastAsia="黑体" w:cs="黑体"/>
          <w:color w:val="FF0000"/>
          <w:spacing w:val="3"/>
          <w:position w:val="17"/>
          <w:sz w:val="24"/>
          <w:szCs w:val="24"/>
          <w14:textOutline w14:w="4358" w14:cap="sq" w14:cmpd="sng">
            <w14:solidFill>
              <w14:srgbClr w14:val="000000"/>
            </w14:solidFill>
            <w14:prstDash w14:val="solid"/>
            <w14:bevel/>
          </w14:textOutline>
        </w:rPr>
        <w:t>（</w:t>
      </w:r>
      <w:r>
        <w:rPr>
          <w:rFonts w:ascii="黑体" w:hAnsi="黑体" w:eastAsia="黑体" w:cs="黑体"/>
          <w:spacing w:val="3"/>
          <w:position w:val="17"/>
          <w:sz w:val="24"/>
          <w:szCs w:val="24"/>
          <w14:textOutline w14:w="4358" w14:cap="sq" w14:cmpd="sng">
            <w14:solidFill>
              <w14:srgbClr w14:val="000000"/>
            </w14:solidFill>
            <w14:prstDash w14:val="solid"/>
            <w14:bevel/>
          </w14:textOutline>
        </w:rPr>
        <w:t>11）近</w:t>
      </w:r>
      <w:r>
        <w:rPr>
          <w:rFonts w:hint="eastAsia" w:ascii="黑体" w:hAnsi="黑体" w:eastAsia="黑体" w:cs="黑体"/>
          <w:spacing w:val="3"/>
          <w:position w:val="17"/>
          <w:sz w:val="24"/>
          <w:szCs w:val="24"/>
          <w:lang w:val="en-US" w:eastAsia="zh-CN"/>
          <w14:textOutline w14:w="4358" w14:cap="sq" w14:cmpd="sng">
            <w14:solidFill>
              <w14:srgbClr w14:val="000000"/>
            </w14:solidFill>
            <w14:prstDash w14:val="solid"/>
            <w14:bevel/>
          </w14:textOutline>
        </w:rPr>
        <w:t>五</w:t>
      </w:r>
      <w:r>
        <w:rPr>
          <w:rFonts w:ascii="黑体" w:hAnsi="黑体" w:eastAsia="黑体" w:cs="黑体"/>
          <w:spacing w:val="3"/>
          <w:position w:val="17"/>
          <w:sz w:val="24"/>
          <w:szCs w:val="24"/>
          <w14:textOutline w14:w="4358" w14:cap="sq" w14:cmpd="sng">
            <w14:solidFill>
              <w14:srgbClr w14:val="000000"/>
            </w14:solidFill>
            <w14:prstDash w14:val="solid"/>
            <w14:bevel/>
          </w14:textOutline>
        </w:rPr>
        <w:t>年同类项目业绩表</w:t>
      </w:r>
      <w:r>
        <w:rPr>
          <w:rFonts w:hint="eastAsia" w:ascii="黑体" w:hAnsi="黑体" w:eastAsia="黑体" w:cs="黑体"/>
          <w:spacing w:val="3"/>
          <w:position w:val="17"/>
          <w:sz w:val="24"/>
          <w:szCs w:val="24"/>
          <w:lang w:eastAsia="zh-CN"/>
          <w14:textOutline w14:w="4358" w14:cap="sq" w14:cmpd="sng">
            <w14:solidFill>
              <w14:srgbClr w14:val="000000"/>
            </w14:solidFill>
            <w14:prstDash w14:val="solid"/>
            <w14:bevel/>
          </w14:textOutline>
        </w:rPr>
        <w:t>（</w:t>
      </w:r>
      <w:r>
        <w:rPr>
          <w:rFonts w:hint="eastAsia" w:ascii="黑体" w:hAnsi="黑体" w:eastAsia="黑体" w:cs="黑体"/>
          <w:spacing w:val="3"/>
          <w:position w:val="17"/>
          <w:sz w:val="24"/>
          <w:szCs w:val="24"/>
          <w:lang w:val="en-US" w:eastAsia="zh-CN"/>
          <w14:textOutline w14:w="4358" w14:cap="sq" w14:cmpd="sng">
            <w14:solidFill>
              <w14:srgbClr w14:val="000000"/>
            </w14:solidFill>
            <w14:prstDash w14:val="solid"/>
            <w14:bevel/>
          </w14:textOutline>
        </w:rPr>
        <w:t>2020年1月至今</w:t>
      </w:r>
      <w:r>
        <w:rPr>
          <w:rFonts w:hint="eastAsia" w:ascii="黑体" w:hAnsi="黑体" w:eastAsia="黑体" w:cs="黑体"/>
          <w:spacing w:val="3"/>
          <w:position w:val="17"/>
          <w:sz w:val="24"/>
          <w:szCs w:val="24"/>
          <w:lang w:eastAsia="zh-CN"/>
          <w14:textOutline w14:w="4358" w14:cap="sq" w14:cmpd="sng">
            <w14:solidFill>
              <w14:srgbClr w14:val="000000"/>
            </w14:solidFill>
            <w14:prstDash w14:val="solid"/>
            <w14:bevel/>
          </w14:textOutline>
        </w:rPr>
        <w:t>）</w:t>
      </w:r>
      <w:r>
        <w:rPr>
          <w:rFonts w:ascii="黑体" w:hAnsi="黑体" w:eastAsia="黑体" w:cs="黑体"/>
          <w:spacing w:val="3"/>
          <w:position w:val="17"/>
          <w:sz w:val="24"/>
          <w:szCs w:val="24"/>
          <w14:textOutline w14:w="4358" w14:cap="sq" w14:cmpd="sng">
            <w14:solidFill>
              <w14:srgbClr w14:val="000000"/>
            </w14:solidFill>
            <w14:prstDash w14:val="solid"/>
            <w14:bevel/>
          </w14:textOutline>
        </w:rPr>
        <w:t>（详见附件11）</w:t>
      </w:r>
    </w:p>
    <w:p w14:paraId="4DE83563">
      <w:pPr>
        <w:spacing w:before="1" w:line="220" w:lineRule="auto"/>
        <w:ind w:left="20"/>
        <w:rPr>
          <w:rFonts w:ascii="黑体" w:hAnsi="黑体" w:eastAsia="黑体" w:cs="黑体"/>
          <w:sz w:val="24"/>
          <w:szCs w:val="24"/>
        </w:rPr>
      </w:pPr>
      <w:r>
        <w:rPr>
          <w:rFonts w:ascii="黑体" w:hAnsi="黑体" w:eastAsia="黑体" w:cs="黑体"/>
          <w:spacing w:val="3"/>
          <w:sz w:val="24"/>
          <w:szCs w:val="24"/>
          <w14:textOutline w14:w="4358" w14:cap="sq" w14:cmpd="sng">
            <w14:solidFill>
              <w14:srgbClr w14:val="000000"/>
            </w14:solidFill>
            <w14:prstDash w14:val="solid"/>
            <w14:bevel/>
          </w14:textOutline>
        </w:rPr>
        <w:t>（12）拟派项目负责人简历表（详见附件12）</w:t>
      </w:r>
    </w:p>
    <w:p w14:paraId="13EA3E2F">
      <w:pPr>
        <w:spacing w:before="181" w:line="468" w:lineRule="exact"/>
        <w:ind w:left="20"/>
        <w:rPr>
          <w:rFonts w:ascii="黑体" w:hAnsi="黑体" w:eastAsia="黑体" w:cs="黑体"/>
          <w:sz w:val="24"/>
          <w:szCs w:val="24"/>
        </w:rPr>
      </w:pPr>
      <w:r>
        <w:rPr>
          <w:rFonts w:ascii="黑体" w:hAnsi="黑体" w:eastAsia="黑体" w:cs="黑体"/>
          <w:spacing w:val="3"/>
          <w:position w:val="17"/>
          <w:sz w:val="24"/>
          <w:szCs w:val="24"/>
          <w14:textOutline w14:w="4358" w14:cap="sq" w14:cmpd="sng">
            <w14:solidFill>
              <w14:srgbClr w14:val="000000"/>
            </w14:solidFill>
            <w14:prstDash w14:val="solid"/>
            <w14:bevel/>
          </w14:textOutline>
        </w:rPr>
        <w:t>（13）拟派本项目技术人员配置情况表（详见附件13）</w:t>
      </w:r>
    </w:p>
    <w:p w14:paraId="7DEC6DF0">
      <w:pPr>
        <w:spacing w:before="1" w:line="220" w:lineRule="auto"/>
        <w:ind w:left="20"/>
        <w:rPr>
          <w:rFonts w:ascii="黑体" w:hAnsi="黑体" w:eastAsia="黑体" w:cs="黑体"/>
          <w:sz w:val="24"/>
          <w:szCs w:val="24"/>
        </w:rPr>
      </w:pPr>
      <w:r>
        <w:rPr>
          <w:rFonts w:ascii="黑体" w:hAnsi="黑体" w:eastAsia="黑体" w:cs="黑体"/>
          <w:spacing w:val="4"/>
          <w:sz w:val="24"/>
          <w:szCs w:val="24"/>
          <w14:textOutline w14:w="4358" w14:cap="sq" w14:cmpd="sng">
            <w14:solidFill>
              <w14:srgbClr w14:val="000000"/>
            </w14:solidFill>
            <w14:prstDash w14:val="solid"/>
            <w14:bevel/>
          </w14:textOutline>
        </w:rPr>
        <w:t>（14）中、小微企业声明函（如若有</w:t>
      </w:r>
      <w:r>
        <w:rPr>
          <w:rFonts w:ascii="黑体" w:hAnsi="黑体" w:eastAsia="黑体" w:cs="黑体"/>
          <w:spacing w:val="-1"/>
          <w:sz w:val="24"/>
          <w:szCs w:val="24"/>
          <w14:textOutline w14:w="4358" w14:cap="sq" w14:cmpd="sng">
            <w14:solidFill>
              <w14:srgbClr w14:val="000000"/>
            </w14:solidFill>
            <w14:prstDash w14:val="solid"/>
            <w14:bevel/>
          </w14:textOutline>
        </w:rPr>
        <w:t>）（</w:t>
      </w:r>
      <w:r>
        <w:rPr>
          <w:rFonts w:ascii="黑体" w:hAnsi="黑体" w:eastAsia="黑体" w:cs="黑体"/>
          <w:spacing w:val="4"/>
          <w:sz w:val="24"/>
          <w:szCs w:val="24"/>
          <w14:textOutline w14:w="4358" w14:cap="sq" w14:cmpd="sng">
            <w14:solidFill>
              <w14:srgbClr w14:val="000000"/>
            </w14:solidFill>
            <w14:prstDash w14:val="solid"/>
            <w14:bevel/>
          </w14:textOutline>
        </w:rPr>
        <w:t>详见附件14）</w:t>
      </w:r>
    </w:p>
    <w:p w14:paraId="25D89ECF">
      <w:pPr>
        <w:spacing w:before="181" w:line="221" w:lineRule="auto"/>
        <w:jc w:val="right"/>
        <w:rPr>
          <w:rFonts w:ascii="黑体" w:hAnsi="黑体" w:eastAsia="黑体" w:cs="黑体"/>
          <w:sz w:val="24"/>
          <w:szCs w:val="24"/>
        </w:rPr>
      </w:pPr>
      <w:r>
        <w:rPr>
          <w:rFonts w:ascii="黑体" w:hAnsi="黑体" w:eastAsia="黑体" w:cs="黑体"/>
          <w:spacing w:val="4"/>
          <w:sz w:val="24"/>
          <w:szCs w:val="24"/>
          <w14:textOutline w14:w="4358" w14:cap="sq" w14:cmpd="sng">
            <w14:solidFill>
              <w14:srgbClr w14:val="000000"/>
            </w14:solidFill>
            <w14:prstDash w14:val="solid"/>
            <w14:bevel/>
          </w14:textOutline>
        </w:rPr>
        <w:t>（15）施工方案与技术措施、质量管理体系与措施、安全管理体系与措施、环境保护</w:t>
      </w:r>
    </w:p>
    <w:p w14:paraId="239330A2">
      <w:pPr>
        <w:spacing w:before="181" w:line="221" w:lineRule="auto"/>
        <w:ind w:left="1"/>
        <w:rPr>
          <w:rFonts w:ascii="黑体" w:hAnsi="黑体" w:eastAsia="黑体" w:cs="黑体"/>
          <w:sz w:val="24"/>
          <w:szCs w:val="24"/>
        </w:rPr>
      </w:pPr>
      <w:r>
        <w:rPr>
          <w:rFonts w:ascii="黑体" w:hAnsi="黑体" w:eastAsia="黑体" w:cs="黑体"/>
          <w:spacing w:val="6"/>
          <w:sz w:val="24"/>
          <w:szCs w:val="24"/>
          <w14:textOutline w14:w="4358" w14:cap="sq" w14:cmpd="sng">
            <w14:solidFill>
              <w14:srgbClr w14:val="000000"/>
            </w14:solidFill>
            <w14:prstDash w14:val="solid"/>
            <w14:bevel/>
          </w14:textOutline>
        </w:rPr>
        <w:t>管理体系与措施、工程进度计划与措施（供应商自拟</w:t>
      </w:r>
      <w:r>
        <w:rPr>
          <w:rFonts w:ascii="黑体" w:hAnsi="黑体" w:eastAsia="黑体" w:cs="黑体"/>
          <w:spacing w:val="-7"/>
          <w:sz w:val="24"/>
          <w:szCs w:val="24"/>
          <w14:textOutline w14:w="4358" w14:cap="sq" w14:cmpd="sng">
            <w14:solidFill>
              <w14:srgbClr w14:val="000000"/>
            </w14:solidFill>
            <w14:prstDash w14:val="solid"/>
            <w14:bevel/>
          </w14:textOutline>
        </w:rPr>
        <w:t>）（</w:t>
      </w:r>
      <w:r>
        <w:rPr>
          <w:rFonts w:ascii="黑体" w:hAnsi="黑体" w:eastAsia="黑体" w:cs="黑体"/>
          <w:spacing w:val="6"/>
          <w:sz w:val="24"/>
          <w:szCs w:val="24"/>
          <w14:textOutline w14:w="4358" w14:cap="sq" w14:cmpd="sng">
            <w14:solidFill>
              <w14:srgbClr w14:val="000000"/>
            </w14:solidFill>
            <w14:prstDash w14:val="solid"/>
            <w14:bevel/>
          </w14:textOutline>
        </w:rPr>
        <w:t>详见附</w:t>
      </w:r>
      <w:r>
        <w:rPr>
          <w:rFonts w:ascii="黑体" w:hAnsi="黑体" w:eastAsia="黑体" w:cs="黑体"/>
          <w:spacing w:val="5"/>
          <w:sz w:val="24"/>
          <w:szCs w:val="24"/>
          <w14:textOutline w14:w="4358" w14:cap="sq" w14:cmpd="sng">
            <w14:solidFill>
              <w14:srgbClr w14:val="000000"/>
            </w14:solidFill>
            <w14:prstDash w14:val="solid"/>
            <w14:bevel/>
          </w14:textOutline>
        </w:rPr>
        <w:t>件15）</w:t>
      </w:r>
    </w:p>
    <w:p w14:paraId="19635880">
      <w:pPr>
        <w:spacing w:before="101" w:line="221" w:lineRule="auto"/>
        <w:ind w:left="20"/>
        <w:outlineLvl w:val="1"/>
        <w:rPr>
          <w:rFonts w:ascii="黑体" w:hAnsi="黑体" w:eastAsia="黑体" w:cs="黑体"/>
          <w:sz w:val="24"/>
          <w:szCs w:val="24"/>
        </w:rPr>
      </w:pPr>
      <w:r>
        <w:rPr>
          <w:rFonts w:ascii="黑体" w:hAnsi="黑体" w:eastAsia="黑体" w:cs="黑体"/>
          <w:spacing w:val="4"/>
          <w:sz w:val="24"/>
          <w:szCs w:val="24"/>
          <w14:textOutline w14:w="4358" w14:cap="sq" w14:cmpd="sng">
            <w14:solidFill>
              <w14:srgbClr w14:val="000000"/>
            </w14:solidFill>
            <w14:prstDash w14:val="solid"/>
            <w14:bevel/>
          </w14:textOutline>
        </w:rPr>
        <w:t>（16）要求提供的其它材料以及供应商认为需要提交的材料（详见附件16）</w:t>
      </w:r>
    </w:p>
    <w:p w14:paraId="2B4E3FAF">
      <w:pPr>
        <w:pStyle w:val="5"/>
        <w:spacing w:line="320" w:lineRule="auto"/>
      </w:pPr>
    </w:p>
    <w:p w14:paraId="6A86D62F">
      <w:pPr>
        <w:pStyle w:val="5"/>
        <w:spacing w:line="321" w:lineRule="auto"/>
      </w:pPr>
    </w:p>
    <w:p w14:paraId="61544FC4">
      <w:pPr>
        <w:spacing w:before="79" w:line="219" w:lineRule="auto"/>
        <w:rPr>
          <w:rFonts w:ascii="宋体" w:hAnsi="宋体" w:eastAsia="宋体" w:cs="宋体"/>
          <w:sz w:val="24"/>
          <w:szCs w:val="24"/>
        </w:rPr>
      </w:pPr>
      <w:r>
        <w:rPr>
          <w:rFonts w:ascii="宋体" w:hAnsi="宋体" w:eastAsia="宋体" w:cs="宋体"/>
          <w:spacing w:val="5"/>
          <w:sz w:val="24"/>
          <w:szCs w:val="24"/>
        </w:rPr>
        <w:t>注：请投标单位在制作投标文件时设置目录及页码，方便评审专家进行评审。</w:t>
      </w:r>
    </w:p>
    <w:p w14:paraId="600225ED">
      <w:pPr>
        <w:spacing w:line="219" w:lineRule="auto"/>
        <w:rPr>
          <w:rFonts w:ascii="宋体" w:hAnsi="宋体" w:eastAsia="宋体" w:cs="宋体"/>
          <w:sz w:val="24"/>
          <w:szCs w:val="24"/>
        </w:rPr>
        <w:sectPr>
          <w:footerReference r:id="rId29" w:type="default"/>
          <w:pgSz w:w="11906" w:h="16839"/>
          <w:pgMar w:top="400" w:right="1422" w:bottom="1012" w:left="1425" w:header="0" w:footer="850" w:gutter="0"/>
          <w:cols w:space="720" w:num="1"/>
        </w:sectPr>
      </w:pPr>
    </w:p>
    <w:p w14:paraId="7A169AE9">
      <w:pPr>
        <w:pStyle w:val="5"/>
      </w:pPr>
    </w:p>
    <w:p w14:paraId="254FD19A">
      <w:pPr>
        <w:pStyle w:val="5"/>
      </w:pPr>
    </w:p>
    <w:p w14:paraId="50862A65">
      <w:pPr>
        <w:pStyle w:val="5"/>
      </w:pPr>
    </w:p>
    <w:p w14:paraId="25735C1C">
      <w:pPr>
        <w:pStyle w:val="5"/>
      </w:pPr>
    </w:p>
    <w:p w14:paraId="4020FA19">
      <w:pPr>
        <w:spacing w:before="100" w:line="230" w:lineRule="auto"/>
        <w:ind w:left="29"/>
        <w:rPr>
          <w:rFonts w:ascii="黑体" w:hAnsi="黑体" w:eastAsia="黑体" w:cs="黑体"/>
          <w:sz w:val="31"/>
          <w:szCs w:val="31"/>
        </w:rPr>
      </w:pPr>
      <w:r>
        <w:rPr>
          <w:rFonts w:ascii="黑体" w:hAnsi="黑体" w:eastAsia="黑体" w:cs="黑体"/>
          <w:spacing w:val="-6"/>
          <w:sz w:val="31"/>
          <w:szCs w:val="31"/>
          <w14:textOutline w14:w="5793" w14:cap="sq" w14:cmpd="sng">
            <w14:solidFill>
              <w14:srgbClr w14:val="000000"/>
            </w14:solidFill>
            <w14:prstDash w14:val="solid"/>
            <w14:bevel/>
          </w14:textOutline>
        </w:rPr>
        <w:t>附件1:</w:t>
      </w:r>
    </w:p>
    <w:p w14:paraId="7F5CEBC2">
      <w:pPr>
        <w:spacing w:before="338" w:line="228" w:lineRule="auto"/>
        <w:ind w:left="3893"/>
        <w:outlineLvl w:val="0"/>
        <w:rPr>
          <w:rFonts w:ascii="黑体" w:hAnsi="黑体" w:eastAsia="黑体" w:cs="黑体"/>
          <w:sz w:val="31"/>
          <w:szCs w:val="31"/>
        </w:rPr>
      </w:pPr>
      <w:r>
        <w:rPr>
          <w:rFonts w:ascii="黑体" w:hAnsi="黑体" w:eastAsia="黑体" w:cs="黑体"/>
          <w:sz w:val="31"/>
          <w:szCs w:val="31"/>
          <w14:textOutline w14:w="5793" w14:cap="sq" w14:cmpd="sng">
            <w14:solidFill>
              <w14:srgbClr w14:val="000000"/>
            </w14:solidFill>
            <w14:prstDash w14:val="solid"/>
            <w14:bevel/>
          </w14:textOutline>
        </w:rPr>
        <w:t>投标函</w:t>
      </w:r>
    </w:p>
    <w:p w14:paraId="02BD03A8">
      <w:pPr>
        <w:tabs>
          <w:tab w:val="left" w:pos="267"/>
        </w:tabs>
        <w:spacing w:before="203" w:line="222" w:lineRule="auto"/>
        <w:rPr>
          <w:rFonts w:ascii="黑体" w:hAnsi="黑体" w:eastAsia="黑体" w:cs="黑体"/>
          <w:sz w:val="24"/>
          <w:szCs w:val="24"/>
        </w:rPr>
      </w:pPr>
      <w:r>
        <w:rPr>
          <w:rFonts w:ascii="黑体" w:hAnsi="黑体" w:eastAsia="黑体" w:cs="黑体"/>
          <w:sz w:val="24"/>
          <w:szCs w:val="24"/>
          <w:u w:val="single" w:color="auto"/>
        </w:rPr>
        <w:tab/>
      </w:r>
      <w:r>
        <w:rPr>
          <w:rFonts w:ascii="黑体" w:hAnsi="黑体" w:eastAsia="黑体" w:cs="黑体"/>
          <w:spacing w:val="-20"/>
          <w:sz w:val="24"/>
          <w:szCs w:val="24"/>
          <w:u w:val="single" w:color="auto"/>
        </w:rPr>
        <w:t>（采购人名称</w:t>
      </w:r>
      <w:r>
        <w:rPr>
          <w:rFonts w:ascii="黑体" w:hAnsi="黑体" w:eastAsia="黑体" w:cs="黑体"/>
          <w:spacing w:val="1"/>
          <w:sz w:val="24"/>
          <w:szCs w:val="24"/>
          <w:u w:val="single" w:color="auto"/>
        </w:rPr>
        <w:t>）</w:t>
      </w:r>
      <w:r>
        <w:rPr>
          <w:rFonts w:ascii="黑体" w:hAnsi="黑体" w:eastAsia="黑体" w:cs="黑体"/>
          <w:spacing w:val="1"/>
          <w:sz w:val="24"/>
          <w:szCs w:val="24"/>
        </w:rPr>
        <w:t>：</w:t>
      </w:r>
    </w:p>
    <w:p w14:paraId="336F398A">
      <w:pPr>
        <w:spacing w:before="112" w:line="264" w:lineRule="auto"/>
        <w:ind w:left="9" w:firstLine="495"/>
        <w:rPr>
          <w:rFonts w:ascii="黑体" w:hAnsi="黑体" w:eastAsia="黑体" w:cs="黑体"/>
          <w:sz w:val="24"/>
          <w:szCs w:val="24"/>
        </w:rPr>
      </w:pPr>
      <w:r>
        <w:rPr>
          <w:rFonts w:ascii="黑体" w:hAnsi="黑体" w:eastAsia="黑体" w:cs="黑体"/>
          <w:spacing w:val="7"/>
          <w:sz w:val="24"/>
          <w:szCs w:val="24"/>
        </w:rPr>
        <w:t>我公司收到贵单位</w:t>
      </w:r>
      <w:r>
        <w:rPr>
          <w:rFonts w:ascii="黑体" w:hAnsi="黑体" w:eastAsia="黑体" w:cs="黑体"/>
          <w:spacing w:val="7"/>
          <w:sz w:val="24"/>
          <w:szCs w:val="24"/>
          <w:u w:val="single" w:color="auto"/>
        </w:rPr>
        <w:t>（项目名称）</w:t>
      </w:r>
      <w:r>
        <w:rPr>
          <w:rFonts w:ascii="黑体" w:hAnsi="黑体" w:eastAsia="黑体" w:cs="黑体"/>
          <w:spacing w:val="7"/>
          <w:sz w:val="24"/>
          <w:szCs w:val="24"/>
        </w:rPr>
        <w:t>竞争性磋商文件，经认真研究，我们决定</w:t>
      </w:r>
      <w:r>
        <w:rPr>
          <w:rFonts w:ascii="黑体" w:hAnsi="黑体" w:eastAsia="黑体" w:cs="黑体"/>
          <w:spacing w:val="3"/>
          <w:sz w:val="24"/>
          <w:szCs w:val="24"/>
        </w:rPr>
        <w:t>参加本项目投标。</w:t>
      </w:r>
    </w:p>
    <w:p w14:paraId="60DFA2BA">
      <w:pPr>
        <w:spacing w:before="112" w:line="279" w:lineRule="auto"/>
        <w:ind w:left="10" w:firstLine="503"/>
        <w:rPr>
          <w:rFonts w:ascii="黑体" w:hAnsi="黑体" w:eastAsia="黑体" w:cs="黑体"/>
          <w:sz w:val="24"/>
          <w:szCs w:val="24"/>
        </w:rPr>
      </w:pPr>
      <w:r>
        <w:rPr>
          <w:rFonts w:ascii="黑体" w:hAnsi="黑体" w:eastAsia="黑体" w:cs="黑体"/>
          <w:spacing w:val="4"/>
          <w:sz w:val="24"/>
          <w:szCs w:val="24"/>
        </w:rPr>
        <w:t>1.按照竞争性磋商文件中的一切要求，我方完全接受竞争性磋商文件的规定和要</w:t>
      </w:r>
      <w:r>
        <w:rPr>
          <w:rFonts w:ascii="黑体" w:hAnsi="黑体" w:eastAsia="黑体" w:cs="黑体"/>
          <w:spacing w:val="3"/>
          <w:sz w:val="24"/>
          <w:szCs w:val="24"/>
        </w:rPr>
        <w:t>求愿以</w:t>
      </w:r>
      <w:r>
        <w:rPr>
          <w:rFonts w:hint="eastAsia" w:ascii="黑体" w:hAnsi="黑体" w:eastAsia="黑体" w:cs="黑体"/>
          <w:spacing w:val="3"/>
          <w:sz w:val="24"/>
          <w:szCs w:val="24"/>
          <w:u w:val="single"/>
          <w:lang w:val="en-US" w:eastAsia="zh-CN"/>
        </w:rPr>
        <w:t xml:space="preserve">  </w:t>
      </w:r>
      <w:r>
        <w:rPr>
          <w:rFonts w:ascii="黑体" w:hAnsi="黑体" w:eastAsia="黑体" w:cs="黑体"/>
          <w:spacing w:val="3"/>
          <w:sz w:val="24"/>
          <w:szCs w:val="24"/>
        </w:rPr>
        <w:t>元（大写</w:t>
      </w:r>
      <w:r>
        <w:rPr>
          <w:rFonts w:ascii="黑体" w:hAnsi="黑体" w:eastAsia="黑体" w:cs="黑体"/>
          <w:spacing w:val="5"/>
          <w:sz w:val="24"/>
          <w:szCs w:val="24"/>
        </w:rPr>
        <w:t>：），</w:t>
      </w:r>
      <w:r>
        <w:rPr>
          <w:rFonts w:ascii="黑体" w:hAnsi="黑体" w:eastAsia="黑体" w:cs="黑体"/>
          <w:spacing w:val="3"/>
          <w:sz w:val="24"/>
          <w:szCs w:val="24"/>
        </w:rPr>
        <w:t>工期</w:t>
      </w:r>
      <w:r>
        <w:rPr>
          <w:rFonts w:ascii="黑体" w:hAnsi="黑体" w:eastAsia="黑体" w:cs="黑体"/>
          <w:spacing w:val="5"/>
          <w:sz w:val="24"/>
          <w:szCs w:val="24"/>
        </w:rPr>
        <w:t>：，</w:t>
      </w:r>
      <w:r>
        <w:rPr>
          <w:rFonts w:ascii="黑体" w:hAnsi="黑体" w:eastAsia="黑体" w:cs="黑体"/>
          <w:spacing w:val="3"/>
          <w:sz w:val="24"/>
          <w:szCs w:val="24"/>
        </w:rPr>
        <w:t>完成上述项目的所有</w:t>
      </w:r>
      <w:r>
        <w:rPr>
          <w:rFonts w:ascii="黑体" w:hAnsi="黑体" w:eastAsia="黑体" w:cs="黑体"/>
          <w:spacing w:val="-2"/>
          <w:sz w:val="24"/>
          <w:szCs w:val="24"/>
        </w:rPr>
        <w:t>工作。</w:t>
      </w:r>
    </w:p>
    <w:p w14:paraId="66605781">
      <w:pPr>
        <w:spacing w:before="111" w:line="261" w:lineRule="auto"/>
        <w:ind w:left="11" w:firstLine="488"/>
        <w:rPr>
          <w:rFonts w:ascii="黑体" w:hAnsi="黑体" w:eastAsia="黑体" w:cs="黑体"/>
          <w:sz w:val="24"/>
          <w:szCs w:val="24"/>
        </w:rPr>
      </w:pPr>
      <w:r>
        <w:rPr>
          <w:rFonts w:ascii="黑体" w:hAnsi="黑体" w:eastAsia="黑体" w:cs="黑体"/>
          <w:spacing w:val="12"/>
          <w:sz w:val="24"/>
          <w:szCs w:val="24"/>
        </w:rPr>
        <w:t>2.如果我们的响应文件被接受，我们将履行竞</w:t>
      </w:r>
      <w:r>
        <w:rPr>
          <w:rFonts w:ascii="黑体" w:hAnsi="黑体" w:eastAsia="黑体" w:cs="黑体"/>
          <w:spacing w:val="11"/>
          <w:sz w:val="24"/>
          <w:szCs w:val="24"/>
        </w:rPr>
        <w:t>争性磋商文件中规定的每一项要</w:t>
      </w:r>
      <w:r>
        <w:rPr>
          <w:rFonts w:ascii="黑体" w:hAnsi="黑体" w:eastAsia="黑体" w:cs="黑体"/>
          <w:spacing w:val="4"/>
          <w:sz w:val="24"/>
          <w:szCs w:val="24"/>
        </w:rPr>
        <w:t>求，按期、按质、按量完成交货和完工任务。</w:t>
      </w:r>
    </w:p>
    <w:p w14:paraId="5C3A583D">
      <w:pPr>
        <w:spacing w:before="123" w:line="266" w:lineRule="auto"/>
        <w:ind w:left="2" w:firstLine="498"/>
        <w:rPr>
          <w:rFonts w:ascii="黑体" w:hAnsi="黑体" w:eastAsia="黑体" w:cs="黑体"/>
          <w:sz w:val="24"/>
          <w:szCs w:val="24"/>
        </w:rPr>
      </w:pPr>
      <w:r>
        <w:rPr>
          <w:rFonts w:ascii="黑体" w:hAnsi="黑体" w:eastAsia="黑体" w:cs="黑体"/>
          <w:spacing w:val="12"/>
          <w:sz w:val="24"/>
          <w:szCs w:val="24"/>
        </w:rPr>
        <w:t>3.我们同意按竞争性磋商文件的规定，本</w:t>
      </w:r>
      <w:r>
        <w:rPr>
          <w:rFonts w:ascii="黑体" w:hAnsi="黑体" w:eastAsia="黑体" w:cs="黑体"/>
          <w:spacing w:val="11"/>
          <w:sz w:val="24"/>
          <w:szCs w:val="24"/>
        </w:rPr>
        <w:t>响应文件的有效期为投标截止时间后</w:t>
      </w:r>
      <w:r>
        <w:rPr>
          <w:rFonts w:hint="eastAsia" w:ascii="黑体" w:hAnsi="黑体" w:eastAsia="黑体" w:cs="黑体"/>
          <w:spacing w:val="-3"/>
          <w:sz w:val="24"/>
          <w:szCs w:val="24"/>
          <w:u w:val="single" w:color="auto"/>
          <w:lang w:val="en-US" w:eastAsia="zh-CN"/>
        </w:rPr>
        <w:t>45</w:t>
      </w:r>
      <w:r>
        <w:rPr>
          <w:rFonts w:ascii="黑体" w:hAnsi="黑体" w:eastAsia="黑体" w:cs="黑体"/>
          <w:spacing w:val="-3"/>
          <w:sz w:val="24"/>
          <w:szCs w:val="24"/>
        </w:rPr>
        <w:t>天。</w:t>
      </w:r>
    </w:p>
    <w:p w14:paraId="1EEE548B">
      <w:pPr>
        <w:spacing w:before="109" w:line="221" w:lineRule="auto"/>
        <w:ind w:left="494"/>
        <w:rPr>
          <w:rFonts w:ascii="黑体" w:hAnsi="黑体" w:eastAsia="黑体" w:cs="黑体"/>
          <w:sz w:val="24"/>
          <w:szCs w:val="24"/>
        </w:rPr>
      </w:pPr>
      <w:r>
        <w:rPr>
          <w:rFonts w:ascii="黑体" w:hAnsi="黑体" w:eastAsia="黑体" w:cs="黑体"/>
          <w:spacing w:val="5"/>
          <w:sz w:val="24"/>
          <w:szCs w:val="24"/>
        </w:rPr>
        <w:t>4.我们愿意提供采购人在竞争性磋商文件中要求的所有资料。</w:t>
      </w:r>
    </w:p>
    <w:p w14:paraId="5467BBEB">
      <w:pPr>
        <w:spacing w:before="110" w:line="265" w:lineRule="auto"/>
        <w:ind w:left="14" w:firstLine="481"/>
        <w:rPr>
          <w:rFonts w:ascii="黑体" w:hAnsi="黑体" w:eastAsia="黑体" w:cs="黑体"/>
          <w:sz w:val="24"/>
          <w:szCs w:val="24"/>
        </w:rPr>
      </w:pPr>
      <w:r>
        <w:rPr>
          <w:rFonts w:ascii="黑体" w:hAnsi="黑体" w:eastAsia="黑体" w:cs="黑体"/>
          <w:spacing w:val="5"/>
          <w:sz w:val="24"/>
          <w:szCs w:val="24"/>
        </w:rPr>
        <w:t>5.我们认为采购人有选择或拒绝任何供应商中标的权力。</w:t>
      </w:r>
      <w:r>
        <w:rPr>
          <w:rFonts w:ascii="黑体" w:hAnsi="黑体" w:eastAsia="黑体" w:cs="黑体"/>
          <w:spacing w:val="4"/>
          <w:sz w:val="24"/>
          <w:szCs w:val="24"/>
        </w:rPr>
        <w:t>我们理解，最低报价不</w:t>
      </w:r>
      <w:r>
        <w:rPr>
          <w:rFonts w:ascii="黑体" w:hAnsi="黑体" w:eastAsia="黑体" w:cs="黑体"/>
          <w:spacing w:val="2"/>
          <w:sz w:val="24"/>
          <w:szCs w:val="24"/>
        </w:rPr>
        <w:t>是中标的唯一条件。</w:t>
      </w:r>
    </w:p>
    <w:p w14:paraId="2E96BBBB">
      <w:pPr>
        <w:spacing w:before="114" w:line="221" w:lineRule="auto"/>
        <w:ind w:left="500"/>
        <w:rPr>
          <w:rFonts w:ascii="黑体" w:hAnsi="黑体" w:eastAsia="黑体" w:cs="黑体"/>
          <w:sz w:val="24"/>
          <w:szCs w:val="24"/>
        </w:rPr>
      </w:pPr>
      <w:r>
        <w:rPr>
          <w:rFonts w:ascii="黑体" w:hAnsi="黑体" w:eastAsia="黑体" w:cs="黑体"/>
          <w:spacing w:val="4"/>
          <w:sz w:val="24"/>
          <w:szCs w:val="24"/>
        </w:rPr>
        <w:t>6.我们愿按合同法履行自己的全部责任。</w:t>
      </w:r>
    </w:p>
    <w:p w14:paraId="568F3C81">
      <w:pPr>
        <w:spacing w:before="111" w:line="213" w:lineRule="auto"/>
        <w:ind w:left="502"/>
        <w:rPr>
          <w:rFonts w:ascii="黑体" w:hAnsi="黑体" w:eastAsia="黑体" w:cs="黑体"/>
          <w:sz w:val="24"/>
          <w:szCs w:val="24"/>
        </w:rPr>
      </w:pPr>
      <w:r>
        <w:rPr>
          <w:rFonts w:ascii="黑体" w:hAnsi="黑体" w:eastAsia="黑体" w:cs="黑体"/>
          <w:spacing w:val="5"/>
          <w:sz w:val="24"/>
          <w:szCs w:val="24"/>
        </w:rPr>
        <w:t>7.我方愿意遵守竞争性磋商文件中规定的收费标准，承付采购代理服务费。</w:t>
      </w:r>
    </w:p>
    <w:p w14:paraId="5DFEA02E">
      <w:pPr>
        <w:spacing w:before="124" w:line="213" w:lineRule="auto"/>
        <w:jc w:val="right"/>
        <w:rPr>
          <w:rFonts w:ascii="黑体" w:hAnsi="黑体" w:eastAsia="黑体" w:cs="黑体"/>
          <w:sz w:val="24"/>
          <w:szCs w:val="24"/>
        </w:rPr>
      </w:pPr>
      <w:r>
        <w:rPr>
          <w:rFonts w:ascii="黑体" w:hAnsi="黑体" w:eastAsia="黑体" w:cs="黑体"/>
          <w:spacing w:val="4"/>
          <w:sz w:val="24"/>
          <w:szCs w:val="24"/>
        </w:rPr>
        <w:t>8.该项投标在投标截止时间后的投标有效期内保持有效，不作任何更改和变动。</w:t>
      </w:r>
    </w:p>
    <w:p w14:paraId="2570690C">
      <w:pPr>
        <w:spacing w:before="125" w:line="265" w:lineRule="auto"/>
        <w:ind w:left="4" w:firstLine="490"/>
        <w:rPr>
          <w:rFonts w:ascii="黑体" w:hAnsi="黑体" w:eastAsia="黑体" w:cs="黑体"/>
          <w:sz w:val="24"/>
          <w:szCs w:val="24"/>
        </w:rPr>
      </w:pPr>
      <w:r>
        <w:rPr>
          <w:rFonts w:ascii="黑体" w:hAnsi="黑体" w:eastAsia="黑体" w:cs="黑体"/>
          <w:spacing w:val="5"/>
          <w:sz w:val="24"/>
          <w:szCs w:val="24"/>
        </w:rPr>
        <w:t>9.我们同意按竞争性磋商文件规定，交纳</w:t>
      </w:r>
      <w:r>
        <w:rPr>
          <w:rFonts w:hint="eastAsia" w:ascii="黑体" w:hAnsi="黑体" w:eastAsia="黑体" w:cs="黑体"/>
          <w:spacing w:val="5"/>
          <w:sz w:val="24"/>
          <w:szCs w:val="24"/>
          <w:u w:val="single"/>
          <w:lang w:val="en-US" w:eastAsia="zh-CN"/>
        </w:rPr>
        <w:t xml:space="preserve">  </w:t>
      </w:r>
      <w:r>
        <w:rPr>
          <w:rFonts w:ascii="黑体" w:hAnsi="黑体" w:eastAsia="黑体" w:cs="黑体"/>
          <w:spacing w:val="5"/>
          <w:sz w:val="24"/>
          <w:szCs w:val="24"/>
        </w:rPr>
        <w:t>元（大写</w:t>
      </w:r>
      <w:r>
        <w:rPr>
          <w:rFonts w:ascii="黑体" w:hAnsi="黑体" w:eastAsia="黑体" w:cs="黑体"/>
          <w:spacing w:val="13"/>
          <w:sz w:val="24"/>
          <w:szCs w:val="24"/>
        </w:rPr>
        <w:t>：）</w:t>
      </w:r>
      <w:r>
        <w:rPr>
          <w:rFonts w:ascii="黑体" w:hAnsi="黑体" w:eastAsia="黑体" w:cs="黑体"/>
          <w:spacing w:val="5"/>
          <w:sz w:val="24"/>
          <w:szCs w:val="24"/>
        </w:rPr>
        <w:t>的投</w:t>
      </w:r>
      <w:r>
        <w:rPr>
          <w:rFonts w:ascii="黑体" w:hAnsi="黑体" w:eastAsia="黑体" w:cs="黑体"/>
          <w:spacing w:val="2"/>
          <w:sz w:val="24"/>
          <w:szCs w:val="24"/>
        </w:rPr>
        <w:t>标保证金。</w:t>
      </w:r>
    </w:p>
    <w:p w14:paraId="11F8738D">
      <w:pPr>
        <w:spacing w:before="109" w:line="213" w:lineRule="auto"/>
        <w:ind w:left="513"/>
        <w:rPr>
          <w:rFonts w:ascii="黑体" w:hAnsi="黑体" w:eastAsia="黑体" w:cs="黑体"/>
          <w:sz w:val="24"/>
          <w:szCs w:val="24"/>
        </w:rPr>
      </w:pPr>
      <w:r>
        <w:rPr>
          <w:rFonts w:ascii="黑体" w:hAnsi="黑体" w:eastAsia="黑体" w:cs="黑体"/>
          <w:spacing w:val="4"/>
          <w:sz w:val="24"/>
          <w:szCs w:val="24"/>
        </w:rPr>
        <w:t>10.所有有关本响应文件的函电，请按下列地址联系：</w:t>
      </w:r>
    </w:p>
    <w:p w14:paraId="7879B37A">
      <w:pPr>
        <w:spacing w:before="124" w:line="398" w:lineRule="exact"/>
        <w:ind w:left="507"/>
        <w:rPr>
          <w:rFonts w:ascii="黑体" w:hAnsi="黑体" w:eastAsia="黑体" w:cs="黑体"/>
          <w:sz w:val="24"/>
          <w:szCs w:val="24"/>
        </w:rPr>
      </w:pPr>
      <w:r>
        <w:rPr>
          <w:rFonts w:ascii="黑体" w:hAnsi="黑体" w:eastAsia="黑体" w:cs="黑体"/>
          <w:position w:val="11"/>
          <w:sz w:val="24"/>
          <w:szCs w:val="24"/>
        </w:rPr>
        <w:t>单位名称：</w:t>
      </w:r>
    </w:p>
    <w:p w14:paraId="1AE60EB5">
      <w:pPr>
        <w:spacing w:line="230" w:lineRule="auto"/>
        <w:ind w:left="502"/>
        <w:rPr>
          <w:rFonts w:ascii="黑体" w:hAnsi="黑体" w:eastAsia="黑体" w:cs="黑体"/>
          <w:sz w:val="24"/>
          <w:szCs w:val="24"/>
        </w:rPr>
      </w:pPr>
      <w:r>
        <w:rPr>
          <w:rFonts w:ascii="黑体" w:hAnsi="黑体" w:eastAsia="黑体" w:cs="黑体"/>
          <w:spacing w:val="-7"/>
          <w:sz w:val="24"/>
          <w:szCs w:val="24"/>
        </w:rPr>
        <w:t>地址：</w:t>
      </w:r>
    </w:p>
    <w:p w14:paraId="25D37A26">
      <w:pPr>
        <w:spacing w:before="102" w:line="221" w:lineRule="auto"/>
        <w:ind w:left="513"/>
        <w:rPr>
          <w:rFonts w:ascii="黑体" w:hAnsi="黑体" w:eastAsia="黑体" w:cs="黑体"/>
          <w:sz w:val="24"/>
          <w:szCs w:val="24"/>
        </w:rPr>
      </w:pPr>
      <w:r>
        <w:rPr>
          <w:rFonts w:ascii="黑体" w:hAnsi="黑体" w:eastAsia="黑体" w:cs="黑体"/>
          <w:spacing w:val="-1"/>
          <w:sz w:val="24"/>
          <w:szCs w:val="24"/>
        </w:rPr>
        <w:t>邮政编码：</w:t>
      </w:r>
    </w:p>
    <w:p w14:paraId="2505FB11">
      <w:pPr>
        <w:spacing w:before="113" w:line="222" w:lineRule="auto"/>
        <w:ind w:left="502"/>
        <w:rPr>
          <w:rFonts w:ascii="黑体" w:hAnsi="黑体" w:eastAsia="黑体" w:cs="黑体"/>
          <w:sz w:val="24"/>
          <w:szCs w:val="24"/>
        </w:rPr>
      </w:pPr>
      <w:r>
        <w:rPr>
          <w:rFonts w:ascii="黑体" w:hAnsi="黑体" w:eastAsia="黑体" w:cs="黑体"/>
          <w:spacing w:val="-10"/>
          <w:sz w:val="24"/>
          <w:szCs w:val="24"/>
        </w:rPr>
        <w:t>联系人：</w:t>
      </w:r>
    </w:p>
    <w:p w14:paraId="7A8E4371">
      <w:pPr>
        <w:spacing w:before="110" w:line="224" w:lineRule="auto"/>
        <w:ind w:left="516"/>
        <w:rPr>
          <w:rFonts w:ascii="黑体" w:hAnsi="黑体" w:eastAsia="黑体" w:cs="黑体"/>
          <w:sz w:val="24"/>
          <w:szCs w:val="24"/>
        </w:rPr>
      </w:pPr>
      <w:r>
        <w:rPr>
          <w:rFonts w:ascii="黑体" w:hAnsi="黑体" w:eastAsia="黑体" w:cs="黑体"/>
          <w:spacing w:val="-12"/>
          <w:sz w:val="24"/>
          <w:szCs w:val="24"/>
        </w:rPr>
        <w:t>电话：</w:t>
      </w:r>
    </w:p>
    <w:p w14:paraId="0F232C17">
      <w:pPr>
        <w:spacing w:before="109" w:line="222" w:lineRule="auto"/>
        <w:ind w:left="499"/>
        <w:rPr>
          <w:rFonts w:ascii="黑体" w:hAnsi="黑体" w:eastAsia="黑体" w:cs="黑体"/>
          <w:sz w:val="24"/>
          <w:szCs w:val="24"/>
        </w:rPr>
      </w:pPr>
      <w:r>
        <w:rPr>
          <w:rFonts w:ascii="黑体" w:hAnsi="黑体" w:eastAsia="黑体" w:cs="黑体"/>
          <w:spacing w:val="-7"/>
          <w:sz w:val="24"/>
          <w:szCs w:val="24"/>
        </w:rPr>
        <w:t>传真：</w:t>
      </w:r>
    </w:p>
    <w:p w14:paraId="2ADDB039">
      <w:pPr>
        <w:spacing w:before="113" w:line="222" w:lineRule="auto"/>
        <w:ind w:left="516"/>
        <w:rPr>
          <w:rFonts w:ascii="黑体" w:hAnsi="黑体" w:eastAsia="黑体" w:cs="黑体"/>
          <w:sz w:val="24"/>
          <w:szCs w:val="24"/>
        </w:rPr>
      </w:pPr>
      <w:r>
        <w:rPr>
          <w:rFonts w:ascii="黑体" w:hAnsi="黑体" w:eastAsia="黑体" w:cs="黑体"/>
          <w:spacing w:val="-2"/>
          <w:sz w:val="24"/>
          <w:szCs w:val="24"/>
        </w:rPr>
        <w:t>电子邮箱：</w:t>
      </w:r>
    </w:p>
    <w:p w14:paraId="65D2E859">
      <w:pPr>
        <w:pStyle w:val="5"/>
        <w:spacing w:line="429" w:lineRule="auto"/>
      </w:pPr>
    </w:p>
    <w:p w14:paraId="5038AEB5">
      <w:pPr>
        <w:spacing w:before="78" w:line="222" w:lineRule="auto"/>
        <w:ind w:left="4359"/>
        <w:rPr>
          <w:rFonts w:ascii="黑体" w:hAnsi="黑体" w:eastAsia="黑体" w:cs="黑体"/>
          <w:sz w:val="24"/>
          <w:szCs w:val="24"/>
        </w:rPr>
      </w:pPr>
      <w:r>
        <w:rPr>
          <w:rFonts w:ascii="黑体" w:hAnsi="黑体" w:eastAsia="黑体" w:cs="黑体"/>
          <w:spacing w:val="4"/>
          <w:sz w:val="24"/>
          <w:szCs w:val="24"/>
        </w:rPr>
        <w:t>供应商名称（盖章</w:t>
      </w:r>
      <w:r>
        <w:rPr>
          <w:rFonts w:ascii="黑体" w:hAnsi="黑体" w:eastAsia="黑体" w:cs="黑体"/>
          <w:sz w:val="24"/>
          <w:szCs w:val="24"/>
        </w:rPr>
        <w:t>）：</w:t>
      </w:r>
    </w:p>
    <w:p w14:paraId="53EC2FFF">
      <w:pPr>
        <w:spacing w:before="113" w:line="222" w:lineRule="auto"/>
        <w:ind w:right="12"/>
        <w:jc w:val="right"/>
        <w:rPr>
          <w:rFonts w:ascii="黑体" w:hAnsi="黑体" w:eastAsia="黑体" w:cs="黑体"/>
          <w:sz w:val="24"/>
          <w:szCs w:val="24"/>
        </w:rPr>
      </w:pPr>
      <w:r>
        <w:rPr>
          <w:rFonts w:ascii="黑体" w:hAnsi="黑体" w:eastAsia="黑体" w:cs="黑体"/>
          <w:spacing w:val="4"/>
          <w:sz w:val="24"/>
          <w:szCs w:val="24"/>
        </w:rPr>
        <w:t>法定代表人</w:t>
      </w:r>
      <w:r>
        <w:rPr>
          <w:rFonts w:hint="eastAsia" w:ascii="黑体" w:hAnsi="黑体" w:eastAsia="黑体" w:cs="黑体"/>
          <w:spacing w:val="4"/>
          <w:sz w:val="24"/>
          <w:szCs w:val="24"/>
          <w:lang w:val="en-US" w:eastAsia="zh-CN"/>
        </w:rPr>
        <w:t>及</w:t>
      </w:r>
      <w:r>
        <w:rPr>
          <w:rFonts w:ascii="黑体" w:hAnsi="黑体" w:eastAsia="黑体" w:cs="黑体"/>
          <w:spacing w:val="4"/>
          <w:sz w:val="24"/>
          <w:szCs w:val="24"/>
        </w:rPr>
        <w:t>委托代理人（签字或盖章</w:t>
      </w:r>
      <w:r>
        <w:rPr>
          <w:rFonts w:ascii="黑体" w:hAnsi="黑体" w:eastAsia="黑体" w:cs="黑体"/>
          <w:spacing w:val="7"/>
          <w:sz w:val="24"/>
          <w:szCs w:val="24"/>
        </w:rPr>
        <w:t>）：</w:t>
      </w:r>
    </w:p>
    <w:p w14:paraId="173BF87B">
      <w:pPr>
        <w:spacing w:before="110" w:line="223" w:lineRule="auto"/>
        <w:jc w:val="center"/>
        <w:outlineLvl w:val="0"/>
        <w:rPr>
          <w:rFonts w:ascii="黑体" w:hAnsi="黑体" w:eastAsia="黑体" w:cs="黑体"/>
          <w:sz w:val="24"/>
          <w:szCs w:val="24"/>
        </w:rPr>
      </w:pPr>
      <w:r>
        <w:rPr>
          <w:rFonts w:hint="eastAsia" w:ascii="黑体" w:hAnsi="黑体" w:eastAsia="黑体" w:cs="黑体"/>
          <w:spacing w:val="-20"/>
          <w:sz w:val="24"/>
          <w:szCs w:val="24"/>
          <w:lang w:val="en-US" w:eastAsia="zh-CN"/>
        </w:rPr>
        <w:t xml:space="preserve">                          </w:t>
      </w:r>
      <w:r>
        <w:rPr>
          <w:rFonts w:ascii="黑体" w:hAnsi="黑体" w:eastAsia="黑体" w:cs="黑体"/>
          <w:spacing w:val="-20"/>
          <w:sz w:val="24"/>
          <w:szCs w:val="24"/>
        </w:rPr>
        <w:t>日期：</w:t>
      </w:r>
      <w:r>
        <w:rPr>
          <w:rFonts w:hint="eastAsia" w:ascii="黑体" w:hAnsi="黑体" w:eastAsia="黑体" w:cs="黑体"/>
          <w:spacing w:val="-20"/>
          <w:sz w:val="24"/>
          <w:szCs w:val="24"/>
          <w:lang w:val="en-US" w:eastAsia="zh-CN"/>
        </w:rPr>
        <w:t xml:space="preserve">      </w:t>
      </w:r>
      <w:r>
        <w:rPr>
          <w:rFonts w:ascii="黑体" w:hAnsi="黑体" w:eastAsia="黑体" w:cs="黑体"/>
          <w:spacing w:val="-20"/>
          <w:sz w:val="24"/>
          <w:szCs w:val="24"/>
        </w:rPr>
        <w:t>年</w:t>
      </w:r>
      <w:r>
        <w:rPr>
          <w:rFonts w:hint="eastAsia" w:ascii="黑体" w:hAnsi="黑体" w:eastAsia="黑体" w:cs="黑体"/>
          <w:spacing w:val="-20"/>
          <w:sz w:val="24"/>
          <w:szCs w:val="24"/>
          <w:lang w:val="en-US" w:eastAsia="zh-CN"/>
        </w:rPr>
        <w:t xml:space="preserve">     </w:t>
      </w:r>
      <w:r>
        <w:rPr>
          <w:rFonts w:ascii="黑体" w:hAnsi="黑体" w:eastAsia="黑体" w:cs="黑体"/>
          <w:spacing w:val="-20"/>
          <w:sz w:val="24"/>
          <w:szCs w:val="24"/>
        </w:rPr>
        <w:t>月</w:t>
      </w:r>
      <w:r>
        <w:rPr>
          <w:rFonts w:hint="eastAsia" w:ascii="黑体" w:hAnsi="黑体" w:eastAsia="黑体" w:cs="黑体"/>
          <w:spacing w:val="-20"/>
          <w:sz w:val="24"/>
          <w:szCs w:val="24"/>
          <w:lang w:val="en-US" w:eastAsia="zh-CN"/>
        </w:rPr>
        <w:t xml:space="preserve">      </w:t>
      </w:r>
      <w:r>
        <w:rPr>
          <w:rFonts w:ascii="黑体" w:hAnsi="黑体" w:eastAsia="黑体" w:cs="黑体"/>
          <w:spacing w:val="-20"/>
          <w:sz w:val="24"/>
          <w:szCs w:val="24"/>
        </w:rPr>
        <w:t>日</w:t>
      </w:r>
    </w:p>
    <w:p w14:paraId="2B955DE4">
      <w:pPr>
        <w:spacing w:line="223" w:lineRule="auto"/>
        <w:rPr>
          <w:rFonts w:ascii="黑体" w:hAnsi="黑体" w:eastAsia="黑体" w:cs="黑体"/>
          <w:sz w:val="24"/>
          <w:szCs w:val="24"/>
        </w:rPr>
        <w:sectPr>
          <w:footerReference r:id="rId30" w:type="default"/>
          <w:pgSz w:w="11906" w:h="16839"/>
          <w:pgMar w:top="400" w:right="1422" w:bottom="1012" w:left="1416" w:header="0" w:footer="850" w:gutter="0"/>
          <w:cols w:space="720" w:num="1"/>
        </w:sectPr>
      </w:pPr>
    </w:p>
    <w:p w14:paraId="16EF34B7">
      <w:pPr>
        <w:pStyle w:val="5"/>
        <w:spacing w:line="265" w:lineRule="auto"/>
      </w:pPr>
    </w:p>
    <w:p w14:paraId="0142008D">
      <w:pPr>
        <w:pStyle w:val="5"/>
        <w:spacing w:line="265" w:lineRule="auto"/>
      </w:pPr>
    </w:p>
    <w:p w14:paraId="6CE1F2AB">
      <w:pPr>
        <w:pStyle w:val="5"/>
        <w:spacing w:line="266" w:lineRule="auto"/>
      </w:pPr>
    </w:p>
    <w:p w14:paraId="0F4DE4C0">
      <w:pPr>
        <w:pStyle w:val="5"/>
        <w:spacing w:line="266" w:lineRule="auto"/>
      </w:pPr>
    </w:p>
    <w:p w14:paraId="3752DCF0">
      <w:pPr>
        <w:spacing w:before="101" w:line="230" w:lineRule="auto"/>
        <w:ind w:left="21"/>
        <w:outlineLvl w:val="1"/>
        <w:rPr>
          <w:rFonts w:ascii="黑体" w:hAnsi="黑体" w:eastAsia="黑体" w:cs="黑体"/>
          <w:sz w:val="31"/>
          <w:szCs w:val="31"/>
        </w:rPr>
      </w:pPr>
      <w:r>
        <w:rPr>
          <w:rFonts w:ascii="黑体" w:hAnsi="黑体" w:eastAsia="黑体" w:cs="黑体"/>
          <w:spacing w:val="-1"/>
          <w:sz w:val="31"/>
          <w:szCs w:val="31"/>
          <w14:textOutline w14:w="5793" w14:cap="sq" w14:cmpd="sng">
            <w14:solidFill>
              <w14:srgbClr w14:val="000000"/>
            </w14:solidFill>
            <w14:prstDash w14:val="solid"/>
            <w14:bevel/>
          </w14:textOutline>
        </w:rPr>
        <w:t>附件2:</w:t>
      </w:r>
    </w:p>
    <w:p w14:paraId="685CA588">
      <w:pPr>
        <w:spacing w:before="237" w:line="227" w:lineRule="auto"/>
        <w:ind w:left="2958"/>
        <w:outlineLvl w:val="0"/>
        <w:rPr>
          <w:rFonts w:ascii="黑体" w:hAnsi="黑体" w:eastAsia="黑体" w:cs="黑体"/>
          <w:sz w:val="30"/>
          <w:szCs w:val="30"/>
        </w:rPr>
      </w:pPr>
      <w:r>
        <w:rPr>
          <w:rFonts w:ascii="黑体" w:hAnsi="黑体" w:eastAsia="黑体" w:cs="黑体"/>
          <w:spacing w:val="9"/>
          <w:sz w:val="31"/>
          <w:szCs w:val="31"/>
          <w14:textOutline w14:w="5793" w14:cap="sq" w14:cmpd="sng">
            <w14:solidFill>
              <w14:srgbClr w14:val="000000"/>
            </w14:solidFill>
            <w14:prstDash w14:val="solid"/>
            <w14:bevel/>
          </w14:textOutline>
        </w:rPr>
        <w:t>法定代表人</w:t>
      </w:r>
      <w:r>
        <w:rPr>
          <w:rFonts w:ascii="黑体" w:hAnsi="黑体" w:eastAsia="黑体" w:cs="黑体"/>
          <w:spacing w:val="9"/>
          <w:sz w:val="30"/>
          <w:szCs w:val="30"/>
          <w14:textOutline w14:w="5448" w14:cap="sq" w14:cmpd="sng">
            <w14:solidFill>
              <w14:srgbClr w14:val="000000"/>
            </w14:solidFill>
            <w14:prstDash w14:val="solid"/>
            <w14:bevel/>
          </w14:textOutline>
        </w:rPr>
        <w:t>身份证明书</w:t>
      </w:r>
    </w:p>
    <w:p w14:paraId="658B96D2">
      <w:pPr>
        <w:pStyle w:val="5"/>
        <w:spacing w:line="305" w:lineRule="auto"/>
      </w:pPr>
    </w:p>
    <w:p w14:paraId="62B6AF61">
      <w:pPr>
        <w:spacing w:before="78" w:line="569" w:lineRule="exact"/>
        <w:ind w:left="7"/>
        <w:rPr>
          <w:rFonts w:ascii="黑体" w:hAnsi="黑体" w:eastAsia="黑体" w:cs="黑体"/>
          <w:sz w:val="24"/>
          <w:szCs w:val="24"/>
        </w:rPr>
      </w:pPr>
      <w:r>
        <w:rPr>
          <w:rFonts w:ascii="黑体" w:hAnsi="黑体" w:eastAsia="黑体" w:cs="黑体"/>
          <w:position w:val="25"/>
          <w:sz w:val="24"/>
          <w:szCs w:val="24"/>
        </w:rPr>
        <w:t>单位名称：</w:t>
      </w:r>
    </w:p>
    <w:p w14:paraId="7D1DF207">
      <w:pPr>
        <w:spacing w:line="230" w:lineRule="auto"/>
        <w:ind w:left="1"/>
        <w:rPr>
          <w:rFonts w:ascii="黑体" w:hAnsi="黑体" w:eastAsia="黑体" w:cs="黑体"/>
          <w:sz w:val="24"/>
          <w:szCs w:val="24"/>
        </w:rPr>
      </w:pPr>
      <w:r>
        <w:rPr>
          <w:rFonts w:ascii="黑体" w:hAnsi="黑体" w:eastAsia="黑体" w:cs="黑体"/>
          <w:spacing w:val="-7"/>
          <w:sz w:val="24"/>
          <w:szCs w:val="24"/>
        </w:rPr>
        <w:t>地址：</w:t>
      </w:r>
    </w:p>
    <w:p w14:paraId="282D3CA9">
      <w:pPr>
        <w:spacing w:before="271" w:line="221" w:lineRule="auto"/>
        <w:rPr>
          <w:rFonts w:ascii="黑体" w:hAnsi="黑体" w:eastAsia="黑体" w:cs="黑体"/>
          <w:sz w:val="24"/>
          <w:szCs w:val="24"/>
        </w:rPr>
      </w:pPr>
      <w:r>
        <w:rPr>
          <w:rFonts w:ascii="黑体" w:hAnsi="黑体" w:eastAsia="黑体" w:cs="黑体"/>
          <w:spacing w:val="-3"/>
          <w:sz w:val="24"/>
          <w:szCs w:val="24"/>
        </w:rPr>
        <w:t>姓名：性别：年龄：职务：</w:t>
      </w:r>
    </w:p>
    <w:p w14:paraId="3CC97C40">
      <w:pPr>
        <w:spacing w:before="282" w:line="222" w:lineRule="auto"/>
        <w:ind w:left="742"/>
        <w:rPr>
          <w:rFonts w:ascii="黑体" w:hAnsi="黑体" w:eastAsia="黑体" w:cs="黑体"/>
          <w:sz w:val="24"/>
          <w:szCs w:val="24"/>
        </w:rPr>
      </w:pPr>
      <w:r>
        <w:rPr>
          <w:rFonts w:ascii="黑体" w:hAnsi="黑体" w:eastAsia="黑体" w:cs="黑体"/>
          <w:spacing w:val="-1"/>
          <w:sz w:val="24"/>
          <w:szCs w:val="24"/>
        </w:rPr>
        <w:t>系的法定代表人。</w:t>
      </w:r>
    </w:p>
    <w:p w14:paraId="37801788">
      <w:pPr>
        <w:spacing w:before="282" w:line="211" w:lineRule="auto"/>
        <w:rPr>
          <w:rFonts w:ascii="黑体" w:hAnsi="黑体" w:eastAsia="黑体" w:cs="黑体"/>
          <w:sz w:val="24"/>
          <w:szCs w:val="24"/>
        </w:rPr>
      </w:pPr>
      <w:r>
        <w:rPr>
          <w:rFonts w:ascii="黑体" w:hAnsi="黑体" w:eastAsia="黑体" w:cs="黑体"/>
          <w:spacing w:val="1"/>
          <w:sz w:val="24"/>
          <w:szCs w:val="24"/>
        </w:rPr>
        <w:t>特此证明。</w:t>
      </w:r>
    </w:p>
    <w:tbl>
      <w:tblPr>
        <w:tblStyle w:val="13"/>
        <w:tblW w:w="7603" w:type="dxa"/>
        <w:tblInd w:w="72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781"/>
        <w:gridCol w:w="3822"/>
      </w:tblGrid>
      <w:tr w14:paraId="0E91A0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6" w:hRule="atLeast"/>
        </w:trPr>
        <w:tc>
          <w:tcPr>
            <w:tcW w:w="3781" w:type="dxa"/>
            <w:vAlign w:val="top"/>
          </w:tcPr>
          <w:p w14:paraId="5305A8F1">
            <w:pPr>
              <w:spacing w:line="267" w:lineRule="auto"/>
              <w:rPr>
                <w:rFonts w:ascii="Arial"/>
                <w:sz w:val="21"/>
              </w:rPr>
            </w:pPr>
          </w:p>
          <w:p w14:paraId="4960A727">
            <w:pPr>
              <w:spacing w:line="267" w:lineRule="auto"/>
              <w:rPr>
                <w:rFonts w:ascii="Arial"/>
                <w:sz w:val="21"/>
              </w:rPr>
            </w:pPr>
          </w:p>
          <w:p w14:paraId="4231168E">
            <w:pPr>
              <w:spacing w:line="267" w:lineRule="auto"/>
              <w:rPr>
                <w:rFonts w:ascii="Arial"/>
                <w:sz w:val="21"/>
              </w:rPr>
            </w:pPr>
          </w:p>
          <w:p w14:paraId="0734E771">
            <w:pPr>
              <w:spacing w:line="268" w:lineRule="auto"/>
              <w:rPr>
                <w:rFonts w:ascii="Arial"/>
                <w:sz w:val="21"/>
              </w:rPr>
            </w:pPr>
          </w:p>
          <w:p w14:paraId="37FAAF2B">
            <w:pPr>
              <w:spacing w:line="268" w:lineRule="auto"/>
              <w:rPr>
                <w:rFonts w:ascii="Arial"/>
                <w:sz w:val="21"/>
              </w:rPr>
            </w:pPr>
          </w:p>
          <w:p w14:paraId="29CB29C4">
            <w:pPr>
              <w:spacing w:line="268" w:lineRule="auto"/>
              <w:rPr>
                <w:rFonts w:ascii="Arial"/>
                <w:sz w:val="21"/>
              </w:rPr>
            </w:pPr>
          </w:p>
          <w:p w14:paraId="026CBFDD">
            <w:pPr>
              <w:pStyle w:val="14"/>
              <w:spacing w:before="78" w:line="221" w:lineRule="auto"/>
              <w:ind w:left="118"/>
            </w:pPr>
            <w:r>
              <w:rPr>
                <w:spacing w:val="4"/>
              </w:rPr>
              <w:t>法定代表人身份证（正面）</w:t>
            </w:r>
          </w:p>
        </w:tc>
        <w:tc>
          <w:tcPr>
            <w:tcW w:w="3822" w:type="dxa"/>
            <w:vAlign w:val="top"/>
          </w:tcPr>
          <w:p w14:paraId="55B1F416">
            <w:pPr>
              <w:spacing w:line="267" w:lineRule="auto"/>
              <w:rPr>
                <w:rFonts w:ascii="Arial"/>
                <w:sz w:val="21"/>
              </w:rPr>
            </w:pPr>
          </w:p>
          <w:p w14:paraId="22A6BC33">
            <w:pPr>
              <w:spacing w:line="267" w:lineRule="auto"/>
              <w:rPr>
                <w:rFonts w:ascii="Arial"/>
                <w:sz w:val="21"/>
              </w:rPr>
            </w:pPr>
          </w:p>
          <w:p w14:paraId="0C34DE3E">
            <w:pPr>
              <w:spacing w:line="267" w:lineRule="auto"/>
              <w:rPr>
                <w:rFonts w:ascii="Arial"/>
                <w:sz w:val="21"/>
              </w:rPr>
            </w:pPr>
          </w:p>
          <w:p w14:paraId="67F51CD5">
            <w:pPr>
              <w:spacing w:line="268" w:lineRule="auto"/>
              <w:rPr>
                <w:rFonts w:ascii="Arial"/>
                <w:sz w:val="21"/>
              </w:rPr>
            </w:pPr>
          </w:p>
          <w:p w14:paraId="61CE6176">
            <w:pPr>
              <w:spacing w:line="268" w:lineRule="auto"/>
              <w:rPr>
                <w:rFonts w:ascii="Arial"/>
                <w:sz w:val="21"/>
              </w:rPr>
            </w:pPr>
          </w:p>
          <w:p w14:paraId="0076A402">
            <w:pPr>
              <w:spacing w:line="268" w:lineRule="auto"/>
              <w:rPr>
                <w:rFonts w:ascii="Arial"/>
                <w:sz w:val="21"/>
              </w:rPr>
            </w:pPr>
          </w:p>
          <w:p w14:paraId="4ACF2CA5">
            <w:pPr>
              <w:pStyle w:val="14"/>
              <w:spacing w:before="78" w:line="221" w:lineRule="auto"/>
              <w:ind w:left="117"/>
            </w:pPr>
            <w:r>
              <w:rPr>
                <w:spacing w:val="4"/>
              </w:rPr>
              <w:t>法定代表人身份证（背面）</w:t>
            </w:r>
          </w:p>
        </w:tc>
      </w:tr>
    </w:tbl>
    <w:p w14:paraId="1528C7A1">
      <w:pPr>
        <w:pStyle w:val="5"/>
        <w:spacing w:line="254" w:lineRule="auto"/>
      </w:pPr>
    </w:p>
    <w:p w14:paraId="6A4929B4">
      <w:pPr>
        <w:pStyle w:val="5"/>
        <w:spacing w:line="254" w:lineRule="auto"/>
      </w:pPr>
    </w:p>
    <w:p w14:paraId="323CDD02">
      <w:pPr>
        <w:pStyle w:val="5"/>
        <w:spacing w:line="254" w:lineRule="auto"/>
      </w:pPr>
    </w:p>
    <w:p w14:paraId="0D3B70F4">
      <w:pPr>
        <w:pStyle w:val="5"/>
        <w:spacing w:line="254" w:lineRule="auto"/>
      </w:pPr>
    </w:p>
    <w:p w14:paraId="570FA306">
      <w:pPr>
        <w:pStyle w:val="5"/>
        <w:spacing w:line="254" w:lineRule="auto"/>
      </w:pPr>
    </w:p>
    <w:p w14:paraId="3DC12BD7">
      <w:pPr>
        <w:pStyle w:val="5"/>
        <w:spacing w:line="254" w:lineRule="auto"/>
      </w:pPr>
    </w:p>
    <w:p w14:paraId="3A4B0C2F">
      <w:pPr>
        <w:pStyle w:val="5"/>
        <w:spacing w:line="254" w:lineRule="auto"/>
      </w:pPr>
    </w:p>
    <w:p w14:paraId="2682FA13">
      <w:pPr>
        <w:pStyle w:val="5"/>
        <w:spacing w:line="254" w:lineRule="auto"/>
      </w:pPr>
    </w:p>
    <w:p w14:paraId="20EFE879">
      <w:pPr>
        <w:pStyle w:val="5"/>
        <w:spacing w:line="254" w:lineRule="auto"/>
      </w:pPr>
    </w:p>
    <w:p w14:paraId="4C30C814">
      <w:pPr>
        <w:pStyle w:val="5"/>
        <w:spacing w:line="254" w:lineRule="auto"/>
      </w:pPr>
    </w:p>
    <w:p w14:paraId="3916A890">
      <w:pPr>
        <w:pStyle w:val="5"/>
        <w:spacing w:line="254" w:lineRule="auto"/>
      </w:pPr>
    </w:p>
    <w:p w14:paraId="6DF1DC01">
      <w:pPr>
        <w:pStyle w:val="5"/>
        <w:spacing w:line="254" w:lineRule="auto"/>
      </w:pPr>
    </w:p>
    <w:p w14:paraId="063D3AC3">
      <w:pPr>
        <w:spacing w:before="79" w:line="222" w:lineRule="auto"/>
        <w:ind w:left="4288"/>
        <w:rPr>
          <w:rFonts w:ascii="黑体" w:hAnsi="黑体" w:eastAsia="黑体" w:cs="黑体"/>
          <w:sz w:val="24"/>
          <w:szCs w:val="24"/>
        </w:rPr>
      </w:pPr>
      <w:r>
        <w:rPr>
          <w:rFonts w:ascii="黑体" w:hAnsi="黑体" w:eastAsia="黑体" w:cs="黑体"/>
          <w:spacing w:val="4"/>
          <w:sz w:val="24"/>
          <w:szCs w:val="24"/>
        </w:rPr>
        <w:t>供应商名称（盖章</w:t>
      </w:r>
      <w:r>
        <w:rPr>
          <w:rFonts w:ascii="黑体" w:hAnsi="黑体" w:eastAsia="黑体" w:cs="黑体"/>
          <w:sz w:val="24"/>
          <w:szCs w:val="24"/>
        </w:rPr>
        <w:t>）：</w:t>
      </w:r>
    </w:p>
    <w:p w14:paraId="18438262">
      <w:pPr>
        <w:pStyle w:val="5"/>
        <w:spacing w:line="266" w:lineRule="auto"/>
      </w:pPr>
    </w:p>
    <w:p w14:paraId="7BDB432C">
      <w:pPr>
        <w:spacing w:before="78" w:line="223" w:lineRule="auto"/>
        <w:jc w:val="center"/>
        <w:rPr>
          <w:rFonts w:ascii="黑体" w:hAnsi="黑体" w:eastAsia="黑体" w:cs="黑体"/>
          <w:sz w:val="24"/>
          <w:szCs w:val="24"/>
        </w:rPr>
      </w:pPr>
      <w:r>
        <w:rPr>
          <w:rFonts w:hint="eastAsia" w:ascii="黑体" w:hAnsi="黑体" w:eastAsia="黑体" w:cs="黑体"/>
          <w:spacing w:val="-20"/>
          <w:sz w:val="24"/>
          <w:szCs w:val="24"/>
          <w:lang w:val="en-US" w:eastAsia="zh-CN"/>
        </w:rPr>
        <w:t xml:space="preserve">         </w:t>
      </w:r>
      <w:r>
        <w:rPr>
          <w:rFonts w:ascii="黑体" w:hAnsi="黑体" w:eastAsia="黑体" w:cs="黑体"/>
          <w:spacing w:val="-20"/>
          <w:sz w:val="24"/>
          <w:szCs w:val="24"/>
        </w:rPr>
        <w:t>日期：年月日</w:t>
      </w:r>
    </w:p>
    <w:p w14:paraId="11C42176">
      <w:pPr>
        <w:spacing w:line="223" w:lineRule="auto"/>
        <w:rPr>
          <w:rFonts w:ascii="黑体" w:hAnsi="黑体" w:eastAsia="黑体" w:cs="黑体"/>
          <w:sz w:val="24"/>
          <w:szCs w:val="24"/>
        </w:rPr>
        <w:sectPr>
          <w:footerReference r:id="rId31" w:type="default"/>
          <w:pgSz w:w="11906" w:h="16839"/>
          <w:pgMar w:top="400" w:right="1425" w:bottom="1012" w:left="1424" w:header="0" w:footer="850" w:gutter="0"/>
          <w:cols w:space="720" w:num="1"/>
        </w:sectPr>
      </w:pPr>
    </w:p>
    <w:p w14:paraId="7D22E87A">
      <w:pPr>
        <w:pStyle w:val="5"/>
        <w:spacing w:line="265" w:lineRule="auto"/>
      </w:pPr>
    </w:p>
    <w:p w14:paraId="3FE9C763">
      <w:pPr>
        <w:pStyle w:val="5"/>
        <w:spacing w:line="265" w:lineRule="auto"/>
      </w:pPr>
    </w:p>
    <w:p w14:paraId="0C83AD4F">
      <w:pPr>
        <w:pStyle w:val="5"/>
        <w:spacing w:line="266" w:lineRule="auto"/>
      </w:pPr>
    </w:p>
    <w:p w14:paraId="31A8A977">
      <w:pPr>
        <w:pStyle w:val="5"/>
        <w:spacing w:line="266" w:lineRule="auto"/>
      </w:pPr>
    </w:p>
    <w:p w14:paraId="3D4D3960">
      <w:pPr>
        <w:spacing w:before="101" w:line="228" w:lineRule="auto"/>
        <w:ind w:left="3720"/>
        <w:rPr>
          <w:rFonts w:ascii="黑体" w:hAnsi="黑体" w:eastAsia="黑体" w:cs="黑体"/>
          <w:sz w:val="31"/>
          <w:szCs w:val="31"/>
        </w:rPr>
      </w:pPr>
      <w:r>
        <w:rPr>
          <w:rFonts w:ascii="黑体" w:hAnsi="黑体" w:eastAsia="黑体" w:cs="黑体"/>
          <w:spacing w:val="13"/>
          <w:sz w:val="31"/>
          <w:szCs w:val="31"/>
          <w14:textOutline w14:w="5793" w14:cap="sq" w14:cmpd="sng">
            <w14:solidFill>
              <w14:srgbClr w14:val="000000"/>
            </w14:solidFill>
            <w14:prstDash w14:val="solid"/>
            <w14:bevel/>
          </w14:textOutline>
        </w:rPr>
        <w:t>授权委托书</w:t>
      </w:r>
    </w:p>
    <w:p w14:paraId="7085CE99">
      <w:pPr>
        <w:pStyle w:val="5"/>
        <w:spacing w:line="305" w:lineRule="auto"/>
      </w:pPr>
    </w:p>
    <w:p w14:paraId="18B39C90">
      <w:pPr>
        <w:spacing w:before="78" w:line="438" w:lineRule="auto"/>
        <w:ind w:firstLine="492"/>
        <w:jc w:val="both"/>
        <w:rPr>
          <w:rFonts w:ascii="黑体" w:hAnsi="黑体" w:eastAsia="黑体" w:cs="黑体"/>
          <w:sz w:val="24"/>
          <w:szCs w:val="24"/>
        </w:rPr>
      </w:pPr>
      <w:r>
        <w:rPr>
          <w:rFonts w:ascii="黑体" w:hAnsi="黑体" w:eastAsia="黑体" w:cs="黑体"/>
          <w:spacing w:val="3"/>
          <w:sz w:val="24"/>
          <w:szCs w:val="24"/>
        </w:rPr>
        <w:t>本授权委托书声明：我</w:t>
      </w:r>
      <w:r>
        <w:rPr>
          <w:rFonts w:ascii="黑体" w:hAnsi="黑体" w:eastAsia="黑体" w:cs="黑体"/>
          <w:spacing w:val="3"/>
          <w:sz w:val="24"/>
          <w:szCs w:val="24"/>
          <w:u w:val="single" w:color="auto"/>
        </w:rPr>
        <w:t>（姓名）</w:t>
      </w:r>
      <w:r>
        <w:rPr>
          <w:rFonts w:ascii="黑体" w:hAnsi="黑体" w:eastAsia="黑体" w:cs="黑体"/>
          <w:spacing w:val="3"/>
          <w:sz w:val="24"/>
          <w:szCs w:val="24"/>
        </w:rPr>
        <w:t>系</w:t>
      </w:r>
      <w:r>
        <w:rPr>
          <w:rFonts w:ascii="黑体" w:hAnsi="黑体" w:eastAsia="黑体" w:cs="黑体"/>
          <w:spacing w:val="3"/>
          <w:sz w:val="24"/>
          <w:szCs w:val="24"/>
          <w:u w:val="single" w:color="auto"/>
        </w:rPr>
        <w:t>（供应商名称）</w:t>
      </w:r>
      <w:r>
        <w:rPr>
          <w:rFonts w:ascii="黑体" w:hAnsi="黑体" w:eastAsia="黑体" w:cs="黑体"/>
          <w:spacing w:val="3"/>
          <w:sz w:val="24"/>
          <w:szCs w:val="24"/>
        </w:rPr>
        <w:t>的法定代表人，现授权委</w:t>
      </w:r>
      <w:r>
        <w:rPr>
          <w:rFonts w:ascii="黑体" w:hAnsi="黑体" w:eastAsia="黑体" w:cs="黑体"/>
          <w:spacing w:val="-1"/>
          <w:sz w:val="24"/>
          <w:szCs w:val="24"/>
        </w:rPr>
        <w:t>托</w:t>
      </w:r>
      <w:r>
        <w:rPr>
          <w:rFonts w:ascii="黑体" w:hAnsi="黑体" w:eastAsia="黑体" w:cs="黑体"/>
          <w:spacing w:val="-1"/>
          <w:sz w:val="24"/>
          <w:szCs w:val="24"/>
          <w:u w:val="single" w:color="auto"/>
        </w:rPr>
        <w:t>（供应商名称）</w:t>
      </w:r>
      <w:r>
        <w:rPr>
          <w:rFonts w:ascii="黑体" w:hAnsi="黑体" w:eastAsia="黑体" w:cs="黑体"/>
          <w:spacing w:val="-1"/>
          <w:sz w:val="24"/>
          <w:szCs w:val="24"/>
        </w:rPr>
        <w:t>的</w:t>
      </w:r>
      <w:r>
        <w:rPr>
          <w:rFonts w:ascii="黑体" w:hAnsi="黑体" w:eastAsia="黑体" w:cs="黑体"/>
          <w:spacing w:val="-1"/>
          <w:sz w:val="24"/>
          <w:szCs w:val="24"/>
          <w:u w:val="single" w:color="auto"/>
        </w:rPr>
        <w:t>（姓名、身份证号）</w:t>
      </w:r>
      <w:r>
        <w:rPr>
          <w:rFonts w:ascii="黑体" w:hAnsi="黑体" w:eastAsia="黑体" w:cs="黑体"/>
          <w:spacing w:val="-1"/>
          <w:sz w:val="24"/>
          <w:szCs w:val="24"/>
        </w:rPr>
        <w:t>我公司代理人，以本公司的名义参加</w:t>
      </w:r>
      <w:r>
        <w:rPr>
          <w:rFonts w:ascii="黑体" w:hAnsi="黑体" w:eastAsia="黑体" w:cs="黑体"/>
          <w:spacing w:val="-1"/>
          <w:sz w:val="24"/>
          <w:szCs w:val="24"/>
          <w:u w:val="single" w:color="auto"/>
        </w:rPr>
        <w:t>（项</w:t>
      </w:r>
      <w:r>
        <w:rPr>
          <w:rFonts w:ascii="黑体" w:hAnsi="黑体" w:eastAsia="黑体" w:cs="黑体"/>
          <w:spacing w:val="-2"/>
          <w:sz w:val="24"/>
          <w:szCs w:val="24"/>
          <w:u w:val="single" w:color="auto"/>
        </w:rPr>
        <w:t>目名称）</w:t>
      </w:r>
      <w:r>
        <w:rPr>
          <w:rFonts w:ascii="黑体" w:hAnsi="黑体" w:eastAsia="黑体" w:cs="黑体"/>
          <w:spacing w:val="-2"/>
          <w:sz w:val="24"/>
          <w:szCs w:val="24"/>
        </w:rPr>
        <w:t>的投标活动。</w:t>
      </w:r>
    </w:p>
    <w:p w14:paraId="1994E472">
      <w:pPr>
        <w:spacing w:before="280" w:line="571" w:lineRule="exact"/>
        <w:jc w:val="right"/>
        <w:rPr>
          <w:rFonts w:ascii="黑体" w:hAnsi="黑体" w:eastAsia="黑体" w:cs="黑体"/>
          <w:sz w:val="24"/>
          <w:szCs w:val="24"/>
        </w:rPr>
      </w:pPr>
      <w:r>
        <w:rPr>
          <w:rFonts w:ascii="黑体" w:hAnsi="黑体" w:eastAsia="黑体" w:cs="黑体"/>
          <w:spacing w:val="5"/>
          <w:position w:val="25"/>
          <w:sz w:val="24"/>
          <w:szCs w:val="24"/>
        </w:rPr>
        <w:t>代理人在处理投标的过程中所签署的一切文件和处理与之</w:t>
      </w:r>
      <w:r>
        <w:rPr>
          <w:rFonts w:ascii="黑体" w:hAnsi="黑体" w:eastAsia="黑体" w:cs="黑体"/>
          <w:spacing w:val="4"/>
          <w:position w:val="25"/>
          <w:sz w:val="24"/>
          <w:szCs w:val="24"/>
        </w:rPr>
        <w:t>有关的一切事务，我均</w:t>
      </w:r>
    </w:p>
    <w:p w14:paraId="37C5AE79">
      <w:pPr>
        <w:spacing w:before="1" w:line="220" w:lineRule="auto"/>
        <w:ind w:left="2"/>
        <w:rPr>
          <w:rFonts w:ascii="黑体" w:hAnsi="黑体" w:eastAsia="黑体" w:cs="黑体"/>
          <w:sz w:val="24"/>
          <w:szCs w:val="24"/>
        </w:rPr>
      </w:pPr>
      <w:r>
        <w:rPr>
          <w:rFonts w:ascii="黑体" w:hAnsi="黑体" w:eastAsia="黑体" w:cs="黑体"/>
          <w:sz w:val="24"/>
          <w:szCs w:val="24"/>
        </w:rPr>
        <w:t>予以承认。</w:t>
      </w:r>
    </w:p>
    <w:p w14:paraId="44EEDFD6">
      <w:pPr>
        <w:spacing w:before="282" w:line="439" w:lineRule="auto"/>
        <w:ind w:left="490"/>
        <w:rPr>
          <w:rFonts w:ascii="黑体" w:hAnsi="黑体" w:eastAsia="黑体" w:cs="黑体"/>
          <w:sz w:val="24"/>
          <w:szCs w:val="24"/>
        </w:rPr>
      </w:pPr>
      <w:r>
        <w:rPr>
          <w:rFonts w:ascii="黑体" w:hAnsi="黑体" w:eastAsia="黑体" w:cs="黑体"/>
          <w:spacing w:val="-7"/>
          <w:sz w:val="24"/>
          <w:szCs w:val="24"/>
        </w:rPr>
        <w:t>授权期限:年月日至年月日</w:t>
      </w:r>
    </w:p>
    <w:p w14:paraId="42A13326">
      <w:pPr>
        <w:spacing w:before="1" w:line="221" w:lineRule="auto"/>
        <w:ind w:left="493"/>
        <w:rPr>
          <w:rFonts w:ascii="黑体" w:hAnsi="黑体" w:eastAsia="黑体" w:cs="黑体"/>
          <w:sz w:val="24"/>
          <w:szCs w:val="24"/>
        </w:rPr>
      </w:pPr>
      <w:r>
        <w:rPr>
          <w:rFonts w:ascii="黑体" w:hAnsi="黑体" w:eastAsia="黑体" w:cs="黑体"/>
          <w:spacing w:val="4"/>
          <w:sz w:val="24"/>
          <w:szCs w:val="24"/>
        </w:rPr>
        <w:t>委托代理人无转委权。特此委托。</w:t>
      </w:r>
    </w:p>
    <w:p w14:paraId="0B5B9608">
      <w:pPr>
        <w:spacing w:before="280" w:line="222" w:lineRule="auto"/>
        <w:ind w:left="493"/>
        <w:rPr>
          <w:rFonts w:ascii="黑体" w:hAnsi="黑体" w:eastAsia="黑体" w:cs="黑体"/>
          <w:sz w:val="24"/>
          <w:szCs w:val="24"/>
        </w:rPr>
      </w:pPr>
      <w:r>
        <w:rPr>
          <w:rFonts w:ascii="黑体" w:hAnsi="黑体" w:eastAsia="黑体" w:cs="黑体"/>
          <w:spacing w:val="-1"/>
          <w:sz w:val="24"/>
          <w:szCs w:val="24"/>
        </w:rPr>
        <w:t>委托代理人：性别：</w:t>
      </w:r>
    </w:p>
    <w:p w14:paraId="218BE727">
      <w:pPr>
        <w:spacing w:before="283" w:line="221" w:lineRule="auto"/>
        <w:ind w:left="495"/>
        <w:rPr>
          <w:rFonts w:ascii="黑体" w:hAnsi="黑体" w:eastAsia="黑体" w:cs="黑体"/>
          <w:sz w:val="24"/>
          <w:szCs w:val="24"/>
        </w:rPr>
      </w:pPr>
      <w:r>
        <w:rPr>
          <w:rFonts w:ascii="黑体" w:hAnsi="黑体" w:eastAsia="黑体" w:cs="黑体"/>
          <w:spacing w:val="-3"/>
          <w:sz w:val="24"/>
          <w:szCs w:val="24"/>
        </w:rPr>
        <w:t>身份证号码：电话：</w:t>
      </w:r>
    </w:p>
    <w:p w14:paraId="45230951">
      <w:pPr>
        <w:spacing w:before="282" w:line="212" w:lineRule="auto"/>
        <w:ind w:left="497"/>
        <w:rPr>
          <w:rFonts w:ascii="黑体" w:hAnsi="黑体" w:eastAsia="黑体" w:cs="黑体"/>
          <w:sz w:val="24"/>
          <w:szCs w:val="24"/>
        </w:rPr>
      </w:pPr>
      <w:r>
        <w:rPr>
          <w:rFonts w:ascii="黑体" w:hAnsi="黑体" w:eastAsia="黑体" w:cs="黑体"/>
          <w:spacing w:val="-11"/>
          <w:sz w:val="24"/>
          <w:szCs w:val="24"/>
        </w:rPr>
        <w:t>部门：职务：</w:t>
      </w:r>
    </w:p>
    <w:tbl>
      <w:tblPr>
        <w:tblStyle w:val="13"/>
        <w:tblW w:w="8684" w:type="dxa"/>
        <w:tblInd w:w="18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342"/>
        <w:gridCol w:w="4342"/>
      </w:tblGrid>
      <w:tr w14:paraId="4CFE30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12" w:hRule="atLeast"/>
        </w:trPr>
        <w:tc>
          <w:tcPr>
            <w:tcW w:w="4342" w:type="dxa"/>
            <w:vAlign w:val="top"/>
          </w:tcPr>
          <w:p w14:paraId="4844A210">
            <w:pPr>
              <w:spacing w:line="294" w:lineRule="auto"/>
              <w:rPr>
                <w:rFonts w:ascii="Arial"/>
                <w:sz w:val="21"/>
              </w:rPr>
            </w:pPr>
          </w:p>
          <w:p w14:paraId="27B26C03">
            <w:pPr>
              <w:spacing w:line="294" w:lineRule="auto"/>
              <w:rPr>
                <w:rFonts w:ascii="Arial"/>
                <w:sz w:val="21"/>
              </w:rPr>
            </w:pPr>
          </w:p>
          <w:p w14:paraId="352FBC87">
            <w:pPr>
              <w:spacing w:line="295" w:lineRule="auto"/>
              <w:rPr>
                <w:rFonts w:ascii="Arial"/>
                <w:sz w:val="21"/>
              </w:rPr>
            </w:pPr>
          </w:p>
          <w:p w14:paraId="2C994854">
            <w:pPr>
              <w:pStyle w:val="14"/>
              <w:spacing w:before="78" w:line="221" w:lineRule="auto"/>
              <w:ind w:left="118"/>
            </w:pPr>
            <w:r>
              <w:rPr>
                <w:spacing w:val="4"/>
              </w:rPr>
              <w:t>法定代表人身份证（正面）</w:t>
            </w:r>
          </w:p>
        </w:tc>
        <w:tc>
          <w:tcPr>
            <w:tcW w:w="4342" w:type="dxa"/>
            <w:vAlign w:val="top"/>
          </w:tcPr>
          <w:p w14:paraId="52FB2174">
            <w:pPr>
              <w:spacing w:line="294" w:lineRule="auto"/>
              <w:rPr>
                <w:rFonts w:ascii="Arial"/>
                <w:sz w:val="21"/>
              </w:rPr>
            </w:pPr>
          </w:p>
          <w:p w14:paraId="21A17E4E">
            <w:pPr>
              <w:spacing w:line="294" w:lineRule="auto"/>
              <w:rPr>
                <w:rFonts w:ascii="Arial"/>
                <w:sz w:val="21"/>
              </w:rPr>
            </w:pPr>
          </w:p>
          <w:p w14:paraId="75D11A2F">
            <w:pPr>
              <w:spacing w:line="295" w:lineRule="auto"/>
              <w:rPr>
                <w:rFonts w:ascii="Arial"/>
                <w:sz w:val="21"/>
              </w:rPr>
            </w:pPr>
          </w:p>
          <w:p w14:paraId="35926386">
            <w:pPr>
              <w:pStyle w:val="14"/>
              <w:spacing w:before="78" w:line="221" w:lineRule="auto"/>
              <w:ind w:left="116"/>
            </w:pPr>
            <w:r>
              <w:rPr>
                <w:spacing w:val="4"/>
              </w:rPr>
              <w:t>法定代表人身份证（背面）</w:t>
            </w:r>
          </w:p>
        </w:tc>
      </w:tr>
      <w:tr w14:paraId="3A7CA5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23" w:hRule="atLeast"/>
        </w:trPr>
        <w:tc>
          <w:tcPr>
            <w:tcW w:w="4342" w:type="dxa"/>
            <w:vAlign w:val="top"/>
          </w:tcPr>
          <w:p w14:paraId="30991103">
            <w:pPr>
              <w:spacing w:line="295" w:lineRule="auto"/>
              <w:rPr>
                <w:rFonts w:ascii="Arial"/>
                <w:sz w:val="21"/>
              </w:rPr>
            </w:pPr>
          </w:p>
          <w:p w14:paraId="7DA4AED6">
            <w:pPr>
              <w:spacing w:line="295" w:lineRule="auto"/>
              <w:rPr>
                <w:rFonts w:ascii="Arial"/>
                <w:sz w:val="21"/>
              </w:rPr>
            </w:pPr>
          </w:p>
          <w:p w14:paraId="089AEF0A">
            <w:pPr>
              <w:spacing w:line="296" w:lineRule="auto"/>
              <w:rPr>
                <w:rFonts w:ascii="Arial"/>
                <w:sz w:val="21"/>
              </w:rPr>
            </w:pPr>
          </w:p>
          <w:p w14:paraId="16350AFD">
            <w:pPr>
              <w:pStyle w:val="14"/>
              <w:spacing w:before="78" w:line="221" w:lineRule="auto"/>
              <w:ind w:left="118"/>
            </w:pPr>
            <w:r>
              <w:rPr>
                <w:spacing w:val="4"/>
              </w:rPr>
              <w:t>委托代理人身份证（正面）</w:t>
            </w:r>
          </w:p>
        </w:tc>
        <w:tc>
          <w:tcPr>
            <w:tcW w:w="4342" w:type="dxa"/>
            <w:vAlign w:val="top"/>
          </w:tcPr>
          <w:p w14:paraId="3F4148B8">
            <w:pPr>
              <w:spacing w:line="295" w:lineRule="auto"/>
              <w:rPr>
                <w:rFonts w:ascii="Arial"/>
                <w:sz w:val="21"/>
              </w:rPr>
            </w:pPr>
          </w:p>
          <w:p w14:paraId="7B465BB6">
            <w:pPr>
              <w:spacing w:line="295" w:lineRule="auto"/>
              <w:rPr>
                <w:rFonts w:ascii="Arial"/>
                <w:sz w:val="21"/>
              </w:rPr>
            </w:pPr>
          </w:p>
          <w:p w14:paraId="232B51F8">
            <w:pPr>
              <w:spacing w:line="296" w:lineRule="auto"/>
              <w:rPr>
                <w:rFonts w:ascii="Arial"/>
                <w:sz w:val="21"/>
              </w:rPr>
            </w:pPr>
          </w:p>
          <w:p w14:paraId="3457372D">
            <w:pPr>
              <w:pStyle w:val="14"/>
              <w:spacing w:before="78" w:line="221" w:lineRule="auto"/>
              <w:ind w:left="116"/>
            </w:pPr>
            <w:r>
              <w:rPr>
                <w:spacing w:val="4"/>
              </w:rPr>
              <w:t>委托代理人身份证（背面）</w:t>
            </w:r>
          </w:p>
        </w:tc>
      </w:tr>
    </w:tbl>
    <w:p w14:paraId="7FB3C2EF">
      <w:pPr>
        <w:spacing w:before="293" w:line="222" w:lineRule="auto"/>
        <w:ind w:left="5027"/>
        <w:rPr>
          <w:rFonts w:ascii="黑体" w:hAnsi="黑体" w:eastAsia="黑体" w:cs="黑体"/>
          <w:sz w:val="24"/>
          <w:szCs w:val="24"/>
        </w:rPr>
      </w:pPr>
      <w:r>
        <w:rPr>
          <w:rFonts w:ascii="黑体" w:hAnsi="黑体" w:eastAsia="黑体" w:cs="黑体"/>
          <w:spacing w:val="4"/>
          <w:sz w:val="24"/>
          <w:szCs w:val="24"/>
        </w:rPr>
        <w:t>供应商名称（盖章</w:t>
      </w:r>
      <w:r>
        <w:rPr>
          <w:rFonts w:ascii="黑体" w:hAnsi="黑体" w:eastAsia="黑体" w:cs="黑体"/>
          <w:sz w:val="24"/>
          <w:szCs w:val="24"/>
        </w:rPr>
        <w:t>）：</w:t>
      </w:r>
    </w:p>
    <w:p w14:paraId="0DFFAB52">
      <w:pPr>
        <w:spacing w:before="284" w:line="568" w:lineRule="exact"/>
        <w:ind w:left="5029"/>
        <w:rPr>
          <w:rFonts w:ascii="黑体" w:hAnsi="黑体" w:eastAsia="黑体" w:cs="黑体"/>
          <w:sz w:val="24"/>
          <w:szCs w:val="24"/>
        </w:rPr>
      </w:pPr>
      <w:r>
        <w:rPr>
          <w:rFonts w:ascii="黑体" w:hAnsi="黑体" w:eastAsia="黑体" w:cs="黑体"/>
          <w:spacing w:val="4"/>
          <w:position w:val="25"/>
          <w:sz w:val="24"/>
          <w:szCs w:val="24"/>
        </w:rPr>
        <w:t>法定代表人（签字或盖章</w:t>
      </w:r>
      <w:r>
        <w:rPr>
          <w:rFonts w:ascii="黑体" w:hAnsi="黑体" w:eastAsia="黑体" w:cs="黑体"/>
          <w:spacing w:val="1"/>
          <w:position w:val="25"/>
          <w:sz w:val="24"/>
          <w:szCs w:val="24"/>
        </w:rPr>
        <w:t>）：</w:t>
      </w:r>
    </w:p>
    <w:p w14:paraId="2D51D3BF">
      <w:pPr>
        <w:spacing w:before="1" w:line="221" w:lineRule="auto"/>
        <w:ind w:left="5029"/>
        <w:rPr>
          <w:rFonts w:ascii="黑体" w:hAnsi="黑体" w:eastAsia="黑体" w:cs="黑体"/>
          <w:sz w:val="24"/>
          <w:szCs w:val="24"/>
        </w:rPr>
      </w:pPr>
      <w:r>
        <w:rPr>
          <w:rFonts w:ascii="黑体" w:hAnsi="黑体" w:eastAsia="黑体" w:cs="黑体"/>
          <w:spacing w:val="4"/>
          <w:sz w:val="24"/>
          <w:szCs w:val="24"/>
        </w:rPr>
        <w:t>委托代理人（签字或盖章</w:t>
      </w:r>
      <w:r>
        <w:rPr>
          <w:rFonts w:ascii="黑体" w:hAnsi="黑体" w:eastAsia="黑体" w:cs="黑体"/>
          <w:spacing w:val="1"/>
          <w:sz w:val="24"/>
          <w:szCs w:val="24"/>
        </w:rPr>
        <w:t>）：</w:t>
      </w:r>
    </w:p>
    <w:p w14:paraId="11E0D19B">
      <w:pPr>
        <w:spacing w:before="283" w:line="223" w:lineRule="auto"/>
        <w:jc w:val="right"/>
        <w:rPr>
          <w:rFonts w:ascii="黑体" w:hAnsi="黑体" w:eastAsia="黑体" w:cs="黑体"/>
          <w:sz w:val="24"/>
          <w:szCs w:val="24"/>
        </w:rPr>
      </w:pPr>
      <w:r>
        <w:rPr>
          <w:rFonts w:ascii="黑体" w:hAnsi="黑体" w:eastAsia="黑体" w:cs="黑体"/>
          <w:spacing w:val="-20"/>
          <w:sz w:val="24"/>
          <w:szCs w:val="24"/>
        </w:rPr>
        <w:t>日期：年月日</w:t>
      </w:r>
    </w:p>
    <w:p w14:paraId="491B7FD7">
      <w:pPr>
        <w:spacing w:line="223" w:lineRule="auto"/>
        <w:rPr>
          <w:rFonts w:ascii="黑体" w:hAnsi="黑体" w:eastAsia="黑体" w:cs="黑体"/>
          <w:sz w:val="24"/>
          <w:szCs w:val="24"/>
        </w:rPr>
        <w:sectPr>
          <w:footerReference r:id="rId32" w:type="default"/>
          <w:pgSz w:w="11906" w:h="16839"/>
          <w:pgMar w:top="400" w:right="1422" w:bottom="1012" w:left="1425" w:header="0" w:footer="850" w:gutter="0"/>
          <w:cols w:space="720" w:num="1"/>
        </w:sectPr>
      </w:pPr>
    </w:p>
    <w:p w14:paraId="7A18C998">
      <w:pPr>
        <w:pStyle w:val="5"/>
        <w:spacing w:line="272" w:lineRule="auto"/>
      </w:pPr>
    </w:p>
    <w:p w14:paraId="5769748D">
      <w:pPr>
        <w:pStyle w:val="5"/>
        <w:spacing w:line="272" w:lineRule="auto"/>
      </w:pPr>
    </w:p>
    <w:p w14:paraId="67121459">
      <w:pPr>
        <w:pStyle w:val="5"/>
        <w:spacing w:line="273" w:lineRule="auto"/>
      </w:pPr>
    </w:p>
    <w:p w14:paraId="040F341A">
      <w:pPr>
        <w:pStyle w:val="5"/>
        <w:spacing w:line="273" w:lineRule="auto"/>
      </w:pPr>
    </w:p>
    <w:p w14:paraId="1947294A">
      <w:pPr>
        <w:spacing w:before="91" w:line="225" w:lineRule="auto"/>
        <w:rPr>
          <w:rFonts w:ascii="黑体" w:hAnsi="黑体" w:eastAsia="黑体" w:cs="黑体"/>
          <w:sz w:val="20"/>
          <w:szCs w:val="20"/>
        </w:rPr>
      </w:pPr>
      <w:r>
        <w:rPr>
          <w:rFonts w:ascii="黑体" w:hAnsi="黑体" w:eastAsia="黑体" w:cs="黑体"/>
          <w:spacing w:val="-5"/>
          <w:sz w:val="28"/>
          <w:szCs w:val="28"/>
          <w14:textOutline w14:w="5103" w14:cap="sq" w14:cmpd="sng">
            <w14:solidFill>
              <w14:srgbClr w14:val="000000"/>
            </w14:solidFill>
            <w14:prstDash w14:val="solid"/>
            <w14:bevel/>
          </w14:textOutline>
        </w:rPr>
        <w:t>附件3</w:t>
      </w:r>
      <w:r>
        <w:rPr>
          <w:rFonts w:ascii="黑体" w:hAnsi="黑体" w:eastAsia="黑体" w:cs="黑体"/>
          <w:spacing w:val="-5"/>
          <w:sz w:val="20"/>
          <w:szCs w:val="20"/>
          <w14:textOutline w14:w="3795" w14:cap="sq" w14:cmpd="sng">
            <w14:solidFill>
              <w14:srgbClr w14:val="000000"/>
            </w14:solidFill>
            <w14:prstDash w14:val="solid"/>
            <w14:bevel/>
          </w14:textOutline>
        </w:rPr>
        <w:t>:</w:t>
      </w:r>
    </w:p>
    <w:p w14:paraId="1540D244">
      <w:pPr>
        <w:spacing w:before="263" w:line="228" w:lineRule="auto"/>
        <w:ind w:left="3703"/>
        <w:outlineLvl w:val="1"/>
        <w:rPr>
          <w:rFonts w:ascii="黑体" w:hAnsi="黑体" w:eastAsia="黑体" w:cs="黑体"/>
          <w:sz w:val="31"/>
          <w:szCs w:val="31"/>
        </w:rPr>
      </w:pPr>
      <w:r>
        <w:rPr>
          <w:rFonts w:ascii="黑体" w:hAnsi="黑体" w:eastAsia="黑体" w:cs="黑体"/>
          <w:spacing w:val="13"/>
          <w:sz w:val="31"/>
          <w:szCs w:val="31"/>
          <w14:textOutline w14:w="5793" w14:cap="sq" w14:cmpd="sng">
            <w14:solidFill>
              <w14:srgbClr w14:val="000000"/>
            </w14:solidFill>
            <w14:prstDash w14:val="solid"/>
            <w14:bevel/>
          </w14:textOutline>
        </w:rPr>
        <w:t>投标一览表</w:t>
      </w:r>
    </w:p>
    <w:p w14:paraId="109C36B9">
      <w:pPr>
        <w:spacing w:line="88" w:lineRule="exact"/>
      </w:pPr>
    </w:p>
    <w:tbl>
      <w:tblPr>
        <w:tblStyle w:val="13"/>
        <w:tblW w:w="8495" w:type="dxa"/>
        <w:tblInd w:w="26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01"/>
        <w:gridCol w:w="2255"/>
        <w:gridCol w:w="1334"/>
        <w:gridCol w:w="2905"/>
      </w:tblGrid>
      <w:tr w14:paraId="25C9FE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3" w:hRule="atLeast"/>
        </w:trPr>
        <w:tc>
          <w:tcPr>
            <w:tcW w:w="2001" w:type="dxa"/>
            <w:vAlign w:val="top"/>
          </w:tcPr>
          <w:p w14:paraId="11B050C7">
            <w:pPr>
              <w:spacing w:line="249" w:lineRule="auto"/>
              <w:rPr>
                <w:rFonts w:ascii="Arial"/>
                <w:sz w:val="21"/>
              </w:rPr>
            </w:pPr>
          </w:p>
          <w:p w14:paraId="6D8B7C78">
            <w:pPr>
              <w:spacing w:line="250" w:lineRule="auto"/>
              <w:rPr>
                <w:rFonts w:ascii="Arial"/>
                <w:sz w:val="21"/>
              </w:rPr>
            </w:pPr>
          </w:p>
          <w:p w14:paraId="2C524AB4">
            <w:pPr>
              <w:pStyle w:val="14"/>
              <w:spacing w:before="78" w:line="222" w:lineRule="auto"/>
              <w:ind w:left="391"/>
            </w:pPr>
            <w:r>
              <w:rPr>
                <w:spacing w:val="3"/>
              </w:rPr>
              <w:t>供应商名称</w:t>
            </w:r>
          </w:p>
        </w:tc>
        <w:tc>
          <w:tcPr>
            <w:tcW w:w="6494" w:type="dxa"/>
            <w:gridSpan w:val="3"/>
            <w:vAlign w:val="top"/>
          </w:tcPr>
          <w:p w14:paraId="1BBCA3ED">
            <w:pPr>
              <w:rPr>
                <w:rFonts w:ascii="Arial"/>
                <w:sz w:val="21"/>
              </w:rPr>
            </w:pPr>
          </w:p>
        </w:tc>
      </w:tr>
      <w:tr w14:paraId="1F66C5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38" w:hRule="atLeast"/>
        </w:trPr>
        <w:tc>
          <w:tcPr>
            <w:tcW w:w="2001" w:type="dxa"/>
            <w:vAlign w:val="top"/>
          </w:tcPr>
          <w:p w14:paraId="4B5B5F6A">
            <w:pPr>
              <w:spacing w:line="248" w:lineRule="auto"/>
              <w:rPr>
                <w:rFonts w:ascii="Arial"/>
                <w:sz w:val="21"/>
              </w:rPr>
            </w:pPr>
          </w:p>
          <w:p w14:paraId="079AF9A3">
            <w:pPr>
              <w:spacing w:line="248" w:lineRule="auto"/>
              <w:rPr>
                <w:rFonts w:ascii="Arial"/>
                <w:sz w:val="21"/>
              </w:rPr>
            </w:pPr>
          </w:p>
          <w:p w14:paraId="577192E8">
            <w:pPr>
              <w:pStyle w:val="14"/>
              <w:spacing w:before="78" w:line="222" w:lineRule="auto"/>
              <w:ind w:left="514"/>
            </w:pPr>
            <w:r>
              <w:rPr>
                <w:spacing w:val="1"/>
              </w:rPr>
              <w:t>项目名称</w:t>
            </w:r>
          </w:p>
        </w:tc>
        <w:tc>
          <w:tcPr>
            <w:tcW w:w="6494" w:type="dxa"/>
            <w:gridSpan w:val="3"/>
            <w:vAlign w:val="top"/>
          </w:tcPr>
          <w:p w14:paraId="31B6E3F2">
            <w:pPr>
              <w:rPr>
                <w:rFonts w:ascii="Arial"/>
                <w:sz w:val="21"/>
              </w:rPr>
            </w:pPr>
          </w:p>
        </w:tc>
      </w:tr>
      <w:tr w14:paraId="659429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4" w:hRule="atLeast"/>
        </w:trPr>
        <w:tc>
          <w:tcPr>
            <w:tcW w:w="2001" w:type="dxa"/>
            <w:vAlign w:val="top"/>
          </w:tcPr>
          <w:p w14:paraId="20B9E309">
            <w:pPr>
              <w:pStyle w:val="14"/>
              <w:spacing w:before="296" w:line="571" w:lineRule="exact"/>
              <w:ind w:left="513"/>
            </w:pPr>
            <w:r>
              <w:rPr>
                <w:spacing w:val="2"/>
                <w:position w:val="25"/>
              </w:rPr>
              <w:t>投标报价</w:t>
            </w:r>
          </w:p>
          <w:p w14:paraId="7033D644">
            <w:pPr>
              <w:pStyle w:val="14"/>
              <w:spacing w:line="205" w:lineRule="auto"/>
              <w:ind w:left="660"/>
            </w:pPr>
            <w:r>
              <w:rPr>
                <w:spacing w:val="-9"/>
              </w:rPr>
              <w:t>（元）</w:t>
            </w:r>
          </w:p>
        </w:tc>
        <w:tc>
          <w:tcPr>
            <w:tcW w:w="6494" w:type="dxa"/>
            <w:gridSpan w:val="3"/>
            <w:vAlign w:val="top"/>
          </w:tcPr>
          <w:p w14:paraId="41A04CF5">
            <w:pPr>
              <w:pStyle w:val="14"/>
              <w:spacing w:before="296" w:line="571" w:lineRule="exact"/>
              <w:ind w:left="124"/>
            </w:pPr>
            <w:r>
              <w:rPr>
                <w:spacing w:val="-5"/>
                <w:position w:val="25"/>
              </w:rPr>
              <w:t>小写：</w:t>
            </w:r>
          </w:p>
          <w:p w14:paraId="662B221C">
            <w:pPr>
              <w:pStyle w:val="14"/>
              <w:spacing w:line="205" w:lineRule="auto"/>
              <w:ind w:left="113"/>
            </w:pPr>
            <w:r>
              <w:rPr>
                <w:spacing w:val="-2"/>
              </w:rPr>
              <w:t>大写：</w:t>
            </w:r>
          </w:p>
        </w:tc>
      </w:tr>
      <w:tr w14:paraId="3932E1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38" w:hRule="atLeast"/>
        </w:trPr>
        <w:tc>
          <w:tcPr>
            <w:tcW w:w="2001" w:type="dxa"/>
            <w:vAlign w:val="top"/>
          </w:tcPr>
          <w:p w14:paraId="6B9BED45">
            <w:pPr>
              <w:spacing w:line="249" w:lineRule="auto"/>
              <w:rPr>
                <w:rFonts w:ascii="Arial"/>
                <w:sz w:val="21"/>
              </w:rPr>
            </w:pPr>
          </w:p>
          <w:p w14:paraId="7A536313">
            <w:pPr>
              <w:spacing w:line="249" w:lineRule="auto"/>
              <w:rPr>
                <w:rFonts w:ascii="Arial"/>
                <w:sz w:val="21"/>
              </w:rPr>
            </w:pPr>
          </w:p>
          <w:p w14:paraId="646D336F">
            <w:pPr>
              <w:pStyle w:val="14"/>
              <w:spacing w:before="78" w:line="224" w:lineRule="auto"/>
              <w:ind w:left="640"/>
            </w:pPr>
            <w:r>
              <w:rPr>
                <w:spacing w:val="-6"/>
              </w:rPr>
              <w:t>工期</w:t>
            </w:r>
          </w:p>
        </w:tc>
        <w:tc>
          <w:tcPr>
            <w:tcW w:w="6494" w:type="dxa"/>
            <w:gridSpan w:val="3"/>
            <w:vAlign w:val="top"/>
          </w:tcPr>
          <w:p w14:paraId="4F2E5523">
            <w:pPr>
              <w:rPr>
                <w:rFonts w:ascii="Arial"/>
                <w:sz w:val="21"/>
              </w:rPr>
            </w:pPr>
          </w:p>
        </w:tc>
      </w:tr>
      <w:tr w14:paraId="4F7123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3" w:hRule="atLeast"/>
        </w:trPr>
        <w:tc>
          <w:tcPr>
            <w:tcW w:w="2001" w:type="dxa"/>
            <w:vAlign w:val="top"/>
          </w:tcPr>
          <w:p w14:paraId="37F8E0D4">
            <w:pPr>
              <w:pStyle w:val="14"/>
              <w:spacing w:before="302" w:line="222" w:lineRule="auto"/>
              <w:ind w:left="514"/>
            </w:pPr>
            <w:r>
              <w:rPr>
                <w:spacing w:val="1"/>
              </w:rPr>
              <w:t>项目经理</w:t>
            </w:r>
          </w:p>
        </w:tc>
        <w:tc>
          <w:tcPr>
            <w:tcW w:w="2255" w:type="dxa"/>
            <w:vAlign w:val="top"/>
          </w:tcPr>
          <w:p w14:paraId="7B35FCDE">
            <w:pPr>
              <w:rPr>
                <w:rFonts w:ascii="Arial"/>
                <w:sz w:val="21"/>
              </w:rPr>
            </w:pPr>
          </w:p>
        </w:tc>
        <w:tc>
          <w:tcPr>
            <w:tcW w:w="1334" w:type="dxa"/>
            <w:vAlign w:val="top"/>
          </w:tcPr>
          <w:p w14:paraId="2AE9BECD">
            <w:pPr>
              <w:pStyle w:val="14"/>
              <w:spacing w:before="302" w:line="222" w:lineRule="auto"/>
              <w:ind w:left="185"/>
            </w:pPr>
            <w:r>
              <w:rPr>
                <w:spacing w:val="1"/>
              </w:rPr>
              <w:t>注册证号</w:t>
            </w:r>
          </w:p>
        </w:tc>
        <w:tc>
          <w:tcPr>
            <w:tcW w:w="2905" w:type="dxa"/>
            <w:vAlign w:val="top"/>
          </w:tcPr>
          <w:p w14:paraId="2CCDEDFB">
            <w:pPr>
              <w:rPr>
                <w:rFonts w:ascii="Arial"/>
                <w:sz w:val="21"/>
              </w:rPr>
            </w:pPr>
          </w:p>
        </w:tc>
      </w:tr>
      <w:tr w14:paraId="324D26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3" w:hRule="atLeast"/>
        </w:trPr>
        <w:tc>
          <w:tcPr>
            <w:tcW w:w="2001" w:type="dxa"/>
            <w:vAlign w:val="top"/>
          </w:tcPr>
          <w:p w14:paraId="42AACDD1">
            <w:pPr>
              <w:spacing w:line="249" w:lineRule="auto"/>
              <w:rPr>
                <w:rFonts w:ascii="Arial"/>
                <w:sz w:val="21"/>
              </w:rPr>
            </w:pPr>
          </w:p>
          <w:p w14:paraId="64FE99C8">
            <w:pPr>
              <w:spacing w:line="250" w:lineRule="auto"/>
              <w:rPr>
                <w:rFonts w:ascii="Arial"/>
                <w:sz w:val="21"/>
              </w:rPr>
            </w:pPr>
          </w:p>
          <w:p w14:paraId="16D52554">
            <w:pPr>
              <w:pStyle w:val="14"/>
              <w:spacing w:before="78" w:line="222" w:lineRule="auto"/>
              <w:ind w:left="514"/>
            </w:pPr>
            <w:r>
              <w:rPr>
                <w:spacing w:val="-5"/>
              </w:rPr>
              <w:t>备注</w:t>
            </w:r>
          </w:p>
        </w:tc>
        <w:tc>
          <w:tcPr>
            <w:tcW w:w="6494" w:type="dxa"/>
            <w:gridSpan w:val="3"/>
            <w:vAlign w:val="top"/>
          </w:tcPr>
          <w:p w14:paraId="1CA8488D">
            <w:pPr>
              <w:rPr>
                <w:rFonts w:ascii="Arial"/>
                <w:sz w:val="21"/>
              </w:rPr>
            </w:pPr>
          </w:p>
        </w:tc>
      </w:tr>
    </w:tbl>
    <w:p w14:paraId="55E5CC77">
      <w:pPr>
        <w:pStyle w:val="5"/>
        <w:spacing w:line="260" w:lineRule="auto"/>
      </w:pPr>
    </w:p>
    <w:p w14:paraId="5C5FDCAD">
      <w:pPr>
        <w:pStyle w:val="5"/>
        <w:spacing w:line="260" w:lineRule="auto"/>
      </w:pPr>
    </w:p>
    <w:p w14:paraId="17D67A05">
      <w:pPr>
        <w:pStyle w:val="5"/>
        <w:spacing w:line="261" w:lineRule="auto"/>
      </w:pPr>
    </w:p>
    <w:p w14:paraId="6FCEF200">
      <w:pPr>
        <w:spacing w:before="79" w:line="222" w:lineRule="auto"/>
        <w:ind w:left="3533"/>
        <w:rPr>
          <w:rFonts w:ascii="黑体" w:hAnsi="黑体" w:eastAsia="黑体" w:cs="黑体"/>
          <w:sz w:val="24"/>
          <w:szCs w:val="24"/>
        </w:rPr>
      </w:pPr>
      <w:r>
        <w:rPr>
          <w:rFonts w:ascii="黑体" w:hAnsi="黑体" w:eastAsia="黑体" w:cs="黑体"/>
          <w:spacing w:val="4"/>
          <w:sz w:val="24"/>
          <w:szCs w:val="24"/>
        </w:rPr>
        <w:t>供应商名称（盖章</w:t>
      </w:r>
      <w:r>
        <w:rPr>
          <w:rFonts w:ascii="黑体" w:hAnsi="黑体" w:eastAsia="黑体" w:cs="黑体"/>
          <w:sz w:val="24"/>
          <w:szCs w:val="24"/>
        </w:rPr>
        <w:t>）：</w:t>
      </w:r>
    </w:p>
    <w:p w14:paraId="3D3E8BB4">
      <w:pPr>
        <w:spacing w:before="280" w:line="222" w:lineRule="auto"/>
        <w:ind w:left="3536"/>
        <w:rPr>
          <w:rFonts w:ascii="黑体" w:hAnsi="黑体" w:eastAsia="黑体" w:cs="黑体"/>
          <w:sz w:val="24"/>
          <w:szCs w:val="24"/>
        </w:rPr>
      </w:pPr>
      <w:r>
        <w:rPr>
          <w:rFonts w:ascii="黑体" w:hAnsi="黑体" w:eastAsia="黑体" w:cs="黑体"/>
          <w:spacing w:val="4"/>
          <w:sz w:val="24"/>
          <w:szCs w:val="24"/>
        </w:rPr>
        <w:t>法定代表人或委托代理人（签字或盖章</w:t>
      </w:r>
      <w:r>
        <w:rPr>
          <w:rFonts w:ascii="黑体" w:hAnsi="黑体" w:eastAsia="黑体" w:cs="黑体"/>
          <w:spacing w:val="7"/>
          <w:sz w:val="24"/>
          <w:szCs w:val="24"/>
        </w:rPr>
        <w:t>）：</w:t>
      </w:r>
    </w:p>
    <w:p w14:paraId="3169DCE8">
      <w:pPr>
        <w:spacing w:before="283" w:line="223" w:lineRule="auto"/>
        <w:jc w:val="right"/>
        <w:outlineLvl w:val="1"/>
        <w:rPr>
          <w:rFonts w:ascii="黑体" w:hAnsi="黑体" w:eastAsia="黑体" w:cs="黑体"/>
          <w:sz w:val="24"/>
          <w:szCs w:val="24"/>
        </w:rPr>
      </w:pPr>
      <w:r>
        <w:rPr>
          <w:rFonts w:ascii="黑体" w:hAnsi="黑体" w:eastAsia="黑体" w:cs="黑体"/>
          <w:spacing w:val="-20"/>
          <w:sz w:val="24"/>
          <w:szCs w:val="24"/>
        </w:rPr>
        <w:t>日期：年月日</w:t>
      </w:r>
    </w:p>
    <w:p w14:paraId="44E52C2D">
      <w:pPr>
        <w:spacing w:line="223" w:lineRule="auto"/>
        <w:rPr>
          <w:rFonts w:ascii="黑体" w:hAnsi="黑体" w:eastAsia="黑体" w:cs="黑体"/>
          <w:sz w:val="24"/>
          <w:szCs w:val="24"/>
        </w:rPr>
        <w:sectPr>
          <w:footerReference r:id="rId33" w:type="default"/>
          <w:pgSz w:w="11906" w:h="16839"/>
          <w:pgMar w:top="400" w:right="1422" w:bottom="1012" w:left="1442" w:header="0" w:footer="850" w:gutter="0"/>
          <w:cols w:space="720" w:num="1"/>
        </w:sectPr>
      </w:pPr>
    </w:p>
    <w:p w14:paraId="2E3737F4">
      <w:pPr>
        <w:pStyle w:val="5"/>
        <w:spacing w:line="265" w:lineRule="auto"/>
      </w:pPr>
    </w:p>
    <w:p w14:paraId="77FC7FED">
      <w:pPr>
        <w:pStyle w:val="5"/>
        <w:spacing w:line="265" w:lineRule="auto"/>
      </w:pPr>
    </w:p>
    <w:p w14:paraId="290923CA">
      <w:pPr>
        <w:pStyle w:val="5"/>
        <w:spacing w:line="266" w:lineRule="auto"/>
      </w:pPr>
    </w:p>
    <w:p w14:paraId="328447CE">
      <w:pPr>
        <w:pStyle w:val="5"/>
        <w:spacing w:line="266" w:lineRule="auto"/>
      </w:pPr>
    </w:p>
    <w:p w14:paraId="46B15BD8">
      <w:pPr>
        <w:spacing w:before="101" w:line="230" w:lineRule="auto"/>
        <w:rPr>
          <w:rFonts w:ascii="黑体" w:hAnsi="黑体" w:eastAsia="黑体" w:cs="黑体"/>
          <w:sz w:val="31"/>
          <w:szCs w:val="31"/>
        </w:rPr>
      </w:pPr>
      <w:r>
        <w:rPr>
          <w:rFonts w:ascii="黑体" w:hAnsi="黑体" w:eastAsia="黑体" w:cs="黑体"/>
          <w:sz w:val="31"/>
          <w:szCs w:val="31"/>
          <w14:textOutline w14:w="5793" w14:cap="sq" w14:cmpd="sng">
            <w14:solidFill>
              <w14:srgbClr w14:val="000000"/>
            </w14:solidFill>
            <w14:prstDash w14:val="solid"/>
            <w14:bevel/>
          </w14:textOutline>
        </w:rPr>
        <w:t>附件3.1</w:t>
      </w:r>
    </w:p>
    <w:p w14:paraId="47D09BA4">
      <w:pPr>
        <w:spacing w:before="238" w:line="226" w:lineRule="auto"/>
        <w:ind w:left="3051"/>
        <w:outlineLvl w:val="1"/>
        <w:rPr>
          <w:rFonts w:ascii="黑体" w:hAnsi="黑体" w:eastAsia="黑体" w:cs="黑体"/>
          <w:sz w:val="31"/>
          <w:szCs w:val="31"/>
        </w:rPr>
      </w:pPr>
      <w:r>
        <w:rPr>
          <w:rFonts w:ascii="黑体" w:hAnsi="黑体" w:eastAsia="黑体" w:cs="黑体"/>
          <w:spacing w:val="14"/>
          <w:sz w:val="31"/>
          <w:szCs w:val="31"/>
          <w14:textOutline w14:w="5793" w14:cap="sq" w14:cmpd="sng">
            <w14:solidFill>
              <w14:srgbClr w14:val="000000"/>
            </w14:solidFill>
            <w14:prstDash w14:val="solid"/>
            <w14:bevel/>
          </w14:textOutline>
        </w:rPr>
        <w:t>清单分项报价明细表</w:t>
      </w:r>
    </w:p>
    <w:p w14:paraId="5AA0C1D2">
      <w:pPr>
        <w:pStyle w:val="5"/>
        <w:spacing w:line="305" w:lineRule="auto"/>
      </w:pPr>
    </w:p>
    <w:p w14:paraId="5D9F3512">
      <w:pPr>
        <w:spacing w:before="78" w:line="222" w:lineRule="auto"/>
        <w:ind w:left="2815"/>
        <w:rPr>
          <w:rFonts w:ascii="黑体" w:hAnsi="黑体" w:eastAsia="黑体" w:cs="黑体"/>
          <w:sz w:val="24"/>
          <w:szCs w:val="24"/>
        </w:rPr>
      </w:pPr>
      <w:r>
        <w:rPr>
          <w:rFonts w:ascii="黑体" w:hAnsi="黑体" w:eastAsia="黑体" w:cs="黑体"/>
          <w:spacing w:val="2"/>
          <w:sz w:val="24"/>
          <w:szCs w:val="24"/>
        </w:rPr>
        <w:t>（响应第三章工程量清单内容）</w:t>
      </w:r>
    </w:p>
    <w:p w14:paraId="35E708FE">
      <w:pPr>
        <w:spacing w:line="222" w:lineRule="auto"/>
        <w:rPr>
          <w:rFonts w:ascii="黑体" w:hAnsi="黑体" w:eastAsia="黑体" w:cs="黑体"/>
          <w:sz w:val="24"/>
          <w:szCs w:val="24"/>
        </w:rPr>
        <w:sectPr>
          <w:footerReference r:id="rId34" w:type="default"/>
          <w:pgSz w:w="11906" w:h="16839"/>
          <w:pgMar w:top="400" w:right="1785" w:bottom="1012" w:left="1445" w:header="0" w:footer="850" w:gutter="0"/>
          <w:cols w:space="720" w:num="1"/>
        </w:sectPr>
      </w:pPr>
    </w:p>
    <w:p w14:paraId="7AA9EABF">
      <w:pPr>
        <w:pStyle w:val="5"/>
        <w:spacing w:line="265" w:lineRule="auto"/>
      </w:pPr>
    </w:p>
    <w:p w14:paraId="341DE9A9">
      <w:pPr>
        <w:pStyle w:val="5"/>
        <w:spacing w:line="265" w:lineRule="auto"/>
      </w:pPr>
    </w:p>
    <w:p w14:paraId="784BDD36">
      <w:pPr>
        <w:pStyle w:val="5"/>
        <w:spacing w:line="266" w:lineRule="auto"/>
      </w:pPr>
    </w:p>
    <w:p w14:paraId="332942BC">
      <w:pPr>
        <w:pStyle w:val="5"/>
        <w:spacing w:line="266" w:lineRule="auto"/>
      </w:pPr>
    </w:p>
    <w:p w14:paraId="383E5632">
      <w:pPr>
        <w:spacing w:before="101" w:line="230" w:lineRule="auto"/>
        <w:ind w:left="47"/>
        <w:rPr>
          <w:rFonts w:ascii="黑体" w:hAnsi="黑体" w:eastAsia="黑体" w:cs="黑体"/>
          <w:sz w:val="31"/>
          <w:szCs w:val="31"/>
        </w:rPr>
      </w:pPr>
      <w:r>
        <w:rPr>
          <w:rFonts w:ascii="黑体" w:hAnsi="黑体" w:eastAsia="黑体" w:cs="黑体"/>
          <w:spacing w:val="1"/>
          <w:sz w:val="31"/>
          <w:szCs w:val="31"/>
          <w14:textOutline w14:w="5793" w14:cap="sq" w14:cmpd="sng">
            <w14:solidFill>
              <w14:srgbClr w14:val="000000"/>
            </w14:solidFill>
            <w14:prstDash w14:val="solid"/>
            <w14:bevel/>
          </w14:textOutline>
        </w:rPr>
        <w:t>附件4:</w:t>
      </w:r>
    </w:p>
    <w:p w14:paraId="2F04656C">
      <w:pPr>
        <w:spacing w:before="238" w:line="226" w:lineRule="auto"/>
        <w:ind w:left="3585"/>
        <w:outlineLvl w:val="2"/>
        <w:rPr>
          <w:rFonts w:ascii="黑体" w:hAnsi="黑体" w:eastAsia="黑体" w:cs="黑体"/>
          <w:sz w:val="31"/>
          <w:szCs w:val="31"/>
        </w:rPr>
      </w:pPr>
      <w:r>
        <w:rPr>
          <w:rFonts w:ascii="黑体" w:hAnsi="黑体" w:eastAsia="黑体" w:cs="黑体"/>
          <w:spacing w:val="14"/>
          <w:sz w:val="31"/>
          <w:szCs w:val="31"/>
          <w14:textOutline w14:w="5793" w14:cap="sq" w14:cmpd="sng">
            <w14:solidFill>
              <w14:srgbClr w14:val="000000"/>
            </w14:solidFill>
            <w14:prstDash w14:val="solid"/>
            <w14:bevel/>
          </w14:textOutline>
        </w:rPr>
        <w:t>供应商概况表</w:t>
      </w:r>
    </w:p>
    <w:p w14:paraId="1CA2E1BC">
      <w:pPr>
        <w:spacing w:line="90" w:lineRule="exact"/>
      </w:pPr>
    </w:p>
    <w:tbl>
      <w:tblPr>
        <w:tblStyle w:val="13"/>
        <w:tblW w:w="910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48"/>
        <w:gridCol w:w="3100"/>
        <w:gridCol w:w="1510"/>
        <w:gridCol w:w="2345"/>
      </w:tblGrid>
      <w:tr w14:paraId="403556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2148" w:type="dxa"/>
            <w:vAlign w:val="top"/>
          </w:tcPr>
          <w:p w14:paraId="1BDCAF4E">
            <w:pPr>
              <w:pStyle w:val="14"/>
              <w:spacing w:before="318" w:line="222" w:lineRule="auto"/>
              <w:ind w:left="586"/>
            </w:pPr>
            <w:r>
              <w:rPr>
                <w:spacing w:val="2"/>
              </w:rPr>
              <w:t>企业名称</w:t>
            </w:r>
          </w:p>
        </w:tc>
        <w:tc>
          <w:tcPr>
            <w:tcW w:w="6955" w:type="dxa"/>
            <w:gridSpan w:val="3"/>
            <w:vAlign w:val="top"/>
          </w:tcPr>
          <w:p w14:paraId="30A50012">
            <w:pPr>
              <w:rPr>
                <w:rFonts w:ascii="Arial"/>
                <w:sz w:val="21"/>
              </w:rPr>
            </w:pPr>
          </w:p>
        </w:tc>
      </w:tr>
      <w:tr w14:paraId="64E203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5" w:hRule="atLeast"/>
        </w:trPr>
        <w:tc>
          <w:tcPr>
            <w:tcW w:w="2148" w:type="dxa"/>
            <w:vAlign w:val="top"/>
          </w:tcPr>
          <w:p w14:paraId="6E82CAB8">
            <w:pPr>
              <w:pStyle w:val="14"/>
              <w:spacing w:before="270" w:line="223" w:lineRule="auto"/>
              <w:ind w:left="341"/>
            </w:pPr>
            <w:r>
              <w:rPr>
                <w:spacing w:val="3"/>
              </w:rPr>
              <w:t>企业法人营业</w:t>
            </w:r>
          </w:p>
          <w:p w14:paraId="56591D35">
            <w:pPr>
              <w:pStyle w:val="14"/>
              <w:spacing w:before="111" w:line="219" w:lineRule="auto"/>
              <w:ind w:left="465"/>
            </w:pPr>
            <w:r>
              <w:rPr>
                <w:spacing w:val="3"/>
              </w:rPr>
              <w:t>执照注册号</w:t>
            </w:r>
          </w:p>
        </w:tc>
        <w:tc>
          <w:tcPr>
            <w:tcW w:w="6955" w:type="dxa"/>
            <w:gridSpan w:val="3"/>
            <w:vAlign w:val="top"/>
          </w:tcPr>
          <w:p w14:paraId="3226E496">
            <w:pPr>
              <w:rPr>
                <w:rFonts w:ascii="Arial"/>
                <w:sz w:val="21"/>
              </w:rPr>
            </w:pPr>
          </w:p>
        </w:tc>
      </w:tr>
      <w:tr w14:paraId="5C8178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2148" w:type="dxa"/>
            <w:vAlign w:val="top"/>
          </w:tcPr>
          <w:p w14:paraId="6E42F01D">
            <w:pPr>
              <w:pStyle w:val="14"/>
              <w:spacing w:before="317" w:line="230" w:lineRule="auto"/>
              <w:ind w:left="589"/>
            </w:pPr>
            <w:r>
              <w:rPr>
                <w:spacing w:val="-6"/>
              </w:rPr>
              <w:t>地址</w:t>
            </w:r>
          </w:p>
        </w:tc>
        <w:tc>
          <w:tcPr>
            <w:tcW w:w="6955" w:type="dxa"/>
            <w:gridSpan w:val="3"/>
            <w:vAlign w:val="top"/>
          </w:tcPr>
          <w:p w14:paraId="45BA1514">
            <w:pPr>
              <w:rPr>
                <w:rFonts w:ascii="Arial"/>
                <w:sz w:val="21"/>
              </w:rPr>
            </w:pPr>
          </w:p>
        </w:tc>
      </w:tr>
      <w:tr w14:paraId="215DA7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2148" w:type="dxa"/>
            <w:vAlign w:val="top"/>
          </w:tcPr>
          <w:p w14:paraId="0A9D90C6">
            <w:pPr>
              <w:pStyle w:val="14"/>
              <w:spacing w:before="315" w:line="222" w:lineRule="auto"/>
              <w:ind w:left="591"/>
            </w:pPr>
            <w:r>
              <w:rPr>
                <w:spacing w:val="1"/>
              </w:rPr>
              <w:t>注册资本</w:t>
            </w:r>
          </w:p>
        </w:tc>
        <w:tc>
          <w:tcPr>
            <w:tcW w:w="3100" w:type="dxa"/>
            <w:vAlign w:val="top"/>
          </w:tcPr>
          <w:p w14:paraId="28C04508">
            <w:pPr>
              <w:rPr>
                <w:rFonts w:ascii="Arial"/>
                <w:sz w:val="21"/>
              </w:rPr>
            </w:pPr>
          </w:p>
        </w:tc>
        <w:tc>
          <w:tcPr>
            <w:tcW w:w="1510" w:type="dxa"/>
            <w:vAlign w:val="top"/>
          </w:tcPr>
          <w:p w14:paraId="4B5F4B15">
            <w:pPr>
              <w:pStyle w:val="14"/>
              <w:spacing w:before="315" w:line="221" w:lineRule="auto"/>
              <w:ind w:left="268"/>
            </w:pPr>
            <w:r>
              <w:rPr>
                <w:spacing w:val="2"/>
              </w:rPr>
              <w:t>企业类型</w:t>
            </w:r>
          </w:p>
        </w:tc>
        <w:tc>
          <w:tcPr>
            <w:tcW w:w="2345" w:type="dxa"/>
            <w:vAlign w:val="top"/>
          </w:tcPr>
          <w:p w14:paraId="4FD68838">
            <w:pPr>
              <w:rPr>
                <w:rFonts w:ascii="Arial"/>
                <w:sz w:val="21"/>
              </w:rPr>
            </w:pPr>
          </w:p>
        </w:tc>
      </w:tr>
      <w:tr w14:paraId="72804C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2148" w:type="dxa"/>
            <w:vAlign w:val="top"/>
          </w:tcPr>
          <w:p w14:paraId="193AB986">
            <w:pPr>
              <w:pStyle w:val="14"/>
              <w:spacing w:before="317" w:line="222" w:lineRule="auto"/>
              <w:ind w:left="468"/>
            </w:pPr>
            <w:r>
              <w:rPr>
                <w:spacing w:val="2"/>
              </w:rPr>
              <w:t>法定代表人</w:t>
            </w:r>
          </w:p>
        </w:tc>
        <w:tc>
          <w:tcPr>
            <w:tcW w:w="3100" w:type="dxa"/>
            <w:vAlign w:val="top"/>
          </w:tcPr>
          <w:p w14:paraId="5766409D">
            <w:pPr>
              <w:rPr>
                <w:rFonts w:ascii="Arial"/>
                <w:sz w:val="21"/>
              </w:rPr>
            </w:pPr>
          </w:p>
        </w:tc>
        <w:tc>
          <w:tcPr>
            <w:tcW w:w="1510" w:type="dxa"/>
            <w:vAlign w:val="top"/>
          </w:tcPr>
          <w:p w14:paraId="38E2DC1F">
            <w:pPr>
              <w:pStyle w:val="14"/>
              <w:spacing w:before="317" w:line="222" w:lineRule="auto"/>
              <w:ind w:left="268"/>
            </w:pPr>
            <w:r>
              <w:rPr>
                <w:spacing w:val="2"/>
              </w:rPr>
              <w:t>成立时间</w:t>
            </w:r>
          </w:p>
        </w:tc>
        <w:tc>
          <w:tcPr>
            <w:tcW w:w="2345" w:type="dxa"/>
            <w:vAlign w:val="top"/>
          </w:tcPr>
          <w:p w14:paraId="7CF176A5">
            <w:pPr>
              <w:rPr>
                <w:rFonts w:ascii="Arial"/>
                <w:sz w:val="21"/>
              </w:rPr>
            </w:pPr>
          </w:p>
        </w:tc>
      </w:tr>
      <w:tr w14:paraId="41B800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2148" w:type="dxa"/>
            <w:vAlign w:val="top"/>
          </w:tcPr>
          <w:p w14:paraId="7FEA8AE1">
            <w:pPr>
              <w:pStyle w:val="14"/>
              <w:spacing w:before="316" w:line="221" w:lineRule="auto"/>
              <w:ind w:left="596"/>
            </w:pPr>
            <w:r>
              <w:rPr>
                <w:spacing w:val="-1"/>
              </w:rPr>
              <w:t>资质类型</w:t>
            </w:r>
          </w:p>
        </w:tc>
        <w:tc>
          <w:tcPr>
            <w:tcW w:w="3100" w:type="dxa"/>
            <w:vAlign w:val="top"/>
          </w:tcPr>
          <w:p w14:paraId="140A7DAA">
            <w:pPr>
              <w:rPr>
                <w:rFonts w:ascii="Arial"/>
                <w:sz w:val="21"/>
              </w:rPr>
            </w:pPr>
          </w:p>
        </w:tc>
        <w:tc>
          <w:tcPr>
            <w:tcW w:w="1510" w:type="dxa"/>
            <w:vAlign w:val="top"/>
          </w:tcPr>
          <w:p w14:paraId="63871A3A">
            <w:pPr>
              <w:pStyle w:val="14"/>
              <w:spacing w:before="316" w:line="221" w:lineRule="auto"/>
              <w:ind w:left="278"/>
            </w:pPr>
            <w:r>
              <w:rPr>
                <w:spacing w:val="-1"/>
              </w:rPr>
              <w:t>资质等级</w:t>
            </w:r>
          </w:p>
        </w:tc>
        <w:tc>
          <w:tcPr>
            <w:tcW w:w="2345" w:type="dxa"/>
            <w:vAlign w:val="top"/>
          </w:tcPr>
          <w:p w14:paraId="39DEEEB0">
            <w:pPr>
              <w:rPr>
                <w:rFonts w:ascii="Arial"/>
                <w:sz w:val="21"/>
              </w:rPr>
            </w:pPr>
          </w:p>
        </w:tc>
      </w:tr>
      <w:tr w14:paraId="3B6CE9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2148" w:type="dxa"/>
            <w:vAlign w:val="top"/>
          </w:tcPr>
          <w:p w14:paraId="061DE9D4">
            <w:pPr>
              <w:pStyle w:val="14"/>
              <w:spacing w:before="317" w:line="222" w:lineRule="auto"/>
              <w:ind w:left="592"/>
            </w:pPr>
            <w:r>
              <w:t>开户银行</w:t>
            </w:r>
          </w:p>
        </w:tc>
        <w:tc>
          <w:tcPr>
            <w:tcW w:w="6955" w:type="dxa"/>
            <w:gridSpan w:val="3"/>
            <w:vAlign w:val="top"/>
          </w:tcPr>
          <w:p w14:paraId="7E496C68">
            <w:pPr>
              <w:rPr>
                <w:rFonts w:ascii="Arial"/>
                <w:sz w:val="21"/>
              </w:rPr>
            </w:pPr>
          </w:p>
        </w:tc>
      </w:tr>
      <w:tr w14:paraId="28BB8C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2148" w:type="dxa"/>
            <w:vAlign w:val="top"/>
          </w:tcPr>
          <w:p w14:paraId="500AA0B3">
            <w:pPr>
              <w:pStyle w:val="14"/>
              <w:spacing w:before="316" w:line="222" w:lineRule="auto"/>
              <w:ind w:left="592"/>
            </w:pPr>
            <w:r>
              <w:t>开户行号</w:t>
            </w:r>
          </w:p>
        </w:tc>
        <w:tc>
          <w:tcPr>
            <w:tcW w:w="6955" w:type="dxa"/>
            <w:gridSpan w:val="3"/>
            <w:vAlign w:val="top"/>
          </w:tcPr>
          <w:p w14:paraId="3654B925">
            <w:pPr>
              <w:rPr>
                <w:rFonts w:ascii="Arial"/>
                <w:sz w:val="21"/>
              </w:rPr>
            </w:pPr>
          </w:p>
        </w:tc>
      </w:tr>
      <w:tr w14:paraId="0E22C8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2148" w:type="dxa"/>
            <w:vAlign w:val="top"/>
          </w:tcPr>
          <w:p w14:paraId="53A974A8">
            <w:pPr>
              <w:pStyle w:val="14"/>
              <w:spacing w:before="318" w:line="221" w:lineRule="auto"/>
              <w:ind w:left="586"/>
            </w:pPr>
            <w:r>
              <w:rPr>
                <w:spacing w:val="2"/>
              </w:rPr>
              <w:t>银行账号</w:t>
            </w:r>
          </w:p>
        </w:tc>
        <w:tc>
          <w:tcPr>
            <w:tcW w:w="6955" w:type="dxa"/>
            <w:gridSpan w:val="3"/>
            <w:vAlign w:val="top"/>
          </w:tcPr>
          <w:p w14:paraId="4B0974B7">
            <w:pPr>
              <w:rPr>
                <w:rFonts w:ascii="Arial"/>
                <w:sz w:val="21"/>
              </w:rPr>
            </w:pPr>
          </w:p>
        </w:tc>
      </w:tr>
      <w:tr w14:paraId="6A1F02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2148" w:type="dxa"/>
            <w:vAlign w:val="top"/>
          </w:tcPr>
          <w:p w14:paraId="50CB0545">
            <w:pPr>
              <w:pStyle w:val="14"/>
              <w:spacing w:before="317" w:line="221" w:lineRule="auto"/>
              <w:ind w:left="592"/>
            </w:pPr>
            <w:r>
              <w:t>主营业务</w:t>
            </w:r>
          </w:p>
        </w:tc>
        <w:tc>
          <w:tcPr>
            <w:tcW w:w="6955" w:type="dxa"/>
            <w:gridSpan w:val="3"/>
            <w:vAlign w:val="top"/>
          </w:tcPr>
          <w:p w14:paraId="5B93C8C0">
            <w:pPr>
              <w:rPr>
                <w:rFonts w:ascii="Arial"/>
                <w:sz w:val="21"/>
              </w:rPr>
            </w:pPr>
          </w:p>
        </w:tc>
      </w:tr>
      <w:tr w14:paraId="15DFB7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2148" w:type="dxa"/>
            <w:vAlign w:val="top"/>
          </w:tcPr>
          <w:p w14:paraId="556D01BD">
            <w:pPr>
              <w:spacing w:line="241" w:lineRule="auto"/>
              <w:rPr>
                <w:rFonts w:ascii="Arial"/>
                <w:sz w:val="21"/>
              </w:rPr>
            </w:pPr>
          </w:p>
          <w:p w14:paraId="79FADEDB">
            <w:pPr>
              <w:pStyle w:val="14"/>
              <w:spacing w:before="78" w:line="222" w:lineRule="auto"/>
              <w:ind w:left="589"/>
            </w:pPr>
            <w:r>
              <w:rPr>
                <w:spacing w:val="-9"/>
              </w:rPr>
              <w:t>联系人</w:t>
            </w:r>
          </w:p>
        </w:tc>
        <w:tc>
          <w:tcPr>
            <w:tcW w:w="3100" w:type="dxa"/>
            <w:vAlign w:val="top"/>
          </w:tcPr>
          <w:p w14:paraId="02636068">
            <w:pPr>
              <w:rPr>
                <w:rFonts w:ascii="Arial"/>
                <w:sz w:val="21"/>
              </w:rPr>
            </w:pPr>
          </w:p>
        </w:tc>
        <w:tc>
          <w:tcPr>
            <w:tcW w:w="1510" w:type="dxa"/>
            <w:vAlign w:val="top"/>
          </w:tcPr>
          <w:p w14:paraId="6448CDE3">
            <w:pPr>
              <w:spacing w:line="241" w:lineRule="auto"/>
              <w:rPr>
                <w:rFonts w:ascii="Arial"/>
                <w:sz w:val="21"/>
              </w:rPr>
            </w:pPr>
          </w:p>
          <w:p w14:paraId="29BB85A3">
            <w:pPr>
              <w:pStyle w:val="14"/>
              <w:spacing w:before="78" w:line="221" w:lineRule="auto"/>
              <w:ind w:left="271"/>
            </w:pPr>
            <w:r>
              <w:rPr>
                <w:spacing w:val="1"/>
              </w:rPr>
              <w:t>联系方式</w:t>
            </w:r>
          </w:p>
        </w:tc>
        <w:tc>
          <w:tcPr>
            <w:tcW w:w="2345" w:type="dxa"/>
            <w:vAlign w:val="top"/>
          </w:tcPr>
          <w:p w14:paraId="6E3DAEA8">
            <w:pPr>
              <w:rPr>
                <w:rFonts w:ascii="Arial"/>
                <w:sz w:val="21"/>
              </w:rPr>
            </w:pPr>
          </w:p>
        </w:tc>
      </w:tr>
      <w:tr w14:paraId="26ED05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4" w:hRule="atLeast"/>
        </w:trPr>
        <w:tc>
          <w:tcPr>
            <w:tcW w:w="2148" w:type="dxa"/>
            <w:vAlign w:val="top"/>
          </w:tcPr>
          <w:p w14:paraId="06DD6994">
            <w:pPr>
              <w:spacing w:line="262" w:lineRule="auto"/>
              <w:rPr>
                <w:rFonts w:ascii="Arial"/>
                <w:sz w:val="21"/>
              </w:rPr>
            </w:pPr>
          </w:p>
          <w:p w14:paraId="6394F635">
            <w:pPr>
              <w:pStyle w:val="14"/>
              <w:spacing w:before="78" w:line="222" w:lineRule="auto"/>
              <w:ind w:left="600"/>
            </w:pPr>
            <w:r>
              <w:rPr>
                <w:spacing w:val="-11"/>
              </w:rPr>
              <w:t>邮箱</w:t>
            </w:r>
          </w:p>
        </w:tc>
        <w:tc>
          <w:tcPr>
            <w:tcW w:w="3100" w:type="dxa"/>
            <w:vAlign w:val="top"/>
          </w:tcPr>
          <w:p w14:paraId="56084C2D">
            <w:pPr>
              <w:rPr>
                <w:rFonts w:ascii="Arial"/>
                <w:sz w:val="21"/>
              </w:rPr>
            </w:pPr>
          </w:p>
        </w:tc>
        <w:tc>
          <w:tcPr>
            <w:tcW w:w="1510" w:type="dxa"/>
            <w:vAlign w:val="top"/>
          </w:tcPr>
          <w:p w14:paraId="2449E450">
            <w:pPr>
              <w:spacing w:line="262" w:lineRule="auto"/>
              <w:rPr>
                <w:rFonts w:ascii="Arial"/>
                <w:sz w:val="21"/>
              </w:rPr>
            </w:pPr>
          </w:p>
          <w:p w14:paraId="3F136F28">
            <w:pPr>
              <w:pStyle w:val="14"/>
              <w:spacing w:before="78" w:line="222" w:lineRule="auto"/>
              <w:ind w:left="268"/>
            </w:pPr>
            <w:r>
              <w:rPr>
                <w:spacing w:val="-4"/>
              </w:rPr>
              <w:t>传真</w:t>
            </w:r>
          </w:p>
        </w:tc>
        <w:tc>
          <w:tcPr>
            <w:tcW w:w="2345" w:type="dxa"/>
            <w:vAlign w:val="top"/>
          </w:tcPr>
          <w:p w14:paraId="18D064EB">
            <w:pPr>
              <w:rPr>
                <w:rFonts w:ascii="Arial"/>
                <w:sz w:val="21"/>
              </w:rPr>
            </w:pPr>
          </w:p>
        </w:tc>
      </w:tr>
    </w:tbl>
    <w:p w14:paraId="384F779C">
      <w:pPr>
        <w:spacing w:before="37" w:line="213" w:lineRule="auto"/>
        <w:ind w:left="26"/>
        <w:rPr>
          <w:rFonts w:ascii="黑体" w:hAnsi="黑体" w:eastAsia="黑体" w:cs="黑体"/>
          <w:sz w:val="24"/>
          <w:szCs w:val="24"/>
        </w:rPr>
      </w:pPr>
      <w:r>
        <w:rPr>
          <w:rFonts w:ascii="黑体" w:hAnsi="黑体" w:eastAsia="黑体" w:cs="黑体"/>
          <w:spacing w:val="6"/>
          <w:sz w:val="24"/>
          <w:szCs w:val="24"/>
        </w:rPr>
        <w:t>后附：①营业执照、资质证书、安全生产许可证</w:t>
      </w:r>
      <w:r>
        <w:rPr>
          <w:rFonts w:ascii="黑体" w:hAnsi="黑体" w:eastAsia="黑体" w:cs="黑体"/>
          <w:spacing w:val="5"/>
          <w:sz w:val="24"/>
          <w:szCs w:val="24"/>
        </w:rPr>
        <w:t>；②“信用中国”、“中国政府采</w:t>
      </w:r>
    </w:p>
    <w:p w14:paraId="62E36620">
      <w:pPr>
        <w:spacing w:before="35" w:line="213" w:lineRule="auto"/>
        <w:ind w:left="25"/>
        <w:outlineLvl w:val="1"/>
        <w:rPr>
          <w:rFonts w:ascii="黑体" w:hAnsi="黑体" w:eastAsia="黑体" w:cs="黑体"/>
          <w:sz w:val="24"/>
          <w:szCs w:val="24"/>
        </w:rPr>
      </w:pPr>
      <w:r>
        <w:rPr>
          <w:rFonts w:ascii="黑体" w:hAnsi="黑体" w:eastAsia="黑体" w:cs="黑体"/>
          <w:spacing w:val="3"/>
          <w:sz w:val="24"/>
          <w:szCs w:val="24"/>
        </w:rPr>
        <w:t>购网”查询截图；③</w:t>
      </w:r>
      <w:r>
        <w:rPr>
          <w:rFonts w:hint="eastAsia" w:ascii="黑体" w:hAnsi="黑体" w:eastAsia="黑体" w:cs="黑体"/>
          <w:spacing w:val="3"/>
          <w:sz w:val="24"/>
          <w:szCs w:val="24"/>
          <w:lang w:val="en-US" w:eastAsia="zh-CN"/>
        </w:rPr>
        <w:t>基本户的证明</w:t>
      </w:r>
      <w:r>
        <w:rPr>
          <w:rFonts w:ascii="黑体" w:hAnsi="黑体" w:eastAsia="黑体" w:cs="黑体"/>
          <w:spacing w:val="3"/>
          <w:sz w:val="24"/>
          <w:szCs w:val="24"/>
        </w:rPr>
        <w:t>④投标保证金汇款回执</w:t>
      </w:r>
      <w:r>
        <w:rPr>
          <w:rFonts w:hint="eastAsia" w:ascii="黑体" w:hAnsi="黑体" w:eastAsia="黑体" w:cs="黑体"/>
          <w:spacing w:val="3"/>
          <w:sz w:val="24"/>
          <w:szCs w:val="24"/>
          <w:lang w:val="en-US" w:eastAsia="zh-CN"/>
        </w:rPr>
        <w:t>凭证或保函保单及基本账户支付凭证</w:t>
      </w:r>
      <w:r>
        <w:rPr>
          <w:rFonts w:ascii="黑体" w:hAnsi="黑体" w:eastAsia="黑体" w:cs="黑体"/>
          <w:spacing w:val="3"/>
          <w:sz w:val="24"/>
          <w:szCs w:val="24"/>
        </w:rPr>
        <w:t>；</w:t>
      </w:r>
    </w:p>
    <w:p w14:paraId="4CFBD786">
      <w:pPr>
        <w:spacing w:line="213" w:lineRule="auto"/>
        <w:rPr>
          <w:rFonts w:ascii="黑体" w:hAnsi="黑体" w:eastAsia="黑体" w:cs="黑体"/>
          <w:sz w:val="24"/>
          <w:szCs w:val="24"/>
        </w:rPr>
        <w:sectPr>
          <w:footerReference r:id="rId35" w:type="default"/>
          <w:pgSz w:w="11906" w:h="16839"/>
          <w:pgMar w:top="400" w:right="1399" w:bottom="1012" w:left="1398" w:header="0" w:footer="850" w:gutter="0"/>
          <w:cols w:space="720" w:num="1"/>
        </w:sectPr>
      </w:pPr>
    </w:p>
    <w:p w14:paraId="665DC083">
      <w:pPr>
        <w:pStyle w:val="5"/>
        <w:spacing w:line="265" w:lineRule="auto"/>
      </w:pPr>
    </w:p>
    <w:p w14:paraId="7EA0C373">
      <w:pPr>
        <w:pStyle w:val="5"/>
        <w:spacing w:line="265" w:lineRule="auto"/>
      </w:pPr>
    </w:p>
    <w:p w14:paraId="4B4FEF9D">
      <w:pPr>
        <w:pStyle w:val="5"/>
        <w:spacing w:line="266" w:lineRule="auto"/>
      </w:pPr>
    </w:p>
    <w:p w14:paraId="60BB18EE">
      <w:pPr>
        <w:pStyle w:val="5"/>
        <w:spacing w:line="266" w:lineRule="auto"/>
      </w:pPr>
    </w:p>
    <w:p w14:paraId="7C63AF1E">
      <w:pPr>
        <w:spacing w:before="101" w:line="230" w:lineRule="auto"/>
        <w:ind w:left="22"/>
        <w:rPr>
          <w:rFonts w:ascii="黑体" w:hAnsi="黑体" w:eastAsia="黑体" w:cs="黑体"/>
          <w:sz w:val="31"/>
          <w:szCs w:val="31"/>
        </w:rPr>
      </w:pPr>
      <w:r>
        <w:rPr>
          <w:rFonts w:ascii="黑体" w:hAnsi="黑体" w:eastAsia="黑体" w:cs="黑体"/>
          <w:sz w:val="31"/>
          <w:szCs w:val="31"/>
          <w14:textOutline w14:w="5793" w14:cap="sq" w14:cmpd="sng">
            <w14:solidFill>
              <w14:srgbClr w14:val="000000"/>
            </w14:solidFill>
            <w14:prstDash w14:val="solid"/>
            <w14:bevel/>
          </w14:textOutline>
        </w:rPr>
        <w:t>附件5:</w:t>
      </w:r>
    </w:p>
    <w:p w14:paraId="3D255936">
      <w:pPr>
        <w:spacing w:before="255" w:line="222" w:lineRule="auto"/>
        <w:ind w:left="4253"/>
        <w:rPr>
          <w:rFonts w:ascii="黑体" w:hAnsi="黑体" w:eastAsia="黑体" w:cs="黑体"/>
          <w:sz w:val="28"/>
          <w:szCs w:val="28"/>
        </w:rPr>
      </w:pPr>
      <w:r>
        <w:rPr>
          <w:rFonts w:ascii="黑体" w:hAnsi="黑体" w:eastAsia="黑体" w:cs="黑体"/>
          <w:spacing w:val="-1"/>
          <w:sz w:val="28"/>
          <w:szCs w:val="28"/>
          <w14:textOutline w14:w="5103" w14:cap="sq" w14:cmpd="sng">
            <w14:solidFill>
              <w14:srgbClr w14:val="000000"/>
            </w14:solidFill>
            <w14:prstDash w14:val="solid"/>
            <w14:bevel/>
          </w14:textOutline>
        </w:rPr>
        <w:t>声明</w:t>
      </w:r>
    </w:p>
    <w:p w14:paraId="55BB5917">
      <w:pPr>
        <w:pStyle w:val="5"/>
        <w:spacing w:line="314" w:lineRule="auto"/>
      </w:pPr>
    </w:p>
    <w:p w14:paraId="4BAEB90E">
      <w:pPr>
        <w:pStyle w:val="5"/>
        <w:spacing w:line="315" w:lineRule="auto"/>
      </w:pPr>
    </w:p>
    <w:p w14:paraId="1DA22582">
      <w:pPr>
        <w:spacing w:before="78" w:line="222" w:lineRule="auto"/>
        <w:ind w:left="3"/>
        <w:rPr>
          <w:rFonts w:ascii="黑体" w:hAnsi="黑体" w:eastAsia="黑体" w:cs="黑体"/>
          <w:sz w:val="24"/>
          <w:szCs w:val="24"/>
        </w:rPr>
      </w:pPr>
      <w:r>
        <w:rPr>
          <w:rFonts w:ascii="黑体" w:hAnsi="黑体" w:eastAsia="黑体" w:cs="黑体"/>
          <w:spacing w:val="7"/>
          <w:sz w:val="24"/>
          <w:szCs w:val="24"/>
        </w:rPr>
        <w:t>致</w:t>
      </w:r>
      <w:r>
        <w:rPr>
          <w:rFonts w:ascii="黑体" w:hAnsi="黑体" w:eastAsia="黑体" w:cs="黑体"/>
          <w:spacing w:val="-4"/>
          <w:sz w:val="24"/>
          <w:szCs w:val="24"/>
        </w:rPr>
        <w:t>：（</w:t>
      </w:r>
      <w:r>
        <w:rPr>
          <w:rFonts w:ascii="黑体" w:hAnsi="黑体" w:eastAsia="黑体" w:cs="黑体"/>
          <w:spacing w:val="7"/>
          <w:sz w:val="24"/>
          <w:szCs w:val="24"/>
        </w:rPr>
        <w:t>采购人名称</w:t>
      </w:r>
      <w:r>
        <w:rPr>
          <w:rFonts w:ascii="黑体" w:hAnsi="黑体" w:eastAsia="黑体" w:cs="黑体"/>
          <w:spacing w:val="-4"/>
          <w:sz w:val="24"/>
          <w:szCs w:val="24"/>
        </w:rPr>
        <w:t>）：</w:t>
      </w:r>
    </w:p>
    <w:p w14:paraId="1E0E5435">
      <w:pPr>
        <w:pStyle w:val="5"/>
        <w:spacing w:line="256" w:lineRule="auto"/>
      </w:pPr>
    </w:p>
    <w:p w14:paraId="76D8268F">
      <w:pPr>
        <w:tabs>
          <w:tab w:val="left" w:pos="3187"/>
        </w:tabs>
        <w:spacing w:before="78" w:line="359" w:lineRule="auto"/>
        <w:ind w:left="2" w:right="239" w:firstLine="481"/>
        <w:rPr>
          <w:rFonts w:ascii="黑体" w:hAnsi="黑体" w:eastAsia="黑体" w:cs="黑体"/>
          <w:sz w:val="24"/>
          <w:szCs w:val="24"/>
        </w:rPr>
      </w:pPr>
      <w:r>
        <w:rPr>
          <w:rFonts w:ascii="黑体" w:hAnsi="黑体" w:eastAsia="黑体" w:cs="黑体"/>
          <w:sz w:val="24"/>
          <w:szCs w:val="24"/>
          <w:u w:val="single" w:color="auto"/>
        </w:rPr>
        <w:tab/>
      </w:r>
      <w:r>
        <w:rPr>
          <w:rFonts w:ascii="黑体" w:hAnsi="黑体" w:eastAsia="黑体" w:cs="黑体"/>
          <w:spacing w:val="4"/>
          <w:sz w:val="24"/>
          <w:szCs w:val="24"/>
        </w:rPr>
        <w:t>（供应商名称）郑重声明，我公司具有良好的商业信誉</w:t>
      </w:r>
      <w:r>
        <w:rPr>
          <w:rFonts w:ascii="黑体" w:hAnsi="黑体" w:eastAsia="黑体" w:cs="黑体"/>
          <w:spacing w:val="5"/>
          <w:sz w:val="24"/>
          <w:szCs w:val="24"/>
        </w:rPr>
        <w:t>和健全的财务会计制度，具有履行合同所必需的设备和专业技</w:t>
      </w:r>
      <w:r>
        <w:rPr>
          <w:rFonts w:ascii="黑体" w:hAnsi="黑体" w:eastAsia="黑体" w:cs="黑体"/>
          <w:spacing w:val="4"/>
          <w:sz w:val="24"/>
          <w:szCs w:val="24"/>
        </w:rPr>
        <w:t>术能力，有依法缴纳税</w:t>
      </w:r>
    </w:p>
    <w:p w14:paraId="749C2712">
      <w:pPr>
        <w:spacing w:before="1" w:line="212" w:lineRule="auto"/>
        <w:rPr>
          <w:rFonts w:ascii="黑体" w:hAnsi="黑体" w:eastAsia="黑体" w:cs="黑体"/>
          <w:sz w:val="24"/>
          <w:szCs w:val="24"/>
        </w:rPr>
      </w:pPr>
      <w:r>
        <w:rPr>
          <w:rFonts w:ascii="黑体" w:hAnsi="黑体" w:eastAsia="黑体" w:cs="黑体"/>
          <w:spacing w:val="5"/>
          <w:sz w:val="24"/>
          <w:szCs w:val="24"/>
        </w:rPr>
        <w:t>收和社会保障资金的良好记录，参加本项目采购活动前三年内无重大违法活动记录，</w:t>
      </w:r>
    </w:p>
    <w:p w14:paraId="58E0CB2D">
      <w:pPr>
        <w:spacing w:before="189" w:line="359" w:lineRule="auto"/>
        <w:ind w:left="3" w:hanging="3"/>
        <w:rPr>
          <w:rFonts w:ascii="黑体" w:hAnsi="黑体" w:eastAsia="黑体" w:cs="黑体"/>
          <w:sz w:val="24"/>
          <w:szCs w:val="24"/>
        </w:rPr>
      </w:pPr>
      <w:r>
        <w:rPr>
          <w:rFonts w:ascii="黑体" w:hAnsi="黑体" w:eastAsia="黑体" w:cs="黑体"/>
          <w:spacing w:val="5"/>
          <w:sz w:val="24"/>
          <w:szCs w:val="24"/>
        </w:rPr>
        <w:t>在合同签订前后随时愿意提供相关证明材料；我公司还同时声明未列</w:t>
      </w:r>
      <w:r>
        <w:rPr>
          <w:rFonts w:ascii="黑体" w:hAnsi="黑体" w:eastAsia="黑体" w:cs="黑体"/>
          <w:spacing w:val="4"/>
          <w:sz w:val="24"/>
          <w:szCs w:val="24"/>
        </w:rPr>
        <w:t>入在信用中国网</w:t>
      </w:r>
      <w:r>
        <w:rPr>
          <w:rFonts w:ascii="黑体" w:hAnsi="黑体" w:eastAsia="黑体" w:cs="黑体"/>
          <w:spacing w:val="6"/>
          <w:sz w:val="24"/>
          <w:szCs w:val="24"/>
        </w:rPr>
        <w:t>站（</w:t>
      </w:r>
      <w:r>
        <w:rPr>
          <w:rFonts w:ascii="黑体" w:hAnsi="黑体" w:eastAsia="黑体" w:cs="黑体"/>
          <w:sz w:val="24"/>
          <w:szCs w:val="24"/>
        </w:rPr>
        <w:t>www</w:t>
      </w:r>
      <w:r>
        <w:rPr>
          <w:rFonts w:ascii="黑体" w:hAnsi="黑体" w:eastAsia="黑体" w:cs="黑体"/>
          <w:spacing w:val="6"/>
          <w:sz w:val="24"/>
          <w:szCs w:val="24"/>
        </w:rPr>
        <w:t>.</w:t>
      </w:r>
      <w:r>
        <w:rPr>
          <w:rFonts w:ascii="黑体" w:hAnsi="黑体" w:eastAsia="黑体" w:cs="黑体"/>
          <w:sz w:val="24"/>
          <w:szCs w:val="24"/>
        </w:rPr>
        <w:t>creditchina</w:t>
      </w:r>
      <w:r>
        <w:rPr>
          <w:rFonts w:ascii="黑体" w:hAnsi="黑体" w:eastAsia="黑体" w:cs="黑体"/>
          <w:spacing w:val="6"/>
          <w:sz w:val="24"/>
          <w:szCs w:val="24"/>
        </w:rPr>
        <w:t>.</w:t>
      </w:r>
      <w:r>
        <w:rPr>
          <w:rFonts w:ascii="黑体" w:hAnsi="黑体" w:eastAsia="黑体" w:cs="黑体"/>
          <w:sz w:val="24"/>
          <w:szCs w:val="24"/>
        </w:rPr>
        <w:t>gov</w:t>
      </w:r>
      <w:r>
        <w:rPr>
          <w:rFonts w:ascii="黑体" w:hAnsi="黑体" w:eastAsia="黑体" w:cs="黑体"/>
          <w:spacing w:val="6"/>
          <w:sz w:val="24"/>
          <w:szCs w:val="24"/>
        </w:rPr>
        <w:t>.</w:t>
      </w:r>
      <w:r>
        <w:rPr>
          <w:rFonts w:ascii="黑体" w:hAnsi="黑体" w:eastAsia="黑体" w:cs="黑体"/>
          <w:sz w:val="24"/>
          <w:szCs w:val="24"/>
        </w:rPr>
        <w:t>cn</w:t>
      </w:r>
      <w:r>
        <w:rPr>
          <w:rFonts w:ascii="黑体" w:hAnsi="黑体" w:eastAsia="黑体" w:cs="黑体"/>
          <w:spacing w:val="6"/>
          <w:sz w:val="24"/>
          <w:szCs w:val="24"/>
        </w:rPr>
        <w:t>）“失信被执行人”、“重大税收违法案件</w:t>
      </w:r>
      <w:r>
        <w:rPr>
          <w:rFonts w:ascii="黑体" w:hAnsi="黑体" w:eastAsia="黑体" w:cs="黑体"/>
          <w:spacing w:val="5"/>
          <w:sz w:val="24"/>
          <w:szCs w:val="24"/>
        </w:rPr>
        <w:t>当事人名单”</w:t>
      </w:r>
      <w:r>
        <w:rPr>
          <w:rFonts w:ascii="黑体" w:hAnsi="黑体" w:eastAsia="黑体" w:cs="黑体"/>
          <w:spacing w:val="9"/>
          <w:sz w:val="24"/>
          <w:szCs w:val="24"/>
        </w:rPr>
        <w:t>中，也未列入中国政府采购网（</w:t>
      </w:r>
      <w:r>
        <w:rPr>
          <w:rFonts w:ascii="黑体" w:hAnsi="黑体" w:eastAsia="黑体" w:cs="黑体"/>
          <w:sz w:val="24"/>
          <w:szCs w:val="24"/>
        </w:rPr>
        <w:t>www</w:t>
      </w:r>
      <w:r>
        <w:rPr>
          <w:rFonts w:ascii="黑体" w:hAnsi="黑体" w:eastAsia="黑体" w:cs="黑体"/>
          <w:spacing w:val="9"/>
          <w:sz w:val="24"/>
          <w:szCs w:val="24"/>
        </w:rPr>
        <w:t>.</w:t>
      </w:r>
      <w:r>
        <w:rPr>
          <w:rFonts w:ascii="黑体" w:hAnsi="黑体" w:eastAsia="黑体" w:cs="黑体"/>
          <w:sz w:val="24"/>
          <w:szCs w:val="24"/>
        </w:rPr>
        <w:t>ccgp</w:t>
      </w:r>
      <w:r>
        <w:rPr>
          <w:rFonts w:ascii="黑体" w:hAnsi="黑体" w:eastAsia="黑体" w:cs="黑体"/>
          <w:spacing w:val="9"/>
          <w:sz w:val="24"/>
          <w:szCs w:val="24"/>
        </w:rPr>
        <w:t>.</w:t>
      </w:r>
      <w:r>
        <w:rPr>
          <w:rFonts w:ascii="黑体" w:hAnsi="黑体" w:eastAsia="黑体" w:cs="黑体"/>
          <w:sz w:val="24"/>
          <w:szCs w:val="24"/>
        </w:rPr>
        <w:t>gov</w:t>
      </w:r>
      <w:r>
        <w:rPr>
          <w:rFonts w:ascii="黑体" w:hAnsi="黑体" w:eastAsia="黑体" w:cs="黑体"/>
          <w:spacing w:val="9"/>
          <w:sz w:val="24"/>
          <w:szCs w:val="24"/>
        </w:rPr>
        <w:t>.</w:t>
      </w:r>
      <w:r>
        <w:rPr>
          <w:rFonts w:ascii="黑体" w:hAnsi="黑体" w:eastAsia="黑体" w:cs="黑体"/>
          <w:sz w:val="24"/>
          <w:szCs w:val="24"/>
        </w:rPr>
        <w:t>cn</w:t>
      </w:r>
      <w:r>
        <w:rPr>
          <w:rFonts w:ascii="黑体" w:hAnsi="黑体" w:eastAsia="黑体" w:cs="黑体"/>
          <w:spacing w:val="9"/>
          <w:sz w:val="24"/>
          <w:szCs w:val="24"/>
        </w:rPr>
        <w:t>）“政府采购严重违法失信行为记</w:t>
      </w:r>
      <w:r>
        <w:rPr>
          <w:rFonts w:ascii="黑体" w:hAnsi="黑体" w:eastAsia="黑体" w:cs="黑体"/>
          <w:spacing w:val="5"/>
          <w:sz w:val="24"/>
          <w:szCs w:val="24"/>
        </w:rPr>
        <w:t>录名单”中，并随时接受采购人的检查验证，符合《政府采</w:t>
      </w:r>
      <w:r>
        <w:rPr>
          <w:rFonts w:ascii="黑体" w:hAnsi="黑体" w:eastAsia="黑体" w:cs="黑体"/>
          <w:spacing w:val="4"/>
          <w:sz w:val="24"/>
          <w:szCs w:val="24"/>
        </w:rPr>
        <w:t>购法》规定的投标人资格</w:t>
      </w:r>
    </w:p>
    <w:p w14:paraId="1BD09FD6">
      <w:pPr>
        <w:spacing w:before="1" w:line="220" w:lineRule="auto"/>
        <w:ind w:left="2"/>
        <w:rPr>
          <w:rFonts w:ascii="黑体" w:hAnsi="黑体" w:eastAsia="黑体" w:cs="黑体"/>
          <w:sz w:val="24"/>
          <w:szCs w:val="24"/>
        </w:rPr>
      </w:pPr>
      <w:r>
        <w:rPr>
          <w:rFonts w:ascii="黑体" w:hAnsi="黑体" w:eastAsia="黑体" w:cs="黑体"/>
          <w:spacing w:val="4"/>
          <w:sz w:val="24"/>
          <w:szCs w:val="24"/>
        </w:rPr>
        <w:t>条件。我方对以上声明负全部法律责任。</w:t>
      </w:r>
    </w:p>
    <w:p w14:paraId="02D7BE5B">
      <w:pPr>
        <w:pStyle w:val="5"/>
        <w:spacing w:line="257" w:lineRule="auto"/>
      </w:pPr>
    </w:p>
    <w:p w14:paraId="7A43238A">
      <w:pPr>
        <w:spacing w:before="78" w:line="221" w:lineRule="auto"/>
        <w:ind w:left="492"/>
        <w:rPr>
          <w:rFonts w:ascii="黑体" w:hAnsi="黑体" w:eastAsia="黑体" w:cs="黑体"/>
          <w:sz w:val="24"/>
          <w:szCs w:val="24"/>
        </w:rPr>
      </w:pPr>
      <w:r>
        <w:rPr>
          <w:rFonts w:ascii="黑体" w:hAnsi="黑体" w:eastAsia="黑体" w:cs="黑体"/>
          <w:spacing w:val="1"/>
          <w:sz w:val="24"/>
          <w:szCs w:val="24"/>
        </w:rPr>
        <w:t>特此声明。</w:t>
      </w:r>
    </w:p>
    <w:p w14:paraId="63B2E68E">
      <w:pPr>
        <w:pStyle w:val="5"/>
        <w:spacing w:line="266" w:lineRule="auto"/>
      </w:pPr>
    </w:p>
    <w:p w14:paraId="654C6F06">
      <w:pPr>
        <w:pStyle w:val="5"/>
        <w:spacing w:line="266" w:lineRule="auto"/>
      </w:pPr>
    </w:p>
    <w:p w14:paraId="62A0F117">
      <w:pPr>
        <w:spacing w:before="79" w:line="226" w:lineRule="auto"/>
        <w:ind w:left="439" w:right="239" w:firstLine="7"/>
        <w:rPr>
          <w:rFonts w:ascii="黑体" w:hAnsi="黑体" w:eastAsia="黑体" w:cs="黑体"/>
          <w:sz w:val="24"/>
          <w:szCs w:val="24"/>
        </w:rPr>
      </w:pPr>
      <w:r>
        <w:rPr>
          <w:rFonts w:ascii="黑体" w:hAnsi="黑体" w:eastAsia="黑体" w:cs="黑体"/>
          <w:spacing w:val="2"/>
          <w:sz w:val="24"/>
          <w:szCs w:val="24"/>
        </w:rPr>
        <w:t>附件：1、依法缴纳税收和社会保障资金的相关材料（</w:t>
      </w:r>
      <w:r>
        <w:rPr>
          <w:rFonts w:ascii="黑体" w:hAnsi="黑体" w:eastAsia="黑体" w:cs="黑体"/>
          <w:spacing w:val="1"/>
          <w:sz w:val="24"/>
          <w:szCs w:val="24"/>
        </w:rPr>
        <w:t>近3个月纳税证明，供应商</w:t>
      </w:r>
      <w:r>
        <w:rPr>
          <w:rFonts w:ascii="黑体" w:hAnsi="黑体" w:eastAsia="黑体" w:cs="黑体"/>
          <w:spacing w:val="4"/>
          <w:sz w:val="24"/>
          <w:szCs w:val="24"/>
        </w:rPr>
        <w:t>为职工缴纳社会保险的证明</w:t>
      </w:r>
      <w:r>
        <w:rPr>
          <w:rFonts w:ascii="黑体" w:hAnsi="黑体" w:eastAsia="黑体" w:cs="黑体"/>
          <w:sz w:val="24"/>
          <w:szCs w:val="24"/>
        </w:rPr>
        <w:t>）；</w:t>
      </w:r>
    </w:p>
    <w:p w14:paraId="7B76C2DF">
      <w:pPr>
        <w:spacing w:before="156" w:line="226" w:lineRule="auto"/>
        <w:ind w:left="435" w:right="239" w:firstLine="732"/>
        <w:rPr>
          <w:rFonts w:ascii="黑体" w:hAnsi="黑体" w:eastAsia="黑体" w:cs="黑体"/>
          <w:sz w:val="24"/>
          <w:szCs w:val="24"/>
        </w:rPr>
      </w:pPr>
      <w:r>
        <w:rPr>
          <w:rFonts w:ascii="黑体" w:hAnsi="黑体" w:eastAsia="黑体" w:cs="黑体"/>
          <w:spacing w:val="3"/>
          <w:sz w:val="24"/>
          <w:szCs w:val="24"/>
        </w:rPr>
        <w:t>2、具备履行合同所必需的设备和专业技术能力的证</w:t>
      </w:r>
      <w:r>
        <w:rPr>
          <w:rFonts w:ascii="黑体" w:hAnsi="黑体" w:eastAsia="黑体" w:cs="黑体"/>
          <w:spacing w:val="2"/>
          <w:sz w:val="24"/>
          <w:szCs w:val="24"/>
        </w:rPr>
        <w:t>明材料（提供承诺或其他证明材料</w:t>
      </w:r>
      <w:r>
        <w:rPr>
          <w:rFonts w:ascii="黑体" w:hAnsi="黑体" w:eastAsia="黑体" w:cs="黑体"/>
          <w:sz w:val="24"/>
          <w:szCs w:val="24"/>
        </w:rPr>
        <w:t>）；</w:t>
      </w:r>
    </w:p>
    <w:p w14:paraId="7BB9785F">
      <w:pPr>
        <w:spacing w:before="155" w:line="222" w:lineRule="auto"/>
        <w:ind w:left="1170"/>
        <w:rPr>
          <w:rFonts w:ascii="黑体" w:hAnsi="黑体" w:eastAsia="黑体" w:cs="黑体"/>
          <w:sz w:val="24"/>
          <w:szCs w:val="24"/>
        </w:rPr>
      </w:pPr>
      <w:r>
        <w:rPr>
          <w:rFonts w:ascii="黑体" w:hAnsi="黑体" w:eastAsia="黑体" w:cs="黑体"/>
          <w:spacing w:val="9"/>
          <w:sz w:val="24"/>
          <w:szCs w:val="24"/>
        </w:rPr>
        <w:t>3、参加政府采购活动前3年内在经营活动中没有重大违法记录的书</w:t>
      </w:r>
      <w:r>
        <w:rPr>
          <w:rFonts w:ascii="黑体" w:hAnsi="黑体" w:eastAsia="黑体" w:cs="黑体"/>
          <w:spacing w:val="8"/>
          <w:sz w:val="24"/>
          <w:szCs w:val="24"/>
        </w:rPr>
        <w:t>面声</w:t>
      </w:r>
    </w:p>
    <w:p w14:paraId="69D116DD">
      <w:pPr>
        <w:spacing w:before="24" w:line="213" w:lineRule="auto"/>
        <w:ind w:left="445"/>
        <w:outlineLvl w:val="1"/>
        <w:rPr>
          <w:rFonts w:ascii="黑体" w:hAnsi="黑体" w:eastAsia="黑体" w:cs="黑体"/>
          <w:sz w:val="24"/>
          <w:szCs w:val="24"/>
        </w:rPr>
      </w:pPr>
      <w:r>
        <w:rPr>
          <w:rFonts w:ascii="黑体" w:hAnsi="黑体" w:eastAsia="黑体" w:cs="黑体"/>
          <w:spacing w:val="-11"/>
          <w:sz w:val="24"/>
          <w:szCs w:val="24"/>
        </w:rPr>
        <w:t>明；</w:t>
      </w:r>
    </w:p>
    <w:p w14:paraId="5A9AD0AE">
      <w:pPr>
        <w:spacing w:line="213" w:lineRule="auto"/>
        <w:rPr>
          <w:rFonts w:ascii="黑体" w:hAnsi="黑体" w:eastAsia="黑体" w:cs="黑体"/>
          <w:sz w:val="24"/>
          <w:szCs w:val="24"/>
        </w:rPr>
        <w:sectPr>
          <w:footerReference r:id="rId36" w:type="default"/>
          <w:pgSz w:w="11906" w:h="16839"/>
          <w:pgMar w:top="400" w:right="1182" w:bottom="1012" w:left="1423" w:header="0" w:footer="850" w:gutter="0"/>
          <w:cols w:space="720" w:num="1"/>
        </w:sectPr>
      </w:pPr>
    </w:p>
    <w:p w14:paraId="67880BFD">
      <w:pPr>
        <w:pStyle w:val="5"/>
        <w:spacing w:line="265" w:lineRule="auto"/>
      </w:pPr>
    </w:p>
    <w:p w14:paraId="162CAB81">
      <w:pPr>
        <w:pStyle w:val="5"/>
        <w:spacing w:line="265" w:lineRule="auto"/>
      </w:pPr>
    </w:p>
    <w:p w14:paraId="210E304B">
      <w:pPr>
        <w:pStyle w:val="5"/>
        <w:spacing w:line="266" w:lineRule="auto"/>
      </w:pPr>
    </w:p>
    <w:p w14:paraId="122394EB">
      <w:pPr>
        <w:pStyle w:val="5"/>
        <w:spacing w:line="266" w:lineRule="auto"/>
      </w:pPr>
    </w:p>
    <w:p w14:paraId="37BAD24D">
      <w:pPr>
        <w:spacing w:before="101" w:line="230" w:lineRule="auto"/>
        <w:ind w:left="14"/>
        <w:outlineLvl w:val="1"/>
        <w:rPr>
          <w:rFonts w:ascii="黑体" w:hAnsi="黑体" w:eastAsia="黑体" w:cs="黑体"/>
          <w:sz w:val="31"/>
          <w:szCs w:val="31"/>
        </w:rPr>
      </w:pPr>
      <w:r>
        <w:rPr>
          <w:rFonts w:ascii="黑体" w:hAnsi="黑体" w:eastAsia="黑体" w:cs="黑体"/>
          <w:spacing w:val="-1"/>
          <w:sz w:val="31"/>
          <w:szCs w:val="31"/>
          <w14:textOutline w14:w="5793" w14:cap="sq" w14:cmpd="sng">
            <w14:solidFill>
              <w14:srgbClr w14:val="000000"/>
            </w14:solidFill>
            <w14:prstDash w14:val="solid"/>
            <w14:bevel/>
          </w14:textOutline>
        </w:rPr>
        <w:t>附件6:</w:t>
      </w:r>
    </w:p>
    <w:p w14:paraId="70F55AE9">
      <w:pPr>
        <w:pStyle w:val="5"/>
        <w:spacing w:line="252" w:lineRule="auto"/>
      </w:pPr>
    </w:p>
    <w:p w14:paraId="355C6C67">
      <w:pPr>
        <w:pStyle w:val="5"/>
        <w:spacing w:line="252" w:lineRule="auto"/>
      </w:pPr>
    </w:p>
    <w:p w14:paraId="017F0FC2">
      <w:pPr>
        <w:pStyle w:val="5"/>
        <w:spacing w:line="253" w:lineRule="auto"/>
      </w:pPr>
    </w:p>
    <w:p w14:paraId="04418658">
      <w:pPr>
        <w:spacing w:before="100" w:line="226" w:lineRule="auto"/>
        <w:ind w:left="2575"/>
        <w:outlineLvl w:val="1"/>
        <w:rPr>
          <w:rFonts w:ascii="黑体" w:hAnsi="黑体" w:eastAsia="黑体" w:cs="黑体"/>
          <w:sz w:val="31"/>
          <w:szCs w:val="31"/>
        </w:rPr>
      </w:pPr>
      <w:r>
        <w:rPr>
          <w:rFonts w:ascii="黑体" w:hAnsi="黑体" w:eastAsia="黑体" w:cs="黑体"/>
          <w:spacing w:val="15"/>
          <w:sz w:val="31"/>
          <w:szCs w:val="31"/>
          <w14:textOutline w14:w="5793" w14:cap="sq" w14:cmpd="sng">
            <w14:solidFill>
              <w14:srgbClr w14:val="000000"/>
            </w14:solidFill>
            <w14:prstDash w14:val="solid"/>
            <w14:bevel/>
          </w14:textOutline>
        </w:rPr>
        <w:t>无重大违法记录的书面声明</w:t>
      </w:r>
    </w:p>
    <w:p w14:paraId="24EE3BC1">
      <w:pPr>
        <w:pStyle w:val="5"/>
        <w:spacing w:line="306" w:lineRule="auto"/>
      </w:pPr>
    </w:p>
    <w:p w14:paraId="374F1B5E">
      <w:pPr>
        <w:spacing w:before="78" w:line="569" w:lineRule="exact"/>
        <w:jc w:val="right"/>
        <w:rPr>
          <w:rFonts w:ascii="黑体" w:hAnsi="黑体" w:eastAsia="黑体" w:cs="黑体"/>
          <w:sz w:val="24"/>
          <w:szCs w:val="24"/>
        </w:rPr>
      </w:pPr>
      <w:r>
        <w:rPr>
          <w:rFonts w:ascii="黑体" w:hAnsi="黑体" w:eastAsia="黑体" w:cs="黑体"/>
          <w:spacing w:val="5"/>
          <w:position w:val="25"/>
          <w:sz w:val="24"/>
          <w:szCs w:val="24"/>
        </w:rPr>
        <w:t>供应商应当提供参加政府采购活动前3年内在</w:t>
      </w:r>
      <w:r>
        <w:rPr>
          <w:rFonts w:ascii="黑体" w:hAnsi="黑体" w:eastAsia="黑体" w:cs="黑体"/>
          <w:spacing w:val="4"/>
          <w:position w:val="25"/>
          <w:sz w:val="24"/>
          <w:szCs w:val="24"/>
        </w:rPr>
        <w:t>经营活动中没有重大违法记录的书</w:t>
      </w:r>
    </w:p>
    <w:p w14:paraId="25027252">
      <w:pPr>
        <w:spacing w:before="1" w:line="220" w:lineRule="auto"/>
        <w:rPr>
          <w:rFonts w:ascii="黑体" w:hAnsi="黑体" w:eastAsia="黑体" w:cs="黑体"/>
          <w:sz w:val="24"/>
          <w:szCs w:val="24"/>
        </w:rPr>
      </w:pPr>
      <w:r>
        <w:rPr>
          <w:rFonts w:ascii="黑体" w:hAnsi="黑体" w:eastAsia="黑体" w:cs="黑体"/>
          <w:spacing w:val="-1"/>
          <w:sz w:val="24"/>
          <w:szCs w:val="24"/>
        </w:rPr>
        <w:t>面声明。</w:t>
      </w:r>
    </w:p>
    <w:p w14:paraId="200BE8B0">
      <w:pPr>
        <w:spacing w:line="220" w:lineRule="auto"/>
        <w:rPr>
          <w:rFonts w:ascii="黑体" w:hAnsi="黑体" w:eastAsia="黑体" w:cs="黑体"/>
          <w:sz w:val="24"/>
          <w:szCs w:val="24"/>
        </w:rPr>
        <w:sectPr>
          <w:footerReference r:id="rId37" w:type="default"/>
          <w:pgSz w:w="11906" w:h="16839"/>
          <w:pgMar w:top="400" w:right="1422" w:bottom="1012" w:left="1431" w:header="0" w:footer="850" w:gutter="0"/>
          <w:cols w:space="720" w:num="1"/>
        </w:sectPr>
      </w:pPr>
    </w:p>
    <w:p w14:paraId="3E4BC36E">
      <w:pPr>
        <w:pStyle w:val="5"/>
        <w:spacing w:line="265" w:lineRule="auto"/>
      </w:pPr>
    </w:p>
    <w:p w14:paraId="7204C6B4">
      <w:pPr>
        <w:pStyle w:val="5"/>
        <w:spacing w:line="265" w:lineRule="auto"/>
      </w:pPr>
    </w:p>
    <w:p w14:paraId="626BE438">
      <w:pPr>
        <w:pStyle w:val="5"/>
        <w:spacing w:line="266" w:lineRule="auto"/>
      </w:pPr>
    </w:p>
    <w:p w14:paraId="1C119DFE">
      <w:pPr>
        <w:pStyle w:val="5"/>
        <w:spacing w:line="266" w:lineRule="auto"/>
      </w:pPr>
    </w:p>
    <w:p w14:paraId="64FDF4A9">
      <w:pPr>
        <w:spacing w:before="101" w:line="230" w:lineRule="auto"/>
        <w:ind w:left="22"/>
        <w:outlineLvl w:val="1"/>
        <w:rPr>
          <w:rFonts w:ascii="黑体" w:hAnsi="黑体" w:eastAsia="黑体" w:cs="黑体"/>
          <w:sz w:val="31"/>
          <w:szCs w:val="31"/>
        </w:rPr>
      </w:pPr>
      <w:r>
        <w:rPr>
          <w:rFonts w:ascii="黑体" w:hAnsi="黑体" w:eastAsia="黑体" w:cs="黑体"/>
          <w:spacing w:val="-2"/>
          <w:sz w:val="31"/>
          <w:szCs w:val="31"/>
          <w14:textOutline w14:w="5793" w14:cap="sq" w14:cmpd="sng">
            <w14:solidFill>
              <w14:srgbClr w14:val="000000"/>
            </w14:solidFill>
            <w14:prstDash w14:val="solid"/>
            <w14:bevel/>
          </w14:textOutline>
        </w:rPr>
        <w:t>附件7:</w:t>
      </w:r>
    </w:p>
    <w:p w14:paraId="4A128A7D">
      <w:pPr>
        <w:spacing w:before="255" w:line="222" w:lineRule="auto"/>
        <w:ind w:left="2886"/>
        <w:rPr>
          <w:rFonts w:hint="eastAsia" w:ascii="黑体" w:hAnsi="黑体" w:eastAsia="黑体" w:cs="黑体"/>
          <w:sz w:val="28"/>
          <w:szCs w:val="28"/>
          <w:lang w:eastAsia="zh-CN"/>
        </w:rPr>
      </w:pPr>
      <w:r>
        <w:rPr>
          <w:rFonts w:ascii="黑体" w:hAnsi="黑体" w:eastAsia="黑体" w:cs="黑体"/>
          <w:spacing w:val="2"/>
          <w:sz w:val="28"/>
          <w:szCs w:val="28"/>
          <w14:textOutline w14:w="5103" w14:cap="sq" w14:cmpd="sng">
            <w14:solidFill>
              <w14:srgbClr w14:val="000000"/>
            </w14:solidFill>
            <w14:prstDash w14:val="solid"/>
            <w14:bevel/>
          </w14:textOutline>
        </w:rPr>
        <w:t>财务审计报告</w:t>
      </w:r>
    </w:p>
    <w:p w14:paraId="69B56F28">
      <w:pPr>
        <w:pStyle w:val="5"/>
        <w:spacing w:line="332" w:lineRule="auto"/>
      </w:pPr>
    </w:p>
    <w:p w14:paraId="6DD2BBF4">
      <w:pPr>
        <w:spacing w:before="78" w:line="568" w:lineRule="exact"/>
        <w:ind w:firstLine="508" w:firstLineChars="200"/>
        <w:jc w:val="left"/>
        <w:rPr>
          <w:rFonts w:ascii="黑体" w:hAnsi="黑体" w:eastAsia="黑体" w:cs="黑体"/>
          <w:spacing w:val="7"/>
          <w:position w:val="25"/>
          <w:sz w:val="24"/>
          <w:szCs w:val="24"/>
        </w:rPr>
      </w:pPr>
      <w:r>
        <w:rPr>
          <w:rFonts w:ascii="黑体" w:hAnsi="黑体" w:eastAsia="黑体" w:cs="黑体"/>
          <w:spacing w:val="7"/>
          <w:position w:val="25"/>
          <w:sz w:val="24"/>
          <w:szCs w:val="24"/>
        </w:rPr>
        <w:t>提供</w:t>
      </w:r>
      <w:r>
        <w:rPr>
          <w:rFonts w:hint="eastAsia" w:ascii="黑体" w:hAnsi="黑体" w:eastAsia="黑体" w:cs="黑体"/>
          <w:spacing w:val="7"/>
          <w:position w:val="25"/>
          <w:sz w:val="24"/>
          <w:szCs w:val="24"/>
          <w:lang w:val="en-US" w:eastAsia="zh-CN"/>
        </w:rPr>
        <w:t>2024年度</w:t>
      </w:r>
      <w:r>
        <w:rPr>
          <w:rFonts w:ascii="黑体" w:hAnsi="黑体" w:eastAsia="黑体" w:cs="黑体"/>
          <w:spacing w:val="7"/>
          <w:position w:val="25"/>
          <w:sz w:val="24"/>
          <w:szCs w:val="24"/>
        </w:rPr>
        <w:t>内经会计师事务所或财务审计机构出具的财务审计报告，包括资产负债表、利润表、现金流量表和财务情况说明书。</w:t>
      </w:r>
    </w:p>
    <w:p w14:paraId="32F31148">
      <w:pPr>
        <w:spacing w:before="284" w:line="568" w:lineRule="exact"/>
        <w:jc w:val="right"/>
        <w:rPr>
          <w:rFonts w:ascii="黑体" w:hAnsi="黑体" w:eastAsia="黑体" w:cs="黑体"/>
          <w:sz w:val="24"/>
          <w:szCs w:val="24"/>
        </w:rPr>
      </w:pPr>
      <w:r>
        <w:rPr>
          <w:rFonts w:ascii="黑体" w:hAnsi="黑体" w:eastAsia="黑体" w:cs="黑体"/>
          <w:spacing w:val="4"/>
          <w:position w:val="25"/>
          <w:sz w:val="24"/>
          <w:szCs w:val="24"/>
          <w14:textOutline w14:w="4358" w14:cap="sq" w14:cmpd="sng">
            <w14:solidFill>
              <w14:srgbClr w14:val="000000"/>
            </w14:solidFill>
            <w14:prstDash w14:val="solid"/>
            <w14:bevel/>
          </w14:textOutline>
        </w:rPr>
        <w:t>（注：若无会计事务所或审计机构出具的财务审计报告，可提供公司内部财务报</w:t>
      </w:r>
    </w:p>
    <w:p w14:paraId="339D06A6">
      <w:pPr>
        <w:spacing w:line="223" w:lineRule="auto"/>
        <w:ind w:left="5"/>
        <w:rPr>
          <w:rFonts w:ascii="黑体" w:hAnsi="黑体" w:eastAsia="黑体" w:cs="黑体"/>
          <w:sz w:val="24"/>
          <w:szCs w:val="24"/>
        </w:rPr>
      </w:pPr>
      <w:r>
        <w:rPr>
          <w:rFonts w:ascii="黑体" w:hAnsi="黑体" w:eastAsia="黑体" w:cs="黑体"/>
          <w:spacing w:val="-7"/>
          <w:sz w:val="24"/>
          <w:szCs w:val="24"/>
          <w14:textOutline w14:w="4358" w14:cap="sq" w14:cmpd="sng">
            <w14:solidFill>
              <w14:srgbClr w14:val="000000"/>
            </w14:solidFill>
            <w14:prstDash w14:val="solid"/>
            <w14:bevel/>
          </w14:textOutline>
        </w:rPr>
        <w:t>表）</w:t>
      </w:r>
    </w:p>
    <w:p w14:paraId="41AA7775">
      <w:pPr>
        <w:spacing w:line="223" w:lineRule="auto"/>
        <w:rPr>
          <w:rFonts w:ascii="黑体" w:hAnsi="黑体" w:eastAsia="黑体" w:cs="黑体"/>
          <w:sz w:val="24"/>
          <w:szCs w:val="24"/>
        </w:rPr>
        <w:sectPr>
          <w:footerReference r:id="rId38" w:type="default"/>
          <w:pgSz w:w="11906" w:h="16839"/>
          <w:pgMar w:top="400" w:right="1422" w:bottom="1012" w:left="1423" w:header="0" w:footer="850" w:gutter="0"/>
          <w:cols w:space="720" w:num="1"/>
        </w:sectPr>
      </w:pPr>
    </w:p>
    <w:p w14:paraId="62EC9EA8">
      <w:pPr>
        <w:pStyle w:val="5"/>
        <w:spacing w:line="265" w:lineRule="auto"/>
      </w:pPr>
    </w:p>
    <w:p w14:paraId="06185126">
      <w:pPr>
        <w:pStyle w:val="5"/>
        <w:spacing w:line="265" w:lineRule="auto"/>
      </w:pPr>
    </w:p>
    <w:p w14:paraId="64EAF6F5">
      <w:pPr>
        <w:pStyle w:val="5"/>
        <w:spacing w:line="266" w:lineRule="auto"/>
      </w:pPr>
    </w:p>
    <w:p w14:paraId="2454F21F">
      <w:pPr>
        <w:pStyle w:val="5"/>
        <w:spacing w:line="266" w:lineRule="auto"/>
      </w:pPr>
    </w:p>
    <w:p w14:paraId="17A3C494">
      <w:pPr>
        <w:spacing w:before="101" w:line="230" w:lineRule="auto"/>
        <w:ind w:left="29"/>
        <w:rPr>
          <w:rFonts w:ascii="黑体" w:hAnsi="黑体" w:eastAsia="黑体" w:cs="黑体"/>
          <w:sz w:val="31"/>
          <w:szCs w:val="31"/>
        </w:rPr>
      </w:pPr>
      <w:r>
        <w:rPr>
          <w:rFonts w:ascii="黑体" w:hAnsi="黑体" w:eastAsia="黑体" w:cs="黑体"/>
          <w:spacing w:val="-1"/>
          <w:sz w:val="31"/>
          <w:szCs w:val="31"/>
          <w14:textOutline w14:w="5793" w14:cap="sq" w14:cmpd="sng">
            <w14:solidFill>
              <w14:srgbClr w14:val="000000"/>
            </w14:solidFill>
            <w14:prstDash w14:val="solid"/>
            <w14:bevel/>
          </w14:textOutline>
        </w:rPr>
        <w:t>附件8:</w:t>
      </w:r>
    </w:p>
    <w:p w14:paraId="4E04CEA0">
      <w:pPr>
        <w:spacing w:before="237" w:line="227" w:lineRule="auto"/>
        <w:ind w:left="2597"/>
        <w:outlineLvl w:val="1"/>
        <w:rPr>
          <w:rFonts w:ascii="黑体" w:hAnsi="黑体" w:eastAsia="黑体" w:cs="黑体"/>
          <w:sz w:val="31"/>
          <w:szCs w:val="31"/>
        </w:rPr>
      </w:pPr>
      <w:r>
        <w:rPr>
          <w:rFonts w:ascii="黑体" w:hAnsi="黑体" w:eastAsia="黑体" w:cs="黑体"/>
          <w:spacing w:val="14"/>
          <w:sz w:val="31"/>
          <w:szCs w:val="31"/>
          <w14:textOutline w14:w="5793" w14:cap="sq" w14:cmpd="sng">
            <w14:solidFill>
              <w14:srgbClr w14:val="000000"/>
            </w14:solidFill>
            <w14:prstDash w14:val="solid"/>
            <w14:bevel/>
          </w14:textOutline>
        </w:rPr>
        <w:t>“重法纪、讲诚信”承诺书</w:t>
      </w:r>
    </w:p>
    <w:p w14:paraId="6859E8DF">
      <w:pPr>
        <w:pStyle w:val="5"/>
        <w:spacing w:line="304" w:lineRule="auto"/>
      </w:pPr>
    </w:p>
    <w:p w14:paraId="71C6270B">
      <w:pPr>
        <w:tabs>
          <w:tab w:val="left" w:pos="145"/>
        </w:tabs>
        <w:spacing w:before="78" w:line="222" w:lineRule="auto"/>
        <w:rPr>
          <w:rFonts w:ascii="黑体" w:hAnsi="黑体" w:eastAsia="黑体" w:cs="黑体"/>
          <w:sz w:val="24"/>
          <w:szCs w:val="24"/>
        </w:rPr>
      </w:pPr>
      <w:r>
        <w:rPr>
          <w:rFonts w:ascii="黑体" w:hAnsi="黑体" w:eastAsia="黑体" w:cs="黑体"/>
          <w:sz w:val="24"/>
          <w:szCs w:val="24"/>
          <w:u w:val="single" w:color="auto"/>
        </w:rPr>
        <w:tab/>
      </w:r>
      <w:r>
        <w:rPr>
          <w:rFonts w:ascii="黑体" w:hAnsi="黑体" w:eastAsia="黑体" w:cs="黑体"/>
          <w:spacing w:val="-20"/>
          <w:sz w:val="24"/>
          <w:szCs w:val="24"/>
          <w:u w:val="single" w:color="auto"/>
        </w:rPr>
        <w:t>（采购人名称</w:t>
      </w:r>
      <w:r>
        <w:rPr>
          <w:rFonts w:ascii="黑体" w:hAnsi="黑体" w:eastAsia="黑体" w:cs="黑体"/>
          <w:spacing w:val="7"/>
          <w:sz w:val="24"/>
          <w:szCs w:val="24"/>
          <w:u w:val="single" w:color="auto"/>
        </w:rPr>
        <w:t>）</w:t>
      </w:r>
      <w:r>
        <w:rPr>
          <w:rFonts w:ascii="黑体" w:hAnsi="黑体" w:eastAsia="黑体" w:cs="黑体"/>
          <w:spacing w:val="7"/>
          <w:sz w:val="24"/>
          <w:szCs w:val="24"/>
        </w:rPr>
        <w:t>：</w:t>
      </w:r>
    </w:p>
    <w:p w14:paraId="3B7C473D">
      <w:pPr>
        <w:spacing w:before="100" w:line="360" w:lineRule="auto"/>
        <w:ind w:left="7" w:firstLine="499"/>
        <w:rPr>
          <w:rFonts w:ascii="黑体" w:hAnsi="黑体" w:eastAsia="黑体" w:cs="黑体"/>
          <w:sz w:val="24"/>
          <w:szCs w:val="24"/>
        </w:rPr>
      </w:pPr>
      <w:r>
        <w:rPr>
          <w:rFonts w:ascii="黑体" w:hAnsi="黑体" w:eastAsia="黑体" w:cs="黑体"/>
          <w:spacing w:val="8"/>
          <w:sz w:val="24"/>
          <w:szCs w:val="24"/>
        </w:rPr>
        <w:t>为积极配合防范和遏制招投标活动中不公平竞争和违规违纪行为的发生，确保</w:t>
      </w:r>
      <w:r>
        <w:rPr>
          <w:rFonts w:ascii="黑体" w:hAnsi="黑体" w:eastAsia="黑体" w:cs="黑体"/>
          <w:spacing w:val="7"/>
          <w:sz w:val="24"/>
          <w:szCs w:val="24"/>
        </w:rPr>
        <w:t>采购工作公平、公正、公开、有序进行，我公司在参与贵公司</w:t>
      </w:r>
      <w:r>
        <w:rPr>
          <w:rFonts w:ascii="黑体" w:hAnsi="黑体" w:eastAsia="黑体" w:cs="黑体"/>
          <w:spacing w:val="7"/>
          <w:sz w:val="24"/>
          <w:szCs w:val="24"/>
          <w:u w:val="single" w:color="auto"/>
        </w:rPr>
        <w:t>（项目名称）</w:t>
      </w:r>
      <w:r>
        <w:rPr>
          <w:rFonts w:ascii="黑体" w:hAnsi="黑体" w:eastAsia="黑体" w:cs="黑体"/>
          <w:spacing w:val="7"/>
          <w:sz w:val="24"/>
          <w:szCs w:val="24"/>
        </w:rPr>
        <w:t>采购活动中，保证自觉遵守《中华人民共和国政府采购</w:t>
      </w:r>
      <w:r>
        <w:rPr>
          <w:rFonts w:ascii="黑体" w:hAnsi="黑体" w:eastAsia="黑体" w:cs="黑体"/>
          <w:spacing w:val="6"/>
          <w:sz w:val="24"/>
          <w:szCs w:val="24"/>
        </w:rPr>
        <w:t>法》、《中华人民共和国政府</w:t>
      </w:r>
      <w:r>
        <w:rPr>
          <w:rFonts w:ascii="黑体" w:hAnsi="黑体" w:eastAsia="黑体" w:cs="黑体"/>
          <w:spacing w:val="8"/>
          <w:sz w:val="24"/>
          <w:szCs w:val="24"/>
        </w:rPr>
        <w:t>采购法实施条例》等国家法律法规以及廉洁自律有关规章制度，并向贵公司承诺如</w:t>
      </w:r>
    </w:p>
    <w:p w14:paraId="4E6B272D">
      <w:pPr>
        <w:spacing w:before="1" w:line="221" w:lineRule="auto"/>
        <w:ind w:left="15"/>
        <w:rPr>
          <w:rFonts w:ascii="黑体" w:hAnsi="黑体" w:eastAsia="黑体" w:cs="黑体"/>
          <w:sz w:val="24"/>
          <w:szCs w:val="24"/>
        </w:rPr>
      </w:pPr>
      <w:r>
        <w:rPr>
          <w:rFonts w:ascii="黑体" w:hAnsi="黑体" w:eastAsia="黑体" w:cs="黑体"/>
          <w:spacing w:val="-1"/>
          <w:sz w:val="24"/>
          <w:szCs w:val="24"/>
        </w:rPr>
        <w:t>下事项：</w:t>
      </w:r>
    </w:p>
    <w:p w14:paraId="6914EAC5">
      <w:pPr>
        <w:spacing w:before="180" w:line="468" w:lineRule="exact"/>
        <w:ind w:right="2"/>
        <w:jc w:val="right"/>
        <w:rPr>
          <w:rFonts w:ascii="黑体" w:hAnsi="黑体" w:eastAsia="黑体" w:cs="黑体"/>
          <w:sz w:val="24"/>
          <w:szCs w:val="24"/>
        </w:rPr>
      </w:pPr>
      <w:r>
        <w:rPr>
          <w:rFonts w:ascii="黑体" w:hAnsi="黑体" w:eastAsia="黑体" w:cs="黑体"/>
          <w:spacing w:val="3"/>
          <w:position w:val="17"/>
          <w:sz w:val="24"/>
          <w:szCs w:val="24"/>
        </w:rPr>
        <w:t>1.不以任何形式通过社会上的“代理”、“中介”、“掮客”等采取不正当手段</w:t>
      </w:r>
    </w:p>
    <w:p w14:paraId="420FE577">
      <w:pPr>
        <w:spacing w:before="1" w:line="212" w:lineRule="auto"/>
        <w:ind w:left="14"/>
        <w:rPr>
          <w:rFonts w:ascii="黑体" w:hAnsi="黑体" w:eastAsia="黑体" w:cs="黑体"/>
          <w:sz w:val="24"/>
          <w:szCs w:val="24"/>
        </w:rPr>
      </w:pPr>
      <w:r>
        <w:rPr>
          <w:rFonts w:ascii="黑体" w:hAnsi="黑体" w:eastAsia="黑体" w:cs="黑体"/>
          <w:sz w:val="24"/>
          <w:szCs w:val="24"/>
        </w:rPr>
        <w:t>谋取中标；</w:t>
      </w:r>
    </w:p>
    <w:p w14:paraId="2A95EB3D">
      <w:pPr>
        <w:spacing w:before="191" w:line="468" w:lineRule="exact"/>
        <w:ind w:right="2"/>
        <w:jc w:val="right"/>
        <w:rPr>
          <w:rFonts w:ascii="黑体" w:hAnsi="黑体" w:eastAsia="黑体" w:cs="黑体"/>
          <w:sz w:val="24"/>
          <w:szCs w:val="24"/>
        </w:rPr>
      </w:pPr>
      <w:r>
        <w:rPr>
          <w:rFonts w:ascii="黑体" w:hAnsi="黑体" w:eastAsia="黑体" w:cs="黑体"/>
          <w:spacing w:val="12"/>
          <w:position w:val="17"/>
          <w:sz w:val="24"/>
          <w:szCs w:val="24"/>
        </w:rPr>
        <w:t>2.不以任何形式打着领导及其亲友旗号或冒充</w:t>
      </w:r>
      <w:r>
        <w:rPr>
          <w:rFonts w:ascii="黑体" w:hAnsi="黑体" w:eastAsia="黑体" w:cs="黑体"/>
          <w:spacing w:val="11"/>
          <w:position w:val="17"/>
          <w:sz w:val="24"/>
          <w:szCs w:val="24"/>
        </w:rPr>
        <w:t>领导及其亲友等采取不正当手段</w:t>
      </w:r>
    </w:p>
    <w:p w14:paraId="646D81CA">
      <w:pPr>
        <w:spacing w:before="2" w:line="212" w:lineRule="auto"/>
        <w:ind w:left="14"/>
        <w:rPr>
          <w:rFonts w:ascii="黑体" w:hAnsi="黑体" w:eastAsia="黑体" w:cs="黑体"/>
          <w:sz w:val="24"/>
          <w:szCs w:val="24"/>
        </w:rPr>
      </w:pPr>
      <w:r>
        <w:rPr>
          <w:rFonts w:ascii="黑体" w:hAnsi="黑体" w:eastAsia="黑体" w:cs="黑体"/>
          <w:sz w:val="24"/>
          <w:szCs w:val="24"/>
        </w:rPr>
        <w:t>谋取中标；</w:t>
      </w:r>
    </w:p>
    <w:p w14:paraId="16593E0A">
      <w:pPr>
        <w:spacing w:before="191" w:line="360" w:lineRule="auto"/>
        <w:ind w:left="7" w:right="11" w:firstLine="493"/>
        <w:rPr>
          <w:rFonts w:ascii="黑体" w:hAnsi="黑体" w:eastAsia="黑体" w:cs="黑体"/>
          <w:sz w:val="24"/>
          <w:szCs w:val="24"/>
        </w:rPr>
      </w:pPr>
      <w:r>
        <w:rPr>
          <w:rFonts w:ascii="黑体" w:hAnsi="黑体" w:eastAsia="黑体" w:cs="黑体"/>
          <w:spacing w:val="4"/>
          <w:sz w:val="24"/>
          <w:szCs w:val="24"/>
        </w:rPr>
        <w:t>3.不以任何名义向参与采购活动、评标工作的有关人员赠送回扣、红包、礼金、</w:t>
      </w:r>
      <w:r>
        <w:rPr>
          <w:rFonts w:ascii="黑体" w:hAnsi="黑体" w:eastAsia="黑体" w:cs="黑体"/>
          <w:spacing w:val="3"/>
          <w:sz w:val="24"/>
          <w:szCs w:val="24"/>
        </w:rPr>
        <w:t>购物卡、有价证券、贵重物品和好处费、感谢费等；不以任何名义向参与采购活动、</w:t>
      </w:r>
    </w:p>
    <w:p w14:paraId="7C41BB95">
      <w:pPr>
        <w:spacing w:before="1" w:line="212" w:lineRule="auto"/>
        <w:ind w:left="8"/>
        <w:rPr>
          <w:rFonts w:ascii="黑体" w:hAnsi="黑体" w:eastAsia="黑体" w:cs="黑体"/>
          <w:sz w:val="24"/>
          <w:szCs w:val="24"/>
        </w:rPr>
      </w:pPr>
      <w:r>
        <w:rPr>
          <w:rFonts w:ascii="黑体" w:hAnsi="黑体" w:eastAsia="黑体" w:cs="黑体"/>
          <w:spacing w:val="5"/>
          <w:sz w:val="24"/>
          <w:szCs w:val="24"/>
        </w:rPr>
        <w:t>评标工作的有关人员提供高消费宴请及娱乐活动；</w:t>
      </w:r>
    </w:p>
    <w:p w14:paraId="7DDF86EA">
      <w:pPr>
        <w:spacing w:before="191" w:line="468" w:lineRule="exact"/>
        <w:jc w:val="right"/>
        <w:rPr>
          <w:rFonts w:ascii="黑体" w:hAnsi="黑体" w:eastAsia="黑体" w:cs="黑体"/>
          <w:sz w:val="24"/>
          <w:szCs w:val="24"/>
        </w:rPr>
      </w:pPr>
      <w:r>
        <w:rPr>
          <w:rFonts w:ascii="黑体" w:hAnsi="黑体" w:eastAsia="黑体" w:cs="黑体"/>
          <w:spacing w:val="4"/>
          <w:position w:val="17"/>
          <w:sz w:val="24"/>
          <w:szCs w:val="24"/>
        </w:rPr>
        <w:t>4.不以任何名义为参与采购活动、评标工作的有关人员报销应由参与采购活动、</w:t>
      </w:r>
    </w:p>
    <w:p w14:paraId="5B05FD2F">
      <w:pPr>
        <w:spacing w:before="1" w:line="212" w:lineRule="auto"/>
        <w:ind w:left="8"/>
        <w:rPr>
          <w:rFonts w:ascii="黑体" w:hAnsi="黑体" w:eastAsia="黑体" w:cs="黑体"/>
          <w:sz w:val="24"/>
          <w:szCs w:val="24"/>
        </w:rPr>
      </w:pPr>
      <w:r>
        <w:rPr>
          <w:rFonts w:ascii="黑体" w:hAnsi="黑体" w:eastAsia="黑体" w:cs="黑体"/>
          <w:spacing w:val="4"/>
          <w:sz w:val="24"/>
          <w:szCs w:val="24"/>
        </w:rPr>
        <w:t>评标工作的有关人员支付的任何费用；</w:t>
      </w:r>
    </w:p>
    <w:p w14:paraId="63F05239">
      <w:pPr>
        <w:spacing w:before="192" w:line="468" w:lineRule="exact"/>
        <w:ind w:right="2"/>
        <w:jc w:val="right"/>
        <w:rPr>
          <w:rFonts w:ascii="黑体" w:hAnsi="黑体" w:eastAsia="黑体" w:cs="黑体"/>
          <w:sz w:val="24"/>
          <w:szCs w:val="24"/>
        </w:rPr>
      </w:pPr>
      <w:r>
        <w:rPr>
          <w:rFonts w:ascii="黑体" w:hAnsi="黑体" w:eastAsia="黑体" w:cs="黑体"/>
          <w:spacing w:val="5"/>
          <w:position w:val="17"/>
          <w:sz w:val="24"/>
          <w:szCs w:val="24"/>
        </w:rPr>
        <w:t>5.不以谋取非正当利益为目的，与参与采购活动、评标工</w:t>
      </w:r>
      <w:r>
        <w:rPr>
          <w:rFonts w:ascii="黑体" w:hAnsi="黑体" w:eastAsia="黑体" w:cs="黑体"/>
          <w:spacing w:val="4"/>
          <w:position w:val="17"/>
          <w:sz w:val="24"/>
          <w:szCs w:val="24"/>
        </w:rPr>
        <w:t>作的有关人员就业务问</w:t>
      </w:r>
    </w:p>
    <w:p w14:paraId="3BC52792">
      <w:pPr>
        <w:spacing w:before="1" w:line="212" w:lineRule="auto"/>
        <w:ind w:left="7"/>
        <w:rPr>
          <w:rFonts w:ascii="黑体" w:hAnsi="黑体" w:eastAsia="黑体" w:cs="黑体"/>
          <w:sz w:val="24"/>
          <w:szCs w:val="24"/>
        </w:rPr>
      </w:pPr>
      <w:r>
        <w:rPr>
          <w:rFonts w:ascii="黑体" w:hAnsi="黑体" w:eastAsia="黑体" w:cs="黑体"/>
          <w:spacing w:val="4"/>
          <w:sz w:val="24"/>
          <w:szCs w:val="24"/>
        </w:rPr>
        <w:t>题进行私下商谈或者达成利益默契；</w:t>
      </w:r>
    </w:p>
    <w:p w14:paraId="08648771">
      <w:pPr>
        <w:spacing w:before="191" w:line="468" w:lineRule="exact"/>
        <w:jc w:val="right"/>
        <w:rPr>
          <w:rFonts w:ascii="黑体" w:hAnsi="黑体" w:eastAsia="黑体" w:cs="黑体"/>
          <w:sz w:val="24"/>
          <w:szCs w:val="24"/>
        </w:rPr>
      </w:pPr>
      <w:r>
        <w:rPr>
          <w:rFonts w:ascii="黑体" w:hAnsi="黑体" w:eastAsia="黑体" w:cs="黑体"/>
          <w:spacing w:val="5"/>
          <w:position w:val="17"/>
          <w:sz w:val="24"/>
          <w:szCs w:val="24"/>
        </w:rPr>
        <w:t>6.不以任何名义接受或暗示为参与采购活动、</w:t>
      </w:r>
      <w:r>
        <w:rPr>
          <w:rFonts w:ascii="黑体" w:hAnsi="黑体" w:eastAsia="黑体" w:cs="黑体"/>
          <w:spacing w:val="4"/>
          <w:position w:val="17"/>
          <w:sz w:val="24"/>
          <w:szCs w:val="24"/>
        </w:rPr>
        <w:t>评标工作的有关人员装修住房、婚</w:t>
      </w:r>
    </w:p>
    <w:p w14:paraId="01818222">
      <w:pPr>
        <w:spacing w:before="1" w:line="212" w:lineRule="auto"/>
        <w:ind w:left="9"/>
        <w:rPr>
          <w:rFonts w:ascii="黑体" w:hAnsi="黑体" w:eastAsia="黑体" w:cs="黑体"/>
          <w:sz w:val="24"/>
          <w:szCs w:val="24"/>
        </w:rPr>
      </w:pPr>
      <w:r>
        <w:rPr>
          <w:rFonts w:ascii="黑体" w:hAnsi="黑体" w:eastAsia="黑体" w:cs="黑体"/>
          <w:spacing w:val="4"/>
          <w:sz w:val="24"/>
          <w:szCs w:val="24"/>
        </w:rPr>
        <w:t>丧嫁娶以及境内外旅游等提供方便；</w:t>
      </w:r>
    </w:p>
    <w:p w14:paraId="1F878D29">
      <w:pPr>
        <w:spacing w:before="191" w:line="468" w:lineRule="exact"/>
        <w:ind w:right="2"/>
        <w:jc w:val="right"/>
        <w:rPr>
          <w:rFonts w:ascii="黑体" w:hAnsi="黑体" w:eastAsia="黑体" w:cs="黑体"/>
          <w:sz w:val="24"/>
          <w:szCs w:val="24"/>
        </w:rPr>
      </w:pPr>
      <w:r>
        <w:rPr>
          <w:rFonts w:ascii="黑体" w:hAnsi="黑体" w:eastAsia="黑体" w:cs="黑体"/>
          <w:spacing w:val="5"/>
          <w:position w:val="17"/>
          <w:sz w:val="24"/>
          <w:szCs w:val="24"/>
        </w:rPr>
        <w:t>7.不与采购人、采购代理机构工作人员串</w:t>
      </w:r>
      <w:r>
        <w:rPr>
          <w:rFonts w:ascii="黑体" w:hAnsi="黑体" w:eastAsia="黑体" w:cs="黑体"/>
          <w:spacing w:val="4"/>
          <w:position w:val="17"/>
          <w:sz w:val="24"/>
          <w:szCs w:val="24"/>
        </w:rPr>
        <w:t>通投标，损害国家利益、企业利益以及</w:t>
      </w:r>
    </w:p>
    <w:p w14:paraId="353F6109">
      <w:pPr>
        <w:spacing w:before="2" w:line="212" w:lineRule="auto"/>
        <w:ind w:left="11"/>
        <w:rPr>
          <w:rFonts w:ascii="黑体" w:hAnsi="黑体" w:eastAsia="黑体" w:cs="黑体"/>
          <w:sz w:val="24"/>
          <w:szCs w:val="24"/>
        </w:rPr>
      </w:pPr>
      <w:r>
        <w:rPr>
          <w:rFonts w:ascii="黑体" w:hAnsi="黑体" w:eastAsia="黑体" w:cs="黑体"/>
          <w:spacing w:val="3"/>
          <w:sz w:val="24"/>
          <w:szCs w:val="24"/>
        </w:rPr>
        <w:t>他人的合法利益；</w:t>
      </w:r>
    </w:p>
    <w:p w14:paraId="357DA84A">
      <w:pPr>
        <w:spacing w:before="191" w:line="468" w:lineRule="exact"/>
        <w:ind w:right="2"/>
        <w:jc w:val="right"/>
        <w:rPr>
          <w:rFonts w:ascii="黑体" w:hAnsi="黑体" w:eastAsia="黑体" w:cs="黑体"/>
          <w:sz w:val="24"/>
          <w:szCs w:val="24"/>
        </w:rPr>
      </w:pPr>
      <w:r>
        <w:rPr>
          <w:rFonts w:ascii="黑体" w:hAnsi="黑体" w:eastAsia="黑体" w:cs="黑体"/>
          <w:spacing w:val="5"/>
          <w:position w:val="17"/>
          <w:sz w:val="24"/>
          <w:szCs w:val="24"/>
        </w:rPr>
        <w:t>8.不以任何方式与其他供应商相互串通投标，不排</w:t>
      </w:r>
      <w:r>
        <w:rPr>
          <w:rFonts w:ascii="黑体" w:hAnsi="黑体" w:eastAsia="黑体" w:cs="黑体"/>
          <w:spacing w:val="4"/>
          <w:position w:val="17"/>
          <w:sz w:val="24"/>
          <w:szCs w:val="24"/>
        </w:rPr>
        <w:t>挤其他供应商，不损害采购人</w:t>
      </w:r>
    </w:p>
    <w:p w14:paraId="72B95816">
      <w:pPr>
        <w:spacing w:before="1" w:line="212" w:lineRule="auto"/>
        <w:ind w:left="14"/>
        <w:rPr>
          <w:rFonts w:ascii="黑体" w:hAnsi="黑体" w:eastAsia="黑体" w:cs="黑体"/>
          <w:sz w:val="24"/>
          <w:szCs w:val="24"/>
        </w:rPr>
      </w:pPr>
      <w:r>
        <w:rPr>
          <w:rFonts w:ascii="黑体" w:hAnsi="黑体" w:eastAsia="黑体" w:cs="黑体"/>
          <w:spacing w:val="3"/>
          <w:sz w:val="24"/>
          <w:szCs w:val="24"/>
        </w:rPr>
        <w:t>或其他供应商的合法权益；</w:t>
      </w:r>
    </w:p>
    <w:p w14:paraId="740E2ADF">
      <w:pPr>
        <w:spacing w:before="191" w:line="468" w:lineRule="exact"/>
        <w:jc w:val="right"/>
        <w:rPr>
          <w:rFonts w:ascii="黑体" w:hAnsi="黑体" w:eastAsia="黑体" w:cs="黑体"/>
          <w:sz w:val="24"/>
          <w:szCs w:val="24"/>
        </w:rPr>
      </w:pPr>
      <w:r>
        <w:rPr>
          <w:rFonts w:ascii="黑体" w:hAnsi="黑体" w:eastAsia="黑体" w:cs="黑体"/>
          <w:spacing w:val="4"/>
          <w:position w:val="17"/>
          <w:sz w:val="24"/>
          <w:szCs w:val="24"/>
        </w:rPr>
        <w:t>9.不采取捏造事实或者提供虚假投诉材料，恶意投诉、诋毁、排挤其他供应商；</w:t>
      </w:r>
    </w:p>
    <w:p w14:paraId="56EE47F4">
      <w:pPr>
        <w:spacing w:before="1" w:line="220" w:lineRule="auto"/>
        <w:ind w:left="513"/>
        <w:rPr>
          <w:rFonts w:ascii="黑体" w:hAnsi="黑体" w:eastAsia="黑体" w:cs="黑体"/>
          <w:sz w:val="24"/>
          <w:szCs w:val="24"/>
        </w:rPr>
      </w:pPr>
      <w:r>
        <w:rPr>
          <w:rFonts w:ascii="黑体" w:hAnsi="黑体" w:eastAsia="黑体" w:cs="黑体"/>
          <w:spacing w:val="4"/>
          <w:sz w:val="24"/>
          <w:szCs w:val="24"/>
        </w:rPr>
        <w:t>10.参与采购活动时不以任何形式提供任何虚假信息或证明文件。</w:t>
      </w:r>
    </w:p>
    <w:p w14:paraId="572E3F49">
      <w:pPr>
        <w:spacing w:before="181" w:line="468" w:lineRule="exact"/>
        <w:jc w:val="right"/>
        <w:rPr>
          <w:rFonts w:ascii="黑体" w:hAnsi="黑体" w:eastAsia="黑体" w:cs="黑体"/>
          <w:sz w:val="24"/>
          <w:szCs w:val="24"/>
        </w:rPr>
      </w:pPr>
      <w:r>
        <w:rPr>
          <w:rFonts w:ascii="黑体" w:hAnsi="黑体" w:eastAsia="黑体" w:cs="黑体"/>
          <w:spacing w:val="5"/>
          <w:position w:val="17"/>
          <w:sz w:val="24"/>
          <w:szCs w:val="24"/>
        </w:rPr>
        <w:t>贵单位既可根据国家有关单位的判决、裁定等有效文书认定我</w:t>
      </w:r>
      <w:r>
        <w:rPr>
          <w:rFonts w:ascii="黑体" w:hAnsi="黑体" w:eastAsia="黑体" w:cs="黑体"/>
          <w:spacing w:val="4"/>
          <w:position w:val="17"/>
          <w:sz w:val="24"/>
          <w:szCs w:val="24"/>
        </w:rPr>
        <w:t>公司是否违反承诺，也</w:t>
      </w:r>
    </w:p>
    <w:p w14:paraId="50796482">
      <w:pPr>
        <w:spacing w:before="1" w:line="212" w:lineRule="auto"/>
        <w:jc w:val="right"/>
        <w:rPr>
          <w:rFonts w:ascii="黑体" w:hAnsi="黑体" w:eastAsia="黑体" w:cs="黑体"/>
          <w:sz w:val="24"/>
          <w:szCs w:val="24"/>
        </w:rPr>
      </w:pPr>
      <w:r>
        <w:rPr>
          <w:rFonts w:ascii="黑体" w:hAnsi="黑体" w:eastAsia="黑体" w:cs="黑体"/>
          <w:spacing w:val="5"/>
          <w:sz w:val="24"/>
          <w:szCs w:val="24"/>
        </w:rPr>
        <w:t>有权通过对贵公司相关人员的调查来认定我公司是否违反承诺</w:t>
      </w:r>
      <w:r>
        <w:rPr>
          <w:rFonts w:ascii="黑体" w:hAnsi="黑体" w:eastAsia="黑体" w:cs="黑体"/>
          <w:spacing w:val="4"/>
          <w:sz w:val="24"/>
          <w:szCs w:val="24"/>
        </w:rPr>
        <w:t>。如违反以上承诺，我</w:t>
      </w:r>
    </w:p>
    <w:p w14:paraId="0B938721">
      <w:pPr>
        <w:spacing w:line="212" w:lineRule="auto"/>
        <w:rPr>
          <w:rFonts w:ascii="黑体" w:hAnsi="黑体" w:eastAsia="黑体" w:cs="黑体"/>
          <w:sz w:val="24"/>
          <w:szCs w:val="24"/>
        </w:rPr>
        <w:sectPr>
          <w:footerReference r:id="rId39" w:type="default"/>
          <w:pgSz w:w="11906" w:h="16839"/>
          <w:pgMar w:top="400" w:right="1420" w:bottom="1012" w:left="1416" w:header="0" w:footer="850" w:gutter="0"/>
          <w:cols w:space="720" w:num="1"/>
        </w:sectPr>
      </w:pPr>
    </w:p>
    <w:p w14:paraId="7E0107E4">
      <w:pPr>
        <w:pStyle w:val="5"/>
        <w:spacing w:line="261" w:lineRule="auto"/>
      </w:pPr>
    </w:p>
    <w:p w14:paraId="141317B7">
      <w:pPr>
        <w:pStyle w:val="5"/>
        <w:spacing w:line="262" w:lineRule="auto"/>
      </w:pPr>
    </w:p>
    <w:p w14:paraId="54FA01C7">
      <w:pPr>
        <w:pStyle w:val="5"/>
        <w:spacing w:line="262" w:lineRule="auto"/>
      </w:pPr>
    </w:p>
    <w:p w14:paraId="4C538CA3">
      <w:pPr>
        <w:pStyle w:val="5"/>
        <w:spacing w:line="262" w:lineRule="auto"/>
      </w:pPr>
    </w:p>
    <w:p w14:paraId="6A4DB3B6">
      <w:pPr>
        <w:spacing w:before="78" w:line="468" w:lineRule="exact"/>
        <w:jc w:val="right"/>
        <w:rPr>
          <w:rFonts w:ascii="黑体" w:hAnsi="黑体" w:eastAsia="黑体" w:cs="黑体"/>
          <w:sz w:val="24"/>
          <w:szCs w:val="24"/>
        </w:rPr>
      </w:pPr>
      <w:r>
        <w:rPr>
          <w:rFonts w:ascii="黑体" w:hAnsi="黑体" w:eastAsia="黑体" w:cs="黑体"/>
          <w:spacing w:val="5"/>
          <w:position w:val="17"/>
          <w:sz w:val="24"/>
          <w:szCs w:val="24"/>
        </w:rPr>
        <w:t>公司自愿接受贵公司依据有关规定对我公司的处理（包括但</w:t>
      </w:r>
      <w:r>
        <w:rPr>
          <w:rFonts w:ascii="黑体" w:hAnsi="黑体" w:eastAsia="黑体" w:cs="黑体"/>
          <w:spacing w:val="4"/>
          <w:position w:val="17"/>
          <w:sz w:val="24"/>
          <w:szCs w:val="24"/>
        </w:rPr>
        <w:t>不限于实施市场禁入、取</w:t>
      </w:r>
    </w:p>
    <w:p w14:paraId="25626728">
      <w:pPr>
        <w:spacing w:before="1" w:line="212" w:lineRule="auto"/>
        <w:rPr>
          <w:rFonts w:ascii="黑体" w:hAnsi="黑体" w:eastAsia="黑体" w:cs="黑体"/>
          <w:sz w:val="24"/>
          <w:szCs w:val="24"/>
        </w:rPr>
      </w:pPr>
      <w:r>
        <w:rPr>
          <w:rFonts w:ascii="黑体" w:hAnsi="黑体" w:eastAsia="黑体" w:cs="黑体"/>
          <w:spacing w:val="4"/>
          <w:sz w:val="24"/>
          <w:szCs w:val="24"/>
        </w:rPr>
        <w:t>消投、中标资格以及终止合同等</w:t>
      </w:r>
      <w:r>
        <w:rPr>
          <w:rFonts w:ascii="黑体" w:hAnsi="黑体" w:eastAsia="黑体" w:cs="黑体"/>
          <w:spacing w:val="23"/>
          <w:sz w:val="24"/>
          <w:szCs w:val="24"/>
        </w:rPr>
        <w:t>），</w:t>
      </w:r>
      <w:r>
        <w:rPr>
          <w:rFonts w:ascii="黑体" w:hAnsi="黑体" w:eastAsia="黑体" w:cs="黑体"/>
          <w:spacing w:val="4"/>
          <w:sz w:val="24"/>
          <w:szCs w:val="24"/>
        </w:rPr>
        <w:t>给贵公司造成损失的，予以赔偿。</w:t>
      </w:r>
    </w:p>
    <w:p w14:paraId="6CA39D99">
      <w:pPr>
        <w:spacing w:before="191" w:line="468" w:lineRule="exact"/>
        <w:jc w:val="right"/>
        <w:rPr>
          <w:rFonts w:ascii="黑体" w:hAnsi="黑体" w:eastAsia="黑体" w:cs="黑体"/>
          <w:sz w:val="24"/>
          <w:szCs w:val="24"/>
        </w:rPr>
      </w:pPr>
      <w:r>
        <w:rPr>
          <w:rFonts w:ascii="黑体" w:hAnsi="黑体" w:eastAsia="黑体" w:cs="黑体"/>
          <w:spacing w:val="5"/>
          <w:position w:val="17"/>
          <w:sz w:val="24"/>
          <w:szCs w:val="24"/>
        </w:rPr>
        <w:t>本承诺函为我公司应答此次采购项目正式文件的附件</w:t>
      </w:r>
      <w:r>
        <w:rPr>
          <w:rFonts w:ascii="黑体" w:hAnsi="黑体" w:eastAsia="黑体" w:cs="黑体"/>
          <w:spacing w:val="4"/>
          <w:position w:val="17"/>
          <w:sz w:val="24"/>
          <w:szCs w:val="24"/>
        </w:rPr>
        <w:t>，与其他响应文件具有同等</w:t>
      </w:r>
    </w:p>
    <w:p w14:paraId="1B8E08E7">
      <w:pPr>
        <w:spacing w:before="1" w:line="212" w:lineRule="auto"/>
        <w:ind w:left="1"/>
        <w:rPr>
          <w:rFonts w:ascii="黑体" w:hAnsi="黑体" w:eastAsia="黑体" w:cs="黑体"/>
          <w:sz w:val="24"/>
          <w:szCs w:val="24"/>
        </w:rPr>
      </w:pPr>
      <w:r>
        <w:rPr>
          <w:rFonts w:ascii="黑体" w:hAnsi="黑体" w:eastAsia="黑体" w:cs="黑体"/>
          <w:spacing w:val="4"/>
          <w:sz w:val="24"/>
          <w:szCs w:val="24"/>
        </w:rPr>
        <w:t>法律效力，经我公司盖章后立即生效。</w:t>
      </w:r>
    </w:p>
    <w:p w14:paraId="5BBF2EC7">
      <w:pPr>
        <w:pStyle w:val="5"/>
        <w:spacing w:line="284" w:lineRule="auto"/>
      </w:pPr>
    </w:p>
    <w:p w14:paraId="60C2032C">
      <w:pPr>
        <w:pStyle w:val="5"/>
        <w:spacing w:line="284" w:lineRule="auto"/>
      </w:pPr>
    </w:p>
    <w:p w14:paraId="34F01DFD">
      <w:pPr>
        <w:pStyle w:val="5"/>
        <w:spacing w:line="285" w:lineRule="auto"/>
      </w:pPr>
    </w:p>
    <w:p w14:paraId="3E5DC825">
      <w:pPr>
        <w:pStyle w:val="5"/>
        <w:spacing w:line="285" w:lineRule="auto"/>
      </w:pPr>
    </w:p>
    <w:p w14:paraId="68860C92">
      <w:pPr>
        <w:pStyle w:val="5"/>
        <w:spacing w:line="285" w:lineRule="auto"/>
      </w:pPr>
    </w:p>
    <w:p w14:paraId="2BF63426">
      <w:pPr>
        <w:spacing w:before="78" w:line="222" w:lineRule="auto"/>
        <w:ind w:left="3551" w:firstLine="992" w:firstLineChars="400"/>
        <w:rPr>
          <w:rFonts w:ascii="黑体" w:hAnsi="黑体" w:eastAsia="黑体" w:cs="黑体"/>
          <w:sz w:val="24"/>
          <w:szCs w:val="24"/>
        </w:rPr>
      </w:pPr>
      <w:r>
        <w:rPr>
          <w:rFonts w:ascii="黑体" w:hAnsi="黑体" w:eastAsia="黑体" w:cs="黑体"/>
          <w:spacing w:val="4"/>
          <w:sz w:val="24"/>
          <w:szCs w:val="24"/>
        </w:rPr>
        <w:t>供应商名称（盖章</w:t>
      </w:r>
      <w:r>
        <w:rPr>
          <w:rFonts w:ascii="黑体" w:hAnsi="黑体" w:eastAsia="黑体" w:cs="黑体"/>
          <w:sz w:val="24"/>
          <w:szCs w:val="24"/>
        </w:rPr>
        <w:t>）：</w:t>
      </w:r>
    </w:p>
    <w:p w14:paraId="6EC105AF">
      <w:pPr>
        <w:spacing w:before="280" w:line="222" w:lineRule="auto"/>
        <w:ind w:right="12"/>
        <w:jc w:val="right"/>
        <w:rPr>
          <w:rFonts w:ascii="黑体" w:hAnsi="黑体" w:eastAsia="黑体" w:cs="黑体"/>
          <w:sz w:val="24"/>
          <w:szCs w:val="24"/>
        </w:rPr>
      </w:pPr>
      <w:r>
        <w:rPr>
          <w:rFonts w:ascii="黑体" w:hAnsi="黑体" w:eastAsia="黑体" w:cs="黑体"/>
          <w:spacing w:val="4"/>
          <w:sz w:val="24"/>
          <w:szCs w:val="24"/>
        </w:rPr>
        <w:t>法定代表人或委托代理人（签字或盖章</w:t>
      </w:r>
      <w:r>
        <w:rPr>
          <w:rFonts w:ascii="黑体" w:hAnsi="黑体" w:eastAsia="黑体" w:cs="黑体"/>
          <w:spacing w:val="7"/>
          <w:sz w:val="24"/>
          <w:szCs w:val="24"/>
        </w:rPr>
        <w:t>）：</w:t>
      </w:r>
    </w:p>
    <w:p w14:paraId="664465C8">
      <w:pPr>
        <w:spacing w:before="283" w:line="223" w:lineRule="auto"/>
        <w:jc w:val="right"/>
        <w:outlineLvl w:val="1"/>
        <w:rPr>
          <w:rFonts w:ascii="黑体" w:hAnsi="黑体" w:eastAsia="黑体" w:cs="黑体"/>
          <w:sz w:val="24"/>
          <w:szCs w:val="24"/>
        </w:rPr>
      </w:pPr>
      <w:r>
        <w:rPr>
          <w:rFonts w:ascii="黑体" w:hAnsi="黑体" w:eastAsia="黑体" w:cs="黑体"/>
          <w:spacing w:val="-20"/>
          <w:sz w:val="24"/>
          <w:szCs w:val="24"/>
        </w:rPr>
        <w:t>日期：年月日</w:t>
      </w:r>
    </w:p>
    <w:p w14:paraId="0512CE7D">
      <w:pPr>
        <w:spacing w:line="223" w:lineRule="auto"/>
        <w:rPr>
          <w:rFonts w:ascii="黑体" w:hAnsi="黑体" w:eastAsia="黑体" w:cs="黑体"/>
          <w:sz w:val="24"/>
          <w:szCs w:val="24"/>
        </w:rPr>
        <w:sectPr>
          <w:footerReference r:id="rId40" w:type="default"/>
          <w:pgSz w:w="11906" w:h="16839"/>
          <w:pgMar w:top="400" w:right="1422" w:bottom="1009" w:left="1425" w:header="0" w:footer="850" w:gutter="0"/>
          <w:cols w:space="720" w:num="1"/>
        </w:sectPr>
      </w:pPr>
    </w:p>
    <w:p w14:paraId="6A8B659C">
      <w:pPr>
        <w:pStyle w:val="5"/>
        <w:spacing w:line="265" w:lineRule="auto"/>
      </w:pPr>
    </w:p>
    <w:p w14:paraId="59642BA2">
      <w:pPr>
        <w:pStyle w:val="5"/>
        <w:spacing w:line="265" w:lineRule="auto"/>
      </w:pPr>
    </w:p>
    <w:p w14:paraId="2EC3C48C">
      <w:pPr>
        <w:pStyle w:val="5"/>
        <w:spacing w:line="266" w:lineRule="auto"/>
      </w:pPr>
    </w:p>
    <w:p w14:paraId="09C98182">
      <w:pPr>
        <w:pStyle w:val="5"/>
        <w:spacing w:line="266" w:lineRule="auto"/>
      </w:pPr>
    </w:p>
    <w:p w14:paraId="6FD6DE6D">
      <w:pPr>
        <w:spacing w:before="101" w:line="230" w:lineRule="auto"/>
        <w:ind w:left="19"/>
        <w:rPr>
          <w:rFonts w:ascii="黑体" w:hAnsi="黑体" w:eastAsia="黑体" w:cs="黑体"/>
          <w:sz w:val="31"/>
          <w:szCs w:val="31"/>
        </w:rPr>
      </w:pPr>
      <w:r>
        <w:rPr>
          <w:rFonts w:ascii="黑体" w:hAnsi="黑体" w:eastAsia="黑体" w:cs="黑体"/>
          <w:spacing w:val="1"/>
          <w:sz w:val="31"/>
          <w:szCs w:val="31"/>
          <w14:textOutline w14:w="5793" w14:cap="sq" w14:cmpd="sng">
            <w14:solidFill>
              <w14:srgbClr w14:val="000000"/>
            </w14:solidFill>
            <w14:prstDash w14:val="solid"/>
            <w14:bevel/>
          </w14:textOutline>
        </w:rPr>
        <w:t>附件9:</w:t>
      </w:r>
    </w:p>
    <w:p w14:paraId="7DE122CE">
      <w:pPr>
        <w:spacing w:before="237" w:line="227" w:lineRule="auto"/>
        <w:ind w:left="3232"/>
        <w:outlineLvl w:val="1"/>
        <w:rPr>
          <w:rFonts w:ascii="黑体" w:hAnsi="黑体" w:eastAsia="黑体" w:cs="黑体"/>
          <w:sz w:val="31"/>
          <w:szCs w:val="31"/>
        </w:rPr>
      </w:pPr>
      <w:r>
        <w:rPr>
          <w:rFonts w:ascii="黑体" w:hAnsi="黑体" w:eastAsia="黑体" w:cs="黑体"/>
          <w:spacing w:val="14"/>
          <w:sz w:val="31"/>
          <w:szCs w:val="31"/>
          <w14:textOutline w14:w="5793" w14:cap="sq" w14:cmpd="sng">
            <w14:solidFill>
              <w14:srgbClr w14:val="000000"/>
            </w14:solidFill>
            <w14:prstDash w14:val="solid"/>
            <w14:bevel/>
          </w14:textOutline>
        </w:rPr>
        <w:t>反商业贿赂承诺书</w:t>
      </w:r>
    </w:p>
    <w:p w14:paraId="23C4C22F">
      <w:pPr>
        <w:pStyle w:val="5"/>
        <w:spacing w:line="290" w:lineRule="auto"/>
      </w:pPr>
    </w:p>
    <w:p w14:paraId="3402AC6D">
      <w:pPr>
        <w:pStyle w:val="5"/>
        <w:spacing w:line="290" w:lineRule="auto"/>
      </w:pPr>
    </w:p>
    <w:p w14:paraId="479FC253">
      <w:pPr>
        <w:pStyle w:val="5"/>
        <w:spacing w:line="290" w:lineRule="auto"/>
      </w:pPr>
    </w:p>
    <w:p w14:paraId="6E468F85">
      <w:pPr>
        <w:spacing w:before="78" w:line="571" w:lineRule="exact"/>
        <w:ind w:right="2"/>
        <w:jc w:val="right"/>
        <w:rPr>
          <w:rFonts w:ascii="黑体" w:hAnsi="黑体" w:eastAsia="黑体" w:cs="黑体"/>
          <w:sz w:val="24"/>
          <w:szCs w:val="24"/>
        </w:rPr>
      </w:pPr>
      <w:r>
        <w:rPr>
          <w:rFonts w:ascii="黑体" w:hAnsi="黑体" w:eastAsia="黑体" w:cs="黑体"/>
          <w:spacing w:val="4"/>
          <w:position w:val="25"/>
          <w:sz w:val="24"/>
          <w:szCs w:val="24"/>
        </w:rPr>
        <w:t>为了从源头上防治腐败，杜绝商业贿赂行为的发生，更好地配合采购代理机构的</w:t>
      </w:r>
    </w:p>
    <w:p w14:paraId="7C3B4EEC">
      <w:pPr>
        <w:spacing w:before="1" w:line="212" w:lineRule="auto"/>
        <w:rPr>
          <w:rFonts w:ascii="黑体" w:hAnsi="黑体" w:eastAsia="黑体" w:cs="黑体"/>
          <w:sz w:val="24"/>
          <w:szCs w:val="24"/>
        </w:rPr>
      </w:pPr>
      <w:r>
        <w:rPr>
          <w:rFonts w:ascii="黑体" w:hAnsi="黑体" w:eastAsia="黑体" w:cs="黑体"/>
          <w:spacing w:val="4"/>
          <w:sz w:val="24"/>
          <w:szCs w:val="24"/>
        </w:rPr>
        <w:t>工作，我们供应商承诺如下：</w:t>
      </w:r>
    </w:p>
    <w:p w14:paraId="27E9E9CC">
      <w:pPr>
        <w:spacing w:before="292" w:line="221" w:lineRule="auto"/>
        <w:ind w:left="503"/>
        <w:rPr>
          <w:rFonts w:ascii="黑体" w:hAnsi="黑体" w:eastAsia="黑体" w:cs="黑体"/>
          <w:sz w:val="24"/>
          <w:szCs w:val="24"/>
        </w:rPr>
      </w:pPr>
      <w:r>
        <w:rPr>
          <w:rFonts w:ascii="黑体" w:hAnsi="黑体" w:eastAsia="黑体" w:cs="黑体"/>
          <w:spacing w:val="5"/>
          <w:sz w:val="24"/>
          <w:szCs w:val="24"/>
        </w:rPr>
        <w:t>1、不以各种名义给采购代理工作人员借或送现金、</w:t>
      </w:r>
      <w:r>
        <w:rPr>
          <w:rFonts w:ascii="黑体" w:hAnsi="黑体" w:eastAsia="黑体" w:cs="黑体"/>
          <w:spacing w:val="4"/>
          <w:sz w:val="24"/>
          <w:szCs w:val="24"/>
        </w:rPr>
        <w:t>有价证券及物品。</w:t>
      </w:r>
    </w:p>
    <w:p w14:paraId="722D67D8">
      <w:pPr>
        <w:spacing w:before="284" w:line="569" w:lineRule="exact"/>
        <w:ind w:left="489"/>
        <w:rPr>
          <w:rFonts w:ascii="黑体" w:hAnsi="黑体" w:eastAsia="黑体" w:cs="黑体"/>
          <w:sz w:val="24"/>
          <w:szCs w:val="24"/>
        </w:rPr>
      </w:pPr>
      <w:r>
        <w:rPr>
          <w:rFonts w:ascii="黑体" w:hAnsi="黑体" w:eastAsia="黑体" w:cs="黑体"/>
          <w:spacing w:val="5"/>
          <w:position w:val="25"/>
          <w:sz w:val="24"/>
          <w:szCs w:val="24"/>
        </w:rPr>
        <w:t>2、不以个人名义邀请采购代理工作人员参与考察旅游活动和宴请活动。</w:t>
      </w:r>
    </w:p>
    <w:p w14:paraId="10F141BC">
      <w:pPr>
        <w:spacing w:before="1" w:line="220" w:lineRule="auto"/>
        <w:ind w:left="491"/>
        <w:rPr>
          <w:rFonts w:ascii="黑体" w:hAnsi="黑体" w:eastAsia="黑体" w:cs="黑体"/>
          <w:sz w:val="24"/>
          <w:szCs w:val="24"/>
        </w:rPr>
      </w:pPr>
      <w:r>
        <w:rPr>
          <w:rFonts w:ascii="黑体" w:hAnsi="黑体" w:eastAsia="黑体" w:cs="黑体"/>
          <w:spacing w:val="4"/>
          <w:sz w:val="24"/>
          <w:szCs w:val="24"/>
        </w:rPr>
        <w:t>3、不发生与采购事项有关的其他违规违纪行为。</w:t>
      </w:r>
    </w:p>
    <w:p w14:paraId="38779FD5">
      <w:pPr>
        <w:spacing w:before="284" w:line="569" w:lineRule="exact"/>
        <w:ind w:right="26"/>
        <w:jc w:val="right"/>
        <w:rPr>
          <w:rFonts w:ascii="黑体" w:hAnsi="黑体" w:eastAsia="黑体" w:cs="黑体"/>
          <w:sz w:val="24"/>
          <w:szCs w:val="24"/>
        </w:rPr>
      </w:pPr>
      <w:r>
        <w:rPr>
          <w:rFonts w:ascii="黑体" w:hAnsi="黑体" w:eastAsia="黑体" w:cs="黑体"/>
          <w:spacing w:val="6"/>
          <w:position w:val="25"/>
          <w:sz w:val="24"/>
          <w:szCs w:val="24"/>
        </w:rPr>
        <w:t>4、如违反其中一项，同意将我公司列入政府</w:t>
      </w:r>
      <w:r>
        <w:rPr>
          <w:rFonts w:ascii="黑体" w:hAnsi="黑体" w:eastAsia="黑体" w:cs="黑体"/>
          <w:spacing w:val="5"/>
          <w:position w:val="25"/>
          <w:sz w:val="24"/>
          <w:szCs w:val="24"/>
        </w:rPr>
        <w:t>采购黑名单并终止投标资格，今后</w:t>
      </w:r>
    </w:p>
    <w:p w14:paraId="13EE4046">
      <w:pPr>
        <w:spacing w:before="1" w:line="212" w:lineRule="auto"/>
        <w:ind w:left="1"/>
        <w:rPr>
          <w:rFonts w:ascii="黑体" w:hAnsi="黑体" w:eastAsia="黑体" w:cs="黑体"/>
          <w:sz w:val="24"/>
          <w:szCs w:val="24"/>
        </w:rPr>
      </w:pPr>
      <w:r>
        <w:rPr>
          <w:rFonts w:ascii="黑体" w:hAnsi="黑体" w:eastAsia="黑体" w:cs="黑体"/>
          <w:spacing w:val="5"/>
          <w:sz w:val="24"/>
          <w:szCs w:val="24"/>
        </w:rPr>
        <w:t>不得参与我市政府采购活动，触犯法律由司法部门处</w:t>
      </w:r>
      <w:r>
        <w:rPr>
          <w:rFonts w:ascii="黑体" w:hAnsi="黑体" w:eastAsia="黑体" w:cs="黑体"/>
          <w:spacing w:val="4"/>
          <w:sz w:val="24"/>
          <w:szCs w:val="24"/>
        </w:rPr>
        <w:t>理。</w:t>
      </w:r>
    </w:p>
    <w:p w14:paraId="3F3967D9">
      <w:pPr>
        <w:pStyle w:val="5"/>
        <w:spacing w:line="272" w:lineRule="auto"/>
      </w:pPr>
    </w:p>
    <w:p w14:paraId="0F2C007D">
      <w:pPr>
        <w:pStyle w:val="5"/>
        <w:spacing w:line="272" w:lineRule="auto"/>
      </w:pPr>
    </w:p>
    <w:p w14:paraId="7A6E6A02">
      <w:pPr>
        <w:pStyle w:val="5"/>
        <w:spacing w:line="272" w:lineRule="auto"/>
      </w:pPr>
    </w:p>
    <w:p w14:paraId="1FAC493F">
      <w:pPr>
        <w:pStyle w:val="5"/>
        <w:spacing w:line="273" w:lineRule="auto"/>
      </w:pPr>
    </w:p>
    <w:p w14:paraId="21297287">
      <w:pPr>
        <w:spacing w:before="79" w:line="222" w:lineRule="auto"/>
        <w:ind w:left="4411"/>
        <w:rPr>
          <w:rFonts w:ascii="黑体" w:hAnsi="黑体" w:eastAsia="黑体" w:cs="黑体"/>
          <w:sz w:val="24"/>
          <w:szCs w:val="24"/>
        </w:rPr>
      </w:pPr>
      <w:r>
        <w:rPr>
          <w:rFonts w:ascii="黑体" w:hAnsi="黑体" w:eastAsia="黑体" w:cs="黑体"/>
          <w:spacing w:val="4"/>
          <w:sz w:val="24"/>
          <w:szCs w:val="24"/>
        </w:rPr>
        <w:t>供应商名称（盖章</w:t>
      </w:r>
      <w:r>
        <w:rPr>
          <w:rFonts w:ascii="黑体" w:hAnsi="黑体" w:eastAsia="黑体" w:cs="黑体"/>
          <w:sz w:val="24"/>
          <w:szCs w:val="24"/>
        </w:rPr>
        <w:t>）：</w:t>
      </w:r>
    </w:p>
    <w:p w14:paraId="0ED92C5B">
      <w:pPr>
        <w:spacing w:before="282" w:line="222" w:lineRule="auto"/>
        <w:ind w:right="12"/>
        <w:jc w:val="right"/>
        <w:rPr>
          <w:rFonts w:ascii="黑体" w:hAnsi="黑体" w:eastAsia="黑体" w:cs="黑体"/>
          <w:sz w:val="24"/>
          <w:szCs w:val="24"/>
        </w:rPr>
      </w:pPr>
      <w:r>
        <w:rPr>
          <w:rFonts w:ascii="黑体" w:hAnsi="黑体" w:eastAsia="黑体" w:cs="黑体"/>
          <w:spacing w:val="4"/>
          <w:sz w:val="24"/>
          <w:szCs w:val="24"/>
        </w:rPr>
        <w:t>法定代表人或委托代理人（签字或盖章</w:t>
      </w:r>
      <w:r>
        <w:rPr>
          <w:rFonts w:ascii="黑体" w:hAnsi="黑体" w:eastAsia="黑体" w:cs="黑体"/>
          <w:spacing w:val="7"/>
          <w:sz w:val="24"/>
          <w:szCs w:val="24"/>
        </w:rPr>
        <w:t>）：</w:t>
      </w:r>
    </w:p>
    <w:p w14:paraId="1A2FB6A1">
      <w:pPr>
        <w:spacing w:before="281" w:line="223" w:lineRule="auto"/>
        <w:jc w:val="right"/>
        <w:rPr>
          <w:rFonts w:ascii="黑体" w:hAnsi="黑体" w:eastAsia="黑体" w:cs="黑体"/>
          <w:sz w:val="24"/>
          <w:szCs w:val="24"/>
        </w:rPr>
      </w:pPr>
      <w:r>
        <w:rPr>
          <w:rFonts w:ascii="黑体" w:hAnsi="黑体" w:eastAsia="黑体" w:cs="黑体"/>
          <w:spacing w:val="-20"/>
          <w:sz w:val="24"/>
          <w:szCs w:val="24"/>
        </w:rPr>
        <w:t>日期：年月日</w:t>
      </w:r>
    </w:p>
    <w:p w14:paraId="3216E88F">
      <w:pPr>
        <w:spacing w:line="223" w:lineRule="auto"/>
        <w:rPr>
          <w:rFonts w:ascii="黑体" w:hAnsi="黑体" w:eastAsia="黑体" w:cs="黑体"/>
          <w:sz w:val="24"/>
          <w:szCs w:val="24"/>
        </w:rPr>
        <w:sectPr>
          <w:footerReference r:id="rId41" w:type="default"/>
          <w:pgSz w:w="11906" w:h="16839"/>
          <w:pgMar w:top="400" w:right="1422" w:bottom="1012" w:left="1426" w:header="0" w:footer="850" w:gutter="0"/>
          <w:cols w:space="720" w:num="1"/>
        </w:sectPr>
      </w:pPr>
    </w:p>
    <w:p w14:paraId="609E548D">
      <w:pPr>
        <w:pStyle w:val="5"/>
        <w:spacing w:line="265" w:lineRule="auto"/>
      </w:pPr>
    </w:p>
    <w:p w14:paraId="7C94A116">
      <w:pPr>
        <w:pStyle w:val="5"/>
        <w:spacing w:line="265" w:lineRule="auto"/>
      </w:pPr>
    </w:p>
    <w:p w14:paraId="7163F435">
      <w:pPr>
        <w:pStyle w:val="5"/>
        <w:spacing w:line="266" w:lineRule="auto"/>
      </w:pPr>
    </w:p>
    <w:p w14:paraId="3F9004DD">
      <w:pPr>
        <w:pStyle w:val="5"/>
        <w:spacing w:line="266" w:lineRule="auto"/>
      </w:pPr>
    </w:p>
    <w:p w14:paraId="6DD75E84">
      <w:pPr>
        <w:spacing w:before="101" w:line="230" w:lineRule="auto"/>
        <w:ind w:left="615"/>
        <w:rPr>
          <w:rFonts w:ascii="黑体" w:hAnsi="黑体" w:eastAsia="黑体" w:cs="黑体"/>
          <w:sz w:val="31"/>
          <w:szCs w:val="31"/>
        </w:rPr>
      </w:pPr>
      <w:r>
        <w:rPr>
          <w:rFonts w:ascii="黑体" w:hAnsi="黑体" w:eastAsia="黑体" w:cs="黑体"/>
          <w:spacing w:val="-3"/>
          <w:sz w:val="31"/>
          <w:szCs w:val="31"/>
          <w14:textOutline w14:w="5793" w14:cap="sq" w14:cmpd="sng">
            <w14:solidFill>
              <w14:srgbClr w14:val="000000"/>
            </w14:solidFill>
            <w14:prstDash w14:val="solid"/>
            <w14:bevel/>
          </w14:textOutline>
        </w:rPr>
        <w:t>附件10:</w:t>
      </w:r>
    </w:p>
    <w:p w14:paraId="3A2983E5">
      <w:pPr>
        <w:spacing w:before="238" w:line="226" w:lineRule="auto"/>
        <w:ind w:left="4000"/>
        <w:outlineLvl w:val="2"/>
        <w:rPr>
          <w:rFonts w:ascii="黑体" w:hAnsi="黑体" w:eastAsia="黑体" w:cs="黑体"/>
          <w:sz w:val="31"/>
          <w:szCs w:val="31"/>
        </w:rPr>
      </w:pPr>
      <w:r>
        <w:rPr>
          <w:rFonts w:ascii="黑体" w:hAnsi="黑体" w:eastAsia="黑体" w:cs="黑体"/>
          <w:spacing w:val="12"/>
          <w:sz w:val="31"/>
          <w:szCs w:val="31"/>
          <w14:textOutline w14:w="5793" w14:cap="sq" w14:cmpd="sng">
            <w14:solidFill>
              <w14:srgbClr w14:val="000000"/>
            </w14:solidFill>
            <w14:prstDash w14:val="solid"/>
            <w14:bevel/>
          </w14:textOutline>
        </w:rPr>
        <w:t>商务条款偏离表</w:t>
      </w:r>
    </w:p>
    <w:p w14:paraId="615220AD">
      <w:pPr>
        <w:spacing w:before="268" w:line="222" w:lineRule="auto"/>
        <w:ind w:left="703"/>
        <w:rPr>
          <w:rFonts w:ascii="黑体" w:hAnsi="黑体" w:eastAsia="黑体" w:cs="黑体"/>
          <w:sz w:val="24"/>
          <w:szCs w:val="24"/>
        </w:rPr>
      </w:pPr>
      <w:r>
        <w:rPr>
          <w:rFonts w:ascii="黑体" w:hAnsi="黑体" w:eastAsia="黑体" w:cs="黑体"/>
          <w:spacing w:val="1"/>
          <w:sz w:val="24"/>
          <w:szCs w:val="24"/>
        </w:rPr>
        <w:t>项目名称：</w:t>
      </w:r>
    </w:p>
    <w:p w14:paraId="78520E1D">
      <w:pPr>
        <w:spacing w:line="14" w:lineRule="exact"/>
      </w:pPr>
    </w:p>
    <w:tbl>
      <w:tblPr>
        <w:tblStyle w:val="13"/>
        <w:tblW w:w="1024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95"/>
        <w:gridCol w:w="1668"/>
        <w:gridCol w:w="2263"/>
        <w:gridCol w:w="2194"/>
        <w:gridCol w:w="1427"/>
        <w:gridCol w:w="1893"/>
      </w:tblGrid>
      <w:tr w14:paraId="79602E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5" w:hRule="atLeast"/>
        </w:trPr>
        <w:tc>
          <w:tcPr>
            <w:tcW w:w="795" w:type="dxa"/>
            <w:vAlign w:val="top"/>
          </w:tcPr>
          <w:p w14:paraId="0B7999D9">
            <w:pPr>
              <w:spacing w:line="242" w:lineRule="auto"/>
              <w:rPr>
                <w:rFonts w:ascii="Arial"/>
                <w:sz w:val="21"/>
              </w:rPr>
            </w:pPr>
          </w:p>
          <w:p w14:paraId="0948A932">
            <w:pPr>
              <w:pStyle w:val="14"/>
              <w:spacing w:before="78" w:line="223" w:lineRule="auto"/>
              <w:ind w:left="158"/>
            </w:pPr>
            <w:r>
              <w:rPr>
                <w:spacing w:val="-3"/>
              </w:rPr>
              <w:t>序号</w:t>
            </w:r>
          </w:p>
        </w:tc>
        <w:tc>
          <w:tcPr>
            <w:tcW w:w="1668" w:type="dxa"/>
            <w:vAlign w:val="top"/>
          </w:tcPr>
          <w:p w14:paraId="4E203FC4">
            <w:pPr>
              <w:pStyle w:val="14"/>
              <w:spacing w:before="165" w:line="222" w:lineRule="auto"/>
              <w:ind w:left="345"/>
            </w:pPr>
            <w:r>
              <w:rPr>
                <w:spacing w:val="2"/>
              </w:rPr>
              <w:t>采购文件</w:t>
            </w:r>
          </w:p>
          <w:p w14:paraId="390C2298">
            <w:pPr>
              <w:pStyle w:val="14"/>
              <w:spacing w:before="23" w:line="223" w:lineRule="auto"/>
              <w:ind w:left="470"/>
            </w:pPr>
            <w:r>
              <w:t>条目号</w:t>
            </w:r>
          </w:p>
        </w:tc>
        <w:tc>
          <w:tcPr>
            <w:tcW w:w="2263" w:type="dxa"/>
            <w:vAlign w:val="top"/>
          </w:tcPr>
          <w:p w14:paraId="09279E2E">
            <w:pPr>
              <w:pStyle w:val="14"/>
              <w:spacing w:before="165"/>
              <w:ind w:left="645"/>
            </w:pPr>
            <w:r>
              <w:rPr>
                <w:spacing w:val="2"/>
              </w:rPr>
              <w:t>采购文件</w:t>
            </w:r>
          </w:p>
          <w:p w14:paraId="36E21C9A">
            <w:pPr>
              <w:pStyle w:val="14"/>
              <w:spacing w:before="1" w:line="220" w:lineRule="auto"/>
              <w:ind w:left="535"/>
            </w:pPr>
            <w:r>
              <w:t>的商务条款</w:t>
            </w:r>
          </w:p>
        </w:tc>
        <w:tc>
          <w:tcPr>
            <w:tcW w:w="2194" w:type="dxa"/>
            <w:vAlign w:val="top"/>
          </w:tcPr>
          <w:p w14:paraId="038E06C9">
            <w:pPr>
              <w:pStyle w:val="14"/>
              <w:spacing w:before="165"/>
              <w:ind w:left="609"/>
            </w:pPr>
            <w:r>
              <w:rPr>
                <w:spacing w:val="2"/>
              </w:rPr>
              <w:t>投标文件</w:t>
            </w:r>
          </w:p>
          <w:p w14:paraId="4F6CD3DD">
            <w:pPr>
              <w:pStyle w:val="14"/>
              <w:spacing w:before="1" w:line="220" w:lineRule="auto"/>
              <w:ind w:left="502"/>
            </w:pPr>
            <w:r>
              <w:t>的商务条款</w:t>
            </w:r>
          </w:p>
        </w:tc>
        <w:tc>
          <w:tcPr>
            <w:tcW w:w="1427" w:type="dxa"/>
            <w:vAlign w:val="top"/>
          </w:tcPr>
          <w:p w14:paraId="4C8AE072">
            <w:pPr>
              <w:spacing w:line="242" w:lineRule="auto"/>
              <w:rPr>
                <w:rFonts w:ascii="Arial"/>
                <w:sz w:val="21"/>
              </w:rPr>
            </w:pPr>
          </w:p>
          <w:p w14:paraId="6E5953CC">
            <w:pPr>
              <w:pStyle w:val="14"/>
              <w:spacing w:before="78" w:line="222" w:lineRule="auto"/>
              <w:ind w:left="230"/>
            </w:pPr>
            <w:r>
              <w:rPr>
                <w:spacing w:val="1"/>
              </w:rPr>
              <w:t>有无偏离</w:t>
            </w:r>
          </w:p>
        </w:tc>
        <w:tc>
          <w:tcPr>
            <w:tcW w:w="1893" w:type="dxa"/>
            <w:vAlign w:val="top"/>
          </w:tcPr>
          <w:p w14:paraId="4D7C16DE">
            <w:pPr>
              <w:spacing w:line="241" w:lineRule="auto"/>
              <w:rPr>
                <w:rFonts w:ascii="Arial"/>
                <w:sz w:val="21"/>
              </w:rPr>
            </w:pPr>
          </w:p>
          <w:p w14:paraId="4F5551D1">
            <w:pPr>
              <w:pStyle w:val="14"/>
              <w:spacing w:before="78" w:line="221" w:lineRule="auto"/>
              <w:ind w:left="459"/>
            </w:pPr>
            <w:r>
              <w:rPr>
                <w:spacing w:val="2"/>
              </w:rPr>
              <w:t>偏离说明</w:t>
            </w:r>
          </w:p>
        </w:tc>
      </w:tr>
      <w:tr w14:paraId="0111C5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1" w:hRule="atLeast"/>
        </w:trPr>
        <w:tc>
          <w:tcPr>
            <w:tcW w:w="795" w:type="dxa"/>
            <w:vAlign w:val="center"/>
          </w:tcPr>
          <w:p w14:paraId="2D3996A3">
            <w:pPr>
              <w:jc w:val="both"/>
              <w:rPr>
                <w:rFonts w:hint="eastAsia" w:ascii="Arial" w:eastAsia="宋体"/>
                <w:sz w:val="21"/>
                <w:lang w:val="en-US" w:eastAsia="zh-CN"/>
              </w:rPr>
            </w:pPr>
            <w:r>
              <w:rPr>
                <w:rFonts w:hint="eastAsia" w:eastAsia="宋体"/>
                <w:sz w:val="21"/>
                <w:lang w:val="en-US" w:eastAsia="zh-CN"/>
              </w:rPr>
              <w:t>1</w:t>
            </w:r>
          </w:p>
        </w:tc>
        <w:tc>
          <w:tcPr>
            <w:tcW w:w="1668" w:type="dxa"/>
            <w:vAlign w:val="center"/>
          </w:tcPr>
          <w:p w14:paraId="73F24DA3">
            <w:pPr>
              <w:jc w:val="both"/>
              <w:rPr>
                <w:rFonts w:ascii="Arial"/>
                <w:sz w:val="21"/>
              </w:rPr>
            </w:pPr>
          </w:p>
        </w:tc>
        <w:tc>
          <w:tcPr>
            <w:tcW w:w="2263" w:type="dxa"/>
            <w:vAlign w:val="center"/>
          </w:tcPr>
          <w:p w14:paraId="58682994">
            <w:pPr>
              <w:jc w:val="both"/>
              <w:rPr>
                <w:rFonts w:hint="eastAsia" w:ascii="Arial" w:eastAsia="宋体"/>
                <w:sz w:val="21"/>
                <w:lang w:val="en-US" w:eastAsia="zh-CN"/>
              </w:rPr>
            </w:pPr>
            <w:r>
              <w:rPr>
                <w:rFonts w:hint="eastAsia" w:eastAsia="宋体"/>
                <w:sz w:val="21"/>
                <w:lang w:val="en-US" w:eastAsia="zh-CN"/>
              </w:rPr>
              <w:t>营业执照</w:t>
            </w:r>
          </w:p>
        </w:tc>
        <w:tc>
          <w:tcPr>
            <w:tcW w:w="2194" w:type="dxa"/>
            <w:vAlign w:val="top"/>
          </w:tcPr>
          <w:p w14:paraId="490456E5">
            <w:pPr>
              <w:rPr>
                <w:rFonts w:ascii="Arial"/>
                <w:sz w:val="21"/>
              </w:rPr>
            </w:pPr>
          </w:p>
        </w:tc>
        <w:tc>
          <w:tcPr>
            <w:tcW w:w="1427" w:type="dxa"/>
            <w:vAlign w:val="top"/>
          </w:tcPr>
          <w:p w14:paraId="7326B58B">
            <w:pPr>
              <w:rPr>
                <w:rFonts w:ascii="Arial"/>
                <w:sz w:val="21"/>
              </w:rPr>
            </w:pPr>
          </w:p>
        </w:tc>
        <w:tc>
          <w:tcPr>
            <w:tcW w:w="1893" w:type="dxa"/>
            <w:vAlign w:val="top"/>
          </w:tcPr>
          <w:p w14:paraId="01EC4AD3">
            <w:pPr>
              <w:rPr>
                <w:rFonts w:ascii="Arial"/>
                <w:sz w:val="21"/>
              </w:rPr>
            </w:pPr>
          </w:p>
        </w:tc>
      </w:tr>
      <w:tr w14:paraId="47A586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1" w:hRule="atLeast"/>
        </w:trPr>
        <w:tc>
          <w:tcPr>
            <w:tcW w:w="795" w:type="dxa"/>
            <w:vAlign w:val="center"/>
          </w:tcPr>
          <w:p w14:paraId="39D19E47">
            <w:pPr>
              <w:jc w:val="both"/>
              <w:rPr>
                <w:rFonts w:hint="eastAsia" w:ascii="Arial" w:eastAsia="宋体"/>
                <w:sz w:val="21"/>
                <w:lang w:val="en-US" w:eastAsia="zh-CN"/>
              </w:rPr>
            </w:pPr>
            <w:r>
              <w:rPr>
                <w:rFonts w:hint="eastAsia" w:eastAsia="宋体"/>
                <w:sz w:val="21"/>
                <w:lang w:val="en-US" w:eastAsia="zh-CN"/>
              </w:rPr>
              <w:t>2</w:t>
            </w:r>
          </w:p>
        </w:tc>
        <w:tc>
          <w:tcPr>
            <w:tcW w:w="1668" w:type="dxa"/>
            <w:vAlign w:val="center"/>
          </w:tcPr>
          <w:p w14:paraId="281469E5">
            <w:pPr>
              <w:jc w:val="both"/>
              <w:rPr>
                <w:rFonts w:ascii="Arial"/>
                <w:sz w:val="21"/>
              </w:rPr>
            </w:pPr>
          </w:p>
        </w:tc>
        <w:tc>
          <w:tcPr>
            <w:tcW w:w="2263" w:type="dxa"/>
            <w:vAlign w:val="center"/>
          </w:tcPr>
          <w:p w14:paraId="1FE4CF55">
            <w:pPr>
              <w:jc w:val="both"/>
              <w:rPr>
                <w:rFonts w:hint="default" w:ascii="Arial" w:eastAsia="宋体"/>
                <w:sz w:val="21"/>
                <w:lang w:val="en-US" w:eastAsia="zh-CN"/>
              </w:rPr>
            </w:pPr>
            <w:r>
              <w:rPr>
                <w:rFonts w:hint="eastAsia" w:eastAsia="宋体"/>
                <w:sz w:val="21"/>
                <w:lang w:val="en-US" w:eastAsia="zh-CN"/>
              </w:rPr>
              <w:t>资质证书</w:t>
            </w:r>
          </w:p>
        </w:tc>
        <w:tc>
          <w:tcPr>
            <w:tcW w:w="2194" w:type="dxa"/>
            <w:vAlign w:val="top"/>
          </w:tcPr>
          <w:p w14:paraId="3D3D4F94">
            <w:pPr>
              <w:rPr>
                <w:rFonts w:ascii="Arial"/>
                <w:sz w:val="21"/>
              </w:rPr>
            </w:pPr>
          </w:p>
        </w:tc>
        <w:tc>
          <w:tcPr>
            <w:tcW w:w="1427" w:type="dxa"/>
            <w:vAlign w:val="top"/>
          </w:tcPr>
          <w:p w14:paraId="160A4892">
            <w:pPr>
              <w:rPr>
                <w:rFonts w:ascii="Arial"/>
                <w:sz w:val="21"/>
              </w:rPr>
            </w:pPr>
          </w:p>
        </w:tc>
        <w:tc>
          <w:tcPr>
            <w:tcW w:w="1893" w:type="dxa"/>
            <w:vAlign w:val="top"/>
          </w:tcPr>
          <w:p w14:paraId="62DDF39D">
            <w:pPr>
              <w:rPr>
                <w:rFonts w:ascii="Arial"/>
                <w:sz w:val="21"/>
              </w:rPr>
            </w:pPr>
          </w:p>
        </w:tc>
      </w:tr>
      <w:tr w14:paraId="18EFEF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1" w:hRule="atLeast"/>
        </w:trPr>
        <w:tc>
          <w:tcPr>
            <w:tcW w:w="795" w:type="dxa"/>
            <w:vAlign w:val="center"/>
          </w:tcPr>
          <w:p w14:paraId="61CEB00E">
            <w:pPr>
              <w:jc w:val="both"/>
              <w:rPr>
                <w:rFonts w:hint="eastAsia" w:ascii="Arial" w:eastAsia="宋体"/>
                <w:sz w:val="21"/>
                <w:lang w:val="en-US" w:eastAsia="zh-CN"/>
              </w:rPr>
            </w:pPr>
            <w:r>
              <w:rPr>
                <w:rFonts w:hint="eastAsia" w:eastAsia="宋体"/>
                <w:sz w:val="21"/>
                <w:lang w:val="en-US" w:eastAsia="zh-CN"/>
              </w:rPr>
              <w:t>3</w:t>
            </w:r>
          </w:p>
        </w:tc>
        <w:tc>
          <w:tcPr>
            <w:tcW w:w="1668" w:type="dxa"/>
            <w:vAlign w:val="center"/>
          </w:tcPr>
          <w:p w14:paraId="1C485495">
            <w:pPr>
              <w:jc w:val="both"/>
              <w:rPr>
                <w:rFonts w:ascii="Arial"/>
                <w:sz w:val="21"/>
              </w:rPr>
            </w:pPr>
          </w:p>
        </w:tc>
        <w:tc>
          <w:tcPr>
            <w:tcW w:w="2263" w:type="dxa"/>
            <w:vAlign w:val="center"/>
          </w:tcPr>
          <w:p w14:paraId="4DB149F6">
            <w:pPr>
              <w:jc w:val="both"/>
              <w:rPr>
                <w:rFonts w:hint="default" w:ascii="Arial" w:eastAsia="宋体"/>
                <w:sz w:val="21"/>
                <w:lang w:val="en-US" w:eastAsia="zh-CN"/>
              </w:rPr>
            </w:pPr>
            <w:r>
              <w:rPr>
                <w:rFonts w:hint="eastAsia" w:eastAsia="宋体"/>
                <w:sz w:val="21"/>
                <w:lang w:val="en-US" w:eastAsia="zh-CN"/>
              </w:rPr>
              <w:t>安全生产许可证</w:t>
            </w:r>
          </w:p>
        </w:tc>
        <w:tc>
          <w:tcPr>
            <w:tcW w:w="2194" w:type="dxa"/>
            <w:vAlign w:val="top"/>
          </w:tcPr>
          <w:p w14:paraId="458ABC5D">
            <w:pPr>
              <w:rPr>
                <w:rFonts w:ascii="Arial"/>
                <w:sz w:val="21"/>
              </w:rPr>
            </w:pPr>
          </w:p>
        </w:tc>
        <w:tc>
          <w:tcPr>
            <w:tcW w:w="1427" w:type="dxa"/>
            <w:vAlign w:val="top"/>
          </w:tcPr>
          <w:p w14:paraId="3FF846E9">
            <w:pPr>
              <w:rPr>
                <w:rFonts w:ascii="Arial"/>
                <w:sz w:val="21"/>
              </w:rPr>
            </w:pPr>
          </w:p>
        </w:tc>
        <w:tc>
          <w:tcPr>
            <w:tcW w:w="1893" w:type="dxa"/>
            <w:vAlign w:val="top"/>
          </w:tcPr>
          <w:p w14:paraId="30B34D3A">
            <w:pPr>
              <w:rPr>
                <w:rFonts w:ascii="Arial"/>
                <w:sz w:val="21"/>
              </w:rPr>
            </w:pPr>
          </w:p>
        </w:tc>
      </w:tr>
      <w:tr w14:paraId="7D279A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2" w:hRule="atLeast"/>
        </w:trPr>
        <w:tc>
          <w:tcPr>
            <w:tcW w:w="795" w:type="dxa"/>
            <w:vAlign w:val="center"/>
          </w:tcPr>
          <w:p w14:paraId="71D66C36">
            <w:pPr>
              <w:jc w:val="both"/>
              <w:rPr>
                <w:rFonts w:hint="eastAsia" w:ascii="Arial" w:eastAsia="宋体"/>
                <w:sz w:val="21"/>
                <w:lang w:val="en-US" w:eastAsia="zh-CN"/>
              </w:rPr>
            </w:pPr>
            <w:r>
              <w:rPr>
                <w:rFonts w:hint="eastAsia" w:eastAsia="宋体"/>
                <w:sz w:val="21"/>
                <w:lang w:val="en-US" w:eastAsia="zh-CN"/>
              </w:rPr>
              <w:t>4</w:t>
            </w:r>
          </w:p>
        </w:tc>
        <w:tc>
          <w:tcPr>
            <w:tcW w:w="1668" w:type="dxa"/>
            <w:vAlign w:val="center"/>
          </w:tcPr>
          <w:p w14:paraId="24B843FE">
            <w:pPr>
              <w:jc w:val="both"/>
              <w:rPr>
                <w:rFonts w:ascii="Arial"/>
                <w:sz w:val="21"/>
              </w:rPr>
            </w:pPr>
          </w:p>
        </w:tc>
        <w:tc>
          <w:tcPr>
            <w:tcW w:w="2263" w:type="dxa"/>
            <w:vAlign w:val="center"/>
          </w:tcPr>
          <w:p w14:paraId="708925C1">
            <w:pPr>
              <w:jc w:val="both"/>
              <w:rPr>
                <w:rFonts w:hint="default" w:ascii="Arial" w:eastAsia="宋体"/>
                <w:sz w:val="21"/>
                <w:lang w:val="en-US" w:eastAsia="zh-CN"/>
              </w:rPr>
            </w:pPr>
            <w:r>
              <w:rPr>
                <w:rFonts w:hint="eastAsia" w:eastAsia="宋体"/>
                <w:sz w:val="21"/>
                <w:lang w:val="en-US" w:eastAsia="zh-CN"/>
              </w:rPr>
              <w:t>项目负责人职称证、执业资格证书、安全生产考核合格证书</w:t>
            </w:r>
          </w:p>
        </w:tc>
        <w:tc>
          <w:tcPr>
            <w:tcW w:w="2194" w:type="dxa"/>
            <w:vAlign w:val="top"/>
          </w:tcPr>
          <w:p w14:paraId="09F0671C">
            <w:pPr>
              <w:rPr>
                <w:rFonts w:ascii="Arial"/>
                <w:sz w:val="21"/>
              </w:rPr>
            </w:pPr>
          </w:p>
        </w:tc>
        <w:tc>
          <w:tcPr>
            <w:tcW w:w="1427" w:type="dxa"/>
            <w:vAlign w:val="top"/>
          </w:tcPr>
          <w:p w14:paraId="7BF9195F">
            <w:pPr>
              <w:rPr>
                <w:rFonts w:ascii="Arial"/>
                <w:sz w:val="21"/>
              </w:rPr>
            </w:pPr>
          </w:p>
        </w:tc>
        <w:tc>
          <w:tcPr>
            <w:tcW w:w="1893" w:type="dxa"/>
            <w:vAlign w:val="top"/>
          </w:tcPr>
          <w:p w14:paraId="0E73EF40">
            <w:pPr>
              <w:rPr>
                <w:rFonts w:ascii="Arial"/>
                <w:sz w:val="21"/>
              </w:rPr>
            </w:pPr>
          </w:p>
        </w:tc>
      </w:tr>
      <w:tr w14:paraId="277C7D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1" w:hRule="atLeast"/>
        </w:trPr>
        <w:tc>
          <w:tcPr>
            <w:tcW w:w="795" w:type="dxa"/>
            <w:vAlign w:val="center"/>
          </w:tcPr>
          <w:p w14:paraId="62998E3A">
            <w:pPr>
              <w:jc w:val="both"/>
              <w:rPr>
                <w:rFonts w:hint="eastAsia" w:ascii="Arial" w:eastAsia="宋体"/>
                <w:sz w:val="21"/>
                <w:lang w:val="en-US" w:eastAsia="zh-CN"/>
              </w:rPr>
            </w:pPr>
            <w:r>
              <w:rPr>
                <w:rFonts w:hint="eastAsia" w:eastAsia="宋体"/>
                <w:sz w:val="21"/>
                <w:lang w:val="en-US" w:eastAsia="zh-CN"/>
              </w:rPr>
              <w:t>5</w:t>
            </w:r>
          </w:p>
        </w:tc>
        <w:tc>
          <w:tcPr>
            <w:tcW w:w="1668" w:type="dxa"/>
            <w:vAlign w:val="center"/>
          </w:tcPr>
          <w:p w14:paraId="0ED6D758">
            <w:pPr>
              <w:jc w:val="both"/>
              <w:rPr>
                <w:rFonts w:hint="eastAsia" w:eastAsia="宋体"/>
                <w:sz w:val="21"/>
                <w:lang w:val="en-US" w:eastAsia="zh-CN"/>
              </w:rPr>
            </w:pPr>
          </w:p>
        </w:tc>
        <w:tc>
          <w:tcPr>
            <w:tcW w:w="2263" w:type="dxa"/>
            <w:vAlign w:val="center"/>
          </w:tcPr>
          <w:p w14:paraId="7E99A83C">
            <w:pPr>
              <w:jc w:val="both"/>
              <w:rPr>
                <w:rFonts w:hint="default" w:eastAsia="宋体"/>
                <w:sz w:val="21"/>
                <w:lang w:val="en-US" w:eastAsia="zh-CN"/>
              </w:rPr>
            </w:pPr>
            <w:r>
              <w:rPr>
                <w:rFonts w:hint="eastAsia" w:eastAsia="宋体"/>
                <w:sz w:val="21"/>
                <w:lang w:val="en-US" w:eastAsia="zh-CN"/>
              </w:rPr>
              <w:t>企业信用查询</w:t>
            </w:r>
          </w:p>
        </w:tc>
        <w:tc>
          <w:tcPr>
            <w:tcW w:w="2194" w:type="dxa"/>
            <w:vAlign w:val="top"/>
          </w:tcPr>
          <w:p w14:paraId="028A156E">
            <w:pPr>
              <w:rPr>
                <w:rFonts w:ascii="Arial"/>
                <w:sz w:val="21"/>
              </w:rPr>
            </w:pPr>
          </w:p>
        </w:tc>
        <w:tc>
          <w:tcPr>
            <w:tcW w:w="1427" w:type="dxa"/>
            <w:vAlign w:val="top"/>
          </w:tcPr>
          <w:p w14:paraId="271D7AD2">
            <w:pPr>
              <w:rPr>
                <w:rFonts w:ascii="Arial"/>
                <w:sz w:val="21"/>
              </w:rPr>
            </w:pPr>
          </w:p>
        </w:tc>
        <w:tc>
          <w:tcPr>
            <w:tcW w:w="1893" w:type="dxa"/>
            <w:vAlign w:val="top"/>
          </w:tcPr>
          <w:p w14:paraId="61909039">
            <w:pPr>
              <w:rPr>
                <w:rFonts w:ascii="Arial"/>
                <w:sz w:val="21"/>
              </w:rPr>
            </w:pPr>
          </w:p>
        </w:tc>
      </w:tr>
      <w:tr w14:paraId="63F44B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795" w:type="dxa"/>
            <w:vAlign w:val="top"/>
          </w:tcPr>
          <w:p w14:paraId="2E1308D6">
            <w:pPr>
              <w:pStyle w:val="14"/>
              <w:spacing w:before="220" w:line="96" w:lineRule="exact"/>
              <w:ind w:left="126"/>
            </w:pPr>
            <w:r>
              <w:rPr>
                <w:spacing w:val="1"/>
                <w:position w:val="1"/>
              </w:rPr>
              <w:t>...</w:t>
            </w:r>
          </w:p>
        </w:tc>
        <w:tc>
          <w:tcPr>
            <w:tcW w:w="1668" w:type="dxa"/>
            <w:vAlign w:val="top"/>
          </w:tcPr>
          <w:p w14:paraId="7681B39E">
            <w:pPr>
              <w:rPr>
                <w:rFonts w:ascii="Arial"/>
                <w:sz w:val="21"/>
              </w:rPr>
            </w:pPr>
          </w:p>
        </w:tc>
        <w:tc>
          <w:tcPr>
            <w:tcW w:w="2263" w:type="dxa"/>
            <w:vAlign w:val="top"/>
          </w:tcPr>
          <w:p w14:paraId="221DB856">
            <w:pPr>
              <w:rPr>
                <w:rFonts w:ascii="Arial"/>
                <w:sz w:val="21"/>
              </w:rPr>
            </w:pPr>
          </w:p>
        </w:tc>
        <w:tc>
          <w:tcPr>
            <w:tcW w:w="2194" w:type="dxa"/>
            <w:vAlign w:val="top"/>
          </w:tcPr>
          <w:p w14:paraId="34E1AFD8">
            <w:pPr>
              <w:rPr>
                <w:rFonts w:ascii="Arial"/>
                <w:sz w:val="21"/>
              </w:rPr>
            </w:pPr>
          </w:p>
        </w:tc>
        <w:tc>
          <w:tcPr>
            <w:tcW w:w="1427" w:type="dxa"/>
            <w:vAlign w:val="top"/>
          </w:tcPr>
          <w:p w14:paraId="3237ABF0">
            <w:pPr>
              <w:rPr>
                <w:rFonts w:ascii="Arial"/>
                <w:sz w:val="21"/>
              </w:rPr>
            </w:pPr>
          </w:p>
        </w:tc>
        <w:tc>
          <w:tcPr>
            <w:tcW w:w="1893" w:type="dxa"/>
            <w:vAlign w:val="top"/>
          </w:tcPr>
          <w:p w14:paraId="2E4A9BA8">
            <w:pPr>
              <w:rPr>
                <w:rFonts w:ascii="Arial"/>
                <w:sz w:val="21"/>
              </w:rPr>
            </w:pPr>
          </w:p>
        </w:tc>
      </w:tr>
    </w:tbl>
    <w:p w14:paraId="043822F7">
      <w:pPr>
        <w:spacing w:before="296" w:line="569" w:lineRule="exact"/>
        <w:ind w:left="598"/>
        <w:rPr>
          <w:rFonts w:ascii="黑体" w:hAnsi="黑体" w:eastAsia="黑体" w:cs="黑体"/>
          <w:sz w:val="24"/>
          <w:szCs w:val="24"/>
        </w:rPr>
      </w:pPr>
      <w:r>
        <w:rPr>
          <w:rFonts w:ascii="黑体" w:hAnsi="黑体" w:eastAsia="黑体" w:cs="黑体"/>
          <w:spacing w:val="7"/>
          <w:position w:val="25"/>
          <w:sz w:val="24"/>
          <w:szCs w:val="24"/>
        </w:rPr>
        <w:t>注:若有偏离,请将具体偏离条款在“偏离”一栏中详细说明;若</w:t>
      </w:r>
      <w:r>
        <w:rPr>
          <w:rFonts w:ascii="黑体" w:hAnsi="黑体" w:eastAsia="黑体" w:cs="黑体"/>
          <w:spacing w:val="6"/>
          <w:position w:val="25"/>
          <w:sz w:val="24"/>
          <w:szCs w:val="24"/>
        </w:rPr>
        <w:t>无偏离,请在“偏离”</w:t>
      </w:r>
    </w:p>
    <w:p w14:paraId="716BCC11">
      <w:pPr>
        <w:spacing w:line="221" w:lineRule="auto"/>
        <w:ind w:left="599"/>
        <w:rPr>
          <w:rFonts w:ascii="黑体" w:hAnsi="黑体" w:eastAsia="黑体" w:cs="黑体"/>
          <w:sz w:val="24"/>
          <w:szCs w:val="24"/>
        </w:rPr>
      </w:pPr>
      <w:r>
        <w:rPr>
          <w:rFonts w:ascii="黑体" w:hAnsi="黑体" w:eastAsia="黑体" w:cs="黑体"/>
          <w:spacing w:val="3"/>
          <w:sz w:val="24"/>
          <w:szCs w:val="24"/>
        </w:rPr>
        <w:t>一栏中标注“无”字样。</w:t>
      </w:r>
    </w:p>
    <w:p w14:paraId="7C5BF6EE">
      <w:pPr>
        <w:pStyle w:val="5"/>
        <w:spacing w:line="283" w:lineRule="auto"/>
      </w:pPr>
    </w:p>
    <w:p w14:paraId="7D8BFBB0">
      <w:pPr>
        <w:pStyle w:val="5"/>
        <w:spacing w:line="283" w:lineRule="auto"/>
      </w:pPr>
    </w:p>
    <w:p w14:paraId="72068F69">
      <w:pPr>
        <w:pStyle w:val="5"/>
        <w:spacing w:line="283" w:lineRule="auto"/>
      </w:pPr>
    </w:p>
    <w:p w14:paraId="7B77755A">
      <w:pPr>
        <w:pStyle w:val="5"/>
        <w:spacing w:line="284" w:lineRule="auto"/>
      </w:pPr>
    </w:p>
    <w:p w14:paraId="780BA14C">
      <w:pPr>
        <w:spacing w:before="78" w:line="222" w:lineRule="auto"/>
        <w:ind w:left="5007"/>
        <w:rPr>
          <w:rFonts w:ascii="黑体" w:hAnsi="黑体" w:eastAsia="黑体" w:cs="黑体"/>
          <w:sz w:val="24"/>
          <w:szCs w:val="24"/>
        </w:rPr>
      </w:pPr>
      <w:r>
        <w:rPr>
          <w:rFonts w:ascii="黑体" w:hAnsi="黑体" w:eastAsia="黑体" w:cs="黑体"/>
          <w:spacing w:val="4"/>
          <w:sz w:val="24"/>
          <w:szCs w:val="24"/>
        </w:rPr>
        <w:t>供应商名称（盖章</w:t>
      </w:r>
      <w:r>
        <w:rPr>
          <w:rFonts w:ascii="黑体" w:hAnsi="黑体" w:eastAsia="黑体" w:cs="黑体"/>
          <w:sz w:val="24"/>
          <w:szCs w:val="24"/>
        </w:rPr>
        <w:t>）：</w:t>
      </w:r>
    </w:p>
    <w:p w14:paraId="6A1CCD91">
      <w:pPr>
        <w:spacing w:before="280" w:line="222" w:lineRule="auto"/>
        <w:ind w:left="4996"/>
        <w:rPr>
          <w:rFonts w:ascii="黑体" w:hAnsi="黑体" w:eastAsia="黑体" w:cs="黑体"/>
          <w:sz w:val="24"/>
          <w:szCs w:val="24"/>
        </w:rPr>
      </w:pPr>
      <w:r>
        <w:rPr>
          <w:rFonts w:ascii="黑体" w:hAnsi="黑体" w:eastAsia="黑体" w:cs="黑体"/>
          <w:spacing w:val="4"/>
          <w:sz w:val="24"/>
          <w:szCs w:val="24"/>
        </w:rPr>
        <w:t>法定代表人或委托代理人（签字或盖章</w:t>
      </w:r>
      <w:r>
        <w:rPr>
          <w:rFonts w:ascii="黑体" w:hAnsi="黑体" w:eastAsia="黑体" w:cs="黑体"/>
          <w:spacing w:val="7"/>
          <w:sz w:val="24"/>
          <w:szCs w:val="24"/>
        </w:rPr>
        <w:t>）：</w:t>
      </w:r>
    </w:p>
    <w:p w14:paraId="03D6ACC1">
      <w:pPr>
        <w:spacing w:before="283" w:line="223" w:lineRule="auto"/>
        <w:ind w:left="6877"/>
        <w:rPr>
          <w:rFonts w:ascii="黑体" w:hAnsi="黑体" w:eastAsia="黑体" w:cs="黑体"/>
          <w:sz w:val="24"/>
          <w:szCs w:val="24"/>
        </w:rPr>
      </w:pPr>
      <w:r>
        <w:rPr>
          <w:rFonts w:ascii="黑体" w:hAnsi="黑体" w:eastAsia="黑体" w:cs="黑体"/>
          <w:spacing w:val="-12"/>
          <w:sz w:val="24"/>
          <w:szCs w:val="24"/>
        </w:rPr>
        <w:t>日期：年月日</w:t>
      </w:r>
    </w:p>
    <w:p w14:paraId="11503F37">
      <w:pPr>
        <w:spacing w:line="223" w:lineRule="auto"/>
        <w:rPr>
          <w:rFonts w:ascii="黑体" w:hAnsi="黑体" w:eastAsia="黑体" w:cs="黑体"/>
          <w:sz w:val="24"/>
          <w:szCs w:val="24"/>
        </w:rPr>
        <w:sectPr>
          <w:footerReference r:id="rId42" w:type="default"/>
          <w:pgSz w:w="11906" w:h="16839"/>
          <w:pgMar w:top="400" w:right="830" w:bottom="1009" w:left="830" w:header="0" w:footer="850" w:gutter="0"/>
          <w:cols w:space="720" w:num="1"/>
        </w:sectPr>
      </w:pPr>
    </w:p>
    <w:p w14:paraId="68FF80FF">
      <w:pPr>
        <w:pStyle w:val="5"/>
        <w:spacing w:line="265" w:lineRule="auto"/>
      </w:pPr>
    </w:p>
    <w:p w14:paraId="18233517">
      <w:pPr>
        <w:pStyle w:val="5"/>
        <w:spacing w:line="265" w:lineRule="auto"/>
      </w:pPr>
    </w:p>
    <w:p w14:paraId="7530D5C3">
      <w:pPr>
        <w:pStyle w:val="5"/>
        <w:spacing w:line="266" w:lineRule="auto"/>
      </w:pPr>
    </w:p>
    <w:p w14:paraId="0213A9DC">
      <w:pPr>
        <w:pStyle w:val="5"/>
        <w:spacing w:line="266" w:lineRule="auto"/>
      </w:pPr>
    </w:p>
    <w:p w14:paraId="11CC61D6">
      <w:pPr>
        <w:spacing w:before="101" w:line="230" w:lineRule="auto"/>
        <w:ind w:left="58"/>
        <w:outlineLvl w:val="1"/>
        <w:rPr>
          <w:rFonts w:ascii="黑体" w:hAnsi="黑体" w:eastAsia="黑体" w:cs="黑体"/>
          <w:sz w:val="31"/>
          <w:szCs w:val="31"/>
        </w:rPr>
      </w:pPr>
      <w:r>
        <w:rPr>
          <w:rFonts w:ascii="黑体" w:hAnsi="黑体" w:eastAsia="黑体" w:cs="黑体"/>
          <w:spacing w:val="-4"/>
          <w:sz w:val="31"/>
          <w:szCs w:val="31"/>
          <w14:textOutline w14:w="5793" w14:cap="sq" w14:cmpd="sng">
            <w14:solidFill>
              <w14:srgbClr w14:val="000000"/>
            </w14:solidFill>
            <w14:prstDash w14:val="solid"/>
            <w14:bevel/>
          </w14:textOutline>
        </w:rPr>
        <w:t>附件11:</w:t>
      </w:r>
    </w:p>
    <w:p w14:paraId="39521DDA">
      <w:pPr>
        <w:spacing w:before="238" w:line="226" w:lineRule="auto"/>
        <w:ind w:firstLine="1670" w:firstLineChars="500"/>
        <w:outlineLvl w:val="1"/>
        <w:rPr>
          <w:rFonts w:hint="eastAsia" w:ascii="黑体" w:hAnsi="黑体" w:eastAsia="黑体" w:cs="黑体"/>
          <w:spacing w:val="12"/>
          <w:sz w:val="31"/>
          <w:szCs w:val="31"/>
          <w:lang w:eastAsia="zh-CN"/>
          <w14:textOutline w14:w="5793" w14:cap="sq" w14:cmpd="sng">
            <w14:solidFill>
              <w14:srgbClr w14:val="000000"/>
            </w14:solidFill>
            <w14:prstDash w14:val="solid"/>
            <w14:bevel/>
          </w14:textOutline>
        </w:rPr>
      </w:pPr>
      <w:r>
        <w:rPr>
          <w:rFonts w:ascii="黑体" w:hAnsi="黑体" w:eastAsia="黑体" w:cs="黑体"/>
          <w:spacing w:val="12"/>
          <w:sz w:val="31"/>
          <w:szCs w:val="31"/>
          <w14:textOutline w14:w="5793" w14:cap="sq" w14:cmpd="sng">
            <w14:solidFill>
              <w14:srgbClr w14:val="000000"/>
            </w14:solidFill>
            <w14:prstDash w14:val="solid"/>
            <w14:bevel/>
          </w14:textOutline>
        </w:rPr>
        <w:t>近</w:t>
      </w:r>
      <w:r>
        <w:rPr>
          <w:rFonts w:hint="eastAsia" w:ascii="黑体" w:hAnsi="黑体" w:eastAsia="黑体" w:cs="黑体"/>
          <w:spacing w:val="12"/>
          <w:sz w:val="31"/>
          <w:szCs w:val="31"/>
          <w:lang w:val="en-US" w:eastAsia="zh-CN"/>
          <w14:textOutline w14:w="5793" w14:cap="sq" w14:cmpd="sng">
            <w14:solidFill>
              <w14:srgbClr w14:val="000000"/>
            </w14:solidFill>
            <w14:prstDash w14:val="solid"/>
            <w14:bevel/>
          </w14:textOutline>
        </w:rPr>
        <w:t>五</w:t>
      </w:r>
      <w:r>
        <w:rPr>
          <w:rFonts w:ascii="黑体" w:hAnsi="黑体" w:eastAsia="黑体" w:cs="黑体"/>
          <w:spacing w:val="12"/>
          <w:sz w:val="31"/>
          <w:szCs w:val="31"/>
          <w14:textOutline w14:w="5793" w14:cap="sq" w14:cmpd="sng">
            <w14:solidFill>
              <w14:srgbClr w14:val="000000"/>
            </w14:solidFill>
            <w14:prstDash w14:val="solid"/>
            <w14:bevel/>
          </w14:textOutline>
        </w:rPr>
        <w:t>年同类项目业绩表</w:t>
      </w:r>
      <w:r>
        <w:rPr>
          <w:rFonts w:hint="eastAsia" w:ascii="黑体" w:hAnsi="黑体" w:eastAsia="黑体" w:cs="黑体"/>
          <w:spacing w:val="12"/>
          <w:sz w:val="31"/>
          <w:szCs w:val="31"/>
          <w:lang w:eastAsia="zh-CN"/>
          <w14:textOutline w14:w="5793" w14:cap="sq" w14:cmpd="sng">
            <w14:solidFill>
              <w14:srgbClr w14:val="000000"/>
            </w14:solidFill>
            <w14:prstDash w14:val="solid"/>
            <w14:bevel/>
          </w14:textOutline>
        </w:rPr>
        <w:t>（</w:t>
      </w:r>
      <w:r>
        <w:rPr>
          <w:rFonts w:hint="eastAsia" w:ascii="黑体" w:hAnsi="黑体" w:eastAsia="黑体" w:cs="黑体"/>
          <w:spacing w:val="12"/>
          <w:sz w:val="31"/>
          <w:szCs w:val="31"/>
          <w:lang w:val="en-US" w:eastAsia="zh-CN"/>
          <w14:textOutline w14:w="5793" w14:cap="sq" w14:cmpd="sng">
            <w14:solidFill>
              <w14:srgbClr w14:val="000000"/>
            </w14:solidFill>
            <w14:prstDash w14:val="solid"/>
            <w14:bevel/>
          </w14:textOutline>
        </w:rPr>
        <w:t>2020年1月至今</w:t>
      </w:r>
      <w:r>
        <w:rPr>
          <w:rFonts w:hint="eastAsia" w:ascii="黑体" w:hAnsi="黑体" w:eastAsia="黑体" w:cs="黑体"/>
          <w:spacing w:val="12"/>
          <w:sz w:val="31"/>
          <w:szCs w:val="31"/>
          <w:lang w:eastAsia="zh-CN"/>
          <w14:textOutline w14:w="5793" w14:cap="sq" w14:cmpd="sng">
            <w14:solidFill>
              <w14:srgbClr w14:val="000000"/>
            </w14:solidFill>
            <w14:prstDash w14:val="solid"/>
            <w14:bevel/>
          </w14:textOutline>
        </w:rPr>
        <w:t>）</w:t>
      </w:r>
    </w:p>
    <w:p w14:paraId="652A0C16">
      <w:pPr>
        <w:spacing w:line="90" w:lineRule="exact"/>
      </w:pPr>
    </w:p>
    <w:tbl>
      <w:tblPr>
        <w:tblStyle w:val="13"/>
        <w:tblW w:w="9407"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64"/>
        <w:gridCol w:w="1849"/>
        <w:gridCol w:w="1803"/>
        <w:gridCol w:w="1394"/>
        <w:gridCol w:w="1799"/>
        <w:gridCol w:w="1698"/>
      </w:tblGrid>
      <w:tr w14:paraId="41D7D9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1" w:hRule="atLeast"/>
        </w:trPr>
        <w:tc>
          <w:tcPr>
            <w:tcW w:w="864" w:type="dxa"/>
            <w:tcBorders>
              <w:top w:val="single" w:color="000000" w:sz="2" w:space="0"/>
              <w:left w:val="single" w:color="000000" w:sz="2" w:space="0"/>
              <w:bottom w:val="single" w:color="000000" w:sz="2" w:space="0"/>
            </w:tcBorders>
            <w:vAlign w:val="top"/>
          </w:tcPr>
          <w:p w14:paraId="3663EE11">
            <w:pPr>
              <w:pStyle w:val="14"/>
              <w:spacing w:before="300" w:line="208" w:lineRule="auto"/>
              <w:ind w:left="196"/>
            </w:pPr>
            <w:r>
              <w:rPr>
                <w:spacing w:val="-4"/>
              </w:rPr>
              <w:t>序号</w:t>
            </w:r>
          </w:p>
        </w:tc>
        <w:tc>
          <w:tcPr>
            <w:tcW w:w="1849" w:type="dxa"/>
            <w:tcBorders>
              <w:top w:val="single" w:color="000000" w:sz="2" w:space="0"/>
            </w:tcBorders>
            <w:vAlign w:val="top"/>
          </w:tcPr>
          <w:p w14:paraId="1C306ED5">
            <w:pPr>
              <w:pStyle w:val="14"/>
              <w:spacing w:before="300" w:line="208" w:lineRule="auto"/>
              <w:ind w:left="443"/>
            </w:pPr>
            <w:r>
              <w:rPr>
                <w:spacing w:val="-1"/>
              </w:rPr>
              <w:t>项目名称</w:t>
            </w:r>
          </w:p>
        </w:tc>
        <w:tc>
          <w:tcPr>
            <w:tcW w:w="1803" w:type="dxa"/>
            <w:tcBorders>
              <w:top w:val="single" w:color="000000" w:sz="2" w:space="0"/>
            </w:tcBorders>
            <w:vAlign w:val="top"/>
          </w:tcPr>
          <w:p w14:paraId="20332225">
            <w:pPr>
              <w:pStyle w:val="14"/>
              <w:spacing w:before="300" w:line="208" w:lineRule="auto"/>
              <w:ind w:left="420"/>
            </w:pPr>
            <w:r>
              <w:rPr>
                <w:spacing w:val="-1"/>
              </w:rPr>
              <w:t>完成时间</w:t>
            </w:r>
          </w:p>
        </w:tc>
        <w:tc>
          <w:tcPr>
            <w:tcW w:w="1394" w:type="dxa"/>
            <w:tcBorders>
              <w:top w:val="single" w:color="000000" w:sz="2" w:space="0"/>
            </w:tcBorders>
            <w:vAlign w:val="top"/>
          </w:tcPr>
          <w:p w14:paraId="74A921AB">
            <w:pPr>
              <w:pStyle w:val="14"/>
              <w:spacing w:before="300" w:line="208" w:lineRule="auto"/>
              <w:ind w:left="217"/>
            </w:pPr>
            <w:r>
              <w:rPr>
                <w:spacing w:val="-1"/>
              </w:rPr>
              <w:t>合同金额</w:t>
            </w:r>
          </w:p>
        </w:tc>
        <w:tc>
          <w:tcPr>
            <w:tcW w:w="1799" w:type="dxa"/>
            <w:tcBorders>
              <w:top w:val="single" w:color="000000" w:sz="2" w:space="0"/>
            </w:tcBorders>
            <w:vAlign w:val="top"/>
          </w:tcPr>
          <w:p w14:paraId="567B9FBC">
            <w:pPr>
              <w:pStyle w:val="14"/>
              <w:spacing w:before="300" w:line="208" w:lineRule="auto"/>
              <w:ind w:left="296"/>
            </w:pPr>
            <w:r>
              <w:t>采购人名称</w:t>
            </w:r>
          </w:p>
        </w:tc>
        <w:tc>
          <w:tcPr>
            <w:tcW w:w="1698" w:type="dxa"/>
            <w:tcBorders>
              <w:top w:val="single" w:color="000000" w:sz="2" w:space="0"/>
              <w:right w:val="single" w:color="000000" w:sz="2" w:space="0"/>
            </w:tcBorders>
            <w:vAlign w:val="top"/>
          </w:tcPr>
          <w:p w14:paraId="5F739A03">
            <w:pPr>
              <w:pStyle w:val="14"/>
              <w:spacing w:before="300" w:line="208" w:lineRule="auto"/>
              <w:ind w:left="611"/>
            </w:pPr>
            <w:r>
              <w:rPr>
                <w:spacing w:val="-4"/>
              </w:rPr>
              <w:t>备注</w:t>
            </w:r>
          </w:p>
        </w:tc>
      </w:tr>
      <w:tr w14:paraId="0E6A9C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864" w:type="dxa"/>
            <w:tcBorders>
              <w:top w:val="single" w:color="000000" w:sz="2" w:space="0"/>
              <w:left w:val="single" w:color="000000" w:sz="2" w:space="0"/>
              <w:bottom w:val="single" w:color="000000" w:sz="2" w:space="0"/>
            </w:tcBorders>
            <w:vAlign w:val="top"/>
          </w:tcPr>
          <w:p w14:paraId="3A068AE9">
            <w:pPr>
              <w:rPr>
                <w:rFonts w:ascii="Arial"/>
                <w:sz w:val="21"/>
              </w:rPr>
            </w:pPr>
          </w:p>
        </w:tc>
        <w:tc>
          <w:tcPr>
            <w:tcW w:w="1849" w:type="dxa"/>
            <w:vAlign w:val="top"/>
          </w:tcPr>
          <w:p w14:paraId="5AF03E5E">
            <w:pPr>
              <w:rPr>
                <w:rFonts w:ascii="Arial"/>
                <w:sz w:val="21"/>
              </w:rPr>
            </w:pPr>
          </w:p>
        </w:tc>
        <w:tc>
          <w:tcPr>
            <w:tcW w:w="1803" w:type="dxa"/>
            <w:vAlign w:val="top"/>
          </w:tcPr>
          <w:p w14:paraId="411F6DD3">
            <w:pPr>
              <w:rPr>
                <w:rFonts w:ascii="Arial"/>
                <w:sz w:val="21"/>
              </w:rPr>
            </w:pPr>
          </w:p>
        </w:tc>
        <w:tc>
          <w:tcPr>
            <w:tcW w:w="1394" w:type="dxa"/>
            <w:vAlign w:val="top"/>
          </w:tcPr>
          <w:p w14:paraId="1EEE8814">
            <w:pPr>
              <w:rPr>
                <w:rFonts w:ascii="Arial"/>
                <w:sz w:val="21"/>
              </w:rPr>
            </w:pPr>
          </w:p>
        </w:tc>
        <w:tc>
          <w:tcPr>
            <w:tcW w:w="1799" w:type="dxa"/>
            <w:vAlign w:val="top"/>
          </w:tcPr>
          <w:p w14:paraId="7CB1C2F4">
            <w:pPr>
              <w:rPr>
                <w:rFonts w:ascii="Arial"/>
                <w:sz w:val="21"/>
              </w:rPr>
            </w:pPr>
          </w:p>
        </w:tc>
        <w:tc>
          <w:tcPr>
            <w:tcW w:w="1698" w:type="dxa"/>
            <w:tcBorders>
              <w:right w:val="single" w:color="000000" w:sz="2" w:space="0"/>
            </w:tcBorders>
            <w:vAlign w:val="top"/>
          </w:tcPr>
          <w:p w14:paraId="7752CC2B">
            <w:pPr>
              <w:rPr>
                <w:rFonts w:ascii="Arial"/>
                <w:sz w:val="21"/>
              </w:rPr>
            </w:pPr>
          </w:p>
        </w:tc>
      </w:tr>
      <w:tr w14:paraId="48EE54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864" w:type="dxa"/>
            <w:tcBorders>
              <w:top w:val="single" w:color="000000" w:sz="2" w:space="0"/>
              <w:left w:val="single" w:color="000000" w:sz="2" w:space="0"/>
              <w:bottom w:val="single" w:color="000000" w:sz="2" w:space="0"/>
            </w:tcBorders>
            <w:vAlign w:val="top"/>
          </w:tcPr>
          <w:p w14:paraId="2B318FBE">
            <w:pPr>
              <w:rPr>
                <w:rFonts w:ascii="Arial"/>
                <w:sz w:val="21"/>
              </w:rPr>
            </w:pPr>
          </w:p>
        </w:tc>
        <w:tc>
          <w:tcPr>
            <w:tcW w:w="1849" w:type="dxa"/>
            <w:vAlign w:val="top"/>
          </w:tcPr>
          <w:p w14:paraId="231E2D45">
            <w:pPr>
              <w:rPr>
                <w:rFonts w:ascii="Arial"/>
                <w:sz w:val="21"/>
              </w:rPr>
            </w:pPr>
          </w:p>
        </w:tc>
        <w:tc>
          <w:tcPr>
            <w:tcW w:w="1803" w:type="dxa"/>
            <w:vAlign w:val="top"/>
          </w:tcPr>
          <w:p w14:paraId="41982E1B">
            <w:pPr>
              <w:rPr>
                <w:rFonts w:ascii="Arial"/>
                <w:sz w:val="21"/>
              </w:rPr>
            </w:pPr>
          </w:p>
        </w:tc>
        <w:tc>
          <w:tcPr>
            <w:tcW w:w="1394" w:type="dxa"/>
            <w:vAlign w:val="top"/>
          </w:tcPr>
          <w:p w14:paraId="659FA915">
            <w:pPr>
              <w:rPr>
                <w:rFonts w:ascii="Arial"/>
                <w:sz w:val="21"/>
              </w:rPr>
            </w:pPr>
          </w:p>
        </w:tc>
        <w:tc>
          <w:tcPr>
            <w:tcW w:w="1799" w:type="dxa"/>
            <w:vAlign w:val="top"/>
          </w:tcPr>
          <w:p w14:paraId="58C3F39C">
            <w:pPr>
              <w:rPr>
                <w:rFonts w:ascii="Arial"/>
                <w:sz w:val="21"/>
              </w:rPr>
            </w:pPr>
          </w:p>
        </w:tc>
        <w:tc>
          <w:tcPr>
            <w:tcW w:w="1698" w:type="dxa"/>
            <w:tcBorders>
              <w:right w:val="single" w:color="000000" w:sz="2" w:space="0"/>
            </w:tcBorders>
            <w:vAlign w:val="top"/>
          </w:tcPr>
          <w:p w14:paraId="2736C367">
            <w:pPr>
              <w:rPr>
                <w:rFonts w:ascii="Arial"/>
                <w:sz w:val="21"/>
              </w:rPr>
            </w:pPr>
          </w:p>
        </w:tc>
      </w:tr>
      <w:tr w14:paraId="67A39D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864" w:type="dxa"/>
            <w:tcBorders>
              <w:top w:val="single" w:color="000000" w:sz="2" w:space="0"/>
              <w:left w:val="single" w:color="000000" w:sz="2" w:space="0"/>
              <w:bottom w:val="single" w:color="000000" w:sz="2" w:space="0"/>
            </w:tcBorders>
            <w:vAlign w:val="top"/>
          </w:tcPr>
          <w:p w14:paraId="41BFD082">
            <w:pPr>
              <w:rPr>
                <w:rFonts w:ascii="Arial"/>
                <w:sz w:val="21"/>
              </w:rPr>
            </w:pPr>
          </w:p>
        </w:tc>
        <w:tc>
          <w:tcPr>
            <w:tcW w:w="1849" w:type="dxa"/>
            <w:vAlign w:val="top"/>
          </w:tcPr>
          <w:p w14:paraId="5F3EB652">
            <w:pPr>
              <w:rPr>
                <w:rFonts w:ascii="Arial"/>
                <w:sz w:val="21"/>
              </w:rPr>
            </w:pPr>
          </w:p>
        </w:tc>
        <w:tc>
          <w:tcPr>
            <w:tcW w:w="1803" w:type="dxa"/>
            <w:vAlign w:val="top"/>
          </w:tcPr>
          <w:p w14:paraId="114A6480">
            <w:pPr>
              <w:rPr>
                <w:rFonts w:ascii="Arial"/>
                <w:sz w:val="21"/>
              </w:rPr>
            </w:pPr>
          </w:p>
        </w:tc>
        <w:tc>
          <w:tcPr>
            <w:tcW w:w="1394" w:type="dxa"/>
            <w:vAlign w:val="top"/>
          </w:tcPr>
          <w:p w14:paraId="3D702090">
            <w:pPr>
              <w:rPr>
                <w:rFonts w:ascii="Arial"/>
                <w:sz w:val="21"/>
              </w:rPr>
            </w:pPr>
          </w:p>
        </w:tc>
        <w:tc>
          <w:tcPr>
            <w:tcW w:w="1799" w:type="dxa"/>
            <w:vAlign w:val="top"/>
          </w:tcPr>
          <w:p w14:paraId="067C5000">
            <w:pPr>
              <w:rPr>
                <w:rFonts w:ascii="Arial"/>
                <w:sz w:val="21"/>
              </w:rPr>
            </w:pPr>
          </w:p>
        </w:tc>
        <w:tc>
          <w:tcPr>
            <w:tcW w:w="1698" w:type="dxa"/>
            <w:tcBorders>
              <w:right w:val="single" w:color="000000" w:sz="2" w:space="0"/>
            </w:tcBorders>
            <w:vAlign w:val="top"/>
          </w:tcPr>
          <w:p w14:paraId="1ECE6BE4">
            <w:pPr>
              <w:rPr>
                <w:rFonts w:ascii="Arial"/>
                <w:sz w:val="21"/>
              </w:rPr>
            </w:pPr>
          </w:p>
        </w:tc>
      </w:tr>
      <w:tr w14:paraId="7176D1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864" w:type="dxa"/>
            <w:tcBorders>
              <w:top w:val="single" w:color="000000" w:sz="2" w:space="0"/>
              <w:left w:val="single" w:color="000000" w:sz="2" w:space="0"/>
              <w:bottom w:val="single" w:color="000000" w:sz="2" w:space="0"/>
            </w:tcBorders>
            <w:vAlign w:val="top"/>
          </w:tcPr>
          <w:p w14:paraId="48766D0A">
            <w:pPr>
              <w:rPr>
                <w:rFonts w:ascii="Arial"/>
                <w:sz w:val="21"/>
              </w:rPr>
            </w:pPr>
          </w:p>
        </w:tc>
        <w:tc>
          <w:tcPr>
            <w:tcW w:w="1849" w:type="dxa"/>
            <w:vAlign w:val="top"/>
          </w:tcPr>
          <w:p w14:paraId="7046B208">
            <w:pPr>
              <w:rPr>
                <w:rFonts w:ascii="Arial"/>
                <w:sz w:val="21"/>
              </w:rPr>
            </w:pPr>
          </w:p>
        </w:tc>
        <w:tc>
          <w:tcPr>
            <w:tcW w:w="1803" w:type="dxa"/>
            <w:vAlign w:val="top"/>
          </w:tcPr>
          <w:p w14:paraId="7C067A05">
            <w:pPr>
              <w:rPr>
                <w:rFonts w:ascii="Arial"/>
                <w:sz w:val="21"/>
              </w:rPr>
            </w:pPr>
          </w:p>
        </w:tc>
        <w:tc>
          <w:tcPr>
            <w:tcW w:w="1394" w:type="dxa"/>
            <w:vAlign w:val="top"/>
          </w:tcPr>
          <w:p w14:paraId="13FACF58">
            <w:pPr>
              <w:rPr>
                <w:rFonts w:ascii="Arial"/>
                <w:sz w:val="21"/>
              </w:rPr>
            </w:pPr>
          </w:p>
        </w:tc>
        <w:tc>
          <w:tcPr>
            <w:tcW w:w="1799" w:type="dxa"/>
            <w:vAlign w:val="top"/>
          </w:tcPr>
          <w:p w14:paraId="0801D61B">
            <w:pPr>
              <w:rPr>
                <w:rFonts w:ascii="Arial"/>
                <w:sz w:val="21"/>
              </w:rPr>
            </w:pPr>
          </w:p>
        </w:tc>
        <w:tc>
          <w:tcPr>
            <w:tcW w:w="1698" w:type="dxa"/>
            <w:tcBorders>
              <w:right w:val="single" w:color="000000" w:sz="2" w:space="0"/>
            </w:tcBorders>
            <w:vAlign w:val="top"/>
          </w:tcPr>
          <w:p w14:paraId="5C0FA3DE">
            <w:pPr>
              <w:rPr>
                <w:rFonts w:ascii="Arial"/>
                <w:sz w:val="21"/>
              </w:rPr>
            </w:pPr>
          </w:p>
        </w:tc>
      </w:tr>
      <w:tr w14:paraId="506653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864" w:type="dxa"/>
            <w:tcBorders>
              <w:top w:val="single" w:color="000000" w:sz="2" w:space="0"/>
              <w:left w:val="single" w:color="000000" w:sz="2" w:space="0"/>
              <w:bottom w:val="single" w:color="000000" w:sz="2" w:space="0"/>
            </w:tcBorders>
            <w:vAlign w:val="top"/>
          </w:tcPr>
          <w:p w14:paraId="6230CC8B">
            <w:pPr>
              <w:rPr>
                <w:rFonts w:ascii="Arial"/>
                <w:sz w:val="21"/>
              </w:rPr>
            </w:pPr>
          </w:p>
        </w:tc>
        <w:tc>
          <w:tcPr>
            <w:tcW w:w="1849" w:type="dxa"/>
            <w:vAlign w:val="top"/>
          </w:tcPr>
          <w:p w14:paraId="79020750">
            <w:pPr>
              <w:rPr>
                <w:rFonts w:ascii="Arial"/>
                <w:sz w:val="21"/>
              </w:rPr>
            </w:pPr>
          </w:p>
        </w:tc>
        <w:tc>
          <w:tcPr>
            <w:tcW w:w="1803" w:type="dxa"/>
            <w:vAlign w:val="top"/>
          </w:tcPr>
          <w:p w14:paraId="3E62055C">
            <w:pPr>
              <w:rPr>
                <w:rFonts w:ascii="Arial"/>
                <w:sz w:val="21"/>
              </w:rPr>
            </w:pPr>
          </w:p>
        </w:tc>
        <w:tc>
          <w:tcPr>
            <w:tcW w:w="1394" w:type="dxa"/>
            <w:vAlign w:val="top"/>
          </w:tcPr>
          <w:p w14:paraId="6B289BCF">
            <w:pPr>
              <w:rPr>
                <w:rFonts w:ascii="Arial"/>
                <w:sz w:val="21"/>
              </w:rPr>
            </w:pPr>
          </w:p>
        </w:tc>
        <w:tc>
          <w:tcPr>
            <w:tcW w:w="1799" w:type="dxa"/>
            <w:vAlign w:val="top"/>
          </w:tcPr>
          <w:p w14:paraId="397D76AD">
            <w:pPr>
              <w:rPr>
                <w:rFonts w:ascii="Arial"/>
                <w:sz w:val="21"/>
              </w:rPr>
            </w:pPr>
          </w:p>
        </w:tc>
        <w:tc>
          <w:tcPr>
            <w:tcW w:w="1698" w:type="dxa"/>
            <w:tcBorders>
              <w:right w:val="single" w:color="000000" w:sz="2" w:space="0"/>
            </w:tcBorders>
            <w:vAlign w:val="top"/>
          </w:tcPr>
          <w:p w14:paraId="16D5F8B6">
            <w:pPr>
              <w:rPr>
                <w:rFonts w:ascii="Arial"/>
                <w:sz w:val="21"/>
              </w:rPr>
            </w:pPr>
          </w:p>
        </w:tc>
      </w:tr>
      <w:tr w14:paraId="67EA45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8" w:hRule="atLeast"/>
        </w:trPr>
        <w:tc>
          <w:tcPr>
            <w:tcW w:w="864" w:type="dxa"/>
            <w:tcBorders>
              <w:top w:val="single" w:color="000000" w:sz="2" w:space="0"/>
              <w:left w:val="single" w:color="000000" w:sz="2" w:space="0"/>
              <w:bottom w:val="single" w:color="000000" w:sz="2" w:space="0"/>
            </w:tcBorders>
            <w:vAlign w:val="top"/>
          </w:tcPr>
          <w:p w14:paraId="322C1B48">
            <w:pPr>
              <w:spacing w:line="398" w:lineRule="auto"/>
              <w:rPr>
                <w:rFonts w:ascii="Arial"/>
                <w:sz w:val="21"/>
              </w:rPr>
            </w:pPr>
          </w:p>
          <w:p w14:paraId="65EBF57D">
            <w:pPr>
              <w:pStyle w:val="14"/>
              <w:spacing w:before="78" w:line="89" w:lineRule="exact"/>
              <w:ind w:left="265"/>
            </w:pPr>
            <w:r>
              <w:rPr>
                <w:position w:val="1"/>
              </w:rPr>
              <w:t>...</w:t>
            </w:r>
          </w:p>
        </w:tc>
        <w:tc>
          <w:tcPr>
            <w:tcW w:w="1849" w:type="dxa"/>
            <w:tcBorders>
              <w:bottom w:val="single" w:color="000000" w:sz="2" w:space="0"/>
            </w:tcBorders>
            <w:vAlign w:val="top"/>
          </w:tcPr>
          <w:p w14:paraId="59931988">
            <w:pPr>
              <w:rPr>
                <w:rFonts w:ascii="Arial"/>
                <w:sz w:val="21"/>
              </w:rPr>
            </w:pPr>
          </w:p>
        </w:tc>
        <w:tc>
          <w:tcPr>
            <w:tcW w:w="1803" w:type="dxa"/>
            <w:tcBorders>
              <w:bottom w:val="single" w:color="000000" w:sz="2" w:space="0"/>
            </w:tcBorders>
            <w:vAlign w:val="top"/>
          </w:tcPr>
          <w:p w14:paraId="0E3C699E">
            <w:pPr>
              <w:rPr>
                <w:rFonts w:ascii="Arial"/>
                <w:sz w:val="21"/>
              </w:rPr>
            </w:pPr>
          </w:p>
        </w:tc>
        <w:tc>
          <w:tcPr>
            <w:tcW w:w="1394" w:type="dxa"/>
            <w:tcBorders>
              <w:bottom w:val="single" w:color="000000" w:sz="2" w:space="0"/>
            </w:tcBorders>
            <w:vAlign w:val="top"/>
          </w:tcPr>
          <w:p w14:paraId="727B6950">
            <w:pPr>
              <w:rPr>
                <w:rFonts w:ascii="Arial"/>
                <w:sz w:val="21"/>
              </w:rPr>
            </w:pPr>
          </w:p>
        </w:tc>
        <w:tc>
          <w:tcPr>
            <w:tcW w:w="1799" w:type="dxa"/>
            <w:tcBorders>
              <w:bottom w:val="single" w:color="000000" w:sz="2" w:space="0"/>
            </w:tcBorders>
            <w:vAlign w:val="top"/>
          </w:tcPr>
          <w:p w14:paraId="3008264F">
            <w:pPr>
              <w:rPr>
                <w:rFonts w:ascii="Arial"/>
                <w:sz w:val="21"/>
              </w:rPr>
            </w:pPr>
          </w:p>
        </w:tc>
        <w:tc>
          <w:tcPr>
            <w:tcW w:w="1698" w:type="dxa"/>
            <w:tcBorders>
              <w:bottom w:val="single" w:color="000000" w:sz="2" w:space="0"/>
              <w:right w:val="single" w:color="000000" w:sz="2" w:space="0"/>
            </w:tcBorders>
            <w:vAlign w:val="top"/>
          </w:tcPr>
          <w:p w14:paraId="4BC781F7">
            <w:pPr>
              <w:rPr>
                <w:rFonts w:ascii="Arial"/>
                <w:sz w:val="21"/>
              </w:rPr>
            </w:pPr>
          </w:p>
        </w:tc>
      </w:tr>
    </w:tbl>
    <w:p w14:paraId="644617F6">
      <w:pPr>
        <w:spacing w:before="294" w:line="213" w:lineRule="auto"/>
        <w:ind w:left="40"/>
        <w:outlineLvl w:val="1"/>
        <w:rPr>
          <w:rFonts w:ascii="黑体" w:hAnsi="黑体" w:eastAsia="黑体" w:cs="黑体"/>
          <w:color w:val="auto"/>
          <w:sz w:val="24"/>
          <w:szCs w:val="24"/>
        </w:rPr>
      </w:pPr>
      <w:r>
        <w:rPr>
          <w:rFonts w:ascii="黑体" w:hAnsi="黑体" w:eastAsia="黑体" w:cs="黑体"/>
          <w:spacing w:val="1"/>
          <w:sz w:val="24"/>
          <w:szCs w:val="24"/>
        </w:rPr>
        <w:t>注：附业绩证明资</w:t>
      </w:r>
      <w:r>
        <w:rPr>
          <w:rFonts w:ascii="黑体" w:hAnsi="黑体" w:eastAsia="黑体" w:cs="黑体"/>
          <w:color w:val="auto"/>
          <w:spacing w:val="1"/>
          <w:sz w:val="24"/>
          <w:szCs w:val="24"/>
        </w:rPr>
        <w:t>料（</w:t>
      </w:r>
      <w:r>
        <w:rPr>
          <w:rFonts w:hint="eastAsia" w:ascii="黑体" w:hAnsi="黑体" w:eastAsia="黑体" w:cs="黑体"/>
          <w:color w:val="auto"/>
          <w:spacing w:val="1"/>
          <w:sz w:val="24"/>
          <w:szCs w:val="24"/>
          <w:lang w:val="en-US" w:eastAsia="zh-CN"/>
        </w:rPr>
        <w:t>中标通知书、</w:t>
      </w:r>
      <w:r>
        <w:rPr>
          <w:rFonts w:ascii="黑体" w:hAnsi="黑体" w:eastAsia="黑体" w:cs="黑体"/>
          <w:color w:val="auto"/>
          <w:spacing w:val="1"/>
          <w:sz w:val="24"/>
          <w:szCs w:val="24"/>
        </w:rPr>
        <w:t>合同</w:t>
      </w:r>
      <w:r>
        <w:rPr>
          <w:rFonts w:hint="eastAsia" w:ascii="黑体" w:hAnsi="黑体" w:eastAsia="黑体" w:cs="黑体"/>
          <w:color w:val="auto"/>
          <w:spacing w:val="1"/>
          <w:sz w:val="24"/>
          <w:szCs w:val="24"/>
          <w:lang w:val="en-US" w:eastAsia="zh-CN"/>
        </w:rPr>
        <w:t>或</w:t>
      </w:r>
      <w:r>
        <w:rPr>
          <w:rFonts w:ascii="黑体" w:hAnsi="黑体" w:eastAsia="黑体" w:cs="黑体"/>
          <w:color w:val="auto"/>
          <w:spacing w:val="1"/>
          <w:sz w:val="24"/>
          <w:szCs w:val="24"/>
        </w:rPr>
        <w:t>竣工验收相关材料）</w:t>
      </w:r>
    </w:p>
    <w:p w14:paraId="1CC5CD96">
      <w:pPr>
        <w:pStyle w:val="5"/>
        <w:spacing w:line="276" w:lineRule="auto"/>
        <w:rPr>
          <w:color w:val="auto"/>
        </w:rPr>
      </w:pPr>
    </w:p>
    <w:p w14:paraId="6038CF90">
      <w:pPr>
        <w:pStyle w:val="5"/>
        <w:spacing w:line="276" w:lineRule="auto"/>
      </w:pPr>
    </w:p>
    <w:p w14:paraId="7B04E699">
      <w:pPr>
        <w:pStyle w:val="5"/>
        <w:spacing w:line="276" w:lineRule="auto"/>
      </w:pPr>
    </w:p>
    <w:p w14:paraId="5B25E0ED">
      <w:pPr>
        <w:pStyle w:val="5"/>
        <w:spacing w:line="276" w:lineRule="auto"/>
      </w:pPr>
    </w:p>
    <w:p w14:paraId="1942581E">
      <w:pPr>
        <w:pStyle w:val="5"/>
        <w:spacing w:line="276" w:lineRule="auto"/>
      </w:pPr>
    </w:p>
    <w:p w14:paraId="5B198B98">
      <w:pPr>
        <w:pStyle w:val="5"/>
        <w:spacing w:line="277" w:lineRule="auto"/>
      </w:pPr>
    </w:p>
    <w:p w14:paraId="4BB7FC7B">
      <w:pPr>
        <w:spacing w:before="79" w:line="222" w:lineRule="auto"/>
        <w:ind w:left="4837"/>
        <w:rPr>
          <w:rFonts w:ascii="黑体" w:hAnsi="黑体" w:eastAsia="黑体" w:cs="黑体"/>
          <w:sz w:val="24"/>
          <w:szCs w:val="24"/>
        </w:rPr>
      </w:pPr>
      <w:r>
        <w:rPr>
          <w:rFonts w:ascii="黑体" w:hAnsi="黑体" w:eastAsia="黑体" w:cs="黑体"/>
          <w:spacing w:val="1"/>
          <w:sz w:val="24"/>
          <w:szCs w:val="24"/>
        </w:rPr>
        <w:t>供应商名称（盖章</w:t>
      </w:r>
      <w:r>
        <w:rPr>
          <w:rFonts w:ascii="黑体" w:hAnsi="黑体" w:eastAsia="黑体" w:cs="黑体"/>
          <w:sz w:val="24"/>
          <w:szCs w:val="24"/>
        </w:rPr>
        <w:t>）：</w:t>
      </w:r>
    </w:p>
    <w:p w14:paraId="3FCB80B3">
      <w:pPr>
        <w:spacing w:before="280" w:line="222" w:lineRule="auto"/>
        <w:ind w:right="36"/>
        <w:jc w:val="right"/>
        <w:rPr>
          <w:rFonts w:ascii="黑体" w:hAnsi="黑体" w:eastAsia="黑体" w:cs="黑体"/>
          <w:sz w:val="24"/>
          <w:szCs w:val="24"/>
        </w:rPr>
      </w:pPr>
      <w:r>
        <w:rPr>
          <w:rFonts w:ascii="黑体" w:hAnsi="黑体" w:eastAsia="黑体" w:cs="黑体"/>
          <w:spacing w:val="1"/>
          <w:sz w:val="24"/>
          <w:szCs w:val="24"/>
        </w:rPr>
        <w:t>法定代表人或委托代理人（签字或盖章</w:t>
      </w:r>
      <w:r>
        <w:rPr>
          <w:rFonts w:ascii="黑体" w:hAnsi="黑体" w:eastAsia="黑体" w:cs="黑体"/>
          <w:spacing w:val="5"/>
          <w:sz w:val="24"/>
          <w:szCs w:val="24"/>
        </w:rPr>
        <w:t>）：</w:t>
      </w:r>
    </w:p>
    <w:p w14:paraId="0F57D485">
      <w:pPr>
        <w:spacing w:before="283" w:line="223" w:lineRule="auto"/>
        <w:jc w:val="right"/>
        <w:rPr>
          <w:rFonts w:ascii="黑体" w:hAnsi="黑体" w:eastAsia="黑体" w:cs="黑体"/>
          <w:sz w:val="24"/>
          <w:szCs w:val="24"/>
        </w:rPr>
      </w:pPr>
      <w:r>
        <w:rPr>
          <w:rFonts w:ascii="黑体" w:hAnsi="黑体" w:eastAsia="黑体" w:cs="黑体"/>
          <w:spacing w:val="-20"/>
          <w:sz w:val="24"/>
          <w:szCs w:val="24"/>
        </w:rPr>
        <w:t>日期：年月日</w:t>
      </w:r>
    </w:p>
    <w:p w14:paraId="5A6CE46E">
      <w:pPr>
        <w:spacing w:line="223" w:lineRule="auto"/>
        <w:rPr>
          <w:rFonts w:ascii="黑体" w:hAnsi="黑体" w:eastAsia="黑体" w:cs="黑体"/>
          <w:sz w:val="24"/>
          <w:szCs w:val="24"/>
        </w:rPr>
        <w:sectPr>
          <w:footerReference r:id="rId43" w:type="default"/>
          <w:pgSz w:w="11906" w:h="16839"/>
          <w:pgMar w:top="400" w:right="1389" w:bottom="1012" w:left="1104" w:header="0" w:footer="850" w:gutter="0"/>
          <w:cols w:space="720" w:num="1"/>
        </w:sectPr>
      </w:pPr>
    </w:p>
    <w:p w14:paraId="5A677606">
      <w:pPr>
        <w:pStyle w:val="5"/>
        <w:spacing w:line="265" w:lineRule="auto"/>
      </w:pPr>
    </w:p>
    <w:p w14:paraId="68C2CE91">
      <w:pPr>
        <w:pStyle w:val="5"/>
        <w:spacing w:line="265" w:lineRule="auto"/>
      </w:pPr>
    </w:p>
    <w:p w14:paraId="6640623E">
      <w:pPr>
        <w:pStyle w:val="5"/>
        <w:spacing w:line="266" w:lineRule="auto"/>
      </w:pPr>
    </w:p>
    <w:p w14:paraId="765F2B68">
      <w:pPr>
        <w:pStyle w:val="5"/>
        <w:spacing w:line="266" w:lineRule="auto"/>
      </w:pPr>
    </w:p>
    <w:p w14:paraId="02E4AA30">
      <w:pPr>
        <w:spacing w:before="101" w:line="230" w:lineRule="auto"/>
        <w:ind w:left="28"/>
        <w:rPr>
          <w:rFonts w:ascii="黑体" w:hAnsi="黑体" w:eastAsia="黑体" w:cs="黑体"/>
          <w:sz w:val="31"/>
          <w:szCs w:val="31"/>
        </w:rPr>
      </w:pPr>
      <w:r>
        <w:rPr>
          <w:rFonts w:ascii="黑体" w:hAnsi="黑体" w:eastAsia="黑体" w:cs="黑体"/>
          <w:spacing w:val="-4"/>
          <w:sz w:val="31"/>
          <w:szCs w:val="31"/>
          <w14:textOutline w14:w="5793" w14:cap="sq" w14:cmpd="sng">
            <w14:solidFill>
              <w14:srgbClr w14:val="000000"/>
            </w14:solidFill>
            <w14:prstDash w14:val="solid"/>
            <w14:bevel/>
          </w14:textOutline>
        </w:rPr>
        <w:t>附件12:</w:t>
      </w:r>
    </w:p>
    <w:p w14:paraId="2ED607BB">
      <w:pPr>
        <w:spacing w:before="238" w:line="226" w:lineRule="auto"/>
        <w:ind w:left="3071"/>
        <w:outlineLvl w:val="1"/>
        <w:rPr>
          <w:rFonts w:ascii="黑体" w:hAnsi="黑体" w:eastAsia="黑体" w:cs="黑体"/>
          <w:sz w:val="31"/>
          <w:szCs w:val="31"/>
        </w:rPr>
      </w:pPr>
      <w:r>
        <w:rPr>
          <w:rFonts w:ascii="黑体" w:hAnsi="黑体" w:eastAsia="黑体" w:cs="黑体"/>
          <w:spacing w:val="12"/>
          <w:sz w:val="31"/>
          <w:szCs w:val="31"/>
          <w14:textOutline w14:w="5793" w14:cap="sq" w14:cmpd="sng">
            <w14:solidFill>
              <w14:srgbClr w14:val="000000"/>
            </w14:solidFill>
            <w14:prstDash w14:val="solid"/>
            <w14:bevel/>
          </w14:textOutline>
        </w:rPr>
        <w:t>拟派项目负责人简历表</w:t>
      </w:r>
    </w:p>
    <w:p w14:paraId="4F20C439">
      <w:pPr>
        <w:spacing w:line="90" w:lineRule="exact"/>
      </w:pPr>
    </w:p>
    <w:tbl>
      <w:tblPr>
        <w:tblStyle w:val="13"/>
        <w:tblW w:w="932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12"/>
        <w:gridCol w:w="323"/>
        <w:gridCol w:w="1002"/>
        <w:gridCol w:w="930"/>
        <w:gridCol w:w="388"/>
        <w:gridCol w:w="1407"/>
        <w:gridCol w:w="3056"/>
        <w:gridCol w:w="1209"/>
      </w:tblGrid>
      <w:tr w14:paraId="1D65E7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9" w:hRule="atLeast"/>
        </w:trPr>
        <w:tc>
          <w:tcPr>
            <w:tcW w:w="1012" w:type="dxa"/>
            <w:vAlign w:val="top"/>
          </w:tcPr>
          <w:p w14:paraId="7A536581">
            <w:pPr>
              <w:pStyle w:val="14"/>
              <w:spacing w:before="299" w:line="207" w:lineRule="auto"/>
              <w:ind w:left="269"/>
            </w:pPr>
            <w:r>
              <w:rPr>
                <w:spacing w:val="-4"/>
              </w:rPr>
              <w:t>姓名</w:t>
            </w:r>
          </w:p>
        </w:tc>
        <w:tc>
          <w:tcPr>
            <w:tcW w:w="1325" w:type="dxa"/>
            <w:gridSpan w:val="2"/>
            <w:vAlign w:val="top"/>
          </w:tcPr>
          <w:p w14:paraId="62C476EF">
            <w:pPr>
              <w:rPr>
                <w:rFonts w:ascii="Arial"/>
                <w:sz w:val="21"/>
              </w:rPr>
            </w:pPr>
          </w:p>
        </w:tc>
        <w:tc>
          <w:tcPr>
            <w:tcW w:w="1318" w:type="dxa"/>
            <w:gridSpan w:val="2"/>
            <w:vAlign w:val="top"/>
          </w:tcPr>
          <w:p w14:paraId="75F0CDCA">
            <w:pPr>
              <w:pStyle w:val="14"/>
              <w:spacing w:before="299" w:line="207" w:lineRule="auto"/>
              <w:ind w:left="421"/>
            </w:pPr>
            <w:r>
              <w:rPr>
                <w:spacing w:val="-4"/>
              </w:rPr>
              <w:t>性别</w:t>
            </w:r>
          </w:p>
        </w:tc>
        <w:tc>
          <w:tcPr>
            <w:tcW w:w="1407" w:type="dxa"/>
            <w:vAlign w:val="top"/>
          </w:tcPr>
          <w:p w14:paraId="6C65932F">
            <w:pPr>
              <w:rPr>
                <w:rFonts w:ascii="Arial"/>
                <w:sz w:val="21"/>
              </w:rPr>
            </w:pPr>
          </w:p>
        </w:tc>
        <w:tc>
          <w:tcPr>
            <w:tcW w:w="3056" w:type="dxa"/>
            <w:vAlign w:val="top"/>
          </w:tcPr>
          <w:p w14:paraId="2BE43074">
            <w:pPr>
              <w:pStyle w:val="14"/>
              <w:spacing w:before="299" w:line="207" w:lineRule="auto"/>
              <w:ind w:left="1294"/>
            </w:pPr>
            <w:r>
              <w:rPr>
                <w:spacing w:val="-4"/>
              </w:rPr>
              <w:t>年龄</w:t>
            </w:r>
          </w:p>
        </w:tc>
        <w:tc>
          <w:tcPr>
            <w:tcW w:w="1209" w:type="dxa"/>
            <w:vAlign w:val="top"/>
          </w:tcPr>
          <w:p w14:paraId="4D425B4B">
            <w:pPr>
              <w:rPr>
                <w:rFonts w:ascii="Arial"/>
                <w:sz w:val="21"/>
              </w:rPr>
            </w:pPr>
          </w:p>
        </w:tc>
      </w:tr>
      <w:tr w14:paraId="4B5809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4" w:hRule="atLeast"/>
        </w:trPr>
        <w:tc>
          <w:tcPr>
            <w:tcW w:w="1012" w:type="dxa"/>
            <w:vAlign w:val="top"/>
          </w:tcPr>
          <w:p w14:paraId="7A8355CA">
            <w:pPr>
              <w:pStyle w:val="14"/>
              <w:spacing w:before="296" w:line="206" w:lineRule="auto"/>
              <w:ind w:left="269"/>
            </w:pPr>
            <w:r>
              <w:rPr>
                <w:spacing w:val="-4"/>
              </w:rPr>
              <w:t>职务</w:t>
            </w:r>
          </w:p>
        </w:tc>
        <w:tc>
          <w:tcPr>
            <w:tcW w:w="1325" w:type="dxa"/>
            <w:gridSpan w:val="2"/>
            <w:vAlign w:val="top"/>
          </w:tcPr>
          <w:p w14:paraId="7179B0B4">
            <w:pPr>
              <w:rPr>
                <w:rFonts w:ascii="Arial"/>
                <w:sz w:val="21"/>
              </w:rPr>
            </w:pPr>
          </w:p>
        </w:tc>
        <w:tc>
          <w:tcPr>
            <w:tcW w:w="1318" w:type="dxa"/>
            <w:gridSpan w:val="2"/>
            <w:vAlign w:val="top"/>
          </w:tcPr>
          <w:p w14:paraId="13F11B31">
            <w:pPr>
              <w:pStyle w:val="14"/>
              <w:spacing w:before="296" w:line="206" w:lineRule="auto"/>
              <w:ind w:left="421"/>
            </w:pPr>
            <w:r>
              <w:rPr>
                <w:spacing w:val="-4"/>
              </w:rPr>
              <w:t>职称</w:t>
            </w:r>
          </w:p>
        </w:tc>
        <w:tc>
          <w:tcPr>
            <w:tcW w:w="1407" w:type="dxa"/>
            <w:vAlign w:val="top"/>
          </w:tcPr>
          <w:p w14:paraId="07A95F86">
            <w:pPr>
              <w:rPr>
                <w:rFonts w:ascii="Arial"/>
                <w:sz w:val="21"/>
              </w:rPr>
            </w:pPr>
          </w:p>
        </w:tc>
        <w:tc>
          <w:tcPr>
            <w:tcW w:w="3056" w:type="dxa"/>
            <w:vAlign w:val="top"/>
          </w:tcPr>
          <w:p w14:paraId="6B5F49EB">
            <w:pPr>
              <w:pStyle w:val="14"/>
              <w:spacing w:before="296" w:line="206" w:lineRule="auto"/>
              <w:ind w:left="444"/>
            </w:pPr>
            <w:r>
              <w:rPr>
                <w:spacing w:val="1"/>
              </w:rPr>
              <w:t>拟在本项目担任职务</w:t>
            </w:r>
          </w:p>
        </w:tc>
        <w:tc>
          <w:tcPr>
            <w:tcW w:w="1209" w:type="dxa"/>
            <w:vAlign w:val="top"/>
          </w:tcPr>
          <w:p w14:paraId="451453E8">
            <w:pPr>
              <w:rPr>
                <w:rFonts w:ascii="Arial"/>
                <w:sz w:val="21"/>
              </w:rPr>
            </w:pPr>
          </w:p>
        </w:tc>
      </w:tr>
      <w:tr w14:paraId="030631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4" w:hRule="atLeast"/>
        </w:trPr>
        <w:tc>
          <w:tcPr>
            <w:tcW w:w="2337" w:type="dxa"/>
            <w:gridSpan w:val="3"/>
            <w:vAlign w:val="top"/>
          </w:tcPr>
          <w:p w14:paraId="4CED22DE">
            <w:pPr>
              <w:pStyle w:val="14"/>
              <w:spacing w:before="296" w:line="571" w:lineRule="exact"/>
              <w:ind w:left="568"/>
            </w:pPr>
            <w:r>
              <w:rPr>
                <w:position w:val="25"/>
              </w:rPr>
              <w:t>执业资格证</w:t>
            </w:r>
          </w:p>
          <w:p w14:paraId="5E7594EA">
            <w:pPr>
              <w:pStyle w:val="14"/>
              <w:spacing w:line="205" w:lineRule="auto"/>
              <w:ind w:left="574"/>
            </w:pPr>
            <w:r>
              <w:rPr>
                <w:spacing w:val="-1"/>
              </w:rPr>
              <w:t>或注册证书</w:t>
            </w:r>
          </w:p>
        </w:tc>
        <w:tc>
          <w:tcPr>
            <w:tcW w:w="2725" w:type="dxa"/>
            <w:gridSpan w:val="3"/>
            <w:vAlign w:val="top"/>
          </w:tcPr>
          <w:p w14:paraId="70FDB268">
            <w:pPr>
              <w:rPr>
                <w:rFonts w:ascii="Arial"/>
                <w:sz w:val="21"/>
              </w:rPr>
            </w:pPr>
          </w:p>
        </w:tc>
        <w:tc>
          <w:tcPr>
            <w:tcW w:w="3056" w:type="dxa"/>
            <w:vAlign w:val="top"/>
          </w:tcPr>
          <w:p w14:paraId="66378990">
            <w:pPr>
              <w:spacing w:line="250" w:lineRule="auto"/>
              <w:rPr>
                <w:rFonts w:ascii="Arial"/>
                <w:sz w:val="21"/>
              </w:rPr>
            </w:pPr>
          </w:p>
          <w:p w14:paraId="3D97868E">
            <w:pPr>
              <w:spacing w:line="250" w:lineRule="auto"/>
              <w:rPr>
                <w:rFonts w:ascii="Arial"/>
                <w:sz w:val="21"/>
              </w:rPr>
            </w:pPr>
          </w:p>
          <w:p w14:paraId="5CBD86E9">
            <w:pPr>
              <w:pStyle w:val="14"/>
              <w:spacing w:before="78" w:line="221" w:lineRule="auto"/>
              <w:ind w:left="1050"/>
            </w:pPr>
            <w:r>
              <w:rPr>
                <w:spacing w:val="-1"/>
              </w:rPr>
              <w:t>证书编号</w:t>
            </w:r>
          </w:p>
        </w:tc>
        <w:tc>
          <w:tcPr>
            <w:tcW w:w="1209" w:type="dxa"/>
            <w:vAlign w:val="top"/>
          </w:tcPr>
          <w:p w14:paraId="3B27B283">
            <w:pPr>
              <w:rPr>
                <w:rFonts w:ascii="Arial"/>
                <w:sz w:val="21"/>
              </w:rPr>
            </w:pPr>
          </w:p>
        </w:tc>
      </w:tr>
      <w:tr w14:paraId="1C64A1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4" w:hRule="atLeast"/>
        </w:trPr>
        <w:tc>
          <w:tcPr>
            <w:tcW w:w="2337" w:type="dxa"/>
            <w:gridSpan w:val="3"/>
            <w:vAlign w:val="top"/>
          </w:tcPr>
          <w:p w14:paraId="425D9EBE">
            <w:pPr>
              <w:pStyle w:val="14"/>
              <w:spacing w:before="296" w:line="206" w:lineRule="auto"/>
              <w:ind w:left="446"/>
            </w:pPr>
            <w:r>
              <w:t>参加工作时间</w:t>
            </w:r>
          </w:p>
        </w:tc>
        <w:tc>
          <w:tcPr>
            <w:tcW w:w="1318" w:type="dxa"/>
            <w:gridSpan w:val="2"/>
            <w:vAlign w:val="top"/>
          </w:tcPr>
          <w:p w14:paraId="7EAD4AFE">
            <w:pPr>
              <w:rPr>
                <w:rFonts w:ascii="Arial"/>
                <w:sz w:val="21"/>
              </w:rPr>
            </w:pPr>
          </w:p>
        </w:tc>
        <w:tc>
          <w:tcPr>
            <w:tcW w:w="4463" w:type="dxa"/>
            <w:gridSpan w:val="2"/>
            <w:vAlign w:val="top"/>
          </w:tcPr>
          <w:p w14:paraId="4E9D5B92">
            <w:pPr>
              <w:pStyle w:val="14"/>
              <w:spacing w:before="296" w:line="206" w:lineRule="auto"/>
              <w:ind w:left="1147"/>
            </w:pPr>
            <w:r>
              <w:rPr>
                <w:spacing w:val="1"/>
              </w:rPr>
              <w:t>从事本专业工作时间</w:t>
            </w:r>
          </w:p>
        </w:tc>
        <w:tc>
          <w:tcPr>
            <w:tcW w:w="1209" w:type="dxa"/>
            <w:vAlign w:val="top"/>
          </w:tcPr>
          <w:p w14:paraId="65DEDCE6">
            <w:pPr>
              <w:rPr>
                <w:rFonts w:ascii="Arial"/>
                <w:sz w:val="21"/>
              </w:rPr>
            </w:pPr>
          </w:p>
        </w:tc>
      </w:tr>
      <w:tr w14:paraId="678B7A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327" w:type="dxa"/>
            <w:gridSpan w:val="8"/>
            <w:vAlign w:val="top"/>
          </w:tcPr>
          <w:p w14:paraId="4F249B79">
            <w:pPr>
              <w:pStyle w:val="14"/>
              <w:spacing w:before="298" w:line="205" w:lineRule="auto"/>
              <w:ind w:left="4189"/>
            </w:pPr>
            <w:r>
              <w:rPr>
                <w:spacing w:val="-7"/>
              </w:rPr>
              <w:t>经历</w:t>
            </w:r>
          </w:p>
        </w:tc>
      </w:tr>
      <w:tr w14:paraId="6138C0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4" w:hRule="atLeast"/>
        </w:trPr>
        <w:tc>
          <w:tcPr>
            <w:tcW w:w="1335" w:type="dxa"/>
            <w:gridSpan w:val="2"/>
            <w:vAlign w:val="top"/>
          </w:tcPr>
          <w:p w14:paraId="206D6232">
            <w:pPr>
              <w:spacing w:line="250" w:lineRule="auto"/>
              <w:rPr>
                <w:rFonts w:ascii="Arial"/>
                <w:sz w:val="21"/>
              </w:rPr>
            </w:pPr>
          </w:p>
          <w:p w14:paraId="456E996A">
            <w:pPr>
              <w:spacing w:line="251" w:lineRule="auto"/>
              <w:rPr>
                <w:rFonts w:ascii="Arial"/>
                <w:sz w:val="21"/>
              </w:rPr>
            </w:pPr>
          </w:p>
          <w:p w14:paraId="7D10829F">
            <w:pPr>
              <w:pStyle w:val="14"/>
              <w:spacing w:before="78" w:line="223" w:lineRule="auto"/>
              <w:ind w:left="433"/>
            </w:pPr>
            <w:r>
              <w:rPr>
                <w:spacing w:val="-4"/>
              </w:rPr>
              <w:t>年份</w:t>
            </w:r>
          </w:p>
        </w:tc>
        <w:tc>
          <w:tcPr>
            <w:tcW w:w="1932" w:type="dxa"/>
            <w:gridSpan w:val="2"/>
            <w:vAlign w:val="top"/>
          </w:tcPr>
          <w:p w14:paraId="74E937B5">
            <w:pPr>
              <w:pStyle w:val="14"/>
              <w:spacing w:before="299" w:line="569" w:lineRule="exact"/>
              <w:ind w:left="487"/>
            </w:pPr>
            <w:r>
              <w:rPr>
                <w:spacing w:val="-1"/>
                <w:position w:val="25"/>
              </w:rPr>
              <w:t>参加过的</w:t>
            </w:r>
          </w:p>
          <w:p w14:paraId="6BF597EE">
            <w:pPr>
              <w:pStyle w:val="14"/>
              <w:spacing w:line="204" w:lineRule="auto"/>
              <w:ind w:left="487"/>
            </w:pPr>
            <w:r>
              <w:rPr>
                <w:spacing w:val="-1"/>
              </w:rPr>
              <w:t>项目名称</w:t>
            </w:r>
          </w:p>
        </w:tc>
        <w:tc>
          <w:tcPr>
            <w:tcW w:w="1795" w:type="dxa"/>
            <w:gridSpan w:val="2"/>
            <w:vAlign w:val="top"/>
          </w:tcPr>
          <w:p w14:paraId="69FE2523">
            <w:pPr>
              <w:spacing w:line="250" w:lineRule="auto"/>
              <w:rPr>
                <w:rFonts w:ascii="Arial"/>
                <w:sz w:val="21"/>
              </w:rPr>
            </w:pPr>
          </w:p>
          <w:p w14:paraId="45237497">
            <w:pPr>
              <w:spacing w:line="251" w:lineRule="auto"/>
              <w:rPr>
                <w:rFonts w:ascii="Arial"/>
                <w:sz w:val="21"/>
              </w:rPr>
            </w:pPr>
          </w:p>
          <w:p w14:paraId="0CAE4CF7">
            <w:pPr>
              <w:pStyle w:val="14"/>
              <w:spacing w:before="78" w:line="222" w:lineRule="auto"/>
              <w:ind w:left="418"/>
            </w:pPr>
            <w:r>
              <w:rPr>
                <w:spacing w:val="-1"/>
              </w:rPr>
              <w:t>采购内容</w:t>
            </w:r>
          </w:p>
        </w:tc>
        <w:tc>
          <w:tcPr>
            <w:tcW w:w="3056" w:type="dxa"/>
            <w:vAlign w:val="top"/>
          </w:tcPr>
          <w:p w14:paraId="3F5D0854">
            <w:pPr>
              <w:spacing w:line="250" w:lineRule="auto"/>
              <w:rPr>
                <w:rFonts w:ascii="Arial"/>
                <w:sz w:val="21"/>
              </w:rPr>
            </w:pPr>
          </w:p>
          <w:p w14:paraId="48506E43">
            <w:pPr>
              <w:spacing w:line="251" w:lineRule="auto"/>
              <w:rPr>
                <w:rFonts w:ascii="Arial"/>
                <w:sz w:val="21"/>
              </w:rPr>
            </w:pPr>
          </w:p>
          <w:p w14:paraId="1D9DF627">
            <w:pPr>
              <w:pStyle w:val="14"/>
              <w:spacing w:before="78" w:line="221" w:lineRule="auto"/>
              <w:ind w:left="1050"/>
            </w:pPr>
            <w:r>
              <w:rPr>
                <w:spacing w:val="-1"/>
              </w:rPr>
              <w:t>担任职务</w:t>
            </w:r>
          </w:p>
        </w:tc>
        <w:tc>
          <w:tcPr>
            <w:tcW w:w="1209" w:type="dxa"/>
            <w:vAlign w:val="top"/>
          </w:tcPr>
          <w:p w14:paraId="543DE264">
            <w:pPr>
              <w:spacing w:line="250" w:lineRule="auto"/>
              <w:rPr>
                <w:rFonts w:ascii="Arial"/>
                <w:sz w:val="21"/>
              </w:rPr>
            </w:pPr>
          </w:p>
          <w:p w14:paraId="016E89DB">
            <w:pPr>
              <w:spacing w:line="250" w:lineRule="auto"/>
              <w:rPr>
                <w:rFonts w:ascii="Arial"/>
                <w:sz w:val="21"/>
              </w:rPr>
            </w:pPr>
          </w:p>
          <w:p w14:paraId="6022C425">
            <w:pPr>
              <w:pStyle w:val="14"/>
              <w:spacing w:before="78" w:line="222" w:lineRule="auto"/>
              <w:ind w:left="368"/>
            </w:pPr>
            <w:r>
              <w:rPr>
                <w:spacing w:val="-4"/>
              </w:rPr>
              <w:t>备注</w:t>
            </w:r>
          </w:p>
        </w:tc>
      </w:tr>
      <w:tr w14:paraId="1DE689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1335" w:type="dxa"/>
            <w:gridSpan w:val="2"/>
            <w:vAlign w:val="top"/>
          </w:tcPr>
          <w:p w14:paraId="0F3DBB0A">
            <w:pPr>
              <w:rPr>
                <w:rFonts w:ascii="Arial"/>
                <w:sz w:val="21"/>
              </w:rPr>
            </w:pPr>
          </w:p>
        </w:tc>
        <w:tc>
          <w:tcPr>
            <w:tcW w:w="1932" w:type="dxa"/>
            <w:gridSpan w:val="2"/>
            <w:vAlign w:val="top"/>
          </w:tcPr>
          <w:p w14:paraId="6404529C">
            <w:pPr>
              <w:rPr>
                <w:rFonts w:ascii="Arial"/>
                <w:sz w:val="21"/>
              </w:rPr>
            </w:pPr>
          </w:p>
        </w:tc>
        <w:tc>
          <w:tcPr>
            <w:tcW w:w="1795" w:type="dxa"/>
            <w:gridSpan w:val="2"/>
            <w:vAlign w:val="top"/>
          </w:tcPr>
          <w:p w14:paraId="3A87B9A4">
            <w:pPr>
              <w:rPr>
                <w:rFonts w:ascii="Arial"/>
                <w:sz w:val="21"/>
              </w:rPr>
            </w:pPr>
          </w:p>
        </w:tc>
        <w:tc>
          <w:tcPr>
            <w:tcW w:w="3056" w:type="dxa"/>
            <w:vAlign w:val="top"/>
          </w:tcPr>
          <w:p w14:paraId="6E123F7D">
            <w:pPr>
              <w:rPr>
                <w:rFonts w:ascii="Arial"/>
                <w:sz w:val="21"/>
              </w:rPr>
            </w:pPr>
          </w:p>
        </w:tc>
        <w:tc>
          <w:tcPr>
            <w:tcW w:w="1209" w:type="dxa"/>
            <w:vAlign w:val="top"/>
          </w:tcPr>
          <w:p w14:paraId="32E2A937">
            <w:pPr>
              <w:rPr>
                <w:rFonts w:ascii="Arial"/>
                <w:sz w:val="21"/>
              </w:rPr>
            </w:pPr>
          </w:p>
        </w:tc>
      </w:tr>
      <w:tr w14:paraId="6B0B3E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1335" w:type="dxa"/>
            <w:gridSpan w:val="2"/>
            <w:vAlign w:val="top"/>
          </w:tcPr>
          <w:p w14:paraId="3D0A1081">
            <w:pPr>
              <w:rPr>
                <w:rFonts w:ascii="Arial"/>
                <w:sz w:val="21"/>
              </w:rPr>
            </w:pPr>
          </w:p>
        </w:tc>
        <w:tc>
          <w:tcPr>
            <w:tcW w:w="1932" w:type="dxa"/>
            <w:gridSpan w:val="2"/>
            <w:vAlign w:val="top"/>
          </w:tcPr>
          <w:p w14:paraId="32AF57EC">
            <w:pPr>
              <w:rPr>
                <w:rFonts w:ascii="Arial"/>
                <w:sz w:val="21"/>
              </w:rPr>
            </w:pPr>
          </w:p>
        </w:tc>
        <w:tc>
          <w:tcPr>
            <w:tcW w:w="1795" w:type="dxa"/>
            <w:gridSpan w:val="2"/>
            <w:vAlign w:val="top"/>
          </w:tcPr>
          <w:p w14:paraId="130B7A5B">
            <w:pPr>
              <w:rPr>
                <w:rFonts w:ascii="Arial"/>
                <w:sz w:val="21"/>
              </w:rPr>
            </w:pPr>
          </w:p>
        </w:tc>
        <w:tc>
          <w:tcPr>
            <w:tcW w:w="3056" w:type="dxa"/>
            <w:vAlign w:val="top"/>
          </w:tcPr>
          <w:p w14:paraId="1799DB50">
            <w:pPr>
              <w:rPr>
                <w:rFonts w:ascii="Arial"/>
                <w:sz w:val="21"/>
              </w:rPr>
            </w:pPr>
          </w:p>
        </w:tc>
        <w:tc>
          <w:tcPr>
            <w:tcW w:w="1209" w:type="dxa"/>
            <w:vAlign w:val="top"/>
          </w:tcPr>
          <w:p w14:paraId="144DED4F">
            <w:pPr>
              <w:rPr>
                <w:rFonts w:ascii="Arial"/>
                <w:sz w:val="21"/>
              </w:rPr>
            </w:pPr>
          </w:p>
        </w:tc>
      </w:tr>
      <w:tr w14:paraId="026E0A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1335" w:type="dxa"/>
            <w:gridSpan w:val="2"/>
            <w:vAlign w:val="top"/>
          </w:tcPr>
          <w:p w14:paraId="1559BB52">
            <w:pPr>
              <w:rPr>
                <w:rFonts w:ascii="Arial"/>
                <w:sz w:val="21"/>
              </w:rPr>
            </w:pPr>
          </w:p>
        </w:tc>
        <w:tc>
          <w:tcPr>
            <w:tcW w:w="1932" w:type="dxa"/>
            <w:gridSpan w:val="2"/>
            <w:vAlign w:val="top"/>
          </w:tcPr>
          <w:p w14:paraId="423E1030">
            <w:pPr>
              <w:rPr>
                <w:rFonts w:ascii="Arial"/>
                <w:sz w:val="21"/>
              </w:rPr>
            </w:pPr>
          </w:p>
        </w:tc>
        <w:tc>
          <w:tcPr>
            <w:tcW w:w="1795" w:type="dxa"/>
            <w:gridSpan w:val="2"/>
            <w:vAlign w:val="top"/>
          </w:tcPr>
          <w:p w14:paraId="566D4B69">
            <w:pPr>
              <w:rPr>
                <w:rFonts w:ascii="Arial"/>
                <w:sz w:val="21"/>
              </w:rPr>
            </w:pPr>
          </w:p>
        </w:tc>
        <w:tc>
          <w:tcPr>
            <w:tcW w:w="3056" w:type="dxa"/>
            <w:vAlign w:val="top"/>
          </w:tcPr>
          <w:p w14:paraId="5885CC81">
            <w:pPr>
              <w:rPr>
                <w:rFonts w:ascii="Arial"/>
                <w:sz w:val="21"/>
              </w:rPr>
            </w:pPr>
          </w:p>
        </w:tc>
        <w:tc>
          <w:tcPr>
            <w:tcW w:w="1209" w:type="dxa"/>
            <w:vAlign w:val="top"/>
          </w:tcPr>
          <w:p w14:paraId="4DE60C33">
            <w:pPr>
              <w:rPr>
                <w:rFonts w:ascii="Arial"/>
                <w:sz w:val="21"/>
              </w:rPr>
            </w:pPr>
          </w:p>
        </w:tc>
      </w:tr>
      <w:tr w14:paraId="067AC1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1335" w:type="dxa"/>
            <w:gridSpan w:val="2"/>
            <w:vAlign w:val="top"/>
          </w:tcPr>
          <w:p w14:paraId="02D7F863">
            <w:pPr>
              <w:rPr>
                <w:rFonts w:ascii="Arial"/>
                <w:sz w:val="21"/>
              </w:rPr>
            </w:pPr>
          </w:p>
        </w:tc>
        <w:tc>
          <w:tcPr>
            <w:tcW w:w="1932" w:type="dxa"/>
            <w:gridSpan w:val="2"/>
            <w:vAlign w:val="top"/>
          </w:tcPr>
          <w:p w14:paraId="2E5A68DA">
            <w:pPr>
              <w:rPr>
                <w:rFonts w:ascii="Arial"/>
                <w:sz w:val="21"/>
              </w:rPr>
            </w:pPr>
          </w:p>
        </w:tc>
        <w:tc>
          <w:tcPr>
            <w:tcW w:w="1795" w:type="dxa"/>
            <w:gridSpan w:val="2"/>
            <w:vAlign w:val="top"/>
          </w:tcPr>
          <w:p w14:paraId="63EC7AF9">
            <w:pPr>
              <w:rPr>
                <w:rFonts w:ascii="Arial"/>
                <w:sz w:val="21"/>
              </w:rPr>
            </w:pPr>
          </w:p>
        </w:tc>
        <w:tc>
          <w:tcPr>
            <w:tcW w:w="3056" w:type="dxa"/>
            <w:vAlign w:val="top"/>
          </w:tcPr>
          <w:p w14:paraId="6F43C587">
            <w:pPr>
              <w:rPr>
                <w:rFonts w:ascii="Arial"/>
                <w:sz w:val="21"/>
              </w:rPr>
            </w:pPr>
          </w:p>
        </w:tc>
        <w:tc>
          <w:tcPr>
            <w:tcW w:w="1209" w:type="dxa"/>
            <w:vAlign w:val="top"/>
          </w:tcPr>
          <w:p w14:paraId="69B31B18">
            <w:pPr>
              <w:rPr>
                <w:rFonts w:ascii="Arial"/>
                <w:sz w:val="21"/>
              </w:rPr>
            </w:pPr>
          </w:p>
        </w:tc>
      </w:tr>
      <w:tr w14:paraId="4EF01F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9" w:hRule="atLeast"/>
        </w:trPr>
        <w:tc>
          <w:tcPr>
            <w:tcW w:w="1335" w:type="dxa"/>
            <w:gridSpan w:val="2"/>
            <w:vAlign w:val="top"/>
          </w:tcPr>
          <w:p w14:paraId="1F06761E">
            <w:pPr>
              <w:spacing w:line="401" w:lineRule="auto"/>
              <w:rPr>
                <w:rFonts w:ascii="Arial"/>
                <w:sz w:val="21"/>
              </w:rPr>
            </w:pPr>
          </w:p>
          <w:p w14:paraId="1CDB9D83">
            <w:pPr>
              <w:pStyle w:val="14"/>
              <w:spacing w:before="78" w:line="87" w:lineRule="exact"/>
              <w:ind w:left="501"/>
            </w:pPr>
            <w:r>
              <w:rPr>
                <w:position w:val="1"/>
              </w:rPr>
              <w:t>...</w:t>
            </w:r>
          </w:p>
        </w:tc>
        <w:tc>
          <w:tcPr>
            <w:tcW w:w="1932" w:type="dxa"/>
            <w:gridSpan w:val="2"/>
            <w:vAlign w:val="top"/>
          </w:tcPr>
          <w:p w14:paraId="0875C02F">
            <w:pPr>
              <w:rPr>
                <w:rFonts w:ascii="Arial"/>
                <w:sz w:val="21"/>
              </w:rPr>
            </w:pPr>
          </w:p>
        </w:tc>
        <w:tc>
          <w:tcPr>
            <w:tcW w:w="1795" w:type="dxa"/>
            <w:gridSpan w:val="2"/>
            <w:vAlign w:val="top"/>
          </w:tcPr>
          <w:p w14:paraId="4C58C668">
            <w:pPr>
              <w:rPr>
                <w:rFonts w:ascii="Arial"/>
                <w:sz w:val="21"/>
              </w:rPr>
            </w:pPr>
          </w:p>
        </w:tc>
        <w:tc>
          <w:tcPr>
            <w:tcW w:w="3056" w:type="dxa"/>
            <w:vAlign w:val="top"/>
          </w:tcPr>
          <w:p w14:paraId="22DD0C74">
            <w:pPr>
              <w:rPr>
                <w:rFonts w:ascii="Arial"/>
                <w:sz w:val="21"/>
              </w:rPr>
            </w:pPr>
          </w:p>
        </w:tc>
        <w:tc>
          <w:tcPr>
            <w:tcW w:w="1209" w:type="dxa"/>
            <w:vAlign w:val="top"/>
          </w:tcPr>
          <w:p w14:paraId="30B186A3">
            <w:pPr>
              <w:rPr>
                <w:rFonts w:ascii="Arial"/>
                <w:sz w:val="21"/>
              </w:rPr>
            </w:pPr>
          </w:p>
        </w:tc>
      </w:tr>
    </w:tbl>
    <w:p w14:paraId="16CC64B8">
      <w:pPr>
        <w:spacing w:before="294" w:line="571" w:lineRule="exact"/>
        <w:ind w:right="2"/>
        <w:jc w:val="right"/>
        <w:rPr>
          <w:rFonts w:ascii="黑体" w:hAnsi="黑体" w:eastAsia="黑体" w:cs="黑体"/>
          <w:sz w:val="24"/>
          <w:szCs w:val="24"/>
        </w:rPr>
      </w:pPr>
      <w:r>
        <w:rPr>
          <w:rFonts w:ascii="黑体" w:hAnsi="黑体" w:eastAsia="黑体" w:cs="黑体"/>
          <w:spacing w:val="2"/>
          <w:position w:val="25"/>
          <w:sz w:val="24"/>
          <w:szCs w:val="24"/>
          <w14:textOutline w14:w="4358" w14:cap="sq" w14:cmpd="sng">
            <w14:solidFill>
              <w14:srgbClr w14:val="000000"/>
            </w14:solidFill>
            <w14:prstDash w14:val="solid"/>
            <w14:bevel/>
          </w14:textOutline>
        </w:rPr>
        <w:t>附项目负责人相关资料、社保缴纳凭证、业绩证明资料复印件（如成交通知书/中标通知</w:t>
      </w:r>
    </w:p>
    <w:p w14:paraId="4BC72836">
      <w:pPr>
        <w:spacing w:before="1" w:line="212" w:lineRule="auto"/>
        <w:ind w:left="15"/>
        <w:rPr>
          <w:rFonts w:ascii="黑体" w:hAnsi="黑体" w:eastAsia="黑体" w:cs="黑体"/>
          <w:sz w:val="24"/>
          <w:szCs w:val="24"/>
        </w:rPr>
      </w:pPr>
      <w:r>
        <w:rPr>
          <w:rFonts w:ascii="黑体" w:hAnsi="黑体" w:eastAsia="黑体" w:cs="黑体"/>
          <w:spacing w:val="1"/>
          <w:sz w:val="24"/>
          <w:szCs w:val="24"/>
          <w14:textOutline w14:w="4358" w14:cap="sq" w14:cmpd="sng">
            <w14:solidFill>
              <w14:srgbClr w14:val="000000"/>
            </w14:solidFill>
            <w14:prstDash w14:val="solid"/>
            <w14:bevel/>
          </w14:textOutline>
        </w:rPr>
        <w:t>书</w:t>
      </w:r>
      <w:r>
        <w:rPr>
          <w:rFonts w:hint="eastAsia" w:ascii="黑体" w:hAnsi="黑体" w:eastAsia="黑体" w:cs="黑体"/>
          <w:spacing w:val="1"/>
          <w:sz w:val="24"/>
          <w:szCs w:val="24"/>
          <w:lang w:val="en-US" w:eastAsia="zh-CN"/>
          <w14:textOutline w14:w="4358" w14:cap="sq" w14:cmpd="sng">
            <w14:solidFill>
              <w14:srgbClr w14:val="000000"/>
            </w14:solidFill>
            <w14:prstDash w14:val="solid"/>
            <w14:bevel/>
          </w14:textOutline>
        </w:rPr>
        <w:t>及</w:t>
      </w:r>
      <w:r>
        <w:rPr>
          <w:rFonts w:ascii="黑体" w:hAnsi="黑体" w:eastAsia="黑体" w:cs="黑体"/>
          <w:spacing w:val="1"/>
          <w:sz w:val="24"/>
          <w:szCs w:val="24"/>
          <w14:textOutline w14:w="4358" w14:cap="sq" w14:cmpd="sng">
            <w14:solidFill>
              <w14:srgbClr w14:val="000000"/>
            </w14:solidFill>
            <w14:prstDash w14:val="solid"/>
            <w14:bevel/>
          </w14:textOutline>
        </w:rPr>
        <w:t>合同复印件</w:t>
      </w:r>
      <w:r>
        <w:rPr>
          <w:rFonts w:ascii="黑体" w:hAnsi="黑体" w:eastAsia="黑体" w:cs="黑体"/>
          <w:spacing w:val="9"/>
          <w:sz w:val="24"/>
          <w:szCs w:val="24"/>
          <w14:textOutline w14:w="4358" w14:cap="sq" w14:cmpd="sng">
            <w14:solidFill>
              <w14:srgbClr w14:val="000000"/>
            </w14:solidFill>
            <w14:prstDash w14:val="solid"/>
            <w14:bevel/>
          </w14:textOutline>
        </w:rPr>
        <w:t>），</w:t>
      </w:r>
      <w:r>
        <w:rPr>
          <w:rFonts w:ascii="黑体" w:hAnsi="黑体" w:eastAsia="黑体" w:cs="黑体"/>
          <w:spacing w:val="1"/>
          <w:sz w:val="24"/>
          <w:szCs w:val="24"/>
          <w14:textOutline w14:w="4358" w14:cap="sq" w14:cmpd="sng">
            <w14:solidFill>
              <w14:srgbClr w14:val="000000"/>
            </w14:solidFill>
            <w14:prstDash w14:val="solid"/>
            <w14:bevel/>
          </w14:textOutline>
        </w:rPr>
        <w:t>作为本表的附件。</w:t>
      </w:r>
    </w:p>
    <w:p w14:paraId="4683B939">
      <w:pPr>
        <w:pStyle w:val="5"/>
        <w:spacing w:line="272" w:lineRule="auto"/>
      </w:pPr>
    </w:p>
    <w:p w14:paraId="7A16F148">
      <w:pPr>
        <w:pStyle w:val="5"/>
        <w:spacing w:line="272" w:lineRule="auto"/>
      </w:pPr>
    </w:p>
    <w:p w14:paraId="7B923DD5">
      <w:pPr>
        <w:pStyle w:val="5"/>
        <w:spacing w:line="272" w:lineRule="auto"/>
      </w:pPr>
    </w:p>
    <w:p w14:paraId="25B5DF90">
      <w:pPr>
        <w:pStyle w:val="5"/>
        <w:spacing w:line="273" w:lineRule="auto"/>
      </w:pPr>
    </w:p>
    <w:p w14:paraId="4535832D">
      <w:pPr>
        <w:spacing w:before="79" w:line="222" w:lineRule="auto"/>
        <w:ind w:left="4564"/>
        <w:rPr>
          <w:rFonts w:ascii="黑体" w:hAnsi="黑体" w:eastAsia="黑体" w:cs="黑体"/>
          <w:sz w:val="24"/>
          <w:szCs w:val="24"/>
        </w:rPr>
      </w:pPr>
      <w:r>
        <w:rPr>
          <w:rFonts w:ascii="黑体" w:hAnsi="黑体" w:eastAsia="黑体" w:cs="黑体"/>
          <w:spacing w:val="1"/>
          <w:sz w:val="24"/>
          <w:szCs w:val="24"/>
        </w:rPr>
        <w:t>供应商名称（盖章</w:t>
      </w:r>
      <w:r>
        <w:rPr>
          <w:rFonts w:ascii="黑体" w:hAnsi="黑体" w:eastAsia="黑体" w:cs="黑体"/>
          <w:sz w:val="24"/>
          <w:szCs w:val="24"/>
        </w:rPr>
        <w:t>）：</w:t>
      </w:r>
    </w:p>
    <w:p w14:paraId="50660F27">
      <w:pPr>
        <w:spacing w:before="280" w:line="222" w:lineRule="auto"/>
        <w:ind w:right="4"/>
        <w:jc w:val="right"/>
        <w:rPr>
          <w:rFonts w:ascii="黑体" w:hAnsi="黑体" w:eastAsia="黑体" w:cs="黑体"/>
          <w:sz w:val="24"/>
          <w:szCs w:val="24"/>
        </w:rPr>
      </w:pPr>
      <w:r>
        <w:rPr>
          <w:rFonts w:ascii="黑体" w:hAnsi="黑体" w:eastAsia="黑体" w:cs="黑体"/>
          <w:spacing w:val="1"/>
          <w:sz w:val="24"/>
          <w:szCs w:val="24"/>
        </w:rPr>
        <w:t>法定代表人或委托代理人（签字或盖章</w:t>
      </w:r>
      <w:r>
        <w:rPr>
          <w:rFonts w:ascii="黑体" w:hAnsi="黑体" w:eastAsia="黑体" w:cs="黑体"/>
          <w:spacing w:val="5"/>
          <w:sz w:val="24"/>
          <w:szCs w:val="24"/>
        </w:rPr>
        <w:t>）：</w:t>
      </w:r>
    </w:p>
    <w:p w14:paraId="5E1FC67F">
      <w:pPr>
        <w:spacing w:before="284" w:line="223" w:lineRule="auto"/>
        <w:jc w:val="right"/>
        <w:rPr>
          <w:rFonts w:ascii="黑体" w:hAnsi="黑体" w:eastAsia="黑体" w:cs="黑体"/>
          <w:sz w:val="24"/>
          <w:szCs w:val="24"/>
        </w:rPr>
      </w:pPr>
      <w:r>
        <w:rPr>
          <w:rFonts w:ascii="黑体" w:hAnsi="黑体" w:eastAsia="黑体" w:cs="黑体"/>
          <w:spacing w:val="-20"/>
          <w:sz w:val="24"/>
          <w:szCs w:val="24"/>
        </w:rPr>
        <w:t>日期：年月日</w:t>
      </w:r>
    </w:p>
    <w:p w14:paraId="05863D1C">
      <w:pPr>
        <w:spacing w:line="223" w:lineRule="auto"/>
        <w:rPr>
          <w:rFonts w:ascii="黑体" w:hAnsi="黑体" w:eastAsia="黑体" w:cs="黑体"/>
          <w:sz w:val="24"/>
          <w:szCs w:val="24"/>
        </w:rPr>
        <w:sectPr>
          <w:footerReference r:id="rId44" w:type="default"/>
          <w:pgSz w:w="11906" w:h="16839"/>
          <w:pgMar w:top="400" w:right="1420" w:bottom="1012" w:left="1134" w:header="0" w:footer="850" w:gutter="0"/>
          <w:cols w:space="720" w:num="1"/>
        </w:sectPr>
      </w:pPr>
    </w:p>
    <w:p w14:paraId="4FC21859">
      <w:pPr>
        <w:pStyle w:val="5"/>
        <w:spacing w:line="265" w:lineRule="auto"/>
      </w:pPr>
    </w:p>
    <w:p w14:paraId="0C1CE1AF">
      <w:pPr>
        <w:pStyle w:val="5"/>
        <w:spacing w:line="265" w:lineRule="auto"/>
      </w:pPr>
    </w:p>
    <w:p w14:paraId="2E88D534">
      <w:pPr>
        <w:pStyle w:val="5"/>
        <w:spacing w:line="266" w:lineRule="auto"/>
      </w:pPr>
    </w:p>
    <w:p w14:paraId="0AF88E9F">
      <w:pPr>
        <w:pStyle w:val="5"/>
        <w:spacing w:line="266" w:lineRule="auto"/>
      </w:pPr>
    </w:p>
    <w:p w14:paraId="3A05C54A">
      <w:pPr>
        <w:spacing w:before="101" w:line="230" w:lineRule="auto"/>
        <w:rPr>
          <w:rFonts w:ascii="黑体" w:hAnsi="黑体" w:eastAsia="黑体" w:cs="黑体"/>
          <w:sz w:val="31"/>
          <w:szCs w:val="31"/>
        </w:rPr>
      </w:pPr>
      <w:r>
        <w:rPr>
          <w:rFonts w:ascii="黑体" w:hAnsi="黑体" w:eastAsia="黑体" w:cs="黑体"/>
          <w:spacing w:val="-4"/>
          <w:sz w:val="31"/>
          <w:szCs w:val="31"/>
          <w14:textOutline w14:w="5793" w14:cap="sq" w14:cmpd="sng">
            <w14:solidFill>
              <w14:srgbClr w14:val="000000"/>
            </w14:solidFill>
            <w14:prstDash w14:val="solid"/>
            <w14:bevel/>
          </w14:textOutline>
        </w:rPr>
        <w:t>附件13:</w:t>
      </w:r>
    </w:p>
    <w:p w14:paraId="44117F51">
      <w:pPr>
        <w:spacing w:before="238" w:line="226" w:lineRule="auto"/>
        <w:ind w:left="2718"/>
        <w:outlineLvl w:val="1"/>
        <w:rPr>
          <w:rFonts w:ascii="黑体" w:hAnsi="黑体" w:eastAsia="黑体" w:cs="黑体"/>
          <w:sz w:val="31"/>
          <w:szCs w:val="31"/>
        </w:rPr>
      </w:pPr>
      <w:r>
        <w:rPr>
          <w:rFonts w:ascii="黑体" w:hAnsi="黑体" w:eastAsia="黑体" w:cs="黑体"/>
          <w:spacing w:val="12"/>
          <w:sz w:val="31"/>
          <w:szCs w:val="31"/>
          <w14:textOutline w14:w="5793" w14:cap="sq" w14:cmpd="sng">
            <w14:solidFill>
              <w14:srgbClr w14:val="000000"/>
            </w14:solidFill>
            <w14:prstDash w14:val="solid"/>
            <w14:bevel/>
          </w14:textOutline>
        </w:rPr>
        <w:t>拟派本项目人员配置情况表</w:t>
      </w:r>
    </w:p>
    <w:p w14:paraId="5E4E79DE">
      <w:pPr>
        <w:spacing w:line="90" w:lineRule="exact"/>
      </w:pPr>
    </w:p>
    <w:tbl>
      <w:tblPr>
        <w:tblStyle w:val="13"/>
        <w:tblW w:w="9198" w:type="dxa"/>
        <w:tblInd w:w="4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32"/>
        <w:gridCol w:w="1148"/>
        <w:gridCol w:w="1185"/>
        <w:gridCol w:w="20"/>
        <w:gridCol w:w="1655"/>
        <w:gridCol w:w="20"/>
        <w:gridCol w:w="1110"/>
        <w:gridCol w:w="1110"/>
        <w:gridCol w:w="889"/>
        <w:gridCol w:w="929"/>
      </w:tblGrid>
      <w:tr w14:paraId="2BCE81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3" w:hRule="atLeast"/>
        </w:trPr>
        <w:tc>
          <w:tcPr>
            <w:tcW w:w="1132" w:type="dxa"/>
            <w:tcBorders>
              <w:top w:val="single" w:color="000000" w:sz="6" w:space="0"/>
            </w:tcBorders>
            <w:vAlign w:val="top"/>
          </w:tcPr>
          <w:p w14:paraId="43339E5D">
            <w:pPr>
              <w:spacing w:line="258" w:lineRule="auto"/>
              <w:rPr>
                <w:rFonts w:ascii="Arial"/>
                <w:sz w:val="21"/>
              </w:rPr>
            </w:pPr>
          </w:p>
          <w:p w14:paraId="3B347CEE">
            <w:pPr>
              <w:pStyle w:val="14"/>
              <w:spacing w:before="78" w:line="221" w:lineRule="auto"/>
              <w:ind w:left="331"/>
            </w:pPr>
            <w:r>
              <w:rPr>
                <w:spacing w:val="-4"/>
                <w14:textOutline w14:w="4358" w14:cap="sq" w14:cmpd="sng">
                  <w14:solidFill>
                    <w14:srgbClr w14:val="000000"/>
                  </w14:solidFill>
                  <w14:prstDash w14:val="solid"/>
                  <w14:bevel/>
                </w14:textOutline>
              </w:rPr>
              <w:t>职务</w:t>
            </w:r>
          </w:p>
        </w:tc>
        <w:tc>
          <w:tcPr>
            <w:tcW w:w="1148" w:type="dxa"/>
            <w:tcBorders>
              <w:top w:val="single" w:color="000000" w:sz="6" w:space="0"/>
              <w:right w:val="single" w:color="000000" w:sz="6" w:space="0"/>
            </w:tcBorders>
            <w:vAlign w:val="top"/>
          </w:tcPr>
          <w:p w14:paraId="1C69ACE1">
            <w:pPr>
              <w:spacing w:line="258" w:lineRule="auto"/>
              <w:rPr>
                <w:rFonts w:ascii="Arial"/>
                <w:sz w:val="21"/>
              </w:rPr>
            </w:pPr>
          </w:p>
          <w:p w14:paraId="6FF00612">
            <w:pPr>
              <w:pStyle w:val="14"/>
              <w:spacing w:before="78" w:line="222" w:lineRule="auto"/>
              <w:ind w:left="336"/>
            </w:pPr>
            <w:r>
              <w:rPr>
                <w:spacing w:val="-4"/>
                <w14:textOutline w14:w="4358" w14:cap="sq" w14:cmpd="sng">
                  <w14:solidFill>
                    <w14:srgbClr w14:val="000000"/>
                  </w14:solidFill>
                  <w14:prstDash w14:val="solid"/>
                  <w14:bevel/>
                </w14:textOutline>
              </w:rPr>
              <w:t>姓名</w:t>
            </w:r>
          </w:p>
        </w:tc>
        <w:tc>
          <w:tcPr>
            <w:tcW w:w="1185" w:type="dxa"/>
            <w:tcBorders>
              <w:top w:val="single" w:color="000000" w:sz="6" w:space="0"/>
              <w:left w:val="single" w:color="000000" w:sz="6" w:space="0"/>
              <w:right w:val="single" w:color="000000" w:sz="6" w:space="0"/>
            </w:tcBorders>
            <w:vAlign w:val="top"/>
          </w:tcPr>
          <w:p w14:paraId="60352624">
            <w:pPr>
              <w:spacing w:line="257" w:lineRule="auto"/>
              <w:rPr>
                <w:rFonts w:ascii="Arial"/>
                <w:sz w:val="21"/>
              </w:rPr>
            </w:pPr>
          </w:p>
          <w:p w14:paraId="1E1A8C7C">
            <w:pPr>
              <w:pStyle w:val="14"/>
              <w:spacing w:before="78" w:line="222" w:lineRule="auto"/>
              <w:ind w:left="362"/>
            </w:pPr>
            <w:r>
              <w:rPr>
                <w:spacing w:val="-4"/>
                <w14:textOutline w14:w="4358" w14:cap="sq" w14:cmpd="sng">
                  <w14:solidFill>
                    <w14:srgbClr w14:val="000000"/>
                  </w14:solidFill>
                  <w14:prstDash w14:val="solid"/>
                  <w14:bevel/>
                </w14:textOutline>
              </w:rPr>
              <w:t>职称</w:t>
            </w:r>
          </w:p>
        </w:tc>
        <w:tc>
          <w:tcPr>
            <w:tcW w:w="1675" w:type="dxa"/>
            <w:gridSpan w:val="2"/>
            <w:tcBorders>
              <w:top w:val="single" w:color="000000" w:sz="6" w:space="0"/>
              <w:left w:val="single" w:color="000000" w:sz="6" w:space="0"/>
              <w:right w:val="single" w:color="000000" w:sz="6" w:space="0"/>
            </w:tcBorders>
            <w:vAlign w:val="top"/>
          </w:tcPr>
          <w:p w14:paraId="31BC9BA5">
            <w:pPr>
              <w:spacing w:line="257" w:lineRule="auto"/>
              <w:rPr>
                <w:rFonts w:ascii="Arial"/>
                <w:sz w:val="21"/>
              </w:rPr>
            </w:pPr>
          </w:p>
          <w:p w14:paraId="120B2A45">
            <w:pPr>
              <w:pStyle w:val="14"/>
              <w:spacing w:before="78" w:line="222" w:lineRule="auto"/>
              <w:ind w:left="373"/>
            </w:pPr>
            <w:r>
              <w:rPr>
                <w14:textOutline w14:w="4358" w14:cap="sq" w14:cmpd="sng">
                  <w14:solidFill>
                    <w14:srgbClr w14:val="000000"/>
                  </w14:solidFill>
                  <w14:prstDash w14:val="solid"/>
                  <w14:bevel/>
                </w14:textOutline>
              </w:rPr>
              <w:t>证书名称</w:t>
            </w:r>
          </w:p>
        </w:tc>
        <w:tc>
          <w:tcPr>
            <w:tcW w:w="1130" w:type="dxa"/>
            <w:gridSpan w:val="2"/>
            <w:tcBorders>
              <w:top w:val="single" w:color="000000" w:sz="6" w:space="0"/>
              <w:left w:val="single" w:color="000000" w:sz="6" w:space="0"/>
              <w:right w:val="single" w:color="000000" w:sz="6" w:space="0"/>
            </w:tcBorders>
            <w:vAlign w:val="top"/>
          </w:tcPr>
          <w:p w14:paraId="09A5D967">
            <w:pPr>
              <w:spacing w:line="258" w:lineRule="auto"/>
              <w:rPr>
                <w:rFonts w:ascii="Arial"/>
                <w:sz w:val="21"/>
              </w:rPr>
            </w:pPr>
          </w:p>
          <w:p w14:paraId="79C4DD32">
            <w:pPr>
              <w:pStyle w:val="14"/>
              <w:spacing w:before="78" w:line="221" w:lineRule="auto"/>
              <w:ind w:left="338"/>
            </w:pPr>
            <w:r>
              <w:rPr>
                <w:spacing w:val="-5"/>
                <w14:textOutline w14:w="4358" w14:cap="sq" w14:cmpd="sng">
                  <w14:solidFill>
                    <w14:srgbClr w14:val="000000"/>
                  </w14:solidFill>
                  <w14:prstDash w14:val="solid"/>
                  <w14:bevel/>
                </w14:textOutline>
              </w:rPr>
              <w:t>级别</w:t>
            </w:r>
          </w:p>
        </w:tc>
        <w:tc>
          <w:tcPr>
            <w:tcW w:w="1110" w:type="dxa"/>
            <w:tcBorders>
              <w:top w:val="single" w:color="000000" w:sz="6" w:space="0"/>
              <w:left w:val="single" w:color="000000" w:sz="6" w:space="0"/>
              <w:right w:val="single" w:color="000000" w:sz="6" w:space="0"/>
            </w:tcBorders>
            <w:vAlign w:val="top"/>
          </w:tcPr>
          <w:p w14:paraId="4D897ED0">
            <w:pPr>
              <w:spacing w:line="258" w:lineRule="auto"/>
              <w:rPr>
                <w:rFonts w:ascii="Arial"/>
                <w:sz w:val="21"/>
              </w:rPr>
            </w:pPr>
          </w:p>
          <w:p w14:paraId="71344A02">
            <w:pPr>
              <w:pStyle w:val="14"/>
              <w:spacing w:before="78" w:line="223" w:lineRule="auto"/>
              <w:ind w:left="316"/>
            </w:pPr>
            <w:r>
              <w:rPr>
                <w:spacing w:val="-4"/>
                <w14:textOutline w14:w="4358" w14:cap="sq" w14:cmpd="sng">
                  <w14:solidFill>
                    <w14:srgbClr w14:val="000000"/>
                  </w14:solidFill>
                  <w14:prstDash w14:val="solid"/>
                  <w14:bevel/>
                </w14:textOutline>
              </w:rPr>
              <w:t>证号</w:t>
            </w:r>
          </w:p>
        </w:tc>
        <w:tc>
          <w:tcPr>
            <w:tcW w:w="889" w:type="dxa"/>
            <w:tcBorders>
              <w:top w:val="single" w:color="000000" w:sz="6" w:space="0"/>
              <w:left w:val="single" w:color="000000" w:sz="6" w:space="0"/>
              <w:right w:val="single" w:color="000000" w:sz="6" w:space="0"/>
            </w:tcBorders>
            <w:vAlign w:val="top"/>
          </w:tcPr>
          <w:p w14:paraId="5115181A">
            <w:pPr>
              <w:spacing w:line="258" w:lineRule="auto"/>
              <w:rPr>
                <w:rFonts w:ascii="Arial"/>
                <w:sz w:val="21"/>
              </w:rPr>
            </w:pPr>
          </w:p>
          <w:p w14:paraId="7847C6D1">
            <w:pPr>
              <w:pStyle w:val="14"/>
              <w:spacing w:before="78" w:line="224" w:lineRule="auto"/>
              <w:ind w:left="213"/>
            </w:pPr>
            <w:r>
              <w:rPr>
                <w:spacing w:val="-6"/>
                <w14:textOutline w14:w="4358" w14:cap="sq" w14:cmpd="sng">
                  <w14:solidFill>
                    <w14:srgbClr w14:val="000000"/>
                  </w14:solidFill>
                  <w14:prstDash w14:val="solid"/>
                  <w14:bevel/>
                </w14:textOutline>
              </w:rPr>
              <w:t>专业</w:t>
            </w:r>
          </w:p>
        </w:tc>
        <w:tc>
          <w:tcPr>
            <w:tcW w:w="929" w:type="dxa"/>
            <w:tcBorders>
              <w:top w:val="single" w:color="000000" w:sz="6" w:space="0"/>
              <w:left w:val="single" w:color="000000" w:sz="6" w:space="0"/>
              <w:right w:val="single" w:color="000000" w:sz="6" w:space="0"/>
            </w:tcBorders>
            <w:vAlign w:val="top"/>
          </w:tcPr>
          <w:p w14:paraId="5784F043">
            <w:pPr>
              <w:spacing w:line="257" w:lineRule="auto"/>
              <w:rPr>
                <w:rFonts w:ascii="Arial"/>
                <w:sz w:val="21"/>
              </w:rPr>
            </w:pPr>
          </w:p>
          <w:p w14:paraId="33FB5679">
            <w:pPr>
              <w:pStyle w:val="14"/>
              <w:spacing w:before="78" w:line="222" w:lineRule="auto"/>
              <w:ind w:left="224"/>
            </w:pPr>
            <w:r>
              <w:rPr>
                <w:spacing w:val="-4"/>
                <w14:textOutline w14:w="4358" w14:cap="sq" w14:cmpd="sng">
                  <w14:solidFill>
                    <w14:srgbClr w14:val="000000"/>
                  </w14:solidFill>
                  <w14:prstDash w14:val="solid"/>
                  <w14:bevel/>
                </w14:textOutline>
              </w:rPr>
              <w:t>备注</w:t>
            </w:r>
          </w:p>
        </w:tc>
      </w:tr>
      <w:tr w14:paraId="5702EC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4" w:hRule="atLeast"/>
        </w:trPr>
        <w:tc>
          <w:tcPr>
            <w:tcW w:w="1132" w:type="dxa"/>
            <w:vAlign w:val="top"/>
          </w:tcPr>
          <w:p w14:paraId="3035A761">
            <w:pPr>
              <w:rPr>
                <w:rFonts w:ascii="Arial"/>
                <w:sz w:val="21"/>
              </w:rPr>
            </w:pPr>
          </w:p>
        </w:tc>
        <w:tc>
          <w:tcPr>
            <w:tcW w:w="1148" w:type="dxa"/>
            <w:vAlign w:val="top"/>
          </w:tcPr>
          <w:p w14:paraId="15E9FEC3">
            <w:pPr>
              <w:rPr>
                <w:rFonts w:ascii="Arial"/>
                <w:sz w:val="21"/>
              </w:rPr>
            </w:pPr>
          </w:p>
        </w:tc>
        <w:tc>
          <w:tcPr>
            <w:tcW w:w="1205" w:type="dxa"/>
            <w:gridSpan w:val="2"/>
            <w:vAlign w:val="top"/>
          </w:tcPr>
          <w:p w14:paraId="3176D87A">
            <w:pPr>
              <w:rPr>
                <w:rFonts w:ascii="Arial"/>
                <w:sz w:val="21"/>
              </w:rPr>
            </w:pPr>
          </w:p>
        </w:tc>
        <w:tc>
          <w:tcPr>
            <w:tcW w:w="1675" w:type="dxa"/>
            <w:gridSpan w:val="2"/>
            <w:vAlign w:val="top"/>
          </w:tcPr>
          <w:p w14:paraId="5CDB9D45">
            <w:pPr>
              <w:rPr>
                <w:rFonts w:ascii="Arial"/>
                <w:sz w:val="21"/>
              </w:rPr>
            </w:pPr>
          </w:p>
        </w:tc>
        <w:tc>
          <w:tcPr>
            <w:tcW w:w="1110" w:type="dxa"/>
            <w:vAlign w:val="top"/>
          </w:tcPr>
          <w:p w14:paraId="1F33E048">
            <w:pPr>
              <w:rPr>
                <w:rFonts w:ascii="Arial"/>
                <w:sz w:val="21"/>
              </w:rPr>
            </w:pPr>
          </w:p>
        </w:tc>
        <w:tc>
          <w:tcPr>
            <w:tcW w:w="1110" w:type="dxa"/>
            <w:vAlign w:val="top"/>
          </w:tcPr>
          <w:p w14:paraId="0FA5976F">
            <w:pPr>
              <w:rPr>
                <w:rFonts w:ascii="Arial"/>
                <w:sz w:val="21"/>
              </w:rPr>
            </w:pPr>
          </w:p>
        </w:tc>
        <w:tc>
          <w:tcPr>
            <w:tcW w:w="889" w:type="dxa"/>
            <w:tcBorders>
              <w:right w:val="single" w:color="000000" w:sz="6" w:space="0"/>
            </w:tcBorders>
            <w:vAlign w:val="top"/>
          </w:tcPr>
          <w:p w14:paraId="24059E33">
            <w:pPr>
              <w:rPr>
                <w:rFonts w:ascii="Arial"/>
                <w:sz w:val="21"/>
              </w:rPr>
            </w:pPr>
          </w:p>
        </w:tc>
        <w:tc>
          <w:tcPr>
            <w:tcW w:w="929" w:type="dxa"/>
            <w:tcBorders>
              <w:left w:val="single" w:color="000000" w:sz="6" w:space="0"/>
              <w:right w:val="single" w:color="000000" w:sz="6" w:space="0"/>
            </w:tcBorders>
            <w:vAlign w:val="top"/>
          </w:tcPr>
          <w:p w14:paraId="5AE3052E">
            <w:pPr>
              <w:rPr>
                <w:rFonts w:ascii="Arial"/>
                <w:sz w:val="21"/>
              </w:rPr>
            </w:pPr>
          </w:p>
        </w:tc>
      </w:tr>
      <w:tr w14:paraId="601903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4" w:hRule="atLeast"/>
        </w:trPr>
        <w:tc>
          <w:tcPr>
            <w:tcW w:w="1132" w:type="dxa"/>
            <w:vAlign w:val="top"/>
          </w:tcPr>
          <w:p w14:paraId="3F7074BD">
            <w:pPr>
              <w:rPr>
                <w:rFonts w:ascii="Arial"/>
                <w:sz w:val="21"/>
              </w:rPr>
            </w:pPr>
          </w:p>
        </w:tc>
        <w:tc>
          <w:tcPr>
            <w:tcW w:w="1148" w:type="dxa"/>
            <w:vAlign w:val="top"/>
          </w:tcPr>
          <w:p w14:paraId="636E08AD">
            <w:pPr>
              <w:rPr>
                <w:rFonts w:ascii="Arial"/>
                <w:sz w:val="21"/>
              </w:rPr>
            </w:pPr>
          </w:p>
        </w:tc>
        <w:tc>
          <w:tcPr>
            <w:tcW w:w="1205" w:type="dxa"/>
            <w:gridSpan w:val="2"/>
            <w:vAlign w:val="top"/>
          </w:tcPr>
          <w:p w14:paraId="2B2BF525">
            <w:pPr>
              <w:rPr>
                <w:rFonts w:ascii="Arial"/>
                <w:sz w:val="21"/>
              </w:rPr>
            </w:pPr>
          </w:p>
        </w:tc>
        <w:tc>
          <w:tcPr>
            <w:tcW w:w="1675" w:type="dxa"/>
            <w:gridSpan w:val="2"/>
            <w:vAlign w:val="top"/>
          </w:tcPr>
          <w:p w14:paraId="22E9862F">
            <w:pPr>
              <w:rPr>
                <w:rFonts w:ascii="Arial"/>
                <w:sz w:val="21"/>
              </w:rPr>
            </w:pPr>
          </w:p>
        </w:tc>
        <w:tc>
          <w:tcPr>
            <w:tcW w:w="1110" w:type="dxa"/>
            <w:vAlign w:val="top"/>
          </w:tcPr>
          <w:p w14:paraId="5BA130A6">
            <w:pPr>
              <w:rPr>
                <w:rFonts w:ascii="Arial"/>
                <w:sz w:val="21"/>
              </w:rPr>
            </w:pPr>
          </w:p>
        </w:tc>
        <w:tc>
          <w:tcPr>
            <w:tcW w:w="1110" w:type="dxa"/>
            <w:vAlign w:val="top"/>
          </w:tcPr>
          <w:p w14:paraId="09DEFD1F">
            <w:pPr>
              <w:rPr>
                <w:rFonts w:ascii="Arial"/>
                <w:sz w:val="21"/>
              </w:rPr>
            </w:pPr>
          </w:p>
        </w:tc>
        <w:tc>
          <w:tcPr>
            <w:tcW w:w="889" w:type="dxa"/>
            <w:tcBorders>
              <w:right w:val="single" w:color="000000" w:sz="6" w:space="0"/>
            </w:tcBorders>
            <w:vAlign w:val="top"/>
          </w:tcPr>
          <w:p w14:paraId="53C95248">
            <w:pPr>
              <w:rPr>
                <w:rFonts w:ascii="Arial"/>
                <w:sz w:val="21"/>
              </w:rPr>
            </w:pPr>
          </w:p>
        </w:tc>
        <w:tc>
          <w:tcPr>
            <w:tcW w:w="929" w:type="dxa"/>
            <w:tcBorders>
              <w:left w:val="single" w:color="000000" w:sz="6" w:space="0"/>
              <w:right w:val="single" w:color="000000" w:sz="6" w:space="0"/>
            </w:tcBorders>
            <w:vAlign w:val="top"/>
          </w:tcPr>
          <w:p w14:paraId="6BC92561">
            <w:pPr>
              <w:rPr>
                <w:rFonts w:ascii="Arial"/>
                <w:sz w:val="21"/>
              </w:rPr>
            </w:pPr>
          </w:p>
        </w:tc>
      </w:tr>
      <w:tr w14:paraId="335D87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4" w:hRule="atLeast"/>
        </w:trPr>
        <w:tc>
          <w:tcPr>
            <w:tcW w:w="1132" w:type="dxa"/>
            <w:vAlign w:val="top"/>
          </w:tcPr>
          <w:p w14:paraId="52DA9908">
            <w:pPr>
              <w:rPr>
                <w:rFonts w:ascii="Arial"/>
                <w:sz w:val="21"/>
              </w:rPr>
            </w:pPr>
          </w:p>
        </w:tc>
        <w:tc>
          <w:tcPr>
            <w:tcW w:w="1148" w:type="dxa"/>
            <w:vAlign w:val="top"/>
          </w:tcPr>
          <w:p w14:paraId="3D5FD04F">
            <w:pPr>
              <w:rPr>
                <w:rFonts w:ascii="Arial"/>
                <w:sz w:val="21"/>
              </w:rPr>
            </w:pPr>
          </w:p>
        </w:tc>
        <w:tc>
          <w:tcPr>
            <w:tcW w:w="1205" w:type="dxa"/>
            <w:gridSpan w:val="2"/>
            <w:vAlign w:val="top"/>
          </w:tcPr>
          <w:p w14:paraId="374A8A21">
            <w:pPr>
              <w:rPr>
                <w:rFonts w:ascii="Arial"/>
                <w:sz w:val="21"/>
              </w:rPr>
            </w:pPr>
          </w:p>
        </w:tc>
        <w:tc>
          <w:tcPr>
            <w:tcW w:w="1675" w:type="dxa"/>
            <w:gridSpan w:val="2"/>
            <w:vAlign w:val="top"/>
          </w:tcPr>
          <w:p w14:paraId="64AA3305">
            <w:pPr>
              <w:rPr>
                <w:rFonts w:ascii="Arial"/>
                <w:sz w:val="21"/>
              </w:rPr>
            </w:pPr>
          </w:p>
        </w:tc>
        <w:tc>
          <w:tcPr>
            <w:tcW w:w="1110" w:type="dxa"/>
            <w:vAlign w:val="top"/>
          </w:tcPr>
          <w:p w14:paraId="6C5B459F">
            <w:pPr>
              <w:rPr>
                <w:rFonts w:ascii="Arial"/>
                <w:sz w:val="21"/>
              </w:rPr>
            </w:pPr>
          </w:p>
        </w:tc>
        <w:tc>
          <w:tcPr>
            <w:tcW w:w="1110" w:type="dxa"/>
            <w:vAlign w:val="top"/>
          </w:tcPr>
          <w:p w14:paraId="4EBA9655">
            <w:pPr>
              <w:rPr>
                <w:rFonts w:ascii="Arial"/>
                <w:sz w:val="21"/>
              </w:rPr>
            </w:pPr>
          </w:p>
        </w:tc>
        <w:tc>
          <w:tcPr>
            <w:tcW w:w="889" w:type="dxa"/>
            <w:tcBorders>
              <w:right w:val="single" w:color="000000" w:sz="6" w:space="0"/>
            </w:tcBorders>
            <w:vAlign w:val="top"/>
          </w:tcPr>
          <w:p w14:paraId="4AC3774A">
            <w:pPr>
              <w:rPr>
                <w:rFonts w:ascii="Arial"/>
                <w:sz w:val="21"/>
              </w:rPr>
            </w:pPr>
          </w:p>
        </w:tc>
        <w:tc>
          <w:tcPr>
            <w:tcW w:w="929" w:type="dxa"/>
            <w:tcBorders>
              <w:left w:val="single" w:color="000000" w:sz="6" w:space="0"/>
              <w:right w:val="single" w:color="000000" w:sz="6" w:space="0"/>
            </w:tcBorders>
            <w:vAlign w:val="top"/>
          </w:tcPr>
          <w:p w14:paraId="01087719">
            <w:pPr>
              <w:rPr>
                <w:rFonts w:ascii="Arial"/>
                <w:sz w:val="21"/>
              </w:rPr>
            </w:pPr>
          </w:p>
        </w:tc>
      </w:tr>
      <w:tr w14:paraId="3C3B0B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4" w:hRule="atLeast"/>
        </w:trPr>
        <w:tc>
          <w:tcPr>
            <w:tcW w:w="1132" w:type="dxa"/>
            <w:vAlign w:val="top"/>
          </w:tcPr>
          <w:p w14:paraId="04CED502">
            <w:pPr>
              <w:rPr>
                <w:rFonts w:ascii="Arial"/>
                <w:sz w:val="21"/>
              </w:rPr>
            </w:pPr>
          </w:p>
        </w:tc>
        <w:tc>
          <w:tcPr>
            <w:tcW w:w="1148" w:type="dxa"/>
            <w:vAlign w:val="top"/>
          </w:tcPr>
          <w:p w14:paraId="183CA403">
            <w:pPr>
              <w:rPr>
                <w:rFonts w:ascii="Arial"/>
                <w:sz w:val="21"/>
              </w:rPr>
            </w:pPr>
          </w:p>
        </w:tc>
        <w:tc>
          <w:tcPr>
            <w:tcW w:w="1205" w:type="dxa"/>
            <w:gridSpan w:val="2"/>
            <w:vAlign w:val="top"/>
          </w:tcPr>
          <w:p w14:paraId="4864E4AF">
            <w:pPr>
              <w:rPr>
                <w:rFonts w:ascii="Arial"/>
                <w:sz w:val="21"/>
              </w:rPr>
            </w:pPr>
          </w:p>
        </w:tc>
        <w:tc>
          <w:tcPr>
            <w:tcW w:w="1675" w:type="dxa"/>
            <w:gridSpan w:val="2"/>
            <w:vAlign w:val="top"/>
          </w:tcPr>
          <w:p w14:paraId="683B14BA">
            <w:pPr>
              <w:rPr>
                <w:rFonts w:ascii="Arial"/>
                <w:sz w:val="21"/>
              </w:rPr>
            </w:pPr>
          </w:p>
        </w:tc>
        <w:tc>
          <w:tcPr>
            <w:tcW w:w="1110" w:type="dxa"/>
            <w:vAlign w:val="top"/>
          </w:tcPr>
          <w:p w14:paraId="64F90ACD">
            <w:pPr>
              <w:rPr>
                <w:rFonts w:ascii="Arial"/>
                <w:sz w:val="21"/>
              </w:rPr>
            </w:pPr>
          </w:p>
        </w:tc>
        <w:tc>
          <w:tcPr>
            <w:tcW w:w="1110" w:type="dxa"/>
            <w:vAlign w:val="top"/>
          </w:tcPr>
          <w:p w14:paraId="4D0F72FC">
            <w:pPr>
              <w:rPr>
                <w:rFonts w:ascii="Arial"/>
                <w:sz w:val="21"/>
              </w:rPr>
            </w:pPr>
          </w:p>
        </w:tc>
        <w:tc>
          <w:tcPr>
            <w:tcW w:w="889" w:type="dxa"/>
            <w:tcBorders>
              <w:right w:val="single" w:color="000000" w:sz="6" w:space="0"/>
            </w:tcBorders>
            <w:vAlign w:val="top"/>
          </w:tcPr>
          <w:p w14:paraId="388F9D50">
            <w:pPr>
              <w:rPr>
                <w:rFonts w:ascii="Arial"/>
                <w:sz w:val="21"/>
              </w:rPr>
            </w:pPr>
          </w:p>
        </w:tc>
        <w:tc>
          <w:tcPr>
            <w:tcW w:w="929" w:type="dxa"/>
            <w:tcBorders>
              <w:left w:val="single" w:color="000000" w:sz="6" w:space="0"/>
              <w:right w:val="single" w:color="000000" w:sz="6" w:space="0"/>
            </w:tcBorders>
            <w:vAlign w:val="top"/>
          </w:tcPr>
          <w:p w14:paraId="14DEB34E">
            <w:pPr>
              <w:rPr>
                <w:rFonts w:ascii="Arial"/>
                <w:sz w:val="21"/>
              </w:rPr>
            </w:pPr>
          </w:p>
        </w:tc>
      </w:tr>
      <w:tr w14:paraId="4D3279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132" w:type="dxa"/>
            <w:vAlign w:val="top"/>
          </w:tcPr>
          <w:p w14:paraId="67340BD9">
            <w:pPr>
              <w:rPr>
                <w:rFonts w:ascii="Arial"/>
                <w:sz w:val="21"/>
              </w:rPr>
            </w:pPr>
          </w:p>
        </w:tc>
        <w:tc>
          <w:tcPr>
            <w:tcW w:w="1148" w:type="dxa"/>
            <w:vAlign w:val="top"/>
          </w:tcPr>
          <w:p w14:paraId="799DBBE3">
            <w:pPr>
              <w:rPr>
                <w:rFonts w:ascii="Arial"/>
                <w:sz w:val="21"/>
              </w:rPr>
            </w:pPr>
          </w:p>
        </w:tc>
        <w:tc>
          <w:tcPr>
            <w:tcW w:w="1205" w:type="dxa"/>
            <w:gridSpan w:val="2"/>
            <w:vAlign w:val="top"/>
          </w:tcPr>
          <w:p w14:paraId="7A19B2B2">
            <w:pPr>
              <w:rPr>
                <w:rFonts w:ascii="Arial"/>
                <w:sz w:val="21"/>
              </w:rPr>
            </w:pPr>
          </w:p>
        </w:tc>
        <w:tc>
          <w:tcPr>
            <w:tcW w:w="1675" w:type="dxa"/>
            <w:gridSpan w:val="2"/>
            <w:vAlign w:val="top"/>
          </w:tcPr>
          <w:p w14:paraId="6C35EAD2">
            <w:pPr>
              <w:rPr>
                <w:rFonts w:ascii="Arial"/>
                <w:sz w:val="21"/>
              </w:rPr>
            </w:pPr>
          </w:p>
        </w:tc>
        <w:tc>
          <w:tcPr>
            <w:tcW w:w="1110" w:type="dxa"/>
            <w:vAlign w:val="top"/>
          </w:tcPr>
          <w:p w14:paraId="04EBC105">
            <w:pPr>
              <w:rPr>
                <w:rFonts w:ascii="Arial"/>
                <w:sz w:val="21"/>
              </w:rPr>
            </w:pPr>
          </w:p>
        </w:tc>
        <w:tc>
          <w:tcPr>
            <w:tcW w:w="1110" w:type="dxa"/>
            <w:vAlign w:val="top"/>
          </w:tcPr>
          <w:p w14:paraId="5462D881">
            <w:pPr>
              <w:rPr>
                <w:rFonts w:ascii="Arial"/>
                <w:sz w:val="21"/>
              </w:rPr>
            </w:pPr>
          </w:p>
        </w:tc>
        <w:tc>
          <w:tcPr>
            <w:tcW w:w="889" w:type="dxa"/>
            <w:tcBorders>
              <w:right w:val="single" w:color="000000" w:sz="6" w:space="0"/>
            </w:tcBorders>
            <w:vAlign w:val="top"/>
          </w:tcPr>
          <w:p w14:paraId="741314D2">
            <w:pPr>
              <w:rPr>
                <w:rFonts w:ascii="Arial"/>
                <w:sz w:val="21"/>
              </w:rPr>
            </w:pPr>
          </w:p>
        </w:tc>
        <w:tc>
          <w:tcPr>
            <w:tcW w:w="929" w:type="dxa"/>
            <w:tcBorders>
              <w:left w:val="single" w:color="000000" w:sz="6" w:space="0"/>
              <w:right w:val="single" w:color="000000" w:sz="6" w:space="0"/>
            </w:tcBorders>
            <w:vAlign w:val="top"/>
          </w:tcPr>
          <w:p w14:paraId="4A049F63">
            <w:pPr>
              <w:rPr>
                <w:rFonts w:ascii="Arial"/>
                <w:sz w:val="21"/>
              </w:rPr>
            </w:pPr>
          </w:p>
        </w:tc>
      </w:tr>
      <w:tr w14:paraId="57B4BF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132" w:type="dxa"/>
            <w:vAlign w:val="top"/>
          </w:tcPr>
          <w:p w14:paraId="658CD48A">
            <w:pPr>
              <w:rPr>
                <w:rFonts w:ascii="Arial"/>
                <w:sz w:val="21"/>
              </w:rPr>
            </w:pPr>
          </w:p>
        </w:tc>
        <w:tc>
          <w:tcPr>
            <w:tcW w:w="1148" w:type="dxa"/>
            <w:vAlign w:val="top"/>
          </w:tcPr>
          <w:p w14:paraId="3E975213">
            <w:pPr>
              <w:rPr>
                <w:rFonts w:ascii="Arial"/>
                <w:sz w:val="21"/>
              </w:rPr>
            </w:pPr>
          </w:p>
        </w:tc>
        <w:tc>
          <w:tcPr>
            <w:tcW w:w="1205" w:type="dxa"/>
            <w:gridSpan w:val="2"/>
            <w:vAlign w:val="top"/>
          </w:tcPr>
          <w:p w14:paraId="3C7F7399">
            <w:pPr>
              <w:rPr>
                <w:rFonts w:ascii="Arial"/>
                <w:sz w:val="21"/>
              </w:rPr>
            </w:pPr>
          </w:p>
        </w:tc>
        <w:tc>
          <w:tcPr>
            <w:tcW w:w="1675" w:type="dxa"/>
            <w:gridSpan w:val="2"/>
            <w:vAlign w:val="top"/>
          </w:tcPr>
          <w:p w14:paraId="557E3CDB">
            <w:pPr>
              <w:rPr>
                <w:rFonts w:ascii="Arial"/>
                <w:sz w:val="21"/>
              </w:rPr>
            </w:pPr>
          </w:p>
        </w:tc>
        <w:tc>
          <w:tcPr>
            <w:tcW w:w="1110" w:type="dxa"/>
            <w:vAlign w:val="top"/>
          </w:tcPr>
          <w:p w14:paraId="724E8BE3">
            <w:pPr>
              <w:rPr>
                <w:rFonts w:ascii="Arial"/>
                <w:sz w:val="21"/>
              </w:rPr>
            </w:pPr>
          </w:p>
        </w:tc>
        <w:tc>
          <w:tcPr>
            <w:tcW w:w="1110" w:type="dxa"/>
            <w:vAlign w:val="top"/>
          </w:tcPr>
          <w:p w14:paraId="483A4690">
            <w:pPr>
              <w:rPr>
                <w:rFonts w:ascii="Arial"/>
                <w:sz w:val="21"/>
              </w:rPr>
            </w:pPr>
          </w:p>
        </w:tc>
        <w:tc>
          <w:tcPr>
            <w:tcW w:w="889" w:type="dxa"/>
            <w:tcBorders>
              <w:right w:val="single" w:color="000000" w:sz="6" w:space="0"/>
            </w:tcBorders>
            <w:vAlign w:val="top"/>
          </w:tcPr>
          <w:p w14:paraId="4591A1E9">
            <w:pPr>
              <w:rPr>
                <w:rFonts w:ascii="Arial"/>
                <w:sz w:val="21"/>
              </w:rPr>
            </w:pPr>
          </w:p>
        </w:tc>
        <w:tc>
          <w:tcPr>
            <w:tcW w:w="929" w:type="dxa"/>
            <w:tcBorders>
              <w:left w:val="single" w:color="000000" w:sz="6" w:space="0"/>
              <w:right w:val="single" w:color="000000" w:sz="6" w:space="0"/>
            </w:tcBorders>
            <w:vAlign w:val="top"/>
          </w:tcPr>
          <w:p w14:paraId="365F7842">
            <w:pPr>
              <w:rPr>
                <w:rFonts w:ascii="Arial"/>
                <w:sz w:val="21"/>
              </w:rPr>
            </w:pPr>
          </w:p>
        </w:tc>
      </w:tr>
      <w:tr w14:paraId="76AC21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132" w:type="dxa"/>
            <w:vAlign w:val="top"/>
          </w:tcPr>
          <w:p w14:paraId="2ECD11A8">
            <w:pPr>
              <w:rPr>
                <w:rFonts w:ascii="Arial"/>
                <w:sz w:val="21"/>
              </w:rPr>
            </w:pPr>
          </w:p>
        </w:tc>
        <w:tc>
          <w:tcPr>
            <w:tcW w:w="1148" w:type="dxa"/>
            <w:vAlign w:val="top"/>
          </w:tcPr>
          <w:p w14:paraId="43CBAFD0">
            <w:pPr>
              <w:rPr>
                <w:rFonts w:ascii="Arial"/>
                <w:sz w:val="21"/>
              </w:rPr>
            </w:pPr>
          </w:p>
        </w:tc>
        <w:tc>
          <w:tcPr>
            <w:tcW w:w="1205" w:type="dxa"/>
            <w:gridSpan w:val="2"/>
            <w:vAlign w:val="top"/>
          </w:tcPr>
          <w:p w14:paraId="0A0C2EA2">
            <w:pPr>
              <w:rPr>
                <w:rFonts w:ascii="Arial"/>
                <w:sz w:val="21"/>
              </w:rPr>
            </w:pPr>
          </w:p>
        </w:tc>
        <w:tc>
          <w:tcPr>
            <w:tcW w:w="1675" w:type="dxa"/>
            <w:gridSpan w:val="2"/>
            <w:vAlign w:val="top"/>
          </w:tcPr>
          <w:p w14:paraId="7193AABB">
            <w:pPr>
              <w:rPr>
                <w:rFonts w:ascii="Arial"/>
                <w:sz w:val="21"/>
              </w:rPr>
            </w:pPr>
          </w:p>
        </w:tc>
        <w:tc>
          <w:tcPr>
            <w:tcW w:w="1110" w:type="dxa"/>
            <w:vAlign w:val="top"/>
          </w:tcPr>
          <w:p w14:paraId="3139815F">
            <w:pPr>
              <w:rPr>
                <w:rFonts w:ascii="Arial"/>
                <w:sz w:val="21"/>
              </w:rPr>
            </w:pPr>
          </w:p>
        </w:tc>
        <w:tc>
          <w:tcPr>
            <w:tcW w:w="1110" w:type="dxa"/>
            <w:vAlign w:val="top"/>
          </w:tcPr>
          <w:p w14:paraId="3F5B9AEB">
            <w:pPr>
              <w:rPr>
                <w:rFonts w:ascii="Arial"/>
                <w:sz w:val="21"/>
              </w:rPr>
            </w:pPr>
          </w:p>
        </w:tc>
        <w:tc>
          <w:tcPr>
            <w:tcW w:w="889" w:type="dxa"/>
            <w:tcBorders>
              <w:right w:val="single" w:color="000000" w:sz="6" w:space="0"/>
            </w:tcBorders>
            <w:vAlign w:val="top"/>
          </w:tcPr>
          <w:p w14:paraId="21F56244">
            <w:pPr>
              <w:rPr>
                <w:rFonts w:ascii="Arial"/>
                <w:sz w:val="21"/>
              </w:rPr>
            </w:pPr>
          </w:p>
        </w:tc>
        <w:tc>
          <w:tcPr>
            <w:tcW w:w="929" w:type="dxa"/>
            <w:tcBorders>
              <w:left w:val="single" w:color="000000" w:sz="6" w:space="0"/>
              <w:right w:val="single" w:color="000000" w:sz="6" w:space="0"/>
            </w:tcBorders>
            <w:vAlign w:val="top"/>
          </w:tcPr>
          <w:p w14:paraId="32A6FDF0">
            <w:pPr>
              <w:rPr>
                <w:rFonts w:ascii="Arial"/>
                <w:sz w:val="21"/>
              </w:rPr>
            </w:pPr>
          </w:p>
        </w:tc>
      </w:tr>
      <w:tr w14:paraId="34BA80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132" w:type="dxa"/>
            <w:vAlign w:val="top"/>
          </w:tcPr>
          <w:p w14:paraId="41D20F9E">
            <w:pPr>
              <w:rPr>
                <w:rFonts w:ascii="Arial"/>
                <w:sz w:val="21"/>
              </w:rPr>
            </w:pPr>
          </w:p>
        </w:tc>
        <w:tc>
          <w:tcPr>
            <w:tcW w:w="1148" w:type="dxa"/>
            <w:vAlign w:val="top"/>
          </w:tcPr>
          <w:p w14:paraId="582BBF97">
            <w:pPr>
              <w:rPr>
                <w:rFonts w:ascii="Arial"/>
                <w:sz w:val="21"/>
              </w:rPr>
            </w:pPr>
          </w:p>
        </w:tc>
        <w:tc>
          <w:tcPr>
            <w:tcW w:w="1205" w:type="dxa"/>
            <w:gridSpan w:val="2"/>
            <w:vAlign w:val="top"/>
          </w:tcPr>
          <w:p w14:paraId="18E2C94E">
            <w:pPr>
              <w:rPr>
                <w:rFonts w:ascii="Arial"/>
                <w:sz w:val="21"/>
              </w:rPr>
            </w:pPr>
          </w:p>
        </w:tc>
        <w:tc>
          <w:tcPr>
            <w:tcW w:w="1675" w:type="dxa"/>
            <w:gridSpan w:val="2"/>
            <w:vAlign w:val="top"/>
          </w:tcPr>
          <w:p w14:paraId="584CF1AE">
            <w:pPr>
              <w:rPr>
                <w:rFonts w:ascii="Arial"/>
                <w:sz w:val="21"/>
              </w:rPr>
            </w:pPr>
          </w:p>
        </w:tc>
        <w:tc>
          <w:tcPr>
            <w:tcW w:w="1110" w:type="dxa"/>
            <w:vAlign w:val="top"/>
          </w:tcPr>
          <w:p w14:paraId="3B8086D2">
            <w:pPr>
              <w:rPr>
                <w:rFonts w:ascii="Arial"/>
                <w:sz w:val="21"/>
              </w:rPr>
            </w:pPr>
          </w:p>
        </w:tc>
        <w:tc>
          <w:tcPr>
            <w:tcW w:w="1110" w:type="dxa"/>
            <w:vAlign w:val="top"/>
          </w:tcPr>
          <w:p w14:paraId="204CE42A">
            <w:pPr>
              <w:rPr>
                <w:rFonts w:ascii="Arial"/>
                <w:sz w:val="21"/>
              </w:rPr>
            </w:pPr>
          </w:p>
        </w:tc>
        <w:tc>
          <w:tcPr>
            <w:tcW w:w="889" w:type="dxa"/>
            <w:tcBorders>
              <w:right w:val="single" w:color="000000" w:sz="6" w:space="0"/>
            </w:tcBorders>
            <w:vAlign w:val="top"/>
          </w:tcPr>
          <w:p w14:paraId="204D61E9">
            <w:pPr>
              <w:rPr>
                <w:rFonts w:ascii="Arial"/>
                <w:sz w:val="21"/>
              </w:rPr>
            </w:pPr>
          </w:p>
        </w:tc>
        <w:tc>
          <w:tcPr>
            <w:tcW w:w="929" w:type="dxa"/>
            <w:tcBorders>
              <w:left w:val="single" w:color="000000" w:sz="6" w:space="0"/>
              <w:right w:val="single" w:color="000000" w:sz="6" w:space="0"/>
            </w:tcBorders>
            <w:vAlign w:val="top"/>
          </w:tcPr>
          <w:p w14:paraId="01E5C29A">
            <w:pPr>
              <w:rPr>
                <w:rFonts w:ascii="Arial"/>
                <w:sz w:val="21"/>
              </w:rPr>
            </w:pPr>
          </w:p>
        </w:tc>
      </w:tr>
      <w:tr w14:paraId="3EE159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132" w:type="dxa"/>
            <w:vAlign w:val="top"/>
          </w:tcPr>
          <w:p w14:paraId="2A9011CB">
            <w:pPr>
              <w:rPr>
                <w:rFonts w:ascii="Arial"/>
                <w:sz w:val="21"/>
              </w:rPr>
            </w:pPr>
          </w:p>
        </w:tc>
        <w:tc>
          <w:tcPr>
            <w:tcW w:w="1148" w:type="dxa"/>
            <w:vAlign w:val="top"/>
          </w:tcPr>
          <w:p w14:paraId="3FA751BB">
            <w:pPr>
              <w:rPr>
                <w:rFonts w:ascii="Arial"/>
                <w:sz w:val="21"/>
              </w:rPr>
            </w:pPr>
          </w:p>
        </w:tc>
        <w:tc>
          <w:tcPr>
            <w:tcW w:w="1205" w:type="dxa"/>
            <w:gridSpan w:val="2"/>
            <w:vAlign w:val="top"/>
          </w:tcPr>
          <w:p w14:paraId="176E35BF">
            <w:pPr>
              <w:rPr>
                <w:rFonts w:ascii="Arial"/>
                <w:sz w:val="21"/>
              </w:rPr>
            </w:pPr>
          </w:p>
        </w:tc>
        <w:tc>
          <w:tcPr>
            <w:tcW w:w="1675" w:type="dxa"/>
            <w:gridSpan w:val="2"/>
            <w:vAlign w:val="top"/>
          </w:tcPr>
          <w:p w14:paraId="1F0124AD">
            <w:pPr>
              <w:rPr>
                <w:rFonts w:ascii="Arial"/>
                <w:sz w:val="21"/>
              </w:rPr>
            </w:pPr>
          </w:p>
        </w:tc>
        <w:tc>
          <w:tcPr>
            <w:tcW w:w="1110" w:type="dxa"/>
            <w:vAlign w:val="top"/>
          </w:tcPr>
          <w:p w14:paraId="03AB08F2">
            <w:pPr>
              <w:rPr>
                <w:rFonts w:ascii="Arial"/>
                <w:sz w:val="21"/>
              </w:rPr>
            </w:pPr>
          </w:p>
        </w:tc>
        <w:tc>
          <w:tcPr>
            <w:tcW w:w="1110" w:type="dxa"/>
            <w:vAlign w:val="top"/>
          </w:tcPr>
          <w:p w14:paraId="0EB53D21">
            <w:pPr>
              <w:rPr>
                <w:rFonts w:ascii="Arial"/>
                <w:sz w:val="21"/>
              </w:rPr>
            </w:pPr>
          </w:p>
        </w:tc>
        <w:tc>
          <w:tcPr>
            <w:tcW w:w="889" w:type="dxa"/>
            <w:tcBorders>
              <w:right w:val="single" w:color="000000" w:sz="6" w:space="0"/>
            </w:tcBorders>
            <w:vAlign w:val="top"/>
          </w:tcPr>
          <w:p w14:paraId="4688135E">
            <w:pPr>
              <w:rPr>
                <w:rFonts w:ascii="Arial"/>
                <w:sz w:val="21"/>
              </w:rPr>
            </w:pPr>
          </w:p>
        </w:tc>
        <w:tc>
          <w:tcPr>
            <w:tcW w:w="929" w:type="dxa"/>
            <w:tcBorders>
              <w:left w:val="single" w:color="000000" w:sz="6" w:space="0"/>
              <w:right w:val="single" w:color="000000" w:sz="6" w:space="0"/>
            </w:tcBorders>
            <w:vAlign w:val="top"/>
          </w:tcPr>
          <w:p w14:paraId="1A04B8D6">
            <w:pPr>
              <w:rPr>
                <w:rFonts w:ascii="Arial"/>
                <w:sz w:val="21"/>
              </w:rPr>
            </w:pPr>
          </w:p>
        </w:tc>
      </w:tr>
      <w:tr w14:paraId="3BC3D9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132" w:type="dxa"/>
            <w:vAlign w:val="top"/>
          </w:tcPr>
          <w:p w14:paraId="5E36083C">
            <w:pPr>
              <w:rPr>
                <w:rFonts w:ascii="Arial"/>
                <w:sz w:val="21"/>
              </w:rPr>
            </w:pPr>
          </w:p>
        </w:tc>
        <w:tc>
          <w:tcPr>
            <w:tcW w:w="1148" w:type="dxa"/>
            <w:vAlign w:val="top"/>
          </w:tcPr>
          <w:p w14:paraId="73AFAC2B">
            <w:pPr>
              <w:rPr>
                <w:rFonts w:ascii="Arial"/>
                <w:sz w:val="21"/>
              </w:rPr>
            </w:pPr>
          </w:p>
        </w:tc>
        <w:tc>
          <w:tcPr>
            <w:tcW w:w="1205" w:type="dxa"/>
            <w:gridSpan w:val="2"/>
            <w:vAlign w:val="top"/>
          </w:tcPr>
          <w:p w14:paraId="60ADFB1B">
            <w:pPr>
              <w:rPr>
                <w:rFonts w:ascii="Arial"/>
                <w:sz w:val="21"/>
              </w:rPr>
            </w:pPr>
          </w:p>
        </w:tc>
        <w:tc>
          <w:tcPr>
            <w:tcW w:w="1675" w:type="dxa"/>
            <w:gridSpan w:val="2"/>
            <w:vAlign w:val="top"/>
          </w:tcPr>
          <w:p w14:paraId="55CA09A2">
            <w:pPr>
              <w:rPr>
                <w:rFonts w:ascii="Arial"/>
                <w:sz w:val="21"/>
              </w:rPr>
            </w:pPr>
          </w:p>
        </w:tc>
        <w:tc>
          <w:tcPr>
            <w:tcW w:w="1110" w:type="dxa"/>
            <w:vAlign w:val="top"/>
          </w:tcPr>
          <w:p w14:paraId="6B394E37">
            <w:pPr>
              <w:rPr>
                <w:rFonts w:ascii="Arial"/>
                <w:sz w:val="21"/>
              </w:rPr>
            </w:pPr>
          </w:p>
        </w:tc>
        <w:tc>
          <w:tcPr>
            <w:tcW w:w="1110" w:type="dxa"/>
            <w:vAlign w:val="top"/>
          </w:tcPr>
          <w:p w14:paraId="358F8EFB">
            <w:pPr>
              <w:rPr>
                <w:rFonts w:ascii="Arial"/>
                <w:sz w:val="21"/>
              </w:rPr>
            </w:pPr>
          </w:p>
        </w:tc>
        <w:tc>
          <w:tcPr>
            <w:tcW w:w="889" w:type="dxa"/>
            <w:tcBorders>
              <w:right w:val="single" w:color="000000" w:sz="6" w:space="0"/>
            </w:tcBorders>
            <w:vAlign w:val="top"/>
          </w:tcPr>
          <w:p w14:paraId="0667001E">
            <w:pPr>
              <w:rPr>
                <w:rFonts w:ascii="Arial"/>
                <w:sz w:val="21"/>
              </w:rPr>
            </w:pPr>
          </w:p>
        </w:tc>
        <w:tc>
          <w:tcPr>
            <w:tcW w:w="929" w:type="dxa"/>
            <w:tcBorders>
              <w:left w:val="single" w:color="000000" w:sz="6" w:space="0"/>
              <w:right w:val="single" w:color="000000" w:sz="6" w:space="0"/>
            </w:tcBorders>
            <w:vAlign w:val="top"/>
          </w:tcPr>
          <w:p w14:paraId="4A0C4558">
            <w:pPr>
              <w:rPr>
                <w:rFonts w:ascii="Arial"/>
                <w:sz w:val="21"/>
              </w:rPr>
            </w:pPr>
          </w:p>
        </w:tc>
      </w:tr>
      <w:tr w14:paraId="05B6CC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132" w:type="dxa"/>
            <w:vAlign w:val="top"/>
          </w:tcPr>
          <w:p w14:paraId="46E1F01C">
            <w:pPr>
              <w:rPr>
                <w:rFonts w:ascii="Arial"/>
                <w:sz w:val="21"/>
              </w:rPr>
            </w:pPr>
          </w:p>
        </w:tc>
        <w:tc>
          <w:tcPr>
            <w:tcW w:w="1148" w:type="dxa"/>
            <w:vAlign w:val="top"/>
          </w:tcPr>
          <w:p w14:paraId="6E039600">
            <w:pPr>
              <w:rPr>
                <w:rFonts w:ascii="Arial"/>
                <w:sz w:val="21"/>
              </w:rPr>
            </w:pPr>
          </w:p>
        </w:tc>
        <w:tc>
          <w:tcPr>
            <w:tcW w:w="1205" w:type="dxa"/>
            <w:gridSpan w:val="2"/>
            <w:vAlign w:val="top"/>
          </w:tcPr>
          <w:p w14:paraId="29545B1B">
            <w:pPr>
              <w:rPr>
                <w:rFonts w:ascii="Arial"/>
                <w:sz w:val="21"/>
              </w:rPr>
            </w:pPr>
          </w:p>
        </w:tc>
        <w:tc>
          <w:tcPr>
            <w:tcW w:w="1675" w:type="dxa"/>
            <w:gridSpan w:val="2"/>
            <w:vAlign w:val="top"/>
          </w:tcPr>
          <w:p w14:paraId="259EB90E">
            <w:pPr>
              <w:rPr>
                <w:rFonts w:ascii="Arial"/>
                <w:sz w:val="21"/>
              </w:rPr>
            </w:pPr>
          </w:p>
        </w:tc>
        <w:tc>
          <w:tcPr>
            <w:tcW w:w="1110" w:type="dxa"/>
            <w:vAlign w:val="top"/>
          </w:tcPr>
          <w:p w14:paraId="1658A648">
            <w:pPr>
              <w:rPr>
                <w:rFonts w:ascii="Arial"/>
                <w:sz w:val="21"/>
              </w:rPr>
            </w:pPr>
          </w:p>
        </w:tc>
        <w:tc>
          <w:tcPr>
            <w:tcW w:w="1110" w:type="dxa"/>
            <w:vAlign w:val="top"/>
          </w:tcPr>
          <w:p w14:paraId="0189AD82">
            <w:pPr>
              <w:rPr>
                <w:rFonts w:ascii="Arial"/>
                <w:sz w:val="21"/>
              </w:rPr>
            </w:pPr>
          </w:p>
        </w:tc>
        <w:tc>
          <w:tcPr>
            <w:tcW w:w="889" w:type="dxa"/>
            <w:tcBorders>
              <w:right w:val="single" w:color="000000" w:sz="6" w:space="0"/>
            </w:tcBorders>
            <w:vAlign w:val="top"/>
          </w:tcPr>
          <w:p w14:paraId="2493F1BC">
            <w:pPr>
              <w:rPr>
                <w:rFonts w:ascii="Arial"/>
                <w:sz w:val="21"/>
              </w:rPr>
            </w:pPr>
          </w:p>
        </w:tc>
        <w:tc>
          <w:tcPr>
            <w:tcW w:w="929" w:type="dxa"/>
            <w:tcBorders>
              <w:left w:val="single" w:color="000000" w:sz="6" w:space="0"/>
              <w:right w:val="single" w:color="000000" w:sz="6" w:space="0"/>
            </w:tcBorders>
            <w:vAlign w:val="top"/>
          </w:tcPr>
          <w:p w14:paraId="13358EA0">
            <w:pPr>
              <w:rPr>
                <w:rFonts w:ascii="Arial"/>
                <w:sz w:val="21"/>
              </w:rPr>
            </w:pPr>
          </w:p>
        </w:tc>
      </w:tr>
      <w:tr w14:paraId="269C60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5" w:hRule="atLeast"/>
        </w:trPr>
        <w:tc>
          <w:tcPr>
            <w:tcW w:w="9198" w:type="dxa"/>
            <w:gridSpan w:val="10"/>
            <w:tcBorders>
              <w:right w:val="single" w:color="000000" w:sz="6" w:space="0"/>
            </w:tcBorders>
            <w:vAlign w:val="top"/>
          </w:tcPr>
          <w:p w14:paraId="0A6CFD55">
            <w:pPr>
              <w:pStyle w:val="14"/>
              <w:spacing w:before="101" w:line="226" w:lineRule="auto"/>
              <w:ind w:left="130" w:right="106" w:hanging="10"/>
              <w:outlineLvl w:val="0"/>
            </w:pPr>
            <w:r>
              <w:rPr>
                <w:spacing w:val="2"/>
                <w14:textOutline w14:w="4358" w14:cap="sq" w14:cmpd="sng">
                  <w14:solidFill>
                    <w14:srgbClr w14:val="000000"/>
                  </w14:solidFill>
                  <w14:prstDash w14:val="solid"/>
                  <w14:bevel/>
                </w14:textOutline>
              </w:rPr>
              <w:t>注：人员资料由供应商自行考虑提供并附相关资料、社保缴纳凭证。所提供的资料均</w:t>
            </w:r>
            <w:r>
              <w:rPr>
                <w:spacing w:val="1"/>
                <w14:textOutline w14:w="4358" w14:cap="sq" w14:cmpd="sng">
                  <w14:solidFill>
                    <w14:srgbClr w14:val="000000"/>
                  </w14:solidFill>
                  <w14:prstDash w14:val="solid"/>
                  <w14:bevel/>
                </w14:textOutline>
              </w:rPr>
              <w:t>附于本表后，作为本表的附件。</w:t>
            </w:r>
          </w:p>
        </w:tc>
      </w:tr>
    </w:tbl>
    <w:p w14:paraId="57C11EAA">
      <w:pPr>
        <w:pStyle w:val="5"/>
        <w:spacing w:line="273" w:lineRule="auto"/>
      </w:pPr>
    </w:p>
    <w:p w14:paraId="376F6EF1">
      <w:pPr>
        <w:pStyle w:val="5"/>
        <w:spacing w:line="273" w:lineRule="auto"/>
      </w:pPr>
    </w:p>
    <w:p w14:paraId="76B372FF">
      <w:pPr>
        <w:pStyle w:val="5"/>
        <w:spacing w:line="273" w:lineRule="auto"/>
      </w:pPr>
    </w:p>
    <w:p w14:paraId="4B245FA6">
      <w:pPr>
        <w:pStyle w:val="5"/>
        <w:spacing w:line="273" w:lineRule="auto"/>
      </w:pPr>
    </w:p>
    <w:p w14:paraId="4D79C6CF">
      <w:pPr>
        <w:spacing w:before="78" w:line="222" w:lineRule="auto"/>
        <w:ind w:left="4536"/>
        <w:rPr>
          <w:rFonts w:ascii="黑体" w:hAnsi="黑体" w:eastAsia="黑体" w:cs="黑体"/>
          <w:sz w:val="24"/>
          <w:szCs w:val="24"/>
        </w:rPr>
      </w:pPr>
      <w:r>
        <w:rPr>
          <w:rFonts w:ascii="黑体" w:hAnsi="黑体" w:eastAsia="黑体" w:cs="黑体"/>
          <w:spacing w:val="1"/>
          <w:sz w:val="24"/>
          <w:szCs w:val="24"/>
        </w:rPr>
        <w:t>供应商名称（盖章</w:t>
      </w:r>
      <w:r>
        <w:rPr>
          <w:rFonts w:ascii="黑体" w:hAnsi="黑体" w:eastAsia="黑体" w:cs="黑体"/>
          <w:sz w:val="24"/>
          <w:szCs w:val="24"/>
        </w:rPr>
        <w:t>）：</w:t>
      </w:r>
    </w:p>
    <w:p w14:paraId="0D20DAB1">
      <w:pPr>
        <w:spacing w:before="280" w:line="222" w:lineRule="auto"/>
        <w:ind w:right="4"/>
        <w:jc w:val="right"/>
        <w:rPr>
          <w:rFonts w:ascii="黑体" w:hAnsi="黑体" w:eastAsia="黑体" w:cs="黑体"/>
          <w:sz w:val="24"/>
          <w:szCs w:val="24"/>
        </w:rPr>
      </w:pPr>
      <w:r>
        <w:rPr>
          <w:rFonts w:ascii="黑体" w:hAnsi="黑体" w:eastAsia="黑体" w:cs="黑体"/>
          <w:spacing w:val="1"/>
          <w:sz w:val="24"/>
          <w:szCs w:val="24"/>
        </w:rPr>
        <w:t>法定代表人或委托代理人（签字或盖章</w:t>
      </w:r>
      <w:r>
        <w:rPr>
          <w:rFonts w:ascii="黑体" w:hAnsi="黑体" w:eastAsia="黑体" w:cs="黑体"/>
          <w:spacing w:val="5"/>
          <w:sz w:val="24"/>
          <w:szCs w:val="24"/>
        </w:rPr>
        <w:t>）：</w:t>
      </w:r>
    </w:p>
    <w:p w14:paraId="57081832">
      <w:pPr>
        <w:spacing w:before="284" w:line="223" w:lineRule="auto"/>
        <w:jc w:val="right"/>
        <w:rPr>
          <w:rFonts w:ascii="黑体" w:hAnsi="黑体" w:eastAsia="黑体" w:cs="黑体"/>
          <w:sz w:val="24"/>
          <w:szCs w:val="24"/>
        </w:rPr>
      </w:pPr>
      <w:r>
        <w:rPr>
          <w:rFonts w:ascii="黑体" w:hAnsi="黑体" w:eastAsia="黑体" w:cs="黑体"/>
          <w:spacing w:val="-20"/>
          <w:sz w:val="24"/>
          <w:szCs w:val="24"/>
        </w:rPr>
        <w:t>日期：年月日</w:t>
      </w:r>
    </w:p>
    <w:p w14:paraId="3BFB5C05">
      <w:pPr>
        <w:spacing w:line="223" w:lineRule="auto"/>
        <w:rPr>
          <w:rFonts w:ascii="黑体" w:hAnsi="黑体" w:eastAsia="黑体" w:cs="黑体"/>
          <w:sz w:val="24"/>
          <w:szCs w:val="24"/>
        </w:rPr>
        <w:sectPr>
          <w:footerReference r:id="rId45" w:type="default"/>
          <w:pgSz w:w="11906" w:h="16839"/>
          <w:pgMar w:top="400" w:right="1420" w:bottom="1012" w:left="1162" w:header="0" w:footer="850" w:gutter="0"/>
          <w:cols w:space="720" w:num="1"/>
        </w:sectPr>
      </w:pPr>
    </w:p>
    <w:p w14:paraId="68422C41">
      <w:pPr>
        <w:pStyle w:val="5"/>
        <w:spacing w:line="265" w:lineRule="auto"/>
      </w:pPr>
    </w:p>
    <w:p w14:paraId="71CB467F">
      <w:pPr>
        <w:pStyle w:val="5"/>
        <w:spacing w:line="265" w:lineRule="auto"/>
      </w:pPr>
    </w:p>
    <w:p w14:paraId="117631D1">
      <w:pPr>
        <w:pStyle w:val="5"/>
        <w:spacing w:line="266" w:lineRule="auto"/>
      </w:pPr>
    </w:p>
    <w:p w14:paraId="099FA7EC">
      <w:pPr>
        <w:pStyle w:val="5"/>
        <w:spacing w:line="266" w:lineRule="auto"/>
      </w:pPr>
    </w:p>
    <w:p w14:paraId="78479882">
      <w:pPr>
        <w:spacing w:before="101" w:line="230" w:lineRule="auto"/>
        <w:ind w:left="22"/>
        <w:rPr>
          <w:rFonts w:ascii="黑体" w:hAnsi="黑体" w:eastAsia="黑体" w:cs="黑体"/>
          <w:sz w:val="31"/>
          <w:szCs w:val="31"/>
        </w:rPr>
      </w:pPr>
      <w:r>
        <w:rPr>
          <w:rFonts w:ascii="黑体" w:hAnsi="黑体" w:eastAsia="黑体" w:cs="黑体"/>
          <w:spacing w:val="-4"/>
          <w:sz w:val="31"/>
          <w:szCs w:val="31"/>
          <w14:textOutline w14:w="5793" w14:cap="sq" w14:cmpd="sng">
            <w14:solidFill>
              <w14:srgbClr w14:val="000000"/>
            </w14:solidFill>
            <w14:prstDash w14:val="solid"/>
            <w14:bevel/>
          </w14:textOutline>
        </w:rPr>
        <w:t>附件14:</w:t>
      </w:r>
    </w:p>
    <w:p w14:paraId="175A8B11">
      <w:pPr>
        <w:spacing w:before="289" w:line="222" w:lineRule="auto"/>
        <w:ind w:left="3853"/>
        <w:rPr>
          <w:rFonts w:ascii="黑体" w:hAnsi="黑体" w:eastAsia="黑体" w:cs="黑体"/>
          <w:sz w:val="28"/>
          <w:szCs w:val="28"/>
        </w:rPr>
      </w:pPr>
      <w:r>
        <w:rPr>
          <w:rFonts w:ascii="黑体" w:hAnsi="黑体" w:eastAsia="黑体" w:cs="黑体"/>
          <w:spacing w:val="-2"/>
          <w:sz w:val="28"/>
          <w:szCs w:val="28"/>
        </w:rPr>
        <w:t>中小微企业声明函</w:t>
      </w:r>
    </w:p>
    <w:p w14:paraId="225DE5DC">
      <w:pPr>
        <w:pStyle w:val="5"/>
        <w:spacing w:line="245" w:lineRule="auto"/>
      </w:pPr>
    </w:p>
    <w:p w14:paraId="77867C1C">
      <w:pPr>
        <w:pStyle w:val="5"/>
        <w:spacing w:line="245" w:lineRule="auto"/>
      </w:pPr>
    </w:p>
    <w:p w14:paraId="39587E63">
      <w:pPr>
        <w:pStyle w:val="5"/>
        <w:spacing w:line="245" w:lineRule="auto"/>
      </w:pPr>
    </w:p>
    <w:p w14:paraId="0DCFF480">
      <w:pPr>
        <w:spacing w:before="78" w:line="359" w:lineRule="auto"/>
        <w:ind w:firstLine="502"/>
        <w:rPr>
          <w:rFonts w:ascii="黑体" w:hAnsi="黑体" w:eastAsia="黑体" w:cs="黑体"/>
          <w:sz w:val="24"/>
          <w:szCs w:val="24"/>
        </w:rPr>
      </w:pPr>
      <w:r>
        <w:rPr>
          <w:rFonts w:ascii="黑体" w:hAnsi="黑体" w:eastAsia="黑体" w:cs="黑体"/>
          <w:spacing w:val="6"/>
          <w:sz w:val="24"/>
          <w:szCs w:val="24"/>
        </w:rPr>
        <w:t>本公司（联合体）郑重声明，根据《政府采购促进</w:t>
      </w:r>
      <w:r>
        <w:rPr>
          <w:rFonts w:ascii="黑体" w:hAnsi="黑体" w:eastAsia="黑体" w:cs="黑体"/>
          <w:spacing w:val="5"/>
          <w:sz w:val="24"/>
          <w:szCs w:val="24"/>
        </w:rPr>
        <w:t>中小企业发展管理办法》（财库</w:t>
      </w:r>
      <w:r>
        <w:rPr>
          <w:rFonts w:ascii="黑体" w:hAnsi="黑体" w:eastAsia="黑体" w:cs="黑体"/>
          <w:spacing w:val="-2"/>
          <w:sz w:val="24"/>
          <w:szCs w:val="24"/>
        </w:rPr>
        <w:t>﹝2020﹞46号）的规定，本公司（联合体）参加</w:t>
      </w:r>
      <w:r>
        <w:rPr>
          <w:rFonts w:ascii="黑体" w:hAnsi="黑体" w:eastAsia="黑体" w:cs="黑体"/>
          <w:spacing w:val="-2"/>
          <w:sz w:val="24"/>
          <w:szCs w:val="24"/>
          <w:u w:val="single" w:color="auto"/>
        </w:rPr>
        <w:t>（单位名称）</w:t>
      </w:r>
      <w:r>
        <w:rPr>
          <w:rFonts w:ascii="黑体" w:hAnsi="黑体" w:eastAsia="黑体" w:cs="黑体"/>
          <w:spacing w:val="-2"/>
          <w:sz w:val="24"/>
          <w:szCs w:val="24"/>
        </w:rPr>
        <w:t>的</w:t>
      </w:r>
      <w:r>
        <w:rPr>
          <w:rFonts w:ascii="黑体" w:hAnsi="黑体" w:eastAsia="黑体" w:cs="黑体"/>
          <w:spacing w:val="-2"/>
          <w:sz w:val="24"/>
          <w:szCs w:val="24"/>
          <w:u w:val="single" w:color="auto"/>
        </w:rPr>
        <w:t>（项目名称）</w:t>
      </w:r>
      <w:r>
        <w:rPr>
          <w:rFonts w:ascii="黑体" w:hAnsi="黑体" w:eastAsia="黑体" w:cs="黑体"/>
          <w:spacing w:val="-2"/>
          <w:sz w:val="24"/>
          <w:szCs w:val="24"/>
        </w:rPr>
        <w:t>采购活动，</w:t>
      </w:r>
      <w:r>
        <w:rPr>
          <w:rFonts w:ascii="黑体" w:hAnsi="黑体" w:eastAsia="黑体" w:cs="黑体"/>
          <w:sz w:val="24"/>
          <w:szCs w:val="24"/>
        </w:rPr>
        <w:t>工程的施工单位全部为符合政策要求的中小企业（或</w:t>
      </w:r>
      <w:r>
        <w:rPr>
          <w:rFonts w:ascii="黑体" w:hAnsi="黑体" w:eastAsia="黑体" w:cs="黑体"/>
          <w:spacing w:val="-1"/>
          <w:sz w:val="24"/>
          <w:szCs w:val="24"/>
        </w:rPr>
        <w:t>者：服务全部由符合政策要求的中小</w:t>
      </w:r>
      <w:r>
        <w:rPr>
          <w:rFonts w:ascii="黑体" w:hAnsi="黑体" w:eastAsia="黑体" w:cs="黑体"/>
          <w:sz w:val="24"/>
          <w:szCs w:val="24"/>
        </w:rPr>
        <w:t>企业承接）。相关企业（含联合体中的中小企业、签</w:t>
      </w:r>
      <w:r>
        <w:rPr>
          <w:rFonts w:ascii="黑体" w:hAnsi="黑体" w:eastAsia="黑体" w:cs="黑体"/>
          <w:spacing w:val="-1"/>
          <w:sz w:val="24"/>
          <w:szCs w:val="24"/>
        </w:rPr>
        <w:t>订分包意向协议的中小企业）的具体</w:t>
      </w:r>
    </w:p>
    <w:p w14:paraId="099CDD59">
      <w:pPr>
        <w:spacing w:line="223" w:lineRule="auto"/>
        <w:ind w:left="1"/>
        <w:rPr>
          <w:rFonts w:ascii="黑体" w:hAnsi="黑体" w:eastAsia="黑体" w:cs="黑体"/>
          <w:sz w:val="24"/>
          <w:szCs w:val="24"/>
        </w:rPr>
      </w:pPr>
      <w:r>
        <w:rPr>
          <w:rFonts w:ascii="黑体" w:hAnsi="黑体" w:eastAsia="黑体" w:cs="黑体"/>
          <w:spacing w:val="-1"/>
          <w:sz w:val="24"/>
          <w:szCs w:val="24"/>
        </w:rPr>
        <w:t>情况如下：</w:t>
      </w:r>
    </w:p>
    <w:p w14:paraId="77330E71">
      <w:pPr>
        <w:spacing w:before="178" w:line="358" w:lineRule="auto"/>
        <w:jc w:val="right"/>
        <w:rPr>
          <w:rFonts w:ascii="黑体" w:hAnsi="黑体" w:eastAsia="黑体" w:cs="黑体"/>
          <w:sz w:val="24"/>
          <w:szCs w:val="24"/>
        </w:rPr>
      </w:pPr>
      <w:r>
        <w:rPr>
          <w:rFonts w:ascii="黑体" w:hAnsi="黑体" w:eastAsia="黑体" w:cs="黑体"/>
          <w:spacing w:val="-7"/>
          <w:sz w:val="24"/>
          <w:szCs w:val="24"/>
        </w:rPr>
        <w:t>1.</w:t>
      </w:r>
      <w:r>
        <w:rPr>
          <w:rFonts w:ascii="黑体" w:hAnsi="黑体" w:eastAsia="黑体" w:cs="黑体"/>
          <w:spacing w:val="-7"/>
          <w:sz w:val="24"/>
          <w:szCs w:val="24"/>
          <w:u w:val="single" w:color="auto"/>
        </w:rPr>
        <w:t>（标的名称</w:t>
      </w:r>
      <w:r>
        <w:rPr>
          <w:rFonts w:ascii="黑体" w:hAnsi="黑体" w:eastAsia="黑体" w:cs="黑体"/>
          <w:spacing w:val="-33"/>
          <w:sz w:val="24"/>
          <w:szCs w:val="24"/>
          <w:u w:val="single" w:color="auto"/>
        </w:rPr>
        <w:t>）</w:t>
      </w:r>
      <w:r>
        <w:rPr>
          <w:rFonts w:ascii="黑体" w:hAnsi="黑体" w:eastAsia="黑体" w:cs="黑体"/>
          <w:spacing w:val="-33"/>
          <w:sz w:val="24"/>
          <w:szCs w:val="24"/>
        </w:rPr>
        <w:t>，</w:t>
      </w:r>
      <w:r>
        <w:rPr>
          <w:rFonts w:ascii="黑体" w:hAnsi="黑体" w:eastAsia="黑体" w:cs="黑体"/>
          <w:spacing w:val="-7"/>
          <w:sz w:val="24"/>
          <w:szCs w:val="24"/>
        </w:rPr>
        <w:t>属于</w:t>
      </w:r>
      <w:r>
        <w:rPr>
          <w:rFonts w:ascii="黑体" w:hAnsi="黑体" w:eastAsia="黑体" w:cs="黑体"/>
          <w:spacing w:val="-7"/>
          <w:sz w:val="24"/>
          <w:szCs w:val="24"/>
          <w:u w:val="single" w:color="auto"/>
        </w:rPr>
        <w:t>建筑业</w:t>
      </w:r>
      <w:r>
        <w:rPr>
          <w:rFonts w:ascii="黑体" w:hAnsi="黑体" w:eastAsia="黑体" w:cs="黑体"/>
          <w:spacing w:val="-7"/>
          <w:sz w:val="24"/>
          <w:szCs w:val="24"/>
        </w:rPr>
        <w:t>；承建（承接）企业</w:t>
      </w:r>
      <w:r>
        <w:rPr>
          <w:rFonts w:ascii="黑体" w:hAnsi="黑体" w:eastAsia="黑体" w:cs="黑体"/>
          <w:spacing w:val="-8"/>
          <w:sz w:val="24"/>
          <w:szCs w:val="24"/>
        </w:rPr>
        <w:t>为</w:t>
      </w:r>
      <w:r>
        <w:rPr>
          <w:rFonts w:ascii="黑体" w:hAnsi="黑体" w:eastAsia="黑体" w:cs="黑体"/>
          <w:spacing w:val="-8"/>
          <w:sz w:val="24"/>
          <w:szCs w:val="24"/>
          <w:u w:val="single" w:color="auto"/>
        </w:rPr>
        <w:t>（企业名称</w:t>
      </w:r>
      <w:r>
        <w:rPr>
          <w:rFonts w:ascii="黑体" w:hAnsi="黑体" w:eastAsia="黑体" w:cs="黑体"/>
          <w:spacing w:val="-33"/>
          <w:sz w:val="24"/>
          <w:szCs w:val="24"/>
          <w:u w:val="single" w:color="auto"/>
        </w:rPr>
        <w:t>）</w:t>
      </w:r>
      <w:r>
        <w:rPr>
          <w:rFonts w:ascii="黑体" w:hAnsi="黑体" w:eastAsia="黑体" w:cs="黑体"/>
          <w:spacing w:val="-33"/>
          <w:sz w:val="24"/>
          <w:szCs w:val="24"/>
        </w:rPr>
        <w:t>，</w:t>
      </w:r>
      <w:r>
        <w:rPr>
          <w:rFonts w:ascii="黑体" w:hAnsi="黑体" w:eastAsia="黑体" w:cs="黑体"/>
          <w:spacing w:val="-8"/>
          <w:sz w:val="24"/>
          <w:szCs w:val="24"/>
        </w:rPr>
        <w:t>从业人员人，</w:t>
      </w:r>
    </w:p>
    <w:p w14:paraId="1BB14C5B">
      <w:pPr>
        <w:spacing w:before="1" w:line="212" w:lineRule="auto"/>
        <w:ind w:left="6"/>
        <w:rPr>
          <w:rFonts w:ascii="黑体" w:hAnsi="黑体" w:eastAsia="黑体" w:cs="黑体"/>
          <w:sz w:val="24"/>
          <w:szCs w:val="24"/>
        </w:rPr>
      </w:pPr>
      <w:r>
        <w:rPr>
          <w:rFonts w:ascii="黑体" w:hAnsi="黑体" w:eastAsia="黑体" w:cs="黑体"/>
          <w:spacing w:val="1"/>
          <w:sz w:val="24"/>
          <w:szCs w:val="24"/>
        </w:rPr>
        <w:t>营业收入为万元，资产总额为万元，属于</w:t>
      </w:r>
      <w:r>
        <w:rPr>
          <w:rFonts w:ascii="黑体" w:hAnsi="黑体" w:eastAsia="黑体" w:cs="黑体"/>
          <w:spacing w:val="1"/>
          <w:sz w:val="24"/>
          <w:szCs w:val="24"/>
          <w:u w:val="single" w:color="auto"/>
        </w:rPr>
        <w:t>（中型企业、小型企业、微型企业</w:t>
      </w:r>
      <w:r>
        <w:rPr>
          <w:rFonts w:ascii="黑体" w:hAnsi="黑体" w:eastAsia="黑体" w:cs="黑体"/>
          <w:sz w:val="24"/>
          <w:szCs w:val="24"/>
          <w:u w:val="single" w:color="auto"/>
        </w:rPr>
        <w:t>）</w:t>
      </w:r>
      <w:r>
        <w:rPr>
          <w:rFonts w:ascii="黑体" w:hAnsi="黑体" w:eastAsia="黑体" w:cs="黑体"/>
          <w:sz w:val="24"/>
          <w:szCs w:val="24"/>
        </w:rPr>
        <w:t>；</w:t>
      </w:r>
    </w:p>
    <w:p w14:paraId="09041801">
      <w:pPr>
        <w:spacing w:before="188" w:line="360" w:lineRule="auto"/>
        <w:jc w:val="right"/>
        <w:rPr>
          <w:rFonts w:ascii="黑体" w:hAnsi="黑体" w:eastAsia="黑体" w:cs="黑体"/>
          <w:sz w:val="24"/>
          <w:szCs w:val="24"/>
        </w:rPr>
      </w:pPr>
      <w:r>
        <w:rPr>
          <w:rFonts w:ascii="黑体" w:hAnsi="黑体" w:eastAsia="黑体" w:cs="黑体"/>
          <w:spacing w:val="-6"/>
          <w:sz w:val="24"/>
          <w:szCs w:val="24"/>
        </w:rPr>
        <w:t>2.</w:t>
      </w:r>
      <w:r>
        <w:rPr>
          <w:rFonts w:ascii="黑体" w:hAnsi="黑体" w:eastAsia="黑体" w:cs="黑体"/>
          <w:spacing w:val="-6"/>
          <w:sz w:val="24"/>
          <w:szCs w:val="24"/>
          <w:u w:val="single" w:color="auto"/>
        </w:rPr>
        <w:t>（标的名称</w:t>
      </w:r>
      <w:r>
        <w:rPr>
          <w:rFonts w:ascii="黑体" w:hAnsi="黑体" w:eastAsia="黑体" w:cs="黑体"/>
          <w:spacing w:val="-20"/>
          <w:sz w:val="24"/>
          <w:szCs w:val="24"/>
          <w:u w:val="single" w:color="auto"/>
        </w:rPr>
        <w:t>）</w:t>
      </w:r>
      <w:r>
        <w:rPr>
          <w:rFonts w:ascii="黑体" w:hAnsi="黑体" w:eastAsia="黑体" w:cs="黑体"/>
          <w:spacing w:val="-20"/>
          <w:sz w:val="24"/>
          <w:szCs w:val="24"/>
        </w:rPr>
        <w:t>，</w:t>
      </w:r>
      <w:r>
        <w:rPr>
          <w:rFonts w:ascii="黑体" w:hAnsi="黑体" w:eastAsia="黑体" w:cs="黑体"/>
          <w:spacing w:val="-6"/>
          <w:sz w:val="24"/>
          <w:szCs w:val="24"/>
        </w:rPr>
        <w:t>属于</w:t>
      </w:r>
      <w:r>
        <w:rPr>
          <w:rFonts w:ascii="黑体" w:hAnsi="黑体" w:eastAsia="黑体" w:cs="黑体"/>
          <w:spacing w:val="-6"/>
          <w:sz w:val="24"/>
          <w:szCs w:val="24"/>
          <w:u w:val="single" w:color="auto"/>
        </w:rPr>
        <w:t>建筑业</w:t>
      </w:r>
      <w:r>
        <w:rPr>
          <w:rFonts w:ascii="黑体" w:hAnsi="黑体" w:eastAsia="黑体" w:cs="黑体"/>
          <w:spacing w:val="-6"/>
          <w:sz w:val="24"/>
          <w:szCs w:val="24"/>
        </w:rPr>
        <w:t>；承建（承接）企业为</w:t>
      </w:r>
      <w:r>
        <w:rPr>
          <w:rFonts w:ascii="黑体" w:hAnsi="黑体" w:eastAsia="黑体" w:cs="黑体"/>
          <w:spacing w:val="-6"/>
          <w:sz w:val="24"/>
          <w:szCs w:val="24"/>
          <w:u w:val="single" w:color="auto"/>
        </w:rPr>
        <w:t>（企业名称</w:t>
      </w:r>
      <w:r>
        <w:rPr>
          <w:rFonts w:ascii="黑体" w:hAnsi="黑体" w:eastAsia="黑体" w:cs="黑体"/>
          <w:spacing w:val="-20"/>
          <w:sz w:val="24"/>
          <w:szCs w:val="24"/>
          <w:u w:val="single" w:color="auto"/>
        </w:rPr>
        <w:t>）</w:t>
      </w:r>
      <w:r>
        <w:rPr>
          <w:rFonts w:ascii="黑体" w:hAnsi="黑体" w:eastAsia="黑体" w:cs="黑体"/>
          <w:spacing w:val="-20"/>
          <w:sz w:val="24"/>
          <w:szCs w:val="24"/>
        </w:rPr>
        <w:t>，</w:t>
      </w:r>
      <w:r>
        <w:rPr>
          <w:rFonts w:ascii="黑体" w:hAnsi="黑体" w:eastAsia="黑体" w:cs="黑体"/>
          <w:spacing w:val="-6"/>
          <w:sz w:val="24"/>
          <w:szCs w:val="24"/>
        </w:rPr>
        <w:t>从业人员人，</w:t>
      </w:r>
    </w:p>
    <w:p w14:paraId="1482FC04">
      <w:pPr>
        <w:spacing w:before="1" w:line="212" w:lineRule="auto"/>
        <w:ind w:left="6"/>
        <w:rPr>
          <w:rFonts w:ascii="黑体" w:hAnsi="黑体" w:eastAsia="黑体" w:cs="黑体"/>
          <w:sz w:val="24"/>
          <w:szCs w:val="24"/>
        </w:rPr>
      </w:pPr>
      <w:r>
        <w:rPr>
          <w:rFonts w:ascii="黑体" w:hAnsi="黑体" w:eastAsia="黑体" w:cs="黑体"/>
          <w:spacing w:val="1"/>
          <w:sz w:val="24"/>
          <w:szCs w:val="24"/>
        </w:rPr>
        <w:t>营业收入为万元，资产总额为万元，属于</w:t>
      </w:r>
      <w:r>
        <w:rPr>
          <w:rFonts w:ascii="黑体" w:hAnsi="黑体" w:eastAsia="黑体" w:cs="黑体"/>
          <w:spacing w:val="1"/>
          <w:sz w:val="24"/>
          <w:szCs w:val="24"/>
          <w:u w:val="single" w:color="auto"/>
        </w:rPr>
        <w:t>（中型企业、小型企业、微型企业</w:t>
      </w:r>
      <w:r>
        <w:rPr>
          <w:rFonts w:ascii="黑体" w:hAnsi="黑体" w:eastAsia="黑体" w:cs="黑体"/>
          <w:sz w:val="24"/>
          <w:szCs w:val="24"/>
          <w:u w:val="single" w:color="auto"/>
        </w:rPr>
        <w:t>）</w:t>
      </w:r>
      <w:r>
        <w:rPr>
          <w:rFonts w:ascii="黑体" w:hAnsi="黑体" w:eastAsia="黑体" w:cs="黑体"/>
          <w:sz w:val="24"/>
          <w:szCs w:val="24"/>
        </w:rPr>
        <w:t>；</w:t>
      </w:r>
    </w:p>
    <w:p w14:paraId="26FBDF39">
      <w:pPr>
        <w:spacing w:before="189" w:line="382" w:lineRule="exact"/>
        <w:ind w:left="514"/>
        <w:rPr>
          <w:rFonts w:ascii="黑体" w:hAnsi="黑体" w:eastAsia="黑体" w:cs="黑体"/>
          <w:sz w:val="24"/>
          <w:szCs w:val="24"/>
        </w:rPr>
      </w:pPr>
      <w:r>
        <w:rPr>
          <w:rFonts w:ascii="黑体" w:hAnsi="黑体" w:eastAsia="黑体" w:cs="黑体"/>
          <w:spacing w:val="-11"/>
          <w:position w:val="3"/>
          <w:sz w:val="24"/>
          <w:szCs w:val="24"/>
        </w:rPr>
        <w:t>……</w:t>
      </w:r>
    </w:p>
    <w:p w14:paraId="165C7581">
      <w:pPr>
        <w:spacing w:before="86" w:line="468" w:lineRule="exact"/>
        <w:ind w:right="61"/>
        <w:jc w:val="right"/>
        <w:rPr>
          <w:rFonts w:ascii="黑体" w:hAnsi="黑体" w:eastAsia="黑体" w:cs="黑体"/>
          <w:sz w:val="24"/>
          <w:szCs w:val="24"/>
        </w:rPr>
      </w:pPr>
      <w:r>
        <w:rPr>
          <w:rFonts w:ascii="黑体" w:hAnsi="黑体" w:eastAsia="黑体" w:cs="黑体"/>
          <w:spacing w:val="-1"/>
          <w:position w:val="17"/>
          <w:sz w:val="24"/>
          <w:szCs w:val="24"/>
        </w:rPr>
        <w:t>以上企业，不属于大企业的分支机构，不存在控股</w:t>
      </w:r>
      <w:r>
        <w:rPr>
          <w:rFonts w:ascii="黑体" w:hAnsi="黑体" w:eastAsia="黑体" w:cs="黑体"/>
          <w:spacing w:val="-2"/>
          <w:position w:val="17"/>
          <w:sz w:val="24"/>
          <w:szCs w:val="24"/>
        </w:rPr>
        <w:t>股东为大企业的情形，也不存在与</w:t>
      </w:r>
    </w:p>
    <w:p w14:paraId="430DF05F">
      <w:pPr>
        <w:spacing w:before="1" w:line="220" w:lineRule="auto"/>
        <w:rPr>
          <w:rFonts w:ascii="黑体" w:hAnsi="黑体" w:eastAsia="黑体" w:cs="黑体"/>
          <w:sz w:val="24"/>
          <w:szCs w:val="24"/>
        </w:rPr>
      </w:pPr>
      <w:r>
        <w:rPr>
          <w:rFonts w:ascii="黑体" w:hAnsi="黑体" w:eastAsia="黑体" w:cs="黑体"/>
          <w:spacing w:val="1"/>
          <w:sz w:val="24"/>
          <w:szCs w:val="24"/>
        </w:rPr>
        <w:t>大企业的负责人为同一人的情形。</w:t>
      </w:r>
    </w:p>
    <w:p w14:paraId="52DBC3F7">
      <w:pPr>
        <w:spacing w:before="291" w:line="213" w:lineRule="auto"/>
        <w:ind w:left="610"/>
        <w:rPr>
          <w:rFonts w:ascii="黑体" w:hAnsi="黑体" w:eastAsia="黑体" w:cs="黑体"/>
          <w:sz w:val="24"/>
          <w:szCs w:val="24"/>
        </w:rPr>
      </w:pPr>
      <w:r>
        <w:rPr>
          <w:rFonts w:ascii="黑体" w:hAnsi="黑体" w:eastAsia="黑体" w:cs="黑体"/>
          <w:spacing w:val="2"/>
          <w:sz w:val="24"/>
          <w:szCs w:val="24"/>
        </w:rPr>
        <w:t>本企业对上述声明内容的真实性负责。如有虚假，将依法承担相应责任。</w:t>
      </w:r>
    </w:p>
    <w:p w14:paraId="60876693">
      <w:pPr>
        <w:pStyle w:val="5"/>
        <w:spacing w:line="270" w:lineRule="auto"/>
      </w:pPr>
    </w:p>
    <w:p w14:paraId="0F91F129">
      <w:pPr>
        <w:pStyle w:val="5"/>
        <w:spacing w:line="270" w:lineRule="auto"/>
      </w:pPr>
    </w:p>
    <w:p w14:paraId="79195250">
      <w:pPr>
        <w:pStyle w:val="5"/>
        <w:spacing w:line="270" w:lineRule="auto"/>
      </w:pPr>
    </w:p>
    <w:p w14:paraId="18107E83">
      <w:pPr>
        <w:spacing w:before="79" w:line="222" w:lineRule="auto"/>
        <w:ind w:left="608"/>
        <w:rPr>
          <w:rFonts w:ascii="黑体" w:hAnsi="黑体" w:eastAsia="黑体" w:cs="黑体"/>
          <w:sz w:val="24"/>
          <w:szCs w:val="24"/>
        </w:rPr>
      </w:pPr>
      <w:r>
        <w:rPr>
          <w:rFonts w:ascii="黑体" w:hAnsi="黑体" w:eastAsia="黑体" w:cs="黑体"/>
          <w:sz w:val="24"/>
          <w:szCs w:val="24"/>
        </w:rPr>
        <w:t>供应商（盖章</w:t>
      </w:r>
      <w:r>
        <w:rPr>
          <w:rFonts w:ascii="黑体" w:hAnsi="黑体" w:eastAsia="黑体" w:cs="黑体"/>
          <w:spacing w:val="1"/>
          <w:sz w:val="24"/>
          <w:szCs w:val="24"/>
        </w:rPr>
        <w:t>）：</w:t>
      </w:r>
    </w:p>
    <w:p w14:paraId="57D5CECB">
      <w:pPr>
        <w:spacing w:before="297" w:line="224" w:lineRule="auto"/>
        <w:ind w:left="5496"/>
        <w:rPr>
          <w:rFonts w:ascii="黑体" w:hAnsi="黑体" w:eastAsia="黑体" w:cs="黑体"/>
          <w:sz w:val="24"/>
          <w:szCs w:val="24"/>
        </w:rPr>
      </w:pPr>
      <w:r>
        <w:rPr>
          <w:rFonts w:ascii="黑体" w:hAnsi="黑体" w:eastAsia="黑体" w:cs="黑体"/>
          <w:spacing w:val="-19"/>
          <w:sz w:val="24"/>
          <w:szCs w:val="24"/>
        </w:rPr>
        <w:t>日期：</w:t>
      </w:r>
    </w:p>
    <w:p w14:paraId="705FA3BF">
      <w:pPr>
        <w:pStyle w:val="5"/>
        <w:spacing w:line="265" w:lineRule="auto"/>
      </w:pPr>
    </w:p>
    <w:p w14:paraId="52AC6EDC">
      <w:pPr>
        <w:pStyle w:val="5"/>
        <w:spacing w:line="266" w:lineRule="auto"/>
      </w:pPr>
    </w:p>
    <w:p w14:paraId="14B2C381">
      <w:pPr>
        <w:pStyle w:val="5"/>
        <w:spacing w:line="266" w:lineRule="auto"/>
      </w:pPr>
    </w:p>
    <w:p w14:paraId="501CDBA9">
      <w:pPr>
        <w:spacing w:before="79" w:line="213" w:lineRule="auto"/>
        <w:ind w:left="609"/>
        <w:rPr>
          <w:rFonts w:ascii="黑体" w:hAnsi="黑体" w:eastAsia="黑体" w:cs="黑体"/>
          <w:sz w:val="24"/>
          <w:szCs w:val="24"/>
        </w:rPr>
      </w:pPr>
      <w:r>
        <w:rPr>
          <w:rFonts w:ascii="黑体" w:hAnsi="黑体" w:eastAsia="黑体" w:cs="黑体"/>
          <w:spacing w:val="2"/>
          <w:sz w:val="24"/>
          <w:szCs w:val="24"/>
        </w:rPr>
        <w:t>从业人员、营业收入、资产总额填报上一年度数据，无上一年度数据的新成立</w:t>
      </w:r>
    </w:p>
    <w:p w14:paraId="69DEED17">
      <w:pPr>
        <w:spacing w:before="188" w:line="222" w:lineRule="auto"/>
        <w:ind w:left="120"/>
        <w:rPr>
          <w:rFonts w:ascii="黑体" w:hAnsi="黑体" w:eastAsia="黑体" w:cs="黑体"/>
          <w:sz w:val="24"/>
          <w:szCs w:val="24"/>
        </w:rPr>
      </w:pPr>
      <w:r>
        <w:rPr>
          <w:rFonts w:ascii="黑体" w:hAnsi="黑体" w:eastAsia="黑体" w:cs="黑体"/>
          <w:sz w:val="24"/>
          <w:szCs w:val="24"/>
        </w:rPr>
        <w:t>企业可不填报。</w:t>
      </w:r>
    </w:p>
    <w:p w14:paraId="2FBFF3CC">
      <w:pPr>
        <w:spacing w:before="300" w:line="213" w:lineRule="auto"/>
        <w:ind w:left="509"/>
        <w:rPr>
          <w:rFonts w:ascii="黑体" w:hAnsi="黑体" w:eastAsia="黑体" w:cs="黑体"/>
          <w:sz w:val="24"/>
          <w:szCs w:val="24"/>
        </w:rPr>
      </w:pPr>
      <w:r>
        <w:rPr>
          <w:rFonts w:ascii="黑体" w:hAnsi="黑体" w:eastAsia="黑体" w:cs="黑体"/>
          <w:spacing w:val="2"/>
          <w:sz w:val="24"/>
          <w:szCs w:val="24"/>
        </w:rPr>
        <w:t>（若响应文件中无上述文件，则在评审时不</w:t>
      </w:r>
      <w:r>
        <w:rPr>
          <w:rFonts w:ascii="黑体" w:hAnsi="黑体" w:eastAsia="黑体" w:cs="黑体"/>
          <w:spacing w:val="1"/>
          <w:sz w:val="24"/>
          <w:szCs w:val="24"/>
        </w:rPr>
        <w:t>考虑对该小、微企业的相关优惠。）</w:t>
      </w:r>
    </w:p>
    <w:p w14:paraId="65EDD71D">
      <w:pPr>
        <w:spacing w:line="213" w:lineRule="auto"/>
        <w:rPr>
          <w:rFonts w:ascii="黑体" w:hAnsi="黑体" w:eastAsia="黑体" w:cs="黑体"/>
          <w:sz w:val="24"/>
          <w:szCs w:val="24"/>
        </w:rPr>
        <w:sectPr>
          <w:footerReference r:id="rId46" w:type="default"/>
          <w:pgSz w:w="11906" w:h="16839"/>
          <w:pgMar w:top="400" w:right="1358" w:bottom="1012" w:left="1140" w:header="0" w:footer="850" w:gutter="0"/>
          <w:cols w:space="720" w:num="1"/>
        </w:sectPr>
      </w:pPr>
    </w:p>
    <w:p w14:paraId="70912390">
      <w:pPr>
        <w:pStyle w:val="5"/>
        <w:spacing w:line="269" w:lineRule="auto"/>
      </w:pPr>
    </w:p>
    <w:p w14:paraId="4602BBEA">
      <w:pPr>
        <w:pStyle w:val="5"/>
        <w:spacing w:line="269" w:lineRule="auto"/>
      </w:pPr>
    </w:p>
    <w:p w14:paraId="28C4C3FA">
      <w:pPr>
        <w:pStyle w:val="5"/>
        <w:spacing w:line="270" w:lineRule="auto"/>
      </w:pPr>
    </w:p>
    <w:p w14:paraId="5749090C">
      <w:pPr>
        <w:pStyle w:val="5"/>
        <w:spacing w:line="270" w:lineRule="auto"/>
      </w:pPr>
    </w:p>
    <w:p w14:paraId="09B9A47D">
      <w:pPr>
        <w:spacing w:before="78" w:line="221" w:lineRule="auto"/>
        <w:ind w:left="2708"/>
        <w:rPr>
          <w:rFonts w:ascii="黑体" w:hAnsi="黑体" w:eastAsia="黑体" w:cs="黑体"/>
          <w:sz w:val="24"/>
          <w:szCs w:val="24"/>
        </w:rPr>
      </w:pPr>
      <w:r>
        <w:rPr>
          <w:rFonts w:ascii="黑体" w:hAnsi="黑体" w:eastAsia="黑体" w:cs="黑体"/>
          <w:spacing w:val="1"/>
          <w:sz w:val="24"/>
          <w:szCs w:val="24"/>
        </w:rPr>
        <w:t>监狱企业声明函（符合本声明函填写）</w:t>
      </w:r>
    </w:p>
    <w:p w14:paraId="00595527">
      <w:pPr>
        <w:spacing w:before="298" w:line="221" w:lineRule="auto"/>
        <w:ind w:left="3850"/>
        <w:rPr>
          <w:rFonts w:ascii="黑体" w:hAnsi="黑体" w:eastAsia="黑体" w:cs="黑体"/>
          <w:sz w:val="24"/>
          <w:szCs w:val="24"/>
        </w:rPr>
      </w:pPr>
      <w:r>
        <w:rPr>
          <w:rFonts w:ascii="黑体" w:hAnsi="黑体" w:eastAsia="黑体" w:cs="黑体"/>
          <w:spacing w:val="-2"/>
          <w:sz w:val="24"/>
          <w:szCs w:val="24"/>
        </w:rPr>
        <w:t>（监狱企业适用）</w:t>
      </w:r>
    </w:p>
    <w:p w14:paraId="733735D5">
      <w:pPr>
        <w:pStyle w:val="5"/>
        <w:spacing w:line="267" w:lineRule="auto"/>
      </w:pPr>
    </w:p>
    <w:p w14:paraId="75A6BF36">
      <w:pPr>
        <w:pStyle w:val="5"/>
        <w:spacing w:line="267" w:lineRule="auto"/>
      </w:pPr>
    </w:p>
    <w:p w14:paraId="6E1B31AE">
      <w:pPr>
        <w:pStyle w:val="5"/>
        <w:spacing w:line="267" w:lineRule="auto"/>
      </w:pPr>
    </w:p>
    <w:p w14:paraId="6E9183B1">
      <w:pPr>
        <w:spacing w:before="78" w:line="463" w:lineRule="exact"/>
        <w:ind w:left="490"/>
        <w:rPr>
          <w:rFonts w:ascii="黑体" w:hAnsi="黑体" w:eastAsia="黑体" w:cs="黑体"/>
          <w:sz w:val="24"/>
          <w:szCs w:val="24"/>
        </w:rPr>
      </w:pPr>
      <w:r>
        <w:rPr>
          <w:rFonts w:ascii="黑体" w:hAnsi="黑体" w:eastAsia="黑体" w:cs="黑体"/>
          <w:spacing w:val="-1"/>
          <w:position w:val="17"/>
          <w:sz w:val="24"/>
          <w:szCs w:val="24"/>
        </w:rPr>
        <w:t>本公司郑重声明，根据《关于政府采购支持监狱企业发展有关问题的通知》（财库</w:t>
      </w:r>
    </w:p>
    <w:p w14:paraId="0744A50C">
      <w:pPr>
        <w:spacing w:before="1" w:line="212" w:lineRule="auto"/>
        <w:ind w:left="39"/>
        <w:rPr>
          <w:rFonts w:ascii="黑体" w:hAnsi="黑体" w:eastAsia="黑体" w:cs="黑体"/>
          <w:sz w:val="24"/>
          <w:szCs w:val="24"/>
        </w:rPr>
      </w:pPr>
      <w:r>
        <w:rPr>
          <w:rFonts w:ascii="黑体" w:hAnsi="黑体" w:eastAsia="黑体" w:cs="黑体"/>
          <w:spacing w:val="-1"/>
          <w:sz w:val="24"/>
          <w:szCs w:val="24"/>
        </w:rPr>
        <w:t>[2014]68号）的规定，本公司为监狱企业。</w:t>
      </w:r>
    </w:p>
    <w:p w14:paraId="39D0428E">
      <w:pPr>
        <w:spacing w:before="311" w:line="356" w:lineRule="auto"/>
        <w:ind w:left="490"/>
        <w:rPr>
          <w:rFonts w:ascii="黑体" w:hAnsi="黑体" w:eastAsia="黑体" w:cs="黑体"/>
          <w:sz w:val="24"/>
          <w:szCs w:val="24"/>
        </w:rPr>
      </w:pPr>
      <w:r>
        <w:rPr>
          <w:rFonts w:ascii="黑体" w:hAnsi="黑体" w:eastAsia="黑体" w:cs="黑体"/>
          <w:spacing w:val="1"/>
          <w:sz w:val="24"/>
          <w:szCs w:val="24"/>
        </w:rPr>
        <w:t>本公司参加单位的项目采购活动，采购活动提供本企业（</w:t>
      </w:r>
      <w:r>
        <w:rPr>
          <w:rFonts w:ascii="黑体" w:hAnsi="黑体" w:eastAsia="黑体" w:cs="黑体"/>
          <w:sz w:val="24"/>
          <w:szCs w:val="24"/>
        </w:rPr>
        <w:t>填写制</w:t>
      </w:r>
    </w:p>
    <w:p w14:paraId="688436AA">
      <w:pPr>
        <w:spacing w:before="1" w:line="212" w:lineRule="auto"/>
        <w:rPr>
          <w:rFonts w:ascii="黑体" w:hAnsi="黑体" w:eastAsia="黑体" w:cs="黑体"/>
          <w:sz w:val="24"/>
          <w:szCs w:val="24"/>
        </w:rPr>
      </w:pPr>
      <w:r>
        <w:rPr>
          <w:rFonts w:ascii="黑体" w:hAnsi="黑体" w:eastAsia="黑体" w:cs="黑体"/>
          <w:spacing w:val="1"/>
          <w:sz w:val="24"/>
          <w:szCs w:val="24"/>
        </w:rPr>
        <w:t>造的货物，由本企业承担工程、提供服务）。</w:t>
      </w:r>
    </w:p>
    <w:p w14:paraId="55229EBA">
      <w:pPr>
        <w:spacing w:before="309" w:line="221" w:lineRule="auto"/>
        <w:ind w:left="490"/>
        <w:rPr>
          <w:rFonts w:ascii="黑体" w:hAnsi="黑体" w:eastAsia="黑体" w:cs="黑体"/>
          <w:sz w:val="24"/>
          <w:szCs w:val="24"/>
        </w:rPr>
      </w:pPr>
      <w:r>
        <w:rPr>
          <w:rFonts w:ascii="黑体" w:hAnsi="黑体" w:eastAsia="黑体" w:cs="黑体"/>
          <w:spacing w:val="2"/>
          <w:sz w:val="24"/>
          <w:szCs w:val="24"/>
        </w:rPr>
        <w:t>本条所称货物不包括使用大型企业注册商标的货物和服</w:t>
      </w:r>
      <w:r>
        <w:rPr>
          <w:rFonts w:ascii="黑体" w:hAnsi="黑体" w:eastAsia="黑体" w:cs="黑体"/>
          <w:spacing w:val="1"/>
          <w:sz w:val="24"/>
          <w:szCs w:val="24"/>
        </w:rPr>
        <w:t>务。</w:t>
      </w:r>
    </w:p>
    <w:p w14:paraId="722DB383">
      <w:pPr>
        <w:spacing w:before="298" w:line="213" w:lineRule="auto"/>
        <w:ind w:left="490"/>
        <w:rPr>
          <w:rFonts w:ascii="黑体" w:hAnsi="黑体" w:eastAsia="黑体" w:cs="黑体"/>
          <w:sz w:val="24"/>
          <w:szCs w:val="24"/>
        </w:rPr>
      </w:pPr>
      <w:r>
        <w:rPr>
          <w:rFonts w:ascii="黑体" w:hAnsi="黑体" w:eastAsia="黑体" w:cs="黑体"/>
          <w:spacing w:val="2"/>
          <w:sz w:val="24"/>
          <w:szCs w:val="24"/>
        </w:rPr>
        <w:t>本公司对上述声明的真实性负责。如有虚假，将依法承担相应责任。</w:t>
      </w:r>
    </w:p>
    <w:p w14:paraId="3F87FA96">
      <w:pPr>
        <w:pStyle w:val="5"/>
        <w:spacing w:line="270" w:lineRule="auto"/>
      </w:pPr>
    </w:p>
    <w:p w14:paraId="43547A8D">
      <w:pPr>
        <w:pStyle w:val="5"/>
        <w:spacing w:line="270" w:lineRule="auto"/>
      </w:pPr>
    </w:p>
    <w:p w14:paraId="5C1057D9">
      <w:pPr>
        <w:pStyle w:val="5"/>
        <w:spacing w:line="270" w:lineRule="auto"/>
      </w:pPr>
    </w:p>
    <w:p w14:paraId="73C40B85">
      <w:pPr>
        <w:spacing w:before="79" w:line="222" w:lineRule="auto"/>
        <w:ind w:left="488"/>
        <w:rPr>
          <w:rFonts w:ascii="黑体" w:hAnsi="黑体" w:eastAsia="黑体" w:cs="黑体"/>
          <w:sz w:val="24"/>
          <w:szCs w:val="24"/>
        </w:rPr>
      </w:pPr>
      <w:r>
        <w:rPr>
          <w:rFonts w:ascii="黑体" w:hAnsi="黑体" w:eastAsia="黑体" w:cs="黑体"/>
          <w:sz w:val="24"/>
          <w:szCs w:val="24"/>
        </w:rPr>
        <w:t>供应商（盖章</w:t>
      </w:r>
      <w:r>
        <w:rPr>
          <w:rFonts w:ascii="黑体" w:hAnsi="黑体" w:eastAsia="黑体" w:cs="黑体"/>
          <w:spacing w:val="1"/>
          <w:sz w:val="24"/>
          <w:szCs w:val="24"/>
        </w:rPr>
        <w:t>）：</w:t>
      </w:r>
    </w:p>
    <w:p w14:paraId="0DCC14B2">
      <w:pPr>
        <w:spacing w:before="297" w:line="222" w:lineRule="auto"/>
        <w:ind w:left="491"/>
        <w:rPr>
          <w:rFonts w:ascii="黑体" w:hAnsi="黑体" w:eastAsia="黑体" w:cs="黑体"/>
          <w:sz w:val="24"/>
          <w:szCs w:val="24"/>
        </w:rPr>
      </w:pPr>
      <w:r>
        <w:rPr>
          <w:rFonts w:ascii="黑体" w:hAnsi="黑体" w:eastAsia="黑体" w:cs="黑体"/>
          <w:spacing w:val="1"/>
          <w:sz w:val="24"/>
          <w:szCs w:val="24"/>
        </w:rPr>
        <w:t>法定代表人或其被授权人（签字或盖章</w:t>
      </w:r>
      <w:r>
        <w:rPr>
          <w:rFonts w:ascii="黑体" w:hAnsi="黑体" w:eastAsia="黑体" w:cs="黑体"/>
          <w:spacing w:val="5"/>
          <w:sz w:val="24"/>
          <w:szCs w:val="24"/>
        </w:rPr>
        <w:t>）：</w:t>
      </w:r>
    </w:p>
    <w:p w14:paraId="56354519">
      <w:pPr>
        <w:spacing w:before="297" w:line="224" w:lineRule="auto"/>
        <w:ind w:left="526"/>
        <w:rPr>
          <w:rFonts w:ascii="黑体" w:hAnsi="黑体" w:eastAsia="黑体" w:cs="黑体"/>
          <w:sz w:val="24"/>
          <w:szCs w:val="24"/>
        </w:rPr>
      </w:pPr>
      <w:r>
        <w:rPr>
          <w:rFonts w:ascii="黑体" w:hAnsi="黑体" w:eastAsia="黑体" w:cs="黑体"/>
          <w:spacing w:val="-15"/>
          <w:sz w:val="24"/>
          <w:szCs w:val="24"/>
        </w:rPr>
        <w:t>日期：</w:t>
      </w:r>
    </w:p>
    <w:p w14:paraId="4BCCB334">
      <w:pPr>
        <w:spacing w:before="295" w:line="221" w:lineRule="auto"/>
        <w:ind w:left="491"/>
        <w:rPr>
          <w:rFonts w:ascii="黑体" w:hAnsi="黑体" w:eastAsia="黑体" w:cs="黑体"/>
          <w:sz w:val="24"/>
          <w:szCs w:val="24"/>
        </w:rPr>
      </w:pPr>
      <w:r>
        <w:rPr>
          <w:rFonts w:ascii="黑体" w:hAnsi="黑体" w:eastAsia="黑体" w:cs="黑体"/>
          <w:spacing w:val="1"/>
          <w:sz w:val="24"/>
          <w:szCs w:val="24"/>
        </w:rPr>
        <w:t>注：后附监狱企业资格证明文件</w:t>
      </w:r>
    </w:p>
    <w:p w14:paraId="05BFB310">
      <w:pPr>
        <w:spacing w:before="298" w:line="463" w:lineRule="exact"/>
        <w:ind w:left="501"/>
        <w:rPr>
          <w:rFonts w:ascii="黑体" w:hAnsi="黑体" w:eastAsia="黑体" w:cs="黑体"/>
          <w:sz w:val="24"/>
          <w:szCs w:val="24"/>
        </w:rPr>
      </w:pPr>
      <w:r>
        <w:rPr>
          <w:rFonts w:ascii="黑体" w:hAnsi="黑体" w:eastAsia="黑体" w:cs="黑体"/>
          <w:spacing w:val="2"/>
          <w:position w:val="16"/>
          <w:sz w:val="24"/>
          <w:szCs w:val="24"/>
        </w:rPr>
        <w:t>1.省级以上监狱管理局、戒毒管理局（含新疆生产建设兵团</w:t>
      </w:r>
      <w:r>
        <w:rPr>
          <w:rFonts w:ascii="黑体" w:hAnsi="黑体" w:eastAsia="黑体" w:cs="黑体"/>
          <w:spacing w:val="1"/>
          <w:position w:val="16"/>
          <w:sz w:val="24"/>
          <w:szCs w:val="24"/>
        </w:rPr>
        <w:t>）出具的属于监狱企</w:t>
      </w:r>
    </w:p>
    <w:p w14:paraId="78EC0FE3">
      <w:pPr>
        <w:spacing w:before="1" w:line="212" w:lineRule="auto"/>
        <w:ind w:left="4"/>
        <w:rPr>
          <w:rFonts w:ascii="黑体" w:hAnsi="黑体" w:eastAsia="黑体" w:cs="黑体"/>
          <w:sz w:val="24"/>
          <w:szCs w:val="24"/>
        </w:rPr>
      </w:pPr>
      <w:r>
        <w:rPr>
          <w:rFonts w:ascii="黑体" w:hAnsi="黑体" w:eastAsia="黑体" w:cs="黑体"/>
          <w:spacing w:val="-1"/>
          <w:sz w:val="24"/>
          <w:szCs w:val="24"/>
        </w:rPr>
        <w:t>业的证明文件；</w:t>
      </w:r>
    </w:p>
    <w:p w14:paraId="3FC61DD9">
      <w:pPr>
        <w:spacing w:before="311" w:line="221" w:lineRule="auto"/>
        <w:ind w:left="487"/>
        <w:rPr>
          <w:rFonts w:ascii="黑体" w:hAnsi="黑体" w:eastAsia="黑体" w:cs="黑体"/>
          <w:sz w:val="24"/>
          <w:szCs w:val="24"/>
        </w:rPr>
      </w:pPr>
      <w:r>
        <w:rPr>
          <w:rFonts w:ascii="黑体" w:hAnsi="黑体" w:eastAsia="黑体" w:cs="黑体"/>
          <w:spacing w:val="1"/>
          <w:sz w:val="24"/>
          <w:szCs w:val="24"/>
        </w:rPr>
        <w:t>2.证明材料加盖供应商公章。</w:t>
      </w:r>
    </w:p>
    <w:p w14:paraId="3FDE9362">
      <w:pPr>
        <w:spacing w:before="297" w:line="465" w:lineRule="exact"/>
        <w:jc w:val="right"/>
        <w:rPr>
          <w:rFonts w:ascii="黑体" w:hAnsi="黑体" w:eastAsia="黑体" w:cs="黑体"/>
          <w:sz w:val="24"/>
          <w:szCs w:val="24"/>
        </w:rPr>
      </w:pPr>
      <w:r>
        <w:rPr>
          <w:rFonts w:ascii="黑体" w:hAnsi="黑体" w:eastAsia="黑体" w:cs="黑体"/>
          <w:spacing w:val="1"/>
          <w:position w:val="17"/>
          <w:sz w:val="24"/>
          <w:szCs w:val="24"/>
        </w:rPr>
        <w:t>（若响应性文件中无上述证明文件，则在评审时不考</w:t>
      </w:r>
      <w:r>
        <w:rPr>
          <w:rFonts w:ascii="黑体" w:hAnsi="黑体" w:eastAsia="黑体" w:cs="黑体"/>
          <w:position w:val="17"/>
          <w:sz w:val="24"/>
          <w:szCs w:val="24"/>
        </w:rPr>
        <w:t>虑对该监狱企业的相关优惠。</w:t>
      </w:r>
    </w:p>
    <w:p w14:paraId="26F9FCB7">
      <w:pPr>
        <w:spacing w:before="1" w:line="227" w:lineRule="auto"/>
        <w:ind w:left="19"/>
        <w:rPr>
          <w:rFonts w:ascii="黑体" w:hAnsi="黑体" w:eastAsia="黑体" w:cs="黑体"/>
          <w:sz w:val="24"/>
          <w:szCs w:val="24"/>
        </w:rPr>
      </w:pPr>
      <w:r>
        <w:rPr>
          <w:rFonts w:ascii="黑体" w:hAnsi="黑体" w:eastAsia="黑体" w:cs="黑体"/>
          <w:sz w:val="24"/>
          <w:szCs w:val="24"/>
        </w:rPr>
        <w:t>)</w:t>
      </w:r>
    </w:p>
    <w:p w14:paraId="4F9B42DA">
      <w:pPr>
        <w:spacing w:line="227" w:lineRule="auto"/>
        <w:rPr>
          <w:rFonts w:ascii="黑体" w:hAnsi="黑体" w:eastAsia="黑体" w:cs="黑体"/>
          <w:sz w:val="24"/>
          <w:szCs w:val="24"/>
        </w:rPr>
        <w:sectPr>
          <w:footerReference r:id="rId47" w:type="default"/>
          <w:pgSz w:w="11906" w:h="16839"/>
          <w:pgMar w:top="400" w:right="1471" w:bottom="1012" w:left="1260" w:header="0" w:footer="850" w:gutter="0"/>
          <w:cols w:space="720" w:num="1"/>
        </w:sectPr>
      </w:pPr>
    </w:p>
    <w:p w14:paraId="720B2AEF">
      <w:pPr>
        <w:pStyle w:val="5"/>
        <w:spacing w:line="271" w:lineRule="auto"/>
      </w:pPr>
    </w:p>
    <w:p w14:paraId="0464724B">
      <w:pPr>
        <w:pStyle w:val="5"/>
        <w:spacing w:line="271" w:lineRule="auto"/>
      </w:pPr>
    </w:p>
    <w:p w14:paraId="4F887707">
      <w:pPr>
        <w:pStyle w:val="5"/>
        <w:spacing w:line="271" w:lineRule="auto"/>
      </w:pPr>
    </w:p>
    <w:p w14:paraId="6C0E87BF">
      <w:pPr>
        <w:spacing w:before="78" w:line="217" w:lineRule="auto"/>
        <w:jc w:val="center"/>
        <w:rPr>
          <w:rFonts w:ascii="黑体" w:hAnsi="黑体" w:eastAsia="黑体" w:cs="黑体"/>
          <w:sz w:val="24"/>
          <w:szCs w:val="24"/>
        </w:rPr>
      </w:pPr>
      <w:r>
        <w:rPr>
          <w:rFonts w:ascii="黑体" w:hAnsi="黑体" w:eastAsia="黑体" w:cs="黑体"/>
          <w:spacing w:val="1"/>
          <w:sz w:val="24"/>
          <w:szCs w:val="24"/>
        </w:rPr>
        <w:t>残疾人福利性单位声明函（符合本声明函填写）</w:t>
      </w:r>
    </w:p>
    <w:p w14:paraId="379B2AFD">
      <w:pPr>
        <w:spacing w:before="302" w:line="358" w:lineRule="auto"/>
        <w:ind w:firstLine="489"/>
        <w:jc w:val="both"/>
        <w:rPr>
          <w:rFonts w:ascii="黑体" w:hAnsi="黑体" w:eastAsia="黑体" w:cs="黑体"/>
          <w:sz w:val="24"/>
          <w:szCs w:val="24"/>
        </w:rPr>
      </w:pPr>
      <w:r>
        <w:rPr>
          <w:rFonts w:ascii="黑体" w:hAnsi="黑体" w:eastAsia="黑体" w:cs="黑体"/>
          <w:spacing w:val="-2"/>
          <w:sz w:val="24"/>
          <w:szCs w:val="24"/>
        </w:rPr>
        <w:t>本单位郑重声明，根据《财政部民政部中国残疾人联合会关于促进残疾人就业政</w:t>
      </w:r>
      <w:r>
        <w:rPr>
          <w:rFonts w:ascii="黑体" w:hAnsi="黑体" w:eastAsia="黑体" w:cs="黑体"/>
          <w:spacing w:val="2"/>
          <w:sz w:val="24"/>
          <w:szCs w:val="24"/>
        </w:rPr>
        <w:t>府采购政策的通知》（财库〔2017〕141号）</w:t>
      </w:r>
      <w:r>
        <w:rPr>
          <w:rFonts w:ascii="黑体" w:hAnsi="黑体" w:eastAsia="黑体" w:cs="黑体"/>
          <w:spacing w:val="1"/>
          <w:sz w:val="24"/>
          <w:szCs w:val="24"/>
        </w:rPr>
        <w:t>的规定，本单位为符合条件的残疾人福</w:t>
      </w:r>
      <w:r>
        <w:rPr>
          <w:rFonts w:ascii="黑体" w:hAnsi="黑体" w:eastAsia="黑体" w:cs="黑体"/>
          <w:spacing w:val="-3"/>
          <w:sz w:val="24"/>
          <w:szCs w:val="24"/>
        </w:rPr>
        <w:t>利性单位，且本单位参加单位的项目采购活动提供本单位制造的</w:t>
      </w:r>
      <w:r>
        <w:rPr>
          <w:rFonts w:ascii="黑体" w:hAnsi="黑体" w:eastAsia="黑体" w:cs="黑体"/>
          <w:spacing w:val="-4"/>
          <w:sz w:val="24"/>
          <w:szCs w:val="24"/>
        </w:rPr>
        <w:t>货物(</w:t>
      </w:r>
      <w:r>
        <w:rPr>
          <w:rFonts w:ascii="黑体" w:hAnsi="黑体" w:eastAsia="黑体" w:cs="黑体"/>
          <w:spacing w:val="2"/>
          <w:sz w:val="24"/>
          <w:szCs w:val="24"/>
        </w:rPr>
        <w:t>由本单位承担工程/提供服务</w:t>
      </w:r>
      <w:r>
        <w:rPr>
          <w:rFonts w:ascii="黑体" w:hAnsi="黑体" w:eastAsia="黑体" w:cs="黑体"/>
          <w:spacing w:val="10"/>
          <w:sz w:val="24"/>
          <w:szCs w:val="24"/>
        </w:rPr>
        <w:t>），</w:t>
      </w:r>
      <w:r>
        <w:rPr>
          <w:rFonts w:ascii="黑体" w:hAnsi="黑体" w:eastAsia="黑体" w:cs="黑体"/>
          <w:spacing w:val="2"/>
          <w:sz w:val="24"/>
          <w:szCs w:val="24"/>
        </w:rPr>
        <w:t>或者提供其他残疾人福利性单</w:t>
      </w:r>
      <w:r>
        <w:rPr>
          <w:rFonts w:ascii="黑体" w:hAnsi="黑体" w:eastAsia="黑体" w:cs="黑体"/>
          <w:spacing w:val="1"/>
          <w:sz w:val="24"/>
          <w:szCs w:val="24"/>
        </w:rPr>
        <w:t>位制造的货物（不包括使用非残疾人福利性单位注册商标的货物）。</w:t>
      </w:r>
    </w:p>
    <w:p w14:paraId="45D38A27">
      <w:pPr>
        <w:spacing w:before="304" w:line="213" w:lineRule="auto"/>
        <w:ind w:left="489"/>
        <w:rPr>
          <w:rFonts w:ascii="黑体" w:hAnsi="黑体" w:eastAsia="黑体" w:cs="黑体"/>
          <w:sz w:val="24"/>
          <w:szCs w:val="24"/>
        </w:rPr>
      </w:pPr>
      <w:r>
        <w:rPr>
          <w:rFonts w:ascii="黑体" w:hAnsi="黑体" w:eastAsia="黑体" w:cs="黑体"/>
          <w:spacing w:val="2"/>
          <w:sz w:val="24"/>
          <w:szCs w:val="24"/>
        </w:rPr>
        <w:t>本单位对上述声明的真实性负责。如有虚假，将依法承担相应责任。</w:t>
      </w:r>
    </w:p>
    <w:p w14:paraId="3C82E198">
      <w:pPr>
        <w:pStyle w:val="5"/>
        <w:spacing w:line="270" w:lineRule="auto"/>
      </w:pPr>
    </w:p>
    <w:p w14:paraId="42F553F4">
      <w:pPr>
        <w:pStyle w:val="5"/>
        <w:spacing w:line="270" w:lineRule="auto"/>
      </w:pPr>
    </w:p>
    <w:p w14:paraId="451116A6">
      <w:pPr>
        <w:pStyle w:val="5"/>
        <w:spacing w:line="270" w:lineRule="auto"/>
      </w:pPr>
    </w:p>
    <w:p w14:paraId="6355F49E">
      <w:pPr>
        <w:spacing w:before="79" w:line="222" w:lineRule="auto"/>
        <w:ind w:left="5229"/>
        <w:rPr>
          <w:rFonts w:ascii="黑体" w:hAnsi="黑体" w:eastAsia="黑体" w:cs="黑体"/>
          <w:sz w:val="24"/>
          <w:szCs w:val="24"/>
        </w:rPr>
      </w:pPr>
      <w:r>
        <w:rPr>
          <w:rFonts w:ascii="黑体" w:hAnsi="黑体" w:eastAsia="黑体" w:cs="黑体"/>
          <w:spacing w:val="-1"/>
          <w:sz w:val="24"/>
          <w:szCs w:val="24"/>
        </w:rPr>
        <w:t>单位名称（盖章</w:t>
      </w:r>
      <w:r>
        <w:rPr>
          <w:rFonts w:ascii="黑体" w:hAnsi="黑体" w:eastAsia="黑体" w:cs="黑体"/>
          <w:spacing w:val="2"/>
          <w:sz w:val="24"/>
          <w:szCs w:val="24"/>
        </w:rPr>
        <w:t>）：</w:t>
      </w:r>
    </w:p>
    <w:p w14:paraId="7D520329">
      <w:pPr>
        <w:spacing w:before="297" w:line="224" w:lineRule="auto"/>
        <w:ind w:firstLine="5252" w:firstLineChars="2600"/>
        <w:rPr>
          <w:rFonts w:ascii="黑体" w:hAnsi="黑体" w:eastAsia="黑体" w:cs="黑体"/>
          <w:sz w:val="24"/>
          <w:szCs w:val="24"/>
        </w:rPr>
      </w:pPr>
      <w:r>
        <w:rPr>
          <w:rFonts w:ascii="黑体" w:hAnsi="黑体" w:eastAsia="黑体" w:cs="黑体"/>
          <w:spacing w:val="-19"/>
          <w:sz w:val="24"/>
          <w:szCs w:val="24"/>
        </w:rPr>
        <w:t>日期：</w:t>
      </w:r>
    </w:p>
    <w:p w14:paraId="08912435">
      <w:pPr>
        <w:spacing w:line="224" w:lineRule="auto"/>
        <w:rPr>
          <w:rFonts w:ascii="黑体" w:hAnsi="黑体" w:eastAsia="黑体" w:cs="黑体"/>
          <w:sz w:val="24"/>
          <w:szCs w:val="24"/>
        </w:rPr>
        <w:sectPr>
          <w:footerReference r:id="rId48" w:type="default"/>
          <w:pgSz w:w="11906" w:h="16839"/>
          <w:pgMar w:top="400" w:right="1545" w:bottom="1012" w:left="1261" w:header="0" w:footer="850" w:gutter="0"/>
          <w:cols w:space="720" w:num="1"/>
        </w:sectPr>
      </w:pPr>
    </w:p>
    <w:p w14:paraId="59F2E178">
      <w:pPr>
        <w:pStyle w:val="5"/>
        <w:spacing w:line="265" w:lineRule="auto"/>
      </w:pPr>
    </w:p>
    <w:p w14:paraId="52F8F2B6">
      <w:pPr>
        <w:pStyle w:val="5"/>
        <w:spacing w:line="265" w:lineRule="auto"/>
      </w:pPr>
    </w:p>
    <w:p w14:paraId="2CC223E8">
      <w:pPr>
        <w:pStyle w:val="5"/>
        <w:spacing w:line="266" w:lineRule="auto"/>
      </w:pPr>
    </w:p>
    <w:p w14:paraId="0D6E7AE8">
      <w:pPr>
        <w:pStyle w:val="5"/>
        <w:spacing w:line="266" w:lineRule="auto"/>
      </w:pPr>
    </w:p>
    <w:p w14:paraId="629AC04A">
      <w:pPr>
        <w:spacing w:before="101" w:line="230" w:lineRule="auto"/>
        <w:ind w:left="22"/>
        <w:outlineLvl w:val="1"/>
        <w:rPr>
          <w:rFonts w:ascii="黑体" w:hAnsi="黑体" w:eastAsia="黑体" w:cs="黑体"/>
          <w:sz w:val="31"/>
          <w:szCs w:val="31"/>
        </w:rPr>
      </w:pPr>
      <w:r>
        <w:rPr>
          <w:rFonts w:ascii="黑体" w:hAnsi="黑体" w:eastAsia="黑体" w:cs="黑体"/>
          <w:spacing w:val="-4"/>
          <w:sz w:val="31"/>
          <w:szCs w:val="31"/>
          <w14:textOutline w14:w="5793" w14:cap="sq" w14:cmpd="sng">
            <w14:solidFill>
              <w14:srgbClr w14:val="000000"/>
            </w14:solidFill>
            <w14:prstDash w14:val="solid"/>
            <w14:bevel/>
          </w14:textOutline>
        </w:rPr>
        <w:t>附件15:</w:t>
      </w:r>
    </w:p>
    <w:p w14:paraId="6382152F">
      <w:pPr>
        <w:pStyle w:val="5"/>
        <w:spacing w:line="300" w:lineRule="auto"/>
      </w:pPr>
    </w:p>
    <w:p w14:paraId="1C654563">
      <w:pPr>
        <w:spacing w:before="78" w:line="569" w:lineRule="exact"/>
        <w:jc w:val="right"/>
        <w:rPr>
          <w:rFonts w:ascii="黑体" w:hAnsi="黑体" w:eastAsia="黑体" w:cs="黑体"/>
          <w:sz w:val="24"/>
          <w:szCs w:val="24"/>
        </w:rPr>
      </w:pPr>
      <w:r>
        <w:rPr>
          <w:rFonts w:ascii="黑体" w:hAnsi="黑体" w:eastAsia="黑体" w:cs="黑体"/>
          <w:spacing w:val="6"/>
          <w:position w:val="25"/>
          <w:sz w:val="24"/>
          <w:szCs w:val="24"/>
          <w14:textOutline w14:w="4358" w14:cap="sq" w14:cmpd="sng">
            <w14:solidFill>
              <w14:srgbClr w14:val="000000"/>
            </w14:solidFill>
            <w14:prstDash w14:val="solid"/>
            <w14:bevel/>
          </w14:textOutline>
        </w:rPr>
        <w:t>施工方案与技术措施、质量管理体系与措施、安全管理体系与措施、环</w:t>
      </w:r>
      <w:r>
        <w:rPr>
          <w:rFonts w:ascii="黑体" w:hAnsi="黑体" w:eastAsia="黑体" w:cs="黑体"/>
          <w:spacing w:val="5"/>
          <w:position w:val="25"/>
          <w:sz w:val="24"/>
          <w:szCs w:val="24"/>
          <w14:textOutline w14:w="4358" w14:cap="sq" w14:cmpd="sng">
            <w14:solidFill>
              <w14:srgbClr w14:val="000000"/>
            </w14:solidFill>
            <w14:prstDash w14:val="solid"/>
            <w14:bevel/>
          </w14:textOutline>
        </w:rPr>
        <w:t>境保护管理体系</w:t>
      </w:r>
    </w:p>
    <w:p w14:paraId="6E926208">
      <w:pPr>
        <w:spacing w:before="1" w:line="212" w:lineRule="auto"/>
        <w:ind w:left="11"/>
        <w:rPr>
          <w:rFonts w:ascii="黑体" w:hAnsi="黑体" w:eastAsia="黑体" w:cs="黑体"/>
          <w:sz w:val="24"/>
          <w:szCs w:val="24"/>
        </w:rPr>
      </w:pPr>
      <w:r>
        <w:rPr>
          <w:rFonts w:ascii="黑体" w:hAnsi="黑体" w:eastAsia="黑体" w:cs="黑体"/>
          <w:spacing w:val="3"/>
          <w:sz w:val="24"/>
          <w:szCs w:val="24"/>
          <w14:textOutline w14:w="4358" w14:cap="sq" w14:cmpd="sng">
            <w14:solidFill>
              <w14:srgbClr w14:val="000000"/>
            </w14:solidFill>
            <w14:prstDash w14:val="solid"/>
            <w14:bevel/>
          </w14:textOutline>
        </w:rPr>
        <w:t>与措施、工程进度计划与措施（按照技术评审表内容编制</w:t>
      </w:r>
      <w:r>
        <w:rPr>
          <w:rFonts w:ascii="黑体" w:hAnsi="黑体" w:eastAsia="黑体" w:cs="黑体"/>
          <w:spacing w:val="2"/>
          <w:sz w:val="24"/>
          <w:szCs w:val="24"/>
          <w14:textOutline w14:w="4358" w14:cap="sq" w14:cmpd="sng">
            <w14:solidFill>
              <w14:srgbClr w14:val="000000"/>
            </w14:solidFill>
            <w14:prstDash w14:val="solid"/>
            <w14:bevel/>
          </w14:textOutline>
        </w:rPr>
        <w:t>，格式供应商自拟）</w:t>
      </w:r>
    </w:p>
    <w:p w14:paraId="7AD2F31A">
      <w:pPr>
        <w:spacing w:line="212" w:lineRule="auto"/>
        <w:rPr>
          <w:rFonts w:ascii="黑体" w:hAnsi="黑体" w:eastAsia="黑体" w:cs="黑体"/>
          <w:sz w:val="24"/>
          <w:szCs w:val="24"/>
        </w:rPr>
        <w:sectPr>
          <w:footerReference r:id="rId49" w:type="default"/>
          <w:pgSz w:w="11906" w:h="16839"/>
          <w:pgMar w:top="400" w:right="1423" w:bottom="1012" w:left="1140" w:header="0" w:footer="850" w:gutter="0"/>
          <w:cols w:space="720" w:num="1"/>
        </w:sectPr>
      </w:pPr>
    </w:p>
    <w:p w14:paraId="5296822E">
      <w:pPr>
        <w:pStyle w:val="5"/>
        <w:spacing w:line="265" w:lineRule="auto"/>
      </w:pPr>
    </w:p>
    <w:p w14:paraId="68F238F8">
      <w:pPr>
        <w:pStyle w:val="5"/>
        <w:spacing w:line="265" w:lineRule="auto"/>
      </w:pPr>
    </w:p>
    <w:p w14:paraId="35CE4CEA">
      <w:pPr>
        <w:pStyle w:val="5"/>
        <w:spacing w:line="266" w:lineRule="auto"/>
      </w:pPr>
    </w:p>
    <w:p w14:paraId="1A0404E5">
      <w:pPr>
        <w:pStyle w:val="5"/>
        <w:spacing w:line="266" w:lineRule="auto"/>
      </w:pPr>
    </w:p>
    <w:p w14:paraId="2DD43837">
      <w:pPr>
        <w:spacing w:before="101" w:line="230" w:lineRule="auto"/>
        <w:rPr>
          <w:rFonts w:ascii="黑体" w:hAnsi="黑体" w:eastAsia="黑体" w:cs="黑体"/>
          <w:sz w:val="31"/>
          <w:szCs w:val="31"/>
        </w:rPr>
      </w:pPr>
      <w:r>
        <w:rPr>
          <w:rFonts w:ascii="黑体" w:hAnsi="黑体" w:eastAsia="黑体" w:cs="黑体"/>
          <w:spacing w:val="-4"/>
          <w:sz w:val="31"/>
          <w:szCs w:val="31"/>
          <w14:textOutline w14:w="5793" w14:cap="sq" w14:cmpd="sng">
            <w14:solidFill>
              <w14:srgbClr w14:val="000000"/>
            </w14:solidFill>
            <w14:prstDash w14:val="solid"/>
            <w14:bevel/>
          </w14:textOutline>
        </w:rPr>
        <w:t>附件16:</w:t>
      </w:r>
    </w:p>
    <w:p w14:paraId="21DD8E9F">
      <w:pPr>
        <w:spacing w:before="288" w:line="226" w:lineRule="auto"/>
        <w:ind w:left="935"/>
        <w:outlineLvl w:val="0"/>
        <w:rPr>
          <w:rFonts w:ascii="黑体" w:hAnsi="黑体" w:eastAsia="黑体" w:cs="黑体"/>
          <w:sz w:val="31"/>
          <w:szCs w:val="31"/>
        </w:rPr>
      </w:pPr>
      <w:r>
        <w:rPr>
          <w:rFonts w:ascii="黑体" w:hAnsi="黑体" w:eastAsia="黑体" w:cs="黑体"/>
          <w:spacing w:val="13"/>
          <w:sz w:val="31"/>
          <w:szCs w:val="31"/>
          <w14:textOutline w14:w="5793" w14:cap="sq" w14:cmpd="sng">
            <w14:solidFill>
              <w14:srgbClr w14:val="000000"/>
            </w14:solidFill>
            <w14:prstDash w14:val="solid"/>
            <w14:bevel/>
          </w14:textOutline>
        </w:rPr>
        <w:t>要求提供的其它材料以及供应商认为需要提交的材料</w:t>
      </w:r>
    </w:p>
    <w:sectPr>
      <w:footerReference r:id="rId50" w:type="default"/>
      <w:pgSz w:w="11906" w:h="16839"/>
      <w:pgMar w:top="400" w:right="1785" w:bottom="1012" w:left="1162" w:header="0" w:footer="85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宋体">
    <w:altName w:val="宋体"/>
    <w:panose1 w:val="02010600040101010101"/>
    <w:charset w:val="86"/>
    <w:family w:val="roman"/>
    <w:pitch w:val="default"/>
    <w:sig w:usb0="00000000" w:usb1="00000000" w:usb2="00000000" w:usb3="00000000" w:csb0="0004009F" w:csb1="DFD7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562F48">
    <w:pPr>
      <w:spacing w:line="176" w:lineRule="auto"/>
      <w:ind w:left="4491"/>
      <w:rPr>
        <w:rFonts w:ascii="Times New Roman" w:hAnsi="Times New Roman" w:eastAsia="Times New Roman" w:cs="Times New Roman"/>
        <w:sz w:val="18"/>
        <w:szCs w:val="18"/>
      </w:rPr>
    </w:pPr>
    <w:r>
      <w:rPr>
        <w:rFonts w:ascii="Times New Roman" w:hAnsi="Times New Roman" w:eastAsia="Times New Roman" w:cs="Times New Roman"/>
        <w:sz w:val="18"/>
        <w:szCs w:val="18"/>
      </w:rPr>
      <w:t>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10DBA5">
    <w:pPr>
      <w:spacing w:line="176" w:lineRule="auto"/>
      <w:ind w:left="5116"/>
      <w:rPr>
        <w:rFonts w:ascii="Times New Roman" w:hAnsi="Times New Roman" w:eastAsia="Times New Roman" w:cs="Times New Roman"/>
        <w:sz w:val="18"/>
        <w:szCs w:val="18"/>
      </w:rPr>
    </w:pPr>
    <w:r>
      <w:rPr>
        <w:rFonts w:ascii="Times New Roman" w:hAnsi="Times New Roman" w:eastAsia="Times New Roman" w:cs="Times New Roman"/>
        <w:sz w:val="18"/>
        <w:szCs w:val="18"/>
      </w:rPr>
      <w:t>8</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BE8EBF">
    <w:pPr>
      <w:spacing w:line="176" w:lineRule="auto"/>
      <w:ind w:left="4490"/>
      <w:rPr>
        <w:rFonts w:ascii="Times New Roman" w:hAnsi="Times New Roman" w:eastAsia="Times New Roman" w:cs="Times New Roman"/>
        <w:sz w:val="18"/>
        <w:szCs w:val="18"/>
      </w:rPr>
    </w:pPr>
    <w:r>
      <w:rPr>
        <w:rFonts w:ascii="Times New Roman" w:hAnsi="Times New Roman" w:eastAsia="Times New Roman" w:cs="Times New Roman"/>
        <w:sz w:val="18"/>
        <w:szCs w:val="18"/>
      </w:rPr>
      <w:t>9</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C72E94">
    <w:pPr>
      <w:spacing w:line="176" w:lineRule="auto"/>
      <w:ind w:left="4465"/>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10</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5690AB">
    <w:pPr>
      <w:spacing w:line="176" w:lineRule="auto"/>
      <w:ind w:left="4466"/>
      <w:rPr>
        <w:rFonts w:ascii="Times New Roman" w:hAnsi="Times New Roman" w:eastAsia="Times New Roman" w:cs="Times New Roman"/>
        <w:sz w:val="18"/>
        <w:szCs w:val="18"/>
      </w:rPr>
    </w:pPr>
    <w:r>
      <w:rPr>
        <w:rFonts w:ascii="Times New Roman" w:hAnsi="Times New Roman" w:eastAsia="Times New Roman" w:cs="Times New Roman"/>
        <w:spacing w:val="-11"/>
        <w:sz w:val="18"/>
        <w:szCs w:val="18"/>
      </w:rPr>
      <w:t>11</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4DD02C">
    <w:pPr>
      <w:spacing w:line="176" w:lineRule="auto"/>
      <w:ind w:left="4465"/>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12</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6DFA84">
    <w:pPr>
      <w:spacing w:line="176" w:lineRule="auto"/>
      <w:ind w:left="4460"/>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13</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183956">
    <w:pPr>
      <w:spacing w:line="176" w:lineRule="auto"/>
      <w:ind w:left="4460"/>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14</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537228">
    <w:pPr>
      <w:spacing w:line="176" w:lineRule="auto"/>
      <w:ind w:left="4460"/>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15</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4761EA">
    <w:pPr>
      <w:spacing w:line="176" w:lineRule="auto"/>
      <w:ind w:left="4460"/>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16</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BA6B4F">
    <w:pPr>
      <w:spacing w:line="176" w:lineRule="auto"/>
      <w:ind w:left="4460"/>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17</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CF6267">
    <w:pPr>
      <w:spacing w:line="176" w:lineRule="auto"/>
      <w:ind w:left="4460"/>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18</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1B98A2">
    <w:pPr>
      <w:spacing w:line="176" w:lineRule="auto"/>
      <w:ind w:left="4460"/>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19</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96CFB3">
    <w:pPr>
      <w:spacing w:line="176" w:lineRule="auto"/>
      <w:ind w:left="4442"/>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20</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613B31">
    <w:pPr>
      <w:spacing w:line="176" w:lineRule="auto"/>
      <w:ind w:left="4443"/>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21</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3C1522">
    <w:pPr>
      <w:spacing w:line="176" w:lineRule="auto"/>
      <w:ind w:left="4443"/>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22</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98DDCE">
    <w:pPr>
      <w:spacing w:line="176" w:lineRule="auto"/>
      <w:ind w:left="4538"/>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23</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58AA4F">
    <w:pPr>
      <w:spacing w:line="176" w:lineRule="auto"/>
      <w:ind w:left="4668"/>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24</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87522A">
    <w:pPr>
      <w:spacing w:line="176" w:lineRule="auto"/>
      <w:ind w:left="444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27</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E9E636">
    <w:pPr>
      <w:spacing w:line="176" w:lineRule="auto"/>
      <w:ind w:left="4081"/>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28</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29DC49">
    <w:pPr>
      <w:spacing w:line="196" w:lineRule="auto"/>
      <w:jc w:val="right"/>
      <w:rPr>
        <w:rFonts w:ascii="Times New Roman" w:hAnsi="Times New Roman" w:eastAsia="Times New Roman" w:cs="Times New Roman"/>
        <w:sz w:val="17"/>
        <w:szCs w:val="17"/>
      </w:rPr>
    </w:pPr>
    <w:r>
      <w:rPr>
        <w:rFonts w:ascii="Times New Roman" w:hAnsi="Times New Roman" w:eastAsia="Times New Roman" w:cs="Times New Roman"/>
        <w:spacing w:val="4"/>
        <w:sz w:val="17"/>
        <w:szCs w:val="17"/>
      </w:rPr>
      <w:t>45</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9F5526">
    <w:pPr>
      <w:spacing w:line="176" w:lineRule="auto"/>
      <w:ind w:left="444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43</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1068AC">
    <w:pPr>
      <w:spacing w:line="176" w:lineRule="auto"/>
      <w:ind w:left="444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44</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BB7FC7">
    <w:pPr>
      <w:spacing w:line="176" w:lineRule="auto"/>
      <w:ind w:left="445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45</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0BC491">
    <w:pPr>
      <w:spacing w:line="176" w:lineRule="auto"/>
      <w:ind w:left="4441"/>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46</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A8A353">
    <w:pPr>
      <w:spacing w:line="176" w:lineRule="auto"/>
      <w:ind w:left="444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47</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BBA86C">
    <w:pPr>
      <w:spacing w:line="176" w:lineRule="auto"/>
      <w:ind w:left="4423"/>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48</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D6815F">
    <w:pPr>
      <w:spacing w:line="176" w:lineRule="auto"/>
      <w:ind w:left="442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49</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734A2B">
    <w:pPr>
      <w:spacing w:line="176" w:lineRule="auto"/>
      <w:ind w:left="447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50</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492170">
    <w:pPr>
      <w:spacing w:line="176" w:lineRule="auto"/>
      <w:ind w:left="444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51</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00E6B5">
    <w:pPr>
      <w:spacing w:line="176" w:lineRule="auto"/>
      <w:ind w:left="4439"/>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52</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9B0922">
    <w:pPr>
      <w:spacing w:line="176" w:lineRule="auto"/>
      <w:ind w:left="444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53</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5E5FF4">
    <w:pPr>
      <w:spacing w:line="176" w:lineRule="auto"/>
      <w:ind w:left="4455"/>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54</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8837F9">
    <w:pPr>
      <w:spacing w:line="173" w:lineRule="auto"/>
      <w:ind w:left="4446"/>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55</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4ED269">
    <w:pPr>
      <w:spacing w:line="176" w:lineRule="auto"/>
      <w:ind w:left="4445"/>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56</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21D4C7">
    <w:pPr>
      <w:spacing w:line="173" w:lineRule="auto"/>
      <w:ind w:left="5041"/>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57</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7CE775">
    <w:pPr>
      <w:spacing w:line="176" w:lineRule="auto"/>
      <w:ind w:left="4626"/>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58</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F4BA9B">
    <w:pPr>
      <w:spacing w:line="176" w:lineRule="auto"/>
      <w:ind w:left="4596"/>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59</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B684E9">
    <w:pPr>
      <w:spacing w:line="176" w:lineRule="auto"/>
      <w:ind w:left="4566"/>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60</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F09A22">
    <w:pPr>
      <w:spacing w:line="176" w:lineRule="auto"/>
      <w:ind w:left="4589"/>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61</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D93CE2">
    <w:pPr>
      <w:spacing w:line="176" w:lineRule="auto"/>
      <w:ind w:left="4469"/>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62</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09B833">
    <w:pPr>
      <w:spacing w:line="176" w:lineRule="auto"/>
      <w:ind w:left="446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63</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B13BCF">
    <w:pPr>
      <w:spacing w:line="176" w:lineRule="auto"/>
      <w:ind w:left="4589"/>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64</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55E579">
    <w:pPr>
      <w:spacing w:line="176" w:lineRule="auto"/>
      <w:ind w:left="4566"/>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13A5FD">
    <w:pPr>
      <w:pStyle w:val="5"/>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F319C1">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ED21C6E"/>
    <w:multiLevelType w:val="singleLevel"/>
    <w:tmpl w:val="EED21C6E"/>
    <w:lvl w:ilvl="0" w:tentative="0">
      <w:start w:val="1"/>
      <w:numFmt w:val="decimal"/>
      <w:lvlText w:val="%1."/>
      <w:lvlJc w:val="left"/>
      <w:pPr>
        <w:tabs>
          <w:tab w:val="left" w:pos="312"/>
        </w:tabs>
      </w:pPr>
    </w:lvl>
  </w:abstractNum>
  <w:abstractNum w:abstractNumId="1">
    <w:nsid w:val="17F94F96"/>
    <w:multiLevelType w:val="multilevel"/>
    <w:tmpl w:val="17F94F96"/>
    <w:lvl w:ilvl="0" w:tentative="0">
      <w:start w:val="1"/>
      <w:numFmt w:val="chineseCountingThousand"/>
      <w:suff w:val="space"/>
      <w:lvlText w:val="第%1章"/>
      <w:lvlJc w:val="left"/>
      <w:pPr>
        <w:ind w:left="0" w:firstLine="0"/>
      </w:pPr>
      <w:rPr>
        <w:rFonts w:hint="default" w:ascii="Arial" w:hAnsi="Arial" w:eastAsia="黑体"/>
      </w:rPr>
    </w:lvl>
    <w:lvl w:ilvl="1" w:tentative="0">
      <w:start w:val="1"/>
      <w:numFmt w:val="decimal"/>
      <w:pStyle w:val="2"/>
      <w:isLgl/>
      <w:suff w:val="space"/>
      <w:lvlText w:val="%1.%2"/>
      <w:lvlJc w:val="left"/>
      <w:pPr>
        <w:ind w:left="0" w:firstLine="0"/>
      </w:pPr>
      <w:rPr>
        <w:rFonts w:hint="default" w:ascii="Arial" w:hAnsi="Arial" w:cs="Arial"/>
      </w:rPr>
    </w:lvl>
    <w:lvl w:ilvl="2" w:tentative="0">
      <w:start w:val="1"/>
      <w:numFmt w:val="decimal"/>
      <w:isLgl/>
      <w:suff w:val="space"/>
      <w:lvlText w:val="%1.%2.%3"/>
      <w:lvlJc w:val="left"/>
      <w:pPr>
        <w:ind w:left="1" w:firstLine="0"/>
      </w:pPr>
      <w:rPr>
        <w:rFonts w:hint="eastAsia"/>
        <w:color w:val="auto"/>
      </w:rPr>
    </w:lvl>
    <w:lvl w:ilvl="3" w:tentative="0">
      <w:start w:val="1"/>
      <w:numFmt w:val="decimal"/>
      <w:isLgl/>
      <w:suff w:val="space"/>
      <w:lvlText w:val="%1.%2.%3.%4"/>
      <w:lvlJc w:val="left"/>
      <w:pPr>
        <w:ind w:left="1" w:firstLine="0"/>
      </w:pPr>
      <w:rPr>
        <w:rFonts w:hint="default" w:ascii="Arial" w:hAnsi="Arial" w:cs="Arial"/>
      </w:rPr>
    </w:lvl>
    <w:lvl w:ilvl="4" w:tentative="0">
      <w:start w:val="1"/>
      <w:numFmt w:val="decimal"/>
      <w:isLgl/>
      <w:suff w:val="space"/>
      <w:lvlText w:val="%1.%2.%3.%4.%5"/>
      <w:lvlJc w:val="left"/>
      <w:pPr>
        <w:ind w:left="1" w:firstLine="0"/>
      </w:pPr>
      <w:rPr>
        <w:rFonts w:hint="default" w:ascii="Arial" w:hAnsi="Arial" w:cs="Arial"/>
        <w:b/>
        <w:bCs w:val="0"/>
      </w:rPr>
    </w:lvl>
    <w:lvl w:ilvl="5" w:tentative="0">
      <w:start w:val="1"/>
      <w:numFmt w:val="decimal"/>
      <w:isLgl/>
      <w:suff w:val="space"/>
      <w:lvlText w:val="%1.%2.%3.%4.%5.%6"/>
      <w:lvlJc w:val="left"/>
      <w:pPr>
        <w:ind w:left="1" w:firstLine="0"/>
      </w:pPr>
      <w:rPr>
        <w:rFonts w:hint="eastAsia"/>
      </w:rPr>
    </w:lvl>
    <w:lvl w:ilvl="6" w:tentative="0">
      <w:start w:val="1"/>
      <w:numFmt w:val="decimal"/>
      <w:isLgl/>
      <w:suff w:val="space"/>
      <w:lvlText w:val="%1.%2.%3.%4.%5.%6.%7"/>
      <w:lvlJc w:val="left"/>
      <w:pPr>
        <w:ind w:left="1" w:firstLine="0"/>
      </w:pPr>
      <w:rPr>
        <w:rFonts w:hint="default" w:ascii="Arial" w:hAnsi="Arial" w:eastAsia="黑体"/>
        <w:b/>
        <w:i w:val="0"/>
        <w:sz w:val="24"/>
        <w:szCs w:val="24"/>
      </w:rPr>
    </w:lvl>
    <w:lvl w:ilvl="7" w:tentative="0">
      <w:start w:val="1"/>
      <w:numFmt w:val="none"/>
      <w:suff w:val="nothing"/>
      <w:lvlText w:val=""/>
      <w:lvlJc w:val="left"/>
      <w:pPr>
        <w:ind w:left="1" w:firstLine="0"/>
      </w:pPr>
      <w:rPr>
        <w:rFonts w:hint="eastAsia"/>
      </w:rPr>
    </w:lvl>
    <w:lvl w:ilvl="8" w:tentative="0">
      <w:start w:val="1"/>
      <w:numFmt w:val="none"/>
      <w:suff w:val="nothing"/>
      <w:lvlText w:val=""/>
      <w:lvlJc w:val="left"/>
      <w:pPr>
        <w:ind w:left="1" w:firstLine="0"/>
      </w:pPr>
      <w:rPr>
        <w:rFonts w:hint="eastAsia"/>
      </w:rPr>
    </w:lvl>
  </w:abstractNum>
  <w:abstractNum w:abstractNumId="2">
    <w:nsid w:val="4F4E98A1"/>
    <w:multiLevelType w:val="singleLevel"/>
    <w:tmpl w:val="4F4E98A1"/>
    <w:lvl w:ilvl="0" w:tentative="0">
      <w:start w:val="3"/>
      <w:numFmt w:val="chineseCounting"/>
      <w:suff w:val="nothing"/>
      <w:lvlText w:val="%1、"/>
      <w:lvlJc w:val="left"/>
      <w:rPr>
        <w:rFonts w:hint="eastAsia"/>
      </w:rPr>
    </w:lvl>
  </w:abstractNum>
  <w:abstractNum w:abstractNumId="3">
    <w:nsid w:val="7B013B3A"/>
    <w:multiLevelType w:val="singleLevel"/>
    <w:tmpl w:val="7B013B3A"/>
    <w:lvl w:ilvl="0" w:tentative="0">
      <w:start w:val="1"/>
      <w:numFmt w:val="decimal"/>
      <w:suff w:val="nothing"/>
      <w:lvlText w:val="（%1）"/>
      <w:lvlJc w:val="left"/>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NDZkY2Y4NWE0ZjVjYWZkOWRhMGI5Nzk0MGY5NjljYmQifQ=="/>
    <w:docVar w:name="KSO_WPS_MARK_KEY" w:val="67a560d1-53cf-4656-8b60-0a639b21f963"/>
  </w:docVars>
  <w:rsids>
    <w:rsidRoot w:val="00000000"/>
    <w:rsid w:val="01080FB7"/>
    <w:rsid w:val="015B538C"/>
    <w:rsid w:val="01934780"/>
    <w:rsid w:val="01CF32DE"/>
    <w:rsid w:val="01E94A98"/>
    <w:rsid w:val="0300236B"/>
    <w:rsid w:val="030D0562"/>
    <w:rsid w:val="03451AAA"/>
    <w:rsid w:val="047524AE"/>
    <w:rsid w:val="04AD3DAA"/>
    <w:rsid w:val="04BC5D9C"/>
    <w:rsid w:val="04E6504D"/>
    <w:rsid w:val="051200B1"/>
    <w:rsid w:val="05B46D16"/>
    <w:rsid w:val="06A02ACB"/>
    <w:rsid w:val="070954E4"/>
    <w:rsid w:val="071C0D73"/>
    <w:rsid w:val="072608F4"/>
    <w:rsid w:val="07E90330"/>
    <w:rsid w:val="07EC28E9"/>
    <w:rsid w:val="07F62F82"/>
    <w:rsid w:val="083245C7"/>
    <w:rsid w:val="08634780"/>
    <w:rsid w:val="08AA23AF"/>
    <w:rsid w:val="08B55272"/>
    <w:rsid w:val="08CF1B6F"/>
    <w:rsid w:val="092B7994"/>
    <w:rsid w:val="098C5BAC"/>
    <w:rsid w:val="09E721DD"/>
    <w:rsid w:val="0A014251"/>
    <w:rsid w:val="0A2A19F9"/>
    <w:rsid w:val="0AB2719C"/>
    <w:rsid w:val="0B04224A"/>
    <w:rsid w:val="0B1A1A6E"/>
    <w:rsid w:val="0BDF05C2"/>
    <w:rsid w:val="0BE81B6C"/>
    <w:rsid w:val="0C41302A"/>
    <w:rsid w:val="0C790A16"/>
    <w:rsid w:val="0C915D60"/>
    <w:rsid w:val="0CDE009C"/>
    <w:rsid w:val="0CE6161F"/>
    <w:rsid w:val="0CF65363"/>
    <w:rsid w:val="0D447276"/>
    <w:rsid w:val="0D6B65B1"/>
    <w:rsid w:val="0E43308A"/>
    <w:rsid w:val="0E8300DC"/>
    <w:rsid w:val="0EBE7FB9"/>
    <w:rsid w:val="0EC7031C"/>
    <w:rsid w:val="0ECF3C62"/>
    <w:rsid w:val="0F20786F"/>
    <w:rsid w:val="0F461BB7"/>
    <w:rsid w:val="0FA062BA"/>
    <w:rsid w:val="105477D0"/>
    <w:rsid w:val="106C2D6C"/>
    <w:rsid w:val="107439CE"/>
    <w:rsid w:val="1077526D"/>
    <w:rsid w:val="10D91A83"/>
    <w:rsid w:val="113B273E"/>
    <w:rsid w:val="11895257"/>
    <w:rsid w:val="11AE190F"/>
    <w:rsid w:val="11C24C0D"/>
    <w:rsid w:val="11C42702"/>
    <w:rsid w:val="11DB3201"/>
    <w:rsid w:val="120170E6"/>
    <w:rsid w:val="12061920"/>
    <w:rsid w:val="120C7C36"/>
    <w:rsid w:val="12C80001"/>
    <w:rsid w:val="12DA1AE3"/>
    <w:rsid w:val="12F928B1"/>
    <w:rsid w:val="12FB03D7"/>
    <w:rsid w:val="130F5C30"/>
    <w:rsid w:val="135E2714"/>
    <w:rsid w:val="1398254E"/>
    <w:rsid w:val="13C10B14"/>
    <w:rsid w:val="14EA0703"/>
    <w:rsid w:val="150C0679"/>
    <w:rsid w:val="152F25BA"/>
    <w:rsid w:val="15510782"/>
    <w:rsid w:val="15842905"/>
    <w:rsid w:val="15E35233"/>
    <w:rsid w:val="1666102D"/>
    <w:rsid w:val="166D339A"/>
    <w:rsid w:val="169721C5"/>
    <w:rsid w:val="16A04E22"/>
    <w:rsid w:val="16C61609"/>
    <w:rsid w:val="177327E2"/>
    <w:rsid w:val="17920BDE"/>
    <w:rsid w:val="179D7CAF"/>
    <w:rsid w:val="17EE6261"/>
    <w:rsid w:val="17FC7011"/>
    <w:rsid w:val="180513B0"/>
    <w:rsid w:val="180C273E"/>
    <w:rsid w:val="180E64B6"/>
    <w:rsid w:val="18602A8A"/>
    <w:rsid w:val="18A64941"/>
    <w:rsid w:val="19B34DCD"/>
    <w:rsid w:val="19D379B8"/>
    <w:rsid w:val="1A2E4BEE"/>
    <w:rsid w:val="1A7F5449"/>
    <w:rsid w:val="1ACE4623"/>
    <w:rsid w:val="1B1C713C"/>
    <w:rsid w:val="1BDE3446"/>
    <w:rsid w:val="1C2375E8"/>
    <w:rsid w:val="1D181B85"/>
    <w:rsid w:val="1D1A3B4F"/>
    <w:rsid w:val="1D1C3424"/>
    <w:rsid w:val="1D2642A2"/>
    <w:rsid w:val="1D88316C"/>
    <w:rsid w:val="1D927B8A"/>
    <w:rsid w:val="1DAA67CF"/>
    <w:rsid w:val="1E876FC3"/>
    <w:rsid w:val="1F1545CE"/>
    <w:rsid w:val="1FA3607E"/>
    <w:rsid w:val="20601879"/>
    <w:rsid w:val="2063580D"/>
    <w:rsid w:val="20D3029D"/>
    <w:rsid w:val="20F1663F"/>
    <w:rsid w:val="215533A8"/>
    <w:rsid w:val="221D73E7"/>
    <w:rsid w:val="223905D4"/>
    <w:rsid w:val="226B3639"/>
    <w:rsid w:val="22C32593"/>
    <w:rsid w:val="22D94588"/>
    <w:rsid w:val="22F4274D"/>
    <w:rsid w:val="23103A2A"/>
    <w:rsid w:val="235042D2"/>
    <w:rsid w:val="2378512C"/>
    <w:rsid w:val="24684F31"/>
    <w:rsid w:val="261455E0"/>
    <w:rsid w:val="26F86CAF"/>
    <w:rsid w:val="279A5284"/>
    <w:rsid w:val="27CC5A46"/>
    <w:rsid w:val="2845197C"/>
    <w:rsid w:val="284B72B3"/>
    <w:rsid w:val="28A80261"/>
    <w:rsid w:val="28E55011"/>
    <w:rsid w:val="28FC235B"/>
    <w:rsid w:val="29001E4B"/>
    <w:rsid w:val="299A22A0"/>
    <w:rsid w:val="2A377AEF"/>
    <w:rsid w:val="2A741145"/>
    <w:rsid w:val="2AD43703"/>
    <w:rsid w:val="2AD80B9E"/>
    <w:rsid w:val="2B0100FD"/>
    <w:rsid w:val="2B9D28FD"/>
    <w:rsid w:val="2BFC0FF0"/>
    <w:rsid w:val="2C3D33B6"/>
    <w:rsid w:val="2C566FB4"/>
    <w:rsid w:val="2D722AF1"/>
    <w:rsid w:val="2DA608F6"/>
    <w:rsid w:val="2E2959A0"/>
    <w:rsid w:val="2E516CA5"/>
    <w:rsid w:val="2E60513A"/>
    <w:rsid w:val="2E6D42D9"/>
    <w:rsid w:val="2E9266E1"/>
    <w:rsid w:val="2ED2428A"/>
    <w:rsid w:val="2F4056F3"/>
    <w:rsid w:val="2F9257C7"/>
    <w:rsid w:val="2FF63FA8"/>
    <w:rsid w:val="305F7D9F"/>
    <w:rsid w:val="30EC0F07"/>
    <w:rsid w:val="30ED53AB"/>
    <w:rsid w:val="31010E56"/>
    <w:rsid w:val="31AF440F"/>
    <w:rsid w:val="31FF3286"/>
    <w:rsid w:val="32761300"/>
    <w:rsid w:val="32D3237F"/>
    <w:rsid w:val="32E316A5"/>
    <w:rsid w:val="3333770A"/>
    <w:rsid w:val="334D3EDF"/>
    <w:rsid w:val="335E60EC"/>
    <w:rsid w:val="33C77A4D"/>
    <w:rsid w:val="33DA0E84"/>
    <w:rsid w:val="33E660E2"/>
    <w:rsid w:val="341F335E"/>
    <w:rsid w:val="344E794B"/>
    <w:rsid w:val="34594B05"/>
    <w:rsid w:val="34605E94"/>
    <w:rsid w:val="357C4F4F"/>
    <w:rsid w:val="35C30488"/>
    <w:rsid w:val="36732B45"/>
    <w:rsid w:val="37677539"/>
    <w:rsid w:val="37985775"/>
    <w:rsid w:val="37A20571"/>
    <w:rsid w:val="37E66B23"/>
    <w:rsid w:val="37ED3EE3"/>
    <w:rsid w:val="385C1E94"/>
    <w:rsid w:val="385E2D25"/>
    <w:rsid w:val="387B504A"/>
    <w:rsid w:val="3884278B"/>
    <w:rsid w:val="388859B9"/>
    <w:rsid w:val="38A65E3F"/>
    <w:rsid w:val="38E56968"/>
    <w:rsid w:val="38FA1C97"/>
    <w:rsid w:val="391D07F7"/>
    <w:rsid w:val="3A2F07E2"/>
    <w:rsid w:val="3A4B4EF0"/>
    <w:rsid w:val="3A7A0E91"/>
    <w:rsid w:val="3AC0143A"/>
    <w:rsid w:val="3ADB44C6"/>
    <w:rsid w:val="3AE3337B"/>
    <w:rsid w:val="3B4200A1"/>
    <w:rsid w:val="3B893F22"/>
    <w:rsid w:val="3C017F5D"/>
    <w:rsid w:val="3C067321"/>
    <w:rsid w:val="3C0A4D16"/>
    <w:rsid w:val="3C157564"/>
    <w:rsid w:val="3C410359"/>
    <w:rsid w:val="3C72210E"/>
    <w:rsid w:val="3D245AB3"/>
    <w:rsid w:val="3D2C2B7F"/>
    <w:rsid w:val="3DD75419"/>
    <w:rsid w:val="3EAB0654"/>
    <w:rsid w:val="3EB72B54"/>
    <w:rsid w:val="3EE6343A"/>
    <w:rsid w:val="3F870779"/>
    <w:rsid w:val="3F874C1D"/>
    <w:rsid w:val="3FDF6807"/>
    <w:rsid w:val="401D732F"/>
    <w:rsid w:val="40477F08"/>
    <w:rsid w:val="409E3FCC"/>
    <w:rsid w:val="41594397"/>
    <w:rsid w:val="41D37CA5"/>
    <w:rsid w:val="41F83BB0"/>
    <w:rsid w:val="427A45C5"/>
    <w:rsid w:val="42A96C58"/>
    <w:rsid w:val="42C910A8"/>
    <w:rsid w:val="42E67EAC"/>
    <w:rsid w:val="43397FDC"/>
    <w:rsid w:val="4359242C"/>
    <w:rsid w:val="439D67BD"/>
    <w:rsid w:val="43F860E9"/>
    <w:rsid w:val="43FD7B08"/>
    <w:rsid w:val="44191BBB"/>
    <w:rsid w:val="441F3676"/>
    <w:rsid w:val="442D1450"/>
    <w:rsid w:val="44522282"/>
    <w:rsid w:val="449D054D"/>
    <w:rsid w:val="456F4189"/>
    <w:rsid w:val="458F65D9"/>
    <w:rsid w:val="45BC6CA2"/>
    <w:rsid w:val="45C53251"/>
    <w:rsid w:val="45E61281"/>
    <w:rsid w:val="45EC7588"/>
    <w:rsid w:val="464F7B16"/>
    <w:rsid w:val="469320F9"/>
    <w:rsid w:val="46A811F3"/>
    <w:rsid w:val="46DC36BD"/>
    <w:rsid w:val="46DC3AA0"/>
    <w:rsid w:val="46F34219"/>
    <w:rsid w:val="4748112D"/>
    <w:rsid w:val="47555A7C"/>
    <w:rsid w:val="477B1935"/>
    <w:rsid w:val="47DE55F6"/>
    <w:rsid w:val="48651873"/>
    <w:rsid w:val="4968109B"/>
    <w:rsid w:val="4A5149A3"/>
    <w:rsid w:val="4A767D68"/>
    <w:rsid w:val="4B50680B"/>
    <w:rsid w:val="4B5A1437"/>
    <w:rsid w:val="4B7129EF"/>
    <w:rsid w:val="4BE56F53"/>
    <w:rsid w:val="4BF47196"/>
    <w:rsid w:val="4C51283A"/>
    <w:rsid w:val="4D3D7270"/>
    <w:rsid w:val="4DCF7EBB"/>
    <w:rsid w:val="4E1458CD"/>
    <w:rsid w:val="4E1C0478"/>
    <w:rsid w:val="4E742810"/>
    <w:rsid w:val="4F161B19"/>
    <w:rsid w:val="4F9D5D96"/>
    <w:rsid w:val="4FE13ED5"/>
    <w:rsid w:val="50AA3F8E"/>
    <w:rsid w:val="50FD4D3F"/>
    <w:rsid w:val="51022355"/>
    <w:rsid w:val="51C35CE0"/>
    <w:rsid w:val="51D57A6A"/>
    <w:rsid w:val="51DA0BDC"/>
    <w:rsid w:val="53212996"/>
    <w:rsid w:val="536C61AC"/>
    <w:rsid w:val="53CB2ED2"/>
    <w:rsid w:val="54071A30"/>
    <w:rsid w:val="55010852"/>
    <w:rsid w:val="55425416"/>
    <w:rsid w:val="556A2E62"/>
    <w:rsid w:val="55D307CA"/>
    <w:rsid w:val="5647080A"/>
    <w:rsid w:val="566A14B2"/>
    <w:rsid w:val="57257220"/>
    <w:rsid w:val="57711FE2"/>
    <w:rsid w:val="57C93BCD"/>
    <w:rsid w:val="580860BD"/>
    <w:rsid w:val="58A41F44"/>
    <w:rsid w:val="58B77EC9"/>
    <w:rsid w:val="5A0802B0"/>
    <w:rsid w:val="5A454529"/>
    <w:rsid w:val="5A4F7C8D"/>
    <w:rsid w:val="5A7A1487"/>
    <w:rsid w:val="5AB126F6"/>
    <w:rsid w:val="5AC467E7"/>
    <w:rsid w:val="5B21787C"/>
    <w:rsid w:val="5BD13381"/>
    <w:rsid w:val="5C136600"/>
    <w:rsid w:val="5C425CFC"/>
    <w:rsid w:val="5CDA23D8"/>
    <w:rsid w:val="5D34198C"/>
    <w:rsid w:val="5EB6652D"/>
    <w:rsid w:val="5EBD349F"/>
    <w:rsid w:val="5F334021"/>
    <w:rsid w:val="60480A13"/>
    <w:rsid w:val="605E1BFB"/>
    <w:rsid w:val="60883EF9"/>
    <w:rsid w:val="61077514"/>
    <w:rsid w:val="61415810"/>
    <w:rsid w:val="616E1341"/>
    <w:rsid w:val="61A66D2D"/>
    <w:rsid w:val="621B3277"/>
    <w:rsid w:val="62287742"/>
    <w:rsid w:val="627604AD"/>
    <w:rsid w:val="63352116"/>
    <w:rsid w:val="635A1717"/>
    <w:rsid w:val="638208CD"/>
    <w:rsid w:val="63BA6ABF"/>
    <w:rsid w:val="63BD3EBA"/>
    <w:rsid w:val="640413E9"/>
    <w:rsid w:val="64504D2E"/>
    <w:rsid w:val="645C1924"/>
    <w:rsid w:val="64AE36C7"/>
    <w:rsid w:val="64CF20F6"/>
    <w:rsid w:val="64D21BE7"/>
    <w:rsid w:val="64F14763"/>
    <w:rsid w:val="652F42A9"/>
    <w:rsid w:val="657B5DDA"/>
    <w:rsid w:val="65D67F72"/>
    <w:rsid w:val="65F53DDF"/>
    <w:rsid w:val="66692212"/>
    <w:rsid w:val="667A42E4"/>
    <w:rsid w:val="66D47E98"/>
    <w:rsid w:val="66DD3465"/>
    <w:rsid w:val="672A540A"/>
    <w:rsid w:val="67395F4D"/>
    <w:rsid w:val="67B306BB"/>
    <w:rsid w:val="67D0065F"/>
    <w:rsid w:val="680C4A3A"/>
    <w:rsid w:val="682D3D04"/>
    <w:rsid w:val="68E121C6"/>
    <w:rsid w:val="694B014B"/>
    <w:rsid w:val="695452C0"/>
    <w:rsid w:val="6983287E"/>
    <w:rsid w:val="69A73642"/>
    <w:rsid w:val="69A753F0"/>
    <w:rsid w:val="69CB37D4"/>
    <w:rsid w:val="6A184540"/>
    <w:rsid w:val="6A4D41E9"/>
    <w:rsid w:val="6B8974A3"/>
    <w:rsid w:val="6C1453AB"/>
    <w:rsid w:val="6C2B3803"/>
    <w:rsid w:val="6C467142"/>
    <w:rsid w:val="6C537AB1"/>
    <w:rsid w:val="6CB06CB1"/>
    <w:rsid w:val="6D6B46A2"/>
    <w:rsid w:val="6DFB01D1"/>
    <w:rsid w:val="6E0A419F"/>
    <w:rsid w:val="6E5A5326"/>
    <w:rsid w:val="6E881C94"/>
    <w:rsid w:val="6EA12D56"/>
    <w:rsid w:val="6EEE3583"/>
    <w:rsid w:val="6F141779"/>
    <w:rsid w:val="6F20043A"/>
    <w:rsid w:val="6F241291"/>
    <w:rsid w:val="6F681AEC"/>
    <w:rsid w:val="6FEF1F01"/>
    <w:rsid w:val="702E23C7"/>
    <w:rsid w:val="70A66401"/>
    <w:rsid w:val="70B4359C"/>
    <w:rsid w:val="71125845"/>
    <w:rsid w:val="712368CF"/>
    <w:rsid w:val="7149542D"/>
    <w:rsid w:val="71FB277D"/>
    <w:rsid w:val="72514A93"/>
    <w:rsid w:val="72EE51E1"/>
    <w:rsid w:val="73970283"/>
    <w:rsid w:val="73E0256E"/>
    <w:rsid w:val="73E334C8"/>
    <w:rsid w:val="73F456D6"/>
    <w:rsid w:val="741F5E60"/>
    <w:rsid w:val="74716D26"/>
    <w:rsid w:val="74736F42"/>
    <w:rsid w:val="74A3408D"/>
    <w:rsid w:val="74BA06CD"/>
    <w:rsid w:val="768F16E6"/>
    <w:rsid w:val="76D0242A"/>
    <w:rsid w:val="77534E09"/>
    <w:rsid w:val="779058F7"/>
    <w:rsid w:val="780600CD"/>
    <w:rsid w:val="785C526E"/>
    <w:rsid w:val="795D3A81"/>
    <w:rsid w:val="796450AB"/>
    <w:rsid w:val="79A13C0A"/>
    <w:rsid w:val="79B356C4"/>
    <w:rsid w:val="79CB0C87"/>
    <w:rsid w:val="79E902EB"/>
    <w:rsid w:val="7A192D1F"/>
    <w:rsid w:val="7A2E1215"/>
    <w:rsid w:val="7A4360DF"/>
    <w:rsid w:val="7A580553"/>
    <w:rsid w:val="7ACE2A10"/>
    <w:rsid w:val="7AD149C3"/>
    <w:rsid w:val="7AD61FD9"/>
    <w:rsid w:val="7ADB139D"/>
    <w:rsid w:val="7B022DCE"/>
    <w:rsid w:val="7B5178B1"/>
    <w:rsid w:val="7BAB0D70"/>
    <w:rsid w:val="7BC41E31"/>
    <w:rsid w:val="7BD007D6"/>
    <w:rsid w:val="7C15268D"/>
    <w:rsid w:val="7C5F1B5A"/>
    <w:rsid w:val="7D2232B3"/>
    <w:rsid w:val="7D656FCC"/>
    <w:rsid w:val="7F6F47AA"/>
    <w:rsid w:val="7FAF2DF8"/>
    <w:rsid w:val="7FBF3BA0"/>
    <w:rsid w:val="7FD05249"/>
    <w:rsid w:val="7FD665D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99"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2"/>
    <w:basedOn w:val="1"/>
    <w:next w:val="1"/>
    <w:qFormat/>
    <w:uiPriority w:val="99"/>
    <w:pPr>
      <w:keepNext/>
      <w:keepLines/>
      <w:numPr>
        <w:ilvl w:val="1"/>
        <w:numId w:val="1"/>
      </w:numPr>
      <w:spacing w:line="360" w:lineRule="auto"/>
      <w:outlineLvl w:val="1"/>
    </w:pPr>
    <w:rPr>
      <w:rFonts w:ascii="Arial" w:hAnsi="Arial" w:eastAsia="黑体"/>
      <w:b/>
      <w:bCs/>
      <w:sz w:val="30"/>
      <w:szCs w:val="32"/>
    </w:rPr>
  </w:style>
  <w:style w:type="paragraph" w:styleId="3">
    <w:name w:val="heading 3"/>
    <w:basedOn w:val="1"/>
    <w:next w:val="1"/>
    <w:qFormat/>
    <w:uiPriority w:val="0"/>
    <w:pPr>
      <w:keepNext/>
      <w:keepLines/>
      <w:spacing w:line="360" w:lineRule="auto"/>
      <w:outlineLvl w:val="2"/>
    </w:pPr>
    <w:rPr>
      <w:rFonts w:eastAsia="黑体"/>
      <w:b/>
      <w:bCs/>
      <w:szCs w:val="32"/>
    </w:rPr>
  </w:style>
  <w:style w:type="character" w:default="1" w:styleId="11">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4">
    <w:name w:val="Normal Indent"/>
    <w:basedOn w:val="1"/>
    <w:next w:val="1"/>
    <w:qFormat/>
    <w:uiPriority w:val="0"/>
    <w:pPr>
      <w:ind w:firstLine="420"/>
    </w:pPr>
  </w:style>
  <w:style w:type="paragraph" w:styleId="5">
    <w:name w:val="Body Text"/>
    <w:basedOn w:val="1"/>
    <w:semiHidden/>
    <w:qFormat/>
    <w:uiPriority w:val="0"/>
    <w:rPr>
      <w:rFonts w:ascii="Arial" w:hAnsi="Arial" w:eastAsia="Arial" w:cs="Arial"/>
      <w:sz w:val="21"/>
      <w:szCs w:val="21"/>
      <w:lang w:val="en-US" w:eastAsia="en-US" w:bidi="ar-SA"/>
    </w:rPr>
  </w:style>
  <w:style w:type="paragraph" w:styleId="6">
    <w:name w:val="Plain Text"/>
    <w:basedOn w:val="1"/>
    <w:qFormat/>
    <w:uiPriority w:val="0"/>
    <w:rPr>
      <w:rFonts w:ascii="宋体" w:hAnsi="Courier New" w:eastAsia="华文宋体"/>
      <w:sz w:val="28"/>
      <w:szCs w:val="20"/>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Title"/>
    <w:basedOn w:val="1"/>
    <w:next w:val="1"/>
    <w:qFormat/>
    <w:uiPriority w:val="0"/>
    <w:pPr>
      <w:adjustRightInd w:val="0"/>
      <w:spacing w:before="240" w:beforeLines="0" w:after="60" w:afterLines="0" w:line="420" w:lineRule="atLeast"/>
      <w:jc w:val="center"/>
      <w:textAlignment w:val="baseline"/>
      <w:outlineLvl w:val="0"/>
    </w:pPr>
    <w:rPr>
      <w:rFonts w:ascii="Arial" w:hAnsi="Arial"/>
      <w:b/>
      <w:kern w:val="0"/>
      <w:sz w:val="32"/>
      <w:szCs w:val="20"/>
    </w:rPr>
  </w:style>
  <w:style w:type="paragraph" w:customStyle="1" w:styleId="12">
    <w:name w:val="Default"/>
    <w:basedOn w:val="9"/>
    <w:next w:val="1"/>
    <w:qFormat/>
    <w:uiPriority w:val="0"/>
    <w:pPr>
      <w:widowControl w:val="0"/>
      <w:autoSpaceDE w:val="0"/>
      <w:autoSpaceDN w:val="0"/>
      <w:adjustRightInd w:val="0"/>
    </w:pPr>
    <w:rPr>
      <w:rFonts w:ascii="黑体" w:hAnsi="Times New Roman" w:eastAsia="黑体" w:cs="Times New Roman"/>
      <w:lang w:val="en-US" w:eastAsia="zh-CN" w:bidi="ar-SA"/>
    </w:rPr>
  </w:style>
  <w:style w:type="table" w:customStyle="1" w:styleId="13">
    <w:name w:val="Table Normal"/>
    <w:semiHidden/>
    <w:unhideWhenUsed/>
    <w:qFormat/>
    <w:uiPriority w:val="0"/>
    <w:tblPr>
      <w:tblCellMar>
        <w:top w:w="0" w:type="dxa"/>
        <w:left w:w="0" w:type="dxa"/>
        <w:bottom w:w="0" w:type="dxa"/>
        <w:right w:w="0" w:type="dxa"/>
      </w:tblCellMar>
    </w:tblPr>
  </w:style>
  <w:style w:type="paragraph" w:customStyle="1" w:styleId="14">
    <w:name w:val="Table Text"/>
    <w:basedOn w:val="1"/>
    <w:semiHidden/>
    <w:qFormat/>
    <w:uiPriority w:val="0"/>
    <w:rPr>
      <w:rFonts w:ascii="黑体" w:hAnsi="黑体" w:eastAsia="黑体" w:cs="黑体"/>
      <w:sz w:val="24"/>
      <w:szCs w:val="24"/>
      <w:lang w:val="en-US" w:eastAsia="en-US" w:bidi="ar-SA"/>
    </w:rPr>
  </w:style>
  <w:style w:type="paragraph" w:customStyle="1" w:styleId="15">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
    <w:name w:val="TOC 标题_0"/>
    <w:basedOn w:val="17"/>
    <w:next w:val="15"/>
    <w:unhideWhenUsed/>
    <w:qFormat/>
    <w:uiPriority w:val="0"/>
    <w:pPr>
      <w:outlineLvl w:val="9"/>
    </w:pPr>
    <w:rPr>
      <w:rFonts w:ascii="Calibri" w:hAnsi="Calibri"/>
    </w:rPr>
  </w:style>
  <w:style w:type="paragraph" w:customStyle="1" w:styleId="17">
    <w:name w:val="标题 1_0"/>
    <w:basedOn w:val="15"/>
    <w:next w:val="15"/>
    <w:qFormat/>
    <w:uiPriority w:val="0"/>
    <w:pPr>
      <w:keepNext/>
      <w:keepLines/>
      <w:spacing w:before="340" w:after="330" w:line="578" w:lineRule="auto"/>
      <w:outlineLvl w:val="0"/>
    </w:pPr>
    <w:rPr>
      <w:rFonts w:ascii="Times New Roman" w:hAnsi="Times New Roman"/>
      <w:b/>
      <w:bCs/>
      <w:kern w:val="44"/>
      <w:sz w:val="44"/>
      <w:szCs w:val="44"/>
    </w:rPr>
  </w:style>
  <w:style w:type="paragraph" w:customStyle="1" w:styleId="18">
    <w:name w:val="正文_0_0"/>
    <w:qFormat/>
    <w:uiPriority w:val="0"/>
    <w:pPr>
      <w:widowControl w:val="0"/>
      <w:jc w:val="both"/>
    </w:pPr>
    <w:rPr>
      <w:rFonts w:ascii="Times New Roman" w:hAnsi="Times New Roman" w:eastAsia="Calibri" w:cs="Times New Roman"/>
      <w:kern w:val="2"/>
      <w:sz w:val="21"/>
      <w:szCs w:val="24"/>
      <w:lang w:val="en-US" w:eastAsia="zh-CN" w:bidi="ar-SA"/>
    </w:rPr>
  </w:style>
  <w:style w:type="paragraph" w:customStyle="1" w:styleId="19">
    <w:name w:val="标题 5_0_0"/>
    <w:basedOn w:val="18"/>
    <w:next w:val="18"/>
    <w:qFormat/>
    <w:uiPriority w:val="0"/>
    <w:pPr>
      <w:keepNext/>
      <w:autoSpaceDE w:val="0"/>
      <w:autoSpaceDN w:val="0"/>
      <w:adjustRightInd w:val="0"/>
      <w:textAlignment w:val="baseline"/>
      <w:outlineLvl w:val="4"/>
    </w:pPr>
    <w:rPr>
      <w:rFonts w:ascii="Times New Roman" w:hAnsi="Times New Roman" w:eastAsia="楷体"/>
      <w:b/>
      <w:kern w:val="0"/>
      <w:sz w:val="28"/>
      <w:szCs w:val="20"/>
    </w:rPr>
  </w:style>
  <w:style w:type="paragraph" w:customStyle="1" w:styleId="20">
    <w:name w:val="No Spacing"/>
    <w:qFormat/>
    <w:uiPriority w:val="1"/>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4" Type="http://schemas.openxmlformats.org/officeDocument/2006/relationships/fontTable" Target="fontTable.xml"/><Relationship Id="rId53" Type="http://schemas.openxmlformats.org/officeDocument/2006/relationships/numbering" Target="numbering.xml"/><Relationship Id="rId52" Type="http://schemas.openxmlformats.org/officeDocument/2006/relationships/customXml" Target="../customXml/item1.xml"/><Relationship Id="rId51" Type="http://schemas.openxmlformats.org/officeDocument/2006/relationships/theme" Target="theme/theme1.xml"/><Relationship Id="rId50" Type="http://schemas.openxmlformats.org/officeDocument/2006/relationships/footer" Target="footer44.xml"/><Relationship Id="rId5" Type="http://schemas.openxmlformats.org/officeDocument/2006/relationships/footer" Target="footer1.xml"/><Relationship Id="rId49" Type="http://schemas.openxmlformats.org/officeDocument/2006/relationships/footer" Target="footer43.xml"/><Relationship Id="rId48" Type="http://schemas.openxmlformats.org/officeDocument/2006/relationships/footer" Target="footer42.xml"/><Relationship Id="rId47" Type="http://schemas.openxmlformats.org/officeDocument/2006/relationships/footer" Target="footer41.xml"/><Relationship Id="rId46" Type="http://schemas.openxmlformats.org/officeDocument/2006/relationships/footer" Target="footer40.xml"/><Relationship Id="rId45" Type="http://schemas.openxmlformats.org/officeDocument/2006/relationships/footer" Target="footer39.xml"/><Relationship Id="rId44" Type="http://schemas.openxmlformats.org/officeDocument/2006/relationships/footer" Target="footer38.xml"/><Relationship Id="rId43" Type="http://schemas.openxmlformats.org/officeDocument/2006/relationships/footer" Target="footer37.xml"/><Relationship Id="rId42" Type="http://schemas.openxmlformats.org/officeDocument/2006/relationships/footer" Target="footer36.xml"/><Relationship Id="rId41" Type="http://schemas.openxmlformats.org/officeDocument/2006/relationships/footer" Target="footer35.xml"/><Relationship Id="rId40" Type="http://schemas.openxmlformats.org/officeDocument/2006/relationships/footer" Target="footer34.xml"/><Relationship Id="rId4" Type="http://schemas.openxmlformats.org/officeDocument/2006/relationships/endnotes" Target="endnotes.xml"/><Relationship Id="rId39" Type="http://schemas.openxmlformats.org/officeDocument/2006/relationships/footer" Target="footer33.xml"/><Relationship Id="rId38" Type="http://schemas.openxmlformats.org/officeDocument/2006/relationships/footer" Target="footer32.xml"/><Relationship Id="rId37" Type="http://schemas.openxmlformats.org/officeDocument/2006/relationships/footer" Target="footer31.xml"/><Relationship Id="rId36" Type="http://schemas.openxmlformats.org/officeDocument/2006/relationships/footer" Target="footer30.xml"/><Relationship Id="rId35" Type="http://schemas.openxmlformats.org/officeDocument/2006/relationships/footer" Target="footer29.xml"/><Relationship Id="rId34" Type="http://schemas.openxmlformats.org/officeDocument/2006/relationships/footer" Target="footer28.xml"/><Relationship Id="rId33" Type="http://schemas.openxmlformats.org/officeDocument/2006/relationships/footer" Target="footer27.xml"/><Relationship Id="rId32" Type="http://schemas.openxmlformats.org/officeDocument/2006/relationships/footer" Target="footer26.xml"/><Relationship Id="rId31" Type="http://schemas.openxmlformats.org/officeDocument/2006/relationships/footer" Target="footer25.xml"/><Relationship Id="rId30" Type="http://schemas.openxmlformats.org/officeDocument/2006/relationships/footer" Target="footer24.xml"/><Relationship Id="rId3" Type="http://schemas.openxmlformats.org/officeDocument/2006/relationships/footnotes" Target="footnotes.xml"/><Relationship Id="rId29" Type="http://schemas.openxmlformats.org/officeDocument/2006/relationships/footer" Target="footer23.xml"/><Relationship Id="rId28" Type="http://schemas.openxmlformats.org/officeDocument/2006/relationships/footer" Target="footer22.xml"/><Relationship Id="rId27" Type="http://schemas.openxmlformats.org/officeDocument/2006/relationships/footer" Target="footer21.xml"/><Relationship Id="rId26" Type="http://schemas.openxmlformats.org/officeDocument/2006/relationships/header" Target="header2.xml"/><Relationship Id="rId25" Type="http://schemas.openxmlformats.org/officeDocument/2006/relationships/footer" Target="footer20.xml"/><Relationship Id="rId24" Type="http://schemas.openxmlformats.org/officeDocument/2006/relationships/footer" Target="footer19.xml"/><Relationship Id="rId23" Type="http://schemas.openxmlformats.org/officeDocument/2006/relationships/header" Target="header1.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77</Pages>
  <Words>22889</Words>
  <Characters>24390</Characters>
  <TotalTime>32</TotalTime>
  <ScaleCrop>false</ScaleCrop>
  <LinksUpToDate>false</LinksUpToDate>
  <CharactersWithSpaces>25626</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2023-11-01T13:21:00Z</dcterms:created>
  <dc:creator>s</dc:creator>
  <cp:lastModifiedBy>WPS_1608263670</cp:lastModifiedBy>
  <dcterms:modified xsi:type="dcterms:W3CDTF">2025-04-22T06:11:25Z</dcterms:modified>
  <dc:title>投标人须知前附表</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2024-06-25T11:27:57Z</vt:filetime>
  </property>
  <property fmtid="{D5CDD505-2E9C-101B-9397-08002B2CF9AE}" pid="4" name="KSOProductBuildVer">
    <vt:lpwstr>2052-12.1.0.20784</vt:lpwstr>
  </property>
  <property fmtid="{D5CDD505-2E9C-101B-9397-08002B2CF9AE}" pid="5" name="ICV">
    <vt:lpwstr>74A8892BCB06403EBB3E3E2062F208F2_12</vt:lpwstr>
  </property>
  <property fmtid="{D5CDD505-2E9C-101B-9397-08002B2CF9AE}" pid="6" name="KSOTemplateDocerSaveRecord">
    <vt:lpwstr>eyJoZGlkIjoiYjZmN2Q1OGI5MjM3ZmYwYzAyOGZmODYyZjA5NDYzMTUiLCJ1c2VySWQiOiIxMTUyOTQwOTgxIn0=</vt:lpwstr>
  </property>
</Properties>
</file>