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9CB57">
      <w:pPr>
        <w:widowControl/>
        <w:autoSpaceDE w:val="0"/>
        <w:autoSpaceDN w:val="0"/>
        <w:ind w:right="-26"/>
        <w:jc w:val="center"/>
        <w:textAlignment w:val="bottom"/>
        <w:outlineLvl w:val="0"/>
        <w:rPr>
          <w:rFonts w:hint="eastAsia" w:ascii="仿宋" w:hAnsi="仿宋" w:eastAsia="仿宋" w:cs="仿宋"/>
          <w:b/>
          <w:color w:val="auto"/>
          <w:sz w:val="36"/>
          <w:szCs w:val="36"/>
        </w:rPr>
      </w:pPr>
      <w:r>
        <w:rPr>
          <w:rFonts w:hint="eastAsia" w:ascii="仿宋" w:hAnsi="仿宋" w:eastAsia="仿宋" w:cs="仿宋"/>
          <w:b/>
          <w:bCs/>
          <w:color w:val="auto"/>
          <w:kern w:val="2"/>
          <w:sz w:val="44"/>
          <w:szCs w:val="44"/>
          <w:u w:val="none"/>
          <w:lang w:val="en-US" w:eastAsia="zh-CN" w:bidi="ar-SA"/>
        </w:rPr>
        <w:t>叶城县2025年依提木孔镇核桃蛀果害虫绿色防控项目</w:t>
      </w:r>
    </w:p>
    <w:p w14:paraId="44131D6D">
      <w:pPr>
        <w:widowControl/>
        <w:autoSpaceDE w:val="0"/>
        <w:autoSpaceDN w:val="0"/>
        <w:ind w:right="-26"/>
        <w:jc w:val="center"/>
        <w:textAlignment w:val="bottom"/>
        <w:outlineLvl w:val="0"/>
        <w:rPr>
          <w:rFonts w:hint="eastAsia" w:ascii="仿宋" w:hAnsi="仿宋" w:eastAsia="仿宋" w:cs="仿宋"/>
          <w:b/>
          <w:color w:val="auto"/>
          <w:sz w:val="36"/>
          <w:szCs w:val="36"/>
        </w:rPr>
      </w:pPr>
      <w:bookmarkStart w:id="0" w:name="_Toc28"/>
      <w:bookmarkStart w:id="1" w:name="_Toc30836"/>
      <w:bookmarkStart w:id="2" w:name="_Toc10060"/>
      <w:r>
        <w:rPr>
          <w:rFonts w:hint="eastAsia" w:ascii="仿宋" w:hAnsi="仿宋" w:eastAsia="仿宋" w:cs="仿宋"/>
          <w:b/>
          <w:color w:val="auto"/>
          <w:sz w:val="36"/>
          <w:szCs w:val="36"/>
        </w:rPr>
        <w:t>项目编号：</w:t>
      </w:r>
      <w:bookmarkEnd w:id="0"/>
      <w:bookmarkEnd w:id="1"/>
      <w:bookmarkEnd w:id="2"/>
      <w:r>
        <w:rPr>
          <w:rFonts w:hint="eastAsia" w:ascii="仿宋" w:hAnsi="仿宋" w:eastAsia="仿宋" w:cs="仿宋"/>
          <w:b/>
          <w:color w:val="auto"/>
          <w:sz w:val="36"/>
          <w:szCs w:val="36"/>
          <w:lang w:val="en-US" w:eastAsia="zh-CN"/>
        </w:rPr>
        <w:t>XRT-YC（GK）-2025-009</w:t>
      </w:r>
    </w:p>
    <w:p w14:paraId="2285A5AE">
      <w:pPr>
        <w:widowControl/>
        <w:autoSpaceDE w:val="0"/>
        <w:autoSpaceDN w:val="0"/>
        <w:ind w:right="-26"/>
        <w:jc w:val="center"/>
        <w:textAlignment w:val="bottom"/>
        <w:rPr>
          <w:rFonts w:hint="eastAsia" w:ascii="仿宋" w:hAnsi="仿宋" w:eastAsia="仿宋" w:cs="仿宋"/>
          <w:b/>
          <w:color w:val="auto"/>
          <w:sz w:val="36"/>
          <w:szCs w:val="36"/>
        </w:rPr>
      </w:pPr>
    </w:p>
    <w:p w14:paraId="66962F3C">
      <w:pPr>
        <w:widowControl/>
        <w:autoSpaceDE w:val="0"/>
        <w:autoSpaceDN w:val="0"/>
        <w:ind w:right="-26"/>
        <w:textAlignment w:val="bottom"/>
        <w:rPr>
          <w:rFonts w:hint="eastAsia" w:ascii="仿宋" w:hAnsi="仿宋" w:eastAsia="仿宋" w:cs="仿宋"/>
          <w:b/>
          <w:color w:val="auto"/>
          <w:sz w:val="36"/>
          <w:szCs w:val="36"/>
        </w:rPr>
      </w:pPr>
    </w:p>
    <w:p w14:paraId="5A7B3745">
      <w:pPr>
        <w:widowControl/>
        <w:autoSpaceDE w:val="0"/>
        <w:autoSpaceDN w:val="0"/>
        <w:ind w:right="-26"/>
        <w:jc w:val="center"/>
        <w:textAlignment w:val="bottom"/>
        <w:outlineLvl w:val="9"/>
        <w:rPr>
          <w:rFonts w:hint="eastAsia" w:ascii="仿宋" w:hAnsi="仿宋" w:eastAsia="仿宋" w:cs="仿宋"/>
          <w:b/>
          <w:color w:val="auto"/>
          <w:sz w:val="72"/>
          <w:szCs w:val="72"/>
          <w:lang w:val="en-US" w:eastAsia="zh-CN"/>
        </w:rPr>
      </w:pPr>
      <w:bookmarkStart w:id="3" w:name="_Toc15604"/>
      <w:bookmarkStart w:id="4" w:name="_Toc12057"/>
      <w:bookmarkStart w:id="5" w:name="_Toc10596"/>
    </w:p>
    <w:p w14:paraId="24E33E95">
      <w:pPr>
        <w:widowControl/>
        <w:autoSpaceDE w:val="0"/>
        <w:autoSpaceDN w:val="0"/>
        <w:ind w:right="-26"/>
        <w:jc w:val="center"/>
        <w:textAlignment w:val="bottom"/>
        <w:outlineLvl w:val="0"/>
        <w:rPr>
          <w:rFonts w:hint="eastAsia" w:ascii="仿宋" w:hAnsi="仿宋" w:eastAsia="仿宋" w:cs="仿宋"/>
          <w:b/>
          <w:color w:val="auto"/>
          <w:sz w:val="72"/>
          <w:szCs w:val="72"/>
          <w:lang w:val="en-US" w:eastAsia="zh-CN"/>
        </w:rPr>
      </w:pPr>
      <w:bookmarkStart w:id="6" w:name="_Toc19975"/>
      <w:bookmarkStart w:id="7" w:name="_Toc23088"/>
      <w:bookmarkStart w:id="8" w:name="_Toc26764"/>
      <w:r>
        <w:rPr>
          <w:rFonts w:hint="eastAsia" w:ascii="仿宋" w:hAnsi="仿宋" w:eastAsia="仿宋" w:cs="仿宋"/>
          <w:b/>
          <w:color w:val="auto"/>
          <w:sz w:val="72"/>
          <w:szCs w:val="72"/>
          <w:lang w:val="en-US" w:eastAsia="zh-CN"/>
        </w:rPr>
        <w:t>公开</w:t>
      </w:r>
      <w:bookmarkEnd w:id="6"/>
      <w:bookmarkEnd w:id="7"/>
      <w:bookmarkEnd w:id="8"/>
    </w:p>
    <w:p w14:paraId="5F4A6BAD">
      <w:pPr>
        <w:widowControl/>
        <w:autoSpaceDE w:val="0"/>
        <w:autoSpaceDN w:val="0"/>
        <w:ind w:right="-26"/>
        <w:jc w:val="center"/>
        <w:textAlignment w:val="bottom"/>
        <w:outlineLvl w:val="0"/>
        <w:rPr>
          <w:rFonts w:hint="eastAsia" w:ascii="仿宋" w:hAnsi="仿宋" w:eastAsia="仿宋" w:cs="仿宋"/>
          <w:b/>
          <w:color w:val="auto"/>
          <w:sz w:val="72"/>
          <w:szCs w:val="72"/>
          <w:lang w:val="en-US" w:eastAsia="zh-CN"/>
        </w:rPr>
      </w:pPr>
      <w:bookmarkStart w:id="9" w:name="_Toc25173"/>
      <w:bookmarkStart w:id="10" w:name="_Toc28327"/>
      <w:bookmarkStart w:id="11" w:name="_Toc19901"/>
      <w:r>
        <w:rPr>
          <w:rFonts w:hint="eastAsia" w:ascii="仿宋" w:hAnsi="仿宋" w:eastAsia="仿宋" w:cs="仿宋"/>
          <w:b/>
          <w:color w:val="auto"/>
          <w:sz w:val="72"/>
          <w:szCs w:val="72"/>
          <w:lang w:val="en-US" w:eastAsia="zh-CN"/>
        </w:rPr>
        <w:t>招标</w:t>
      </w:r>
      <w:bookmarkEnd w:id="9"/>
      <w:bookmarkEnd w:id="10"/>
      <w:bookmarkEnd w:id="11"/>
    </w:p>
    <w:p w14:paraId="4FF2C441">
      <w:pPr>
        <w:widowControl/>
        <w:autoSpaceDE w:val="0"/>
        <w:autoSpaceDN w:val="0"/>
        <w:ind w:right="-26"/>
        <w:jc w:val="center"/>
        <w:textAlignment w:val="bottom"/>
        <w:outlineLvl w:val="0"/>
        <w:rPr>
          <w:rFonts w:hint="eastAsia" w:ascii="仿宋" w:hAnsi="仿宋" w:eastAsia="仿宋" w:cs="仿宋"/>
          <w:b/>
          <w:color w:val="auto"/>
          <w:sz w:val="72"/>
          <w:szCs w:val="72"/>
        </w:rPr>
      </w:pPr>
      <w:bookmarkStart w:id="12" w:name="_Toc30577"/>
      <w:bookmarkStart w:id="13" w:name="_Toc31834"/>
      <w:bookmarkStart w:id="14" w:name="_Toc16968"/>
      <w:r>
        <w:rPr>
          <w:rFonts w:hint="eastAsia" w:ascii="仿宋" w:hAnsi="仿宋" w:eastAsia="仿宋" w:cs="仿宋"/>
          <w:b/>
          <w:color w:val="auto"/>
          <w:sz w:val="72"/>
          <w:szCs w:val="72"/>
        </w:rPr>
        <w:t>文</w:t>
      </w:r>
      <w:bookmarkEnd w:id="3"/>
      <w:bookmarkEnd w:id="4"/>
      <w:bookmarkEnd w:id="5"/>
      <w:bookmarkStart w:id="15" w:name="_Toc5194"/>
      <w:bookmarkStart w:id="16" w:name="_Toc15502"/>
      <w:bookmarkStart w:id="17" w:name="_Toc5795"/>
      <w:r>
        <w:rPr>
          <w:rFonts w:hint="eastAsia" w:ascii="仿宋" w:hAnsi="仿宋" w:eastAsia="仿宋" w:cs="仿宋"/>
          <w:b/>
          <w:color w:val="auto"/>
          <w:sz w:val="72"/>
          <w:szCs w:val="72"/>
        </w:rPr>
        <w:t>件</w:t>
      </w:r>
      <w:bookmarkEnd w:id="12"/>
      <w:bookmarkEnd w:id="13"/>
      <w:bookmarkEnd w:id="14"/>
      <w:bookmarkEnd w:id="15"/>
      <w:bookmarkEnd w:id="16"/>
      <w:bookmarkEnd w:id="17"/>
    </w:p>
    <w:p w14:paraId="0E58B02D">
      <w:pPr>
        <w:widowControl/>
        <w:autoSpaceDE w:val="0"/>
        <w:autoSpaceDN w:val="0"/>
        <w:ind w:right="-26"/>
        <w:textAlignment w:val="bottom"/>
        <w:rPr>
          <w:rFonts w:hint="eastAsia" w:ascii="仿宋" w:hAnsi="仿宋" w:eastAsia="仿宋" w:cs="仿宋"/>
          <w:b/>
          <w:color w:val="auto"/>
          <w:sz w:val="32"/>
        </w:rPr>
      </w:pPr>
    </w:p>
    <w:p w14:paraId="314D723B">
      <w:pPr>
        <w:pStyle w:val="37"/>
        <w:ind w:firstLine="0" w:firstLineChars="0"/>
        <w:rPr>
          <w:rFonts w:hint="eastAsia" w:ascii="仿宋" w:hAnsi="仿宋" w:eastAsia="仿宋" w:cs="仿宋"/>
          <w:b/>
          <w:color w:val="auto"/>
          <w:sz w:val="32"/>
        </w:rPr>
      </w:pPr>
    </w:p>
    <w:p w14:paraId="321848DA">
      <w:pPr>
        <w:spacing w:line="360" w:lineRule="auto"/>
        <w:ind w:left="2249" w:hanging="2240" w:hangingChars="700"/>
        <w:outlineLvl w:val="9"/>
        <w:rPr>
          <w:rFonts w:hint="eastAsia" w:ascii="仿宋" w:hAnsi="仿宋" w:eastAsia="仿宋" w:cs="仿宋"/>
          <w:b/>
          <w:bCs/>
          <w:color w:val="auto"/>
          <w:sz w:val="32"/>
          <w:szCs w:val="32"/>
        </w:rPr>
      </w:pPr>
    </w:p>
    <w:p w14:paraId="081EEB7E">
      <w:pPr>
        <w:spacing w:line="700" w:lineRule="exact"/>
        <w:ind w:left="2249" w:hanging="2240" w:hangingChars="700"/>
        <w:outlineLvl w:val="0"/>
        <w:rPr>
          <w:rFonts w:hint="eastAsia" w:ascii="仿宋" w:hAnsi="仿宋" w:eastAsia="仿宋" w:cs="仿宋"/>
          <w:b/>
          <w:bCs/>
          <w:color w:val="auto"/>
          <w:sz w:val="32"/>
          <w:szCs w:val="32"/>
          <w:u w:val="single"/>
        </w:rPr>
      </w:pPr>
      <w:bookmarkStart w:id="18" w:name="_Toc6253"/>
      <w:bookmarkStart w:id="19" w:name="_Toc8445"/>
      <w:bookmarkStart w:id="20" w:name="_Toc30727"/>
      <w:r>
        <w:rPr>
          <w:rFonts w:hint="eastAsia" w:ascii="仿宋" w:hAnsi="仿宋" w:eastAsia="仿宋" w:cs="仿宋"/>
          <w:b/>
          <w:bCs/>
          <w:color w:val="auto"/>
          <w:sz w:val="32"/>
          <w:szCs w:val="32"/>
          <w:lang w:val="en-US" w:eastAsia="zh-CN"/>
        </w:rPr>
        <w:t>采   购   人</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u w:val="single"/>
        </w:rPr>
        <w:t xml:space="preserve"> </w:t>
      </w:r>
      <w:bookmarkEnd w:id="18"/>
      <w:bookmarkEnd w:id="19"/>
      <w:bookmarkEnd w:id="20"/>
      <w:r>
        <w:rPr>
          <w:rFonts w:hint="eastAsia" w:ascii="仿宋" w:hAnsi="仿宋" w:eastAsia="仿宋" w:cs="仿宋"/>
          <w:b/>
          <w:bCs/>
          <w:color w:val="auto"/>
          <w:sz w:val="32"/>
          <w:szCs w:val="32"/>
          <w:u w:val="single"/>
          <w:lang w:val="en-US" w:eastAsia="zh-CN"/>
        </w:rPr>
        <w:t>叶城县依提木孔镇人民政府</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u w:val="single"/>
        </w:rPr>
        <w:t xml:space="preserve">  </w:t>
      </w:r>
    </w:p>
    <w:p w14:paraId="072737CC">
      <w:pPr>
        <w:spacing w:line="700" w:lineRule="exact"/>
        <w:rPr>
          <w:rFonts w:hint="eastAsia" w:ascii="仿宋" w:hAnsi="仿宋" w:eastAsia="仿宋" w:cs="仿宋"/>
          <w:b/>
          <w:bCs/>
          <w:color w:val="auto"/>
          <w:sz w:val="32"/>
          <w:szCs w:val="32"/>
        </w:rPr>
      </w:pPr>
    </w:p>
    <w:p w14:paraId="775AAB03">
      <w:pPr>
        <w:spacing w:line="700" w:lineRule="exact"/>
        <w:rPr>
          <w:rFonts w:hint="eastAsia" w:ascii="仿宋" w:hAnsi="仿宋" w:eastAsia="仿宋" w:cs="仿宋"/>
          <w:b/>
          <w:bCs/>
          <w:color w:val="auto"/>
          <w:sz w:val="32"/>
          <w:szCs w:val="32"/>
          <w:u w:val="single"/>
        </w:rPr>
      </w:pPr>
      <w:r>
        <w:rPr>
          <w:rFonts w:hint="eastAsia" w:ascii="仿宋" w:hAnsi="仿宋" w:eastAsia="仿宋" w:cs="仿宋"/>
          <w:b/>
          <w:bCs/>
          <w:color w:val="auto"/>
          <w:sz w:val="32"/>
          <w:szCs w:val="32"/>
        </w:rPr>
        <w:t>采购代理机构：</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u w:val="single"/>
          <w:lang w:eastAsia="zh-CN"/>
        </w:rPr>
        <w:t>新疆新睿泰咨询有限公司</w:t>
      </w:r>
      <w:r>
        <w:rPr>
          <w:rFonts w:hint="eastAsia" w:ascii="仿宋" w:hAnsi="仿宋" w:eastAsia="仿宋" w:cs="仿宋"/>
          <w:b/>
          <w:bCs/>
          <w:color w:val="auto"/>
          <w:sz w:val="32"/>
          <w:szCs w:val="32"/>
          <w:u w:val="single"/>
        </w:rPr>
        <w:t xml:space="preserve">       </w:t>
      </w:r>
    </w:p>
    <w:p w14:paraId="6CA7AC4A">
      <w:pPr>
        <w:spacing w:line="500" w:lineRule="exact"/>
        <w:ind w:left="2236" w:hanging="2227" w:hangingChars="696"/>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                     </w:t>
      </w:r>
    </w:p>
    <w:p w14:paraId="5B11C63E">
      <w:pPr>
        <w:pStyle w:val="37"/>
        <w:ind w:firstLine="321"/>
        <w:rPr>
          <w:rFonts w:hint="eastAsia" w:ascii="仿宋" w:hAnsi="仿宋" w:eastAsia="仿宋" w:cs="仿宋"/>
          <w:color w:val="auto"/>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0"/>
        </w:sectPr>
      </w:pPr>
      <w:r>
        <w:rPr>
          <w:rFonts w:hint="eastAsia" w:ascii="仿宋" w:hAnsi="仿宋" w:eastAsia="仿宋" w:cs="仿宋"/>
          <w:b/>
          <w:bCs/>
          <w:color w:val="auto"/>
          <w:sz w:val="32"/>
          <w:szCs w:val="32"/>
        </w:rPr>
        <w:t xml:space="preserve">                            202</w:t>
      </w: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月</w:t>
      </w:r>
    </w:p>
    <w:p w14:paraId="2F3E1A77">
      <w:pPr>
        <w:pStyle w:val="33"/>
        <w:jc w:val="center"/>
        <w:outlineLvl w:val="0"/>
        <w:rPr>
          <w:rFonts w:hint="eastAsia" w:ascii="仿宋" w:hAnsi="仿宋" w:eastAsia="仿宋" w:cs="仿宋"/>
          <w:color w:val="auto"/>
          <w:highlight w:val="none"/>
        </w:rPr>
      </w:pPr>
      <w:bookmarkStart w:id="21" w:name="_Toc16736"/>
      <w:bookmarkStart w:id="22" w:name="_Toc8941"/>
      <w:bookmarkStart w:id="23" w:name="_Toc1298"/>
      <w:r>
        <w:rPr>
          <w:rFonts w:hint="eastAsia" w:ascii="仿宋" w:hAnsi="仿宋" w:eastAsia="仿宋" w:cs="仿宋"/>
          <w:b/>
          <w:color w:val="auto"/>
          <w:sz w:val="32"/>
          <w:szCs w:val="32"/>
          <w:highlight w:val="none"/>
          <w:lang w:val="en-US" w:eastAsia="zh-CN"/>
        </w:rPr>
        <w:t>采购</w:t>
      </w:r>
      <w:r>
        <w:rPr>
          <w:rFonts w:hint="eastAsia" w:ascii="仿宋" w:hAnsi="仿宋" w:eastAsia="仿宋" w:cs="仿宋"/>
          <w:b/>
          <w:color w:val="auto"/>
          <w:sz w:val="32"/>
          <w:szCs w:val="32"/>
          <w:highlight w:val="none"/>
        </w:rPr>
        <w:t>单位、代理机构对本招标文件的确认</w:t>
      </w:r>
      <w:bookmarkEnd w:id="21"/>
      <w:bookmarkEnd w:id="22"/>
      <w:bookmarkEnd w:id="23"/>
    </w:p>
    <w:tbl>
      <w:tblPr>
        <w:tblStyle w:val="3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9612"/>
      </w:tblGrid>
      <w:tr w14:paraId="4CFFEB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47" w:hRule="atLeast"/>
          <w:jc w:val="center"/>
        </w:trPr>
        <w:tc>
          <w:tcPr>
            <w:tcW w:w="961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14:paraId="51FB0164">
            <w:pPr>
              <w:widowControl/>
              <w:snapToGrid w:val="0"/>
              <w:spacing w:before="100" w:beforeAutospacing="1" w:line="360" w:lineRule="auto"/>
              <w:ind w:firstLine="560"/>
              <w:jc w:val="left"/>
              <w:rPr>
                <w:rFonts w:hint="eastAsia" w:ascii="仿宋" w:hAnsi="仿宋" w:eastAsia="仿宋" w:cs="仿宋"/>
                <w:color w:val="auto"/>
                <w:kern w:val="0"/>
                <w:sz w:val="28"/>
                <w:szCs w:val="28"/>
                <w:highlight w:val="none"/>
              </w:rPr>
            </w:pPr>
          </w:p>
          <w:p w14:paraId="4EED9EB5">
            <w:pPr>
              <w:widowControl/>
              <w:tabs>
                <w:tab w:val="right" w:pos="9095"/>
              </w:tabs>
              <w:snapToGrid w:val="0"/>
              <w:spacing w:before="100" w:beforeAutospacing="1" w:line="360" w:lineRule="auto"/>
              <w:ind w:left="0" w:leftChars="0" w:firstLine="0" w:firstLineChars="0"/>
              <w:jc w:val="left"/>
              <w:rPr>
                <w:rFonts w:hint="eastAsia" w:ascii="仿宋" w:hAnsi="仿宋" w:eastAsia="仿宋" w:cs="仿宋"/>
                <w:color w:val="auto"/>
                <w:highlight w:val="none"/>
              </w:rPr>
            </w:pPr>
            <w:r>
              <w:rPr>
                <w:rFonts w:hint="eastAsia" w:ascii="仿宋" w:hAnsi="仿宋" w:eastAsia="仿宋" w:cs="仿宋"/>
                <w:color w:val="auto"/>
                <w:kern w:val="0"/>
                <w:sz w:val="28"/>
                <w:szCs w:val="28"/>
                <w:highlight w:val="none"/>
              </w:rPr>
              <w:t>我单位对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叶城县2025年依提木孔镇核桃蛀果害虫绿色防控项目 </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lang w:val="en-US" w:eastAsia="zh-CN"/>
              </w:rPr>
              <w:t>采购</w:t>
            </w:r>
            <w:r>
              <w:rPr>
                <w:rFonts w:hint="eastAsia" w:ascii="仿宋" w:hAnsi="仿宋" w:eastAsia="仿宋" w:cs="仿宋"/>
                <w:color w:val="auto"/>
                <w:kern w:val="0"/>
                <w:sz w:val="28"/>
                <w:szCs w:val="28"/>
                <w:highlight w:val="none"/>
              </w:rPr>
              <w:t>件进行确认。</w:t>
            </w:r>
          </w:p>
          <w:p w14:paraId="15E352B2">
            <w:pPr>
              <w:widowControl/>
              <w:spacing w:after="100" w:afterAutospacing="1" w:line="700" w:lineRule="atLeast"/>
              <w:ind w:firstLine="5850" w:firstLineChars="1950"/>
              <w:jc w:val="left"/>
              <w:rPr>
                <w:rFonts w:hint="eastAsia" w:ascii="仿宋" w:hAnsi="仿宋" w:eastAsia="仿宋" w:cs="仿宋"/>
                <w:color w:val="auto"/>
                <w:kern w:val="0"/>
                <w:sz w:val="30"/>
                <w:szCs w:val="30"/>
                <w:highlight w:val="none"/>
              </w:rPr>
            </w:pPr>
          </w:p>
          <w:p w14:paraId="63F59C32">
            <w:pPr>
              <w:snapToGrid w:val="0"/>
              <w:spacing w:line="700" w:lineRule="exact"/>
              <w:ind w:left="79" w:leftChars="38" w:firstLine="2335" w:firstLineChars="834"/>
              <w:rPr>
                <w:rFonts w:hint="eastAsia" w:ascii="仿宋" w:hAnsi="仿宋" w:eastAsia="仿宋" w:cs="仿宋"/>
                <w:bCs/>
                <w:color w:val="auto"/>
                <w:sz w:val="28"/>
                <w:szCs w:val="28"/>
                <w:highlight w:val="none"/>
              </w:rPr>
            </w:pPr>
          </w:p>
          <w:p w14:paraId="1E06429F">
            <w:pPr>
              <w:pStyle w:val="13"/>
              <w:rPr>
                <w:rFonts w:hint="eastAsia" w:ascii="仿宋" w:hAnsi="仿宋" w:eastAsia="仿宋" w:cs="仿宋"/>
                <w:color w:val="auto"/>
              </w:rPr>
            </w:pPr>
            <w:r>
              <w:rPr>
                <w:rFonts w:hint="eastAsia" w:ascii="仿宋" w:hAnsi="仿宋" w:eastAsia="仿宋" w:cs="仿宋"/>
                <w:bCs/>
                <w:color w:val="auto"/>
                <w:sz w:val="28"/>
                <w:szCs w:val="28"/>
                <w:highlight w:val="none"/>
                <w:lang w:eastAsia="zh-CN"/>
              </w:rPr>
              <w:t>采购</w:t>
            </w:r>
            <w:r>
              <w:rPr>
                <w:rFonts w:hint="eastAsia" w:ascii="仿宋" w:hAnsi="仿宋" w:eastAsia="仿宋" w:cs="仿宋"/>
                <w:bCs/>
                <w:color w:val="auto"/>
                <w:sz w:val="28"/>
                <w:szCs w:val="28"/>
                <w:highlight w:val="none"/>
              </w:rPr>
              <w:t>人:</w:t>
            </w:r>
            <w:r>
              <w:rPr>
                <w:rFonts w:hint="eastAsia" w:ascii="仿宋" w:hAnsi="仿宋" w:eastAsia="仿宋" w:cs="仿宋"/>
                <w:bCs/>
                <w:color w:val="auto"/>
                <w:sz w:val="28"/>
                <w:szCs w:val="28"/>
                <w:highlight w:val="none"/>
                <w:lang w:val="en-US" w:eastAsia="zh-CN"/>
              </w:rPr>
              <w:t>叶城县依提木孔镇人民政府</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盖章</w:t>
            </w:r>
            <w:r>
              <w:rPr>
                <w:rFonts w:hint="eastAsia" w:ascii="仿宋" w:hAnsi="仿宋" w:eastAsia="仿宋" w:cs="仿宋"/>
                <w:bCs/>
                <w:color w:val="auto"/>
                <w:sz w:val="28"/>
                <w:szCs w:val="28"/>
                <w:highlight w:val="none"/>
                <w:lang w:eastAsia="zh-CN"/>
              </w:rPr>
              <w:t>）</w:t>
            </w:r>
          </w:p>
          <w:p w14:paraId="5E441CF8">
            <w:pPr>
              <w:snapToGrid w:val="0"/>
              <w:spacing w:line="700" w:lineRule="exact"/>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法定代表人或其委托代理人（签字或盖章）:</w:t>
            </w:r>
          </w:p>
          <w:p w14:paraId="225A629C">
            <w:pPr>
              <w:snapToGrid w:val="0"/>
              <w:spacing w:line="700" w:lineRule="exact"/>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联</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系</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人：</w:t>
            </w:r>
            <w:r>
              <w:rPr>
                <w:rFonts w:hint="eastAsia" w:ascii="仿宋" w:hAnsi="仿宋" w:eastAsia="仿宋" w:cs="仿宋"/>
                <w:bCs/>
                <w:color w:val="auto"/>
                <w:sz w:val="28"/>
                <w:szCs w:val="28"/>
                <w:highlight w:val="none"/>
                <w:lang w:val="en-US" w:eastAsia="zh-CN"/>
              </w:rPr>
              <w:t>冯亚军</w:t>
            </w:r>
          </w:p>
          <w:p w14:paraId="316A8822">
            <w:pPr>
              <w:snapToGrid w:val="0"/>
              <w:spacing w:line="700" w:lineRule="exact"/>
              <w:jc w:val="both"/>
              <w:rPr>
                <w:rFonts w:hint="default" w:ascii="仿宋" w:hAnsi="仿宋" w:eastAsia="仿宋" w:cs="仿宋"/>
                <w:color w:val="auto"/>
                <w:highlight w:val="none"/>
                <w:lang w:val="en-US"/>
              </w:rPr>
            </w:pPr>
            <w:r>
              <w:rPr>
                <w:rFonts w:hint="eastAsia" w:ascii="仿宋" w:hAnsi="仿宋" w:eastAsia="仿宋" w:cs="仿宋"/>
                <w:bCs/>
                <w:color w:val="auto"/>
                <w:sz w:val="28"/>
                <w:szCs w:val="28"/>
                <w:highlight w:val="none"/>
              </w:rPr>
              <w:t>联</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系</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电</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话</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17899274569</w:t>
            </w:r>
          </w:p>
        </w:tc>
      </w:tr>
      <w:tr w14:paraId="7CABF2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60" w:hRule="atLeast"/>
          <w:jc w:val="center"/>
        </w:trPr>
        <w:tc>
          <w:tcPr>
            <w:tcW w:w="9612" w:type="dxa"/>
            <w:tcBorders>
              <w:top w:val="nil"/>
              <w:left w:val="single" w:color="auto" w:sz="8" w:space="0"/>
              <w:bottom w:val="single" w:color="auto" w:sz="8" w:space="0"/>
              <w:right w:val="single" w:color="auto" w:sz="8" w:space="0"/>
            </w:tcBorders>
            <w:noWrap w:val="0"/>
            <w:tcMar>
              <w:left w:w="108" w:type="dxa"/>
              <w:right w:w="108" w:type="dxa"/>
            </w:tcMar>
            <w:vAlign w:val="top"/>
          </w:tcPr>
          <w:p w14:paraId="578BB0D2">
            <w:pPr>
              <w:widowControl/>
              <w:spacing w:before="100" w:beforeAutospacing="1" w:line="560" w:lineRule="atLeast"/>
              <w:jc w:val="left"/>
              <w:rPr>
                <w:rFonts w:hint="eastAsia" w:ascii="仿宋" w:hAnsi="仿宋" w:eastAsia="仿宋" w:cs="仿宋"/>
                <w:color w:val="auto"/>
                <w:kern w:val="0"/>
                <w:sz w:val="24"/>
                <w:highlight w:val="none"/>
              </w:rPr>
            </w:pPr>
          </w:p>
          <w:p w14:paraId="26716F52">
            <w:pPr>
              <w:widowControl/>
              <w:spacing w:line="360" w:lineRule="auto"/>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rPr>
              <w:t>招标代理机构：</w:t>
            </w:r>
            <w:r>
              <w:rPr>
                <w:rFonts w:hint="eastAsia" w:ascii="仿宋" w:hAnsi="仿宋" w:eastAsia="仿宋" w:cs="仿宋"/>
                <w:bCs/>
                <w:color w:val="auto"/>
                <w:sz w:val="28"/>
                <w:szCs w:val="28"/>
                <w:highlight w:val="none"/>
                <w:lang w:eastAsia="zh-CN"/>
              </w:rPr>
              <w:t>新疆新睿泰咨询有限公司</w:t>
            </w:r>
          </w:p>
          <w:p w14:paraId="6DC4DC61">
            <w:pPr>
              <w:widowControl/>
              <w:spacing w:line="360" w:lineRule="auto"/>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rPr>
              <w:t>经办人：</w:t>
            </w:r>
            <w:r>
              <w:rPr>
                <w:rFonts w:hint="eastAsia" w:ascii="仿宋" w:hAnsi="仿宋" w:eastAsia="仿宋" w:cs="仿宋"/>
                <w:color w:val="auto"/>
                <w:kern w:val="0"/>
                <w:sz w:val="30"/>
                <w:szCs w:val="30"/>
                <w:highlight w:val="none"/>
                <w:lang w:val="en-US" w:eastAsia="zh-CN"/>
              </w:rPr>
              <w:t>赵瑞丽</w:t>
            </w:r>
          </w:p>
          <w:p w14:paraId="09C92EFF">
            <w:pPr>
              <w:widowControl/>
              <w:spacing w:line="360" w:lineRule="auto"/>
              <w:jc w:val="left"/>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rPr>
              <w:t>联系电话：</w:t>
            </w:r>
            <w:r>
              <w:rPr>
                <w:rFonts w:hint="eastAsia" w:ascii="仿宋" w:hAnsi="仿宋" w:eastAsia="仿宋" w:cs="仿宋"/>
                <w:color w:val="auto"/>
                <w:kern w:val="0"/>
                <w:sz w:val="30"/>
                <w:szCs w:val="30"/>
                <w:highlight w:val="none"/>
                <w:lang w:val="en-US" w:eastAsia="zh-CN"/>
              </w:rPr>
              <w:t>19039902669</w:t>
            </w:r>
          </w:p>
          <w:p w14:paraId="7C028644">
            <w:pPr>
              <w:snapToGrid w:val="0"/>
              <w:spacing w:line="312" w:lineRule="auto"/>
              <w:ind w:firstLine="560" w:firstLineChars="200"/>
              <w:rPr>
                <w:rFonts w:hint="eastAsia" w:ascii="仿宋" w:hAnsi="仿宋" w:eastAsia="仿宋" w:cs="仿宋"/>
                <w:color w:val="auto"/>
                <w:sz w:val="28"/>
                <w:szCs w:val="28"/>
                <w:highlight w:val="none"/>
              </w:rPr>
            </w:pPr>
          </w:p>
          <w:p w14:paraId="7FFC3031">
            <w:pPr>
              <w:widowControl/>
              <w:spacing w:after="100" w:afterAutospacing="1" w:line="560" w:lineRule="atLeast"/>
              <w:ind w:left="5384" w:leftChars="2564" w:firstLine="450" w:firstLineChars="15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（单位盖章）</w:t>
            </w:r>
          </w:p>
          <w:p w14:paraId="13ED3841">
            <w:pPr>
              <w:widowControl/>
              <w:tabs>
                <w:tab w:val="left" w:pos="5455"/>
              </w:tabs>
              <w:spacing w:before="100" w:beforeAutospacing="1" w:after="100" w:afterAutospacing="1" w:line="700" w:lineRule="atLeast"/>
              <w:ind w:firstLine="4200" w:firstLineChars="2000"/>
              <w:jc w:val="left"/>
              <w:rPr>
                <w:rFonts w:hint="eastAsia" w:ascii="仿宋" w:hAnsi="仿宋" w:eastAsia="仿宋" w:cs="仿宋"/>
                <w:color w:val="auto"/>
                <w:highlight w:val="none"/>
              </w:rPr>
            </w:pPr>
          </w:p>
        </w:tc>
      </w:tr>
    </w:tbl>
    <w:p w14:paraId="3A5F8224">
      <w:pPr>
        <w:rPr>
          <w:rFonts w:hint="default"/>
          <w:color w:val="auto"/>
          <w:lang w:val="en-US"/>
        </w:rPr>
        <w:sectPr>
          <w:footerReference r:id="rId5" w:type="default"/>
          <w:pgSz w:w="11906" w:h="16838"/>
          <w:pgMar w:top="1440" w:right="1797" w:bottom="1440" w:left="1797" w:header="851" w:footer="992" w:gutter="0"/>
          <w:pgNumType w:fmt="decimal" w:start="1"/>
          <w:cols w:space="720" w:num="1"/>
          <w:docGrid w:type="linesAndChars" w:linePitch="312" w:charSpace="0"/>
        </w:sectPr>
      </w:pPr>
    </w:p>
    <w:p w14:paraId="074C7F7B">
      <w:pPr>
        <w:pStyle w:val="4"/>
        <w:pageBreakBefore w:val="0"/>
        <w:widowControl w:val="0"/>
        <w:tabs>
          <w:tab w:val="left" w:pos="0"/>
        </w:tabs>
        <w:kinsoku/>
        <w:wordWrap/>
        <w:overflowPunct/>
        <w:topLinePunct w:val="0"/>
        <w:bidi w:val="0"/>
        <w:snapToGrid/>
        <w:spacing w:before="0" w:after="0" w:line="480" w:lineRule="auto"/>
        <w:jc w:val="both"/>
        <w:textAlignment w:val="auto"/>
        <w:outlineLvl w:val="9"/>
        <w:rPr>
          <w:rFonts w:hint="eastAsia" w:ascii="仿宋" w:hAnsi="仿宋" w:eastAsia="仿宋" w:cs="仿宋"/>
          <w:color w:val="auto"/>
        </w:rPr>
      </w:pPr>
      <w:bookmarkStart w:id="24" w:name="_Toc22782"/>
      <w:bookmarkStart w:id="25" w:name="_Toc216582804"/>
      <w:bookmarkStart w:id="26" w:name="_Toc17230"/>
    </w:p>
    <w:sdt>
      <w:sdtPr>
        <w:rPr>
          <w:rFonts w:hint="eastAsia" w:ascii="仿宋" w:hAnsi="仿宋" w:eastAsia="仿宋" w:cs="仿宋"/>
          <w:b/>
          <w:color w:val="auto"/>
          <w:sz w:val="32"/>
          <w:lang w:val="en-US" w:eastAsia="zh-CN"/>
        </w:rPr>
        <w:id w:val="147460739"/>
        <w15:color w:val="DBDBDB"/>
        <w:docPartObj>
          <w:docPartGallery w:val="Table of Contents"/>
          <w:docPartUnique/>
        </w:docPartObj>
      </w:sdtPr>
      <w:sdtEndPr>
        <w:rPr>
          <w:rFonts w:hint="eastAsia" w:ascii="仿宋" w:hAnsi="仿宋" w:eastAsia="仿宋" w:cs="仿宋"/>
          <w:b/>
          <w:color w:val="auto"/>
          <w:kern w:val="44"/>
          <w:sz w:val="32"/>
          <w:szCs w:val="20"/>
          <w:lang w:val="en-US" w:eastAsia="zh-CN" w:bidi="ar-SA"/>
        </w:rPr>
      </w:sdtEndPr>
      <w:sdtContent>
        <w:p w14:paraId="6B528274">
          <w:pPr>
            <w:spacing w:line="240" w:lineRule="atLeast"/>
            <w:jc w:val="center"/>
            <w:rPr>
              <w:rFonts w:hint="eastAsia" w:ascii="仿宋" w:hAnsi="仿宋" w:eastAsia="仿宋" w:cs="仿宋"/>
              <w:b/>
              <w:color w:val="auto"/>
              <w:sz w:val="32"/>
            </w:rPr>
          </w:pPr>
          <w:r>
            <w:rPr>
              <w:rFonts w:hint="eastAsia" w:ascii="仿宋" w:hAnsi="仿宋" w:eastAsia="仿宋" w:cs="仿宋"/>
              <w:b/>
              <w:color w:val="auto"/>
              <w:sz w:val="32"/>
            </w:rPr>
            <w:t>目</w:t>
          </w:r>
          <w:r>
            <w:rPr>
              <w:rFonts w:hint="eastAsia" w:ascii="仿宋" w:hAnsi="仿宋" w:eastAsia="仿宋" w:cs="仿宋"/>
              <w:b/>
              <w:color w:val="auto"/>
              <w:sz w:val="32"/>
              <w:lang w:val="en-US" w:eastAsia="zh-CN"/>
            </w:rPr>
            <w:t xml:space="preserve">  </w:t>
          </w:r>
          <w:r>
            <w:rPr>
              <w:rFonts w:hint="eastAsia" w:ascii="仿宋" w:hAnsi="仿宋" w:eastAsia="仿宋" w:cs="仿宋"/>
              <w:b/>
              <w:color w:val="auto"/>
              <w:sz w:val="32"/>
            </w:rPr>
            <w:t>录</w:t>
          </w:r>
        </w:p>
        <w:p w14:paraId="7698CB7D">
          <w:pPr>
            <w:pStyle w:val="24"/>
            <w:tabs>
              <w:tab w:val="right" w:leader="dot" w:pos="8312"/>
            </w:tabs>
            <w:rPr>
              <w:rFonts w:hint="eastAsia" w:ascii="仿宋" w:hAnsi="仿宋" w:eastAsia="仿宋" w:cs="仿宋"/>
              <w:b/>
              <w:color w:val="auto"/>
              <w:kern w:val="2"/>
              <w:sz w:val="28"/>
              <w:szCs w:val="22"/>
              <w:lang w:val="en-US" w:eastAsia="zh-CN" w:bidi="ar-SA"/>
            </w:rPr>
          </w:pPr>
          <w:r>
            <w:rPr>
              <w:rFonts w:hint="eastAsia" w:ascii="仿宋" w:hAnsi="仿宋" w:eastAsia="仿宋" w:cs="仿宋"/>
              <w:b/>
              <w:color w:val="auto"/>
              <w:kern w:val="2"/>
              <w:sz w:val="28"/>
              <w:szCs w:val="22"/>
              <w:lang w:val="en-US" w:eastAsia="zh-CN" w:bidi="ar-SA"/>
            </w:rPr>
            <w:fldChar w:fldCharType="begin"/>
          </w:r>
          <w:r>
            <w:rPr>
              <w:rFonts w:hint="eastAsia" w:ascii="仿宋" w:hAnsi="仿宋" w:eastAsia="仿宋" w:cs="仿宋"/>
              <w:b/>
              <w:color w:val="auto"/>
              <w:kern w:val="2"/>
              <w:sz w:val="28"/>
              <w:szCs w:val="22"/>
              <w:lang w:val="en-US" w:eastAsia="zh-CN" w:bidi="ar-SA"/>
            </w:rPr>
            <w:instrText xml:space="preserve">TOC \o "1-1" \h \u </w:instrText>
          </w:r>
          <w:r>
            <w:rPr>
              <w:rFonts w:hint="eastAsia" w:ascii="仿宋" w:hAnsi="仿宋" w:eastAsia="仿宋" w:cs="仿宋"/>
              <w:b/>
              <w:color w:val="auto"/>
              <w:kern w:val="2"/>
              <w:sz w:val="28"/>
              <w:szCs w:val="22"/>
              <w:lang w:val="en-US" w:eastAsia="zh-CN" w:bidi="ar-SA"/>
            </w:rPr>
            <w:fldChar w:fldCharType="separate"/>
          </w:r>
          <w:r>
            <w:rPr>
              <w:rFonts w:hint="eastAsia" w:ascii="仿宋" w:hAnsi="仿宋" w:eastAsia="仿宋" w:cs="仿宋"/>
              <w:b/>
              <w:color w:val="auto"/>
              <w:kern w:val="2"/>
              <w:sz w:val="28"/>
              <w:szCs w:val="22"/>
              <w:lang w:val="en-US" w:eastAsia="zh-CN" w:bidi="ar-SA"/>
            </w:rPr>
            <w:fldChar w:fldCharType="begin"/>
          </w:r>
          <w:r>
            <w:rPr>
              <w:rFonts w:hint="eastAsia" w:ascii="仿宋" w:hAnsi="仿宋" w:eastAsia="仿宋" w:cs="仿宋"/>
              <w:b/>
              <w:color w:val="auto"/>
              <w:kern w:val="2"/>
              <w:sz w:val="28"/>
              <w:szCs w:val="22"/>
              <w:lang w:val="en-US" w:eastAsia="zh-CN" w:bidi="ar-SA"/>
            </w:rPr>
            <w:instrText xml:space="preserve"> HYPERLINK \l _Toc10478 </w:instrText>
          </w:r>
          <w:r>
            <w:rPr>
              <w:rFonts w:hint="eastAsia" w:ascii="仿宋" w:hAnsi="仿宋" w:eastAsia="仿宋" w:cs="仿宋"/>
              <w:b/>
              <w:color w:val="auto"/>
              <w:kern w:val="2"/>
              <w:sz w:val="28"/>
              <w:szCs w:val="22"/>
              <w:lang w:val="en-US" w:eastAsia="zh-CN" w:bidi="ar-SA"/>
            </w:rPr>
            <w:fldChar w:fldCharType="separate"/>
          </w:r>
          <w:r>
            <w:rPr>
              <w:rFonts w:hint="eastAsia" w:ascii="仿宋" w:hAnsi="仿宋" w:eastAsia="仿宋" w:cs="仿宋"/>
              <w:b/>
              <w:color w:val="auto"/>
              <w:kern w:val="2"/>
              <w:sz w:val="28"/>
              <w:szCs w:val="22"/>
              <w:lang w:val="en-US" w:eastAsia="zh-CN" w:bidi="ar-SA"/>
            </w:rPr>
            <w:t>第一章 投标人须知</w:t>
          </w:r>
          <w:r>
            <w:rPr>
              <w:rFonts w:hint="eastAsia" w:ascii="仿宋" w:hAnsi="仿宋" w:eastAsia="仿宋" w:cs="仿宋"/>
              <w:b/>
              <w:color w:val="auto"/>
              <w:kern w:val="2"/>
              <w:sz w:val="28"/>
              <w:szCs w:val="22"/>
              <w:lang w:val="en-US" w:eastAsia="zh-CN" w:bidi="ar-SA"/>
            </w:rPr>
            <w:tab/>
          </w:r>
          <w:r>
            <w:rPr>
              <w:rFonts w:hint="eastAsia" w:ascii="仿宋" w:hAnsi="仿宋" w:eastAsia="仿宋" w:cs="仿宋"/>
              <w:b/>
              <w:color w:val="auto"/>
              <w:kern w:val="2"/>
              <w:sz w:val="28"/>
              <w:szCs w:val="22"/>
              <w:lang w:val="en-US" w:eastAsia="zh-CN" w:bidi="ar-SA"/>
            </w:rPr>
            <w:fldChar w:fldCharType="begin"/>
          </w:r>
          <w:r>
            <w:rPr>
              <w:rFonts w:hint="eastAsia" w:ascii="仿宋" w:hAnsi="仿宋" w:eastAsia="仿宋" w:cs="仿宋"/>
              <w:b/>
              <w:color w:val="auto"/>
              <w:kern w:val="2"/>
              <w:sz w:val="28"/>
              <w:szCs w:val="22"/>
              <w:lang w:val="en-US" w:eastAsia="zh-CN" w:bidi="ar-SA"/>
            </w:rPr>
            <w:instrText xml:space="preserve"> PAGEREF _Toc10478 \h </w:instrText>
          </w:r>
          <w:r>
            <w:rPr>
              <w:rFonts w:hint="eastAsia" w:ascii="仿宋" w:hAnsi="仿宋" w:eastAsia="仿宋" w:cs="仿宋"/>
              <w:b/>
              <w:color w:val="auto"/>
              <w:kern w:val="2"/>
              <w:sz w:val="28"/>
              <w:szCs w:val="22"/>
              <w:lang w:val="en-US" w:eastAsia="zh-CN" w:bidi="ar-SA"/>
            </w:rPr>
            <w:fldChar w:fldCharType="separate"/>
          </w:r>
          <w:r>
            <w:rPr>
              <w:rFonts w:hint="eastAsia" w:ascii="仿宋" w:hAnsi="仿宋" w:eastAsia="仿宋" w:cs="仿宋"/>
              <w:b/>
              <w:color w:val="auto"/>
              <w:kern w:val="2"/>
              <w:sz w:val="28"/>
              <w:szCs w:val="22"/>
              <w:lang w:val="en-US" w:eastAsia="zh-CN" w:bidi="ar-SA"/>
            </w:rPr>
            <w:t>1</w:t>
          </w:r>
          <w:r>
            <w:rPr>
              <w:rFonts w:hint="eastAsia" w:ascii="仿宋" w:hAnsi="仿宋" w:eastAsia="仿宋" w:cs="仿宋"/>
              <w:b/>
              <w:color w:val="auto"/>
              <w:kern w:val="2"/>
              <w:sz w:val="28"/>
              <w:szCs w:val="22"/>
              <w:lang w:val="en-US" w:eastAsia="zh-CN" w:bidi="ar-SA"/>
            </w:rPr>
            <w:fldChar w:fldCharType="end"/>
          </w:r>
          <w:r>
            <w:rPr>
              <w:rFonts w:hint="eastAsia" w:ascii="仿宋" w:hAnsi="仿宋" w:eastAsia="仿宋" w:cs="仿宋"/>
              <w:b/>
              <w:color w:val="auto"/>
              <w:kern w:val="2"/>
              <w:sz w:val="28"/>
              <w:szCs w:val="22"/>
              <w:lang w:val="en-US" w:eastAsia="zh-CN" w:bidi="ar-SA"/>
            </w:rPr>
            <w:fldChar w:fldCharType="end"/>
          </w:r>
        </w:p>
        <w:p w14:paraId="6B099A84">
          <w:pPr>
            <w:pStyle w:val="24"/>
            <w:tabs>
              <w:tab w:val="right" w:leader="dot" w:pos="8312"/>
            </w:tabs>
            <w:rPr>
              <w:rFonts w:hint="eastAsia" w:ascii="仿宋" w:hAnsi="仿宋" w:eastAsia="仿宋" w:cs="仿宋"/>
              <w:b/>
              <w:color w:val="auto"/>
              <w:kern w:val="2"/>
              <w:sz w:val="28"/>
              <w:szCs w:val="22"/>
              <w:lang w:val="en-US" w:eastAsia="zh-CN" w:bidi="ar-SA"/>
            </w:rPr>
          </w:pPr>
          <w:r>
            <w:rPr>
              <w:rFonts w:hint="eastAsia" w:ascii="仿宋" w:hAnsi="仿宋" w:eastAsia="仿宋" w:cs="仿宋"/>
              <w:b/>
              <w:color w:val="auto"/>
              <w:kern w:val="2"/>
              <w:sz w:val="28"/>
              <w:szCs w:val="22"/>
              <w:lang w:val="en-US" w:eastAsia="zh-CN" w:bidi="ar-SA"/>
            </w:rPr>
            <w:fldChar w:fldCharType="begin"/>
          </w:r>
          <w:r>
            <w:rPr>
              <w:rFonts w:hint="eastAsia" w:ascii="仿宋" w:hAnsi="仿宋" w:eastAsia="仿宋" w:cs="仿宋"/>
              <w:b/>
              <w:color w:val="auto"/>
              <w:kern w:val="2"/>
              <w:sz w:val="28"/>
              <w:szCs w:val="22"/>
              <w:lang w:val="en-US" w:eastAsia="zh-CN" w:bidi="ar-SA"/>
            </w:rPr>
            <w:instrText xml:space="preserve"> HYPERLINK \l _Toc32064 </w:instrText>
          </w:r>
          <w:r>
            <w:rPr>
              <w:rFonts w:hint="eastAsia" w:ascii="仿宋" w:hAnsi="仿宋" w:eastAsia="仿宋" w:cs="仿宋"/>
              <w:b/>
              <w:color w:val="auto"/>
              <w:kern w:val="2"/>
              <w:sz w:val="28"/>
              <w:szCs w:val="22"/>
              <w:lang w:val="en-US" w:eastAsia="zh-CN" w:bidi="ar-SA"/>
            </w:rPr>
            <w:fldChar w:fldCharType="separate"/>
          </w:r>
          <w:r>
            <w:rPr>
              <w:rFonts w:hint="eastAsia" w:ascii="仿宋" w:hAnsi="仿宋" w:eastAsia="仿宋" w:cs="仿宋"/>
              <w:b/>
              <w:color w:val="auto"/>
              <w:kern w:val="2"/>
              <w:sz w:val="28"/>
              <w:szCs w:val="22"/>
              <w:lang w:val="en-US" w:eastAsia="zh-CN" w:bidi="ar-SA"/>
            </w:rPr>
            <w:t>第二章 标文件格式</w:t>
          </w:r>
          <w:r>
            <w:rPr>
              <w:rFonts w:hint="eastAsia" w:ascii="仿宋" w:hAnsi="仿宋" w:eastAsia="仿宋" w:cs="仿宋"/>
              <w:b/>
              <w:color w:val="auto"/>
              <w:kern w:val="2"/>
              <w:sz w:val="28"/>
              <w:szCs w:val="22"/>
              <w:lang w:val="en-US" w:eastAsia="zh-CN" w:bidi="ar-SA"/>
            </w:rPr>
            <w:tab/>
          </w:r>
          <w:r>
            <w:rPr>
              <w:rFonts w:hint="eastAsia" w:ascii="仿宋" w:hAnsi="仿宋" w:eastAsia="仿宋" w:cs="仿宋"/>
              <w:b/>
              <w:color w:val="auto"/>
              <w:kern w:val="2"/>
              <w:sz w:val="28"/>
              <w:szCs w:val="22"/>
              <w:lang w:val="en-US" w:eastAsia="zh-CN" w:bidi="ar-SA"/>
            </w:rPr>
            <w:fldChar w:fldCharType="begin"/>
          </w:r>
          <w:r>
            <w:rPr>
              <w:rFonts w:hint="eastAsia" w:ascii="仿宋" w:hAnsi="仿宋" w:eastAsia="仿宋" w:cs="仿宋"/>
              <w:b/>
              <w:color w:val="auto"/>
              <w:kern w:val="2"/>
              <w:sz w:val="28"/>
              <w:szCs w:val="22"/>
              <w:lang w:val="en-US" w:eastAsia="zh-CN" w:bidi="ar-SA"/>
            </w:rPr>
            <w:instrText xml:space="preserve"> PAGEREF _Toc32064 \h </w:instrText>
          </w:r>
          <w:r>
            <w:rPr>
              <w:rFonts w:hint="eastAsia" w:ascii="仿宋" w:hAnsi="仿宋" w:eastAsia="仿宋" w:cs="仿宋"/>
              <w:b/>
              <w:color w:val="auto"/>
              <w:kern w:val="2"/>
              <w:sz w:val="28"/>
              <w:szCs w:val="22"/>
              <w:lang w:val="en-US" w:eastAsia="zh-CN" w:bidi="ar-SA"/>
            </w:rPr>
            <w:fldChar w:fldCharType="separate"/>
          </w:r>
          <w:r>
            <w:rPr>
              <w:rFonts w:hint="eastAsia" w:ascii="仿宋" w:hAnsi="仿宋" w:eastAsia="仿宋" w:cs="仿宋"/>
              <w:b/>
              <w:color w:val="auto"/>
              <w:kern w:val="2"/>
              <w:sz w:val="28"/>
              <w:szCs w:val="22"/>
              <w:lang w:val="en-US" w:eastAsia="zh-CN" w:bidi="ar-SA"/>
            </w:rPr>
            <w:t>27</w:t>
          </w:r>
          <w:r>
            <w:rPr>
              <w:rFonts w:hint="eastAsia" w:ascii="仿宋" w:hAnsi="仿宋" w:eastAsia="仿宋" w:cs="仿宋"/>
              <w:b/>
              <w:color w:val="auto"/>
              <w:kern w:val="2"/>
              <w:sz w:val="28"/>
              <w:szCs w:val="22"/>
              <w:lang w:val="en-US" w:eastAsia="zh-CN" w:bidi="ar-SA"/>
            </w:rPr>
            <w:fldChar w:fldCharType="end"/>
          </w:r>
          <w:r>
            <w:rPr>
              <w:rFonts w:hint="eastAsia" w:ascii="仿宋" w:hAnsi="仿宋" w:eastAsia="仿宋" w:cs="仿宋"/>
              <w:b/>
              <w:color w:val="auto"/>
              <w:kern w:val="2"/>
              <w:sz w:val="28"/>
              <w:szCs w:val="22"/>
              <w:lang w:val="en-US" w:eastAsia="zh-CN" w:bidi="ar-SA"/>
            </w:rPr>
            <w:fldChar w:fldCharType="end"/>
          </w:r>
        </w:p>
        <w:p w14:paraId="1B9A0257">
          <w:pPr>
            <w:pStyle w:val="24"/>
            <w:tabs>
              <w:tab w:val="right" w:leader="dot" w:pos="8312"/>
            </w:tabs>
            <w:rPr>
              <w:rFonts w:hint="eastAsia" w:ascii="仿宋" w:hAnsi="仿宋" w:eastAsia="仿宋" w:cs="仿宋"/>
              <w:b/>
              <w:color w:val="auto"/>
              <w:kern w:val="2"/>
              <w:sz w:val="28"/>
              <w:szCs w:val="22"/>
              <w:lang w:val="en-US" w:eastAsia="zh-CN" w:bidi="ar-SA"/>
            </w:rPr>
          </w:pPr>
          <w:r>
            <w:rPr>
              <w:rFonts w:hint="eastAsia" w:ascii="仿宋" w:hAnsi="仿宋" w:eastAsia="仿宋" w:cs="仿宋"/>
              <w:b/>
              <w:color w:val="auto"/>
              <w:kern w:val="2"/>
              <w:sz w:val="28"/>
              <w:szCs w:val="22"/>
              <w:lang w:val="en-US" w:eastAsia="zh-CN" w:bidi="ar-SA"/>
            </w:rPr>
            <w:fldChar w:fldCharType="begin"/>
          </w:r>
          <w:r>
            <w:rPr>
              <w:rFonts w:hint="eastAsia" w:ascii="仿宋" w:hAnsi="仿宋" w:eastAsia="仿宋" w:cs="仿宋"/>
              <w:b/>
              <w:color w:val="auto"/>
              <w:kern w:val="2"/>
              <w:sz w:val="28"/>
              <w:szCs w:val="22"/>
              <w:lang w:val="en-US" w:eastAsia="zh-CN" w:bidi="ar-SA"/>
            </w:rPr>
            <w:instrText xml:space="preserve"> HYPERLINK \l _Toc20678 </w:instrText>
          </w:r>
          <w:r>
            <w:rPr>
              <w:rFonts w:hint="eastAsia" w:ascii="仿宋" w:hAnsi="仿宋" w:eastAsia="仿宋" w:cs="仿宋"/>
              <w:b/>
              <w:color w:val="auto"/>
              <w:kern w:val="2"/>
              <w:sz w:val="28"/>
              <w:szCs w:val="22"/>
              <w:lang w:val="en-US" w:eastAsia="zh-CN" w:bidi="ar-SA"/>
            </w:rPr>
            <w:fldChar w:fldCharType="separate"/>
          </w:r>
          <w:r>
            <w:rPr>
              <w:rFonts w:hint="eastAsia" w:ascii="仿宋" w:hAnsi="仿宋" w:eastAsia="仿宋" w:cs="仿宋"/>
              <w:b/>
              <w:color w:val="auto"/>
              <w:kern w:val="2"/>
              <w:sz w:val="28"/>
              <w:szCs w:val="22"/>
              <w:lang w:val="en-US" w:eastAsia="zh-CN" w:bidi="ar-SA"/>
            </w:rPr>
            <w:t>第三章 招标公告</w:t>
          </w:r>
          <w:r>
            <w:rPr>
              <w:rFonts w:hint="eastAsia" w:ascii="仿宋" w:hAnsi="仿宋" w:eastAsia="仿宋" w:cs="仿宋"/>
              <w:b/>
              <w:color w:val="auto"/>
              <w:kern w:val="2"/>
              <w:sz w:val="28"/>
              <w:szCs w:val="22"/>
              <w:lang w:val="en-US" w:eastAsia="zh-CN" w:bidi="ar-SA"/>
            </w:rPr>
            <w:tab/>
          </w:r>
          <w:r>
            <w:rPr>
              <w:rFonts w:hint="eastAsia" w:ascii="仿宋" w:hAnsi="仿宋" w:eastAsia="仿宋" w:cs="仿宋"/>
              <w:b/>
              <w:color w:val="auto"/>
              <w:kern w:val="2"/>
              <w:sz w:val="28"/>
              <w:szCs w:val="22"/>
              <w:lang w:val="en-US" w:eastAsia="zh-CN" w:bidi="ar-SA"/>
            </w:rPr>
            <w:fldChar w:fldCharType="begin"/>
          </w:r>
          <w:r>
            <w:rPr>
              <w:rFonts w:hint="eastAsia" w:ascii="仿宋" w:hAnsi="仿宋" w:eastAsia="仿宋" w:cs="仿宋"/>
              <w:b/>
              <w:color w:val="auto"/>
              <w:kern w:val="2"/>
              <w:sz w:val="28"/>
              <w:szCs w:val="22"/>
              <w:lang w:val="en-US" w:eastAsia="zh-CN" w:bidi="ar-SA"/>
            </w:rPr>
            <w:instrText xml:space="preserve"> PAGEREF _Toc20678 \h </w:instrText>
          </w:r>
          <w:r>
            <w:rPr>
              <w:rFonts w:hint="eastAsia" w:ascii="仿宋" w:hAnsi="仿宋" w:eastAsia="仿宋" w:cs="仿宋"/>
              <w:b/>
              <w:color w:val="auto"/>
              <w:kern w:val="2"/>
              <w:sz w:val="28"/>
              <w:szCs w:val="22"/>
              <w:lang w:val="en-US" w:eastAsia="zh-CN" w:bidi="ar-SA"/>
            </w:rPr>
            <w:fldChar w:fldCharType="separate"/>
          </w:r>
          <w:r>
            <w:rPr>
              <w:rFonts w:hint="eastAsia" w:ascii="仿宋" w:hAnsi="仿宋" w:eastAsia="仿宋" w:cs="仿宋"/>
              <w:b/>
              <w:color w:val="auto"/>
              <w:kern w:val="2"/>
              <w:sz w:val="28"/>
              <w:szCs w:val="22"/>
              <w:lang w:val="en-US" w:eastAsia="zh-CN" w:bidi="ar-SA"/>
            </w:rPr>
            <w:t>51</w:t>
          </w:r>
          <w:r>
            <w:rPr>
              <w:rFonts w:hint="eastAsia" w:ascii="仿宋" w:hAnsi="仿宋" w:eastAsia="仿宋" w:cs="仿宋"/>
              <w:b/>
              <w:color w:val="auto"/>
              <w:kern w:val="2"/>
              <w:sz w:val="28"/>
              <w:szCs w:val="22"/>
              <w:lang w:val="en-US" w:eastAsia="zh-CN" w:bidi="ar-SA"/>
            </w:rPr>
            <w:fldChar w:fldCharType="end"/>
          </w:r>
          <w:r>
            <w:rPr>
              <w:rFonts w:hint="eastAsia" w:ascii="仿宋" w:hAnsi="仿宋" w:eastAsia="仿宋" w:cs="仿宋"/>
              <w:b/>
              <w:color w:val="auto"/>
              <w:kern w:val="2"/>
              <w:sz w:val="28"/>
              <w:szCs w:val="22"/>
              <w:lang w:val="en-US" w:eastAsia="zh-CN" w:bidi="ar-SA"/>
            </w:rPr>
            <w:fldChar w:fldCharType="end"/>
          </w:r>
        </w:p>
        <w:p w14:paraId="230620FB">
          <w:pPr>
            <w:pStyle w:val="24"/>
            <w:tabs>
              <w:tab w:val="right" w:leader="dot" w:pos="8312"/>
            </w:tabs>
            <w:rPr>
              <w:rFonts w:hint="eastAsia" w:ascii="仿宋" w:hAnsi="仿宋" w:eastAsia="仿宋" w:cs="仿宋"/>
              <w:b/>
              <w:color w:val="auto"/>
              <w:kern w:val="2"/>
              <w:sz w:val="28"/>
              <w:szCs w:val="22"/>
              <w:lang w:val="en-US" w:eastAsia="zh-CN" w:bidi="ar-SA"/>
            </w:rPr>
          </w:pPr>
          <w:r>
            <w:rPr>
              <w:rFonts w:hint="eastAsia" w:ascii="仿宋" w:hAnsi="仿宋" w:eastAsia="仿宋" w:cs="仿宋"/>
              <w:b/>
              <w:color w:val="auto"/>
              <w:kern w:val="2"/>
              <w:sz w:val="28"/>
              <w:szCs w:val="22"/>
              <w:lang w:val="en-US" w:eastAsia="zh-CN" w:bidi="ar-SA"/>
            </w:rPr>
            <w:fldChar w:fldCharType="begin"/>
          </w:r>
          <w:r>
            <w:rPr>
              <w:rFonts w:hint="eastAsia" w:ascii="仿宋" w:hAnsi="仿宋" w:eastAsia="仿宋" w:cs="仿宋"/>
              <w:b/>
              <w:color w:val="auto"/>
              <w:kern w:val="2"/>
              <w:sz w:val="28"/>
              <w:szCs w:val="22"/>
              <w:lang w:val="en-US" w:eastAsia="zh-CN" w:bidi="ar-SA"/>
            </w:rPr>
            <w:instrText xml:space="preserve"> HYPERLINK \l _Toc21772 </w:instrText>
          </w:r>
          <w:r>
            <w:rPr>
              <w:rFonts w:hint="eastAsia" w:ascii="仿宋" w:hAnsi="仿宋" w:eastAsia="仿宋" w:cs="仿宋"/>
              <w:b/>
              <w:color w:val="auto"/>
              <w:kern w:val="2"/>
              <w:sz w:val="28"/>
              <w:szCs w:val="22"/>
              <w:lang w:val="en-US" w:eastAsia="zh-CN" w:bidi="ar-SA"/>
            </w:rPr>
            <w:fldChar w:fldCharType="separate"/>
          </w:r>
          <w:r>
            <w:rPr>
              <w:rFonts w:hint="eastAsia" w:ascii="仿宋" w:hAnsi="仿宋" w:eastAsia="仿宋" w:cs="仿宋"/>
              <w:b/>
              <w:color w:val="auto"/>
              <w:kern w:val="2"/>
              <w:sz w:val="28"/>
              <w:szCs w:val="22"/>
              <w:lang w:val="en-US" w:eastAsia="zh-CN" w:bidi="ar-SA"/>
            </w:rPr>
            <w:t>第四章 投标人须知资料表</w:t>
          </w:r>
          <w:r>
            <w:rPr>
              <w:rFonts w:hint="eastAsia" w:ascii="仿宋" w:hAnsi="仿宋" w:eastAsia="仿宋" w:cs="仿宋"/>
              <w:b/>
              <w:color w:val="auto"/>
              <w:kern w:val="2"/>
              <w:sz w:val="28"/>
              <w:szCs w:val="22"/>
              <w:lang w:val="en-US" w:eastAsia="zh-CN" w:bidi="ar-SA"/>
            </w:rPr>
            <w:tab/>
          </w:r>
          <w:r>
            <w:rPr>
              <w:rFonts w:hint="eastAsia" w:ascii="仿宋" w:hAnsi="仿宋" w:eastAsia="仿宋" w:cs="仿宋"/>
              <w:b/>
              <w:color w:val="auto"/>
              <w:kern w:val="2"/>
              <w:sz w:val="28"/>
              <w:szCs w:val="22"/>
              <w:lang w:val="en-US" w:eastAsia="zh-CN" w:bidi="ar-SA"/>
            </w:rPr>
            <w:fldChar w:fldCharType="begin"/>
          </w:r>
          <w:r>
            <w:rPr>
              <w:rFonts w:hint="eastAsia" w:ascii="仿宋" w:hAnsi="仿宋" w:eastAsia="仿宋" w:cs="仿宋"/>
              <w:b/>
              <w:color w:val="auto"/>
              <w:kern w:val="2"/>
              <w:sz w:val="28"/>
              <w:szCs w:val="22"/>
              <w:lang w:val="en-US" w:eastAsia="zh-CN" w:bidi="ar-SA"/>
            </w:rPr>
            <w:instrText xml:space="preserve"> PAGEREF _Toc21772 \h </w:instrText>
          </w:r>
          <w:r>
            <w:rPr>
              <w:rFonts w:hint="eastAsia" w:ascii="仿宋" w:hAnsi="仿宋" w:eastAsia="仿宋" w:cs="仿宋"/>
              <w:b/>
              <w:color w:val="auto"/>
              <w:kern w:val="2"/>
              <w:sz w:val="28"/>
              <w:szCs w:val="22"/>
              <w:lang w:val="en-US" w:eastAsia="zh-CN" w:bidi="ar-SA"/>
            </w:rPr>
            <w:fldChar w:fldCharType="separate"/>
          </w:r>
          <w:r>
            <w:rPr>
              <w:rFonts w:hint="eastAsia" w:ascii="仿宋" w:hAnsi="仿宋" w:eastAsia="仿宋" w:cs="仿宋"/>
              <w:b/>
              <w:color w:val="auto"/>
              <w:kern w:val="2"/>
              <w:sz w:val="28"/>
              <w:szCs w:val="22"/>
              <w:lang w:val="en-US" w:eastAsia="zh-CN" w:bidi="ar-SA"/>
            </w:rPr>
            <w:t>55</w:t>
          </w:r>
          <w:r>
            <w:rPr>
              <w:rFonts w:hint="eastAsia" w:ascii="仿宋" w:hAnsi="仿宋" w:eastAsia="仿宋" w:cs="仿宋"/>
              <w:b/>
              <w:color w:val="auto"/>
              <w:kern w:val="2"/>
              <w:sz w:val="28"/>
              <w:szCs w:val="22"/>
              <w:lang w:val="en-US" w:eastAsia="zh-CN" w:bidi="ar-SA"/>
            </w:rPr>
            <w:fldChar w:fldCharType="end"/>
          </w:r>
          <w:r>
            <w:rPr>
              <w:rFonts w:hint="eastAsia" w:ascii="仿宋" w:hAnsi="仿宋" w:eastAsia="仿宋" w:cs="仿宋"/>
              <w:b/>
              <w:color w:val="auto"/>
              <w:kern w:val="2"/>
              <w:sz w:val="28"/>
              <w:szCs w:val="22"/>
              <w:lang w:val="en-US" w:eastAsia="zh-CN" w:bidi="ar-SA"/>
            </w:rPr>
            <w:fldChar w:fldCharType="end"/>
          </w:r>
        </w:p>
        <w:p w14:paraId="71E5186B">
          <w:pPr>
            <w:pStyle w:val="24"/>
            <w:tabs>
              <w:tab w:val="right" w:leader="dot" w:pos="8312"/>
            </w:tabs>
            <w:rPr>
              <w:rFonts w:hint="eastAsia" w:ascii="仿宋" w:hAnsi="仿宋" w:eastAsia="仿宋" w:cs="仿宋"/>
              <w:b/>
              <w:color w:val="auto"/>
              <w:kern w:val="2"/>
              <w:sz w:val="28"/>
              <w:szCs w:val="22"/>
              <w:lang w:val="en-US" w:eastAsia="zh-CN" w:bidi="ar-SA"/>
            </w:rPr>
          </w:pPr>
          <w:r>
            <w:rPr>
              <w:rFonts w:hint="eastAsia" w:ascii="仿宋" w:hAnsi="仿宋" w:eastAsia="仿宋" w:cs="仿宋"/>
              <w:b/>
              <w:color w:val="auto"/>
              <w:kern w:val="2"/>
              <w:sz w:val="28"/>
              <w:szCs w:val="22"/>
              <w:lang w:val="en-US" w:eastAsia="zh-CN" w:bidi="ar-SA"/>
            </w:rPr>
            <w:fldChar w:fldCharType="begin"/>
          </w:r>
          <w:r>
            <w:rPr>
              <w:rFonts w:hint="eastAsia" w:ascii="仿宋" w:hAnsi="仿宋" w:eastAsia="仿宋" w:cs="仿宋"/>
              <w:b/>
              <w:color w:val="auto"/>
              <w:kern w:val="2"/>
              <w:sz w:val="28"/>
              <w:szCs w:val="22"/>
              <w:lang w:val="en-US" w:eastAsia="zh-CN" w:bidi="ar-SA"/>
            </w:rPr>
            <w:instrText xml:space="preserve"> HYPERLINK \l _Toc13387 </w:instrText>
          </w:r>
          <w:r>
            <w:rPr>
              <w:rFonts w:hint="eastAsia" w:ascii="仿宋" w:hAnsi="仿宋" w:eastAsia="仿宋" w:cs="仿宋"/>
              <w:b/>
              <w:color w:val="auto"/>
              <w:kern w:val="2"/>
              <w:sz w:val="28"/>
              <w:szCs w:val="22"/>
              <w:lang w:val="en-US" w:eastAsia="zh-CN" w:bidi="ar-SA"/>
            </w:rPr>
            <w:fldChar w:fldCharType="separate"/>
          </w:r>
          <w:r>
            <w:rPr>
              <w:rFonts w:hint="eastAsia" w:ascii="仿宋" w:hAnsi="仿宋" w:eastAsia="仿宋" w:cs="仿宋"/>
              <w:b/>
              <w:color w:val="auto"/>
              <w:kern w:val="2"/>
              <w:sz w:val="28"/>
              <w:szCs w:val="22"/>
              <w:lang w:val="en-US" w:eastAsia="zh-CN" w:bidi="ar-SA"/>
            </w:rPr>
            <w:t>第五章 货物需求一览表</w:t>
          </w:r>
          <w:r>
            <w:rPr>
              <w:rFonts w:hint="eastAsia" w:ascii="仿宋" w:hAnsi="仿宋" w:eastAsia="仿宋" w:cs="仿宋"/>
              <w:b/>
              <w:color w:val="auto"/>
              <w:kern w:val="2"/>
              <w:sz w:val="28"/>
              <w:szCs w:val="22"/>
              <w:lang w:val="en-US" w:eastAsia="zh-CN" w:bidi="ar-SA"/>
            </w:rPr>
            <w:tab/>
          </w:r>
          <w:r>
            <w:rPr>
              <w:rFonts w:hint="eastAsia" w:ascii="仿宋" w:hAnsi="仿宋" w:eastAsia="仿宋" w:cs="仿宋"/>
              <w:b/>
              <w:color w:val="auto"/>
              <w:kern w:val="2"/>
              <w:sz w:val="28"/>
              <w:szCs w:val="22"/>
              <w:lang w:val="en-US" w:eastAsia="zh-CN" w:bidi="ar-SA"/>
            </w:rPr>
            <w:fldChar w:fldCharType="begin"/>
          </w:r>
          <w:r>
            <w:rPr>
              <w:rFonts w:hint="eastAsia" w:ascii="仿宋" w:hAnsi="仿宋" w:eastAsia="仿宋" w:cs="仿宋"/>
              <w:b/>
              <w:color w:val="auto"/>
              <w:kern w:val="2"/>
              <w:sz w:val="28"/>
              <w:szCs w:val="22"/>
              <w:lang w:val="en-US" w:eastAsia="zh-CN" w:bidi="ar-SA"/>
            </w:rPr>
            <w:instrText xml:space="preserve"> PAGEREF _Toc13387 \h </w:instrText>
          </w:r>
          <w:r>
            <w:rPr>
              <w:rFonts w:hint="eastAsia" w:ascii="仿宋" w:hAnsi="仿宋" w:eastAsia="仿宋" w:cs="仿宋"/>
              <w:b/>
              <w:color w:val="auto"/>
              <w:kern w:val="2"/>
              <w:sz w:val="28"/>
              <w:szCs w:val="22"/>
              <w:lang w:val="en-US" w:eastAsia="zh-CN" w:bidi="ar-SA"/>
            </w:rPr>
            <w:fldChar w:fldCharType="separate"/>
          </w:r>
          <w:r>
            <w:rPr>
              <w:rFonts w:hint="eastAsia" w:ascii="仿宋" w:hAnsi="仿宋" w:eastAsia="仿宋" w:cs="仿宋"/>
              <w:b/>
              <w:color w:val="auto"/>
              <w:kern w:val="2"/>
              <w:sz w:val="28"/>
              <w:szCs w:val="22"/>
              <w:lang w:val="en-US" w:eastAsia="zh-CN" w:bidi="ar-SA"/>
            </w:rPr>
            <w:t>62</w:t>
          </w:r>
          <w:r>
            <w:rPr>
              <w:rFonts w:hint="eastAsia" w:ascii="仿宋" w:hAnsi="仿宋" w:eastAsia="仿宋" w:cs="仿宋"/>
              <w:b/>
              <w:color w:val="auto"/>
              <w:kern w:val="2"/>
              <w:sz w:val="28"/>
              <w:szCs w:val="22"/>
              <w:lang w:val="en-US" w:eastAsia="zh-CN" w:bidi="ar-SA"/>
            </w:rPr>
            <w:fldChar w:fldCharType="end"/>
          </w:r>
          <w:r>
            <w:rPr>
              <w:rFonts w:hint="eastAsia" w:ascii="仿宋" w:hAnsi="仿宋" w:eastAsia="仿宋" w:cs="仿宋"/>
              <w:b/>
              <w:color w:val="auto"/>
              <w:kern w:val="2"/>
              <w:sz w:val="28"/>
              <w:szCs w:val="22"/>
              <w:lang w:val="en-US" w:eastAsia="zh-CN" w:bidi="ar-SA"/>
            </w:rPr>
            <w:fldChar w:fldCharType="end"/>
          </w:r>
        </w:p>
        <w:p w14:paraId="10D55FAE">
          <w:pPr>
            <w:pStyle w:val="24"/>
            <w:tabs>
              <w:tab w:val="right" w:leader="dot" w:pos="8312"/>
            </w:tabs>
            <w:rPr>
              <w:rFonts w:hint="eastAsia" w:ascii="仿宋" w:hAnsi="仿宋" w:eastAsia="仿宋" w:cs="仿宋"/>
              <w:b/>
              <w:color w:val="auto"/>
              <w:kern w:val="2"/>
              <w:sz w:val="28"/>
              <w:szCs w:val="22"/>
              <w:lang w:val="en-US" w:eastAsia="zh-CN" w:bidi="ar-SA"/>
            </w:rPr>
          </w:pPr>
          <w:r>
            <w:rPr>
              <w:rFonts w:hint="eastAsia" w:ascii="仿宋" w:hAnsi="仿宋" w:eastAsia="仿宋" w:cs="仿宋"/>
              <w:b/>
              <w:color w:val="auto"/>
              <w:kern w:val="2"/>
              <w:sz w:val="28"/>
              <w:szCs w:val="22"/>
              <w:lang w:val="en-US" w:eastAsia="zh-CN" w:bidi="ar-SA"/>
            </w:rPr>
            <w:fldChar w:fldCharType="begin"/>
          </w:r>
          <w:r>
            <w:rPr>
              <w:rFonts w:hint="eastAsia" w:ascii="仿宋" w:hAnsi="仿宋" w:eastAsia="仿宋" w:cs="仿宋"/>
              <w:b/>
              <w:color w:val="auto"/>
              <w:kern w:val="2"/>
              <w:sz w:val="28"/>
              <w:szCs w:val="22"/>
              <w:lang w:val="en-US" w:eastAsia="zh-CN" w:bidi="ar-SA"/>
            </w:rPr>
            <w:instrText xml:space="preserve"> HYPERLINK \l _Toc20487 </w:instrText>
          </w:r>
          <w:r>
            <w:rPr>
              <w:rFonts w:hint="eastAsia" w:ascii="仿宋" w:hAnsi="仿宋" w:eastAsia="仿宋" w:cs="仿宋"/>
              <w:b/>
              <w:color w:val="auto"/>
              <w:kern w:val="2"/>
              <w:sz w:val="28"/>
              <w:szCs w:val="22"/>
              <w:lang w:val="en-US" w:eastAsia="zh-CN" w:bidi="ar-SA"/>
            </w:rPr>
            <w:fldChar w:fldCharType="separate"/>
          </w:r>
          <w:r>
            <w:rPr>
              <w:rFonts w:hint="eastAsia" w:ascii="仿宋" w:hAnsi="仿宋" w:eastAsia="仿宋" w:cs="仿宋"/>
              <w:b/>
              <w:color w:val="auto"/>
              <w:kern w:val="2"/>
              <w:sz w:val="28"/>
              <w:szCs w:val="22"/>
              <w:lang w:val="en-US" w:eastAsia="zh-CN" w:bidi="ar-SA"/>
            </w:rPr>
            <w:t>第六章 评标方法和标准</w:t>
          </w:r>
          <w:r>
            <w:rPr>
              <w:rFonts w:hint="eastAsia" w:ascii="仿宋" w:hAnsi="仿宋" w:eastAsia="仿宋" w:cs="仿宋"/>
              <w:b/>
              <w:color w:val="auto"/>
              <w:kern w:val="2"/>
              <w:sz w:val="28"/>
              <w:szCs w:val="22"/>
              <w:lang w:val="en-US" w:eastAsia="zh-CN" w:bidi="ar-SA"/>
            </w:rPr>
            <w:tab/>
          </w:r>
          <w:r>
            <w:rPr>
              <w:rFonts w:hint="eastAsia" w:ascii="仿宋" w:hAnsi="仿宋" w:eastAsia="仿宋" w:cs="仿宋"/>
              <w:b/>
              <w:color w:val="auto"/>
              <w:kern w:val="2"/>
              <w:sz w:val="28"/>
              <w:szCs w:val="22"/>
              <w:lang w:val="en-US" w:eastAsia="zh-CN" w:bidi="ar-SA"/>
            </w:rPr>
            <w:fldChar w:fldCharType="begin"/>
          </w:r>
          <w:r>
            <w:rPr>
              <w:rFonts w:hint="eastAsia" w:ascii="仿宋" w:hAnsi="仿宋" w:eastAsia="仿宋" w:cs="仿宋"/>
              <w:b/>
              <w:color w:val="auto"/>
              <w:kern w:val="2"/>
              <w:sz w:val="28"/>
              <w:szCs w:val="22"/>
              <w:lang w:val="en-US" w:eastAsia="zh-CN" w:bidi="ar-SA"/>
            </w:rPr>
            <w:instrText xml:space="preserve"> PAGEREF _Toc20487 \h </w:instrText>
          </w:r>
          <w:r>
            <w:rPr>
              <w:rFonts w:hint="eastAsia" w:ascii="仿宋" w:hAnsi="仿宋" w:eastAsia="仿宋" w:cs="仿宋"/>
              <w:b/>
              <w:color w:val="auto"/>
              <w:kern w:val="2"/>
              <w:sz w:val="28"/>
              <w:szCs w:val="22"/>
              <w:lang w:val="en-US" w:eastAsia="zh-CN" w:bidi="ar-SA"/>
            </w:rPr>
            <w:fldChar w:fldCharType="separate"/>
          </w:r>
          <w:r>
            <w:rPr>
              <w:rFonts w:hint="eastAsia" w:ascii="仿宋" w:hAnsi="仿宋" w:eastAsia="仿宋" w:cs="仿宋"/>
              <w:b/>
              <w:color w:val="auto"/>
              <w:kern w:val="2"/>
              <w:sz w:val="28"/>
              <w:szCs w:val="22"/>
              <w:lang w:val="en-US" w:eastAsia="zh-CN" w:bidi="ar-SA"/>
            </w:rPr>
            <w:t>65</w:t>
          </w:r>
          <w:r>
            <w:rPr>
              <w:rFonts w:hint="eastAsia" w:ascii="仿宋" w:hAnsi="仿宋" w:eastAsia="仿宋" w:cs="仿宋"/>
              <w:b/>
              <w:color w:val="auto"/>
              <w:kern w:val="2"/>
              <w:sz w:val="28"/>
              <w:szCs w:val="22"/>
              <w:lang w:val="en-US" w:eastAsia="zh-CN" w:bidi="ar-SA"/>
            </w:rPr>
            <w:fldChar w:fldCharType="end"/>
          </w:r>
          <w:r>
            <w:rPr>
              <w:rFonts w:hint="eastAsia" w:ascii="仿宋" w:hAnsi="仿宋" w:eastAsia="仿宋" w:cs="仿宋"/>
              <w:b/>
              <w:color w:val="auto"/>
              <w:kern w:val="2"/>
              <w:sz w:val="28"/>
              <w:szCs w:val="22"/>
              <w:lang w:val="en-US" w:eastAsia="zh-CN" w:bidi="ar-SA"/>
            </w:rPr>
            <w:fldChar w:fldCharType="end"/>
          </w:r>
        </w:p>
        <w:p w14:paraId="6B994405">
          <w:pPr>
            <w:pStyle w:val="24"/>
            <w:tabs>
              <w:tab w:val="right" w:leader="dot" w:pos="8312"/>
            </w:tabs>
            <w:rPr>
              <w:rFonts w:hint="eastAsia" w:ascii="仿宋" w:hAnsi="仿宋" w:eastAsia="仿宋" w:cs="仿宋"/>
              <w:b/>
              <w:color w:val="auto"/>
              <w:kern w:val="2"/>
              <w:sz w:val="28"/>
              <w:szCs w:val="22"/>
              <w:lang w:val="en-US" w:eastAsia="zh-CN" w:bidi="ar-SA"/>
            </w:rPr>
          </w:pPr>
          <w:r>
            <w:rPr>
              <w:rFonts w:hint="eastAsia" w:ascii="仿宋" w:hAnsi="仿宋" w:eastAsia="仿宋" w:cs="仿宋"/>
              <w:b/>
              <w:color w:val="auto"/>
              <w:kern w:val="2"/>
              <w:sz w:val="28"/>
              <w:szCs w:val="22"/>
              <w:lang w:val="en-US" w:eastAsia="zh-CN" w:bidi="ar-SA"/>
            </w:rPr>
            <w:fldChar w:fldCharType="begin"/>
          </w:r>
          <w:r>
            <w:rPr>
              <w:rFonts w:hint="eastAsia" w:ascii="仿宋" w:hAnsi="仿宋" w:eastAsia="仿宋" w:cs="仿宋"/>
              <w:b/>
              <w:color w:val="auto"/>
              <w:kern w:val="2"/>
              <w:sz w:val="28"/>
              <w:szCs w:val="22"/>
              <w:lang w:val="en-US" w:eastAsia="zh-CN" w:bidi="ar-SA"/>
            </w:rPr>
            <w:instrText xml:space="preserve"> HYPERLINK \l _Toc20515 </w:instrText>
          </w:r>
          <w:r>
            <w:rPr>
              <w:rFonts w:hint="eastAsia" w:ascii="仿宋" w:hAnsi="仿宋" w:eastAsia="仿宋" w:cs="仿宋"/>
              <w:b/>
              <w:color w:val="auto"/>
              <w:kern w:val="2"/>
              <w:sz w:val="28"/>
              <w:szCs w:val="22"/>
              <w:lang w:val="en-US" w:eastAsia="zh-CN" w:bidi="ar-SA"/>
            </w:rPr>
            <w:fldChar w:fldCharType="separate"/>
          </w:r>
          <w:r>
            <w:rPr>
              <w:rFonts w:hint="eastAsia" w:ascii="仿宋" w:hAnsi="仿宋" w:eastAsia="仿宋" w:cs="仿宋"/>
              <w:b/>
              <w:color w:val="auto"/>
              <w:kern w:val="2"/>
              <w:sz w:val="28"/>
              <w:szCs w:val="22"/>
              <w:lang w:val="en-US" w:eastAsia="zh-CN" w:bidi="ar-SA"/>
            </w:rPr>
            <w:t>第七章 政府采购合同</w:t>
          </w:r>
          <w:r>
            <w:rPr>
              <w:rFonts w:hint="eastAsia" w:ascii="仿宋" w:hAnsi="仿宋" w:eastAsia="仿宋" w:cs="仿宋"/>
              <w:b/>
              <w:color w:val="auto"/>
              <w:kern w:val="2"/>
              <w:sz w:val="28"/>
              <w:szCs w:val="22"/>
              <w:lang w:val="en-US" w:eastAsia="zh-CN" w:bidi="ar-SA"/>
            </w:rPr>
            <w:tab/>
          </w:r>
          <w:r>
            <w:rPr>
              <w:rFonts w:hint="eastAsia" w:ascii="仿宋" w:hAnsi="仿宋" w:eastAsia="仿宋" w:cs="仿宋"/>
              <w:b/>
              <w:color w:val="auto"/>
              <w:kern w:val="2"/>
              <w:sz w:val="28"/>
              <w:szCs w:val="22"/>
              <w:lang w:val="en-US" w:eastAsia="zh-CN" w:bidi="ar-SA"/>
            </w:rPr>
            <w:fldChar w:fldCharType="begin"/>
          </w:r>
          <w:r>
            <w:rPr>
              <w:rFonts w:hint="eastAsia" w:ascii="仿宋" w:hAnsi="仿宋" w:eastAsia="仿宋" w:cs="仿宋"/>
              <w:b/>
              <w:color w:val="auto"/>
              <w:kern w:val="2"/>
              <w:sz w:val="28"/>
              <w:szCs w:val="22"/>
              <w:lang w:val="en-US" w:eastAsia="zh-CN" w:bidi="ar-SA"/>
            </w:rPr>
            <w:instrText xml:space="preserve"> PAGEREF _Toc20515 \h </w:instrText>
          </w:r>
          <w:r>
            <w:rPr>
              <w:rFonts w:hint="eastAsia" w:ascii="仿宋" w:hAnsi="仿宋" w:eastAsia="仿宋" w:cs="仿宋"/>
              <w:b/>
              <w:color w:val="auto"/>
              <w:kern w:val="2"/>
              <w:sz w:val="28"/>
              <w:szCs w:val="22"/>
              <w:lang w:val="en-US" w:eastAsia="zh-CN" w:bidi="ar-SA"/>
            </w:rPr>
            <w:fldChar w:fldCharType="separate"/>
          </w:r>
          <w:r>
            <w:rPr>
              <w:rFonts w:hint="eastAsia" w:ascii="仿宋" w:hAnsi="仿宋" w:eastAsia="仿宋" w:cs="仿宋"/>
              <w:b/>
              <w:color w:val="auto"/>
              <w:kern w:val="2"/>
              <w:sz w:val="28"/>
              <w:szCs w:val="22"/>
              <w:lang w:val="en-US" w:eastAsia="zh-CN" w:bidi="ar-SA"/>
            </w:rPr>
            <w:t>81</w:t>
          </w:r>
          <w:r>
            <w:rPr>
              <w:rFonts w:hint="eastAsia" w:ascii="仿宋" w:hAnsi="仿宋" w:eastAsia="仿宋" w:cs="仿宋"/>
              <w:b/>
              <w:color w:val="auto"/>
              <w:kern w:val="2"/>
              <w:sz w:val="28"/>
              <w:szCs w:val="22"/>
              <w:lang w:val="en-US" w:eastAsia="zh-CN" w:bidi="ar-SA"/>
            </w:rPr>
            <w:fldChar w:fldCharType="end"/>
          </w:r>
          <w:r>
            <w:rPr>
              <w:rFonts w:hint="eastAsia" w:ascii="仿宋" w:hAnsi="仿宋" w:eastAsia="仿宋" w:cs="仿宋"/>
              <w:b/>
              <w:color w:val="auto"/>
              <w:kern w:val="2"/>
              <w:sz w:val="28"/>
              <w:szCs w:val="22"/>
              <w:lang w:val="en-US" w:eastAsia="zh-CN" w:bidi="ar-SA"/>
            </w:rPr>
            <w:fldChar w:fldCharType="end"/>
          </w:r>
        </w:p>
        <w:p w14:paraId="3739A737">
          <w:pPr>
            <w:pStyle w:val="4"/>
            <w:numPr>
              <w:ilvl w:val="0"/>
              <w:numId w:val="0"/>
            </w:numPr>
            <w:spacing w:before="0" w:after="0" w:line="240" w:lineRule="atLeast"/>
            <w:jc w:val="both"/>
            <w:rPr>
              <w:rFonts w:hint="eastAsia" w:ascii="仿宋" w:hAnsi="仿宋" w:eastAsia="仿宋" w:cs="仿宋"/>
              <w:color w:val="auto"/>
            </w:rPr>
          </w:pPr>
          <w:r>
            <w:rPr>
              <w:rFonts w:hint="eastAsia" w:ascii="仿宋" w:hAnsi="仿宋" w:eastAsia="仿宋" w:cs="仿宋"/>
              <w:b/>
              <w:color w:val="auto"/>
              <w:kern w:val="2"/>
              <w:sz w:val="28"/>
              <w:szCs w:val="22"/>
              <w:lang w:val="en-US" w:eastAsia="zh-CN" w:bidi="ar-SA"/>
            </w:rPr>
            <w:fldChar w:fldCharType="end"/>
          </w:r>
        </w:p>
      </w:sdtContent>
    </w:sdt>
    <w:p w14:paraId="6E98BB4E">
      <w:pPr>
        <w:rPr>
          <w:rFonts w:hint="eastAsia"/>
          <w:color w:val="auto"/>
        </w:rPr>
        <w:sectPr>
          <w:headerReference r:id="rId6" w:type="default"/>
          <w:footerReference r:id="rId7" w:type="default"/>
          <w:pgSz w:w="11906" w:h="16838"/>
          <w:pgMar w:top="1440" w:right="1797" w:bottom="1440" w:left="1797" w:header="851" w:footer="992" w:gutter="0"/>
          <w:pgNumType w:fmt="decimal" w:start="1"/>
          <w:cols w:space="720" w:num="1"/>
          <w:docGrid w:type="linesAndChars" w:linePitch="312" w:charSpace="0"/>
        </w:sectPr>
      </w:pPr>
    </w:p>
    <w:p w14:paraId="00B98923">
      <w:pPr>
        <w:pStyle w:val="4"/>
        <w:numPr>
          <w:ilvl w:val="0"/>
          <w:numId w:val="0"/>
        </w:numPr>
        <w:spacing w:before="0" w:after="0" w:line="240" w:lineRule="atLeast"/>
        <w:ind w:leftChars="0"/>
        <w:jc w:val="center"/>
        <w:rPr>
          <w:rFonts w:hint="eastAsia" w:ascii="仿宋" w:hAnsi="仿宋" w:eastAsia="仿宋" w:cs="仿宋"/>
          <w:color w:val="auto"/>
        </w:rPr>
      </w:pPr>
      <w:bookmarkStart w:id="27" w:name="_Toc515647756"/>
      <w:bookmarkStart w:id="28" w:name="_Toc10478"/>
      <w:bookmarkStart w:id="29" w:name="_Toc32693"/>
      <w:r>
        <w:rPr>
          <w:rFonts w:hint="eastAsia" w:ascii="仿宋" w:hAnsi="仿宋" w:eastAsia="仿宋" w:cs="仿宋"/>
          <w:color w:val="auto"/>
          <w:lang w:val="en-US" w:eastAsia="zh-CN"/>
        </w:rPr>
        <w:t xml:space="preserve">第一章 </w:t>
      </w:r>
      <w:r>
        <w:rPr>
          <w:rFonts w:hint="eastAsia" w:ascii="仿宋" w:hAnsi="仿宋" w:eastAsia="仿宋" w:cs="仿宋"/>
          <w:color w:val="auto"/>
        </w:rPr>
        <w:t>投标人须知</w:t>
      </w:r>
      <w:bookmarkEnd w:id="24"/>
      <w:bookmarkEnd w:id="25"/>
      <w:bookmarkEnd w:id="26"/>
      <w:bookmarkEnd w:id="27"/>
      <w:bookmarkEnd w:id="28"/>
      <w:bookmarkEnd w:id="29"/>
    </w:p>
    <w:p w14:paraId="7251935E">
      <w:pPr>
        <w:pStyle w:val="5"/>
        <w:pageBreakBefore w:val="0"/>
        <w:kinsoku/>
        <w:wordWrap/>
        <w:overflowPunct/>
        <w:topLinePunct w:val="0"/>
        <w:bidi w:val="0"/>
        <w:spacing w:before="0" w:line="500" w:lineRule="exact"/>
        <w:rPr>
          <w:rFonts w:hint="eastAsia" w:ascii="仿宋" w:hAnsi="仿宋" w:eastAsia="仿宋" w:cs="仿宋"/>
          <w:b/>
          <w:bCs/>
          <w:color w:val="auto"/>
          <w:sz w:val="28"/>
          <w:szCs w:val="28"/>
        </w:rPr>
      </w:pPr>
      <w:bookmarkStart w:id="30" w:name="_Toc216582805"/>
      <w:bookmarkStart w:id="31" w:name="_Toc520356143"/>
      <w:bookmarkStart w:id="32" w:name="_Toc515647757"/>
      <w:bookmarkStart w:id="33" w:name="_Toc21215"/>
      <w:bookmarkStart w:id="34" w:name="_Toc27510"/>
      <w:bookmarkStart w:id="35" w:name="_Toc21015"/>
      <w:r>
        <w:rPr>
          <w:rFonts w:hint="eastAsia" w:ascii="仿宋" w:hAnsi="仿宋" w:eastAsia="仿宋" w:cs="仿宋"/>
          <w:b/>
          <w:bCs/>
          <w:color w:val="auto"/>
          <w:sz w:val="28"/>
          <w:szCs w:val="28"/>
        </w:rPr>
        <w:t xml:space="preserve">一 </w:t>
      </w:r>
      <w:bookmarkEnd w:id="30"/>
      <w:bookmarkEnd w:id="31"/>
      <w:bookmarkEnd w:id="32"/>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总 则</w:t>
      </w:r>
      <w:bookmarkEnd w:id="33"/>
      <w:bookmarkEnd w:id="34"/>
      <w:bookmarkEnd w:id="35"/>
    </w:p>
    <w:p w14:paraId="64095553">
      <w:pPr>
        <w:pageBreakBefore w:val="0"/>
        <w:numPr>
          <w:ilvl w:val="0"/>
          <w:numId w:val="2"/>
        </w:numPr>
        <w:kinsoku/>
        <w:wordWrap/>
        <w:overflowPunct/>
        <w:topLinePunct w:val="0"/>
        <w:bidi w:val="0"/>
        <w:spacing w:line="500" w:lineRule="exact"/>
        <w:rPr>
          <w:rFonts w:hint="eastAsia" w:ascii="仿宋" w:hAnsi="仿宋" w:eastAsia="仿宋" w:cs="仿宋"/>
          <w:color w:val="auto"/>
          <w:sz w:val="28"/>
          <w:szCs w:val="28"/>
        </w:rPr>
      </w:pPr>
      <w:bookmarkStart w:id="36" w:name="_Toc29554"/>
      <w:bookmarkStart w:id="37" w:name="_Toc28967"/>
      <w:bookmarkStart w:id="38" w:name="_Toc333"/>
      <w:bookmarkStart w:id="39" w:name="_Toc12861"/>
      <w:bookmarkStart w:id="40" w:name="_Toc31685"/>
      <w:bookmarkStart w:id="41" w:name="_Toc23985"/>
      <w:bookmarkStart w:id="42" w:name="_Toc4880"/>
      <w:bookmarkStart w:id="43" w:name="_Toc32742"/>
      <w:bookmarkStart w:id="44" w:name="_Toc32697"/>
      <w:bookmarkStart w:id="45" w:name="_Toc18135"/>
      <w:bookmarkStart w:id="46" w:name="_Toc15043"/>
      <w:bookmarkStart w:id="47" w:name="_Toc12038"/>
      <w:bookmarkStart w:id="48" w:name="_Toc15966"/>
      <w:bookmarkStart w:id="49" w:name="_Toc32450"/>
      <w:r>
        <w:rPr>
          <w:rFonts w:hint="eastAsia" w:ascii="仿宋" w:hAnsi="仿宋" w:eastAsia="仿宋" w:cs="仿宋"/>
          <w:color w:val="auto"/>
          <w:sz w:val="28"/>
          <w:szCs w:val="28"/>
        </w:rPr>
        <w:t>采购人、采购代理机构及</w:t>
      </w:r>
      <w:bookmarkEnd w:id="36"/>
      <w:bookmarkEnd w:id="37"/>
      <w:bookmarkEnd w:id="38"/>
      <w:bookmarkEnd w:id="39"/>
      <w:bookmarkEnd w:id="40"/>
      <w:bookmarkEnd w:id="41"/>
      <w:bookmarkEnd w:id="42"/>
      <w:r>
        <w:rPr>
          <w:rFonts w:hint="eastAsia" w:ascii="仿宋" w:hAnsi="仿宋" w:eastAsia="仿宋" w:cs="仿宋"/>
          <w:color w:val="auto"/>
          <w:sz w:val="28"/>
          <w:szCs w:val="28"/>
        </w:rPr>
        <w:t>供应商</w:t>
      </w:r>
      <w:bookmarkEnd w:id="43"/>
      <w:bookmarkEnd w:id="44"/>
      <w:bookmarkEnd w:id="45"/>
      <w:bookmarkEnd w:id="46"/>
      <w:bookmarkEnd w:id="47"/>
      <w:bookmarkEnd w:id="48"/>
      <w:bookmarkEnd w:id="49"/>
    </w:p>
    <w:p w14:paraId="1B866E20">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采购人：是指依法开展政府采购活动的国家机关、事业单位、团体组织。</w:t>
      </w:r>
    </w:p>
    <w:p w14:paraId="659B550B">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本项目的采购人见供应商须知资料表。</w:t>
      </w:r>
    </w:p>
    <w:p w14:paraId="53E95E8C">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1.2</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采购代理机构：是指在集中采购机构或从事采购代理业务的社会中介机构。本项目的采购代理机构见供应商须知资料表。</w:t>
      </w:r>
    </w:p>
    <w:p w14:paraId="567DEA63">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1.3供应商：是指向采购人提供货物、工程或者服务的法人、非法人组织或者自然人。本项目的供应商及其投标</w:t>
      </w:r>
      <w:r>
        <w:rPr>
          <w:rFonts w:hint="eastAsia" w:ascii="仿宋" w:hAnsi="仿宋" w:eastAsia="仿宋" w:cs="仿宋"/>
          <w:color w:val="auto"/>
          <w:sz w:val="28"/>
          <w:szCs w:val="28"/>
          <w:lang w:val="en-US" w:eastAsia="zh-CN"/>
        </w:rPr>
        <w:t>内容</w:t>
      </w:r>
      <w:r>
        <w:rPr>
          <w:rFonts w:hint="eastAsia" w:ascii="仿宋" w:hAnsi="仿宋" w:eastAsia="仿宋" w:cs="仿宋"/>
          <w:color w:val="auto"/>
          <w:sz w:val="28"/>
          <w:szCs w:val="28"/>
        </w:rPr>
        <w:t>须满足以下条件：</w:t>
      </w:r>
    </w:p>
    <w:p w14:paraId="70B80EF0">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1.3.1在中华人民共和国境内注册，能够独立承担民事责任，有生产或供应能力的本国供应商。</w:t>
      </w:r>
    </w:p>
    <w:p w14:paraId="41F30C16">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1.3.2 具备《中华人民共和国政府采购法》第二十二条关于供应商条件的规定，遵守本项目采购人本级和上级财政部门政府采购的有关规定。</w:t>
      </w:r>
    </w:p>
    <w:p w14:paraId="15E113F1">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1.3.3 以采购代理机构认可的方式获得了本项目的招标文件。</w:t>
      </w:r>
    </w:p>
    <w:p w14:paraId="07E43EA3">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1.3.4 符合供应商须知资料表中规定的其他要求。</w:t>
      </w:r>
    </w:p>
    <w:p w14:paraId="59B1B8F2">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1.3.5 若</w:t>
      </w:r>
      <w:r>
        <w:rPr>
          <w:rFonts w:hint="eastAsia" w:ascii="仿宋" w:hAnsi="仿宋" w:eastAsia="仿宋" w:cs="仿宋"/>
          <w:color w:val="auto"/>
          <w:sz w:val="28"/>
          <w:szCs w:val="28"/>
          <w:u w:val="single"/>
        </w:rPr>
        <w:t>投标人须知资料表</w:t>
      </w:r>
      <w:r>
        <w:rPr>
          <w:rFonts w:hint="eastAsia" w:ascii="仿宋" w:hAnsi="仿宋" w:eastAsia="仿宋" w:cs="仿宋"/>
          <w:color w:val="auto"/>
          <w:sz w:val="28"/>
          <w:szCs w:val="28"/>
        </w:rPr>
        <w:t>中写明允许采购进口产品，投标人应保</w:t>
      </w:r>
    </w:p>
    <w:p w14:paraId="5FC6184E">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u w:val="single"/>
        </w:rPr>
      </w:pPr>
      <w:r>
        <w:rPr>
          <w:rFonts w:hint="eastAsia" w:ascii="仿宋" w:hAnsi="仿宋" w:eastAsia="仿宋" w:cs="仿宋"/>
          <w:color w:val="auto"/>
          <w:sz w:val="28"/>
          <w:szCs w:val="28"/>
        </w:rPr>
        <w:t>证所投产品可履行合法报通关手续进入中国关境内。若</w:t>
      </w:r>
      <w:r>
        <w:rPr>
          <w:rFonts w:hint="eastAsia" w:ascii="仿宋" w:hAnsi="仿宋" w:eastAsia="仿宋" w:cs="仿宋"/>
          <w:color w:val="auto"/>
          <w:sz w:val="28"/>
          <w:szCs w:val="28"/>
          <w:u w:val="single"/>
        </w:rPr>
        <w:t>投标人须知</w:t>
      </w:r>
    </w:p>
    <w:p w14:paraId="6BA9EA0A">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u w:val="single"/>
        </w:rPr>
        <w:t>资料表</w:t>
      </w:r>
      <w:r>
        <w:rPr>
          <w:rFonts w:hint="eastAsia" w:ascii="仿宋" w:hAnsi="仿宋" w:eastAsia="仿宋" w:cs="仿宋"/>
          <w:color w:val="auto"/>
          <w:sz w:val="28"/>
          <w:szCs w:val="28"/>
        </w:rPr>
        <w:t>中未写明允许采购进口产品，如投标人所投产品为进口产品，</w:t>
      </w:r>
    </w:p>
    <w:p w14:paraId="1BFBE9F0">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其投标将被认定为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55F99755">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1.4 如供应商须知资料表中允许联合体投标，对联合体规定如下：</w:t>
      </w:r>
    </w:p>
    <w:p w14:paraId="0BF8A0AD">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1.4.1 两个以上供应商可以组成一个投标联合体，以一个供应商的身份投标。</w:t>
      </w:r>
    </w:p>
    <w:p w14:paraId="4A284E6A">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1.4.2 联合体各方均应符合《中华人民共和国政府采购法》第二十二条规定的条件。</w:t>
      </w:r>
    </w:p>
    <w:p w14:paraId="678484F1">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1.4.3 采购人根据采购项目对供应商的特殊要求，联合体中至少应当有一方符合相关规定。</w:t>
      </w:r>
    </w:p>
    <w:p w14:paraId="7CB4261E">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1.4.4 联合体各方应签订共同投标协议，明确约定联合体各方承担的工作和相应的责任，并将共同投标协议连同作为投标文件第一部分的内容提交。</w:t>
      </w:r>
    </w:p>
    <w:p w14:paraId="47C58ECA">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1.4.5 大中型企业、其他自然人、法人或者非法人组织与小型、微型企业组成联合体共同参加投标，共同投标协议中应写明小型、微型企业的协议合同金额占到共同投标协议投标总金额的比例。</w:t>
      </w:r>
    </w:p>
    <w:p w14:paraId="17E9E506">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1.4.6  联合体中有同类资质的供应商按照联合体分工承担相同工作的，按照较低的资质等级确定联合体的资质等级。</w:t>
      </w:r>
    </w:p>
    <w:p w14:paraId="5B8F5773">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181A5C6D">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1.4.8对联合体投标的其他资格要求见供应商须知资料表。</w:t>
      </w:r>
    </w:p>
    <w:p w14:paraId="04CDF6AC">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1.5 单位负责人为同一人或者存在直接控股、管理关系的不同供应商，其相关投标将被认定为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36FC5AEF">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1.6供应商在投标过程中不得向采购人提供、给予任何有价值的物品，影响其正常决策行为。一经发现，其将被认定为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45B39A15">
      <w:pPr>
        <w:pageBreakBefore w:val="0"/>
        <w:kinsoku/>
        <w:wordWrap/>
        <w:overflowPunct/>
        <w:topLinePunct w:val="0"/>
        <w:bidi w:val="0"/>
        <w:spacing w:line="500" w:lineRule="exact"/>
        <w:rPr>
          <w:rFonts w:hint="eastAsia" w:ascii="仿宋" w:hAnsi="仿宋" w:eastAsia="仿宋" w:cs="仿宋"/>
          <w:color w:val="auto"/>
          <w:sz w:val="28"/>
          <w:szCs w:val="28"/>
        </w:rPr>
      </w:pPr>
      <w:bookmarkStart w:id="50" w:name="_Toc10189"/>
      <w:bookmarkStart w:id="51" w:name="_Toc27814"/>
      <w:bookmarkStart w:id="52" w:name="_Toc10699"/>
      <w:bookmarkStart w:id="53" w:name="_Toc4311"/>
      <w:bookmarkStart w:id="54" w:name="_Toc7800"/>
      <w:bookmarkStart w:id="55" w:name="_Toc11068"/>
      <w:bookmarkStart w:id="56" w:name="_Toc21286"/>
      <w:bookmarkStart w:id="57" w:name="_Toc30940"/>
      <w:bookmarkStart w:id="58" w:name="_Toc1403"/>
      <w:bookmarkStart w:id="59" w:name="_Toc29854"/>
      <w:bookmarkStart w:id="60" w:name="_Toc13272"/>
      <w:bookmarkStart w:id="61" w:name="_Toc5286"/>
      <w:bookmarkStart w:id="62" w:name="_Toc12139"/>
      <w:bookmarkStart w:id="63" w:name="_Toc1760"/>
      <w:bookmarkStart w:id="64" w:name="_Toc4816"/>
      <w:bookmarkStart w:id="65" w:name="_Toc515647759"/>
      <w:bookmarkStart w:id="66" w:name="_Toc19970"/>
      <w:bookmarkStart w:id="67" w:name="_Toc28511"/>
      <w:r>
        <w:rPr>
          <w:rFonts w:hint="eastAsia" w:ascii="仿宋" w:hAnsi="仿宋" w:eastAsia="仿宋" w:cs="仿宋"/>
          <w:color w:val="auto"/>
          <w:sz w:val="28"/>
          <w:szCs w:val="28"/>
        </w:rPr>
        <w:t>2.资金来源</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B8F2302">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2.1本项目的采购人已获得足以支付本次招标后所签订的合同项下的资金（包括财政性资金和本项目采购中无法与财政性资金分割的非财政性资金）。</w:t>
      </w:r>
    </w:p>
    <w:p w14:paraId="5C1FA19E">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2.2 项目预算金额和分项或分包最高限价见供应商须知资料表。</w:t>
      </w:r>
    </w:p>
    <w:p w14:paraId="09E432DD">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2.3 供应商报价超过招标文件规定的预算金额或者分项、分包最高限价的，其投标将被认定为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216F251F">
      <w:pPr>
        <w:pageBreakBefore w:val="0"/>
        <w:kinsoku/>
        <w:wordWrap/>
        <w:overflowPunct/>
        <w:topLinePunct w:val="0"/>
        <w:bidi w:val="0"/>
        <w:spacing w:line="500" w:lineRule="exact"/>
        <w:rPr>
          <w:rFonts w:hint="eastAsia" w:ascii="仿宋" w:hAnsi="仿宋" w:eastAsia="仿宋" w:cs="仿宋"/>
          <w:color w:val="auto"/>
          <w:sz w:val="28"/>
          <w:szCs w:val="28"/>
        </w:rPr>
      </w:pPr>
      <w:bookmarkStart w:id="68" w:name="_Toc29481"/>
      <w:bookmarkStart w:id="69" w:name="_Toc144"/>
      <w:bookmarkStart w:id="70" w:name="_Toc30708"/>
      <w:bookmarkStart w:id="71" w:name="_Toc20799"/>
      <w:bookmarkStart w:id="72" w:name="_Toc515647760"/>
      <w:bookmarkStart w:id="73" w:name="_Toc14612"/>
      <w:bookmarkStart w:id="74" w:name="_Toc20044"/>
      <w:bookmarkStart w:id="75" w:name="_Toc15936"/>
      <w:bookmarkStart w:id="76" w:name="_Toc6415"/>
      <w:bookmarkStart w:id="77" w:name="_Toc25239"/>
      <w:bookmarkStart w:id="78" w:name="_Toc6389"/>
      <w:bookmarkStart w:id="79" w:name="_Toc520356145"/>
      <w:bookmarkStart w:id="80" w:name="_Toc30650"/>
      <w:bookmarkStart w:id="81" w:name="_Toc5207"/>
      <w:bookmarkStart w:id="82" w:name="_Toc15518"/>
      <w:bookmarkStart w:id="83" w:name="_Toc29504"/>
      <w:bookmarkStart w:id="84" w:name="_Toc22731"/>
      <w:bookmarkStart w:id="85" w:name="_Toc20526"/>
      <w:bookmarkStart w:id="86" w:name="_Toc10963"/>
      <w:r>
        <w:rPr>
          <w:rFonts w:hint="eastAsia" w:ascii="仿宋" w:hAnsi="仿宋" w:eastAsia="仿宋" w:cs="仿宋"/>
          <w:color w:val="auto"/>
          <w:sz w:val="28"/>
          <w:szCs w:val="28"/>
        </w:rPr>
        <w:t>3.投标费用</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CFCA3FA">
      <w:pPr>
        <w:pageBreakBefore w:val="0"/>
        <w:kinsoku/>
        <w:wordWrap/>
        <w:overflowPunct/>
        <w:topLinePunct w:val="0"/>
        <w:bidi w:val="0"/>
        <w:spacing w:line="500" w:lineRule="exact"/>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不论投标的结果如何，供应商应承担所有与准备和参加投标有关的费用。</w:t>
      </w:r>
    </w:p>
    <w:p w14:paraId="4EDF29C4">
      <w:pPr>
        <w:pageBreakBefore w:val="0"/>
        <w:kinsoku/>
        <w:wordWrap/>
        <w:overflowPunct/>
        <w:topLinePunct w:val="0"/>
        <w:bidi w:val="0"/>
        <w:spacing w:line="500" w:lineRule="exact"/>
        <w:rPr>
          <w:rFonts w:hint="eastAsia" w:ascii="仿宋" w:hAnsi="仿宋" w:eastAsia="仿宋" w:cs="仿宋"/>
          <w:color w:val="auto"/>
          <w:sz w:val="28"/>
          <w:szCs w:val="28"/>
        </w:rPr>
      </w:pPr>
      <w:bookmarkStart w:id="87" w:name="_Toc21641"/>
      <w:bookmarkStart w:id="88" w:name="_Toc515647761"/>
      <w:bookmarkStart w:id="89" w:name="_Toc12920"/>
      <w:bookmarkStart w:id="90" w:name="_Toc4463"/>
      <w:bookmarkStart w:id="91" w:name="_Toc24881"/>
      <w:bookmarkStart w:id="92" w:name="_Toc17308"/>
      <w:bookmarkStart w:id="93" w:name="_Toc20080"/>
      <w:bookmarkStart w:id="94" w:name="_Toc11355"/>
      <w:bookmarkStart w:id="95" w:name="_Toc1198"/>
      <w:bookmarkStart w:id="96" w:name="_Toc29011"/>
      <w:bookmarkStart w:id="97" w:name="_Toc6116"/>
      <w:bookmarkStart w:id="98" w:name="_Toc16328"/>
      <w:bookmarkStart w:id="99" w:name="_Toc5853"/>
      <w:bookmarkStart w:id="100" w:name="_Toc16751"/>
      <w:bookmarkStart w:id="101" w:name="_Toc7511"/>
      <w:bookmarkStart w:id="102" w:name="_Toc15600"/>
      <w:bookmarkStart w:id="103" w:name="_Toc6759"/>
      <w:bookmarkStart w:id="104" w:name="_Toc27687"/>
      <w:r>
        <w:rPr>
          <w:rFonts w:hint="eastAsia" w:ascii="仿宋" w:hAnsi="仿宋" w:eastAsia="仿宋" w:cs="仿宋"/>
          <w:color w:val="auto"/>
          <w:sz w:val="28"/>
          <w:szCs w:val="28"/>
        </w:rPr>
        <w:t>4.适用法律</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422C8D8E">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本项目采购人、采购代理机构、供应商、评标委员会的相关行为均受《中华人民共和国政府采购法》、《中华人民共和国政府采购法实施条例》、《中华人民共和国财政部令第87号--政府采购货物和货物招标投标管理办法》及本项目本级和上级财政部门政府采购有关规定的约束，其权利受到上述法律法规的保护。</w:t>
      </w:r>
    </w:p>
    <w:p w14:paraId="41DC926E">
      <w:pPr>
        <w:pageBreakBefore w:val="0"/>
        <w:kinsoku/>
        <w:wordWrap/>
        <w:overflowPunct/>
        <w:topLinePunct w:val="0"/>
        <w:bidi w:val="0"/>
        <w:spacing w:line="500" w:lineRule="exact"/>
        <w:rPr>
          <w:rFonts w:hint="eastAsia" w:ascii="仿宋" w:hAnsi="仿宋" w:eastAsia="仿宋" w:cs="仿宋"/>
          <w:color w:val="auto"/>
          <w:sz w:val="28"/>
          <w:szCs w:val="28"/>
        </w:rPr>
      </w:pPr>
    </w:p>
    <w:p w14:paraId="4C50E6F7">
      <w:pPr>
        <w:pStyle w:val="5"/>
        <w:pageBreakBefore w:val="0"/>
        <w:kinsoku/>
        <w:wordWrap/>
        <w:overflowPunct/>
        <w:topLinePunct w:val="0"/>
        <w:bidi w:val="0"/>
        <w:spacing w:before="0" w:line="500" w:lineRule="exact"/>
        <w:jc w:val="center"/>
        <w:rPr>
          <w:rFonts w:hint="eastAsia" w:ascii="仿宋" w:hAnsi="仿宋" w:eastAsia="仿宋" w:cs="仿宋"/>
          <w:b/>
          <w:color w:val="auto"/>
          <w:kern w:val="0"/>
          <w:sz w:val="28"/>
          <w:szCs w:val="28"/>
          <w:u w:val="none"/>
          <w:lang w:val="en-US" w:eastAsia="zh-CN" w:bidi="ar-SA"/>
        </w:rPr>
      </w:pPr>
      <w:bookmarkStart w:id="105" w:name="_Toc4365"/>
      <w:bookmarkStart w:id="106" w:name="_Toc8113"/>
      <w:bookmarkStart w:id="107" w:name="_Toc515647762"/>
      <w:bookmarkStart w:id="108" w:name="_Toc520356146"/>
      <w:bookmarkStart w:id="109" w:name="_Toc21566"/>
      <w:bookmarkStart w:id="110" w:name="_Toc216582806"/>
      <w:r>
        <w:rPr>
          <w:rFonts w:hint="eastAsia" w:ascii="仿宋" w:hAnsi="仿宋" w:eastAsia="仿宋" w:cs="仿宋"/>
          <w:b/>
          <w:color w:val="auto"/>
          <w:kern w:val="0"/>
          <w:sz w:val="28"/>
          <w:szCs w:val="28"/>
          <w:u w:val="none"/>
          <w:lang w:val="en-US" w:eastAsia="zh-CN" w:bidi="ar-SA"/>
        </w:rPr>
        <w:t>二、招标文件</w:t>
      </w:r>
      <w:bookmarkEnd w:id="105"/>
      <w:bookmarkEnd w:id="106"/>
      <w:bookmarkEnd w:id="107"/>
      <w:bookmarkEnd w:id="108"/>
      <w:bookmarkEnd w:id="109"/>
      <w:bookmarkEnd w:id="110"/>
    </w:p>
    <w:p w14:paraId="7A3EA8E1">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111" w:name="_Toc515647763"/>
      <w:bookmarkStart w:id="112" w:name="_Toc520356147"/>
      <w:bookmarkStart w:id="113" w:name="_Toc14084"/>
      <w:bookmarkStart w:id="114" w:name="_Toc25743"/>
      <w:bookmarkStart w:id="115" w:name="_Toc17591"/>
      <w:r>
        <w:rPr>
          <w:rFonts w:hint="eastAsia" w:ascii="仿宋" w:hAnsi="仿宋" w:eastAsia="仿宋" w:cs="仿宋"/>
          <w:color w:val="auto"/>
          <w:sz w:val="28"/>
          <w:szCs w:val="28"/>
          <w:u w:val="none"/>
        </w:rPr>
        <w:t>5.招标文件构成</w:t>
      </w:r>
      <w:bookmarkEnd w:id="111"/>
      <w:bookmarkEnd w:id="112"/>
      <w:bookmarkEnd w:id="113"/>
      <w:bookmarkEnd w:id="114"/>
      <w:bookmarkEnd w:id="115"/>
    </w:p>
    <w:p w14:paraId="2D561E12">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5.1招标文件分为7章，内容如下：</w:t>
      </w:r>
    </w:p>
    <w:p w14:paraId="56C17D23">
      <w:pPr>
        <w:pageBreakBefore w:val="0"/>
        <w:numPr>
          <w:ilvl w:val="0"/>
          <w:numId w:val="3"/>
        </w:numPr>
        <w:tabs>
          <w:tab w:val="left" w:pos="0"/>
        </w:tabs>
        <w:kinsoku/>
        <w:wordWrap/>
        <w:overflowPunct/>
        <w:topLinePunct w:val="0"/>
        <w:bidi w:val="0"/>
        <w:spacing w:line="500" w:lineRule="exact"/>
        <w:ind w:hanging="829"/>
        <w:rPr>
          <w:rFonts w:hint="eastAsia" w:ascii="仿宋" w:hAnsi="仿宋" w:eastAsia="仿宋" w:cs="仿宋"/>
          <w:color w:val="auto"/>
          <w:sz w:val="28"/>
          <w:szCs w:val="28"/>
        </w:rPr>
      </w:pPr>
      <w:r>
        <w:rPr>
          <w:rFonts w:hint="eastAsia" w:ascii="仿宋" w:hAnsi="仿宋" w:eastAsia="仿宋" w:cs="仿宋"/>
          <w:color w:val="auto"/>
          <w:sz w:val="28"/>
          <w:szCs w:val="28"/>
        </w:rPr>
        <w:t xml:space="preserve"> 投标人须知</w:t>
      </w:r>
    </w:p>
    <w:p w14:paraId="58DA0277">
      <w:pPr>
        <w:pageBreakBefore w:val="0"/>
        <w:numPr>
          <w:ilvl w:val="0"/>
          <w:numId w:val="3"/>
        </w:numPr>
        <w:kinsoku/>
        <w:wordWrap/>
        <w:overflowPunct/>
        <w:topLinePunct w:val="0"/>
        <w:bidi w:val="0"/>
        <w:spacing w:line="500" w:lineRule="exact"/>
        <w:ind w:left="1080" w:leftChars="429" w:hanging="180"/>
        <w:rPr>
          <w:rFonts w:hint="eastAsia" w:ascii="仿宋" w:hAnsi="仿宋" w:eastAsia="仿宋" w:cs="仿宋"/>
          <w:color w:val="auto"/>
          <w:sz w:val="28"/>
          <w:szCs w:val="28"/>
        </w:rPr>
      </w:pPr>
      <w:r>
        <w:rPr>
          <w:rFonts w:hint="eastAsia" w:ascii="仿宋" w:hAnsi="仿宋" w:eastAsia="仿宋" w:cs="仿宋"/>
          <w:color w:val="auto"/>
          <w:sz w:val="28"/>
          <w:szCs w:val="28"/>
        </w:rPr>
        <w:t xml:space="preserve"> 投标文件格式</w:t>
      </w:r>
    </w:p>
    <w:p w14:paraId="60058D79">
      <w:pPr>
        <w:pageBreakBefore w:val="0"/>
        <w:numPr>
          <w:ilvl w:val="0"/>
          <w:numId w:val="3"/>
        </w:numPr>
        <w:kinsoku/>
        <w:wordWrap/>
        <w:overflowPunct/>
        <w:topLinePunct w:val="0"/>
        <w:bidi w:val="0"/>
        <w:spacing w:line="500" w:lineRule="exact"/>
        <w:ind w:left="1080" w:leftChars="429" w:hanging="180"/>
        <w:rPr>
          <w:rFonts w:hint="eastAsia" w:ascii="仿宋" w:hAnsi="仿宋" w:eastAsia="仿宋" w:cs="仿宋"/>
          <w:color w:val="auto"/>
          <w:sz w:val="28"/>
          <w:szCs w:val="28"/>
        </w:rPr>
      </w:pPr>
      <w:r>
        <w:rPr>
          <w:rFonts w:hint="eastAsia" w:ascii="仿宋" w:hAnsi="仿宋" w:eastAsia="仿宋" w:cs="仿宋"/>
          <w:color w:val="auto"/>
          <w:sz w:val="28"/>
          <w:szCs w:val="28"/>
        </w:rPr>
        <w:t xml:space="preserve"> 投标邀请</w:t>
      </w:r>
    </w:p>
    <w:p w14:paraId="12C4CD54">
      <w:pPr>
        <w:pageBreakBefore w:val="0"/>
        <w:numPr>
          <w:ilvl w:val="0"/>
          <w:numId w:val="3"/>
        </w:numPr>
        <w:kinsoku/>
        <w:wordWrap/>
        <w:overflowPunct/>
        <w:topLinePunct w:val="0"/>
        <w:bidi w:val="0"/>
        <w:spacing w:line="500" w:lineRule="exact"/>
        <w:ind w:left="1080" w:leftChars="429" w:hanging="180"/>
        <w:rPr>
          <w:rFonts w:hint="eastAsia" w:ascii="仿宋" w:hAnsi="仿宋" w:eastAsia="仿宋" w:cs="仿宋"/>
          <w:color w:val="auto"/>
          <w:sz w:val="28"/>
          <w:szCs w:val="28"/>
        </w:rPr>
      </w:pPr>
      <w:r>
        <w:rPr>
          <w:rFonts w:hint="eastAsia" w:ascii="仿宋" w:hAnsi="仿宋" w:eastAsia="仿宋" w:cs="仿宋"/>
          <w:color w:val="auto"/>
          <w:sz w:val="28"/>
          <w:szCs w:val="28"/>
        </w:rPr>
        <w:t xml:space="preserve"> 投标人须知资料表</w:t>
      </w:r>
    </w:p>
    <w:p w14:paraId="124BDA0A">
      <w:pPr>
        <w:pageBreakBefore w:val="0"/>
        <w:numPr>
          <w:ilvl w:val="0"/>
          <w:numId w:val="3"/>
        </w:numPr>
        <w:kinsoku/>
        <w:wordWrap/>
        <w:overflowPunct/>
        <w:topLinePunct w:val="0"/>
        <w:bidi w:val="0"/>
        <w:spacing w:line="500" w:lineRule="exact"/>
        <w:ind w:left="1080" w:leftChars="429" w:hanging="18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rPr>
        <w:t>需求一览</w:t>
      </w:r>
    </w:p>
    <w:p w14:paraId="44887378">
      <w:pPr>
        <w:pageBreakBefore w:val="0"/>
        <w:numPr>
          <w:ilvl w:val="0"/>
          <w:numId w:val="3"/>
        </w:numPr>
        <w:kinsoku/>
        <w:wordWrap/>
        <w:overflowPunct/>
        <w:topLinePunct w:val="0"/>
        <w:bidi w:val="0"/>
        <w:spacing w:line="500" w:lineRule="exact"/>
        <w:ind w:left="1080" w:leftChars="429" w:hanging="180"/>
        <w:rPr>
          <w:rFonts w:hint="eastAsia" w:ascii="仿宋" w:hAnsi="仿宋" w:eastAsia="仿宋" w:cs="仿宋"/>
          <w:color w:val="auto"/>
          <w:sz w:val="28"/>
          <w:szCs w:val="28"/>
        </w:rPr>
      </w:pPr>
      <w:r>
        <w:rPr>
          <w:rFonts w:hint="eastAsia" w:ascii="仿宋" w:hAnsi="仿宋" w:eastAsia="仿宋" w:cs="仿宋"/>
          <w:color w:val="auto"/>
          <w:sz w:val="28"/>
          <w:szCs w:val="28"/>
        </w:rPr>
        <w:t xml:space="preserve"> 评标方法和标准</w:t>
      </w:r>
    </w:p>
    <w:p w14:paraId="191753A8">
      <w:pPr>
        <w:pageBreakBefore w:val="0"/>
        <w:numPr>
          <w:ilvl w:val="0"/>
          <w:numId w:val="3"/>
        </w:numPr>
        <w:kinsoku/>
        <w:wordWrap/>
        <w:overflowPunct/>
        <w:topLinePunct w:val="0"/>
        <w:bidi w:val="0"/>
        <w:spacing w:line="500" w:lineRule="exact"/>
        <w:ind w:left="718" w:leftChars="342"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政府采购合同格式</w:t>
      </w:r>
    </w:p>
    <w:p w14:paraId="4F6653AF">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5.2如本文件的前后内容不一致，以最后描述为准。</w:t>
      </w:r>
    </w:p>
    <w:p w14:paraId="79C912E7">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5.3 投标人应认真阅读招标文件所有的事项、格式、条款和技术规</w:t>
      </w:r>
    </w:p>
    <w:p w14:paraId="6A582A13">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范等。如投标人没有按照招标文件要求提交全部资料，或者投标文</w:t>
      </w:r>
    </w:p>
    <w:p w14:paraId="5E2C71C1">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件没有对招标文件在各方面都作出实质性响应，可能导致其投标将</w:t>
      </w:r>
    </w:p>
    <w:p w14:paraId="6D11D459">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3DFF6A16">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116" w:name="_Toc520356148"/>
      <w:bookmarkStart w:id="117" w:name="_Toc515904805"/>
      <w:bookmarkStart w:id="118" w:name="_Toc26044"/>
      <w:bookmarkStart w:id="119" w:name="_Toc22744"/>
      <w:bookmarkStart w:id="120" w:name="_Toc9232"/>
      <w:r>
        <w:rPr>
          <w:rFonts w:hint="eastAsia" w:ascii="仿宋" w:hAnsi="仿宋" w:eastAsia="仿宋" w:cs="仿宋"/>
          <w:color w:val="auto"/>
          <w:sz w:val="28"/>
          <w:szCs w:val="28"/>
          <w:u w:val="none"/>
        </w:rPr>
        <w:t>6.招标文件的澄清</w:t>
      </w:r>
      <w:bookmarkEnd w:id="116"/>
      <w:bookmarkEnd w:id="117"/>
      <w:r>
        <w:rPr>
          <w:rFonts w:hint="eastAsia" w:ascii="仿宋" w:hAnsi="仿宋" w:eastAsia="仿宋" w:cs="仿宋"/>
          <w:color w:val="auto"/>
          <w:sz w:val="28"/>
          <w:szCs w:val="28"/>
          <w:u w:val="none"/>
        </w:rPr>
        <w:t>与修改</w:t>
      </w:r>
      <w:bookmarkEnd w:id="118"/>
      <w:bookmarkEnd w:id="119"/>
      <w:bookmarkEnd w:id="120"/>
    </w:p>
    <w:p w14:paraId="24CB9725">
      <w:pPr>
        <w:pStyle w:val="9"/>
        <w:pageBreakBefore w:val="0"/>
        <w:kinsoku/>
        <w:wordWrap/>
        <w:overflowPunct/>
        <w:topLinePunct w:val="0"/>
        <w:bidi w:val="0"/>
        <w:spacing w:line="500" w:lineRule="exact"/>
        <w:ind w:left="840" w:hanging="980" w:hangingChars="350"/>
        <w:rPr>
          <w:rFonts w:hint="eastAsia" w:ascii="仿宋" w:hAnsi="仿宋" w:eastAsia="仿宋" w:cs="仿宋"/>
          <w:color w:val="auto"/>
          <w:sz w:val="28"/>
          <w:szCs w:val="28"/>
        </w:rPr>
      </w:pPr>
      <w:r>
        <w:rPr>
          <w:rFonts w:hint="eastAsia" w:ascii="仿宋" w:hAnsi="仿宋" w:eastAsia="仿宋" w:cs="仿宋"/>
          <w:color w:val="auto"/>
          <w:sz w:val="28"/>
          <w:szCs w:val="28"/>
        </w:rPr>
        <w:t>6.1 为了保证对招标文件的澄清和修改满足法律的时限要求，任何要</w:t>
      </w:r>
    </w:p>
    <w:p w14:paraId="0FE3FA34">
      <w:pPr>
        <w:pStyle w:val="9"/>
        <w:pageBreakBefore w:val="0"/>
        <w:kinsoku/>
        <w:wordWrap/>
        <w:overflowPunct/>
        <w:topLinePunct w:val="0"/>
        <w:bidi w:val="0"/>
        <w:spacing w:line="500" w:lineRule="exact"/>
        <w:ind w:left="840" w:hanging="980" w:hangingChars="350"/>
        <w:rPr>
          <w:rFonts w:hint="eastAsia" w:ascii="仿宋" w:hAnsi="仿宋" w:eastAsia="仿宋" w:cs="仿宋"/>
          <w:color w:val="auto"/>
          <w:sz w:val="28"/>
          <w:szCs w:val="28"/>
        </w:rPr>
      </w:pPr>
      <w:r>
        <w:rPr>
          <w:rFonts w:hint="eastAsia" w:ascii="仿宋" w:hAnsi="仿宋" w:eastAsia="仿宋" w:cs="仿宋"/>
          <w:color w:val="auto"/>
          <w:sz w:val="28"/>
          <w:szCs w:val="28"/>
        </w:rPr>
        <w:t>求对招标文件进行澄清的投标人，均应在投标截止期十五日前，以书</w:t>
      </w:r>
    </w:p>
    <w:p w14:paraId="10C2BC20">
      <w:pPr>
        <w:pStyle w:val="9"/>
        <w:pageBreakBefore w:val="0"/>
        <w:kinsoku/>
        <w:wordWrap/>
        <w:overflowPunct/>
        <w:topLinePunct w:val="0"/>
        <w:bidi w:val="0"/>
        <w:spacing w:line="500" w:lineRule="exact"/>
        <w:ind w:left="840" w:hanging="980" w:hangingChars="350"/>
        <w:rPr>
          <w:rFonts w:hint="eastAsia" w:ascii="仿宋" w:hAnsi="仿宋" w:eastAsia="仿宋" w:cs="仿宋"/>
          <w:color w:val="auto"/>
          <w:sz w:val="28"/>
          <w:szCs w:val="28"/>
        </w:rPr>
      </w:pPr>
      <w:r>
        <w:rPr>
          <w:rFonts w:hint="eastAsia" w:ascii="仿宋" w:hAnsi="仿宋" w:eastAsia="仿宋" w:cs="仿宋"/>
          <w:color w:val="auto"/>
          <w:sz w:val="28"/>
          <w:szCs w:val="28"/>
        </w:rPr>
        <w:t>面形式将澄清要求通知采购人或采购代理机构。</w:t>
      </w:r>
    </w:p>
    <w:p w14:paraId="3AF44F51">
      <w:pPr>
        <w:pStyle w:val="9"/>
        <w:pageBreakBefore w:val="0"/>
        <w:kinsoku/>
        <w:wordWrap/>
        <w:overflowPunct/>
        <w:topLinePunct w:val="0"/>
        <w:bidi w:val="0"/>
        <w:spacing w:line="500" w:lineRule="exact"/>
        <w:ind w:left="840" w:hanging="980" w:hangingChars="350"/>
        <w:rPr>
          <w:rFonts w:hint="eastAsia" w:ascii="仿宋" w:hAnsi="仿宋" w:eastAsia="仿宋" w:cs="仿宋"/>
          <w:color w:val="auto"/>
          <w:sz w:val="28"/>
          <w:szCs w:val="28"/>
        </w:rPr>
      </w:pPr>
      <w:bookmarkStart w:id="121" w:name="_Ref467378678"/>
      <w:bookmarkStart w:id="122" w:name="_Toc520356149"/>
      <w:bookmarkStart w:id="123" w:name="_Toc515904806"/>
      <w:r>
        <w:rPr>
          <w:rFonts w:hint="eastAsia" w:ascii="仿宋" w:hAnsi="仿宋" w:eastAsia="仿宋" w:cs="仿宋"/>
          <w:color w:val="auto"/>
          <w:sz w:val="28"/>
          <w:szCs w:val="28"/>
        </w:rPr>
        <w:t>6.2采购人可主动的或在解答投标人提出的澄清问题时对招标文件进</w:t>
      </w:r>
    </w:p>
    <w:p w14:paraId="5E0360D6">
      <w:pPr>
        <w:pStyle w:val="9"/>
        <w:pageBreakBefore w:val="0"/>
        <w:kinsoku/>
        <w:wordWrap/>
        <w:overflowPunct/>
        <w:topLinePunct w:val="0"/>
        <w:bidi w:val="0"/>
        <w:spacing w:line="500" w:lineRule="exact"/>
        <w:ind w:left="840" w:hanging="980" w:hangingChars="350"/>
        <w:rPr>
          <w:rFonts w:hint="eastAsia" w:ascii="仿宋" w:hAnsi="仿宋" w:eastAsia="仿宋" w:cs="仿宋"/>
          <w:color w:val="auto"/>
          <w:sz w:val="28"/>
          <w:szCs w:val="28"/>
        </w:rPr>
      </w:pPr>
      <w:r>
        <w:rPr>
          <w:rFonts w:hint="eastAsia" w:ascii="仿宋" w:hAnsi="仿宋" w:eastAsia="仿宋" w:cs="仿宋"/>
          <w:color w:val="auto"/>
          <w:sz w:val="28"/>
          <w:szCs w:val="28"/>
        </w:rPr>
        <w:t>行澄清或修改。采购代理机构将以发布澄清（更正）公告的方式，澄</w:t>
      </w:r>
    </w:p>
    <w:p w14:paraId="2643ABBC">
      <w:pPr>
        <w:pStyle w:val="9"/>
        <w:pageBreakBefore w:val="0"/>
        <w:kinsoku/>
        <w:wordWrap/>
        <w:overflowPunct/>
        <w:topLinePunct w:val="0"/>
        <w:bidi w:val="0"/>
        <w:spacing w:line="500" w:lineRule="exact"/>
        <w:ind w:left="840" w:hanging="980" w:hangingChars="350"/>
        <w:rPr>
          <w:rFonts w:hint="eastAsia" w:ascii="仿宋" w:hAnsi="仿宋" w:eastAsia="仿宋" w:cs="仿宋"/>
          <w:color w:val="auto"/>
          <w:sz w:val="28"/>
          <w:szCs w:val="28"/>
        </w:rPr>
      </w:pPr>
      <w:r>
        <w:rPr>
          <w:rFonts w:hint="eastAsia" w:ascii="仿宋" w:hAnsi="仿宋" w:eastAsia="仿宋" w:cs="仿宋"/>
          <w:color w:val="auto"/>
          <w:sz w:val="28"/>
          <w:szCs w:val="28"/>
        </w:rPr>
        <w:t>清或修改招标文件，澄清或修改内容作为招标文件的组成部分。</w:t>
      </w:r>
    </w:p>
    <w:p w14:paraId="5A93266F">
      <w:pPr>
        <w:pStyle w:val="9"/>
        <w:pageBreakBefore w:val="0"/>
        <w:kinsoku/>
        <w:wordWrap/>
        <w:overflowPunct/>
        <w:topLinePunct w:val="0"/>
        <w:bidi w:val="0"/>
        <w:spacing w:line="500" w:lineRule="exact"/>
        <w:ind w:left="840" w:hanging="980" w:hangingChars="350"/>
        <w:rPr>
          <w:rFonts w:hint="eastAsia" w:ascii="仿宋" w:hAnsi="仿宋" w:eastAsia="仿宋" w:cs="仿宋"/>
          <w:color w:val="auto"/>
          <w:sz w:val="28"/>
          <w:szCs w:val="28"/>
          <w:lang w:val="en-US"/>
        </w:rPr>
      </w:pPr>
      <w:r>
        <w:rPr>
          <w:rFonts w:hint="eastAsia" w:ascii="仿宋" w:hAnsi="仿宋" w:eastAsia="仿宋" w:cs="仿宋"/>
          <w:color w:val="auto"/>
          <w:sz w:val="28"/>
          <w:szCs w:val="28"/>
        </w:rPr>
        <w:t>6.3</w:t>
      </w:r>
      <w:r>
        <w:rPr>
          <w:rFonts w:hint="eastAsia" w:ascii="仿宋" w:hAnsi="仿宋" w:eastAsia="仿宋" w:cs="仿宋"/>
          <w:color w:val="auto"/>
          <w:sz w:val="28"/>
          <w:szCs w:val="28"/>
          <w:lang w:val="en-US"/>
        </w:rPr>
        <w:t>澄清或者修改的内容将在新疆政府采购网发布，一经发布视为潜</w:t>
      </w:r>
    </w:p>
    <w:p w14:paraId="2EDCEBA5">
      <w:pPr>
        <w:pStyle w:val="9"/>
        <w:pageBreakBefore w:val="0"/>
        <w:kinsoku/>
        <w:wordWrap/>
        <w:overflowPunct/>
        <w:topLinePunct w:val="0"/>
        <w:bidi w:val="0"/>
        <w:spacing w:line="500" w:lineRule="exact"/>
        <w:ind w:left="840" w:hanging="980" w:hangingChars="350"/>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在投标人已收到，不再进行确认。若因投标单位个人原因未及时查看，</w:t>
      </w:r>
    </w:p>
    <w:p w14:paraId="2C48927F">
      <w:pPr>
        <w:pStyle w:val="9"/>
        <w:pageBreakBefore w:val="0"/>
        <w:kinsoku/>
        <w:wordWrap/>
        <w:overflowPunct/>
        <w:topLinePunct w:val="0"/>
        <w:bidi w:val="0"/>
        <w:spacing w:line="500" w:lineRule="exact"/>
        <w:ind w:left="840" w:hanging="980" w:hangingChars="350"/>
        <w:rPr>
          <w:rFonts w:hint="eastAsia" w:ascii="仿宋" w:hAnsi="仿宋" w:eastAsia="仿宋" w:cs="仿宋"/>
          <w:color w:val="auto"/>
          <w:sz w:val="28"/>
          <w:szCs w:val="28"/>
        </w:rPr>
      </w:pPr>
      <w:r>
        <w:rPr>
          <w:rFonts w:hint="eastAsia" w:ascii="仿宋" w:hAnsi="仿宋" w:eastAsia="仿宋" w:cs="仿宋"/>
          <w:color w:val="auto"/>
          <w:sz w:val="28"/>
          <w:szCs w:val="28"/>
          <w:lang w:val="en-US"/>
        </w:rPr>
        <w:t>造成的一切后果需自行承担。</w:t>
      </w:r>
    </w:p>
    <w:p w14:paraId="5B2587D3">
      <w:pPr>
        <w:pStyle w:val="6"/>
        <w:pageBreakBefore w:val="0"/>
        <w:tabs>
          <w:tab w:val="left" w:pos="900"/>
        </w:tabs>
        <w:kinsoku/>
        <w:wordWrap/>
        <w:overflowPunct/>
        <w:topLinePunct w:val="0"/>
        <w:bidi w:val="0"/>
        <w:spacing w:before="0" w:after="0" w:line="500" w:lineRule="exact"/>
        <w:rPr>
          <w:rFonts w:hint="eastAsia" w:ascii="仿宋" w:hAnsi="仿宋" w:eastAsia="仿宋" w:cs="仿宋"/>
          <w:color w:val="auto"/>
          <w:sz w:val="28"/>
          <w:szCs w:val="28"/>
          <w:u w:val="none"/>
        </w:rPr>
      </w:pPr>
      <w:bookmarkStart w:id="124" w:name="_Toc25635"/>
      <w:bookmarkStart w:id="125" w:name="_Toc14569"/>
      <w:bookmarkStart w:id="126" w:name="_Toc28621"/>
      <w:r>
        <w:rPr>
          <w:rFonts w:hint="eastAsia" w:ascii="仿宋" w:hAnsi="仿宋" w:eastAsia="仿宋" w:cs="仿宋"/>
          <w:color w:val="auto"/>
          <w:sz w:val="28"/>
          <w:szCs w:val="28"/>
          <w:u w:val="none"/>
        </w:rPr>
        <w:t>7</w:t>
      </w:r>
      <w:bookmarkEnd w:id="121"/>
      <w:bookmarkEnd w:id="122"/>
      <w:bookmarkEnd w:id="123"/>
      <w:r>
        <w:rPr>
          <w:rFonts w:hint="eastAsia" w:ascii="仿宋" w:hAnsi="仿宋" w:eastAsia="仿宋" w:cs="仿宋"/>
          <w:color w:val="auto"/>
          <w:sz w:val="28"/>
          <w:szCs w:val="28"/>
          <w:u w:val="none"/>
        </w:rPr>
        <w:t>.投标截止时间的顺延</w:t>
      </w:r>
      <w:bookmarkEnd w:id="124"/>
      <w:bookmarkEnd w:id="125"/>
      <w:bookmarkEnd w:id="126"/>
    </w:p>
    <w:p w14:paraId="393A8CDC">
      <w:pPr>
        <w:pageBreakBefore w:val="0"/>
        <w:kinsoku/>
        <w:wordWrap/>
        <w:overflowPunct/>
        <w:topLinePunct w:val="0"/>
        <w:bidi w:val="0"/>
        <w:spacing w:line="500" w:lineRule="exact"/>
        <w:ind w:left="1049" w:leftChars="133" w:hanging="770" w:hangingChars="275"/>
        <w:rPr>
          <w:rFonts w:hint="eastAsia" w:ascii="仿宋" w:hAnsi="仿宋" w:eastAsia="仿宋" w:cs="仿宋"/>
          <w:color w:val="auto"/>
          <w:sz w:val="28"/>
          <w:szCs w:val="28"/>
        </w:rPr>
      </w:pPr>
      <w:r>
        <w:rPr>
          <w:rFonts w:hint="eastAsia" w:ascii="仿宋" w:hAnsi="仿宋" w:eastAsia="仿宋" w:cs="仿宋"/>
          <w:color w:val="auto"/>
          <w:sz w:val="28"/>
          <w:szCs w:val="28"/>
        </w:rPr>
        <w:t>为使投标人准备投标时有足够的时间对招标文件的澄清或者修改</w:t>
      </w:r>
    </w:p>
    <w:p w14:paraId="23360C58">
      <w:pPr>
        <w:pageBreakBefore w:val="0"/>
        <w:kinsoku/>
        <w:wordWrap/>
        <w:overflowPunct/>
        <w:topLinePunct w:val="0"/>
        <w:bidi w:val="0"/>
        <w:spacing w:line="500" w:lineRule="exact"/>
        <w:ind w:left="1049" w:leftChars="133" w:hanging="770" w:hangingChars="275"/>
        <w:rPr>
          <w:rFonts w:hint="eastAsia" w:ascii="仿宋" w:hAnsi="仿宋" w:eastAsia="仿宋" w:cs="仿宋"/>
          <w:color w:val="auto"/>
          <w:sz w:val="28"/>
          <w:szCs w:val="28"/>
        </w:rPr>
      </w:pPr>
      <w:r>
        <w:rPr>
          <w:rFonts w:hint="eastAsia" w:ascii="仿宋" w:hAnsi="仿宋" w:eastAsia="仿宋" w:cs="仿宋"/>
          <w:color w:val="auto"/>
          <w:sz w:val="28"/>
          <w:szCs w:val="28"/>
        </w:rPr>
        <w:t>部分进行研究，采购人将依法决定是否顺延投标截止时间。</w:t>
      </w:r>
    </w:p>
    <w:p w14:paraId="134684F2">
      <w:pPr>
        <w:pStyle w:val="5"/>
        <w:pageBreakBefore w:val="0"/>
        <w:tabs>
          <w:tab w:val="left" w:pos="900"/>
        </w:tabs>
        <w:kinsoku/>
        <w:wordWrap/>
        <w:overflowPunct/>
        <w:topLinePunct w:val="0"/>
        <w:bidi w:val="0"/>
        <w:spacing w:before="0" w:line="500" w:lineRule="exact"/>
        <w:jc w:val="center"/>
        <w:rPr>
          <w:rFonts w:hint="eastAsia" w:ascii="仿宋" w:hAnsi="仿宋" w:eastAsia="仿宋" w:cs="仿宋"/>
          <w:color w:val="auto"/>
          <w:sz w:val="28"/>
          <w:szCs w:val="28"/>
        </w:rPr>
      </w:pPr>
      <w:bookmarkStart w:id="127" w:name="_Toc516367020"/>
      <w:bookmarkStart w:id="128" w:name="_Toc515647766"/>
      <w:bookmarkStart w:id="129" w:name="_Toc216582807"/>
      <w:bookmarkStart w:id="130" w:name="_Toc520356150"/>
      <w:bookmarkStart w:id="131" w:name="_Toc23059"/>
      <w:bookmarkStart w:id="132" w:name="_Toc30808"/>
      <w:bookmarkStart w:id="133" w:name="_Toc7636"/>
      <w:r>
        <w:rPr>
          <w:rFonts w:hint="eastAsia" w:ascii="仿宋" w:hAnsi="仿宋" w:eastAsia="仿宋" w:cs="仿宋"/>
          <w:color w:val="auto"/>
          <w:sz w:val="28"/>
          <w:szCs w:val="28"/>
        </w:rPr>
        <w:t>三   投标文件</w:t>
      </w:r>
      <w:bookmarkEnd w:id="127"/>
      <w:r>
        <w:rPr>
          <w:rFonts w:hint="eastAsia" w:ascii="仿宋" w:hAnsi="仿宋" w:eastAsia="仿宋" w:cs="仿宋"/>
          <w:color w:val="auto"/>
          <w:sz w:val="28"/>
          <w:szCs w:val="28"/>
        </w:rPr>
        <w:t>的编制</w:t>
      </w:r>
      <w:bookmarkEnd w:id="128"/>
      <w:bookmarkEnd w:id="129"/>
      <w:bookmarkEnd w:id="130"/>
      <w:bookmarkEnd w:id="131"/>
      <w:bookmarkEnd w:id="132"/>
      <w:bookmarkEnd w:id="133"/>
    </w:p>
    <w:p w14:paraId="7B4FFD3A">
      <w:pPr>
        <w:pStyle w:val="6"/>
        <w:pageBreakBefore w:val="0"/>
        <w:tabs>
          <w:tab w:val="left" w:pos="900"/>
        </w:tabs>
        <w:kinsoku/>
        <w:wordWrap/>
        <w:overflowPunct/>
        <w:topLinePunct w:val="0"/>
        <w:bidi w:val="0"/>
        <w:spacing w:before="0" w:after="0" w:line="500" w:lineRule="exact"/>
        <w:rPr>
          <w:rFonts w:hint="eastAsia" w:ascii="仿宋" w:hAnsi="仿宋" w:eastAsia="仿宋" w:cs="仿宋"/>
          <w:color w:val="auto"/>
          <w:sz w:val="28"/>
          <w:szCs w:val="28"/>
          <w:u w:val="none"/>
        </w:rPr>
      </w:pPr>
      <w:bookmarkStart w:id="134" w:name="_Toc5025"/>
      <w:bookmarkStart w:id="135" w:name="_Toc15642"/>
      <w:bookmarkStart w:id="136" w:name="_Toc515647767"/>
      <w:bookmarkStart w:id="137" w:name="_Toc7120"/>
      <w:bookmarkStart w:id="138" w:name="_Toc30945"/>
      <w:bookmarkStart w:id="139" w:name="_Toc14086"/>
      <w:bookmarkStart w:id="140" w:name="_Toc28980"/>
      <w:bookmarkStart w:id="141" w:name="_Toc516367021"/>
      <w:bookmarkStart w:id="142" w:name="_Toc7786"/>
      <w:bookmarkStart w:id="143" w:name="_Toc3553"/>
      <w:bookmarkStart w:id="144" w:name="_Toc10748"/>
      <w:bookmarkStart w:id="145" w:name="_Toc1632"/>
      <w:bookmarkStart w:id="146" w:name="_Toc32487"/>
      <w:bookmarkStart w:id="147" w:name="_Toc520356151"/>
      <w:bookmarkStart w:id="148" w:name="_Toc10810"/>
      <w:bookmarkStart w:id="149" w:name="_Toc20486"/>
      <w:bookmarkStart w:id="150" w:name="_Toc14739"/>
      <w:bookmarkStart w:id="151" w:name="_Toc2129"/>
      <w:bookmarkStart w:id="152" w:name="_Toc13375"/>
      <w:r>
        <w:rPr>
          <w:rFonts w:hint="eastAsia" w:ascii="仿宋" w:hAnsi="仿宋" w:eastAsia="仿宋" w:cs="仿宋"/>
          <w:color w:val="auto"/>
          <w:sz w:val="28"/>
          <w:szCs w:val="28"/>
          <w:u w:val="none"/>
        </w:rPr>
        <w:t>8.投标范围及投标文件中标准和计量单位的使用</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1ACA6C2F">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8.1项目有分包的，供应商可对招标文件其中某一个或几个分包服务</w:t>
      </w:r>
    </w:p>
    <w:p w14:paraId="10F58317">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进行投标，除非在</w:t>
      </w:r>
      <w:r>
        <w:rPr>
          <w:rFonts w:hint="eastAsia" w:ascii="仿宋" w:hAnsi="仿宋" w:eastAsia="仿宋" w:cs="仿宋"/>
          <w:color w:val="auto"/>
          <w:sz w:val="28"/>
          <w:szCs w:val="28"/>
          <w:u w:val="single"/>
        </w:rPr>
        <w:t>供应商须知资料表</w:t>
      </w:r>
      <w:r>
        <w:rPr>
          <w:rFonts w:hint="eastAsia" w:ascii="仿宋" w:hAnsi="仿宋" w:eastAsia="仿宋" w:cs="仿宋"/>
          <w:color w:val="auto"/>
          <w:sz w:val="28"/>
          <w:szCs w:val="28"/>
        </w:rPr>
        <w:t>中另有规定。</w:t>
      </w:r>
    </w:p>
    <w:p w14:paraId="3AB46C78">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8.2 供应商应当对所投分包招标文件中“货物内容及项目要求”所</w:t>
      </w:r>
    </w:p>
    <w:p w14:paraId="2A7D928B">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列的所有内容进行投标，如仅响应某一包中的部分内容，其该包投</w:t>
      </w:r>
    </w:p>
    <w:p w14:paraId="6F1C14D8">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56FA701C">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8.3 除招标文件中有特殊要求外，投标文件中所使用的计量单位，</w:t>
      </w:r>
    </w:p>
    <w:p w14:paraId="1C13633A">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应采用中华人民共和国法定计量单位。</w:t>
      </w:r>
    </w:p>
    <w:p w14:paraId="3A52274A">
      <w:pPr>
        <w:pStyle w:val="6"/>
        <w:pageBreakBefore w:val="0"/>
        <w:tabs>
          <w:tab w:val="left" w:pos="900"/>
        </w:tabs>
        <w:kinsoku/>
        <w:wordWrap/>
        <w:overflowPunct/>
        <w:topLinePunct w:val="0"/>
        <w:bidi w:val="0"/>
        <w:spacing w:before="0" w:after="0" w:line="500" w:lineRule="exact"/>
        <w:rPr>
          <w:rFonts w:hint="eastAsia" w:ascii="仿宋" w:hAnsi="仿宋" w:eastAsia="仿宋" w:cs="仿宋"/>
          <w:color w:val="auto"/>
          <w:sz w:val="28"/>
          <w:szCs w:val="28"/>
          <w:u w:val="none"/>
        </w:rPr>
      </w:pPr>
      <w:bookmarkStart w:id="153" w:name="_Ref467306195"/>
      <w:bookmarkStart w:id="154" w:name="_Toc516367022"/>
      <w:bookmarkStart w:id="155" w:name="_Ref467306676"/>
      <w:bookmarkStart w:id="156" w:name="_Toc258"/>
      <w:bookmarkStart w:id="157" w:name="_Toc515647768"/>
      <w:bookmarkStart w:id="158" w:name="_Toc6152"/>
      <w:bookmarkStart w:id="159" w:name="_Toc10364"/>
      <w:bookmarkStart w:id="160" w:name="_Toc23291"/>
      <w:bookmarkStart w:id="161" w:name="_Toc25596"/>
      <w:bookmarkStart w:id="162" w:name="_Toc20101"/>
      <w:bookmarkStart w:id="163" w:name="_Toc9418"/>
      <w:bookmarkStart w:id="164" w:name="_Toc12220"/>
      <w:bookmarkStart w:id="165" w:name="_Toc22897"/>
      <w:bookmarkStart w:id="166" w:name="_Toc28307"/>
      <w:bookmarkStart w:id="167" w:name="_Toc11144"/>
      <w:bookmarkStart w:id="168" w:name="_Toc22958"/>
      <w:bookmarkStart w:id="169" w:name="_Toc16016"/>
      <w:bookmarkStart w:id="170" w:name="_Toc18673"/>
      <w:bookmarkStart w:id="171" w:name="_Toc22417"/>
      <w:bookmarkStart w:id="172" w:name="_Toc15740"/>
      <w:bookmarkStart w:id="173" w:name="_Toc11888"/>
      <w:bookmarkStart w:id="174" w:name="_Toc520356152"/>
      <w:r>
        <w:rPr>
          <w:rFonts w:hint="eastAsia" w:ascii="仿宋" w:hAnsi="仿宋" w:eastAsia="仿宋" w:cs="仿宋"/>
          <w:color w:val="auto"/>
          <w:sz w:val="28"/>
          <w:szCs w:val="28"/>
          <w:u w:val="none"/>
        </w:rPr>
        <w:t>9.投标文件</w:t>
      </w:r>
      <w:bookmarkEnd w:id="153"/>
      <w:bookmarkEnd w:id="154"/>
      <w:bookmarkEnd w:id="155"/>
      <w:r>
        <w:rPr>
          <w:rFonts w:hint="eastAsia" w:ascii="仿宋" w:hAnsi="仿宋" w:eastAsia="仿宋" w:cs="仿宋"/>
          <w:color w:val="auto"/>
          <w:sz w:val="28"/>
          <w:szCs w:val="28"/>
          <w:u w:val="none"/>
        </w:rPr>
        <w:t>构成</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5BE72C3">
      <w:pPr>
        <w:pageBreakBefore w:val="0"/>
        <w:kinsoku/>
        <w:wordWrap/>
        <w:overflowPunct/>
        <w:topLinePunct w:val="0"/>
        <w:bidi w:val="0"/>
        <w:spacing w:line="500" w:lineRule="exact"/>
        <w:ind w:left="900" w:hanging="1050" w:hangingChars="375"/>
        <w:rPr>
          <w:rFonts w:hint="eastAsia" w:ascii="仿宋" w:hAnsi="仿宋" w:eastAsia="仿宋" w:cs="仿宋"/>
          <w:b/>
          <w:bCs/>
          <w:color w:val="auto"/>
          <w:sz w:val="28"/>
          <w:szCs w:val="28"/>
          <w:u w:val="single"/>
        </w:rPr>
      </w:pPr>
      <w:bookmarkStart w:id="175" w:name="_Ref467052588"/>
      <w:r>
        <w:rPr>
          <w:rFonts w:hint="eastAsia" w:ascii="仿宋" w:hAnsi="仿宋" w:eastAsia="仿宋" w:cs="仿宋"/>
          <w:color w:val="auto"/>
          <w:sz w:val="28"/>
          <w:szCs w:val="28"/>
        </w:rPr>
        <w:t xml:space="preserve">9.1 </w:t>
      </w:r>
      <w:r>
        <w:rPr>
          <w:rFonts w:hint="eastAsia" w:ascii="仿宋" w:hAnsi="仿宋" w:eastAsia="仿宋" w:cs="仿宋"/>
          <w:b/>
          <w:bCs/>
          <w:color w:val="auto"/>
          <w:sz w:val="28"/>
          <w:szCs w:val="28"/>
          <w:u w:val="single"/>
        </w:rPr>
        <w:t>投标单位应完整地按招标文件提供的投标文件格式及要求编写</w:t>
      </w:r>
    </w:p>
    <w:p w14:paraId="6EE24670">
      <w:pPr>
        <w:pageBreakBefore w:val="0"/>
        <w:kinsoku/>
        <w:wordWrap/>
        <w:overflowPunct/>
        <w:topLinePunct w:val="0"/>
        <w:bidi w:val="0"/>
        <w:spacing w:line="500" w:lineRule="exact"/>
        <w:ind w:left="900" w:hanging="1050" w:hangingChars="375"/>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u w:val="single"/>
        </w:rPr>
        <w:t>投标文件， 投标单位须在投标截止时间前完成在系统上递交电子投</w:t>
      </w:r>
    </w:p>
    <w:p w14:paraId="387BCB14">
      <w:pPr>
        <w:pageBreakBefore w:val="0"/>
        <w:kinsoku/>
        <w:wordWrap/>
        <w:overflowPunct/>
        <w:topLinePunct w:val="0"/>
        <w:bidi w:val="0"/>
        <w:spacing w:line="500" w:lineRule="exact"/>
        <w:ind w:left="900" w:hanging="1050" w:hangingChars="375"/>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u w:val="single"/>
        </w:rPr>
        <w:t>标文件。投标单位的电子投标文件是经过CA证书加密后上传提交的，</w:t>
      </w:r>
    </w:p>
    <w:p w14:paraId="47DC62AB">
      <w:pPr>
        <w:pageBreakBefore w:val="0"/>
        <w:kinsoku/>
        <w:wordWrap/>
        <w:overflowPunct/>
        <w:topLinePunct w:val="0"/>
        <w:bidi w:val="0"/>
        <w:spacing w:line="500" w:lineRule="exact"/>
        <w:ind w:left="900" w:hanging="1050" w:hangingChars="375"/>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u w:val="single"/>
        </w:rPr>
        <w:t>任何单位或个人均无法在投标截止时间(即投标时间)之前查看或篡</w:t>
      </w:r>
    </w:p>
    <w:p w14:paraId="54D5FE4D">
      <w:pPr>
        <w:pageBreakBefore w:val="0"/>
        <w:kinsoku/>
        <w:wordWrap/>
        <w:overflowPunct/>
        <w:topLinePunct w:val="0"/>
        <w:bidi w:val="0"/>
        <w:spacing w:line="500" w:lineRule="exact"/>
        <w:ind w:left="900" w:hanging="1050" w:hangingChars="375"/>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u w:val="single"/>
        </w:rPr>
        <w:t>改，不存在泄密风险。（严格按照政采云电子投标流程制作并上传</w:t>
      </w:r>
    </w:p>
    <w:p w14:paraId="2DD0E2FF">
      <w:pPr>
        <w:pageBreakBefore w:val="0"/>
        <w:kinsoku/>
        <w:wordWrap/>
        <w:overflowPunct/>
        <w:topLinePunct w:val="0"/>
        <w:bidi w:val="0"/>
        <w:spacing w:line="500" w:lineRule="exact"/>
        <w:ind w:left="900" w:hanging="1050" w:hangingChars="375"/>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u w:val="single"/>
        </w:rPr>
        <w:t>电子投标文件）</w:t>
      </w:r>
    </w:p>
    <w:p w14:paraId="21C73C4C">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9.2 上述文件应按照招标文件规定的格式填写、签署和盖章。</w:t>
      </w:r>
      <w:bookmarkEnd w:id="175"/>
    </w:p>
    <w:p w14:paraId="07FA7620">
      <w:pPr>
        <w:pStyle w:val="6"/>
        <w:pageBreakBefore w:val="0"/>
        <w:tabs>
          <w:tab w:val="left" w:pos="900"/>
        </w:tabs>
        <w:kinsoku/>
        <w:wordWrap/>
        <w:overflowPunct/>
        <w:topLinePunct w:val="0"/>
        <w:bidi w:val="0"/>
        <w:spacing w:before="0" w:after="0" w:line="500" w:lineRule="exact"/>
        <w:rPr>
          <w:rFonts w:hint="eastAsia" w:ascii="仿宋" w:hAnsi="仿宋" w:eastAsia="仿宋" w:cs="仿宋"/>
          <w:color w:val="auto"/>
          <w:sz w:val="28"/>
          <w:szCs w:val="28"/>
          <w:u w:val="none"/>
        </w:rPr>
      </w:pPr>
      <w:bookmarkStart w:id="176" w:name="_Toc17150"/>
      <w:bookmarkStart w:id="177" w:name="_Toc12121"/>
      <w:bookmarkStart w:id="178" w:name="_Toc2056"/>
      <w:bookmarkStart w:id="179" w:name="_Toc10584"/>
      <w:bookmarkStart w:id="180" w:name="_Toc6978"/>
      <w:bookmarkStart w:id="181" w:name="_Toc516367023"/>
      <w:bookmarkStart w:id="182" w:name="_Toc4601"/>
      <w:bookmarkStart w:id="183" w:name="_Toc515647769"/>
      <w:bookmarkStart w:id="184" w:name="_Toc17715"/>
      <w:bookmarkStart w:id="185" w:name="_Toc12338"/>
      <w:bookmarkStart w:id="186" w:name="_Toc22195"/>
      <w:bookmarkStart w:id="187" w:name="_Toc14035"/>
      <w:bookmarkStart w:id="188" w:name="_Toc15151"/>
      <w:bookmarkStart w:id="189" w:name="_Toc10379"/>
      <w:bookmarkStart w:id="190" w:name="_Toc520356153"/>
      <w:bookmarkStart w:id="191" w:name="_Toc30354"/>
      <w:bookmarkStart w:id="192" w:name="_Toc23028"/>
      <w:bookmarkStart w:id="193" w:name="_Toc32499"/>
      <w:bookmarkStart w:id="194" w:name="_Toc1879"/>
      <w:bookmarkStart w:id="195" w:name="_Toc18045"/>
      <w:r>
        <w:rPr>
          <w:rFonts w:hint="eastAsia" w:ascii="仿宋" w:hAnsi="仿宋" w:eastAsia="仿宋" w:cs="仿宋"/>
          <w:color w:val="auto"/>
          <w:sz w:val="28"/>
          <w:szCs w:val="28"/>
          <w:u w:val="none"/>
        </w:rPr>
        <w:t>10.证明投标的合格性和符合招标文件规定的技术文件</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hint="eastAsia" w:ascii="仿宋" w:hAnsi="仿宋" w:eastAsia="仿宋" w:cs="仿宋"/>
          <w:color w:val="auto"/>
          <w:sz w:val="28"/>
          <w:szCs w:val="28"/>
          <w:u w:val="none"/>
        </w:rPr>
        <w:t>。</w:t>
      </w:r>
      <w:bookmarkEnd w:id="192"/>
      <w:bookmarkEnd w:id="193"/>
      <w:bookmarkEnd w:id="194"/>
      <w:bookmarkEnd w:id="195"/>
    </w:p>
    <w:p w14:paraId="082761DA">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10.1供应商应提交证明文件，证明其投标内容符合招标文件规定。</w:t>
      </w:r>
    </w:p>
    <w:p w14:paraId="6EAFB57D">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该证明文件是投标文件的一部分。</w:t>
      </w:r>
    </w:p>
    <w:p w14:paraId="24A4B3C7">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bookmarkStart w:id="196" w:name="_Ref467306244"/>
      <w:r>
        <w:rPr>
          <w:rFonts w:hint="eastAsia" w:ascii="仿宋" w:hAnsi="仿宋" w:eastAsia="仿宋" w:cs="仿宋"/>
          <w:color w:val="auto"/>
          <w:sz w:val="28"/>
          <w:szCs w:val="28"/>
        </w:rPr>
        <w:t>10.2上款所述的证明文件，可以是文字资料、图纸和数据，</w:t>
      </w:r>
      <w:bookmarkEnd w:id="196"/>
      <w:r>
        <w:rPr>
          <w:rFonts w:hint="eastAsia" w:ascii="仿宋" w:hAnsi="仿宋" w:eastAsia="仿宋" w:cs="仿宋"/>
          <w:color w:val="auto"/>
          <w:sz w:val="28"/>
          <w:szCs w:val="28"/>
        </w:rPr>
        <w:t>它包括：</w:t>
      </w:r>
    </w:p>
    <w:p w14:paraId="1DC7B8F8">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10.2.1</w:t>
      </w:r>
      <w:r>
        <w:rPr>
          <w:rFonts w:hint="eastAsia" w:ascii="仿宋" w:hAnsi="仿宋" w:eastAsia="仿宋" w:cs="仿宋"/>
          <w:color w:val="auto"/>
          <w:sz w:val="28"/>
          <w:szCs w:val="28"/>
        </w:rPr>
        <w:tab/>
      </w:r>
      <w:r>
        <w:rPr>
          <w:rFonts w:hint="eastAsia" w:ascii="仿宋" w:hAnsi="仿宋" w:eastAsia="仿宋" w:cs="仿宋"/>
          <w:color w:val="auto"/>
          <w:sz w:val="28"/>
          <w:szCs w:val="28"/>
        </w:rPr>
        <w:t>设备主要技术指标的详细说明；</w:t>
      </w:r>
    </w:p>
    <w:p w14:paraId="25DED3A0">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10.2.2</w:t>
      </w:r>
      <w:r>
        <w:rPr>
          <w:rFonts w:hint="eastAsia" w:ascii="仿宋" w:hAnsi="仿宋" w:eastAsia="仿宋" w:cs="仿宋"/>
          <w:color w:val="auto"/>
          <w:sz w:val="28"/>
          <w:szCs w:val="28"/>
        </w:rPr>
        <w:tab/>
      </w:r>
      <w:r>
        <w:rPr>
          <w:rFonts w:hint="eastAsia" w:ascii="仿宋" w:hAnsi="仿宋" w:eastAsia="仿宋" w:cs="仿宋"/>
          <w:color w:val="auto"/>
          <w:sz w:val="28"/>
          <w:szCs w:val="28"/>
        </w:rPr>
        <w:t>货物从买方开始使用至招标文件规定的保质期内正常、连续</w:t>
      </w:r>
    </w:p>
    <w:p w14:paraId="4503CF92">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地使用所必需的备件和专用工具清单，包括备件和专用工具的货源</w:t>
      </w:r>
    </w:p>
    <w:p w14:paraId="629BBEDD">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及现行价格；</w:t>
      </w:r>
    </w:p>
    <w:p w14:paraId="2C390747">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10.2.3</w:t>
      </w:r>
      <w:r>
        <w:rPr>
          <w:rFonts w:hint="eastAsia" w:ascii="仿宋" w:hAnsi="仿宋" w:eastAsia="仿宋" w:cs="仿宋"/>
          <w:color w:val="auto"/>
          <w:sz w:val="28"/>
          <w:szCs w:val="28"/>
        </w:rPr>
        <w:tab/>
      </w:r>
      <w:r>
        <w:rPr>
          <w:rFonts w:hint="eastAsia" w:ascii="仿宋" w:hAnsi="仿宋" w:eastAsia="仿宋" w:cs="仿宋"/>
          <w:color w:val="auto"/>
          <w:sz w:val="28"/>
          <w:szCs w:val="28"/>
        </w:rPr>
        <w:t>对照招标文件技术规格，逐条说明所提供货物及伴随的工程</w:t>
      </w:r>
    </w:p>
    <w:p w14:paraId="6242354D">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和货物已对招标文件的技术规格做出了实质性的响应，或申明与技</w:t>
      </w:r>
    </w:p>
    <w:p w14:paraId="11EB91DF">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术规格条文的偏差和例外。</w:t>
      </w:r>
    </w:p>
    <w:p w14:paraId="7F5D016E">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10.3供应商在投标中可以选用替代牌号或分类号，实质上技术规格</w:t>
      </w:r>
    </w:p>
    <w:p w14:paraId="2016F4F0">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的要求</w:t>
      </w:r>
      <w:r>
        <w:rPr>
          <w:rFonts w:hint="eastAsia" w:ascii="仿宋" w:hAnsi="仿宋" w:eastAsia="仿宋" w:cs="仿宋"/>
          <w:color w:val="auto"/>
          <w:sz w:val="28"/>
          <w:szCs w:val="28"/>
          <w:lang w:val="en-US"/>
        </w:rPr>
        <w:t>必须完全响应</w:t>
      </w:r>
      <w:r>
        <w:rPr>
          <w:rFonts w:hint="eastAsia" w:ascii="仿宋" w:hAnsi="仿宋" w:eastAsia="仿宋" w:cs="仿宋"/>
          <w:color w:val="auto"/>
          <w:sz w:val="28"/>
          <w:szCs w:val="28"/>
        </w:rPr>
        <w:t>采购人、采购代理机构承诺不以上述参照品牌</w:t>
      </w:r>
    </w:p>
    <w:p w14:paraId="7FF3078D">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型号或分类号作为评标时判定其投标是否有效的标准。</w:t>
      </w:r>
    </w:p>
    <w:p w14:paraId="243284D3">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197" w:name="_Toc29220"/>
      <w:bookmarkStart w:id="198" w:name="_Toc24468"/>
      <w:bookmarkStart w:id="199" w:name="_Toc30792"/>
      <w:bookmarkStart w:id="200" w:name="_Toc11160"/>
      <w:bookmarkStart w:id="201" w:name="_Toc25118"/>
      <w:bookmarkStart w:id="202" w:name="_Toc30467"/>
      <w:bookmarkStart w:id="203" w:name="_Toc515647770"/>
      <w:bookmarkStart w:id="204" w:name="_Toc21396"/>
      <w:bookmarkStart w:id="205" w:name="_Toc5144"/>
      <w:bookmarkStart w:id="206" w:name="_Toc29204"/>
      <w:bookmarkStart w:id="207" w:name="_Toc28480"/>
      <w:bookmarkStart w:id="208" w:name="_Toc520356155"/>
      <w:bookmarkStart w:id="209" w:name="_Toc25641"/>
      <w:bookmarkStart w:id="210" w:name="_Toc2248"/>
      <w:bookmarkStart w:id="211" w:name="_Toc26145"/>
      <w:bookmarkStart w:id="212" w:name="_Toc6338"/>
      <w:bookmarkStart w:id="213" w:name="_Toc23231"/>
      <w:bookmarkStart w:id="214" w:name="_Toc301"/>
      <w:bookmarkStart w:id="215" w:name="_Toc3868"/>
      <w:r>
        <w:rPr>
          <w:rFonts w:hint="eastAsia" w:ascii="仿宋" w:hAnsi="仿宋" w:eastAsia="仿宋" w:cs="仿宋"/>
          <w:color w:val="auto"/>
          <w:sz w:val="28"/>
          <w:szCs w:val="28"/>
          <w:u w:val="none"/>
        </w:rPr>
        <w:t>11.投标报价</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9521581">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11.1所有投标均以人民币报价。供应商的投标报价应遵守《中华人</w:t>
      </w:r>
    </w:p>
    <w:p w14:paraId="79206100">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民共和国价格法》。同时，根据《中华人民共和国政府采购法》第</w:t>
      </w:r>
    </w:p>
    <w:p w14:paraId="4B85D617">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二条的规定，为保证公平竞争，如有主体部分的赠与行为，其投标</w:t>
      </w:r>
    </w:p>
    <w:p w14:paraId="0E2F33FA">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044F4E5E">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11.2供应商应在投标分项报价表上标明投标相关货物的单价（如适</w:t>
      </w:r>
    </w:p>
    <w:p w14:paraId="3F26F655">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用）和总价，并由法定代表人或其授权代表签署。</w:t>
      </w:r>
    </w:p>
    <w:p w14:paraId="14A2E9B8">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11.3投标分项报价表上的价格应按下列方式填写；</w:t>
      </w:r>
    </w:p>
    <w:p w14:paraId="521C9A36">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11.4供应商所报的各分项投标单价在合同履行过程中是固定不变的，</w:t>
      </w:r>
    </w:p>
    <w:p w14:paraId="2EEFD11E">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不得以任何理由予以变更。任何包含价格调整要求的投标，其投标</w:t>
      </w:r>
    </w:p>
    <w:p w14:paraId="62240859">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299DB486">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11.5每种货物只能有一个投标报价。采购人不接受具有附加条件的</w:t>
      </w:r>
    </w:p>
    <w:p w14:paraId="457B7BA7">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报价。</w:t>
      </w:r>
    </w:p>
    <w:p w14:paraId="6BD4B9AC">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216" w:name="_Toc21719"/>
      <w:bookmarkStart w:id="217" w:name="_Toc515647771"/>
      <w:bookmarkStart w:id="218" w:name="_Toc520356156"/>
      <w:bookmarkStart w:id="219" w:name="_Toc1683"/>
      <w:bookmarkStart w:id="220" w:name="_Toc15349"/>
      <w:bookmarkStart w:id="221" w:name="_Toc25003"/>
      <w:bookmarkStart w:id="222" w:name="_Toc11514"/>
      <w:bookmarkStart w:id="223" w:name="_Toc3670"/>
      <w:bookmarkStart w:id="224" w:name="_Toc10329"/>
      <w:bookmarkStart w:id="225" w:name="_Toc23784"/>
      <w:bookmarkStart w:id="226" w:name="_Toc23666"/>
      <w:bookmarkStart w:id="227" w:name="_Toc28149"/>
      <w:bookmarkStart w:id="228" w:name="_Ref467306513"/>
      <w:bookmarkStart w:id="229" w:name="_Toc19603"/>
      <w:bookmarkStart w:id="230" w:name="_Toc5648"/>
      <w:bookmarkStart w:id="231" w:name="_Toc24283"/>
      <w:bookmarkStart w:id="232" w:name="_Toc17788"/>
      <w:bookmarkStart w:id="233" w:name="_Toc18556"/>
      <w:bookmarkStart w:id="234" w:name="_Toc30245"/>
      <w:bookmarkStart w:id="235" w:name="_Toc28730"/>
      <w:r>
        <w:rPr>
          <w:rFonts w:hint="eastAsia" w:ascii="仿宋" w:hAnsi="仿宋" w:eastAsia="仿宋" w:cs="仿宋"/>
          <w:color w:val="auto"/>
          <w:sz w:val="28"/>
          <w:szCs w:val="28"/>
          <w:u w:val="none"/>
        </w:rPr>
        <w:t>12.投标保证金</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59FA8222">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bookmarkStart w:id="236" w:name="_Ref467306302"/>
      <w:r>
        <w:rPr>
          <w:rFonts w:hint="eastAsia" w:ascii="仿宋" w:hAnsi="仿宋" w:eastAsia="仿宋" w:cs="仿宋"/>
          <w:color w:val="auto"/>
          <w:sz w:val="28"/>
          <w:szCs w:val="28"/>
        </w:rPr>
        <w:t>12.1供应商应提交</w:t>
      </w:r>
      <w:r>
        <w:rPr>
          <w:rFonts w:hint="eastAsia" w:ascii="仿宋" w:hAnsi="仿宋" w:eastAsia="仿宋" w:cs="仿宋"/>
          <w:color w:val="auto"/>
          <w:sz w:val="28"/>
          <w:szCs w:val="28"/>
          <w:u w:val="single"/>
        </w:rPr>
        <w:t>供应商须知资料表</w:t>
      </w:r>
      <w:r>
        <w:rPr>
          <w:rFonts w:hint="eastAsia" w:ascii="仿宋" w:hAnsi="仿宋" w:eastAsia="仿宋" w:cs="仿宋"/>
          <w:color w:val="auto"/>
          <w:sz w:val="28"/>
          <w:szCs w:val="28"/>
        </w:rPr>
        <w:t>中规定的投标保证金</w:t>
      </w:r>
      <w:bookmarkEnd w:id="236"/>
      <w:r>
        <w:rPr>
          <w:rFonts w:hint="eastAsia" w:ascii="仿宋" w:hAnsi="仿宋" w:eastAsia="仿宋" w:cs="仿宋"/>
          <w:color w:val="auto"/>
          <w:sz w:val="28"/>
          <w:szCs w:val="28"/>
        </w:rPr>
        <w:t>，并作为</w:t>
      </w:r>
    </w:p>
    <w:p w14:paraId="2A329B6F">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其投标的一部分。</w:t>
      </w:r>
    </w:p>
    <w:p w14:paraId="6F9AA0D3">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12.2供应商存在下列情形的，投标保证金不予退还：</w:t>
      </w:r>
    </w:p>
    <w:p w14:paraId="55280267">
      <w:pPr>
        <w:pStyle w:val="16"/>
        <w:pageBreakBefore w:val="0"/>
        <w:tabs>
          <w:tab w:val="left" w:pos="2240"/>
        </w:tabs>
        <w:kinsoku/>
        <w:wordWrap/>
        <w:overflowPunct/>
        <w:topLinePunct w:val="0"/>
        <w:bidi w:val="0"/>
        <w:spacing w:line="500" w:lineRule="exact"/>
        <w:ind w:left="300" w:hanging="350" w:hangingChars="125"/>
        <w:rPr>
          <w:rFonts w:hint="eastAsia" w:ascii="仿宋" w:hAnsi="仿宋" w:eastAsia="仿宋" w:cs="仿宋"/>
          <w:color w:val="auto"/>
          <w:sz w:val="28"/>
          <w:szCs w:val="28"/>
        </w:rPr>
      </w:pPr>
      <w:r>
        <w:rPr>
          <w:rFonts w:hint="eastAsia" w:ascii="仿宋" w:hAnsi="仿宋" w:eastAsia="仿宋" w:cs="仿宋"/>
          <w:color w:val="auto"/>
          <w:sz w:val="28"/>
          <w:szCs w:val="28"/>
        </w:rPr>
        <w:t>（1）在投标有效期内，撤销投标的；</w:t>
      </w:r>
    </w:p>
    <w:p w14:paraId="2772B5C0">
      <w:pPr>
        <w:pStyle w:val="16"/>
        <w:pageBreakBefore w:val="0"/>
        <w:tabs>
          <w:tab w:val="left" w:pos="2240"/>
        </w:tabs>
        <w:kinsoku/>
        <w:wordWrap/>
        <w:overflowPunct/>
        <w:topLinePunct w:val="0"/>
        <w:bidi w:val="0"/>
        <w:spacing w:line="500" w:lineRule="exact"/>
        <w:ind w:left="300" w:hanging="350" w:hangingChars="125"/>
        <w:rPr>
          <w:rFonts w:hint="eastAsia" w:ascii="仿宋" w:hAnsi="仿宋" w:eastAsia="仿宋" w:cs="仿宋"/>
          <w:color w:val="auto"/>
          <w:sz w:val="28"/>
          <w:szCs w:val="28"/>
        </w:rPr>
      </w:pPr>
      <w:r>
        <w:rPr>
          <w:rFonts w:hint="eastAsia" w:ascii="仿宋" w:hAnsi="仿宋" w:eastAsia="仿宋" w:cs="仿宋"/>
          <w:color w:val="auto"/>
          <w:sz w:val="28"/>
          <w:szCs w:val="28"/>
        </w:rPr>
        <w:t>（2）中标后不按本须知第30条的规定与采购人签订合同的；</w:t>
      </w:r>
    </w:p>
    <w:p w14:paraId="073EDEDB">
      <w:pPr>
        <w:pStyle w:val="16"/>
        <w:pageBreakBefore w:val="0"/>
        <w:tabs>
          <w:tab w:val="left" w:pos="2240"/>
        </w:tabs>
        <w:kinsoku/>
        <w:wordWrap/>
        <w:overflowPunct/>
        <w:topLinePunct w:val="0"/>
        <w:bidi w:val="0"/>
        <w:spacing w:line="500" w:lineRule="exact"/>
        <w:ind w:left="300" w:hanging="350" w:hangingChars="125"/>
        <w:rPr>
          <w:rFonts w:hint="eastAsia" w:ascii="仿宋" w:hAnsi="仿宋" w:eastAsia="仿宋" w:cs="仿宋"/>
          <w:color w:val="auto"/>
          <w:sz w:val="28"/>
          <w:szCs w:val="28"/>
          <w:highlight w:val="cyan"/>
        </w:rPr>
      </w:pPr>
      <w:r>
        <w:rPr>
          <w:rFonts w:hint="eastAsia" w:ascii="仿宋" w:hAnsi="仿宋" w:eastAsia="仿宋" w:cs="仿宋"/>
          <w:color w:val="auto"/>
          <w:sz w:val="28"/>
          <w:szCs w:val="28"/>
        </w:rPr>
        <w:t>（3）中标后不按本须知第31条的规定提交履约保证金的；</w:t>
      </w:r>
    </w:p>
    <w:p w14:paraId="6370AB66">
      <w:pPr>
        <w:pStyle w:val="16"/>
        <w:pageBreakBefore w:val="0"/>
        <w:tabs>
          <w:tab w:val="left" w:pos="2240"/>
        </w:tabs>
        <w:kinsoku/>
        <w:wordWrap/>
        <w:overflowPunct/>
        <w:topLinePunct w:val="0"/>
        <w:bidi w:val="0"/>
        <w:spacing w:line="500" w:lineRule="exact"/>
        <w:ind w:left="300" w:hanging="350" w:hangingChars="125"/>
        <w:rPr>
          <w:rFonts w:hint="eastAsia" w:ascii="仿宋" w:hAnsi="仿宋" w:eastAsia="仿宋" w:cs="仿宋"/>
          <w:color w:val="auto"/>
          <w:sz w:val="28"/>
          <w:szCs w:val="28"/>
        </w:rPr>
      </w:pPr>
      <w:r>
        <w:rPr>
          <w:rFonts w:hint="eastAsia" w:ascii="仿宋" w:hAnsi="仿宋" w:eastAsia="仿宋" w:cs="仿宋"/>
          <w:color w:val="auto"/>
          <w:sz w:val="28"/>
          <w:szCs w:val="28"/>
        </w:rPr>
        <w:t>（4）中标后不按本须知第32条的规定缴纳中标服务费的；</w:t>
      </w:r>
    </w:p>
    <w:p w14:paraId="1B2D7DA7">
      <w:pPr>
        <w:pStyle w:val="16"/>
        <w:pageBreakBefore w:val="0"/>
        <w:tabs>
          <w:tab w:val="left" w:pos="2240"/>
        </w:tabs>
        <w:kinsoku/>
        <w:wordWrap/>
        <w:overflowPunct/>
        <w:topLinePunct w:val="0"/>
        <w:bidi w:val="0"/>
        <w:spacing w:line="500" w:lineRule="exact"/>
        <w:ind w:left="300" w:hanging="350" w:hangingChars="125"/>
        <w:rPr>
          <w:rFonts w:hint="eastAsia" w:ascii="仿宋" w:hAnsi="仿宋" w:eastAsia="仿宋" w:cs="仿宋"/>
          <w:color w:val="auto"/>
          <w:sz w:val="28"/>
          <w:szCs w:val="28"/>
        </w:rPr>
      </w:pPr>
      <w:r>
        <w:rPr>
          <w:rFonts w:hint="eastAsia" w:ascii="仿宋" w:hAnsi="仿宋" w:eastAsia="仿宋" w:cs="仿宋"/>
          <w:color w:val="auto"/>
          <w:sz w:val="28"/>
          <w:szCs w:val="28"/>
        </w:rPr>
        <w:t>（5）存在其他违法违规行为的。</w:t>
      </w:r>
    </w:p>
    <w:p w14:paraId="5D6F3411">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bookmarkStart w:id="237" w:name="_Ref467306336"/>
      <w:r>
        <w:rPr>
          <w:rFonts w:hint="eastAsia" w:ascii="仿宋" w:hAnsi="仿宋" w:eastAsia="仿宋" w:cs="仿宋"/>
          <w:color w:val="auto"/>
          <w:sz w:val="28"/>
          <w:szCs w:val="28"/>
        </w:rPr>
        <w:t>12.3</w:t>
      </w:r>
      <w:bookmarkEnd w:id="237"/>
      <w:r>
        <w:rPr>
          <w:rFonts w:hint="eastAsia" w:ascii="仿宋" w:hAnsi="仿宋" w:eastAsia="仿宋" w:cs="仿宋"/>
          <w:color w:val="auto"/>
          <w:sz w:val="28"/>
          <w:szCs w:val="28"/>
        </w:rPr>
        <w:t>政府采购信用担保试点范围内的项目，接受符合财政部门规定</w:t>
      </w:r>
    </w:p>
    <w:p w14:paraId="570D655F">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的政府采购投标担开户行银行保函原件。</w:t>
      </w:r>
    </w:p>
    <w:p w14:paraId="6B3F2C8C">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12.4供应商未按本须知第12.1和12.3条规定提交投标保证金的，</w:t>
      </w:r>
    </w:p>
    <w:p w14:paraId="5B35C7B4">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其投标将被认定为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39BD72F9">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12.4.1采用电汇形式的，一般可以实时入账。</w:t>
      </w:r>
    </w:p>
    <w:p w14:paraId="6ADFB0EA">
      <w:pPr>
        <w:pageBreakBefore w:val="0"/>
        <w:kinsoku/>
        <w:wordWrap/>
        <w:overflowPunct/>
        <w:topLinePunct w:val="0"/>
        <w:bidi w:val="0"/>
        <w:spacing w:line="500" w:lineRule="exact"/>
        <w:ind w:left="960" w:hanging="1120" w:hangingChars="400"/>
        <w:jc w:val="left"/>
        <w:rPr>
          <w:rFonts w:hint="eastAsia" w:ascii="仿宋" w:hAnsi="仿宋" w:eastAsia="仿宋" w:cs="仿宋"/>
          <w:color w:val="auto"/>
          <w:sz w:val="28"/>
          <w:szCs w:val="28"/>
        </w:rPr>
      </w:pPr>
      <w:r>
        <w:rPr>
          <w:rFonts w:hint="eastAsia" w:ascii="仿宋" w:hAnsi="仿宋" w:eastAsia="仿宋" w:cs="仿宋"/>
          <w:color w:val="auto"/>
          <w:sz w:val="28"/>
          <w:szCs w:val="28"/>
        </w:rPr>
        <w:t>12.4.2 采用支票形式的，供应商则应充分考虑支票入账时间，以确</w:t>
      </w:r>
    </w:p>
    <w:p w14:paraId="74D2FECA">
      <w:pPr>
        <w:pageBreakBefore w:val="0"/>
        <w:kinsoku/>
        <w:wordWrap/>
        <w:overflowPunct/>
        <w:topLinePunct w:val="0"/>
        <w:bidi w:val="0"/>
        <w:spacing w:line="500" w:lineRule="exact"/>
        <w:ind w:left="960" w:hanging="1120" w:hangingChars="400"/>
        <w:jc w:val="left"/>
        <w:rPr>
          <w:rFonts w:hint="eastAsia" w:ascii="仿宋" w:hAnsi="仿宋" w:eastAsia="仿宋" w:cs="仿宋"/>
          <w:color w:val="auto"/>
          <w:sz w:val="28"/>
          <w:szCs w:val="28"/>
        </w:rPr>
      </w:pPr>
      <w:r>
        <w:rPr>
          <w:rFonts w:hint="eastAsia" w:ascii="仿宋" w:hAnsi="仿宋" w:eastAsia="仿宋" w:cs="仿宋"/>
          <w:color w:val="auto"/>
          <w:sz w:val="28"/>
          <w:szCs w:val="28"/>
        </w:rPr>
        <w:t>保投标保证金能按时进入指定账户。根据银行信息交换和付款时间，</w:t>
      </w:r>
    </w:p>
    <w:p w14:paraId="49FD93EF">
      <w:pPr>
        <w:pageBreakBefore w:val="0"/>
        <w:kinsoku/>
        <w:wordWrap/>
        <w:overflowPunct/>
        <w:topLinePunct w:val="0"/>
        <w:bidi w:val="0"/>
        <w:spacing w:line="500" w:lineRule="exact"/>
        <w:ind w:left="960" w:hanging="1120" w:hangingChars="400"/>
        <w:jc w:val="left"/>
        <w:rPr>
          <w:rFonts w:hint="eastAsia" w:ascii="仿宋" w:hAnsi="仿宋" w:eastAsia="仿宋" w:cs="仿宋"/>
          <w:color w:val="auto"/>
          <w:sz w:val="28"/>
          <w:szCs w:val="28"/>
        </w:rPr>
      </w:pPr>
      <w:r>
        <w:rPr>
          <w:rFonts w:hint="eastAsia" w:ascii="仿宋" w:hAnsi="仿宋" w:eastAsia="仿宋" w:cs="仿宋"/>
          <w:color w:val="auto"/>
          <w:sz w:val="28"/>
          <w:szCs w:val="28"/>
        </w:rPr>
        <w:t>支票从递交至实际入账一般需要4—5个工作日。如供应商未及时提</w:t>
      </w:r>
    </w:p>
    <w:p w14:paraId="29D16E13">
      <w:pPr>
        <w:pageBreakBefore w:val="0"/>
        <w:kinsoku/>
        <w:wordWrap/>
        <w:overflowPunct/>
        <w:topLinePunct w:val="0"/>
        <w:bidi w:val="0"/>
        <w:spacing w:line="500" w:lineRule="exact"/>
        <w:ind w:left="960" w:hanging="1120" w:hangingChars="400"/>
        <w:jc w:val="left"/>
        <w:rPr>
          <w:rFonts w:hint="eastAsia" w:ascii="仿宋" w:hAnsi="仿宋" w:eastAsia="仿宋" w:cs="仿宋"/>
          <w:color w:val="auto"/>
          <w:sz w:val="28"/>
          <w:szCs w:val="28"/>
        </w:rPr>
      </w:pPr>
      <w:r>
        <w:rPr>
          <w:rFonts w:hint="eastAsia" w:ascii="仿宋" w:hAnsi="仿宋" w:eastAsia="仿宋" w:cs="仿宋"/>
          <w:color w:val="auto"/>
          <w:sz w:val="28"/>
          <w:szCs w:val="28"/>
        </w:rPr>
        <w:t>交支票或支票不符合银行委托收款要求（如污损、折叠、胶装等），</w:t>
      </w:r>
    </w:p>
    <w:p w14:paraId="059FF0DD">
      <w:pPr>
        <w:pageBreakBefore w:val="0"/>
        <w:kinsoku/>
        <w:wordWrap/>
        <w:overflowPunct/>
        <w:topLinePunct w:val="0"/>
        <w:bidi w:val="0"/>
        <w:spacing w:line="500" w:lineRule="exact"/>
        <w:ind w:left="960" w:hanging="1120" w:hangingChars="400"/>
        <w:jc w:val="left"/>
        <w:rPr>
          <w:rFonts w:hint="eastAsia" w:ascii="仿宋" w:hAnsi="仿宋" w:eastAsia="仿宋" w:cs="仿宋"/>
          <w:color w:val="auto"/>
          <w:sz w:val="28"/>
          <w:szCs w:val="28"/>
        </w:rPr>
      </w:pPr>
      <w:r>
        <w:rPr>
          <w:rFonts w:hint="eastAsia" w:ascii="仿宋" w:hAnsi="仿宋" w:eastAsia="仿宋" w:cs="仿宋"/>
          <w:color w:val="auto"/>
          <w:sz w:val="28"/>
          <w:szCs w:val="28"/>
        </w:rPr>
        <w:t>导致投标保证金不能按时进入指定账户的，将按照招标文件的第</w:t>
      </w:r>
    </w:p>
    <w:p w14:paraId="56E5A73C">
      <w:pPr>
        <w:pageBreakBefore w:val="0"/>
        <w:kinsoku/>
        <w:wordWrap/>
        <w:overflowPunct/>
        <w:topLinePunct w:val="0"/>
        <w:bidi w:val="0"/>
        <w:spacing w:line="500" w:lineRule="exact"/>
        <w:ind w:left="960" w:hanging="1120" w:hangingChars="400"/>
        <w:jc w:val="left"/>
        <w:rPr>
          <w:rFonts w:hint="eastAsia" w:ascii="仿宋" w:hAnsi="仿宋" w:eastAsia="仿宋" w:cs="仿宋"/>
          <w:color w:val="auto"/>
          <w:sz w:val="28"/>
          <w:szCs w:val="28"/>
        </w:rPr>
      </w:pPr>
      <w:r>
        <w:rPr>
          <w:rFonts w:hint="eastAsia" w:ascii="仿宋" w:hAnsi="仿宋" w:eastAsia="仿宋" w:cs="仿宋"/>
          <w:color w:val="auto"/>
          <w:sz w:val="28"/>
          <w:szCs w:val="28"/>
        </w:rPr>
        <w:t>22.2条相关规定处理。</w:t>
      </w:r>
    </w:p>
    <w:p w14:paraId="0CBFD74B">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12.5 联合体投标的，可以由联合体中的一方或者共同提交投标保证</w:t>
      </w:r>
    </w:p>
    <w:p w14:paraId="0B0A6196">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金。以一方名义提交投标保证金的，对联合体各方均具有约束力。</w:t>
      </w:r>
    </w:p>
    <w:p w14:paraId="447040FB">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12.6投标保证金的退还</w:t>
      </w:r>
    </w:p>
    <w:p w14:paraId="04989680">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12.6.1 中标人应在与采购人签订合同之日起5个工作日内，及时联</w:t>
      </w:r>
    </w:p>
    <w:p w14:paraId="6A732C32">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系保证金收受机构办理投标保证金无息退还手续。</w:t>
      </w:r>
    </w:p>
    <w:p w14:paraId="21363250">
      <w:pPr>
        <w:pageBreakBefore w:val="0"/>
        <w:kinsoku/>
        <w:wordWrap/>
        <w:overflowPunct/>
        <w:topLinePunct w:val="0"/>
        <w:bidi w:val="0"/>
        <w:spacing w:line="500" w:lineRule="exact"/>
        <w:ind w:left="96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12.6.2 未中标供应商的投标保证金将在中标通知书发出之日暨中</w:t>
      </w:r>
    </w:p>
    <w:p w14:paraId="5446CC49">
      <w:pPr>
        <w:pageBreakBefore w:val="0"/>
        <w:kinsoku/>
        <w:wordWrap/>
        <w:overflowPunct/>
        <w:topLinePunct w:val="0"/>
        <w:bidi w:val="0"/>
        <w:spacing w:line="500" w:lineRule="exact"/>
        <w:ind w:left="96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标结果公告公布之日起5个工作日内无息退还。供应商应及时联系</w:t>
      </w:r>
    </w:p>
    <w:p w14:paraId="2B707735">
      <w:pPr>
        <w:pageBreakBefore w:val="0"/>
        <w:kinsoku/>
        <w:wordWrap/>
        <w:overflowPunct/>
        <w:topLinePunct w:val="0"/>
        <w:bidi w:val="0"/>
        <w:spacing w:line="500" w:lineRule="exact"/>
        <w:ind w:left="96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保证金收受机构办理退还投标保证金手续。</w:t>
      </w:r>
    </w:p>
    <w:p w14:paraId="351844D2">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12.6.3 政府采购投标担开户行银行保函不予退回。</w:t>
      </w:r>
    </w:p>
    <w:p w14:paraId="494B32F0">
      <w:pPr>
        <w:pageBreakBefore w:val="0"/>
        <w:kinsoku/>
        <w:wordWrap/>
        <w:overflowPunct/>
        <w:topLinePunct w:val="0"/>
        <w:bidi w:val="0"/>
        <w:spacing w:line="500" w:lineRule="exact"/>
        <w:ind w:left="96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12.7 《政府采购货物和服务招标投标管理办法》第七十五条中标供</w:t>
      </w:r>
    </w:p>
    <w:p w14:paraId="69C89B27">
      <w:pPr>
        <w:pageBreakBefore w:val="0"/>
        <w:kinsoku/>
        <w:wordWrap/>
        <w:overflowPunct/>
        <w:topLinePunct w:val="0"/>
        <w:bidi w:val="0"/>
        <w:spacing w:line="500" w:lineRule="exact"/>
        <w:ind w:left="96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应商有下列情形之一的，招标采购单位不予退还其交纳的投标保证</w:t>
      </w:r>
    </w:p>
    <w:p w14:paraId="06EC708E">
      <w:pPr>
        <w:pageBreakBefore w:val="0"/>
        <w:kinsoku/>
        <w:wordWrap/>
        <w:overflowPunct/>
        <w:topLinePunct w:val="0"/>
        <w:bidi w:val="0"/>
        <w:spacing w:line="500" w:lineRule="exact"/>
        <w:ind w:left="96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金，情节严重的，由财政部门将其列入不良行为记录名单，在1至3</w:t>
      </w:r>
    </w:p>
    <w:p w14:paraId="420F50BB">
      <w:pPr>
        <w:pageBreakBefore w:val="0"/>
        <w:kinsoku/>
        <w:wordWrap/>
        <w:overflowPunct/>
        <w:topLinePunct w:val="0"/>
        <w:bidi w:val="0"/>
        <w:spacing w:line="500" w:lineRule="exact"/>
        <w:ind w:left="96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年内禁止参加政府采购活动，并予以通报:</w:t>
      </w:r>
    </w:p>
    <w:p w14:paraId="174B33BB">
      <w:pPr>
        <w:pageBreakBefore w:val="0"/>
        <w:kinsoku/>
        <w:wordWrap/>
        <w:overflowPunct/>
        <w:topLinePunct w:val="0"/>
        <w:bidi w:val="0"/>
        <w:spacing w:line="500" w:lineRule="exact"/>
        <w:ind w:left="96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(一)中标后无正当理由不与采购人或者采购代理机构签订合同的;</w:t>
      </w:r>
    </w:p>
    <w:p w14:paraId="52DBE59B">
      <w:pPr>
        <w:pageBreakBefore w:val="0"/>
        <w:kinsoku/>
        <w:wordWrap/>
        <w:overflowPunct/>
        <w:topLinePunct w:val="0"/>
        <w:bidi w:val="0"/>
        <w:spacing w:line="500" w:lineRule="exact"/>
        <w:ind w:left="96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(二)将中标项目转让给他人，或者在投标文件中未说明，且未经采</w:t>
      </w:r>
    </w:p>
    <w:p w14:paraId="4B1AF785">
      <w:pPr>
        <w:pageBreakBefore w:val="0"/>
        <w:kinsoku/>
        <w:wordWrap/>
        <w:overflowPunct/>
        <w:topLinePunct w:val="0"/>
        <w:bidi w:val="0"/>
        <w:spacing w:line="500" w:lineRule="exact"/>
        <w:ind w:left="96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购招标机构同意，将中标项目分包给他人的;</w:t>
      </w:r>
    </w:p>
    <w:p w14:paraId="2902C333">
      <w:pPr>
        <w:pageBreakBefore w:val="0"/>
        <w:kinsoku/>
        <w:wordWrap/>
        <w:overflowPunct/>
        <w:topLinePunct w:val="0"/>
        <w:bidi w:val="0"/>
        <w:spacing w:line="500" w:lineRule="exact"/>
        <w:ind w:left="96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(三) 拒绝履行合同义务的。</w:t>
      </w:r>
    </w:p>
    <w:p w14:paraId="6376A4FC">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238" w:name="_Toc19152"/>
      <w:bookmarkStart w:id="239" w:name="_Toc28650"/>
      <w:bookmarkStart w:id="240" w:name="_Toc7349"/>
      <w:bookmarkStart w:id="241" w:name="_Toc31306"/>
      <w:bookmarkStart w:id="242" w:name="_Toc11132"/>
      <w:bookmarkStart w:id="243" w:name="_Toc12947"/>
      <w:bookmarkStart w:id="244" w:name="_Toc1255"/>
      <w:bookmarkStart w:id="245" w:name="_Toc30519"/>
      <w:bookmarkStart w:id="246" w:name="_Toc515647772"/>
      <w:bookmarkStart w:id="247" w:name="_Toc17927"/>
      <w:bookmarkStart w:id="248" w:name="_Toc32569"/>
      <w:bookmarkStart w:id="249" w:name="_Toc3015"/>
      <w:bookmarkStart w:id="250" w:name="_Toc27999"/>
      <w:bookmarkStart w:id="251" w:name="_Toc23657"/>
      <w:bookmarkStart w:id="252" w:name="_Toc13507"/>
      <w:bookmarkStart w:id="253" w:name="_Toc23590"/>
      <w:bookmarkStart w:id="254" w:name="_Toc520356157"/>
      <w:bookmarkStart w:id="255" w:name="_Toc13589"/>
      <w:bookmarkStart w:id="256" w:name="_Toc1719"/>
      <w:r>
        <w:rPr>
          <w:rFonts w:hint="eastAsia" w:ascii="仿宋" w:hAnsi="仿宋" w:eastAsia="仿宋" w:cs="仿宋"/>
          <w:color w:val="auto"/>
          <w:sz w:val="28"/>
          <w:szCs w:val="28"/>
          <w:u w:val="none"/>
        </w:rPr>
        <w:t>13.投标有效期</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2398E6FA">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13.1投标应在</w:t>
      </w:r>
      <w:r>
        <w:rPr>
          <w:rFonts w:hint="eastAsia" w:ascii="仿宋" w:hAnsi="仿宋" w:eastAsia="仿宋" w:cs="仿宋"/>
          <w:color w:val="auto"/>
          <w:sz w:val="28"/>
          <w:szCs w:val="28"/>
          <w:u w:val="single"/>
        </w:rPr>
        <w:t>供应商须知资料表</w:t>
      </w:r>
      <w:r>
        <w:rPr>
          <w:rFonts w:hint="eastAsia" w:ascii="仿宋" w:hAnsi="仿宋" w:eastAsia="仿宋" w:cs="仿宋"/>
          <w:color w:val="auto"/>
          <w:sz w:val="28"/>
          <w:szCs w:val="28"/>
        </w:rPr>
        <w:t>中规定时间内保持有效。投标有效</w:t>
      </w:r>
    </w:p>
    <w:p w14:paraId="2644FC08">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期不满足要求的投标，其投标将被认定为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5335C328">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13.2为保证有充分时间签订合同，采购人或采购代理机构可根据实</w:t>
      </w:r>
    </w:p>
    <w:p w14:paraId="55BB0CAD">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际情况，在原投标有效期截止之前，要求供应商延长投标文件的有</w:t>
      </w:r>
    </w:p>
    <w:p w14:paraId="4C37AFDF">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效期。接受该要求的供应商将不会被要求和允许修正其投标，且本</w:t>
      </w:r>
    </w:p>
    <w:p w14:paraId="24F3A86F">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须知中有关投标保证金的要求须在延长的有效期内继续有效。供应</w:t>
      </w:r>
    </w:p>
    <w:p w14:paraId="53D1A489">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商可以拒绝延长投标有效期的要求，其投标保证金将及时无息退还。</w:t>
      </w:r>
    </w:p>
    <w:p w14:paraId="35F6C456">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上述要求和答复都应以书面形式提交。</w:t>
      </w:r>
    </w:p>
    <w:p w14:paraId="44362644">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257" w:name="_Toc520356158"/>
      <w:bookmarkStart w:id="258" w:name="_Toc515647773"/>
      <w:bookmarkStart w:id="259" w:name="_Toc6286"/>
      <w:bookmarkStart w:id="260" w:name="_Toc3558"/>
      <w:bookmarkStart w:id="261" w:name="_Toc24787"/>
      <w:bookmarkStart w:id="262" w:name="_Toc11669"/>
      <w:bookmarkStart w:id="263" w:name="_Toc9672"/>
      <w:bookmarkStart w:id="264" w:name="_Toc4425"/>
      <w:bookmarkStart w:id="265" w:name="_Toc17074"/>
      <w:bookmarkStart w:id="266" w:name="_Toc6302"/>
      <w:bookmarkStart w:id="267" w:name="_Toc16503"/>
      <w:bookmarkStart w:id="268" w:name="_Toc10391"/>
      <w:bookmarkStart w:id="269" w:name="_Toc29619"/>
      <w:bookmarkStart w:id="270" w:name="_Toc30127"/>
      <w:bookmarkStart w:id="271" w:name="_Toc493"/>
      <w:r>
        <w:rPr>
          <w:rFonts w:hint="eastAsia" w:ascii="仿宋" w:hAnsi="仿宋" w:eastAsia="仿宋" w:cs="仿宋"/>
          <w:color w:val="auto"/>
          <w:sz w:val="28"/>
          <w:szCs w:val="28"/>
          <w:u w:val="none"/>
        </w:rPr>
        <w:t>14.投标文件的签署</w:t>
      </w:r>
      <w:bookmarkEnd w:id="257"/>
      <w:r>
        <w:rPr>
          <w:rFonts w:hint="eastAsia" w:ascii="仿宋" w:hAnsi="仿宋" w:eastAsia="仿宋" w:cs="仿宋"/>
          <w:color w:val="auto"/>
          <w:sz w:val="28"/>
          <w:szCs w:val="28"/>
          <w:u w:val="none"/>
        </w:rPr>
        <w:t>及规定</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751815F8">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14.1供应商应按供应商须知资料表中的规定，准备和递交（加密上</w:t>
      </w:r>
    </w:p>
    <w:p w14:paraId="4A642A73">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传）电子响应文件。</w:t>
      </w:r>
    </w:p>
    <w:p w14:paraId="0D11ED58">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14.2所有响应文件应按照</w:t>
      </w:r>
      <w:r>
        <w:rPr>
          <w:rFonts w:hint="eastAsia" w:ascii="仿宋" w:hAnsi="仿宋" w:eastAsia="仿宋" w:cs="仿宋"/>
          <w:color w:val="auto"/>
          <w:sz w:val="28"/>
          <w:szCs w:val="28"/>
          <w:lang w:val="en-US" w:eastAsia="zh-CN"/>
        </w:rPr>
        <w:t>招标</w:t>
      </w:r>
      <w:r>
        <w:rPr>
          <w:rFonts w:hint="eastAsia" w:ascii="仿宋" w:hAnsi="仿宋" w:eastAsia="仿宋" w:cs="仿宋"/>
          <w:color w:val="auto"/>
          <w:sz w:val="28"/>
          <w:szCs w:val="28"/>
        </w:rPr>
        <w:t>文件规定的格式填写、签署和盖章。</w:t>
      </w:r>
    </w:p>
    <w:p w14:paraId="4D64ACAF">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14.3 响应文件因字迹潦草、表达不清或未按照</w:t>
      </w:r>
      <w:r>
        <w:rPr>
          <w:rFonts w:hint="eastAsia" w:ascii="仿宋" w:hAnsi="仿宋" w:eastAsia="仿宋" w:cs="仿宋"/>
          <w:color w:val="auto"/>
          <w:sz w:val="28"/>
          <w:szCs w:val="28"/>
          <w:lang w:val="en-US" w:eastAsia="zh-CN"/>
        </w:rPr>
        <w:t>招标</w:t>
      </w:r>
      <w:r>
        <w:rPr>
          <w:rFonts w:hint="eastAsia" w:ascii="仿宋" w:hAnsi="仿宋" w:eastAsia="仿宋" w:cs="仿宋"/>
          <w:color w:val="auto"/>
          <w:sz w:val="28"/>
          <w:szCs w:val="28"/>
        </w:rPr>
        <w:t>文件规定的格式</w:t>
      </w:r>
    </w:p>
    <w:p w14:paraId="187F8135">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填写、签署和盖章所引起的后果由供应商负责。</w:t>
      </w:r>
    </w:p>
    <w:p w14:paraId="67DD2FC7">
      <w:pPr>
        <w:pStyle w:val="5"/>
        <w:pageBreakBefore w:val="0"/>
        <w:kinsoku/>
        <w:wordWrap/>
        <w:overflowPunct/>
        <w:topLinePunct w:val="0"/>
        <w:bidi w:val="0"/>
        <w:spacing w:before="0" w:line="500" w:lineRule="exact"/>
        <w:ind w:left="1079" w:leftChars="257" w:hanging="540"/>
        <w:jc w:val="center"/>
        <w:rPr>
          <w:rFonts w:hint="eastAsia" w:ascii="仿宋" w:hAnsi="仿宋" w:eastAsia="仿宋" w:cs="仿宋"/>
          <w:color w:val="auto"/>
          <w:sz w:val="28"/>
          <w:szCs w:val="28"/>
        </w:rPr>
      </w:pPr>
      <w:bookmarkStart w:id="272" w:name="_Toc515647774"/>
      <w:bookmarkStart w:id="273" w:name="_Toc216582808"/>
      <w:bookmarkStart w:id="274" w:name="_Toc520356159"/>
      <w:bookmarkStart w:id="275" w:name="_Toc16865"/>
      <w:bookmarkStart w:id="276" w:name="_Toc11179"/>
      <w:bookmarkStart w:id="277" w:name="_Toc1565"/>
      <w:r>
        <w:rPr>
          <w:rFonts w:hint="eastAsia" w:ascii="仿宋" w:hAnsi="仿宋" w:eastAsia="仿宋" w:cs="仿宋"/>
          <w:color w:val="auto"/>
          <w:sz w:val="28"/>
          <w:szCs w:val="28"/>
        </w:rPr>
        <w:t>四   投标文件的递交</w:t>
      </w:r>
      <w:bookmarkEnd w:id="272"/>
      <w:bookmarkEnd w:id="273"/>
      <w:bookmarkEnd w:id="274"/>
      <w:bookmarkEnd w:id="275"/>
      <w:bookmarkEnd w:id="276"/>
      <w:bookmarkEnd w:id="277"/>
    </w:p>
    <w:p w14:paraId="074B95ED">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278" w:name="_Toc515647775"/>
      <w:bookmarkStart w:id="279" w:name="_Toc32337"/>
      <w:bookmarkStart w:id="280" w:name="_Toc21645"/>
      <w:bookmarkStart w:id="281" w:name="_Toc19383"/>
      <w:bookmarkStart w:id="282" w:name="_Toc520356160"/>
      <w:r>
        <w:rPr>
          <w:rFonts w:hint="eastAsia" w:ascii="仿宋" w:hAnsi="仿宋" w:eastAsia="仿宋" w:cs="仿宋"/>
          <w:color w:val="auto"/>
          <w:sz w:val="28"/>
          <w:szCs w:val="28"/>
          <w:u w:val="none"/>
        </w:rPr>
        <w:t>15.投标文件的密封和标记</w:t>
      </w:r>
      <w:bookmarkEnd w:id="278"/>
      <w:bookmarkEnd w:id="279"/>
      <w:bookmarkEnd w:id="280"/>
      <w:bookmarkEnd w:id="281"/>
      <w:bookmarkEnd w:id="282"/>
    </w:p>
    <w:p w14:paraId="4A06ED5C">
      <w:pPr>
        <w:pageBreakBefore w:val="0"/>
        <w:kinsoku/>
        <w:wordWrap/>
        <w:overflowPunct/>
        <w:topLinePunct w:val="0"/>
        <w:bidi w:val="0"/>
        <w:spacing w:line="500" w:lineRule="exact"/>
        <w:ind w:left="960" w:hanging="1120" w:hangingChars="400"/>
        <w:rPr>
          <w:rFonts w:hint="eastAsia" w:ascii="仿宋" w:hAnsi="仿宋" w:eastAsia="仿宋" w:cs="仿宋"/>
          <w:b/>
          <w:bCs/>
          <w:color w:val="auto"/>
          <w:spacing w:val="8"/>
          <w:sz w:val="28"/>
          <w:szCs w:val="28"/>
          <w:u w:val="single"/>
        </w:rPr>
      </w:pPr>
      <w:bookmarkStart w:id="283" w:name="_Toc12751"/>
      <w:bookmarkStart w:id="284" w:name="_Toc9840"/>
      <w:bookmarkStart w:id="285" w:name="_Toc515647776"/>
      <w:bookmarkStart w:id="286" w:name="_Toc520356161"/>
      <w:bookmarkStart w:id="287" w:name="_Toc30916"/>
      <w:r>
        <w:rPr>
          <w:rFonts w:hint="eastAsia" w:ascii="仿宋" w:hAnsi="仿宋" w:eastAsia="仿宋" w:cs="仿宋"/>
          <w:color w:val="auto"/>
          <w:sz w:val="28"/>
          <w:szCs w:val="28"/>
        </w:rPr>
        <w:t xml:space="preserve">15.1 </w:t>
      </w:r>
      <w:r>
        <w:rPr>
          <w:rFonts w:hint="eastAsia" w:ascii="仿宋" w:hAnsi="仿宋" w:eastAsia="仿宋" w:cs="仿宋"/>
          <w:b/>
          <w:bCs/>
          <w:color w:val="auto"/>
          <w:spacing w:val="8"/>
          <w:sz w:val="28"/>
          <w:szCs w:val="28"/>
          <w:u w:val="single"/>
        </w:rPr>
        <w:t>为方便评审及进行资格审查，投标单位应完整地按招标文</w:t>
      </w:r>
    </w:p>
    <w:p w14:paraId="7B9146A5">
      <w:pPr>
        <w:pageBreakBefore w:val="0"/>
        <w:kinsoku/>
        <w:wordWrap/>
        <w:overflowPunct/>
        <w:topLinePunct w:val="0"/>
        <w:bidi w:val="0"/>
        <w:spacing w:line="500" w:lineRule="exact"/>
        <w:ind w:left="960" w:hanging="1184" w:hangingChars="400"/>
        <w:rPr>
          <w:rFonts w:hint="eastAsia" w:ascii="仿宋" w:hAnsi="仿宋" w:eastAsia="仿宋" w:cs="仿宋"/>
          <w:b/>
          <w:bCs/>
          <w:color w:val="auto"/>
          <w:spacing w:val="8"/>
          <w:sz w:val="28"/>
          <w:szCs w:val="28"/>
          <w:u w:val="single"/>
        </w:rPr>
      </w:pPr>
      <w:r>
        <w:rPr>
          <w:rFonts w:hint="eastAsia" w:ascii="仿宋" w:hAnsi="仿宋" w:eastAsia="仿宋" w:cs="仿宋"/>
          <w:b/>
          <w:bCs/>
          <w:color w:val="auto"/>
          <w:spacing w:val="8"/>
          <w:sz w:val="28"/>
          <w:szCs w:val="28"/>
          <w:u w:val="single"/>
        </w:rPr>
        <w:t>件提供的投标文件格式及要求编写投标文件， 投标单位须在投</w:t>
      </w:r>
    </w:p>
    <w:p w14:paraId="110620BA">
      <w:pPr>
        <w:pageBreakBefore w:val="0"/>
        <w:kinsoku/>
        <w:wordWrap/>
        <w:overflowPunct/>
        <w:topLinePunct w:val="0"/>
        <w:bidi w:val="0"/>
        <w:spacing w:line="500" w:lineRule="exact"/>
        <w:ind w:left="960" w:hanging="1184" w:hangingChars="400"/>
        <w:rPr>
          <w:rFonts w:hint="eastAsia" w:ascii="仿宋" w:hAnsi="仿宋" w:eastAsia="仿宋" w:cs="仿宋"/>
          <w:b/>
          <w:bCs/>
          <w:color w:val="auto"/>
          <w:spacing w:val="8"/>
          <w:sz w:val="28"/>
          <w:szCs w:val="28"/>
          <w:u w:val="single"/>
        </w:rPr>
      </w:pPr>
      <w:r>
        <w:rPr>
          <w:rFonts w:hint="eastAsia" w:ascii="仿宋" w:hAnsi="仿宋" w:eastAsia="仿宋" w:cs="仿宋"/>
          <w:b/>
          <w:bCs/>
          <w:color w:val="auto"/>
          <w:spacing w:val="8"/>
          <w:sz w:val="28"/>
          <w:szCs w:val="28"/>
          <w:u w:val="single"/>
        </w:rPr>
        <w:t>标截止时间前完成在系统上递交电子投标文件。投标单位的电子</w:t>
      </w:r>
    </w:p>
    <w:p w14:paraId="7AC69656">
      <w:pPr>
        <w:pageBreakBefore w:val="0"/>
        <w:kinsoku/>
        <w:wordWrap/>
        <w:overflowPunct/>
        <w:topLinePunct w:val="0"/>
        <w:bidi w:val="0"/>
        <w:spacing w:line="500" w:lineRule="exact"/>
        <w:ind w:left="960" w:hanging="1184" w:hangingChars="400"/>
        <w:rPr>
          <w:rFonts w:hint="eastAsia" w:ascii="仿宋" w:hAnsi="仿宋" w:eastAsia="仿宋" w:cs="仿宋"/>
          <w:b/>
          <w:bCs/>
          <w:color w:val="auto"/>
          <w:spacing w:val="8"/>
          <w:sz w:val="28"/>
          <w:szCs w:val="28"/>
          <w:u w:val="single"/>
        </w:rPr>
      </w:pPr>
      <w:r>
        <w:rPr>
          <w:rFonts w:hint="eastAsia" w:ascii="仿宋" w:hAnsi="仿宋" w:eastAsia="仿宋" w:cs="仿宋"/>
          <w:b/>
          <w:bCs/>
          <w:color w:val="auto"/>
          <w:spacing w:val="8"/>
          <w:sz w:val="28"/>
          <w:szCs w:val="28"/>
          <w:u w:val="single"/>
        </w:rPr>
        <w:t>投标文件是经过CA证书加密后上传提交的，任何单位或个人均</w:t>
      </w:r>
    </w:p>
    <w:p w14:paraId="037FD375">
      <w:pPr>
        <w:pageBreakBefore w:val="0"/>
        <w:kinsoku/>
        <w:wordWrap/>
        <w:overflowPunct/>
        <w:topLinePunct w:val="0"/>
        <w:bidi w:val="0"/>
        <w:spacing w:line="500" w:lineRule="exact"/>
        <w:ind w:left="960" w:hanging="1184" w:hangingChars="400"/>
        <w:rPr>
          <w:rFonts w:hint="eastAsia" w:ascii="仿宋" w:hAnsi="仿宋" w:eastAsia="仿宋" w:cs="仿宋"/>
          <w:b/>
          <w:bCs/>
          <w:color w:val="auto"/>
          <w:spacing w:val="8"/>
          <w:sz w:val="28"/>
          <w:szCs w:val="28"/>
          <w:u w:val="single"/>
        </w:rPr>
      </w:pPr>
      <w:r>
        <w:rPr>
          <w:rFonts w:hint="eastAsia" w:ascii="仿宋" w:hAnsi="仿宋" w:eastAsia="仿宋" w:cs="仿宋"/>
          <w:b/>
          <w:bCs/>
          <w:color w:val="auto"/>
          <w:spacing w:val="8"/>
          <w:sz w:val="28"/>
          <w:szCs w:val="28"/>
          <w:u w:val="single"/>
        </w:rPr>
        <w:t>无法在投标截止时间(即投标时间)之前查看或篡改，不存在泄密</w:t>
      </w:r>
    </w:p>
    <w:p w14:paraId="11CF154F">
      <w:pPr>
        <w:pageBreakBefore w:val="0"/>
        <w:kinsoku/>
        <w:wordWrap/>
        <w:overflowPunct/>
        <w:topLinePunct w:val="0"/>
        <w:bidi w:val="0"/>
        <w:spacing w:line="500" w:lineRule="exact"/>
        <w:ind w:left="960" w:hanging="1184" w:hangingChars="400"/>
        <w:rPr>
          <w:rFonts w:hint="eastAsia" w:ascii="仿宋" w:hAnsi="仿宋" w:eastAsia="仿宋" w:cs="仿宋"/>
          <w:color w:val="auto"/>
          <w:sz w:val="28"/>
          <w:szCs w:val="28"/>
        </w:rPr>
      </w:pPr>
      <w:r>
        <w:rPr>
          <w:rFonts w:hint="eastAsia" w:ascii="仿宋" w:hAnsi="仿宋" w:eastAsia="仿宋" w:cs="仿宋"/>
          <w:b/>
          <w:bCs/>
          <w:color w:val="auto"/>
          <w:spacing w:val="8"/>
          <w:sz w:val="28"/>
          <w:szCs w:val="28"/>
          <w:u w:val="single"/>
        </w:rPr>
        <w:t>风险。（严格按照政采云电子投标流程制作并上传电子投标文件）</w:t>
      </w:r>
    </w:p>
    <w:p w14:paraId="0D7D92C9">
      <w:pPr>
        <w:pageBreakBefore w:val="0"/>
        <w:kinsoku/>
        <w:wordWrap/>
        <w:overflowPunct/>
        <w:topLinePunct w:val="0"/>
        <w:bidi w:val="0"/>
        <w:spacing w:line="500" w:lineRule="exact"/>
        <w:ind w:left="960" w:hanging="1120" w:hangingChars="400"/>
        <w:rPr>
          <w:rFonts w:hint="eastAsia" w:ascii="仿宋" w:hAnsi="仿宋" w:eastAsia="仿宋" w:cs="仿宋"/>
          <w:color w:val="auto"/>
          <w:sz w:val="28"/>
          <w:szCs w:val="28"/>
        </w:rPr>
      </w:pPr>
      <w:bookmarkStart w:id="288" w:name="_Toc28106"/>
      <w:r>
        <w:rPr>
          <w:rFonts w:hint="eastAsia" w:ascii="仿宋" w:hAnsi="仿宋" w:eastAsia="仿宋" w:cs="仿宋"/>
          <w:color w:val="auto"/>
          <w:sz w:val="28"/>
          <w:szCs w:val="28"/>
        </w:rPr>
        <w:t xml:space="preserve">15.2 </w:t>
      </w:r>
      <w:bookmarkEnd w:id="288"/>
      <w:r>
        <w:rPr>
          <w:rFonts w:hint="eastAsia" w:ascii="仿宋" w:hAnsi="仿宋" w:eastAsia="仿宋" w:cs="仿宋"/>
          <w:color w:val="auto"/>
          <w:sz w:val="28"/>
          <w:szCs w:val="28"/>
        </w:rPr>
        <w:t>供应商因自身原因导致电子投标文件无法导入电子评标系统</w:t>
      </w:r>
    </w:p>
    <w:p w14:paraId="5F9C54A9">
      <w:pPr>
        <w:pageBreakBefore w:val="0"/>
        <w:kinsoku/>
        <w:wordWrap/>
        <w:overflowPunct/>
        <w:topLinePunct w:val="0"/>
        <w:bidi w:val="0"/>
        <w:spacing w:line="500" w:lineRule="exact"/>
        <w:ind w:left="96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的，该响应文件视为</w:t>
      </w:r>
      <w:r>
        <w:rPr>
          <w:rFonts w:hint="eastAsia" w:ascii="仿宋" w:hAnsi="仿宋" w:eastAsia="仿宋" w:cs="仿宋"/>
          <w:b/>
          <w:bCs/>
          <w:color w:val="auto"/>
          <w:sz w:val="28"/>
          <w:szCs w:val="28"/>
        </w:rPr>
        <w:t>无效文件</w:t>
      </w:r>
      <w:r>
        <w:rPr>
          <w:rFonts w:hint="eastAsia" w:ascii="仿宋" w:hAnsi="仿宋" w:eastAsia="仿宋" w:cs="仿宋"/>
          <w:color w:val="auto"/>
          <w:sz w:val="28"/>
          <w:szCs w:val="28"/>
        </w:rPr>
        <w:t>。</w:t>
      </w:r>
    </w:p>
    <w:p w14:paraId="78E983DC">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15.3 电子投标文件具有法律效力,与其他形式的响应文件在内容和</w:t>
      </w:r>
    </w:p>
    <w:p w14:paraId="3D0DFD57">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格式上等同，若投标文件与招标文件要求不一致，其内容影响成交</w:t>
      </w:r>
    </w:p>
    <w:p w14:paraId="449EA545">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结果时，责任由供应商自行承担。</w:t>
      </w:r>
    </w:p>
    <w:p w14:paraId="10CEBB31">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16.投标截止</w:t>
      </w:r>
      <w:bookmarkEnd w:id="283"/>
      <w:bookmarkEnd w:id="284"/>
      <w:bookmarkEnd w:id="285"/>
      <w:bookmarkEnd w:id="286"/>
      <w:bookmarkEnd w:id="287"/>
    </w:p>
    <w:p w14:paraId="329DF12C">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16.1投标人应在</w:t>
      </w:r>
      <w:r>
        <w:rPr>
          <w:rFonts w:hint="eastAsia" w:ascii="仿宋" w:hAnsi="仿宋" w:eastAsia="仿宋" w:cs="仿宋"/>
          <w:color w:val="auto"/>
          <w:sz w:val="28"/>
          <w:szCs w:val="28"/>
          <w:u w:val="single"/>
        </w:rPr>
        <w:t>投标人须知资料表中</w:t>
      </w:r>
      <w:r>
        <w:rPr>
          <w:rFonts w:hint="eastAsia" w:ascii="仿宋" w:hAnsi="仿宋" w:eastAsia="仿宋" w:cs="仿宋"/>
          <w:color w:val="auto"/>
          <w:sz w:val="28"/>
          <w:szCs w:val="28"/>
        </w:rPr>
        <w:t>规定的截止时间前，将投标文</w:t>
      </w:r>
    </w:p>
    <w:p w14:paraId="79A090D7">
      <w:pPr>
        <w:pageBreakBefore w:val="0"/>
        <w:kinsoku/>
        <w:wordWrap/>
        <w:overflowPunct/>
        <w:topLinePunct w:val="0"/>
        <w:bidi w:val="0"/>
        <w:spacing w:line="500" w:lineRule="exact"/>
        <w:ind w:left="900" w:hanging="1050" w:hangingChars="375"/>
        <w:rPr>
          <w:rFonts w:hint="eastAsia" w:ascii="仿宋" w:hAnsi="仿宋" w:eastAsia="仿宋" w:cs="仿宋"/>
          <w:b/>
          <w:bCs/>
          <w:color w:val="auto"/>
          <w:sz w:val="28"/>
          <w:szCs w:val="28"/>
        </w:rPr>
      </w:pPr>
      <w:r>
        <w:rPr>
          <w:rFonts w:hint="eastAsia" w:ascii="仿宋" w:hAnsi="仿宋" w:eastAsia="仿宋" w:cs="仿宋"/>
          <w:color w:val="auto"/>
          <w:sz w:val="28"/>
          <w:szCs w:val="28"/>
        </w:rPr>
        <w:t>件递交到招标公告中规定的地点。</w:t>
      </w:r>
      <w:r>
        <w:rPr>
          <w:rFonts w:hint="eastAsia" w:ascii="仿宋" w:hAnsi="仿宋" w:eastAsia="仿宋" w:cs="仿宋"/>
          <w:b/>
          <w:bCs/>
          <w:color w:val="auto"/>
          <w:sz w:val="28"/>
          <w:szCs w:val="28"/>
        </w:rPr>
        <w:t>解密时间30分钟，逾期未解密的</w:t>
      </w:r>
    </w:p>
    <w:p w14:paraId="14E2F6B2">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b/>
          <w:bCs/>
          <w:color w:val="auto"/>
          <w:sz w:val="28"/>
          <w:szCs w:val="28"/>
        </w:rPr>
        <w:t>视为投标无效。</w:t>
      </w:r>
    </w:p>
    <w:p w14:paraId="39AD612F">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16.2采购人和采购代理机构有权按本须知的规定，延迟投标截止时</w:t>
      </w:r>
    </w:p>
    <w:p w14:paraId="5A21B624">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间。在此情况下，采购人、采购代理机构和投标人受投标截止时间</w:t>
      </w:r>
    </w:p>
    <w:p w14:paraId="56C0C432">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制约的所有权利和义务均应延长至新的截止时间。</w:t>
      </w:r>
    </w:p>
    <w:p w14:paraId="19C8B71C">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16.3采购人和采购代理机构将拒绝接收在投标截止时间后上传的投</w:t>
      </w:r>
    </w:p>
    <w:p w14:paraId="2E2ED21B">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标文件。</w:t>
      </w:r>
    </w:p>
    <w:p w14:paraId="570CF055">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289" w:name="_Toc515647777"/>
      <w:bookmarkStart w:id="290" w:name="_Toc17917"/>
      <w:bookmarkStart w:id="291" w:name="_Toc18537"/>
      <w:bookmarkStart w:id="292" w:name="_Toc24275"/>
      <w:bookmarkStart w:id="293" w:name="_Toc520356162"/>
      <w:r>
        <w:rPr>
          <w:rFonts w:hint="eastAsia" w:ascii="仿宋" w:hAnsi="仿宋" w:eastAsia="仿宋" w:cs="仿宋"/>
          <w:color w:val="auto"/>
          <w:sz w:val="28"/>
          <w:szCs w:val="28"/>
          <w:u w:val="none"/>
        </w:rPr>
        <w:t>17.投标文件的接收、修改与撤回</w:t>
      </w:r>
      <w:bookmarkEnd w:id="289"/>
      <w:bookmarkEnd w:id="290"/>
      <w:bookmarkEnd w:id="291"/>
      <w:bookmarkEnd w:id="292"/>
      <w:bookmarkEnd w:id="293"/>
    </w:p>
    <w:p w14:paraId="07D2B1DC">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17.1在投标截止时间后上传投标文件的，采购人和采购代理机构将</w:t>
      </w:r>
    </w:p>
    <w:p w14:paraId="4046A426">
      <w:pPr>
        <w:pageBreakBefore w:val="0"/>
        <w:kinsoku/>
        <w:wordWrap/>
        <w:overflowPunct/>
        <w:topLinePunct w:val="0"/>
        <w:bidi w:val="0"/>
        <w:spacing w:line="500" w:lineRule="exact"/>
        <w:ind w:left="900" w:hanging="1050" w:hangingChars="375"/>
        <w:rPr>
          <w:rFonts w:hint="eastAsia" w:ascii="仿宋" w:hAnsi="仿宋" w:eastAsia="仿宋" w:cs="仿宋"/>
          <w:b/>
          <w:color w:val="auto"/>
          <w:sz w:val="28"/>
          <w:szCs w:val="28"/>
        </w:rPr>
      </w:pPr>
      <w:r>
        <w:rPr>
          <w:rFonts w:hint="eastAsia" w:ascii="仿宋" w:hAnsi="仿宋" w:eastAsia="仿宋" w:cs="仿宋"/>
          <w:b/>
          <w:bCs/>
          <w:color w:val="auto"/>
          <w:sz w:val="28"/>
          <w:szCs w:val="28"/>
        </w:rPr>
        <w:t>拒绝接收</w:t>
      </w:r>
      <w:r>
        <w:rPr>
          <w:rFonts w:hint="eastAsia" w:ascii="仿宋" w:hAnsi="仿宋" w:eastAsia="仿宋" w:cs="仿宋"/>
          <w:color w:val="auto"/>
          <w:sz w:val="28"/>
          <w:szCs w:val="28"/>
        </w:rPr>
        <w:t>。</w:t>
      </w:r>
    </w:p>
    <w:p w14:paraId="1472BB9D">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17.</w:t>
      </w:r>
      <w:r>
        <w:rPr>
          <w:rFonts w:hint="eastAsia" w:ascii="仿宋" w:hAnsi="仿宋" w:eastAsia="仿宋" w:cs="仿宋"/>
          <w:color w:val="auto"/>
          <w:sz w:val="28"/>
          <w:szCs w:val="28"/>
          <w:lang w:val="en-US"/>
        </w:rPr>
        <w:t>2</w:t>
      </w:r>
      <w:r>
        <w:rPr>
          <w:rFonts w:hint="eastAsia" w:ascii="仿宋" w:hAnsi="仿宋" w:eastAsia="仿宋" w:cs="仿宋"/>
          <w:color w:val="auto"/>
          <w:sz w:val="28"/>
          <w:szCs w:val="28"/>
        </w:rPr>
        <w:t>递交投标文件以后，如果投标人要进行修改或撤回投标</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rPr>
        <w:t>在投</w:t>
      </w:r>
    </w:p>
    <w:p w14:paraId="1D01C131">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标截止时间前上传至</w:t>
      </w:r>
      <w:r>
        <w:rPr>
          <w:rFonts w:hint="eastAsia" w:ascii="仿宋" w:hAnsi="仿宋" w:eastAsia="仿宋" w:cs="仿宋"/>
          <w:b/>
          <w:bCs/>
          <w:color w:val="auto"/>
          <w:sz w:val="28"/>
          <w:szCs w:val="28"/>
        </w:rPr>
        <w:t>新疆政采云平台https://www.zcygov.cn </w:t>
      </w:r>
      <w:r>
        <w:rPr>
          <w:rFonts w:hint="eastAsia" w:ascii="仿宋" w:hAnsi="仿宋" w:eastAsia="仿宋" w:cs="仿宋"/>
          <w:color w:val="auto"/>
          <w:sz w:val="28"/>
          <w:szCs w:val="28"/>
        </w:rPr>
        <w:t>，投</w:t>
      </w:r>
    </w:p>
    <w:p w14:paraId="306E4624">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标人对投标文件的修改或撤回应按本须知规定编制、标记。</w:t>
      </w:r>
    </w:p>
    <w:p w14:paraId="0474ACED">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17.</w:t>
      </w:r>
      <w:r>
        <w:rPr>
          <w:rFonts w:hint="eastAsia" w:ascii="仿宋" w:hAnsi="仿宋" w:eastAsia="仿宋" w:cs="仿宋"/>
          <w:color w:val="auto"/>
          <w:sz w:val="28"/>
          <w:szCs w:val="28"/>
          <w:lang w:val="en-US"/>
        </w:rPr>
        <w:t>3</w:t>
      </w:r>
      <w:r>
        <w:rPr>
          <w:rFonts w:hint="eastAsia" w:ascii="仿宋" w:hAnsi="仿宋" w:eastAsia="仿宋" w:cs="仿宋"/>
          <w:color w:val="auto"/>
          <w:sz w:val="28"/>
          <w:szCs w:val="28"/>
        </w:rPr>
        <w:t>在投标截止期之后，采购人和采购代理机构不接受投标人主动</w:t>
      </w:r>
    </w:p>
    <w:p w14:paraId="01B81474">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对其投标文件作任何修改。</w:t>
      </w:r>
    </w:p>
    <w:p w14:paraId="286F9C53">
      <w:pPr>
        <w:pageBreakBefore w:val="0"/>
        <w:kinsoku/>
        <w:wordWrap/>
        <w:overflowPunct/>
        <w:topLinePunct w:val="0"/>
        <w:bidi w:val="0"/>
        <w:spacing w:line="500" w:lineRule="exact"/>
        <w:ind w:left="900" w:hanging="1050" w:hangingChars="375"/>
        <w:outlineLvl w:val="1"/>
        <w:rPr>
          <w:rFonts w:hint="eastAsia" w:ascii="仿宋" w:hAnsi="仿宋" w:eastAsia="仿宋" w:cs="仿宋"/>
          <w:color w:val="auto"/>
          <w:sz w:val="28"/>
          <w:szCs w:val="28"/>
        </w:rPr>
      </w:pPr>
      <w:bookmarkStart w:id="294" w:name="_Toc26872"/>
      <w:r>
        <w:rPr>
          <w:rFonts w:hint="eastAsia" w:ascii="仿宋" w:hAnsi="仿宋" w:eastAsia="仿宋" w:cs="仿宋"/>
          <w:color w:val="auto"/>
          <w:sz w:val="28"/>
          <w:szCs w:val="28"/>
        </w:rPr>
        <w:t>17.</w:t>
      </w:r>
      <w:r>
        <w:rPr>
          <w:rFonts w:hint="eastAsia" w:ascii="仿宋" w:hAnsi="仿宋" w:eastAsia="仿宋" w:cs="仿宋"/>
          <w:color w:val="auto"/>
          <w:sz w:val="28"/>
          <w:szCs w:val="28"/>
          <w:lang w:val="en-US"/>
        </w:rPr>
        <w:t>4</w:t>
      </w:r>
      <w:r>
        <w:rPr>
          <w:rFonts w:hint="eastAsia" w:ascii="仿宋" w:hAnsi="仿宋" w:eastAsia="仿宋" w:cs="仿宋"/>
          <w:color w:val="auto"/>
          <w:sz w:val="28"/>
          <w:szCs w:val="28"/>
        </w:rPr>
        <w:t>采购人和采购代理机构对所接收投标文件概不退回。</w:t>
      </w:r>
      <w:bookmarkEnd w:id="294"/>
    </w:p>
    <w:p w14:paraId="2C919A44">
      <w:pPr>
        <w:pageBreakBefore w:val="0"/>
        <w:kinsoku/>
        <w:wordWrap/>
        <w:overflowPunct/>
        <w:topLinePunct w:val="0"/>
        <w:bidi w:val="0"/>
        <w:spacing w:line="500" w:lineRule="exact"/>
        <w:ind w:left="900" w:hanging="1050" w:hangingChars="375"/>
        <w:jc w:val="center"/>
        <w:outlineLvl w:val="1"/>
        <w:rPr>
          <w:rFonts w:hint="eastAsia"/>
          <w:color w:val="auto"/>
        </w:rPr>
      </w:pPr>
      <w:r>
        <w:rPr>
          <w:rFonts w:hint="eastAsia" w:ascii="仿宋" w:hAnsi="仿宋" w:eastAsia="仿宋" w:cs="仿宋"/>
          <w:color w:val="auto"/>
          <w:sz w:val="28"/>
          <w:szCs w:val="28"/>
        </w:rPr>
        <w:t>开标及评标</w:t>
      </w:r>
    </w:p>
    <w:p w14:paraId="22804174">
      <w:pPr>
        <w:pStyle w:val="6"/>
        <w:pageBreakBefore w:val="0"/>
        <w:numPr>
          <w:ilvl w:val="0"/>
          <w:numId w:val="4"/>
        </w:numPr>
        <w:kinsoku/>
        <w:wordWrap/>
        <w:overflowPunct/>
        <w:topLinePunct w:val="0"/>
        <w:bidi w:val="0"/>
        <w:spacing w:line="500" w:lineRule="exact"/>
        <w:rPr>
          <w:rFonts w:hint="eastAsia" w:ascii="仿宋" w:hAnsi="仿宋" w:eastAsia="仿宋" w:cs="仿宋"/>
          <w:color w:val="auto"/>
          <w:sz w:val="28"/>
          <w:szCs w:val="28"/>
        </w:rPr>
      </w:pPr>
      <w:bookmarkStart w:id="295" w:name="_Toc520356164"/>
      <w:bookmarkStart w:id="296" w:name="_Toc7186"/>
      <w:bookmarkStart w:id="297" w:name="_Toc5484"/>
      <w:bookmarkStart w:id="298" w:name="_Toc25345"/>
      <w:bookmarkStart w:id="299" w:name="_Toc515647779"/>
      <w:r>
        <w:rPr>
          <w:rFonts w:hint="eastAsia" w:ascii="仿宋" w:hAnsi="仿宋" w:eastAsia="仿宋" w:cs="仿宋"/>
          <w:color w:val="auto"/>
          <w:sz w:val="28"/>
          <w:szCs w:val="28"/>
          <w:u w:val="none"/>
        </w:rPr>
        <w:t>开标</w:t>
      </w:r>
      <w:bookmarkEnd w:id="295"/>
      <w:bookmarkEnd w:id="296"/>
      <w:bookmarkEnd w:id="297"/>
      <w:bookmarkEnd w:id="298"/>
      <w:bookmarkEnd w:id="299"/>
    </w:p>
    <w:p w14:paraId="754998B0">
      <w:pPr>
        <w:pageBreakBefore w:val="0"/>
        <w:numPr>
          <w:ilvl w:val="0"/>
          <w:numId w:val="0"/>
        </w:numPr>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采购人和采购代理机构将按</w:t>
      </w:r>
      <w:r>
        <w:rPr>
          <w:rFonts w:hint="eastAsia" w:ascii="仿宋" w:hAnsi="仿宋" w:eastAsia="仿宋" w:cs="仿宋"/>
          <w:color w:val="auto"/>
          <w:sz w:val="28"/>
          <w:szCs w:val="28"/>
          <w:u w:val="single"/>
        </w:rPr>
        <w:t>投标人须知资料表</w:t>
      </w:r>
      <w:r>
        <w:rPr>
          <w:rFonts w:hint="eastAsia" w:ascii="仿宋" w:hAnsi="仿宋" w:eastAsia="仿宋" w:cs="仿宋"/>
          <w:color w:val="auto"/>
          <w:sz w:val="28"/>
          <w:szCs w:val="28"/>
        </w:rPr>
        <w:t>中规定的开标时间和地点组织公开开标并邀请所有投标人代表参加。投标人不足3家的，不得开标。</w:t>
      </w:r>
    </w:p>
    <w:p w14:paraId="38A08D75">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18.2 供应商按照须知资料表中规定的开标时间和地点，在规定时间内上传投标文件。</w:t>
      </w:r>
    </w:p>
    <w:p w14:paraId="3E85C972">
      <w:pPr>
        <w:pageBreakBefore w:val="0"/>
        <w:kinsoku/>
        <w:wordWrap/>
        <w:overflowPunct/>
        <w:topLinePunct w:val="0"/>
        <w:bidi w:val="0"/>
        <w:snapToGrid w:val="0"/>
        <w:spacing w:line="500" w:lineRule="exact"/>
        <w:ind w:left="900" w:hanging="1050" w:hangingChars="375"/>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 xml:space="preserve">18.3 </w:t>
      </w:r>
      <w:bookmarkStart w:id="300" w:name="_Toc520356165"/>
      <w:r>
        <w:rPr>
          <w:rFonts w:hint="eastAsia" w:ascii="仿宋" w:hAnsi="仿宋" w:eastAsia="仿宋" w:cs="仿宋"/>
          <w:color w:val="auto"/>
          <w:sz w:val="28"/>
          <w:szCs w:val="28"/>
        </w:rPr>
        <w:t>采购代理机构在规定时间内对投标文件进行解密，时长为30</w:t>
      </w:r>
    </w:p>
    <w:p w14:paraId="30AF23CA">
      <w:pPr>
        <w:pageBreakBefore w:val="0"/>
        <w:kinsoku/>
        <w:wordWrap/>
        <w:overflowPunct/>
        <w:topLinePunct w:val="0"/>
        <w:bidi w:val="0"/>
        <w:snapToGrid w:val="0"/>
        <w:spacing w:line="500" w:lineRule="exact"/>
        <w:ind w:left="900" w:hanging="1050" w:hangingChars="375"/>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分钟。</w:t>
      </w:r>
    </w:p>
    <w:p w14:paraId="13EF0DD6">
      <w:pPr>
        <w:pageBreakBefore w:val="0"/>
        <w:kinsoku/>
        <w:wordWrap/>
        <w:overflowPunct/>
        <w:topLinePunct w:val="0"/>
        <w:bidi w:val="0"/>
        <w:snapToGrid w:val="0"/>
        <w:spacing w:line="500" w:lineRule="exact"/>
        <w:ind w:left="900" w:hanging="1050" w:hangingChars="375"/>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18.4 由采购代理机构开启开标记录，须供应商在政采云平台对报价</w:t>
      </w:r>
    </w:p>
    <w:p w14:paraId="472DB27D">
      <w:pPr>
        <w:pageBreakBefore w:val="0"/>
        <w:kinsoku/>
        <w:wordWrap/>
        <w:overflowPunct/>
        <w:topLinePunct w:val="0"/>
        <w:bidi w:val="0"/>
        <w:snapToGrid w:val="0"/>
        <w:spacing w:line="500" w:lineRule="exact"/>
        <w:ind w:left="900" w:hanging="1050" w:hangingChars="375"/>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进行签字确认。</w:t>
      </w:r>
    </w:p>
    <w:p w14:paraId="59D23F7E">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301" w:name="_Toc21372"/>
      <w:bookmarkStart w:id="302" w:name="_Toc19296"/>
      <w:bookmarkStart w:id="303" w:name="_Toc515647780"/>
      <w:bookmarkStart w:id="304" w:name="_Toc27721"/>
      <w:r>
        <w:rPr>
          <w:rFonts w:hint="eastAsia" w:ascii="仿宋" w:hAnsi="仿宋" w:eastAsia="仿宋" w:cs="仿宋"/>
          <w:color w:val="auto"/>
          <w:sz w:val="28"/>
          <w:szCs w:val="28"/>
          <w:u w:val="none"/>
        </w:rPr>
        <w:t>19.</w:t>
      </w:r>
      <w:bookmarkEnd w:id="300"/>
      <w:r>
        <w:rPr>
          <w:rFonts w:hint="eastAsia" w:ascii="仿宋" w:hAnsi="仿宋" w:eastAsia="仿宋" w:cs="仿宋"/>
          <w:color w:val="auto"/>
          <w:sz w:val="28"/>
          <w:szCs w:val="28"/>
          <w:u w:val="none"/>
        </w:rPr>
        <w:t>资格审查及组建评标委员会</w:t>
      </w:r>
      <w:bookmarkEnd w:id="301"/>
      <w:bookmarkEnd w:id="302"/>
      <w:bookmarkEnd w:id="303"/>
      <w:bookmarkEnd w:id="304"/>
    </w:p>
    <w:p w14:paraId="31078463">
      <w:pPr>
        <w:pageBreakBefore w:val="0"/>
        <w:kinsoku/>
        <w:wordWrap/>
        <w:overflowPunct/>
        <w:topLinePunct w:val="0"/>
        <w:bidi w:val="0"/>
        <w:spacing w:line="500" w:lineRule="exact"/>
        <w:ind w:firstLine="560" w:firstLineChars="200"/>
        <w:rPr>
          <w:rFonts w:hint="eastAsia" w:ascii="仿宋" w:hAnsi="仿宋" w:eastAsia="仿宋" w:cs="仿宋"/>
          <w:b/>
          <w:color w:val="auto"/>
          <w:sz w:val="28"/>
          <w:szCs w:val="28"/>
        </w:rPr>
      </w:pPr>
      <w:r>
        <w:rPr>
          <w:rFonts w:hint="eastAsia" w:ascii="仿宋" w:hAnsi="仿宋" w:eastAsia="仿宋" w:cs="仿宋"/>
          <w:color w:val="auto"/>
          <w:sz w:val="28"/>
          <w:szCs w:val="28"/>
        </w:rPr>
        <w:t>19.1采购人或采购代理机构依据法律法规和招标文件中规定的内容，对供应商的资格进行审查。未通过资格审查的供应商不进入评审.未通过资格审查的供应商不进入评标；通过资格审查的供应商少于不足三家的，不得评标。</w:t>
      </w:r>
    </w:p>
    <w:p w14:paraId="3DADFF06">
      <w:pPr>
        <w:pageBreakBefore w:val="0"/>
        <w:kinsoku/>
        <w:wordWrap/>
        <w:overflowPunct/>
        <w:topLinePunct w:val="0"/>
        <w:bidi w:val="0"/>
        <w:spacing w:line="500" w:lineRule="exact"/>
        <w:ind w:left="857" w:leftChars="2" w:hanging="853"/>
        <w:rPr>
          <w:rFonts w:hint="eastAsia" w:ascii="仿宋" w:hAnsi="仿宋" w:eastAsia="仿宋" w:cs="仿宋"/>
          <w:color w:val="auto"/>
          <w:sz w:val="28"/>
          <w:szCs w:val="28"/>
        </w:rPr>
      </w:pPr>
      <w:r>
        <w:rPr>
          <w:rFonts w:hint="eastAsia" w:ascii="仿宋" w:hAnsi="仿宋" w:eastAsia="仿宋" w:cs="仿宋"/>
          <w:color w:val="auto"/>
          <w:sz w:val="28"/>
          <w:szCs w:val="28"/>
        </w:rPr>
        <w:t>19.2 采购人或采购代理机构将在投标截止后1小时的期间内查询</w:t>
      </w:r>
    </w:p>
    <w:p w14:paraId="1C69B156">
      <w:pPr>
        <w:pageBreakBefore w:val="0"/>
        <w:kinsoku/>
        <w:wordWrap/>
        <w:overflowPunct/>
        <w:topLinePunct w:val="0"/>
        <w:bidi w:val="0"/>
        <w:spacing w:line="500" w:lineRule="exact"/>
        <w:ind w:left="857" w:leftChars="2" w:hanging="853"/>
        <w:rPr>
          <w:rFonts w:hint="eastAsia" w:ascii="仿宋" w:hAnsi="仿宋" w:eastAsia="仿宋" w:cs="仿宋"/>
          <w:color w:val="auto"/>
          <w:sz w:val="28"/>
          <w:szCs w:val="28"/>
        </w:rPr>
      </w:pPr>
      <w:r>
        <w:rPr>
          <w:rFonts w:hint="eastAsia" w:ascii="仿宋" w:hAnsi="仿宋" w:eastAsia="仿宋" w:cs="仿宋"/>
          <w:color w:val="auto"/>
          <w:sz w:val="28"/>
          <w:szCs w:val="28"/>
        </w:rPr>
        <w:t>投标人的信用记录。投标人存在不良信用记录的，其投标将被认定</w:t>
      </w:r>
    </w:p>
    <w:p w14:paraId="1D57D939">
      <w:pPr>
        <w:pageBreakBefore w:val="0"/>
        <w:kinsoku/>
        <w:wordWrap/>
        <w:overflowPunct/>
        <w:topLinePunct w:val="0"/>
        <w:bidi w:val="0"/>
        <w:spacing w:line="500" w:lineRule="exact"/>
        <w:ind w:left="857" w:leftChars="2" w:hanging="853"/>
        <w:rPr>
          <w:rFonts w:hint="eastAsia" w:ascii="仿宋" w:hAnsi="仿宋" w:eastAsia="仿宋" w:cs="仿宋"/>
          <w:color w:val="auto"/>
          <w:sz w:val="28"/>
          <w:szCs w:val="28"/>
        </w:rPr>
      </w:pPr>
      <w:r>
        <w:rPr>
          <w:rFonts w:hint="eastAsia" w:ascii="仿宋" w:hAnsi="仿宋" w:eastAsia="仿宋" w:cs="仿宋"/>
          <w:color w:val="auto"/>
          <w:sz w:val="28"/>
          <w:szCs w:val="28"/>
        </w:rPr>
        <w:t>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4894CBD3">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19.2.1</w:t>
      </w:r>
    </w:p>
    <w:p w14:paraId="0EDD6994">
      <w:pPr>
        <w:pageBreakBefore w:val="0"/>
        <w:kinsoku/>
        <w:wordWrap/>
        <w:overflowPunct/>
        <w:topLinePunct w:val="0"/>
        <w:bidi w:val="0"/>
        <w:spacing w:line="50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不良信用记录指：“信用中国”网站（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经营异常名录信息、列入行政处罚信息（尚在处罚期内的）、列入严重违法失信企业名单（黑名单）信息。</w:t>
      </w:r>
    </w:p>
    <w:p w14:paraId="5824C503">
      <w:pPr>
        <w:pStyle w:val="9"/>
        <w:pageBreakBefore w:val="0"/>
        <w:kinsoku/>
        <w:wordWrap/>
        <w:overflowPunct/>
        <w:topLinePunct w:val="0"/>
        <w:bidi w:val="0"/>
        <w:spacing w:line="500" w:lineRule="exact"/>
        <w:ind w:left="850" w:hanging="991" w:hangingChars="354"/>
        <w:jc w:val="both"/>
        <w:rPr>
          <w:rFonts w:hint="eastAsia" w:ascii="仿宋" w:hAnsi="仿宋" w:eastAsia="仿宋" w:cs="仿宋"/>
          <w:color w:val="auto"/>
          <w:sz w:val="28"/>
          <w:szCs w:val="28"/>
        </w:rPr>
      </w:pPr>
      <w:r>
        <w:rPr>
          <w:rFonts w:hint="eastAsia" w:ascii="仿宋" w:hAnsi="仿宋" w:eastAsia="仿宋" w:cs="仿宋"/>
          <w:color w:val="auto"/>
          <w:sz w:val="28"/>
          <w:szCs w:val="28"/>
        </w:rPr>
        <w:t>19.2.2 查询及记录方式：采购人或采购代理机构经办人将查询网页</w:t>
      </w:r>
    </w:p>
    <w:p w14:paraId="1D8615E1">
      <w:pPr>
        <w:pStyle w:val="9"/>
        <w:pageBreakBefore w:val="0"/>
        <w:kinsoku/>
        <w:wordWrap/>
        <w:overflowPunct/>
        <w:topLinePunct w:val="0"/>
        <w:bidi w:val="0"/>
        <w:spacing w:line="500" w:lineRule="exact"/>
        <w:ind w:left="850" w:hanging="991" w:hangingChars="354"/>
        <w:jc w:val="both"/>
        <w:rPr>
          <w:rFonts w:hint="eastAsia" w:ascii="仿宋" w:hAnsi="仿宋" w:eastAsia="仿宋" w:cs="仿宋"/>
          <w:color w:val="auto"/>
          <w:sz w:val="28"/>
          <w:szCs w:val="28"/>
        </w:rPr>
      </w:pPr>
      <w:r>
        <w:rPr>
          <w:rFonts w:hint="eastAsia" w:ascii="仿宋" w:hAnsi="仿宋" w:eastAsia="仿宋" w:cs="仿宋"/>
          <w:color w:val="auto"/>
          <w:sz w:val="28"/>
          <w:szCs w:val="28"/>
        </w:rPr>
        <w:t>打印、签字并存档备查。投标人不良信用记录以采购人或采购代理机</w:t>
      </w:r>
    </w:p>
    <w:p w14:paraId="21447A0C">
      <w:pPr>
        <w:pStyle w:val="9"/>
        <w:pageBreakBefore w:val="0"/>
        <w:kinsoku/>
        <w:wordWrap/>
        <w:overflowPunct/>
        <w:topLinePunct w:val="0"/>
        <w:bidi w:val="0"/>
        <w:spacing w:line="500" w:lineRule="exact"/>
        <w:ind w:left="850" w:hanging="991" w:hangingChars="354"/>
        <w:jc w:val="both"/>
        <w:rPr>
          <w:rFonts w:hint="eastAsia" w:ascii="仿宋" w:hAnsi="仿宋" w:eastAsia="仿宋" w:cs="仿宋"/>
          <w:color w:val="auto"/>
          <w:sz w:val="28"/>
          <w:szCs w:val="28"/>
        </w:rPr>
      </w:pPr>
      <w:r>
        <w:rPr>
          <w:rFonts w:hint="eastAsia" w:ascii="仿宋" w:hAnsi="仿宋" w:eastAsia="仿宋" w:cs="仿宋"/>
          <w:color w:val="auto"/>
          <w:sz w:val="28"/>
          <w:szCs w:val="28"/>
        </w:rPr>
        <w:t>构查询结果为准。在本招标文件规定的查询时间之后，网站信息发生</w:t>
      </w:r>
    </w:p>
    <w:p w14:paraId="3CBC1ED7">
      <w:pPr>
        <w:pStyle w:val="9"/>
        <w:pageBreakBefore w:val="0"/>
        <w:kinsoku/>
        <w:wordWrap/>
        <w:overflowPunct/>
        <w:topLinePunct w:val="0"/>
        <w:bidi w:val="0"/>
        <w:spacing w:line="500" w:lineRule="exact"/>
        <w:ind w:left="850" w:hanging="991" w:hangingChars="354"/>
        <w:jc w:val="both"/>
        <w:rPr>
          <w:rFonts w:hint="eastAsia" w:ascii="仿宋" w:hAnsi="仿宋" w:eastAsia="仿宋" w:cs="仿宋"/>
          <w:color w:val="auto"/>
          <w:sz w:val="28"/>
          <w:szCs w:val="28"/>
        </w:rPr>
      </w:pPr>
      <w:r>
        <w:rPr>
          <w:rFonts w:hint="eastAsia" w:ascii="仿宋" w:hAnsi="仿宋" w:eastAsia="仿宋" w:cs="仿宋"/>
          <w:color w:val="auto"/>
          <w:sz w:val="28"/>
          <w:szCs w:val="28"/>
        </w:rPr>
        <w:t>的任何变更均不再作为评标依据。投标人自行提供的与网站信息不一</w:t>
      </w:r>
    </w:p>
    <w:p w14:paraId="3BBD16AB">
      <w:pPr>
        <w:pStyle w:val="9"/>
        <w:pageBreakBefore w:val="0"/>
        <w:kinsoku/>
        <w:wordWrap/>
        <w:overflowPunct/>
        <w:topLinePunct w:val="0"/>
        <w:bidi w:val="0"/>
        <w:spacing w:line="500" w:lineRule="exact"/>
        <w:ind w:left="850" w:hanging="991" w:hangingChars="354"/>
        <w:jc w:val="both"/>
        <w:rPr>
          <w:rFonts w:hint="eastAsia" w:ascii="仿宋" w:hAnsi="仿宋" w:eastAsia="仿宋" w:cs="仿宋"/>
          <w:color w:val="auto"/>
          <w:sz w:val="28"/>
          <w:szCs w:val="28"/>
        </w:rPr>
      </w:pPr>
      <w:r>
        <w:rPr>
          <w:rFonts w:hint="eastAsia" w:ascii="仿宋" w:hAnsi="仿宋" w:eastAsia="仿宋" w:cs="仿宋"/>
          <w:color w:val="auto"/>
          <w:sz w:val="28"/>
          <w:szCs w:val="28"/>
        </w:rPr>
        <w:t>致的其他证明材料亦不作为资格审查依据。</w:t>
      </w:r>
    </w:p>
    <w:p w14:paraId="31866310">
      <w:pPr>
        <w:pageBreakBefore w:val="0"/>
        <w:kinsoku/>
        <w:wordWrap/>
        <w:overflowPunct/>
        <w:topLinePunct w:val="0"/>
        <w:bidi w:val="0"/>
        <w:spacing w:line="500" w:lineRule="exact"/>
        <w:ind w:left="850"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19.3 按照《中华人民共和国政府采购法》、《中华人民共和国政府</w:t>
      </w:r>
    </w:p>
    <w:p w14:paraId="58E39109">
      <w:pPr>
        <w:pageBreakBefore w:val="0"/>
        <w:kinsoku/>
        <w:wordWrap/>
        <w:overflowPunct/>
        <w:topLinePunct w:val="0"/>
        <w:bidi w:val="0"/>
        <w:spacing w:line="500" w:lineRule="exact"/>
        <w:ind w:left="850"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采购法实施条例》及本项目本级和上级财政部门的有关规定依法组</w:t>
      </w:r>
    </w:p>
    <w:p w14:paraId="6A5D8B47">
      <w:pPr>
        <w:pageBreakBefore w:val="0"/>
        <w:kinsoku/>
        <w:wordWrap/>
        <w:overflowPunct/>
        <w:topLinePunct w:val="0"/>
        <w:bidi w:val="0"/>
        <w:spacing w:line="500" w:lineRule="exact"/>
        <w:ind w:left="850" w:hanging="991" w:hangingChars="354"/>
        <w:rPr>
          <w:rFonts w:hint="eastAsia" w:ascii="仿宋" w:hAnsi="仿宋" w:eastAsia="仿宋" w:cs="仿宋"/>
          <w:b/>
          <w:bCs/>
          <w:color w:val="auto"/>
          <w:sz w:val="28"/>
          <w:szCs w:val="28"/>
          <w:u w:val="single"/>
        </w:rPr>
      </w:pPr>
      <w:r>
        <w:rPr>
          <w:rFonts w:hint="eastAsia" w:ascii="仿宋" w:hAnsi="仿宋" w:eastAsia="仿宋" w:cs="仿宋"/>
          <w:color w:val="auto"/>
          <w:sz w:val="28"/>
          <w:szCs w:val="28"/>
        </w:rPr>
        <w:t>建的评标委员会，负责评标工作。</w:t>
      </w:r>
      <w:bookmarkStart w:id="305" w:name="_Toc520356166"/>
      <w:r>
        <w:rPr>
          <w:rFonts w:hint="eastAsia" w:ascii="仿宋" w:hAnsi="仿宋" w:eastAsia="仿宋" w:cs="仿宋"/>
          <w:b/>
          <w:bCs/>
          <w:color w:val="auto"/>
          <w:sz w:val="28"/>
          <w:szCs w:val="28"/>
          <w:u w:val="single"/>
        </w:rPr>
        <w:t>本项目评标委员会由5人组成（政</w:t>
      </w:r>
    </w:p>
    <w:p w14:paraId="7023A9FD">
      <w:pPr>
        <w:pageBreakBefore w:val="0"/>
        <w:kinsoku/>
        <w:wordWrap/>
        <w:overflowPunct/>
        <w:topLinePunct w:val="0"/>
        <w:bidi w:val="0"/>
        <w:spacing w:line="500" w:lineRule="exact"/>
        <w:ind w:left="850" w:hanging="991" w:hangingChars="354"/>
        <w:rPr>
          <w:rFonts w:hint="eastAsia" w:ascii="仿宋" w:hAnsi="仿宋" w:eastAsia="仿宋" w:cs="仿宋"/>
          <w:color w:val="auto"/>
          <w:sz w:val="28"/>
          <w:szCs w:val="28"/>
        </w:rPr>
      </w:pPr>
      <w:r>
        <w:rPr>
          <w:rFonts w:hint="eastAsia" w:ascii="仿宋" w:hAnsi="仿宋" w:eastAsia="仿宋" w:cs="仿宋"/>
          <w:b/>
          <w:bCs/>
          <w:color w:val="auto"/>
          <w:sz w:val="28"/>
          <w:szCs w:val="28"/>
          <w:u w:val="single"/>
        </w:rPr>
        <w:t>采云随机抽取专家</w:t>
      </w:r>
      <w:r>
        <w:rPr>
          <w:rFonts w:hint="eastAsia" w:ascii="仿宋" w:hAnsi="仿宋" w:eastAsia="仿宋" w:cs="仿宋"/>
          <w:b/>
          <w:bCs/>
          <w:color w:val="auto"/>
          <w:sz w:val="28"/>
          <w:szCs w:val="28"/>
          <w:u w:val="single"/>
          <w:lang w:val="en-US" w:eastAsia="zh-CN"/>
        </w:rPr>
        <w:t>5</w:t>
      </w:r>
      <w:r>
        <w:rPr>
          <w:rFonts w:hint="eastAsia" w:ascii="仿宋" w:hAnsi="仿宋" w:eastAsia="仿宋" w:cs="仿宋"/>
          <w:b/>
          <w:bCs/>
          <w:color w:val="auto"/>
          <w:sz w:val="28"/>
          <w:szCs w:val="28"/>
          <w:u w:val="single"/>
        </w:rPr>
        <w:t>名）</w:t>
      </w:r>
    </w:p>
    <w:p w14:paraId="6B29E1F5">
      <w:pPr>
        <w:pStyle w:val="6"/>
        <w:pageBreakBefore w:val="0"/>
        <w:kinsoku/>
        <w:wordWrap/>
        <w:overflowPunct/>
        <w:topLinePunct w:val="0"/>
        <w:bidi w:val="0"/>
        <w:spacing w:before="0" w:after="0" w:line="500" w:lineRule="exact"/>
        <w:rPr>
          <w:rFonts w:hint="eastAsia" w:ascii="仿宋" w:hAnsi="仿宋" w:eastAsia="仿宋" w:cs="仿宋"/>
          <w:b w:val="0"/>
          <w:bCs/>
          <w:color w:val="auto"/>
          <w:sz w:val="28"/>
          <w:szCs w:val="28"/>
          <w:bdr w:val="single" w:color="auto" w:sz="4" w:space="0"/>
        </w:rPr>
      </w:pPr>
      <w:bookmarkStart w:id="306" w:name="_Toc515647781"/>
      <w:bookmarkStart w:id="307" w:name="_Toc19949"/>
      <w:bookmarkStart w:id="308" w:name="_Toc28479"/>
      <w:bookmarkStart w:id="309" w:name="_Toc15811"/>
      <w:r>
        <w:rPr>
          <w:rFonts w:hint="eastAsia" w:ascii="仿宋" w:hAnsi="仿宋" w:eastAsia="仿宋" w:cs="仿宋"/>
          <w:color w:val="auto"/>
          <w:sz w:val="28"/>
          <w:szCs w:val="28"/>
          <w:u w:val="none"/>
        </w:rPr>
        <w:t>20.投标文件</w:t>
      </w:r>
      <w:bookmarkEnd w:id="305"/>
      <w:r>
        <w:rPr>
          <w:rFonts w:hint="eastAsia" w:ascii="仿宋" w:hAnsi="仿宋" w:eastAsia="仿宋" w:cs="仿宋"/>
          <w:color w:val="auto"/>
          <w:sz w:val="28"/>
          <w:szCs w:val="28"/>
          <w:u w:val="none"/>
        </w:rPr>
        <w:t>符合性审查与澄清</w:t>
      </w:r>
      <w:bookmarkEnd w:id="306"/>
      <w:bookmarkEnd w:id="307"/>
      <w:bookmarkEnd w:id="308"/>
      <w:bookmarkEnd w:id="309"/>
    </w:p>
    <w:p w14:paraId="2184DBA3">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20.1 符合性审查是指依据招标文件的规定，从投标文件的有效性和</w:t>
      </w:r>
    </w:p>
    <w:p w14:paraId="5D804A45">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完整性对招标文件的响应程度进行审查，以确定是否对招标文件的</w:t>
      </w:r>
    </w:p>
    <w:p w14:paraId="69AE3257">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实质性要求做出响应。</w:t>
      </w:r>
      <w:bookmarkStart w:id="310" w:name="_Hlt522424701"/>
      <w:bookmarkEnd w:id="310"/>
      <w:bookmarkStart w:id="311" w:name="_Toc520356167"/>
    </w:p>
    <w:p w14:paraId="3F3EE427">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20.2投标文件的澄清</w:t>
      </w:r>
    </w:p>
    <w:p w14:paraId="17F42176">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20.2.1在评标期间，评标委员会将以书面方式要求投标人对其投标</w:t>
      </w:r>
    </w:p>
    <w:p w14:paraId="3EFC02E6">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文件中含义不明确、对同类问题表述不一致或者有明显文字和计算</w:t>
      </w:r>
    </w:p>
    <w:p w14:paraId="0CC03880">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错误的内容，以及评标委员会认为投标人的报价明显低于其他通过</w:t>
      </w:r>
    </w:p>
    <w:p w14:paraId="7E83A8D2">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符合性检查投标人的报价，有可能影响履约的情况作必要的澄清、</w:t>
      </w:r>
    </w:p>
    <w:p w14:paraId="666CE414">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说明或补正。投标人的澄清、说明或补正应在评标委员会规定的时</w:t>
      </w:r>
    </w:p>
    <w:p w14:paraId="4FF43A1B">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间内以书面方式进行，并不得超出投标文件范围或者改变投标文件</w:t>
      </w:r>
    </w:p>
    <w:p w14:paraId="0855A17A">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的实质性内容。</w:t>
      </w:r>
    </w:p>
    <w:p w14:paraId="43080112">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20.2.2 投标人的澄清、说明或补正将作为投标文件的一部分。</w:t>
      </w:r>
    </w:p>
    <w:p w14:paraId="6C331CAC">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20.3 投标文件报价出现前后不一致的，按照下列规定修正：</w:t>
      </w:r>
    </w:p>
    <w:p w14:paraId="2FB0F3EF">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（一）投标文件中开标一览表（报价表）内容与投标文件中相应内容不一致的，以开标一览表（报价表）为准；</w:t>
      </w:r>
    </w:p>
    <w:p w14:paraId="395E3627">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（二）大写金额和小写金额不一致的，以大写金额为准；</w:t>
      </w:r>
    </w:p>
    <w:p w14:paraId="56290D2E">
      <w:pPr>
        <w:pageBreakBefore w:val="0"/>
        <w:kinsoku/>
        <w:wordWrap/>
        <w:overflowPunct/>
        <w:topLinePunct w:val="0"/>
        <w:bidi w:val="0"/>
        <w:spacing w:line="500" w:lineRule="exact"/>
        <w:ind w:left="1020" w:hanging="1190" w:hangingChars="425"/>
        <w:rPr>
          <w:rFonts w:hint="eastAsia" w:ascii="仿宋" w:hAnsi="仿宋" w:eastAsia="仿宋" w:cs="仿宋"/>
          <w:color w:val="auto"/>
          <w:sz w:val="28"/>
          <w:szCs w:val="28"/>
        </w:rPr>
      </w:pPr>
      <w:r>
        <w:rPr>
          <w:rFonts w:hint="eastAsia" w:ascii="仿宋" w:hAnsi="仿宋" w:eastAsia="仿宋" w:cs="仿宋"/>
          <w:color w:val="auto"/>
          <w:sz w:val="28"/>
          <w:szCs w:val="28"/>
        </w:rPr>
        <w:t>（三）单价金额小数点或者百分比有明显错位的，以开标一览表的</w:t>
      </w:r>
    </w:p>
    <w:p w14:paraId="2FAB63EF">
      <w:pPr>
        <w:pageBreakBefore w:val="0"/>
        <w:kinsoku/>
        <w:wordWrap/>
        <w:overflowPunct/>
        <w:topLinePunct w:val="0"/>
        <w:bidi w:val="0"/>
        <w:spacing w:line="500" w:lineRule="exact"/>
        <w:ind w:left="1020" w:hanging="1190" w:hangingChars="425"/>
        <w:rPr>
          <w:rFonts w:hint="eastAsia" w:ascii="仿宋" w:hAnsi="仿宋" w:eastAsia="仿宋" w:cs="仿宋"/>
          <w:color w:val="auto"/>
          <w:sz w:val="28"/>
          <w:szCs w:val="28"/>
        </w:rPr>
      </w:pPr>
      <w:r>
        <w:rPr>
          <w:rFonts w:hint="eastAsia" w:ascii="仿宋" w:hAnsi="仿宋" w:eastAsia="仿宋" w:cs="仿宋"/>
          <w:color w:val="auto"/>
          <w:sz w:val="28"/>
          <w:szCs w:val="28"/>
        </w:rPr>
        <w:t>总价为准，并修改单价；</w:t>
      </w:r>
    </w:p>
    <w:p w14:paraId="0EE3ADAE">
      <w:pPr>
        <w:pageBreakBefore w:val="0"/>
        <w:numPr>
          <w:ilvl w:val="0"/>
          <w:numId w:val="5"/>
        </w:numPr>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总价金额与按单价汇总金额不一致的，以单价金额计算结果</w:t>
      </w:r>
    </w:p>
    <w:p w14:paraId="5B033B83">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为准。同时出现两种以上不一致的，按照前款规定的顺序修正。修</w:t>
      </w:r>
    </w:p>
    <w:p w14:paraId="1DC0A10B">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正后的报价按照第20.2条的规定经投标人确认后产生约束力，投标</w:t>
      </w:r>
    </w:p>
    <w:p w14:paraId="02711B71">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人不确认的，其投标将被认定为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。对不同文字文本投标文</w:t>
      </w:r>
    </w:p>
    <w:p w14:paraId="66524FB1">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件的解释发生异议的，以中文文本为准。</w:t>
      </w:r>
    </w:p>
    <w:p w14:paraId="7D1B125E">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20.4 如只有一种产品，不同投标人所投产品为同一品牌的，按如下</w:t>
      </w:r>
    </w:p>
    <w:p w14:paraId="2F1D640A">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方式处理：</w:t>
      </w:r>
    </w:p>
    <w:p w14:paraId="5BA118D2">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20.4.1 提供相同品牌产品且通过资格审查、符合性审查的不同投标</w:t>
      </w:r>
    </w:p>
    <w:p w14:paraId="788260DA">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人，按一家投标人计算，评审后得分最高的同品牌投标人获得中标</w:t>
      </w:r>
    </w:p>
    <w:p w14:paraId="79F0A747">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人推荐资格；评审得分相同的，由采购人或者采购人委托评标委员</w:t>
      </w:r>
    </w:p>
    <w:p w14:paraId="59FCDEC4">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会按照招标文件中评标办法规定的方式确定一个投标人获得中标人</w:t>
      </w:r>
    </w:p>
    <w:p w14:paraId="294CA2DE">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推荐资格；未规定的采取随机抽取方式确定，其他同品牌投标人不</w:t>
      </w:r>
    </w:p>
    <w:p w14:paraId="61FE034F">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作为中标候选人。</w:t>
      </w:r>
    </w:p>
    <w:p w14:paraId="11C57B2A">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u w:val="single"/>
        </w:rPr>
      </w:pPr>
      <w:r>
        <w:rPr>
          <w:rFonts w:hint="eastAsia" w:ascii="仿宋" w:hAnsi="仿宋" w:eastAsia="仿宋" w:cs="仿宋"/>
          <w:color w:val="auto"/>
          <w:sz w:val="28"/>
          <w:szCs w:val="28"/>
        </w:rPr>
        <w:t>20.5 如一个分包内包含多种产品的，采购人或采购代理机构将在</w:t>
      </w:r>
      <w:r>
        <w:rPr>
          <w:rFonts w:hint="eastAsia" w:ascii="仿宋" w:hAnsi="仿宋" w:eastAsia="仿宋" w:cs="仿宋"/>
          <w:color w:val="auto"/>
          <w:sz w:val="28"/>
          <w:szCs w:val="28"/>
          <w:u w:val="single"/>
        </w:rPr>
        <w:t>投</w:t>
      </w:r>
    </w:p>
    <w:p w14:paraId="54739B1F">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u w:val="single"/>
        </w:rPr>
        <w:t>标人须知资料表</w:t>
      </w:r>
      <w:r>
        <w:rPr>
          <w:rFonts w:hint="eastAsia" w:ascii="仿宋" w:hAnsi="仿宋" w:eastAsia="仿宋" w:cs="仿宋"/>
          <w:color w:val="auto"/>
          <w:sz w:val="28"/>
          <w:szCs w:val="28"/>
        </w:rPr>
        <w:t>中载明核心产品，多家投标人提供的核心产品品牌</w:t>
      </w:r>
    </w:p>
    <w:p w14:paraId="6301D62A">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相同的，按第20.4条规定处理。</w:t>
      </w:r>
    </w:p>
    <w:p w14:paraId="50F1C71A">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312" w:name="_Toc515647782"/>
      <w:bookmarkStart w:id="313" w:name="_Toc3157"/>
      <w:bookmarkStart w:id="314" w:name="_Toc9469"/>
      <w:bookmarkStart w:id="315" w:name="_Toc6364"/>
      <w:r>
        <w:rPr>
          <w:rFonts w:hint="eastAsia" w:ascii="仿宋" w:hAnsi="仿宋" w:eastAsia="仿宋" w:cs="仿宋"/>
          <w:color w:val="auto"/>
          <w:sz w:val="28"/>
          <w:szCs w:val="28"/>
          <w:u w:val="none"/>
        </w:rPr>
        <w:t>21.投标偏离</w:t>
      </w:r>
      <w:bookmarkEnd w:id="312"/>
      <w:bookmarkEnd w:id="313"/>
      <w:bookmarkEnd w:id="314"/>
      <w:bookmarkEnd w:id="315"/>
    </w:p>
    <w:p w14:paraId="6859BAFD">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评标委员会可以接受投标文件中不构成实质性偏离的不正规或不一致。</w:t>
      </w:r>
    </w:p>
    <w:p w14:paraId="556FCE02">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316" w:name="_Toc515647783"/>
      <w:bookmarkStart w:id="317" w:name="_Toc18445"/>
      <w:bookmarkStart w:id="318" w:name="_Toc4950"/>
      <w:bookmarkStart w:id="319" w:name="_Toc6092"/>
      <w:r>
        <w:rPr>
          <w:rFonts w:hint="eastAsia" w:ascii="仿宋" w:hAnsi="仿宋" w:eastAsia="仿宋" w:cs="仿宋"/>
          <w:color w:val="auto"/>
          <w:sz w:val="28"/>
          <w:szCs w:val="28"/>
          <w:u w:val="none"/>
        </w:rPr>
        <w:t>22.投标</w:t>
      </w:r>
      <w:bookmarkEnd w:id="316"/>
      <w:r>
        <w:rPr>
          <w:rFonts w:hint="eastAsia" w:ascii="仿宋" w:hAnsi="仿宋" w:eastAsia="仿宋" w:cs="仿宋"/>
          <w:color w:val="auto"/>
          <w:sz w:val="28"/>
          <w:szCs w:val="28"/>
          <w:u w:val="none"/>
        </w:rPr>
        <w:t>无效</w:t>
      </w:r>
      <w:bookmarkEnd w:id="317"/>
      <w:bookmarkEnd w:id="318"/>
      <w:bookmarkEnd w:id="319"/>
    </w:p>
    <w:p w14:paraId="722E3880">
      <w:pPr>
        <w:pageBreakBefore w:val="0"/>
        <w:kinsoku/>
        <w:wordWrap/>
        <w:overflowPunct/>
        <w:topLinePunct w:val="0"/>
        <w:bidi w:val="0"/>
        <w:spacing w:line="500" w:lineRule="exact"/>
        <w:ind w:left="1002" w:leftChars="-23"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22.1 在比较与评价之前，根据本须知的规定，评标委员会要审查每</w:t>
      </w:r>
    </w:p>
    <w:p w14:paraId="74845EBC">
      <w:pPr>
        <w:pageBreakBefore w:val="0"/>
        <w:kinsoku/>
        <w:wordWrap/>
        <w:overflowPunct/>
        <w:topLinePunct w:val="0"/>
        <w:bidi w:val="0"/>
        <w:spacing w:line="500" w:lineRule="exact"/>
        <w:ind w:left="1002" w:leftChars="-23"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份投标文件是否实质上响应了招标文件的要求。实质上响应的投标</w:t>
      </w:r>
    </w:p>
    <w:p w14:paraId="6B225AB6">
      <w:pPr>
        <w:pageBreakBefore w:val="0"/>
        <w:kinsoku/>
        <w:wordWrap/>
        <w:overflowPunct/>
        <w:topLinePunct w:val="0"/>
        <w:bidi w:val="0"/>
        <w:spacing w:line="500" w:lineRule="exact"/>
        <w:ind w:left="1002" w:leftChars="-23"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应该是与招标文件要求的全部条款、条件和规格相符，没有重大偏</w:t>
      </w:r>
    </w:p>
    <w:p w14:paraId="0CBE3C09">
      <w:pPr>
        <w:pageBreakBefore w:val="0"/>
        <w:kinsoku/>
        <w:wordWrap/>
        <w:overflowPunct/>
        <w:topLinePunct w:val="0"/>
        <w:bidi w:val="0"/>
        <w:spacing w:line="500" w:lineRule="exact"/>
        <w:ind w:left="1002" w:leftChars="-23"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离的投标。对关键条款的偏离，将被认定为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。投标人不得</w:t>
      </w:r>
    </w:p>
    <w:p w14:paraId="463E7D0B">
      <w:pPr>
        <w:pageBreakBefore w:val="0"/>
        <w:kinsoku/>
        <w:wordWrap/>
        <w:overflowPunct/>
        <w:topLinePunct w:val="0"/>
        <w:bidi w:val="0"/>
        <w:spacing w:line="500" w:lineRule="exact"/>
        <w:ind w:left="1002" w:leftChars="-23"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通过修正或撤销不符合要求的偏离，从而使其投标成为实质上响应</w:t>
      </w:r>
    </w:p>
    <w:p w14:paraId="2DAEC756">
      <w:pPr>
        <w:pageBreakBefore w:val="0"/>
        <w:kinsoku/>
        <w:wordWrap/>
        <w:overflowPunct/>
        <w:topLinePunct w:val="0"/>
        <w:bidi w:val="0"/>
        <w:spacing w:line="500" w:lineRule="exact"/>
        <w:ind w:left="1002" w:leftChars="-23"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的投标。评标委员会决定投标的响应性只根据招标文件要求、投标</w:t>
      </w:r>
    </w:p>
    <w:p w14:paraId="6E36C507">
      <w:pPr>
        <w:pageBreakBefore w:val="0"/>
        <w:kinsoku/>
        <w:wordWrap/>
        <w:overflowPunct/>
        <w:topLinePunct w:val="0"/>
        <w:bidi w:val="0"/>
        <w:spacing w:line="500" w:lineRule="exact"/>
        <w:ind w:left="1002" w:leftChars="-23"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文件内容及财政主管部门指定相关信息发布媒体。</w:t>
      </w:r>
    </w:p>
    <w:p w14:paraId="6E0C9B09">
      <w:pPr>
        <w:pageBreakBefore w:val="0"/>
        <w:kinsoku/>
        <w:wordWrap/>
        <w:overflowPunct/>
        <w:topLinePunct w:val="0"/>
        <w:bidi w:val="0"/>
        <w:spacing w:line="500" w:lineRule="exact"/>
        <w:ind w:left="900" w:hanging="1050" w:hangingChars="375"/>
        <w:rPr>
          <w:rFonts w:hint="eastAsia" w:ascii="仿宋" w:hAnsi="仿宋" w:eastAsia="仿宋" w:cs="仿宋"/>
          <w:b/>
          <w:color w:val="auto"/>
          <w:sz w:val="28"/>
          <w:szCs w:val="28"/>
        </w:rPr>
      </w:pPr>
      <w:r>
        <w:rPr>
          <w:rFonts w:hint="eastAsia" w:ascii="仿宋" w:hAnsi="仿宋" w:eastAsia="仿宋" w:cs="仿宋"/>
          <w:color w:val="auto"/>
          <w:sz w:val="28"/>
          <w:szCs w:val="28"/>
        </w:rPr>
        <w:t>22.2如发现下列情况之一的，其投标将被认定为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r>
        <w:rPr>
          <w:rFonts w:hint="eastAsia" w:ascii="仿宋" w:hAnsi="仿宋" w:eastAsia="仿宋" w:cs="仿宋"/>
          <w:b/>
          <w:color w:val="auto"/>
          <w:sz w:val="28"/>
          <w:szCs w:val="28"/>
        </w:rPr>
        <w:t>以下</w:t>
      </w:r>
    </w:p>
    <w:p w14:paraId="4BF6CE33">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b/>
          <w:color w:val="auto"/>
          <w:sz w:val="28"/>
          <w:szCs w:val="28"/>
        </w:rPr>
        <w:t>情形应当在招标文件中规定，并以醒目的方式标明</w:t>
      </w:r>
      <w:r>
        <w:rPr>
          <w:rFonts w:hint="eastAsia" w:ascii="仿宋" w:hAnsi="仿宋" w:eastAsia="仿宋" w:cs="仿宋"/>
          <w:color w:val="auto"/>
          <w:sz w:val="28"/>
          <w:szCs w:val="28"/>
        </w:rPr>
        <w:t>）</w:t>
      </w:r>
    </w:p>
    <w:p w14:paraId="10E17F4B">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color w:val="auto"/>
          <w:sz w:val="28"/>
          <w:szCs w:val="28"/>
        </w:rPr>
      </w:pPr>
      <w:r>
        <w:rPr>
          <w:rFonts w:hint="eastAsia" w:ascii="仿宋" w:hAnsi="仿宋" w:eastAsia="仿宋" w:cs="仿宋"/>
          <w:b/>
          <w:bCs/>
          <w:color w:val="auto"/>
          <w:sz w:val="28"/>
          <w:szCs w:val="28"/>
        </w:rPr>
        <w:t>未按招标文件规定的形式和金额提交投标保证金</w:t>
      </w:r>
      <w:r>
        <w:rPr>
          <w:rFonts w:hint="eastAsia" w:ascii="仿宋" w:hAnsi="仿宋" w:eastAsia="仿宋" w:cs="仿宋"/>
          <w:b/>
          <w:bCs/>
          <w:color w:val="auto"/>
          <w:sz w:val="28"/>
          <w:szCs w:val="28"/>
          <w:lang w:val="en-US" w:eastAsia="zh-CN"/>
        </w:rPr>
        <w:t>或保函</w:t>
      </w:r>
      <w:r>
        <w:rPr>
          <w:rFonts w:hint="eastAsia" w:ascii="仿宋" w:hAnsi="仿宋" w:eastAsia="仿宋" w:cs="仿宋"/>
          <w:b/>
          <w:bCs/>
          <w:color w:val="auto"/>
          <w:sz w:val="28"/>
          <w:szCs w:val="28"/>
        </w:rPr>
        <w:t>的；</w:t>
      </w:r>
    </w:p>
    <w:p w14:paraId="1084EF8A">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color w:val="auto"/>
          <w:sz w:val="28"/>
          <w:szCs w:val="28"/>
        </w:rPr>
      </w:pPr>
      <w:r>
        <w:rPr>
          <w:rFonts w:hint="eastAsia" w:ascii="仿宋" w:hAnsi="仿宋" w:eastAsia="仿宋" w:cs="仿宋"/>
          <w:b/>
          <w:bCs/>
          <w:color w:val="auto"/>
          <w:sz w:val="28"/>
          <w:szCs w:val="28"/>
        </w:rPr>
        <w:t>未按照招标文件规定要求签署、盖章的；</w:t>
      </w:r>
    </w:p>
    <w:p w14:paraId="6753DD82">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color w:val="auto"/>
          <w:sz w:val="28"/>
          <w:szCs w:val="28"/>
        </w:rPr>
      </w:pPr>
      <w:r>
        <w:rPr>
          <w:rFonts w:hint="eastAsia" w:ascii="仿宋" w:hAnsi="仿宋" w:eastAsia="仿宋" w:cs="仿宋"/>
          <w:b/>
          <w:bCs/>
          <w:color w:val="auto"/>
          <w:sz w:val="28"/>
          <w:szCs w:val="28"/>
        </w:rPr>
        <w:t>未满足招标文件中技术条款的实质性要求；</w:t>
      </w:r>
    </w:p>
    <w:p w14:paraId="4B7D7DC0">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color w:val="auto"/>
          <w:sz w:val="28"/>
          <w:szCs w:val="28"/>
        </w:rPr>
      </w:pPr>
      <w:r>
        <w:rPr>
          <w:rFonts w:hint="eastAsia" w:ascii="仿宋" w:hAnsi="仿宋" w:eastAsia="仿宋" w:cs="仿宋"/>
          <w:b/>
          <w:bCs/>
          <w:color w:val="auto"/>
          <w:sz w:val="28"/>
          <w:szCs w:val="28"/>
        </w:rPr>
        <w:t>与其他投标人串通投标，或者与招标人串通投标；</w:t>
      </w:r>
    </w:p>
    <w:p w14:paraId="666B368D">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color w:val="auto"/>
          <w:sz w:val="28"/>
          <w:szCs w:val="28"/>
        </w:rPr>
      </w:pPr>
      <w:r>
        <w:rPr>
          <w:rFonts w:hint="eastAsia" w:ascii="仿宋" w:hAnsi="仿宋" w:eastAsia="仿宋" w:cs="仿宋"/>
          <w:b/>
          <w:bCs/>
          <w:color w:val="auto"/>
          <w:sz w:val="28"/>
          <w:szCs w:val="28"/>
        </w:rPr>
        <w:t>属于招标文件规定的其他投标无效情形；</w:t>
      </w:r>
    </w:p>
    <w:p w14:paraId="4D52542C">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color w:val="auto"/>
          <w:sz w:val="28"/>
          <w:szCs w:val="28"/>
        </w:rPr>
      </w:pPr>
      <w:r>
        <w:rPr>
          <w:rFonts w:hint="eastAsia" w:ascii="仿宋" w:hAnsi="仿宋" w:eastAsia="仿宋" w:cs="仿宋"/>
          <w:b/>
          <w:bCs/>
          <w:color w:val="auto"/>
          <w:sz w:val="28"/>
          <w:szCs w:val="28"/>
        </w:rPr>
        <w:t>评标委员会认为投标人的报价明显低于其他通过符合</w:t>
      </w:r>
    </w:p>
    <w:p w14:paraId="494EDFEB">
      <w:pPr>
        <w:pageBreakBefore w:val="0"/>
        <w:numPr>
          <w:ilvl w:val="0"/>
          <w:numId w:val="0"/>
        </w:numPr>
        <w:kinsoku/>
        <w:wordWrap/>
        <w:overflowPunct/>
        <w:topLinePunct w:val="0"/>
        <w:bidi w:val="0"/>
        <w:spacing w:line="50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性检查投标人的报价，有可能影响履约的，且投标人未按照规定证明其报价合理性的；</w:t>
      </w:r>
    </w:p>
    <w:p w14:paraId="1D3EB6CE">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投标文件含有采购人不能接受的附加条件的；</w:t>
      </w:r>
    </w:p>
    <w:p w14:paraId="76267345">
      <w:pPr>
        <w:pageBreakBefore w:val="0"/>
        <w:numPr>
          <w:ilvl w:val="0"/>
          <w:numId w:val="6"/>
        </w:numPr>
        <w:tabs>
          <w:tab w:val="left" w:pos="0"/>
        </w:tabs>
        <w:kinsoku/>
        <w:wordWrap/>
        <w:overflowPunct/>
        <w:topLinePunct w:val="0"/>
        <w:bidi w:val="0"/>
        <w:spacing w:line="500" w:lineRule="exact"/>
        <w:ind w:left="1020" w:hanging="180"/>
        <w:rPr>
          <w:rFonts w:hint="eastAsia" w:ascii="仿宋" w:hAnsi="仿宋" w:eastAsia="仿宋" w:cs="仿宋"/>
          <w:b/>
          <w:bCs/>
          <w:color w:val="auto"/>
          <w:sz w:val="28"/>
          <w:szCs w:val="28"/>
        </w:rPr>
      </w:pPr>
      <w:r>
        <w:rPr>
          <w:rFonts w:hint="eastAsia" w:ascii="仿宋" w:hAnsi="仿宋" w:eastAsia="仿宋" w:cs="仿宋"/>
          <w:b/>
          <w:bCs/>
          <w:color w:val="auto"/>
          <w:sz w:val="28"/>
          <w:szCs w:val="28"/>
        </w:rPr>
        <w:t>不符合法规和招标文件中规定的其他实质性要求的。</w:t>
      </w:r>
    </w:p>
    <w:bookmarkEnd w:id="311"/>
    <w:p w14:paraId="230CF348">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320" w:name="_Toc3408"/>
      <w:bookmarkStart w:id="321" w:name="_Toc10960"/>
      <w:bookmarkStart w:id="322" w:name="_Toc520356168"/>
      <w:bookmarkStart w:id="323" w:name="_Toc515647785"/>
      <w:bookmarkStart w:id="324" w:name="_Toc9378"/>
      <w:bookmarkStart w:id="325" w:name="_Toc20227"/>
      <w:r>
        <w:rPr>
          <w:rFonts w:hint="eastAsia" w:ascii="仿宋" w:hAnsi="仿宋" w:eastAsia="仿宋" w:cs="仿宋"/>
          <w:color w:val="auto"/>
          <w:sz w:val="28"/>
          <w:szCs w:val="28"/>
          <w:u w:val="none"/>
        </w:rPr>
        <w:t>23.比较与评价</w:t>
      </w:r>
      <w:bookmarkEnd w:id="320"/>
      <w:bookmarkEnd w:id="321"/>
    </w:p>
    <w:p w14:paraId="413D9B1A">
      <w:pPr>
        <w:pageBreakBefore w:val="0"/>
        <w:kinsoku/>
        <w:wordWrap/>
        <w:overflowPunct/>
        <w:topLinePunct w:val="0"/>
        <w:bidi w:val="0"/>
        <w:spacing w:line="50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23.1</w:t>
      </w:r>
      <w:r>
        <w:rPr>
          <w:rFonts w:hint="eastAsia" w:ascii="仿宋" w:hAnsi="仿宋" w:eastAsia="仿宋" w:cs="仿宋"/>
          <w:b/>
          <w:bCs/>
          <w:color w:val="auto"/>
          <w:sz w:val="28"/>
          <w:szCs w:val="28"/>
        </w:rPr>
        <w:tab/>
      </w:r>
      <w:r>
        <w:rPr>
          <w:rFonts w:hint="eastAsia" w:ascii="仿宋" w:hAnsi="仿宋" w:eastAsia="仿宋" w:cs="仿宋"/>
          <w:b/>
          <w:bCs/>
          <w:color w:val="auto"/>
          <w:sz w:val="28"/>
          <w:szCs w:val="28"/>
        </w:rPr>
        <w:t>经符合性审查合格的投标文件，评标委员会将根据招标文件确定的评标方法和标准，对其技术部分和商务部分作进一步的比较和评价。</w:t>
      </w:r>
    </w:p>
    <w:p w14:paraId="54D9C49A">
      <w:pPr>
        <w:pageBreakBefore w:val="0"/>
        <w:kinsoku/>
        <w:wordWrap/>
        <w:overflowPunct/>
        <w:topLinePunct w:val="0"/>
        <w:bidi w:val="0"/>
        <w:spacing w:line="50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23.2  评标严格按照招标文件的要求和条件进行。根据实际情况，在供应商须知资料表中规定采用下列一种评标方法，详细评标标准见招标文件第六章：</w:t>
      </w:r>
    </w:p>
    <w:p w14:paraId="67745C94">
      <w:pPr>
        <w:pStyle w:val="9"/>
        <w:pageBreakBefore w:val="0"/>
        <w:kinsoku/>
        <w:wordWrap/>
        <w:overflowPunct/>
        <w:topLinePunct w:val="0"/>
        <w:bidi w:val="0"/>
        <w:spacing w:line="500" w:lineRule="exact"/>
        <w:ind w:firstLine="0"/>
        <w:rPr>
          <w:rFonts w:hint="eastAsia" w:ascii="仿宋" w:hAnsi="仿宋" w:eastAsia="仿宋" w:cs="仿宋"/>
          <w:color w:val="auto"/>
          <w:sz w:val="28"/>
          <w:szCs w:val="28"/>
        </w:rPr>
      </w:pPr>
      <w:r>
        <w:rPr>
          <w:rFonts w:hint="eastAsia" w:ascii="仿宋" w:hAnsi="仿宋" w:eastAsia="仿宋" w:cs="仿宋"/>
          <w:color w:val="auto"/>
          <w:sz w:val="28"/>
          <w:szCs w:val="28"/>
        </w:rPr>
        <w:t>（1）最低评标价法，是指投标文件满足招标文件全部实质性要求，且投标报价最低的投标人为中标候选人的评标方法。</w:t>
      </w:r>
    </w:p>
    <w:p w14:paraId="0C4AE440">
      <w:pPr>
        <w:pageBreakBefore w:val="0"/>
        <w:kinsoku/>
        <w:wordWrap/>
        <w:overflowPunct/>
        <w:topLinePunct w:val="0"/>
        <w:bidi w:val="0"/>
        <w:spacing w:line="50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（2） 综合评分法，是指投标文件满足招标文件全部实质性要求，且按照评审因素的量化指标评审得分最高的供应商为中标候选人的评标方法。</w:t>
      </w:r>
    </w:p>
    <w:p w14:paraId="784F5B5E">
      <w:pPr>
        <w:pStyle w:val="85"/>
        <w:pageBreakBefore w:val="0"/>
        <w:kinsoku/>
        <w:wordWrap/>
        <w:overflowPunct/>
        <w:topLinePunct w:val="0"/>
        <w:bidi w:val="0"/>
        <w:spacing w:line="500" w:lineRule="exact"/>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本项目采用综合评分法</w:t>
      </w:r>
      <w:r>
        <w:rPr>
          <w:rFonts w:hint="eastAsia" w:ascii="仿宋" w:hAnsi="仿宋" w:eastAsia="仿宋" w:cs="仿宋"/>
          <w:b w:val="0"/>
          <w:bCs w:val="0"/>
          <w:color w:val="auto"/>
          <w:sz w:val="28"/>
          <w:szCs w:val="28"/>
          <w:lang w:eastAsia="zh-CN"/>
        </w:rPr>
        <w:t>。</w:t>
      </w:r>
    </w:p>
    <w:p w14:paraId="5243426C">
      <w:pPr>
        <w:pStyle w:val="85"/>
        <w:pageBreakBefore w:val="0"/>
        <w:kinsoku/>
        <w:wordWrap/>
        <w:overflowPunct/>
        <w:topLinePunct w:val="0"/>
        <w:bidi w:val="0"/>
        <w:spacing w:line="500" w:lineRule="exact"/>
        <w:rPr>
          <w:rFonts w:hint="eastAsia" w:ascii="仿宋" w:hAnsi="仿宋" w:eastAsia="仿宋" w:cs="仿宋"/>
          <w:b w:val="0"/>
          <w:bCs w:val="0"/>
          <w:color w:val="auto"/>
          <w:sz w:val="28"/>
          <w:szCs w:val="28"/>
          <w:highlight w:val="red"/>
          <w:lang w:val="en-US" w:eastAsia="zh-CN"/>
        </w:rPr>
      </w:pPr>
      <w:r>
        <w:rPr>
          <w:rFonts w:hint="eastAsia" w:ascii="仿宋" w:hAnsi="仿宋" w:eastAsia="仿宋" w:cs="仿宋"/>
          <w:b w:val="0"/>
          <w:bCs w:val="0"/>
          <w:color w:val="auto"/>
          <w:sz w:val="28"/>
          <w:szCs w:val="28"/>
        </w:rPr>
        <w:t xml:space="preserve">23.3 </w:t>
      </w:r>
      <w:r>
        <w:rPr>
          <w:rFonts w:hint="eastAsia" w:ascii="仿宋" w:hAnsi="仿宋" w:eastAsia="仿宋" w:cs="仿宋"/>
          <w:b w:val="0"/>
          <w:bCs w:val="0"/>
          <w:color w:val="auto"/>
          <w:sz w:val="28"/>
          <w:szCs w:val="28"/>
          <w:highlight w:val="none"/>
        </w:rPr>
        <w:t xml:space="preserve"> </w:t>
      </w:r>
      <w:r>
        <w:rPr>
          <w:rFonts w:hint="eastAsia" w:ascii="仿宋" w:hAnsi="仿宋" w:eastAsia="仿宋" w:cs="仿宋"/>
          <w:b w:val="0"/>
          <w:bCs w:val="0"/>
          <w:color w:val="auto"/>
          <w:sz w:val="28"/>
          <w:szCs w:val="28"/>
          <w:highlight w:val="none"/>
          <w:lang w:eastAsia="zh-CN"/>
        </w:rPr>
        <w:t>本项目专门面向中小微企业</w:t>
      </w:r>
      <w:r>
        <w:rPr>
          <w:rFonts w:hint="eastAsia" w:ascii="仿宋" w:hAnsi="仿宋" w:eastAsia="仿宋" w:cs="仿宋"/>
          <w:b w:val="0"/>
          <w:bCs w:val="0"/>
          <w:color w:val="auto"/>
          <w:sz w:val="28"/>
          <w:szCs w:val="28"/>
          <w:highlight w:val="none"/>
          <w:lang w:val="en-US" w:eastAsia="zh-CN"/>
        </w:rPr>
        <w:t xml:space="preserve"> </w:t>
      </w:r>
    </w:p>
    <w:p w14:paraId="30C70F03">
      <w:pPr>
        <w:pageBreakBefore w:val="0"/>
        <w:kinsoku/>
        <w:wordWrap/>
        <w:overflowPunct/>
        <w:topLinePunct w:val="0"/>
        <w:bidi w:val="0"/>
        <w:spacing w:line="500" w:lineRule="exact"/>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采购超过200万元的货物和服务采购项目、超过400万元的工程采购项目中适宜由中小企业提供的，预留该部分采购项目预算总额的</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lang w:eastAsia="zh-CN"/>
        </w:rPr>
        <w:t>0%以上专门面向中小企业采购，其中预留给小微企业的比例不低于60%。</w:t>
      </w:r>
      <w:r>
        <w:rPr>
          <w:rFonts w:hint="eastAsia" w:ascii="仿宋" w:hAnsi="仿宋" w:eastAsia="仿宋" w:cs="仿宋"/>
          <w:b w:val="0"/>
          <w:bCs w:val="0"/>
          <w:color w:val="auto"/>
          <w:sz w:val="28"/>
          <w:szCs w:val="28"/>
          <w:highlight w:val="none"/>
        </w:rPr>
        <w:t>根据《政府采购促进中小企业发展管理办法》（财库[2020]46号）、《财政部司法部关于政府采购支持监狱企业发展有关问 题 的通知》（财库〔2014〕68号）、《三部门联合发布关于促进残疾人就业政府采购政策的通知》（财库〔2017〕141号）和财政部关于进一步加大政府采购支持中小企业力度的通知》财库〔2022〕19号的规定，其中小型、微型及小微企业在投标文件中提交了《中小企业声明函》、《残疾人福利性单位声明函》或省级以上监狱管理局、戒毒管理局（含新疆生产建设兵团）出具的属于监狱企业的证明文件的供应商，其报价扣除10%后参与评审。对于同时属于小型、微型及小微企业、监狱企业或残疾人福利性单位的，不重复进行报价扣除</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本项目是</w:t>
      </w:r>
      <w:r>
        <w:rPr>
          <w:rFonts w:hint="eastAsia" w:ascii="仿宋" w:hAnsi="仿宋" w:eastAsia="仿宋" w:cs="仿宋"/>
          <w:b/>
          <w:bCs/>
          <w:color w:val="auto"/>
          <w:sz w:val="28"/>
          <w:szCs w:val="28"/>
          <w:highlight w:val="none"/>
        </w:rPr>
        <w:t>专门面向中小</w:t>
      </w:r>
      <w:r>
        <w:rPr>
          <w:rFonts w:hint="eastAsia" w:ascii="仿宋" w:hAnsi="仿宋" w:eastAsia="仿宋" w:cs="仿宋"/>
          <w:b/>
          <w:bCs/>
          <w:color w:val="auto"/>
          <w:sz w:val="28"/>
          <w:szCs w:val="28"/>
          <w:highlight w:val="none"/>
          <w:lang w:val="en-US" w:eastAsia="zh-CN"/>
        </w:rPr>
        <w:t>微</w:t>
      </w:r>
      <w:r>
        <w:rPr>
          <w:rFonts w:hint="eastAsia" w:ascii="仿宋" w:hAnsi="仿宋" w:eastAsia="仿宋" w:cs="仿宋"/>
          <w:b/>
          <w:bCs/>
          <w:color w:val="auto"/>
          <w:sz w:val="28"/>
          <w:szCs w:val="28"/>
          <w:highlight w:val="none"/>
        </w:rPr>
        <w:t>企业采购的项目，</w:t>
      </w:r>
      <w:r>
        <w:rPr>
          <w:rFonts w:hint="eastAsia" w:ascii="仿宋" w:hAnsi="仿宋" w:eastAsia="仿宋" w:cs="仿宋"/>
          <w:b/>
          <w:bCs/>
          <w:color w:val="auto"/>
          <w:sz w:val="28"/>
          <w:szCs w:val="28"/>
          <w:highlight w:val="none"/>
          <w:lang w:val="en-US" w:eastAsia="zh-CN"/>
        </w:rPr>
        <w:t>因此</w:t>
      </w:r>
      <w:r>
        <w:rPr>
          <w:rFonts w:hint="eastAsia" w:ascii="仿宋" w:hAnsi="仿宋" w:eastAsia="仿宋" w:cs="仿宋"/>
          <w:b/>
          <w:bCs/>
          <w:color w:val="auto"/>
          <w:sz w:val="28"/>
          <w:szCs w:val="28"/>
          <w:highlight w:val="none"/>
        </w:rPr>
        <w:t>不再执行价格评审优惠的扶持政策</w:t>
      </w:r>
      <w:r>
        <w:rPr>
          <w:rFonts w:hint="eastAsia" w:ascii="仿宋" w:hAnsi="仿宋" w:eastAsia="仿宋" w:cs="仿宋"/>
          <w:b/>
          <w:bCs/>
          <w:color w:val="auto"/>
          <w:sz w:val="28"/>
          <w:szCs w:val="28"/>
          <w:highlight w:val="none"/>
          <w:lang w:eastAsia="zh-CN"/>
        </w:rPr>
        <w:t>）</w:t>
      </w:r>
      <w:r>
        <w:rPr>
          <w:rFonts w:hint="eastAsia" w:ascii="仿宋" w:hAnsi="仿宋" w:eastAsia="仿宋" w:cs="仿宋"/>
          <w:b w:val="0"/>
          <w:bCs w:val="0"/>
          <w:color w:val="auto"/>
          <w:sz w:val="28"/>
          <w:szCs w:val="28"/>
          <w:highlight w:val="none"/>
        </w:rPr>
        <w:t>。</w:t>
      </w:r>
    </w:p>
    <w:p w14:paraId="20563A1A">
      <w:pPr>
        <w:pStyle w:val="6"/>
        <w:pageBreakBefore w:val="0"/>
        <w:kinsoku/>
        <w:wordWrap/>
        <w:overflowPunct/>
        <w:topLinePunct w:val="0"/>
        <w:bidi w:val="0"/>
        <w:spacing w:before="0" w:after="0" w:line="500" w:lineRule="exact"/>
        <w:rPr>
          <w:rFonts w:hint="eastAsia" w:ascii="仿宋" w:hAnsi="仿宋" w:eastAsia="仿宋" w:cs="仿宋"/>
          <w:b w:val="0"/>
          <w:bCs w:val="0"/>
          <w:color w:val="auto"/>
          <w:sz w:val="28"/>
          <w:szCs w:val="28"/>
          <w:u w:val="none"/>
        </w:rPr>
      </w:pPr>
      <w:bookmarkStart w:id="326" w:name="_Toc18482"/>
      <w:r>
        <w:rPr>
          <w:rFonts w:hint="eastAsia" w:ascii="仿宋" w:hAnsi="仿宋" w:eastAsia="仿宋" w:cs="仿宋"/>
          <w:b w:val="0"/>
          <w:bCs w:val="0"/>
          <w:color w:val="auto"/>
          <w:sz w:val="28"/>
          <w:szCs w:val="28"/>
          <w:u w:val="none"/>
        </w:rPr>
        <w:t>24</w:t>
      </w:r>
      <w:bookmarkEnd w:id="322"/>
      <w:r>
        <w:rPr>
          <w:rFonts w:hint="eastAsia" w:ascii="仿宋" w:hAnsi="仿宋" w:eastAsia="仿宋" w:cs="仿宋"/>
          <w:b w:val="0"/>
          <w:bCs w:val="0"/>
          <w:color w:val="auto"/>
          <w:sz w:val="28"/>
          <w:szCs w:val="28"/>
          <w:u w:val="none"/>
        </w:rPr>
        <w:t>.废标</w:t>
      </w:r>
      <w:bookmarkEnd w:id="323"/>
      <w:bookmarkEnd w:id="324"/>
      <w:bookmarkEnd w:id="325"/>
      <w:bookmarkEnd w:id="326"/>
    </w:p>
    <w:p w14:paraId="5004D777">
      <w:pPr>
        <w:pageBreakBefore w:val="0"/>
        <w:kinsoku/>
        <w:wordWrap/>
        <w:overflowPunct/>
        <w:topLinePunct w:val="0"/>
        <w:bidi w:val="0"/>
        <w:spacing w:line="50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出现下列情形之一，将导致项目废标： </w:t>
      </w:r>
    </w:p>
    <w:p w14:paraId="0FA7B656">
      <w:pPr>
        <w:pageBreakBefore w:val="0"/>
        <w:numPr>
          <w:ilvl w:val="0"/>
          <w:numId w:val="7"/>
        </w:numPr>
        <w:kinsoku/>
        <w:wordWrap/>
        <w:overflowPunct/>
        <w:topLinePunct w:val="0"/>
        <w:bidi w:val="0"/>
        <w:spacing w:line="500" w:lineRule="exact"/>
        <w:ind w:left="904" w:hanging="1050" w:hangingChars="375"/>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符合专业条件的供应商或者对招标文件做实质性响应的供应</w:t>
      </w:r>
    </w:p>
    <w:p w14:paraId="7715A3BC">
      <w:pPr>
        <w:pageBreakBefore w:val="0"/>
        <w:numPr>
          <w:ilvl w:val="0"/>
          <w:numId w:val="0"/>
        </w:numPr>
        <w:kinsoku/>
        <w:wordWrap/>
        <w:overflowPunct/>
        <w:topLinePunct w:val="0"/>
        <w:bidi w:val="0"/>
        <w:spacing w:line="500" w:lineRule="exact"/>
        <w:ind w:leftChars="-375"/>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商不足三家；</w:t>
      </w:r>
    </w:p>
    <w:p w14:paraId="6EFCCE26">
      <w:pPr>
        <w:pageBreakBefore w:val="0"/>
        <w:kinsoku/>
        <w:wordWrap/>
        <w:overflowPunct/>
        <w:topLinePunct w:val="0"/>
        <w:bidi w:val="0"/>
        <w:spacing w:line="50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（2）出现影响采购公正的违法、违规行为的；</w:t>
      </w:r>
    </w:p>
    <w:p w14:paraId="56D47725">
      <w:pPr>
        <w:pageBreakBefore w:val="0"/>
        <w:kinsoku/>
        <w:wordWrap/>
        <w:overflowPunct/>
        <w:topLinePunct w:val="0"/>
        <w:bidi w:val="0"/>
        <w:spacing w:line="50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（3）投标人的报价均超过了采购预算，采购人不能支付的；</w:t>
      </w:r>
    </w:p>
    <w:p w14:paraId="48B97E03">
      <w:pPr>
        <w:pageBreakBefore w:val="0"/>
        <w:kinsoku/>
        <w:wordWrap/>
        <w:overflowPunct/>
        <w:topLinePunct w:val="0"/>
        <w:bidi w:val="0"/>
        <w:spacing w:line="50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（4）因重大变故，采购任务取消的。 </w:t>
      </w:r>
    </w:p>
    <w:p w14:paraId="5F789121">
      <w:pPr>
        <w:pStyle w:val="6"/>
        <w:pageBreakBefore w:val="0"/>
        <w:kinsoku/>
        <w:wordWrap/>
        <w:overflowPunct/>
        <w:topLinePunct w:val="0"/>
        <w:bidi w:val="0"/>
        <w:spacing w:before="0" w:after="0" w:line="500" w:lineRule="exact"/>
        <w:rPr>
          <w:rFonts w:hint="eastAsia" w:ascii="仿宋" w:hAnsi="仿宋" w:eastAsia="仿宋" w:cs="仿宋"/>
          <w:b w:val="0"/>
          <w:bCs w:val="0"/>
          <w:color w:val="auto"/>
          <w:sz w:val="28"/>
          <w:szCs w:val="28"/>
          <w:u w:val="none"/>
        </w:rPr>
      </w:pPr>
      <w:bookmarkStart w:id="327" w:name="_Toc23483"/>
      <w:bookmarkStart w:id="328" w:name="_Toc31289"/>
      <w:bookmarkStart w:id="329" w:name="_Toc515647786"/>
      <w:bookmarkStart w:id="330" w:name="_Toc24972"/>
      <w:bookmarkStart w:id="331" w:name="_Toc520356169"/>
      <w:r>
        <w:rPr>
          <w:rFonts w:hint="eastAsia" w:ascii="仿宋" w:hAnsi="仿宋" w:eastAsia="仿宋" w:cs="仿宋"/>
          <w:b w:val="0"/>
          <w:bCs w:val="0"/>
          <w:color w:val="auto"/>
          <w:sz w:val="28"/>
          <w:szCs w:val="28"/>
          <w:u w:val="none"/>
        </w:rPr>
        <w:t>25.保密原则</w:t>
      </w:r>
      <w:bookmarkEnd w:id="327"/>
      <w:bookmarkEnd w:id="328"/>
      <w:bookmarkEnd w:id="329"/>
      <w:bookmarkEnd w:id="330"/>
    </w:p>
    <w:p w14:paraId="7913FE70">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25.1评标将在严格保密的情况下进行。</w:t>
      </w:r>
    </w:p>
    <w:p w14:paraId="75073294">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25.2政府采购评审专家应当遵守评审工作纪律，不得泄露评审文件、</w:t>
      </w:r>
    </w:p>
    <w:p w14:paraId="21089325">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评审情况和评审中获悉的商业秘密。</w:t>
      </w:r>
    </w:p>
    <w:p w14:paraId="7D1A4AB9">
      <w:pPr>
        <w:pStyle w:val="5"/>
        <w:pageBreakBefore w:val="0"/>
        <w:kinsoku/>
        <w:wordWrap/>
        <w:overflowPunct/>
        <w:topLinePunct w:val="0"/>
        <w:bidi w:val="0"/>
        <w:spacing w:before="0" w:line="500" w:lineRule="exact"/>
        <w:ind w:left="1079" w:leftChars="257" w:hanging="540"/>
        <w:rPr>
          <w:rFonts w:hint="eastAsia" w:ascii="仿宋" w:hAnsi="仿宋" w:eastAsia="仿宋" w:cs="仿宋"/>
          <w:color w:val="auto"/>
          <w:sz w:val="28"/>
          <w:szCs w:val="28"/>
        </w:rPr>
      </w:pPr>
      <w:bookmarkStart w:id="332" w:name="_Toc26629"/>
      <w:bookmarkStart w:id="333" w:name="_Toc515647787"/>
      <w:bookmarkStart w:id="334" w:name="_Toc23904"/>
      <w:bookmarkStart w:id="335" w:name="_Toc216582810"/>
      <w:bookmarkStart w:id="336" w:name="_Toc12143"/>
      <w:r>
        <w:rPr>
          <w:rFonts w:hint="eastAsia" w:ascii="仿宋" w:hAnsi="仿宋" w:eastAsia="仿宋" w:cs="仿宋"/>
          <w:color w:val="auto"/>
          <w:sz w:val="28"/>
          <w:szCs w:val="28"/>
        </w:rPr>
        <w:t xml:space="preserve">六   </w:t>
      </w:r>
      <w:bookmarkEnd w:id="331"/>
      <w:r>
        <w:rPr>
          <w:rFonts w:hint="eastAsia" w:ascii="仿宋" w:hAnsi="仿宋" w:eastAsia="仿宋" w:cs="仿宋"/>
          <w:color w:val="auto"/>
          <w:sz w:val="28"/>
          <w:szCs w:val="28"/>
        </w:rPr>
        <w:t>确定中标</w:t>
      </w:r>
      <w:bookmarkEnd w:id="332"/>
      <w:bookmarkEnd w:id="333"/>
      <w:bookmarkEnd w:id="334"/>
      <w:bookmarkEnd w:id="335"/>
      <w:bookmarkEnd w:id="336"/>
    </w:p>
    <w:p w14:paraId="5342BB2B">
      <w:pPr>
        <w:pageBreakBefore w:val="0"/>
        <w:kinsoku/>
        <w:wordWrap/>
        <w:overflowPunct/>
        <w:topLinePunct w:val="0"/>
        <w:bidi w:val="0"/>
        <w:spacing w:line="500" w:lineRule="exact"/>
        <w:outlineLvl w:val="2"/>
        <w:rPr>
          <w:rFonts w:hint="eastAsia" w:ascii="仿宋" w:hAnsi="仿宋" w:eastAsia="仿宋" w:cs="仿宋"/>
          <w:b/>
          <w:bCs/>
          <w:color w:val="auto"/>
          <w:sz w:val="28"/>
          <w:szCs w:val="28"/>
        </w:rPr>
      </w:pPr>
      <w:bookmarkStart w:id="337" w:name="_Ref467307010"/>
      <w:bookmarkStart w:id="338" w:name="_Toc29734"/>
      <w:bookmarkStart w:id="339" w:name="_Toc23762"/>
      <w:bookmarkStart w:id="340" w:name="_Toc23617"/>
      <w:bookmarkStart w:id="341" w:name="_Toc520356170"/>
      <w:bookmarkStart w:id="342" w:name="_Toc515647788"/>
      <w:r>
        <w:rPr>
          <w:rFonts w:hint="eastAsia" w:ascii="仿宋" w:hAnsi="仿宋" w:eastAsia="仿宋" w:cs="仿宋"/>
          <w:b/>
          <w:bCs/>
          <w:color w:val="auto"/>
          <w:sz w:val="28"/>
          <w:szCs w:val="28"/>
        </w:rPr>
        <w:t>26.中标候选人的确定原则及标准</w:t>
      </w:r>
      <w:bookmarkEnd w:id="337"/>
      <w:bookmarkEnd w:id="338"/>
      <w:bookmarkEnd w:id="339"/>
      <w:bookmarkEnd w:id="340"/>
      <w:bookmarkEnd w:id="341"/>
      <w:bookmarkEnd w:id="342"/>
    </w:p>
    <w:p w14:paraId="1E53ABAF">
      <w:pPr>
        <w:pageBreakBefore w:val="0"/>
        <w:tabs>
          <w:tab w:val="left" w:pos="900"/>
        </w:tabs>
        <w:kinsoku/>
        <w:wordWrap/>
        <w:overflowPunct/>
        <w:topLinePunct w:val="0"/>
        <w:bidi w:val="0"/>
        <w:spacing w:line="500" w:lineRule="exact"/>
        <w:ind w:firstLine="560" w:firstLineChars="200"/>
        <w:rPr>
          <w:rFonts w:hint="eastAsia" w:ascii="仿宋" w:hAnsi="仿宋" w:eastAsia="仿宋" w:cs="仿宋"/>
          <w:bCs/>
          <w:color w:val="auto"/>
          <w:sz w:val="28"/>
          <w:szCs w:val="28"/>
        </w:rPr>
      </w:pPr>
      <w:bookmarkStart w:id="343" w:name="_Toc520356171"/>
      <w:bookmarkStart w:id="344" w:name="_Toc515647789"/>
      <w:bookmarkStart w:id="345" w:name="_Toc23951"/>
      <w:bookmarkStart w:id="346" w:name="_Toc9653"/>
      <w:r>
        <w:rPr>
          <w:rFonts w:hint="eastAsia" w:ascii="仿宋" w:hAnsi="仿宋" w:eastAsia="仿宋" w:cs="仿宋"/>
          <w:bCs/>
          <w:color w:val="auto"/>
          <w:sz w:val="28"/>
          <w:szCs w:val="28"/>
        </w:rPr>
        <w:t>除第28条规定外，对实质上响应招标文件的供应商按下列方法进行排序，确定投标候选人：</w:t>
      </w:r>
    </w:p>
    <w:p w14:paraId="4DDFD857">
      <w:pPr>
        <w:pageBreakBefore w:val="0"/>
        <w:tabs>
          <w:tab w:val="left" w:pos="900"/>
        </w:tabs>
        <w:kinsoku/>
        <w:wordWrap/>
        <w:overflowPunct/>
        <w:topLinePunct w:val="0"/>
        <w:bidi w:val="0"/>
        <w:spacing w:line="50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7B8E3078">
      <w:pPr>
        <w:pageBreakBefore w:val="0"/>
        <w:tabs>
          <w:tab w:val="left" w:pos="900"/>
        </w:tabs>
        <w:kinsoku/>
        <w:wordWrap/>
        <w:overflowPunct/>
        <w:topLinePunct w:val="0"/>
        <w:bidi w:val="0"/>
        <w:spacing w:line="50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（2）采用综合评分法的，评标结果按评审后得分由高到低顺序排列。得分相同的，按修正和扣除后的投标报价由低到高顺序排列。得分与投标报价均相同的处理方式详见招标文件第6章。</w:t>
      </w:r>
    </w:p>
    <w:p w14:paraId="4D0D13D8">
      <w:pPr>
        <w:pageBreakBefore w:val="0"/>
        <w:tabs>
          <w:tab w:val="left" w:pos="900"/>
        </w:tabs>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bCs/>
          <w:color w:val="auto"/>
          <w:sz w:val="28"/>
          <w:szCs w:val="28"/>
        </w:rPr>
        <w:t>本项目采用综合评分法。</w:t>
      </w:r>
    </w:p>
    <w:p w14:paraId="38D01072">
      <w:pPr>
        <w:pStyle w:val="6"/>
        <w:pageBreakBefore w:val="0"/>
        <w:tabs>
          <w:tab w:val="left" w:pos="900"/>
        </w:tabs>
        <w:kinsoku/>
        <w:wordWrap/>
        <w:overflowPunct/>
        <w:topLinePunct w:val="0"/>
        <w:bidi w:val="0"/>
        <w:spacing w:before="0" w:after="0" w:line="500" w:lineRule="exact"/>
        <w:rPr>
          <w:rFonts w:hint="eastAsia" w:ascii="仿宋" w:hAnsi="仿宋" w:eastAsia="仿宋" w:cs="仿宋"/>
          <w:color w:val="auto"/>
          <w:sz w:val="28"/>
          <w:szCs w:val="28"/>
          <w:u w:val="none"/>
        </w:rPr>
      </w:pPr>
      <w:bookmarkStart w:id="347" w:name="_Toc27573"/>
      <w:r>
        <w:rPr>
          <w:rFonts w:hint="eastAsia" w:ascii="仿宋" w:hAnsi="仿宋" w:eastAsia="仿宋" w:cs="仿宋"/>
          <w:color w:val="auto"/>
          <w:sz w:val="28"/>
          <w:szCs w:val="28"/>
          <w:u w:val="none"/>
        </w:rPr>
        <w:t>27</w:t>
      </w:r>
      <w:bookmarkEnd w:id="343"/>
      <w:r>
        <w:rPr>
          <w:rFonts w:hint="eastAsia" w:ascii="仿宋" w:hAnsi="仿宋" w:eastAsia="仿宋" w:cs="仿宋"/>
          <w:color w:val="auto"/>
          <w:sz w:val="28"/>
          <w:szCs w:val="28"/>
          <w:u w:val="none"/>
        </w:rPr>
        <w:t>.确定中标候选人和中标人</w:t>
      </w:r>
      <w:bookmarkEnd w:id="344"/>
      <w:bookmarkEnd w:id="345"/>
      <w:bookmarkEnd w:id="346"/>
      <w:bookmarkEnd w:id="347"/>
    </w:p>
    <w:p w14:paraId="1E3891BA">
      <w:pPr>
        <w:pageBreakBefore w:val="0"/>
        <w:kinsoku/>
        <w:wordWrap/>
        <w:overflowPunct/>
        <w:topLinePunct w:val="0"/>
        <w:bidi w:val="0"/>
        <w:spacing w:line="500" w:lineRule="exact"/>
        <w:ind w:left="1049" w:leftChars="133" w:hanging="770" w:hangingChars="275"/>
        <w:rPr>
          <w:rFonts w:hint="eastAsia" w:ascii="仿宋" w:hAnsi="仿宋" w:eastAsia="仿宋" w:cs="仿宋"/>
          <w:color w:val="auto"/>
          <w:sz w:val="28"/>
          <w:szCs w:val="28"/>
        </w:rPr>
      </w:pPr>
      <w:r>
        <w:rPr>
          <w:rFonts w:hint="eastAsia" w:ascii="仿宋" w:hAnsi="仿宋" w:eastAsia="仿宋" w:cs="仿宋"/>
          <w:color w:val="auto"/>
          <w:sz w:val="28"/>
          <w:szCs w:val="28"/>
        </w:rPr>
        <w:t>评标委员会将根据评标标准，按</w:t>
      </w:r>
      <w:r>
        <w:rPr>
          <w:rFonts w:hint="eastAsia" w:ascii="仿宋" w:hAnsi="仿宋" w:eastAsia="仿宋" w:cs="仿宋"/>
          <w:color w:val="auto"/>
          <w:sz w:val="28"/>
          <w:szCs w:val="28"/>
          <w:u w:val="single"/>
        </w:rPr>
        <w:t>投标人须知资料表中</w:t>
      </w:r>
      <w:r>
        <w:rPr>
          <w:rFonts w:hint="eastAsia" w:ascii="仿宋" w:hAnsi="仿宋" w:eastAsia="仿宋" w:cs="仿宋"/>
          <w:color w:val="auto"/>
          <w:sz w:val="28"/>
          <w:szCs w:val="28"/>
        </w:rPr>
        <w:t>规定数量推</w:t>
      </w:r>
    </w:p>
    <w:p w14:paraId="3EC5EDDC">
      <w:pPr>
        <w:pageBreakBefore w:val="0"/>
        <w:kinsoku/>
        <w:wordWrap/>
        <w:overflowPunct/>
        <w:topLinePunct w:val="0"/>
        <w:bidi w:val="0"/>
        <w:spacing w:line="500" w:lineRule="exact"/>
        <w:ind w:left="1049" w:leftChars="133" w:hanging="770" w:hangingChars="275"/>
        <w:rPr>
          <w:rFonts w:hint="eastAsia" w:ascii="仿宋" w:hAnsi="仿宋" w:eastAsia="仿宋" w:cs="仿宋"/>
          <w:color w:val="auto"/>
          <w:sz w:val="28"/>
          <w:szCs w:val="28"/>
        </w:rPr>
      </w:pPr>
      <w:r>
        <w:rPr>
          <w:rFonts w:hint="eastAsia" w:ascii="仿宋" w:hAnsi="仿宋" w:eastAsia="仿宋" w:cs="仿宋"/>
          <w:color w:val="auto"/>
          <w:sz w:val="28"/>
          <w:szCs w:val="28"/>
        </w:rPr>
        <w:t>荐中标候选人；或根据采购人的委托，直接确定中标人。</w:t>
      </w:r>
    </w:p>
    <w:p w14:paraId="2BF3F895">
      <w:pPr>
        <w:pStyle w:val="6"/>
        <w:pageBreakBefore w:val="0"/>
        <w:tabs>
          <w:tab w:val="left" w:pos="900"/>
        </w:tabs>
        <w:kinsoku/>
        <w:wordWrap/>
        <w:overflowPunct/>
        <w:topLinePunct w:val="0"/>
        <w:bidi w:val="0"/>
        <w:spacing w:before="0" w:after="0" w:line="500" w:lineRule="exact"/>
        <w:rPr>
          <w:rFonts w:hint="eastAsia" w:ascii="仿宋" w:hAnsi="仿宋" w:eastAsia="仿宋" w:cs="仿宋"/>
          <w:color w:val="auto"/>
          <w:sz w:val="28"/>
          <w:szCs w:val="28"/>
          <w:u w:val="none"/>
        </w:rPr>
      </w:pPr>
      <w:bookmarkStart w:id="348" w:name="_Ref467306874"/>
      <w:bookmarkStart w:id="349" w:name="_Toc520356173"/>
      <w:bookmarkStart w:id="350" w:name="_Toc28562"/>
      <w:bookmarkStart w:id="351" w:name="_Toc25696"/>
      <w:bookmarkStart w:id="352" w:name="_Toc8389"/>
      <w:bookmarkStart w:id="353" w:name="_Toc515647790"/>
      <w:r>
        <w:rPr>
          <w:rFonts w:hint="eastAsia" w:ascii="仿宋" w:hAnsi="仿宋" w:eastAsia="仿宋" w:cs="仿宋"/>
          <w:color w:val="auto"/>
          <w:sz w:val="28"/>
          <w:szCs w:val="28"/>
          <w:u w:val="none"/>
        </w:rPr>
        <w:t>28.</w:t>
      </w:r>
      <w:bookmarkEnd w:id="348"/>
      <w:bookmarkEnd w:id="349"/>
      <w:r>
        <w:rPr>
          <w:rFonts w:hint="eastAsia" w:ascii="仿宋" w:hAnsi="仿宋" w:eastAsia="仿宋" w:cs="仿宋"/>
          <w:color w:val="auto"/>
          <w:sz w:val="28"/>
          <w:szCs w:val="28"/>
          <w:u w:val="none"/>
        </w:rPr>
        <w:t>采购任务取消</w:t>
      </w:r>
      <w:bookmarkEnd w:id="350"/>
      <w:bookmarkEnd w:id="351"/>
      <w:bookmarkEnd w:id="352"/>
      <w:bookmarkEnd w:id="353"/>
    </w:p>
    <w:p w14:paraId="4FA2F199">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因重大变故采购任务取消时，采购人有权拒绝任何投标人中标，且</w:t>
      </w:r>
    </w:p>
    <w:p w14:paraId="3B97E81F">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对受影响的投标人不承担任何责任。</w:t>
      </w:r>
      <w:bookmarkStart w:id="354" w:name="_Toc520356174"/>
    </w:p>
    <w:p w14:paraId="60FCF246">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355" w:name="_Toc515647791"/>
      <w:bookmarkStart w:id="356" w:name="_Toc30170"/>
      <w:bookmarkStart w:id="357" w:name="_Toc716"/>
      <w:bookmarkStart w:id="358" w:name="_Toc31099"/>
      <w:r>
        <w:rPr>
          <w:rFonts w:hint="eastAsia" w:ascii="仿宋" w:hAnsi="仿宋" w:eastAsia="仿宋" w:cs="仿宋"/>
          <w:color w:val="auto"/>
          <w:sz w:val="28"/>
          <w:szCs w:val="28"/>
          <w:u w:val="none"/>
        </w:rPr>
        <w:t>29.中标通知书</w:t>
      </w:r>
      <w:bookmarkEnd w:id="354"/>
      <w:r>
        <w:rPr>
          <w:rFonts w:hint="eastAsia" w:ascii="仿宋" w:hAnsi="仿宋" w:eastAsia="仿宋" w:cs="仿宋"/>
          <w:color w:val="auto"/>
          <w:sz w:val="28"/>
          <w:szCs w:val="28"/>
          <w:u w:val="none"/>
        </w:rPr>
        <w:t>和招标结果通知书</w:t>
      </w:r>
      <w:bookmarkEnd w:id="355"/>
      <w:bookmarkEnd w:id="356"/>
      <w:bookmarkEnd w:id="357"/>
      <w:bookmarkEnd w:id="358"/>
    </w:p>
    <w:p w14:paraId="61F22114">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29.1在投标有效期内，中标人确定后，采购人或者采购代理机构发</w:t>
      </w:r>
    </w:p>
    <w:p w14:paraId="352712D1">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布中标公告，同时以书面形式向中标人发出中标通知书。</w:t>
      </w:r>
    </w:p>
    <w:p w14:paraId="7A223563">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29.2中标通知书是合同的组成部分。</w:t>
      </w:r>
    </w:p>
    <w:p w14:paraId="4B68342E">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29.3 招标结果通知书和中标通知书同时发出。招标结果通知书中将</w:t>
      </w:r>
    </w:p>
    <w:p w14:paraId="564FB83F">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告知未通过资格审查的投标人未通过的原因；采用综合评分法评审</w:t>
      </w:r>
    </w:p>
    <w:p w14:paraId="0B201246">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的，还将告知未中标人本人的评审得分和排序。</w:t>
      </w:r>
    </w:p>
    <w:p w14:paraId="5047D279">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359" w:name="_Toc7779"/>
      <w:bookmarkStart w:id="360" w:name="_Ref467307062"/>
      <w:bookmarkStart w:id="361" w:name="_Toc23285"/>
      <w:bookmarkStart w:id="362" w:name="_Toc790"/>
      <w:bookmarkStart w:id="363" w:name="_Ref467306377"/>
      <w:bookmarkStart w:id="364" w:name="_Toc520356175"/>
      <w:bookmarkStart w:id="365" w:name="_Ref467307204"/>
      <w:bookmarkStart w:id="366" w:name="_Ref467306978"/>
      <w:bookmarkStart w:id="367" w:name="_Toc515647792"/>
      <w:r>
        <w:rPr>
          <w:rFonts w:hint="eastAsia" w:ascii="仿宋" w:hAnsi="仿宋" w:eastAsia="仿宋" w:cs="仿宋"/>
          <w:color w:val="auto"/>
          <w:sz w:val="28"/>
          <w:szCs w:val="28"/>
          <w:u w:val="none"/>
        </w:rPr>
        <w:t>30.签订合同</w:t>
      </w:r>
      <w:bookmarkEnd w:id="359"/>
      <w:bookmarkEnd w:id="360"/>
      <w:bookmarkEnd w:id="361"/>
      <w:bookmarkEnd w:id="362"/>
      <w:bookmarkEnd w:id="363"/>
      <w:bookmarkEnd w:id="364"/>
      <w:bookmarkEnd w:id="365"/>
      <w:bookmarkEnd w:id="366"/>
      <w:bookmarkEnd w:id="367"/>
    </w:p>
    <w:p w14:paraId="37CDC428">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30.1中标人应当自发出中标通知书之日起30日内，与采购人签订合</w:t>
      </w:r>
    </w:p>
    <w:p w14:paraId="0C5B63A7">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同。</w:t>
      </w:r>
    </w:p>
    <w:p w14:paraId="2B5A9C63">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30.2</w:t>
      </w:r>
      <w:bookmarkStart w:id="368" w:name="_Toc520356176"/>
      <w:bookmarkStart w:id="369" w:name="_Ref467306425"/>
      <w:bookmarkStart w:id="370" w:name="_Ref467307090"/>
      <w:r>
        <w:rPr>
          <w:rFonts w:hint="eastAsia" w:ascii="仿宋" w:hAnsi="仿宋" w:eastAsia="仿宋" w:cs="仿宋"/>
          <w:color w:val="auto"/>
          <w:sz w:val="28"/>
          <w:szCs w:val="28"/>
        </w:rPr>
        <w:t>招标文件、中标人的投标文件及其澄清文件等，均为签订合同</w:t>
      </w:r>
    </w:p>
    <w:p w14:paraId="69CCB9B1">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的依据。</w:t>
      </w:r>
    </w:p>
    <w:p w14:paraId="6DA10362">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30.3 中标人拒绝与采购人签订合同的，采购人可以按照评审报告推</w:t>
      </w:r>
    </w:p>
    <w:p w14:paraId="38AFD350">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荐的中标候选人名单排序，确定下一中标候选人为中标人，也可以</w:t>
      </w:r>
    </w:p>
    <w:p w14:paraId="63FD2337">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重新开展政府采购活动。</w:t>
      </w:r>
    </w:p>
    <w:p w14:paraId="4C41664F">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30.4 当出现法规规定的</w:t>
      </w:r>
      <w:r>
        <w:rPr>
          <w:rFonts w:hint="eastAsia" w:ascii="仿宋" w:hAnsi="仿宋" w:eastAsia="仿宋" w:cs="仿宋"/>
          <w:b/>
          <w:color w:val="auto"/>
          <w:sz w:val="28"/>
          <w:szCs w:val="28"/>
        </w:rPr>
        <w:t>中标无效或中标结果无效</w:t>
      </w:r>
      <w:r>
        <w:rPr>
          <w:rFonts w:hint="eastAsia" w:ascii="仿宋" w:hAnsi="仿宋" w:eastAsia="仿宋" w:cs="仿宋"/>
          <w:color w:val="auto"/>
          <w:sz w:val="28"/>
          <w:szCs w:val="28"/>
        </w:rPr>
        <w:t>情形时，采购人可</w:t>
      </w:r>
    </w:p>
    <w:p w14:paraId="63FB5DA8">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与排名下一位的中标候选人另行签订合同，或依法重新开展采购活</w:t>
      </w:r>
    </w:p>
    <w:p w14:paraId="6F8E5E8C">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动。</w:t>
      </w:r>
    </w:p>
    <w:p w14:paraId="39FCE8E7">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371" w:name="_Toc515647793"/>
      <w:bookmarkStart w:id="372" w:name="_Toc4640"/>
      <w:bookmarkStart w:id="373" w:name="_Toc22555"/>
      <w:bookmarkStart w:id="374" w:name="_Toc14080"/>
      <w:r>
        <w:rPr>
          <w:rFonts w:hint="eastAsia" w:ascii="仿宋" w:hAnsi="仿宋" w:eastAsia="仿宋" w:cs="仿宋"/>
          <w:color w:val="auto"/>
          <w:sz w:val="28"/>
          <w:szCs w:val="28"/>
          <w:u w:val="none"/>
        </w:rPr>
        <w:t>31.履约保证金</w:t>
      </w:r>
      <w:bookmarkEnd w:id="368"/>
      <w:bookmarkEnd w:id="369"/>
      <w:bookmarkEnd w:id="370"/>
      <w:bookmarkEnd w:id="371"/>
      <w:bookmarkEnd w:id="372"/>
      <w:bookmarkEnd w:id="373"/>
      <w:bookmarkEnd w:id="374"/>
    </w:p>
    <w:p w14:paraId="48251C0C">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31.1中标人应按照</w:t>
      </w:r>
      <w:r>
        <w:rPr>
          <w:rFonts w:hint="eastAsia" w:ascii="仿宋" w:hAnsi="仿宋" w:eastAsia="仿宋" w:cs="仿宋"/>
          <w:color w:val="auto"/>
          <w:sz w:val="28"/>
          <w:szCs w:val="28"/>
          <w:u w:val="single"/>
        </w:rPr>
        <w:t>投标人须知资料表</w:t>
      </w:r>
      <w:r>
        <w:rPr>
          <w:rFonts w:hint="eastAsia" w:ascii="仿宋" w:hAnsi="仿宋" w:eastAsia="仿宋" w:cs="仿宋"/>
          <w:color w:val="auto"/>
          <w:sz w:val="28"/>
          <w:szCs w:val="28"/>
        </w:rPr>
        <w:t>规定向采购人缴纳履约保证金</w:t>
      </w:r>
    </w:p>
    <w:p w14:paraId="647B4085">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（如采用保函形式，格式见本章附件1）。</w:t>
      </w:r>
    </w:p>
    <w:p w14:paraId="551D021D">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31.2政府采购利用担保试点范围内的项目，除31.1规定的情形外，</w:t>
      </w:r>
    </w:p>
    <w:p w14:paraId="00B9527B">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中标人也可以按照财政部门的规定，向采购人提供合格的履约担保</w:t>
      </w:r>
    </w:p>
    <w:p w14:paraId="01300620">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函（格式见本章附件2）。</w:t>
      </w:r>
    </w:p>
    <w:p w14:paraId="7D485FBC">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31.3 如果中标人没有按照上述履约保证金的规定执行，将视为放弃</w:t>
      </w:r>
    </w:p>
    <w:p w14:paraId="18183004">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中标资格，中标人的投标保证金将不予退还。在此情况下，采购人</w:t>
      </w:r>
    </w:p>
    <w:p w14:paraId="46319866">
      <w:pPr>
        <w:pageBreakBefore w:val="0"/>
        <w:kinsoku/>
        <w:wordWrap/>
        <w:overflowPunct/>
        <w:topLinePunct w:val="0"/>
        <w:bidi w:val="0"/>
        <w:spacing w:line="500" w:lineRule="exact"/>
        <w:ind w:left="90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可确定下一候选人为中标人，也可以重新开展采购活动。</w:t>
      </w:r>
    </w:p>
    <w:p w14:paraId="44427FC3">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375" w:name="_Toc515647794"/>
      <w:bookmarkStart w:id="376" w:name="_Toc29408"/>
      <w:bookmarkStart w:id="377" w:name="_Toc24539"/>
      <w:bookmarkStart w:id="378" w:name="_Toc3090"/>
      <w:r>
        <w:rPr>
          <w:rFonts w:hint="eastAsia" w:ascii="仿宋" w:hAnsi="仿宋" w:eastAsia="仿宋" w:cs="仿宋"/>
          <w:color w:val="auto"/>
          <w:sz w:val="28"/>
          <w:szCs w:val="28"/>
          <w:u w:val="none"/>
        </w:rPr>
        <w:t>32.中标服务费</w:t>
      </w:r>
      <w:bookmarkEnd w:id="375"/>
      <w:bookmarkEnd w:id="376"/>
      <w:bookmarkEnd w:id="377"/>
      <w:bookmarkEnd w:id="378"/>
    </w:p>
    <w:p w14:paraId="4CDAA590">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中标人须按照</w:t>
      </w:r>
      <w:r>
        <w:rPr>
          <w:rFonts w:hint="eastAsia" w:ascii="仿宋" w:hAnsi="仿宋" w:eastAsia="仿宋" w:cs="仿宋"/>
          <w:color w:val="auto"/>
          <w:sz w:val="28"/>
          <w:szCs w:val="28"/>
          <w:u w:val="single"/>
        </w:rPr>
        <w:t>投标须知资料表</w:t>
      </w:r>
      <w:r>
        <w:rPr>
          <w:rFonts w:hint="eastAsia" w:ascii="仿宋" w:hAnsi="仿宋" w:eastAsia="仿宋" w:cs="仿宋"/>
          <w:color w:val="auto"/>
          <w:sz w:val="28"/>
          <w:szCs w:val="28"/>
        </w:rPr>
        <w:t>规定，向采购代理机构支付中标服务费。</w:t>
      </w:r>
    </w:p>
    <w:p w14:paraId="47379E3A">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379" w:name="_Toc18024"/>
      <w:bookmarkStart w:id="380" w:name="_Toc7049"/>
      <w:bookmarkStart w:id="381" w:name="_Toc6923"/>
      <w:bookmarkStart w:id="382" w:name="_Toc515647795"/>
      <w:r>
        <w:rPr>
          <w:rFonts w:hint="eastAsia" w:ascii="仿宋" w:hAnsi="仿宋" w:eastAsia="仿宋" w:cs="仿宋"/>
          <w:color w:val="auto"/>
          <w:sz w:val="28"/>
          <w:szCs w:val="28"/>
          <w:u w:val="none"/>
        </w:rPr>
        <w:t>33.政府采购信用担保</w:t>
      </w:r>
      <w:bookmarkEnd w:id="379"/>
      <w:bookmarkEnd w:id="380"/>
      <w:bookmarkEnd w:id="381"/>
      <w:bookmarkEnd w:id="382"/>
    </w:p>
    <w:p w14:paraId="504AAEE2">
      <w:pPr>
        <w:pStyle w:val="6"/>
        <w:pageBreakBefore w:val="0"/>
        <w:kinsoku/>
        <w:wordWrap/>
        <w:overflowPunct/>
        <w:topLinePunct w:val="0"/>
        <w:bidi w:val="0"/>
        <w:spacing w:before="0" w:after="0" w:line="500" w:lineRule="exact"/>
        <w:rPr>
          <w:rFonts w:hint="eastAsia" w:ascii="仿宋" w:hAnsi="仿宋" w:eastAsia="仿宋" w:cs="仿宋"/>
          <w:b w:val="0"/>
          <w:bCs/>
          <w:color w:val="auto"/>
          <w:sz w:val="28"/>
          <w:szCs w:val="28"/>
          <w:u w:val="none"/>
        </w:rPr>
      </w:pPr>
      <w:bookmarkStart w:id="383" w:name="_Toc26424"/>
      <w:bookmarkStart w:id="384" w:name="_Toc30720"/>
      <w:bookmarkStart w:id="385" w:name="_Toc31870"/>
      <w:bookmarkStart w:id="386" w:name="_Toc23999"/>
      <w:bookmarkStart w:id="387" w:name="_Toc515647796"/>
      <w:bookmarkStart w:id="388" w:name="_Toc2133"/>
      <w:r>
        <w:rPr>
          <w:rFonts w:hint="eastAsia" w:ascii="仿宋" w:hAnsi="仿宋" w:eastAsia="仿宋" w:cs="仿宋"/>
          <w:b w:val="0"/>
          <w:bCs/>
          <w:color w:val="auto"/>
          <w:sz w:val="28"/>
          <w:szCs w:val="28"/>
          <w:u w:val="none"/>
        </w:rPr>
        <w:t>33.1 本项目是否属于信用担保试点范围见供应商须知资料表。</w:t>
      </w:r>
      <w:bookmarkEnd w:id="383"/>
      <w:bookmarkEnd w:id="384"/>
      <w:bookmarkEnd w:id="385"/>
    </w:p>
    <w:p w14:paraId="6FA9568F">
      <w:pPr>
        <w:pStyle w:val="6"/>
        <w:pageBreakBefore w:val="0"/>
        <w:kinsoku/>
        <w:wordWrap/>
        <w:overflowPunct/>
        <w:topLinePunct w:val="0"/>
        <w:bidi w:val="0"/>
        <w:spacing w:before="0" w:after="0" w:line="500" w:lineRule="exact"/>
        <w:rPr>
          <w:rFonts w:hint="eastAsia" w:ascii="仿宋" w:hAnsi="仿宋" w:eastAsia="仿宋" w:cs="仿宋"/>
          <w:b w:val="0"/>
          <w:bCs/>
          <w:color w:val="auto"/>
          <w:sz w:val="28"/>
          <w:szCs w:val="28"/>
          <w:u w:val="none"/>
        </w:rPr>
      </w:pPr>
      <w:bookmarkStart w:id="389" w:name="_Toc31127"/>
      <w:bookmarkStart w:id="390" w:name="_Toc31822"/>
      <w:bookmarkStart w:id="391" w:name="_Toc27345"/>
      <w:r>
        <w:rPr>
          <w:rFonts w:hint="eastAsia" w:ascii="仿宋" w:hAnsi="仿宋" w:eastAsia="仿宋" w:cs="仿宋"/>
          <w:b w:val="0"/>
          <w:bCs/>
          <w:color w:val="auto"/>
          <w:sz w:val="28"/>
          <w:szCs w:val="28"/>
          <w:u w:val="none"/>
        </w:rPr>
        <w:t>33.2 如属于政府采购信用担保试点范围内，中小型企业供应商可以自由按照财政部门的规定，采用投标担保、履约担保和融资担保。</w:t>
      </w:r>
      <w:bookmarkEnd w:id="389"/>
      <w:bookmarkEnd w:id="390"/>
      <w:bookmarkEnd w:id="391"/>
    </w:p>
    <w:p w14:paraId="211C1CA1">
      <w:pPr>
        <w:pStyle w:val="6"/>
        <w:pageBreakBefore w:val="0"/>
        <w:kinsoku/>
        <w:wordWrap/>
        <w:overflowPunct/>
        <w:topLinePunct w:val="0"/>
        <w:bidi w:val="0"/>
        <w:spacing w:before="0" w:after="0" w:line="500" w:lineRule="exact"/>
        <w:rPr>
          <w:rFonts w:hint="eastAsia" w:ascii="仿宋" w:hAnsi="仿宋" w:eastAsia="仿宋" w:cs="仿宋"/>
          <w:b w:val="0"/>
          <w:bCs/>
          <w:color w:val="auto"/>
          <w:sz w:val="28"/>
          <w:szCs w:val="28"/>
          <w:u w:val="none"/>
        </w:rPr>
      </w:pPr>
      <w:bookmarkStart w:id="392" w:name="_Toc14249"/>
      <w:bookmarkStart w:id="393" w:name="_Toc2049"/>
      <w:bookmarkStart w:id="394" w:name="_Toc3008"/>
      <w:r>
        <w:rPr>
          <w:rFonts w:hint="eastAsia" w:ascii="仿宋" w:hAnsi="仿宋" w:eastAsia="仿宋" w:cs="仿宋"/>
          <w:b w:val="0"/>
          <w:bCs/>
          <w:color w:val="auto"/>
          <w:sz w:val="28"/>
          <w:szCs w:val="28"/>
          <w:u w:val="none"/>
        </w:rPr>
        <w:t>33.2.1 供应商递交的投标担保函和履约担保函应符合本招标文件的规定。</w:t>
      </w:r>
      <w:bookmarkEnd w:id="392"/>
      <w:bookmarkEnd w:id="393"/>
      <w:bookmarkEnd w:id="394"/>
    </w:p>
    <w:p w14:paraId="6F145ECB">
      <w:pPr>
        <w:pStyle w:val="6"/>
        <w:pageBreakBefore w:val="0"/>
        <w:kinsoku/>
        <w:wordWrap/>
        <w:overflowPunct/>
        <w:topLinePunct w:val="0"/>
        <w:bidi w:val="0"/>
        <w:spacing w:before="0" w:after="0" w:line="500" w:lineRule="exact"/>
        <w:rPr>
          <w:rFonts w:hint="eastAsia" w:ascii="仿宋" w:hAnsi="仿宋" w:eastAsia="仿宋" w:cs="仿宋"/>
          <w:b w:val="0"/>
          <w:bCs/>
          <w:color w:val="auto"/>
          <w:sz w:val="28"/>
          <w:szCs w:val="28"/>
          <w:u w:val="none"/>
        </w:rPr>
      </w:pPr>
      <w:bookmarkStart w:id="395" w:name="_Toc27155"/>
      <w:bookmarkStart w:id="396" w:name="_Toc4223"/>
      <w:bookmarkStart w:id="397" w:name="_Toc12852"/>
      <w:r>
        <w:rPr>
          <w:rFonts w:hint="eastAsia" w:ascii="仿宋" w:hAnsi="仿宋" w:eastAsia="仿宋" w:cs="仿宋"/>
          <w:b w:val="0"/>
          <w:bCs/>
          <w:color w:val="auto"/>
          <w:sz w:val="28"/>
          <w:szCs w:val="28"/>
          <w:u w:val="none"/>
        </w:rPr>
        <w:t>33.2.2 中标人可以采取融资担保的形式为政府采购项目履约进行融资。</w:t>
      </w:r>
      <w:bookmarkEnd w:id="395"/>
      <w:bookmarkEnd w:id="396"/>
      <w:bookmarkEnd w:id="397"/>
    </w:p>
    <w:p w14:paraId="016ED119">
      <w:pPr>
        <w:pStyle w:val="6"/>
        <w:pageBreakBefore w:val="0"/>
        <w:kinsoku/>
        <w:wordWrap/>
        <w:overflowPunct/>
        <w:topLinePunct w:val="0"/>
        <w:bidi w:val="0"/>
        <w:spacing w:before="0" w:after="0" w:line="500" w:lineRule="exact"/>
        <w:rPr>
          <w:rFonts w:hint="eastAsia" w:ascii="仿宋" w:hAnsi="仿宋" w:eastAsia="仿宋" w:cs="仿宋"/>
          <w:b w:val="0"/>
          <w:bCs/>
          <w:color w:val="auto"/>
          <w:sz w:val="28"/>
          <w:szCs w:val="28"/>
          <w:u w:val="none"/>
        </w:rPr>
      </w:pPr>
      <w:bookmarkStart w:id="398" w:name="_Toc4236"/>
      <w:bookmarkStart w:id="399" w:name="_Toc10098"/>
      <w:bookmarkStart w:id="400" w:name="_Toc153"/>
      <w:r>
        <w:rPr>
          <w:rFonts w:hint="eastAsia" w:ascii="仿宋" w:hAnsi="仿宋" w:eastAsia="仿宋" w:cs="仿宋"/>
          <w:b w:val="0"/>
          <w:bCs/>
          <w:color w:val="auto"/>
          <w:sz w:val="28"/>
          <w:szCs w:val="28"/>
          <w:u w:val="none"/>
        </w:rPr>
        <w:t>33.2.3 合格的政府采购专业信用担保机构名单见供应商须知资料表。</w:t>
      </w:r>
      <w:bookmarkEnd w:id="398"/>
      <w:bookmarkEnd w:id="399"/>
      <w:bookmarkEnd w:id="400"/>
    </w:p>
    <w:p w14:paraId="13FF0441">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401" w:name="_Toc6408"/>
      <w:r>
        <w:rPr>
          <w:rFonts w:hint="eastAsia" w:ascii="仿宋" w:hAnsi="仿宋" w:eastAsia="仿宋" w:cs="仿宋"/>
          <w:color w:val="auto"/>
          <w:sz w:val="28"/>
          <w:szCs w:val="28"/>
          <w:u w:val="none"/>
        </w:rPr>
        <w:t>34.廉洁自律规定</w:t>
      </w:r>
      <w:bookmarkEnd w:id="386"/>
      <w:bookmarkEnd w:id="387"/>
      <w:bookmarkEnd w:id="388"/>
      <w:bookmarkEnd w:id="401"/>
    </w:p>
    <w:p w14:paraId="020097F3">
      <w:pPr>
        <w:pStyle w:val="6"/>
        <w:pageBreakBefore w:val="0"/>
        <w:kinsoku/>
        <w:wordWrap/>
        <w:overflowPunct/>
        <w:topLinePunct w:val="0"/>
        <w:bidi w:val="0"/>
        <w:spacing w:before="0" w:after="0" w:line="500" w:lineRule="exact"/>
        <w:rPr>
          <w:rFonts w:hint="eastAsia" w:ascii="仿宋" w:hAnsi="仿宋" w:eastAsia="仿宋" w:cs="仿宋"/>
          <w:b w:val="0"/>
          <w:bCs/>
          <w:color w:val="auto"/>
          <w:sz w:val="28"/>
          <w:szCs w:val="28"/>
          <w:u w:val="none"/>
        </w:rPr>
      </w:pPr>
      <w:bookmarkStart w:id="402" w:name="_Toc17632"/>
      <w:bookmarkStart w:id="403" w:name="_Toc7610"/>
      <w:bookmarkStart w:id="404" w:name="_Toc18233"/>
      <w:bookmarkStart w:id="405" w:name="_Toc11586"/>
      <w:bookmarkStart w:id="406" w:name="_Toc515647797"/>
      <w:bookmarkStart w:id="407" w:name="_Toc25480"/>
      <w:r>
        <w:rPr>
          <w:rFonts w:hint="eastAsia" w:ascii="仿宋" w:hAnsi="仿宋" w:eastAsia="仿宋" w:cs="仿宋"/>
          <w:b w:val="0"/>
          <w:bCs/>
          <w:color w:val="auto"/>
          <w:sz w:val="28"/>
          <w:szCs w:val="28"/>
          <w:u w:val="none"/>
        </w:rPr>
        <w:t>34.1 采购代理机构工作人员不得以不正当手段获取政府采购代理业务，不得与采购人、供应商恶意串通操纵政府采购活动。</w:t>
      </w:r>
      <w:bookmarkEnd w:id="402"/>
      <w:bookmarkEnd w:id="403"/>
      <w:bookmarkEnd w:id="404"/>
    </w:p>
    <w:p w14:paraId="25119EBC">
      <w:pPr>
        <w:pStyle w:val="6"/>
        <w:pageBreakBefore w:val="0"/>
        <w:kinsoku/>
        <w:wordWrap/>
        <w:overflowPunct/>
        <w:topLinePunct w:val="0"/>
        <w:bidi w:val="0"/>
        <w:spacing w:before="0" w:after="0" w:line="500" w:lineRule="exact"/>
        <w:rPr>
          <w:rFonts w:hint="eastAsia" w:ascii="仿宋" w:hAnsi="仿宋" w:eastAsia="仿宋" w:cs="仿宋"/>
          <w:b w:val="0"/>
          <w:bCs/>
          <w:color w:val="auto"/>
          <w:sz w:val="28"/>
          <w:szCs w:val="28"/>
          <w:u w:val="none"/>
        </w:rPr>
      </w:pPr>
      <w:bookmarkStart w:id="408" w:name="_Toc30430"/>
      <w:bookmarkStart w:id="409" w:name="_Toc30819"/>
      <w:bookmarkStart w:id="410" w:name="_Toc6432"/>
      <w:r>
        <w:rPr>
          <w:rFonts w:hint="eastAsia" w:ascii="仿宋" w:hAnsi="仿宋" w:eastAsia="仿宋" w:cs="仿宋"/>
          <w:b w:val="0"/>
          <w:bCs/>
          <w:color w:val="auto"/>
          <w:sz w:val="28"/>
          <w:szCs w:val="28"/>
          <w:u w:val="none"/>
        </w:rPr>
        <w:t>34.2 采购代理机构工作人员不得接受采购人或者供应商组织的宴请、旅游、娱乐，不得收受礼品、现金、有价证券等，不得向采购人或者供应商报销应当由个人承担的费用。</w:t>
      </w:r>
      <w:bookmarkEnd w:id="408"/>
      <w:bookmarkEnd w:id="409"/>
      <w:bookmarkEnd w:id="410"/>
    </w:p>
    <w:p w14:paraId="14AAB8CA">
      <w:pPr>
        <w:pStyle w:val="6"/>
        <w:pageBreakBefore w:val="0"/>
        <w:kinsoku/>
        <w:wordWrap/>
        <w:overflowPunct/>
        <w:topLinePunct w:val="0"/>
        <w:bidi w:val="0"/>
        <w:spacing w:before="0" w:after="0" w:line="500" w:lineRule="exact"/>
        <w:rPr>
          <w:rFonts w:hint="eastAsia" w:ascii="仿宋" w:hAnsi="仿宋" w:eastAsia="仿宋" w:cs="仿宋"/>
          <w:b w:val="0"/>
          <w:bCs/>
          <w:color w:val="auto"/>
          <w:sz w:val="28"/>
          <w:szCs w:val="28"/>
          <w:u w:val="none"/>
        </w:rPr>
      </w:pPr>
      <w:bookmarkStart w:id="411" w:name="_Toc17193"/>
      <w:bookmarkStart w:id="412" w:name="_Toc12489"/>
      <w:bookmarkStart w:id="413" w:name="_Toc2827"/>
      <w:r>
        <w:rPr>
          <w:rFonts w:hint="eastAsia" w:ascii="仿宋" w:hAnsi="仿宋" w:eastAsia="仿宋" w:cs="仿宋"/>
          <w:b w:val="0"/>
          <w:bCs/>
          <w:color w:val="auto"/>
          <w:sz w:val="28"/>
          <w:szCs w:val="28"/>
          <w:u w:val="none"/>
        </w:rPr>
        <w:t>34.3 为强化采购代理机构内部监督机制，供应商可按供应商须知资料表中的监督电话和邮箱，反映采购代理机构的廉洁自律等问题。</w:t>
      </w:r>
      <w:bookmarkEnd w:id="411"/>
      <w:bookmarkEnd w:id="412"/>
      <w:bookmarkEnd w:id="413"/>
    </w:p>
    <w:p w14:paraId="2EFB5EA7">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414" w:name="_Toc8159"/>
      <w:r>
        <w:rPr>
          <w:rFonts w:hint="eastAsia" w:ascii="仿宋" w:hAnsi="仿宋" w:eastAsia="仿宋" w:cs="仿宋"/>
          <w:color w:val="auto"/>
          <w:sz w:val="28"/>
          <w:szCs w:val="28"/>
          <w:u w:val="none"/>
        </w:rPr>
        <w:t>35.人员回避</w:t>
      </w:r>
      <w:bookmarkEnd w:id="405"/>
      <w:bookmarkEnd w:id="406"/>
      <w:bookmarkEnd w:id="407"/>
      <w:bookmarkEnd w:id="414"/>
    </w:p>
    <w:p w14:paraId="3BE7CEA0">
      <w:pPr>
        <w:pageBreakBefore w:val="0"/>
        <w:kinsoku/>
        <w:wordWrap/>
        <w:overflowPunct/>
        <w:topLinePunct w:val="0"/>
        <w:bidi w:val="0"/>
        <w:spacing w:line="500" w:lineRule="exact"/>
        <w:ind w:left="1048" w:leftChars="266" w:hanging="490" w:hangingChars="175"/>
        <w:rPr>
          <w:rFonts w:hint="eastAsia" w:ascii="仿宋" w:hAnsi="仿宋" w:eastAsia="仿宋" w:cs="仿宋"/>
          <w:color w:val="auto"/>
          <w:sz w:val="28"/>
          <w:szCs w:val="28"/>
        </w:rPr>
      </w:pPr>
      <w:r>
        <w:rPr>
          <w:rFonts w:hint="eastAsia" w:ascii="仿宋" w:hAnsi="仿宋" w:eastAsia="仿宋" w:cs="仿宋"/>
          <w:color w:val="auto"/>
          <w:sz w:val="28"/>
          <w:szCs w:val="28"/>
        </w:rPr>
        <w:t>投标人认为采购人员及其相关人员有法律法规所列与其他供应</w:t>
      </w:r>
    </w:p>
    <w:p w14:paraId="4AE4830B">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商有利害关系的，可以向采购人或采购代理机构书面提出回避申请，并说明理由。</w:t>
      </w:r>
    </w:p>
    <w:p w14:paraId="6829FE90">
      <w:pPr>
        <w:pStyle w:val="6"/>
        <w:pageBreakBefore w:val="0"/>
        <w:kinsoku/>
        <w:wordWrap/>
        <w:overflowPunct/>
        <w:topLinePunct w:val="0"/>
        <w:bidi w:val="0"/>
        <w:spacing w:before="0" w:after="0" w:line="500" w:lineRule="exact"/>
        <w:rPr>
          <w:rFonts w:hint="eastAsia" w:ascii="仿宋" w:hAnsi="仿宋" w:eastAsia="仿宋" w:cs="仿宋"/>
          <w:color w:val="auto"/>
          <w:sz w:val="28"/>
          <w:szCs w:val="28"/>
          <w:u w:val="none"/>
        </w:rPr>
      </w:pPr>
      <w:bookmarkStart w:id="415" w:name="_Toc1148"/>
      <w:bookmarkStart w:id="416" w:name="_Toc515647798"/>
      <w:bookmarkStart w:id="417" w:name="_Toc19385"/>
      <w:bookmarkStart w:id="418" w:name="_Toc11115"/>
      <w:r>
        <w:rPr>
          <w:rFonts w:hint="eastAsia" w:ascii="仿宋" w:hAnsi="仿宋" w:eastAsia="仿宋" w:cs="仿宋"/>
          <w:color w:val="auto"/>
          <w:sz w:val="28"/>
          <w:szCs w:val="28"/>
          <w:u w:val="none"/>
        </w:rPr>
        <w:t>36.质疑与接收</w:t>
      </w:r>
      <w:bookmarkEnd w:id="415"/>
      <w:bookmarkEnd w:id="416"/>
      <w:bookmarkEnd w:id="417"/>
      <w:bookmarkEnd w:id="418"/>
    </w:p>
    <w:p w14:paraId="7EAC5BF2">
      <w:pPr>
        <w:pageBreakBefore w:val="0"/>
        <w:kinsoku/>
        <w:wordWrap/>
        <w:overflowPunct/>
        <w:topLinePunct w:val="0"/>
        <w:bidi w:val="0"/>
        <w:spacing w:line="500" w:lineRule="exact"/>
        <w:ind w:left="968" w:leftChars="68" w:hanging="826" w:hangingChars="295"/>
        <w:rPr>
          <w:rFonts w:hint="eastAsia" w:ascii="仿宋" w:hAnsi="仿宋" w:eastAsia="仿宋" w:cs="仿宋"/>
          <w:color w:val="auto"/>
          <w:sz w:val="28"/>
          <w:szCs w:val="28"/>
        </w:rPr>
      </w:pPr>
      <w:r>
        <w:rPr>
          <w:rFonts w:hint="eastAsia" w:ascii="仿宋" w:hAnsi="仿宋" w:eastAsia="仿宋" w:cs="仿宋"/>
          <w:color w:val="auto"/>
          <w:sz w:val="28"/>
          <w:szCs w:val="28"/>
        </w:rPr>
        <w:t>36.1  投标人认为招标文件、招标过程和中标结果使自己的权益受</w:t>
      </w:r>
    </w:p>
    <w:p w14:paraId="417E5C4B">
      <w:pPr>
        <w:pageBreakBefore w:val="0"/>
        <w:kinsoku/>
        <w:wordWrap/>
        <w:overflowPunct/>
        <w:topLinePunct w:val="0"/>
        <w:bidi w:val="0"/>
        <w:spacing w:line="500" w:lineRule="exact"/>
        <w:ind w:left="968" w:leftChars="68" w:hanging="826" w:hangingChars="295"/>
        <w:rPr>
          <w:rFonts w:hint="eastAsia" w:ascii="仿宋" w:hAnsi="仿宋" w:eastAsia="仿宋" w:cs="仿宋"/>
          <w:color w:val="auto"/>
          <w:sz w:val="28"/>
          <w:szCs w:val="28"/>
        </w:rPr>
      </w:pPr>
      <w:r>
        <w:rPr>
          <w:rFonts w:hint="eastAsia" w:ascii="仿宋" w:hAnsi="仿宋" w:eastAsia="仿宋" w:cs="仿宋"/>
          <w:color w:val="auto"/>
          <w:sz w:val="28"/>
          <w:szCs w:val="28"/>
        </w:rPr>
        <w:t>到损害的，可以根据《中华人民共和国政府采购法》、《中华人民</w:t>
      </w:r>
    </w:p>
    <w:p w14:paraId="6B417A8E">
      <w:pPr>
        <w:pageBreakBefore w:val="0"/>
        <w:kinsoku/>
        <w:wordWrap/>
        <w:overflowPunct/>
        <w:topLinePunct w:val="0"/>
        <w:bidi w:val="0"/>
        <w:spacing w:line="500" w:lineRule="exact"/>
        <w:ind w:left="968" w:leftChars="68" w:hanging="826" w:hangingChars="295"/>
        <w:rPr>
          <w:rFonts w:hint="eastAsia" w:ascii="仿宋" w:hAnsi="仿宋" w:eastAsia="仿宋" w:cs="仿宋"/>
          <w:color w:val="auto"/>
          <w:sz w:val="28"/>
          <w:szCs w:val="28"/>
        </w:rPr>
      </w:pPr>
      <w:r>
        <w:rPr>
          <w:rFonts w:hint="eastAsia" w:ascii="仿宋" w:hAnsi="仿宋" w:eastAsia="仿宋" w:cs="仿宋"/>
          <w:color w:val="auto"/>
          <w:sz w:val="28"/>
          <w:szCs w:val="28"/>
        </w:rPr>
        <w:t>共和国政府采购法实施条例》和《政府采购质疑和投诉办法》的有</w:t>
      </w:r>
    </w:p>
    <w:p w14:paraId="4FEEB07C">
      <w:pPr>
        <w:pageBreakBefore w:val="0"/>
        <w:kinsoku/>
        <w:wordWrap/>
        <w:overflowPunct/>
        <w:topLinePunct w:val="0"/>
        <w:bidi w:val="0"/>
        <w:spacing w:line="500" w:lineRule="exact"/>
        <w:ind w:left="968" w:leftChars="68" w:hanging="826" w:hangingChars="295"/>
        <w:rPr>
          <w:rFonts w:hint="eastAsia" w:ascii="仿宋" w:hAnsi="仿宋" w:eastAsia="仿宋" w:cs="仿宋"/>
          <w:color w:val="auto"/>
          <w:sz w:val="28"/>
          <w:szCs w:val="28"/>
        </w:rPr>
      </w:pPr>
      <w:r>
        <w:rPr>
          <w:rFonts w:hint="eastAsia" w:ascii="仿宋" w:hAnsi="仿宋" w:eastAsia="仿宋" w:cs="仿宋"/>
          <w:color w:val="auto"/>
          <w:sz w:val="28"/>
          <w:szCs w:val="28"/>
        </w:rPr>
        <w:t>关规定，依法向采购人或其委托的采购代理机构提出质疑。</w:t>
      </w:r>
    </w:p>
    <w:p w14:paraId="269BB65D">
      <w:pPr>
        <w:pageBreakBefore w:val="0"/>
        <w:kinsoku/>
        <w:wordWrap/>
        <w:overflowPunct/>
        <w:topLinePunct w:val="0"/>
        <w:bidi w:val="0"/>
        <w:spacing w:line="500" w:lineRule="exact"/>
        <w:ind w:left="968" w:leftChars="68" w:hanging="826" w:hangingChars="295"/>
        <w:rPr>
          <w:rFonts w:hint="eastAsia" w:ascii="仿宋" w:hAnsi="仿宋" w:eastAsia="仿宋" w:cs="仿宋"/>
          <w:color w:val="auto"/>
          <w:sz w:val="28"/>
          <w:szCs w:val="28"/>
        </w:rPr>
      </w:pPr>
      <w:r>
        <w:rPr>
          <w:rFonts w:hint="eastAsia" w:ascii="仿宋" w:hAnsi="仿宋" w:eastAsia="仿宋" w:cs="仿宋"/>
          <w:color w:val="auto"/>
          <w:sz w:val="28"/>
          <w:szCs w:val="28"/>
        </w:rPr>
        <w:t>36.2  质疑供应商应按照财政部制定的《政府采购质疑函范本》格</w:t>
      </w:r>
    </w:p>
    <w:p w14:paraId="305C99C7">
      <w:pPr>
        <w:pageBreakBefore w:val="0"/>
        <w:kinsoku/>
        <w:wordWrap/>
        <w:overflowPunct/>
        <w:topLinePunct w:val="0"/>
        <w:bidi w:val="0"/>
        <w:spacing w:line="500" w:lineRule="exact"/>
        <w:ind w:left="968" w:leftChars="68" w:hanging="826" w:hangingChars="295"/>
        <w:rPr>
          <w:rFonts w:hint="eastAsia" w:ascii="仿宋" w:hAnsi="仿宋" w:eastAsia="仿宋" w:cs="仿宋"/>
          <w:color w:val="auto"/>
          <w:sz w:val="28"/>
          <w:szCs w:val="28"/>
        </w:rPr>
      </w:pPr>
      <w:r>
        <w:rPr>
          <w:rFonts w:hint="eastAsia" w:ascii="仿宋" w:hAnsi="仿宋" w:eastAsia="仿宋" w:cs="仿宋"/>
          <w:color w:val="auto"/>
          <w:sz w:val="28"/>
          <w:szCs w:val="28"/>
        </w:rPr>
        <w:t>式（可从财政部官方网站下载）和《政府采购质疑和投诉办法》的</w:t>
      </w:r>
    </w:p>
    <w:p w14:paraId="6AEACB84">
      <w:pPr>
        <w:pageBreakBefore w:val="0"/>
        <w:kinsoku/>
        <w:wordWrap/>
        <w:overflowPunct/>
        <w:topLinePunct w:val="0"/>
        <w:bidi w:val="0"/>
        <w:spacing w:line="500" w:lineRule="exact"/>
        <w:ind w:left="968" w:leftChars="68" w:hanging="826" w:hangingChars="295"/>
        <w:rPr>
          <w:rFonts w:hint="eastAsia" w:ascii="仿宋" w:hAnsi="仿宋" w:eastAsia="仿宋" w:cs="仿宋"/>
          <w:color w:val="auto"/>
          <w:sz w:val="28"/>
          <w:szCs w:val="28"/>
        </w:rPr>
      </w:pPr>
      <w:r>
        <w:rPr>
          <w:rFonts w:hint="eastAsia" w:ascii="仿宋" w:hAnsi="仿宋" w:eastAsia="仿宋" w:cs="仿宋"/>
          <w:color w:val="auto"/>
          <w:sz w:val="28"/>
          <w:szCs w:val="28"/>
        </w:rPr>
        <w:t>要求，在法定质疑期内以纸质形式提出质疑，针对同一采购程序环</w:t>
      </w:r>
    </w:p>
    <w:p w14:paraId="2300AB11">
      <w:pPr>
        <w:pageBreakBefore w:val="0"/>
        <w:kinsoku/>
        <w:wordWrap/>
        <w:overflowPunct/>
        <w:topLinePunct w:val="0"/>
        <w:bidi w:val="0"/>
        <w:spacing w:line="500" w:lineRule="exact"/>
        <w:ind w:left="968" w:leftChars="68" w:hanging="826" w:hangingChars="295"/>
        <w:rPr>
          <w:rFonts w:hint="eastAsia" w:ascii="仿宋" w:hAnsi="仿宋" w:eastAsia="仿宋" w:cs="仿宋"/>
          <w:color w:val="auto"/>
          <w:sz w:val="28"/>
          <w:szCs w:val="28"/>
        </w:rPr>
      </w:pPr>
      <w:r>
        <w:rPr>
          <w:rFonts w:hint="eastAsia" w:ascii="仿宋" w:hAnsi="仿宋" w:eastAsia="仿宋" w:cs="仿宋"/>
          <w:color w:val="auto"/>
          <w:sz w:val="28"/>
          <w:szCs w:val="28"/>
        </w:rPr>
        <w:t>节的质疑应一次性提出。超出法定质疑期的、重复提出的、分次提</w:t>
      </w:r>
    </w:p>
    <w:p w14:paraId="4E26471B">
      <w:pPr>
        <w:pageBreakBefore w:val="0"/>
        <w:kinsoku/>
        <w:wordWrap/>
        <w:overflowPunct/>
        <w:topLinePunct w:val="0"/>
        <w:bidi w:val="0"/>
        <w:spacing w:line="500" w:lineRule="exact"/>
        <w:ind w:left="968" w:leftChars="68" w:hanging="826" w:hangingChars="295"/>
        <w:rPr>
          <w:rFonts w:hint="eastAsia" w:ascii="仿宋" w:hAnsi="仿宋" w:eastAsia="仿宋" w:cs="仿宋"/>
          <w:color w:val="auto"/>
          <w:sz w:val="28"/>
          <w:szCs w:val="28"/>
        </w:rPr>
      </w:pPr>
      <w:r>
        <w:rPr>
          <w:rFonts w:hint="eastAsia" w:ascii="仿宋" w:hAnsi="仿宋" w:eastAsia="仿宋" w:cs="仿宋"/>
          <w:color w:val="auto"/>
          <w:sz w:val="28"/>
          <w:szCs w:val="28"/>
        </w:rPr>
        <w:t>出的或内容、形式不符合《政府采购质疑和投诉办法》的，质疑供</w:t>
      </w:r>
    </w:p>
    <w:p w14:paraId="749A3348">
      <w:pPr>
        <w:pageBreakBefore w:val="0"/>
        <w:kinsoku/>
        <w:wordWrap/>
        <w:overflowPunct/>
        <w:topLinePunct w:val="0"/>
        <w:bidi w:val="0"/>
        <w:spacing w:line="500" w:lineRule="exact"/>
        <w:ind w:left="968" w:leftChars="68" w:hanging="826" w:hangingChars="295"/>
        <w:rPr>
          <w:rFonts w:hint="eastAsia" w:ascii="仿宋" w:hAnsi="仿宋" w:eastAsia="仿宋" w:cs="仿宋"/>
          <w:color w:val="auto"/>
          <w:sz w:val="28"/>
          <w:szCs w:val="28"/>
        </w:rPr>
      </w:pPr>
      <w:r>
        <w:rPr>
          <w:rFonts w:hint="eastAsia" w:ascii="仿宋" w:hAnsi="仿宋" w:eastAsia="仿宋" w:cs="仿宋"/>
          <w:color w:val="auto"/>
          <w:sz w:val="28"/>
          <w:szCs w:val="28"/>
        </w:rPr>
        <w:t>应商将依法承担不利后果。</w:t>
      </w:r>
    </w:p>
    <w:p w14:paraId="490D9B99">
      <w:pPr>
        <w:pageBreakBefore w:val="0"/>
        <w:kinsoku/>
        <w:wordWrap/>
        <w:overflowPunct/>
        <w:topLinePunct w:val="0"/>
        <w:bidi w:val="0"/>
        <w:spacing w:line="500" w:lineRule="exact"/>
        <w:ind w:left="968" w:leftChars="68" w:hanging="826" w:hangingChars="295"/>
        <w:rPr>
          <w:rFonts w:hint="eastAsia" w:ascii="仿宋" w:hAnsi="仿宋" w:eastAsia="仿宋" w:cs="仿宋"/>
          <w:color w:val="auto"/>
          <w:sz w:val="28"/>
          <w:szCs w:val="28"/>
          <w:u w:val="single"/>
        </w:rPr>
      </w:pPr>
      <w:r>
        <w:rPr>
          <w:rFonts w:hint="eastAsia" w:ascii="仿宋" w:hAnsi="仿宋" w:eastAsia="仿宋" w:cs="仿宋"/>
          <w:color w:val="auto"/>
          <w:sz w:val="28"/>
          <w:szCs w:val="28"/>
        </w:rPr>
        <w:t>36.3  采购代理机构质疑函接收部门、联系电话和通讯地址, 见</w:t>
      </w:r>
      <w:r>
        <w:rPr>
          <w:rFonts w:hint="eastAsia" w:ascii="仿宋" w:hAnsi="仿宋" w:eastAsia="仿宋" w:cs="仿宋"/>
          <w:color w:val="auto"/>
          <w:sz w:val="28"/>
          <w:szCs w:val="28"/>
          <w:u w:val="single"/>
        </w:rPr>
        <w:t>投</w:t>
      </w:r>
    </w:p>
    <w:p w14:paraId="5544BD4C">
      <w:pPr>
        <w:pageBreakBefore w:val="0"/>
        <w:kinsoku/>
        <w:wordWrap/>
        <w:overflowPunct/>
        <w:topLinePunct w:val="0"/>
        <w:bidi w:val="0"/>
        <w:spacing w:line="500" w:lineRule="exact"/>
        <w:ind w:left="968" w:leftChars="68" w:hanging="826" w:hangingChars="295"/>
        <w:rPr>
          <w:rFonts w:hint="eastAsia" w:ascii="仿宋" w:hAnsi="仿宋" w:eastAsia="仿宋" w:cs="仿宋"/>
          <w:color w:val="auto"/>
          <w:sz w:val="28"/>
          <w:szCs w:val="28"/>
        </w:rPr>
      </w:pPr>
      <w:r>
        <w:rPr>
          <w:rFonts w:hint="eastAsia" w:ascii="仿宋" w:hAnsi="仿宋" w:eastAsia="仿宋" w:cs="仿宋"/>
          <w:color w:val="auto"/>
          <w:sz w:val="28"/>
          <w:szCs w:val="28"/>
          <w:u w:val="single"/>
        </w:rPr>
        <w:t>标人须知资料表。</w:t>
      </w:r>
    </w:p>
    <w:p w14:paraId="44BD201C">
      <w:pPr>
        <w:pageBreakBefore w:val="0"/>
        <w:kinsoku/>
        <w:wordWrap/>
        <w:overflowPunct/>
        <w:topLinePunct w:val="0"/>
        <w:bidi w:val="0"/>
        <w:spacing w:line="500" w:lineRule="exact"/>
        <w:ind w:left="900" w:hanging="1050" w:hangingChars="375"/>
        <w:jc w:val="left"/>
        <w:outlineLvl w:val="2"/>
        <w:rPr>
          <w:rFonts w:hint="eastAsia" w:ascii="仿宋" w:hAnsi="仿宋" w:eastAsia="仿宋" w:cs="仿宋"/>
          <w:b/>
          <w:bCs/>
          <w:color w:val="auto"/>
          <w:sz w:val="28"/>
          <w:szCs w:val="28"/>
        </w:rPr>
      </w:pPr>
      <w:bookmarkStart w:id="419" w:name="_Toc19180"/>
      <w:r>
        <w:rPr>
          <w:rFonts w:hint="eastAsia" w:ascii="仿宋" w:hAnsi="仿宋" w:eastAsia="仿宋" w:cs="仿宋"/>
          <w:color w:val="auto"/>
          <w:sz w:val="28"/>
          <w:szCs w:val="28"/>
        </w:rPr>
        <w:t>37.</w:t>
      </w:r>
      <w:r>
        <w:rPr>
          <w:rFonts w:hint="eastAsia" w:ascii="仿宋" w:hAnsi="仿宋" w:eastAsia="仿宋" w:cs="仿宋"/>
          <w:b/>
          <w:bCs/>
          <w:color w:val="auto"/>
          <w:sz w:val="28"/>
          <w:szCs w:val="28"/>
        </w:rPr>
        <w:t>质疑的提出</w:t>
      </w:r>
      <w:bookmarkEnd w:id="419"/>
    </w:p>
    <w:p w14:paraId="00513F4D">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37.1本采购文件中所称质疑及答复，是指参加本次采购活动的供应</w:t>
      </w:r>
    </w:p>
    <w:p w14:paraId="20FED44A">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商对政府采购活动中的采购文件、采购过程和成交结果向采购方提</w:t>
      </w:r>
    </w:p>
    <w:p w14:paraId="5F49817E">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出质疑，采购方答复质疑的行为。</w:t>
      </w:r>
    </w:p>
    <w:p w14:paraId="0B3ED080">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37.2 供应商认为采购文件、采购过程和成交结果使自己的权益受到</w:t>
      </w:r>
    </w:p>
    <w:p w14:paraId="3A691667">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损害的，可以在知道或者应知其权益受到损害之日起7个工作日内，</w:t>
      </w:r>
    </w:p>
    <w:p w14:paraId="73C1AD2B">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以书面形式向采购方提出质疑。供应商应知其权益受到损害之日，</w:t>
      </w:r>
    </w:p>
    <w:p w14:paraId="0E9EA9D3">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是指：</w:t>
      </w:r>
    </w:p>
    <w:p w14:paraId="20C5A319">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（一）对可以质疑的采购文件提出质疑的，为收到采购文件之日或者采购文件公告期限届满之日；</w:t>
      </w:r>
    </w:p>
    <w:p w14:paraId="33D8806D">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（二）对采购过程提出质疑的，为各采购程序环节结束之日；</w:t>
      </w:r>
    </w:p>
    <w:p w14:paraId="5E3A1EA5">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（三）对成交结果提出质疑的，为成交结果公告期限届满之日。</w:t>
      </w:r>
    </w:p>
    <w:p w14:paraId="4A4ECC1B">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37.3 对可以质疑的采购文件提出质疑的，质疑人为参与本项目的报</w:t>
      </w:r>
    </w:p>
    <w:p w14:paraId="14C1671A">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价方或潜在报价方。可质疑的文件为采购公告以及采购文件（包括</w:t>
      </w:r>
    </w:p>
    <w:p w14:paraId="5041D98C">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属于其组成部分的澄清、修改、补充文件和评审标准、合同文本等）。</w:t>
      </w:r>
    </w:p>
    <w:p w14:paraId="177EAABC">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37.4  对采购过程和成交结果提出质疑的，质疑人为直接参与本项</w:t>
      </w:r>
    </w:p>
    <w:p w14:paraId="724C62EE">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目的报价方。采购过程,即从采购项目信息公告发布起到成交结果公</w:t>
      </w:r>
    </w:p>
    <w:p w14:paraId="33A1FF6E">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告止，包括采购文件的发出、提交响应文件、响应文件开启、评审</w:t>
      </w:r>
    </w:p>
    <w:p w14:paraId="305DC2B0">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等各个采购程序环节。</w:t>
      </w:r>
    </w:p>
    <w:p w14:paraId="4D2E9778">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37.5   提出质疑应当符合下列条件：</w:t>
      </w:r>
    </w:p>
    <w:p w14:paraId="365A37EF">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（一）质疑主体应当符合有关规定；</w:t>
      </w:r>
    </w:p>
    <w:p w14:paraId="727C8B83">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（二）在质疑法定期限内提出；</w:t>
      </w:r>
    </w:p>
    <w:p w14:paraId="02583D7F">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（三）属于可以提出质疑的政府采购事项受理范围和本项目采购人的管辖权范围；</w:t>
      </w:r>
    </w:p>
    <w:p w14:paraId="00E9BE4C">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（四）政府采购法律、法规、规章规定的其他条件。</w:t>
      </w:r>
    </w:p>
    <w:p w14:paraId="1D948616">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37.6 提出质疑应当具有明确的请求和提供必要的证明材料。明确的</w:t>
      </w:r>
    </w:p>
    <w:p w14:paraId="66F1DCA2">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请求,即质疑人在质疑函中提出的，要求采购方对其予以支持的主张。</w:t>
      </w:r>
    </w:p>
    <w:p w14:paraId="38D75950">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必要的证明材料,即能够证明质疑人的质疑请求成立的必要材料，包</w:t>
      </w:r>
    </w:p>
    <w:p w14:paraId="4F5E0D6C">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括相关证据、依据和其他有关材料。</w:t>
      </w:r>
    </w:p>
    <w:p w14:paraId="70EFAB04">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37.7质疑人所提供的证明材料应当具有真实性、合法性以及与质疑</w:t>
      </w:r>
    </w:p>
    <w:p w14:paraId="165F5EFD">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事项的关联性和证明力，否则不能作为认定该质疑事项成立的依据。</w:t>
      </w:r>
    </w:p>
    <w:p w14:paraId="52037CCF">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37.8 质疑人提出质疑时应当提交质疑函。质疑函包括下列内容：</w:t>
      </w:r>
    </w:p>
    <w:p w14:paraId="41CBBE14">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（一）提出质疑的质疑人的名称、地址、邮编、联系人及联系电话等；</w:t>
      </w:r>
    </w:p>
    <w:p w14:paraId="1B7966F0">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（二）质疑项目的名称、编号；</w:t>
      </w:r>
    </w:p>
    <w:p w14:paraId="39CF3FD3">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（三）质疑事项；</w:t>
      </w:r>
    </w:p>
    <w:p w14:paraId="149649B3">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（四）事实依据和证明材料；</w:t>
      </w:r>
    </w:p>
    <w:p w14:paraId="7010DBC2">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（五）法律依据；</w:t>
      </w:r>
    </w:p>
    <w:p w14:paraId="2F1530C4">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（六）提出质疑的日期。</w:t>
      </w:r>
    </w:p>
    <w:p w14:paraId="2D75EA16">
      <w:pPr>
        <w:pageBreakBefore w:val="0"/>
        <w:kinsoku/>
        <w:wordWrap/>
        <w:overflowPunct/>
        <w:topLinePunct w:val="0"/>
        <w:bidi w:val="0"/>
        <w:spacing w:line="5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质疑函采用实名制。质疑人为自然人的应当由本人签字，并附有效身份证明文件；质疑人为法人或者非法人组织的应当由法定代表人或者负责人签字并加盖公章，并附有效身份证明文件。</w:t>
      </w:r>
    </w:p>
    <w:p w14:paraId="048AB783">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37.9 质疑人可以委托代理人进行质疑。代理人应当提交授权委托书。</w:t>
      </w:r>
    </w:p>
    <w:p w14:paraId="2A75AB06">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授权委托书应当载明委托代理的具体权限、期限和相关事项。</w:t>
      </w:r>
    </w:p>
    <w:p w14:paraId="62541F77">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37.10 质疑的审查和受理。采购方在收到质疑函后应当及时审查是</w:t>
      </w:r>
    </w:p>
    <w:p w14:paraId="692CECB2">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否符合质疑受理条件，对符合质疑受理条件的，及时予以受理。</w:t>
      </w:r>
    </w:p>
    <w:p w14:paraId="4BF8E1BF">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37.11 对不符合质疑受理条件的，分别按照下列不同情形予以处理：</w:t>
      </w:r>
    </w:p>
    <w:p w14:paraId="5E83CE37">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（一）质疑函内容不符合规定的，告知质疑人进行修改并重新提出质疑。修改后质疑事项仍不具体、不明确或者最终递交质疑函的时间超过质疑法定期限的，不予受理；</w:t>
      </w:r>
    </w:p>
    <w:p w14:paraId="229F1F14">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（二）质疑主体不符合有关规定的，告知质疑人不予受理；</w:t>
      </w:r>
    </w:p>
    <w:p w14:paraId="5F04D0ED">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（三）超过质疑法定期限提出质疑的，告知质疑人不予受理；</w:t>
      </w:r>
    </w:p>
    <w:p w14:paraId="4EC8880D">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（四）对不属于可以提出质疑的政府采购事项提出质疑的，告知质疑人不予受理；</w:t>
      </w:r>
    </w:p>
    <w:p w14:paraId="6F84EE7E">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（五）质疑不属于本项目采购方管辖的，告知质疑人向有管辖权的采购人提出质疑；</w:t>
      </w:r>
    </w:p>
    <w:p w14:paraId="1CA7683F">
      <w:pPr>
        <w:pageBreakBefore w:val="0"/>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（六）质疑不符合其他条件的，告知质疑人不予受理。</w:t>
      </w:r>
    </w:p>
    <w:p w14:paraId="67B91D50">
      <w:pPr>
        <w:pageBreakBefore w:val="0"/>
        <w:kinsoku/>
        <w:wordWrap/>
        <w:overflowPunct/>
        <w:topLinePunct w:val="0"/>
        <w:bidi w:val="0"/>
        <w:spacing w:line="500" w:lineRule="exact"/>
        <w:ind w:left="904" w:hanging="1050" w:hangingChars="375"/>
        <w:jc w:val="left"/>
        <w:outlineLvl w:val="2"/>
        <w:rPr>
          <w:rFonts w:hint="eastAsia" w:ascii="仿宋" w:hAnsi="仿宋" w:eastAsia="仿宋" w:cs="仿宋"/>
          <w:b/>
          <w:bCs/>
          <w:color w:val="auto"/>
          <w:sz w:val="28"/>
          <w:szCs w:val="28"/>
        </w:rPr>
      </w:pPr>
      <w:bookmarkStart w:id="420" w:name="_Toc11008"/>
      <w:r>
        <w:rPr>
          <w:rFonts w:hint="eastAsia" w:ascii="仿宋" w:hAnsi="仿宋" w:eastAsia="仿宋" w:cs="仿宋"/>
          <w:b/>
          <w:bCs/>
          <w:color w:val="auto"/>
          <w:sz w:val="28"/>
          <w:szCs w:val="28"/>
        </w:rPr>
        <w:t>38.质疑的处理和答复</w:t>
      </w:r>
      <w:bookmarkEnd w:id="420"/>
    </w:p>
    <w:p w14:paraId="546DC013">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采购方受理质疑后，将及时把质疑函发送给被质疑人，并要求其在</w:t>
      </w:r>
    </w:p>
    <w:p w14:paraId="26214C0E">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一定限期内提交书面答复，同时提供有关证据、依据和相关材料。</w:t>
      </w:r>
    </w:p>
    <w:p w14:paraId="25ACB895">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38.1 对于质疑事项中涉及的问题较多、情况比较复杂的，为了全面</w:t>
      </w:r>
    </w:p>
    <w:p w14:paraId="1329648A">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查清事实、取得充分的证据，采购方认为有必要时，可以进行调查</w:t>
      </w:r>
    </w:p>
    <w:p w14:paraId="67B9D10B">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取证或者组织质证。</w:t>
      </w:r>
    </w:p>
    <w:p w14:paraId="632AC5ED">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38.2  对评审过程、成交结果提出质疑的，采购方可以组织原评审</w:t>
      </w:r>
    </w:p>
    <w:p w14:paraId="08E8FFBC">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委员会协助答复质疑。</w:t>
      </w:r>
    </w:p>
    <w:p w14:paraId="4A5B7579">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38.3  质疑处理过程中，质疑人书面申请撤回质疑的，将终止质疑</w:t>
      </w:r>
    </w:p>
    <w:p w14:paraId="76C477B5">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处理程序。</w:t>
      </w:r>
    </w:p>
    <w:p w14:paraId="1D273C49">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38.4 质疑人拒绝配合采购方依法对质疑进行调查处理的，采购方将</w:t>
      </w:r>
    </w:p>
    <w:p w14:paraId="5C2A4D90">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按质疑人自动撤回质疑处理；被质疑人拒绝配合采购方依法对质疑</w:t>
      </w:r>
    </w:p>
    <w:p w14:paraId="0FC995F3">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进行调查处理的，采购方将视同其认可质疑事项。</w:t>
      </w:r>
    </w:p>
    <w:p w14:paraId="4E4F38E6">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38.5质疑人拒绝配合采购方依法对质疑进行调查处理的，采购方将</w:t>
      </w:r>
    </w:p>
    <w:p w14:paraId="69DE4C48">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按质疑人自动撤回质疑处理；被质疑人拒绝配合采购方依法对质疑</w:t>
      </w:r>
    </w:p>
    <w:p w14:paraId="55886321">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进行调查处理的，采购方将视同其认可质疑事项。</w:t>
      </w:r>
    </w:p>
    <w:p w14:paraId="01CA0935">
      <w:pPr>
        <w:pageBreakBefore w:val="0"/>
        <w:kinsoku/>
        <w:wordWrap/>
        <w:overflowPunct/>
        <w:topLinePunct w:val="0"/>
        <w:bidi w:val="0"/>
        <w:spacing w:line="500" w:lineRule="exact"/>
        <w:ind w:left="900" w:hanging="1050" w:hangingChars="375"/>
        <w:jc w:val="left"/>
        <w:rPr>
          <w:rFonts w:hint="eastAsia" w:ascii="仿宋" w:hAnsi="仿宋" w:eastAsia="仿宋" w:cs="仿宋"/>
          <w:color w:val="auto"/>
          <w:sz w:val="28"/>
          <w:szCs w:val="28"/>
        </w:rPr>
      </w:pPr>
      <w:r>
        <w:rPr>
          <w:rFonts w:hint="eastAsia" w:ascii="仿宋" w:hAnsi="仿宋" w:eastAsia="仿宋" w:cs="仿宋"/>
          <w:color w:val="auto"/>
          <w:sz w:val="28"/>
          <w:szCs w:val="28"/>
        </w:rPr>
        <w:t>38.6  采购方将在正式受理质疑后7个工作日内作出答复。</w:t>
      </w:r>
    </w:p>
    <w:p w14:paraId="159A19BD">
      <w:pPr>
        <w:pStyle w:val="101"/>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38.7  质疑答复应当包括下列内容：</w:t>
      </w:r>
    </w:p>
    <w:p w14:paraId="2D4B36C3">
      <w:pPr>
        <w:pStyle w:val="101"/>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（一）质疑人的姓名或者名称；</w:t>
      </w:r>
    </w:p>
    <w:p w14:paraId="224F7B2B">
      <w:pPr>
        <w:pStyle w:val="101"/>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（二）收到质疑函的日期、质疑项目名称及编号；</w:t>
      </w:r>
    </w:p>
    <w:p w14:paraId="7BE0A3B1">
      <w:pPr>
        <w:pStyle w:val="101"/>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（三）质疑事项、质疑答复的具体内容、事实依据和法律依据；</w:t>
      </w:r>
    </w:p>
    <w:p w14:paraId="6E04C5DE">
      <w:pPr>
        <w:pStyle w:val="101"/>
        <w:pageBreakBefore w:val="0"/>
        <w:kinsoku/>
        <w:wordWrap/>
        <w:overflowPunct/>
        <w:topLinePunct w:val="0"/>
        <w:bidi w:val="0"/>
        <w:spacing w:line="500" w:lineRule="exact"/>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（四）告知质疑供应商依法投诉的权利；</w:t>
      </w:r>
    </w:p>
    <w:p w14:paraId="57F9FD1D">
      <w:pPr>
        <w:pStyle w:val="101"/>
        <w:pageBreakBefore w:val="0"/>
        <w:kinsoku/>
        <w:wordWrap/>
        <w:overflowPunct/>
        <w:topLinePunct w:val="0"/>
        <w:bidi w:val="0"/>
        <w:spacing w:line="500" w:lineRule="exact"/>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（五）质疑答复人名称；</w:t>
      </w:r>
    </w:p>
    <w:p w14:paraId="2E97C845">
      <w:pPr>
        <w:pageBreakBefore w:val="0"/>
        <w:kinsoku/>
        <w:wordWrap/>
        <w:overflowPunct/>
        <w:topLinePunct w:val="0"/>
        <w:bidi w:val="0"/>
        <w:spacing w:line="500" w:lineRule="exact"/>
        <w:ind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（六）答复质疑的日期。</w:t>
      </w:r>
    </w:p>
    <w:p w14:paraId="03A63702">
      <w:pPr>
        <w:pageBreakBefore w:val="0"/>
        <w:kinsoku/>
        <w:wordWrap/>
        <w:overflowPunct/>
        <w:topLinePunct w:val="0"/>
        <w:bidi w:val="0"/>
        <w:spacing w:line="500" w:lineRule="exact"/>
        <w:jc w:val="center"/>
        <w:outlineLvl w:val="1"/>
        <w:rPr>
          <w:rFonts w:hint="eastAsia" w:ascii="仿宋" w:hAnsi="仿宋" w:eastAsia="仿宋" w:cs="仿宋"/>
          <w:b/>
          <w:bCs/>
          <w:color w:val="auto"/>
          <w:sz w:val="28"/>
          <w:szCs w:val="28"/>
        </w:rPr>
      </w:pPr>
      <w:bookmarkStart w:id="421" w:name="_Toc4670"/>
      <w:bookmarkStart w:id="422" w:name="_Toc7782"/>
      <w:bookmarkStart w:id="423" w:name="_Toc32746"/>
      <w:bookmarkStart w:id="424" w:name="_Toc25761"/>
      <w:bookmarkStart w:id="425" w:name="_Toc2335"/>
      <w:bookmarkStart w:id="426" w:name="_Toc11739"/>
      <w:bookmarkStart w:id="427" w:name="_Toc3750"/>
      <w:bookmarkStart w:id="428" w:name="_Toc27626"/>
      <w:bookmarkStart w:id="429" w:name="_Toc12854"/>
      <w:r>
        <w:rPr>
          <w:rFonts w:hint="eastAsia" w:ascii="仿宋" w:hAnsi="仿宋" w:eastAsia="仿宋" w:cs="仿宋"/>
          <w:b/>
          <w:bCs/>
          <w:color w:val="auto"/>
          <w:sz w:val="28"/>
          <w:szCs w:val="28"/>
        </w:rPr>
        <w:t>质疑函范本</w:t>
      </w:r>
      <w:bookmarkEnd w:id="421"/>
      <w:bookmarkEnd w:id="422"/>
      <w:bookmarkEnd w:id="423"/>
      <w:bookmarkEnd w:id="424"/>
      <w:bookmarkEnd w:id="425"/>
      <w:bookmarkEnd w:id="426"/>
      <w:bookmarkEnd w:id="427"/>
      <w:bookmarkEnd w:id="428"/>
      <w:bookmarkEnd w:id="429"/>
    </w:p>
    <w:p w14:paraId="29297C28">
      <w:pPr>
        <w:pageBreakBefore w:val="0"/>
        <w:kinsoku/>
        <w:wordWrap/>
        <w:overflowPunct/>
        <w:topLinePunct w:val="0"/>
        <w:bidi w:val="0"/>
        <w:adjustRightInd w:val="0"/>
        <w:snapToGrid w:val="0"/>
        <w:spacing w:before="312" w:beforeLines="100" w:line="500" w:lineRule="exact"/>
        <w:rPr>
          <w:rFonts w:hint="eastAsia" w:ascii="仿宋" w:hAnsi="仿宋" w:eastAsia="仿宋" w:cs="仿宋"/>
          <w:bCs/>
          <w:color w:val="auto"/>
          <w:sz w:val="28"/>
          <w:szCs w:val="28"/>
        </w:rPr>
      </w:pPr>
      <w:bookmarkStart w:id="430" w:name="_Toc24926"/>
      <w:bookmarkStart w:id="431" w:name="_Toc29534"/>
      <w:bookmarkStart w:id="432" w:name="_Toc31020"/>
      <w:bookmarkStart w:id="433" w:name="_Toc28797"/>
      <w:bookmarkStart w:id="434" w:name="_Toc20504"/>
      <w:bookmarkStart w:id="435" w:name="_Toc13218"/>
      <w:bookmarkStart w:id="436" w:name="_Toc9491"/>
      <w:bookmarkStart w:id="437" w:name="_Toc7044"/>
      <w:bookmarkStart w:id="438" w:name="_Toc32439"/>
      <w:r>
        <w:rPr>
          <w:rFonts w:hint="eastAsia" w:ascii="仿宋" w:hAnsi="仿宋" w:eastAsia="仿宋" w:cs="仿宋"/>
          <w:bCs/>
          <w:color w:val="auto"/>
          <w:sz w:val="28"/>
          <w:szCs w:val="28"/>
        </w:rPr>
        <w:t>一、质疑供应商基本信息</w:t>
      </w:r>
      <w:bookmarkEnd w:id="430"/>
      <w:bookmarkEnd w:id="431"/>
      <w:bookmarkEnd w:id="432"/>
      <w:bookmarkEnd w:id="433"/>
      <w:bookmarkEnd w:id="434"/>
      <w:bookmarkEnd w:id="435"/>
      <w:bookmarkEnd w:id="436"/>
      <w:bookmarkEnd w:id="437"/>
      <w:bookmarkEnd w:id="438"/>
    </w:p>
    <w:p w14:paraId="222D2B25">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质疑供应商：</w:t>
      </w:r>
      <w:r>
        <w:rPr>
          <w:rFonts w:hint="eastAsia" w:ascii="仿宋" w:hAnsi="仿宋" w:eastAsia="仿宋" w:cs="仿宋"/>
          <w:color w:val="auto"/>
          <w:sz w:val="28"/>
          <w:szCs w:val="28"/>
          <w:u w:val="dotted"/>
        </w:rPr>
        <w:t xml:space="preserve">                                        </w:t>
      </w:r>
    </w:p>
    <w:p w14:paraId="172AAAA2">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dotted"/>
        </w:rPr>
        <w:t xml:space="preserve">                          </w:t>
      </w:r>
      <w:r>
        <w:rPr>
          <w:rFonts w:hint="eastAsia" w:ascii="仿宋" w:hAnsi="仿宋" w:eastAsia="仿宋" w:cs="仿宋"/>
          <w:color w:val="auto"/>
          <w:sz w:val="28"/>
          <w:szCs w:val="28"/>
        </w:rPr>
        <w:t>邮编：</w:t>
      </w:r>
      <w:r>
        <w:rPr>
          <w:rFonts w:hint="eastAsia" w:ascii="仿宋" w:hAnsi="仿宋" w:eastAsia="仿宋" w:cs="仿宋"/>
          <w:color w:val="auto"/>
          <w:sz w:val="28"/>
          <w:szCs w:val="28"/>
          <w:u w:val="dotted"/>
        </w:rPr>
        <w:t xml:space="preserve">                                                   </w:t>
      </w:r>
    </w:p>
    <w:p w14:paraId="5EE7221B">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联系人：</w:t>
      </w:r>
      <w:r>
        <w:rPr>
          <w:rFonts w:hint="eastAsia" w:ascii="仿宋" w:hAnsi="仿宋" w:eastAsia="仿宋" w:cs="仿宋"/>
          <w:color w:val="auto"/>
          <w:sz w:val="28"/>
          <w:szCs w:val="28"/>
          <w:u w:val="dotted"/>
        </w:rPr>
        <w:t xml:space="preserve">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dotted"/>
        </w:rPr>
        <w:t xml:space="preserve">                              </w:t>
      </w:r>
    </w:p>
    <w:p w14:paraId="1D93DA05">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授权代表：</w:t>
      </w:r>
      <w:r>
        <w:rPr>
          <w:rFonts w:hint="eastAsia" w:ascii="仿宋" w:hAnsi="仿宋" w:eastAsia="仿宋" w:cs="仿宋"/>
          <w:color w:val="auto"/>
          <w:sz w:val="28"/>
          <w:szCs w:val="28"/>
          <w:u w:val="dotted"/>
        </w:rPr>
        <w:t xml:space="preserve">                                          </w:t>
      </w:r>
    </w:p>
    <w:p w14:paraId="55489412">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u w:val="dotted"/>
        </w:rPr>
        <w:t xml:space="preserve">                                           </w:t>
      </w:r>
      <w:r>
        <w:rPr>
          <w:rFonts w:hint="eastAsia" w:ascii="仿宋" w:hAnsi="仿宋" w:eastAsia="仿宋" w:cs="仿宋"/>
          <w:color w:val="auto"/>
          <w:sz w:val="28"/>
          <w:szCs w:val="28"/>
        </w:rPr>
        <w:t xml:space="preserve"> </w:t>
      </w:r>
    </w:p>
    <w:p w14:paraId="3929FEEA">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地址： </w:t>
      </w:r>
      <w:r>
        <w:rPr>
          <w:rFonts w:hint="eastAsia" w:ascii="仿宋" w:hAnsi="仿宋" w:eastAsia="仿宋" w:cs="仿宋"/>
          <w:color w:val="auto"/>
          <w:sz w:val="28"/>
          <w:szCs w:val="28"/>
          <w:u w:val="dotted"/>
        </w:rPr>
        <w:t xml:space="preserve">                        </w:t>
      </w:r>
      <w:r>
        <w:rPr>
          <w:rFonts w:hint="eastAsia" w:ascii="仿宋" w:hAnsi="仿宋" w:eastAsia="仿宋" w:cs="仿宋"/>
          <w:color w:val="auto"/>
          <w:sz w:val="28"/>
          <w:szCs w:val="28"/>
        </w:rPr>
        <w:t>邮编：</w:t>
      </w:r>
      <w:r>
        <w:rPr>
          <w:rFonts w:hint="eastAsia" w:ascii="仿宋" w:hAnsi="仿宋" w:eastAsia="仿宋" w:cs="仿宋"/>
          <w:color w:val="auto"/>
          <w:sz w:val="28"/>
          <w:szCs w:val="28"/>
          <w:u w:val="dotted"/>
        </w:rPr>
        <w:t xml:space="preserve">                                                </w:t>
      </w:r>
    </w:p>
    <w:p w14:paraId="439F7357">
      <w:pPr>
        <w:pageBreakBefore w:val="0"/>
        <w:kinsoku/>
        <w:wordWrap/>
        <w:overflowPunct/>
        <w:topLinePunct w:val="0"/>
        <w:bidi w:val="0"/>
        <w:adjustRightInd w:val="0"/>
        <w:snapToGrid w:val="0"/>
        <w:spacing w:line="500" w:lineRule="exact"/>
        <w:rPr>
          <w:rFonts w:hint="eastAsia" w:ascii="仿宋" w:hAnsi="仿宋" w:eastAsia="仿宋" w:cs="仿宋"/>
          <w:bCs/>
          <w:color w:val="auto"/>
          <w:sz w:val="28"/>
          <w:szCs w:val="28"/>
        </w:rPr>
      </w:pPr>
      <w:bookmarkStart w:id="439" w:name="_Toc4409"/>
      <w:bookmarkStart w:id="440" w:name="_Toc30222"/>
      <w:bookmarkStart w:id="441" w:name="_Toc12179"/>
      <w:bookmarkStart w:id="442" w:name="_Toc226"/>
      <w:bookmarkStart w:id="443" w:name="_Toc27681"/>
      <w:bookmarkStart w:id="444" w:name="_Toc32083"/>
      <w:bookmarkStart w:id="445" w:name="_Toc31363"/>
      <w:bookmarkStart w:id="446" w:name="_Toc20123"/>
      <w:bookmarkStart w:id="447" w:name="_Toc3694"/>
      <w:r>
        <w:rPr>
          <w:rFonts w:hint="eastAsia" w:ascii="仿宋" w:hAnsi="仿宋" w:eastAsia="仿宋" w:cs="仿宋"/>
          <w:bCs/>
          <w:color w:val="auto"/>
          <w:sz w:val="28"/>
          <w:szCs w:val="28"/>
        </w:rPr>
        <w:t>二、质疑项目基本情况</w:t>
      </w:r>
      <w:bookmarkEnd w:id="439"/>
      <w:bookmarkEnd w:id="440"/>
      <w:bookmarkEnd w:id="441"/>
      <w:bookmarkEnd w:id="442"/>
      <w:bookmarkEnd w:id="443"/>
      <w:bookmarkEnd w:id="444"/>
      <w:bookmarkEnd w:id="445"/>
      <w:bookmarkEnd w:id="446"/>
      <w:bookmarkEnd w:id="447"/>
    </w:p>
    <w:p w14:paraId="5FF6DAF9">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质疑项目的名称：</w:t>
      </w:r>
      <w:r>
        <w:rPr>
          <w:rFonts w:hint="eastAsia" w:ascii="仿宋" w:hAnsi="仿宋" w:eastAsia="仿宋" w:cs="仿宋"/>
          <w:color w:val="auto"/>
          <w:sz w:val="28"/>
          <w:szCs w:val="28"/>
          <w:u w:val="dotted"/>
        </w:rPr>
        <w:t xml:space="preserve">                                      </w:t>
      </w:r>
    </w:p>
    <w:p w14:paraId="77352E56">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质疑项目的编号：</w:t>
      </w:r>
      <w:r>
        <w:rPr>
          <w:rFonts w:hint="eastAsia" w:ascii="仿宋" w:hAnsi="仿宋" w:eastAsia="仿宋" w:cs="仿宋"/>
          <w:color w:val="auto"/>
          <w:sz w:val="28"/>
          <w:szCs w:val="28"/>
          <w:u w:val="dotted"/>
        </w:rPr>
        <w:t xml:space="preserve">               </w:t>
      </w:r>
    </w:p>
    <w:p w14:paraId="67CC90CE">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采购人名称：</w:t>
      </w:r>
      <w:r>
        <w:rPr>
          <w:rFonts w:hint="eastAsia" w:ascii="仿宋" w:hAnsi="仿宋" w:eastAsia="仿宋" w:cs="仿宋"/>
          <w:color w:val="auto"/>
          <w:sz w:val="28"/>
          <w:szCs w:val="28"/>
          <w:u w:val="dotted"/>
        </w:rPr>
        <w:t xml:space="preserve">                                         </w:t>
      </w:r>
    </w:p>
    <w:p w14:paraId="6AD1C4D7">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采购文件获取日期：</w:t>
      </w:r>
      <w:r>
        <w:rPr>
          <w:rFonts w:hint="eastAsia" w:ascii="仿宋" w:hAnsi="仿宋" w:eastAsia="仿宋" w:cs="仿宋"/>
          <w:color w:val="auto"/>
          <w:sz w:val="28"/>
          <w:szCs w:val="28"/>
          <w:u w:val="dotted"/>
        </w:rPr>
        <w:t xml:space="preserve">                                           </w:t>
      </w:r>
    </w:p>
    <w:p w14:paraId="2F8C9521">
      <w:pPr>
        <w:pageBreakBefore w:val="0"/>
        <w:kinsoku/>
        <w:wordWrap/>
        <w:overflowPunct/>
        <w:topLinePunct w:val="0"/>
        <w:bidi w:val="0"/>
        <w:adjustRightInd w:val="0"/>
        <w:snapToGrid w:val="0"/>
        <w:spacing w:line="500" w:lineRule="exact"/>
        <w:rPr>
          <w:rFonts w:hint="eastAsia" w:ascii="仿宋" w:hAnsi="仿宋" w:eastAsia="仿宋" w:cs="仿宋"/>
          <w:bCs/>
          <w:color w:val="auto"/>
          <w:sz w:val="28"/>
          <w:szCs w:val="28"/>
        </w:rPr>
      </w:pPr>
      <w:bookmarkStart w:id="448" w:name="_Toc17475"/>
      <w:bookmarkStart w:id="449" w:name="_Toc21917"/>
      <w:bookmarkStart w:id="450" w:name="_Toc17103"/>
      <w:bookmarkStart w:id="451" w:name="_Toc12401"/>
      <w:bookmarkStart w:id="452" w:name="_Toc1349"/>
      <w:bookmarkStart w:id="453" w:name="_Toc4900"/>
      <w:bookmarkStart w:id="454" w:name="_Toc21644"/>
      <w:bookmarkStart w:id="455" w:name="_Toc4978"/>
      <w:r>
        <w:rPr>
          <w:rFonts w:hint="eastAsia" w:ascii="仿宋" w:hAnsi="仿宋" w:eastAsia="仿宋" w:cs="仿宋"/>
          <w:bCs/>
          <w:color w:val="auto"/>
          <w:sz w:val="28"/>
          <w:szCs w:val="28"/>
        </w:rPr>
        <w:t>三、质疑事项具体内容</w:t>
      </w:r>
      <w:bookmarkEnd w:id="448"/>
      <w:bookmarkEnd w:id="449"/>
      <w:bookmarkEnd w:id="450"/>
      <w:bookmarkEnd w:id="451"/>
      <w:bookmarkEnd w:id="452"/>
      <w:bookmarkEnd w:id="453"/>
      <w:bookmarkEnd w:id="454"/>
      <w:bookmarkEnd w:id="455"/>
    </w:p>
    <w:p w14:paraId="2021BF5F">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质疑事项1：</w:t>
      </w:r>
      <w:r>
        <w:rPr>
          <w:rFonts w:hint="eastAsia" w:ascii="仿宋" w:hAnsi="仿宋" w:eastAsia="仿宋" w:cs="仿宋"/>
          <w:color w:val="auto"/>
          <w:sz w:val="28"/>
          <w:szCs w:val="28"/>
          <w:u w:val="dotted"/>
        </w:rPr>
        <w:t xml:space="preserve">                                         </w:t>
      </w:r>
    </w:p>
    <w:p w14:paraId="08A8CDBD">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事实依据：</w:t>
      </w:r>
      <w:r>
        <w:rPr>
          <w:rFonts w:hint="eastAsia" w:ascii="仿宋" w:hAnsi="仿宋" w:eastAsia="仿宋" w:cs="仿宋"/>
          <w:color w:val="auto"/>
          <w:sz w:val="28"/>
          <w:szCs w:val="28"/>
          <w:u w:val="dotted"/>
        </w:rPr>
        <w:t xml:space="preserve">                                          </w:t>
      </w:r>
    </w:p>
    <w:p w14:paraId="71314A28">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u w:val="dotted"/>
        </w:rPr>
        <w:t xml:space="preserve">                                                       </w:t>
      </w:r>
    </w:p>
    <w:p w14:paraId="3D121CF1">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法律依据：</w:t>
      </w:r>
      <w:r>
        <w:rPr>
          <w:rFonts w:hint="eastAsia" w:ascii="仿宋" w:hAnsi="仿宋" w:eastAsia="仿宋" w:cs="仿宋"/>
          <w:color w:val="auto"/>
          <w:sz w:val="28"/>
          <w:szCs w:val="28"/>
          <w:u w:val="dotted"/>
        </w:rPr>
        <w:t xml:space="preserve">                                          </w:t>
      </w:r>
    </w:p>
    <w:p w14:paraId="32350F21">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u w:val="dotted"/>
        </w:rPr>
        <w:t xml:space="preserve">                                                     </w:t>
      </w:r>
    </w:p>
    <w:p w14:paraId="3EB9672D">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质疑事项2</w:t>
      </w:r>
    </w:p>
    <w:p w14:paraId="238309CF">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w:t>
      </w:r>
    </w:p>
    <w:p w14:paraId="36CFD7D9">
      <w:pPr>
        <w:pageBreakBefore w:val="0"/>
        <w:kinsoku/>
        <w:wordWrap/>
        <w:overflowPunct/>
        <w:topLinePunct w:val="0"/>
        <w:bidi w:val="0"/>
        <w:adjustRightInd w:val="0"/>
        <w:snapToGrid w:val="0"/>
        <w:spacing w:line="500" w:lineRule="exact"/>
        <w:rPr>
          <w:rFonts w:hint="eastAsia" w:ascii="仿宋" w:hAnsi="仿宋" w:eastAsia="仿宋" w:cs="仿宋"/>
          <w:bCs/>
          <w:color w:val="auto"/>
          <w:sz w:val="28"/>
          <w:szCs w:val="28"/>
        </w:rPr>
      </w:pPr>
      <w:bookmarkStart w:id="456" w:name="_Toc11725"/>
      <w:bookmarkStart w:id="457" w:name="_Toc30785"/>
      <w:bookmarkStart w:id="458" w:name="_Toc14716"/>
      <w:bookmarkStart w:id="459" w:name="_Toc19561"/>
      <w:bookmarkStart w:id="460" w:name="_Toc31962"/>
      <w:bookmarkStart w:id="461" w:name="_Toc15774"/>
      <w:bookmarkStart w:id="462" w:name="_Toc11711"/>
      <w:bookmarkStart w:id="463" w:name="_Toc12953"/>
      <w:bookmarkStart w:id="464" w:name="_Toc19138"/>
      <w:r>
        <w:rPr>
          <w:rFonts w:hint="eastAsia" w:ascii="仿宋" w:hAnsi="仿宋" w:eastAsia="仿宋" w:cs="仿宋"/>
          <w:bCs/>
          <w:color w:val="auto"/>
          <w:sz w:val="28"/>
          <w:szCs w:val="28"/>
        </w:rPr>
        <w:t>四、与质疑事项相关的质疑请求</w:t>
      </w:r>
      <w:bookmarkEnd w:id="456"/>
      <w:bookmarkEnd w:id="457"/>
      <w:bookmarkEnd w:id="458"/>
      <w:bookmarkEnd w:id="459"/>
      <w:bookmarkEnd w:id="460"/>
      <w:bookmarkEnd w:id="461"/>
      <w:bookmarkEnd w:id="462"/>
      <w:bookmarkEnd w:id="463"/>
      <w:bookmarkEnd w:id="464"/>
    </w:p>
    <w:p w14:paraId="5A0D2129">
      <w:pPr>
        <w:pageBreakBefore w:val="0"/>
        <w:kinsoku/>
        <w:wordWrap/>
        <w:overflowPunct/>
        <w:topLinePunct w:val="0"/>
        <w:bidi w:val="0"/>
        <w:adjustRightInd w:val="0"/>
        <w:snapToGrid w:val="0"/>
        <w:spacing w:line="50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请求：</w:t>
      </w:r>
      <w:r>
        <w:rPr>
          <w:rFonts w:hint="eastAsia" w:ascii="仿宋" w:hAnsi="仿宋" w:eastAsia="仿宋" w:cs="仿宋"/>
          <w:color w:val="auto"/>
          <w:sz w:val="28"/>
          <w:szCs w:val="28"/>
          <w:u w:val="dotted"/>
        </w:rPr>
        <w:t xml:space="preserve">                                               </w:t>
      </w:r>
    </w:p>
    <w:p w14:paraId="451B826A">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签字(</w:t>
      </w:r>
      <w:r>
        <w:rPr>
          <w:rFonts w:hint="eastAsia" w:ascii="仿宋" w:hAnsi="仿宋" w:eastAsia="仿宋" w:cs="仿宋"/>
          <w:color w:val="auto"/>
          <w:sz w:val="28"/>
          <w:szCs w:val="28"/>
          <w:lang w:eastAsia="zh-CN"/>
        </w:rPr>
        <w:t>签字或盖章</w:t>
      </w:r>
      <w:r>
        <w:rPr>
          <w:rFonts w:hint="eastAsia" w:ascii="仿宋" w:hAnsi="仿宋" w:eastAsia="仿宋" w:cs="仿宋"/>
          <w:color w:val="auto"/>
          <w:sz w:val="28"/>
          <w:szCs w:val="28"/>
        </w:rPr>
        <w:t xml:space="preserve">)：                   公章：                      </w:t>
      </w:r>
    </w:p>
    <w:p w14:paraId="78800209">
      <w:pPr>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w:t>
      </w:r>
    </w:p>
    <w:p w14:paraId="0CA61D2E">
      <w:pPr>
        <w:pageBreakBefore w:val="0"/>
        <w:kinsoku/>
        <w:wordWrap/>
        <w:overflowPunct/>
        <w:topLinePunct w:val="0"/>
        <w:bidi w:val="0"/>
        <w:spacing w:line="5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质疑函制作说明：</w:t>
      </w:r>
    </w:p>
    <w:p w14:paraId="150A6223">
      <w:pPr>
        <w:pageBreakBefore w:val="0"/>
        <w:widowControl/>
        <w:kinsoku/>
        <w:wordWrap/>
        <w:overflowPunct/>
        <w:topLinePunct w:val="0"/>
        <w:bidi w:val="0"/>
        <w:spacing w:line="5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1.供应商提出质疑时，应提交质疑函和必要的证明材料。</w:t>
      </w:r>
    </w:p>
    <w:p w14:paraId="509F19CE">
      <w:pPr>
        <w:pageBreakBefore w:val="0"/>
        <w:widowControl/>
        <w:kinsoku/>
        <w:wordWrap/>
        <w:overflowPunct/>
        <w:topLinePunct w:val="0"/>
        <w:bidi w:val="0"/>
        <w:spacing w:line="5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rPr>
        <w:t>供应商签署的授权委托书。授权委托书应载明代理人的姓名或者名称、代理事项、具体权限、期限和相关事项。</w:t>
      </w:r>
    </w:p>
    <w:p w14:paraId="737DFB55">
      <w:pPr>
        <w:pageBreakBefore w:val="0"/>
        <w:widowControl/>
        <w:kinsoku/>
        <w:wordWrap/>
        <w:overflowPunct/>
        <w:topLinePunct w:val="0"/>
        <w:bidi w:val="0"/>
        <w:spacing w:line="5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3.质疑供应商若对项目的某一分包进行质疑，质疑函中应列明具体分包号。</w:t>
      </w:r>
    </w:p>
    <w:p w14:paraId="1E20D8DE">
      <w:pPr>
        <w:pageBreakBefore w:val="0"/>
        <w:widowControl/>
        <w:kinsoku/>
        <w:wordWrap/>
        <w:overflowPunct/>
        <w:topLinePunct w:val="0"/>
        <w:bidi w:val="0"/>
        <w:spacing w:line="5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4.质疑函的质疑事项应具体、明确，并有必要的事实依据和法律依据。</w:t>
      </w:r>
    </w:p>
    <w:p w14:paraId="42BF176D">
      <w:pPr>
        <w:pageBreakBefore w:val="0"/>
        <w:widowControl/>
        <w:kinsoku/>
        <w:wordWrap/>
        <w:overflowPunct/>
        <w:topLinePunct w:val="0"/>
        <w:bidi w:val="0"/>
        <w:spacing w:line="5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5.质疑函的质疑请求应与质疑事项相关。</w:t>
      </w:r>
    </w:p>
    <w:p w14:paraId="033078E3">
      <w:pPr>
        <w:pageBreakBefore w:val="0"/>
        <w:widowControl/>
        <w:kinsoku/>
        <w:wordWrap/>
        <w:overflowPunct/>
        <w:topLinePunct w:val="0"/>
        <w:bidi w:val="0"/>
        <w:spacing w:line="5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6.质疑供应商为自然人的，质疑函应由本人签字；质疑供应商为法人或者其他组织的，质疑函应由法定代表人、主要负责人，或者其授权代表签字或者盖章，并加盖公章。</w:t>
      </w:r>
    </w:p>
    <w:p w14:paraId="1C62EA27">
      <w:pPr>
        <w:pageBreakBefore w:val="0"/>
        <w:kinsoku/>
        <w:wordWrap/>
        <w:overflowPunct/>
        <w:topLinePunct w:val="0"/>
        <w:bidi w:val="0"/>
        <w:spacing w:line="500" w:lineRule="exact"/>
        <w:rPr>
          <w:rFonts w:hint="eastAsia" w:ascii="仿宋" w:hAnsi="仿宋" w:eastAsia="仿宋" w:cs="仿宋"/>
          <w:color w:val="auto"/>
          <w:sz w:val="28"/>
          <w:szCs w:val="28"/>
        </w:rPr>
      </w:pPr>
    </w:p>
    <w:p w14:paraId="34022D9D">
      <w:pPr>
        <w:pStyle w:val="101"/>
        <w:pageBreakBefore w:val="0"/>
        <w:kinsoku/>
        <w:wordWrap/>
        <w:overflowPunct/>
        <w:topLinePunct w:val="0"/>
        <w:bidi w:val="0"/>
        <w:spacing w:line="500" w:lineRule="exact"/>
        <w:rPr>
          <w:rFonts w:hint="eastAsia" w:ascii="仿宋" w:hAnsi="仿宋" w:eastAsia="仿宋" w:cs="仿宋"/>
          <w:color w:val="auto"/>
          <w:sz w:val="28"/>
          <w:szCs w:val="28"/>
        </w:rPr>
      </w:pPr>
    </w:p>
    <w:p w14:paraId="51F0B299">
      <w:pPr>
        <w:pStyle w:val="5"/>
        <w:pageBreakBefore w:val="0"/>
        <w:kinsoku/>
        <w:wordWrap/>
        <w:overflowPunct/>
        <w:topLinePunct w:val="0"/>
        <w:bidi w:val="0"/>
        <w:spacing w:before="0" w:line="500" w:lineRule="exact"/>
        <w:ind w:left="1079" w:leftChars="257" w:hanging="540"/>
        <w:outlineLvl w:val="9"/>
        <w:rPr>
          <w:rFonts w:hint="eastAsia" w:ascii="仿宋" w:hAnsi="仿宋" w:eastAsia="仿宋" w:cs="仿宋"/>
          <w:color w:val="auto"/>
          <w:sz w:val="28"/>
          <w:szCs w:val="28"/>
        </w:rPr>
      </w:pPr>
      <w:bookmarkStart w:id="465" w:name="_Toc515647799"/>
      <w:bookmarkStart w:id="466" w:name="_Toc21748"/>
      <w:bookmarkStart w:id="467" w:name="_Toc14122"/>
      <w:bookmarkStart w:id="468" w:name="_Toc16186"/>
    </w:p>
    <w:p w14:paraId="7102CD3E">
      <w:pPr>
        <w:pStyle w:val="5"/>
        <w:pageBreakBefore w:val="0"/>
        <w:kinsoku/>
        <w:wordWrap/>
        <w:overflowPunct/>
        <w:topLinePunct w:val="0"/>
        <w:bidi w:val="0"/>
        <w:spacing w:before="0" w:line="500" w:lineRule="exact"/>
        <w:ind w:left="1079" w:leftChars="257" w:hanging="540"/>
        <w:outlineLvl w:val="9"/>
        <w:rPr>
          <w:rFonts w:hint="eastAsia" w:ascii="仿宋" w:hAnsi="仿宋" w:eastAsia="仿宋" w:cs="仿宋"/>
          <w:color w:val="auto"/>
          <w:sz w:val="28"/>
          <w:szCs w:val="28"/>
        </w:rPr>
      </w:pPr>
    </w:p>
    <w:p w14:paraId="11433609">
      <w:pPr>
        <w:pStyle w:val="5"/>
        <w:pageBreakBefore w:val="0"/>
        <w:kinsoku/>
        <w:wordWrap/>
        <w:overflowPunct/>
        <w:topLinePunct w:val="0"/>
        <w:bidi w:val="0"/>
        <w:spacing w:before="0" w:line="500" w:lineRule="exact"/>
        <w:ind w:left="1079" w:leftChars="257" w:hanging="540"/>
        <w:outlineLvl w:val="9"/>
        <w:rPr>
          <w:rFonts w:hint="eastAsia" w:ascii="仿宋" w:hAnsi="仿宋" w:eastAsia="仿宋" w:cs="仿宋"/>
          <w:color w:val="auto"/>
          <w:sz w:val="28"/>
          <w:szCs w:val="28"/>
        </w:rPr>
      </w:pPr>
    </w:p>
    <w:p w14:paraId="593A31CE">
      <w:pPr>
        <w:pStyle w:val="5"/>
        <w:pageBreakBefore w:val="0"/>
        <w:kinsoku/>
        <w:wordWrap/>
        <w:overflowPunct/>
        <w:topLinePunct w:val="0"/>
        <w:bidi w:val="0"/>
        <w:spacing w:before="0" w:line="500" w:lineRule="exact"/>
        <w:ind w:left="1079" w:leftChars="257" w:hanging="540"/>
        <w:outlineLvl w:val="9"/>
        <w:rPr>
          <w:rFonts w:hint="eastAsia" w:ascii="仿宋" w:hAnsi="仿宋" w:eastAsia="仿宋" w:cs="仿宋"/>
          <w:color w:val="auto"/>
          <w:sz w:val="28"/>
          <w:szCs w:val="28"/>
        </w:rPr>
      </w:pPr>
    </w:p>
    <w:p w14:paraId="3735B584">
      <w:pPr>
        <w:rPr>
          <w:rFonts w:hint="eastAsia" w:ascii="仿宋" w:hAnsi="仿宋" w:eastAsia="仿宋" w:cs="仿宋"/>
          <w:color w:val="auto"/>
          <w:sz w:val="28"/>
          <w:szCs w:val="28"/>
        </w:rPr>
      </w:pPr>
    </w:p>
    <w:p w14:paraId="6B41DA34">
      <w:pPr>
        <w:pStyle w:val="5"/>
        <w:outlineLvl w:val="9"/>
        <w:rPr>
          <w:rFonts w:hint="eastAsia"/>
          <w:color w:val="auto"/>
        </w:rPr>
      </w:pPr>
    </w:p>
    <w:p w14:paraId="50D06891">
      <w:pPr>
        <w:pStyle w:val="5"/>
        <w:pageBreakBefore w:val="0"/>
        <w:kinsoku/>
        <w:wordWrap/>
        <w:overflowPunct/>
        <w:topLinePunct w:val="0"/>
        <w:bidi w:val="0"/>
        <w:spacing w:before="0"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附件1：履约保证金保函（格式）</w:t>
      </w:r>
      <w:bookmarkEnd w:id="465"/>
      <w:bookmarkEnd w:id="466"/>
      <w:bookmarkEnd w:id="467"/>
      <w:bookmarkEnd w:id="468"/>
    </w:p>
    <w:p w14:paraId="6F5FE10C">
      <w:pPr>
        <w:pStyle w:val="16"/>
        <w:pageBreakBefore w:val="0"/>
        <w:kinsoku/>
        <w:wordWrap/>
        <w:overflowPunct/>
        <w:topLinePunct w:val="0"/>
        <w:bidi w:val="0"/>
        <w:spacing w:line="500" w:lineRule="exact"/>
        <w:ind w:left="1079" w:leftChars="257" w:hanging="540"/>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（中标后开具）</w:t>
      </w:r>
    </w:p>
    <w:p w14:paraId="3E4BC2FF">
      <w:pPr>
        <w:pStyle w:val="16"/>
        <w:pageBreakBefore w:val="0"/>
        <w:kinsoku/>
        <w:wordWrap/>
        <w:overflowPunct/>
        <w:topLinePunct w:val="0"/>
        <w:bidi w:val="0"/>
        <w:spacing w:line="500" w:lineRule="exact"/>
        <w:ind w:left="1079" w:leftChars="257" w:hanging="540"/>
        <w:rPr>
          <w:rFonts w:hint="eastAsia" w:ascii="仿宋" w:hAnsi="仿宋" w:eastAsia="仿宋" w:cs="仿宋"/>
          <w:b/>
          <w:color w:val="auto"/>
          <w:sz w:val="28"/>
          <w:szCs w:val="28"/>
        </w:rPr>
      </w:pPr>
    </w:p>
    <w:p w14:paraId="2AE80873">
      <w:pPr>
        <w:pStyle w:val="16"/>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致: (</w:t>
      </w:r>
      <w:r>
        <w:rPr>
          <w:rFonts w:hint="eastAsia" w:ascii="仿宋" w:hAnsi="仿宋" w:eastAsia="仿宋" w:cs="仿宋"/>
          <w:i/>
          <w:color w:val="auto"/>
          <w:sz w:val="28"/>
          <w:szCs w:val="28"/>
          <w:u w:val="single"/>
        </w:rPr>
        <w:t>买方名称</w:t>
      </w:r>
      <w:r>
        <w:rPr>
          <w:rFonts w:hint="eastAsia" w:ascii="仿宋" w:hAnsi="仿宋" w:eastAsia="仿宋" w:cs="仿宋"/>
          <w:color w:val="auto"/>
          <w:sz w:val="28"/>
          <w:szCs w:val="28"/>
        </w:rPr>
        <w:t>)</w:t>
      </w:r>
    </w:p>
    <w:p w14:paraId="2D9983F5">
      <w:pPr>
        <w:pStyle w:val="16"/>
        <w:pageBreakBefore w:val="0"/>
        <w:kinsoku/>
        <w:wordWrap/>
        <w:overflowPunct/>
        <w:topLinePunct w:val="0"/>
        <w:bidi w:val="0"/>
        <w:spacing w:line="500" w:lineRule="exact"/>
        <w:ind w:left="1079" w:leftChars="257" w:hanging="540"/>
        <w:jc w:val="center"/>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号合同履约保函</w:t>
      </w:r>
    </w:p>
    <w:p w14:paraId="5FF59C3B">
      <w:pPr>
        <w:pStyle w:val="16"/>
        <w:pageBreakBefore w:val="0"/>
        <w:kinsoku/>
        <w:wordWrap/>
        <w:overflowPunct/>
        <w:topLinePunct w:val="0"/>
        <w:bidi w:val="0"/>
        <w:spacing w:line="500" w:lineRule="exact"/>
        <w:ind w:left="1079" w:leftChars="257" w:hanging="540"/>
        <w:jc w:val="center"/>
        <w:rPr>
          <w:rFonts w:hint="eastAsia" w:ascii="仿宋" w:hAnsi="仿宋" w:eastAsia="仿宋" w:cs="仿宋"/>
          <w:color w:val="auto"/>
          <w:sz w:val="28"/>
          <w:szCs w:val="28"/>
        </w:rPr>
      </w:pPr>
    </w:p>
    <w:p w14:paraId="3E47AB3E">
      <w:pPr>
        <w:pStyle w:val="16"/>
        <w:pageBreakBefore w:val="0"/>
        <w:kinsoku/>
        <w:wordWrap/>
        <w:overflowPunct/>
        <w:topLinePunct w:val="0"/>
        <w:bidi w:val="0"/>
        <w:spacing w:line="500" w:lineRule="exact"/>
        <w:ind w:firstLine="700" w:firstLineChars="250"/>
        <w:rPr>
          <w:rFonts w:hint="eastAsia" w:ascii="仿宋" w:hAnsi="仿宋" w:eastAsia="仿宋" w:cs="仿宋"/>
          <w:color w:val="auto"/>
          <w:sz w:val="28"/>
          <w:szCs w:val="28"/>
        </w:rPr>
      </w:pPr>
      <w:r>
        <w:rPr>
          <w:rFonts w:hint="eastAsia" w:ascii="仿宋" w:hAnsi="仿宋" w:eastAsia="仿宋" w:cs="仿宋"/>
          <w:color w:val="auto"/>
          <w:sz w:val="28"/>
          <w:szCs w:val="28"/>
        </w:rPr>
        <w:t>本保函作为贵方与(</w:t>
      </w:r>
      <w:r>
        <w:rPr>
          <w:rFonts w:hint="eastAsia" w:ascii="仿宋" w:hAnsi="仿宋" w:eastAsia="仿宋" w:cs="仿宋"/>
          <w:i/>
          <w:color w:val="auto"/>
          <w:sz w:val="28"/>
          <w:szCs w:val="28"/>
          <w:u w:val="single"/>
        </w:rPr>
        <w:t>卖方名称</w:t>
      </w:r>
      <w:r>
        <w:rPr>
          <w:rFonts w:hint="eastAsia" w:ascii="仿宋" w:hAnsi="仿宋" w:eastAsia="仿宋" w:cs="仿宋"/>
          <w:color w:val="auto"/>
          <w:sz w:val="28"/>
          <w:szCs w:val="28"/>
        </w:rPr>
        <w:t>)(以下简称卖方)于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日就</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项目(以下简称项目)项下提供(</w:t>
      </w:r>
      <w:r>
        <w:rPr>
          <w:rFonts w:hint="eastAsia" w:ascii="仿宋" w:hAnsi="仿宋" w:eastAsia="仿宋" w:cs="仿宋"/>
          <w:i/>
          <w:color w:val="auto"/>
          <w:sz w:val="28"/>
          <w:szCs w:val="28"/>
          <w:u w:val="single"/>
        </w:rPr>
        <w:t>货物名称</w:t>
      </w:r>
      <w:r>
        <w:rPr>
          <w:rFonts w:hint="eastAsia" w:ascii="仿宋" w:hAnsi="仿宋" w:eastAsia="仿宋" w:cs="仿宋"/>
          <w:color w:val="auto"/>
          <w:sz w:val="28"/>
          <w:szCs w:val="28"/>
        </w:rPr>
        <w:t>)(以下简称货物)签订的(</w:t>
      </w:r>
      <w:r>
        <w:rPr>
          <w:rFonts w:hint="eastAsia" w:ascii="仿宋" w:hAnsi="仿宋" w:eastAsia="仿宋" w:cs="仿宋"/>
          <w:i/>
          <w:color w:val="auto"/>
          <w:sz w:val="28"/>
          <w:szCs w:val="28"/>
          <w:u w:val="single"/>
        </w:rPr>
        <w:t>合同号</w:t>
      </w:r>
      <w:r>
        <w:rPr>
          <w:rFonts w:hint="eastAsia" w:ascii="仿宋" w:hAnsi="仿宋" w:eastAsia="仿宋" w:cs="仿宋"/>
          <w:color w:val="auto"/>
          <w:sz w:val="28"/>
          <w:szCs w:val="28"/>
        </w:rPr>
        <w:t>)号合同的履约保函。</w:t>
      </w:r>
    </w:p>
    <w:p w14:paraId="24FF7AA9">
      <w:pPr>
        <w:pStyle w:val="16"/>
        <w:pageBreakBefore w:val="0"/>
        <w:kinsoku/>
        <w:wordWrap/>
        <w:overflowPunct/>
        <w:topLinePunct w:val="0"/>
        <w:bidi w:val="0"/>
        <w:spacing w:line="500" w:lineRule="exact"/>
        <w:ind w:firstLine="630" w:firstLineChars="225"/>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i/>
          <w:color w:val="auto"/>
          <w:sz w:val="28"/>
          <w:szCs w:val="28"/>
          <w:u w:val="single"/>
        </w:rPr>
        <w:t>出具保函的银行名称</w:t>
      </w:r>
      <w:r>
        <w:rPr>
          <w:rFonts w:hint="eastAsia" w:ascii="仿宋" w:hAnsi="仿宋" w:eastAsia="仿宋" w:cs="仿宋"/>
          <w:color w:val="auto"/>
          <w:sz w:val="28"/>
          <w:szCs w:val="28"/>
        </w:rPr>
        <w:t>)(以下简称银行)无条件地、不可撤销地具结保证本行、其继承人和受让人无追索地向贵方以(</w:t>
      </w:r>
      <w:r>
        <w:rPr>
          <w:rFonts w:hint="eastAsia" w:ascii="仿宋" w:hAnsi="仿宋" w:eastAsia="仿宋" w:cs="仿宋"/>
          <w:i/>
          <w:color w:val="auto"/>
          <w:sz w:val="28"/>
          <w:szCs w:val="28"/>
          <w:u w:val="single"/>
        </w:rPr>
        <w:t>货币名称</w:t>
      </w:r>
      <w:r>
        <w:rPr>
          <w:rFonts w:hint="eastAsia" w:ascii="仿宋" w:hAnsi="仿宋" w:eastAsia="仿宋" w:cs="仿宋"/>
          <w:color w:val="auto"/>
          <w:sz w:val="28"/>
          <w:szCs w:val="28"/>
        </w:rPr>
        <w:t>)支付总额不超过(</w:t>
      </w:r>
      <w:r>
        <w:rPr>
          <w:rFonts w:hint="eastAsia" w:ascii="仿宋" w:hAnsi="仿宋" w:eastAsia="仿宋" w:cs="仿宋"/>
          <w:i/>
          <w:color w:val="auto"/>
          <w:sz w:val="28"/>
          <w:szCs w:val="28"/>
          <w:u w:val="single"/>
        </w:rPr>
        <w:t>货币数量</w:t>
      </w:r>
      <w:r>
        <w:rPr>
          <w:rFonts w:hint="eastAsia" w:ascii="仿宋" w:hAnsi="仿宋" w:eastAsia="仿宋" w:cs="仿宋"/>
          <w:color w:val="auto"/>
          <w:sz w:val="28"/>
          <w:szCs w:val="28"/>
        </w:rPr>
        <w:t>),即相当于合同价格的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%,并以此约定如下:</w:t>
      </w:r>
    </w:p>
    <w:p w14:paraId="314192FD">
      <w:pPr>
        <w:pStyle w:val="16"/>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1902FCB6">
      <w:pPr>
        <w:pStyle w:val="16"/>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2.本保函项下的任何支付应为免税和净值。对于现有或将来的税收、关税、收费、费用扣减或预提税款，不论这些款项是何种性质和由谁征收，都不应从本保函项下的支付中扣除。</w:t>
      </w:r>
    </w:p>
    <w:p w14:paraId="54E0D977">
      <w:pPr>
        <w:pStyle w:val="16"/>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0C00AF48">
      <w:pPr>
        <w:pStyle w:val="16"/>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4.本保函在本合同规定的保证期期满前完全有效。</w:t>
      </w:r>
    </w:p>
    <w:p w14:paraId="683F968A">
      <w:pPr>
        <w:pStyle w:val="16"/>
        <w:pageBreakBefore w:val="0"/>
        <w:kinsoku/>
        <w:wordWrap/>
        <w:overflowPunct/>
        <w:topLinePunct w:val="0"/>
        <w:bidi w:val="0"/>
        <w:spacing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谨启</w:t>
      </w:r>
    </w:p>
    <w:p w14:paraId="5C19D29D">
      <w:pPr>
        <w:pStyle w:val="16"/>
        <w:pageBreakBefore w:val="0"/>
        <w:kinsoku/>
        <w:wordWrap/>
        <w:overflowPunct/>
        <w:topLinePunct w:val="0"/>
        <w:bidi w:val="0"/>
        <w:spacing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出具保函银行名称：</w:t>
      </w:r>
      <w:r>
        <w:rPr>
          <w:rFonts w:hint="eastAsia" w:ascii="仿宋" w:hAnsi="仿宋" w:eastAsia="仿宋" w:cs="仿宋"/>
          <w:color w:val="auto"/>
          <w:sz w:val="28"/>
          <w:szCs w:val="28"/>
          <w:u w:val="single"/>
        </w:rPr>
        <w:t xml:space="preserve">                             </w:t>
      </w:r>
    </w:p>
    <w:p w14:paraId="162C5ABD">
      <w:pPr>
        <w:pStyle w:val="16"/>
        <w:pageBreakBefore w:val="0"/>
        <w:kinsoku/>
        <w:wordWrap/>
        <w:overflowPunct/>
        <w:topLinePunct w:val="0"/>
        <w:bidi w:val="0"/>
        <w:spacing w:line="500" w:lineRule="exact"/>
        <w:ind w:left="1079" w:leftChars="257" w:hanging="540"/>
        <w:rPr>
          <w:rFonts w:hint="eastAsia" w:ascii="仿宋" w:hAnsi="仿宋" w:eastAsia="仿宋" w:cs="仿宋"/>
          <w:color w:val="auto"/>
          <w:sz w:val="28"/>
          <w:szCs w:val="28"/>
          <w:u w:val="single"/>
        </w:rPr>
      </w:pPr>
      <w:r>
        <w:rPr>
          <w:rFonts w:hint="eastAsia" w:ascii="仿宋" w:hAnsi="仿宋" w:eastAsia="仿宋" w:cs="仿宋"/>
          <w:color w:val="auto"/>
          <w:sz w:val="28"/>
          <w:szCs w:val="28"/>
        </w:rPr>
        <w:t>签字人姓名和职务：</w:t>
      </w:r>
      <w:r>
        <w:rPr>
          <w:rFonts w:hint="eastAsia" w:ascii="仿宋" w:hAnsi="仿宋" w:eastAsia="仿宋" w:cs="仿宋"/>
          <w:color w:val="auto"/>
          <w:sz w:val="28"/>
          <w:szCs w:val="28"/>
          <w:u w:val="single"/>
        </w:rPr>
        <w:t xml:space="preserve">                             </w:t>
      </w:r>
    </w:p>
    <w:p w14:paraId="6AD60D6E">
      <w:pPr>
        <w:pStyle w:val="16"/>
        <w:pageBreakBefore w:val="0"/>
        <w:kinsoku/>
        <w:wordWrap/>
        <w:overflowPunct/>
        <w:topLinePunct w:val="0"/>
        <w:bidi w:val="0"/>
        <w:spacing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签字人签名：</w:t>
      </w:r>
      <w:r>
        <w:rPr>
          <w:rFonts w:hint="eastAsia" w:ascii="仿宋" w:hAnsi="仿宋" w:eastAsia="仿宋" w:cs="仿宋"/>
          <w:color w:val="auto"/>
          <w:sz w:val="28"/>
          <w:szCs w:val="28"/>
          <w:u w:val="single"/>
        </w:rPr>
        <w:t xml:space="preserve">                                   </w:t>
      </w:r>
    </w:p>
    <w:p w14:paraId="42957FF8">
      <w:pPr>
        <w:pStyle w:val="16"/>
        <w:pageBreakBefore w:val="0"/>
        <w:kinsoku/>
        <w:wordWrap/>
        <w:overflowPunct/>
        <w:topLinePunct w:val="0"/>
        <w:bidi w:val="0"/>
        <w:spacing w:line="500" w:lineRule="exact"/>
        <w:ind w:left="1079" w:leftChars="257" w:hanging="540"/>
        <w:rPr>
          <w:rFonts w:hint="eastAsia" w:ascii="仿宋" w:hAnsi="仿宋" w:eastAsia="仿宋" w:cs="仿宋"/>
          <w:color w:val="auto"/>
          <w:sz w:val="28"/>
          <w:szCs w:val="28"/>
          <w:u w:val="single"/>
        </w:rPr>
      </w:pPr>
      <w:r>
        <w:rPr>
          <w:rFonts w:hint="eastAsia" w:ascii="仿宋" w:hAnsi="仿宋" w:eastAsia="仿宋" w:cs="仿宋"/>
          <w:color w:val="auto"/>
          <w:sz w:val="28"/>
          <w:szCs w:val="28"/>
        </w:rPr>
        <w:t>公章：</w:t>
      </w:r>
      <w:r>
        <w:rPr>
          <w:rFonts w:hint="eastAsia" w:ascii="仿宋" w:hAnsi="仿宋" w:eastAsia="仿宋" w:cs="仿宋"/>
          <w:color w:val="auto"/>
          <w:sz w:val="28"/>
          <w:szCs w:val="28"/>
          <w:u w:val="single"/>
        </w:rPr>
        <w:t xml:space="preserve">                                         </w:t>
      </w:r>
    </w:p>
    <w:p w14:paraId="0FAA6F98">
      <w:pPr>
        <w:pStyle w:val="5"/>
        <w:pageBreakBefore w:val="0"/>
        <w:kinsoku/>
        <w:wordWrap/>
        <w:overflowPunct/>
        <w:topLinePunct w:val="0"/>
        <w:bidi w:val="0"/>
        <w:spacing w:before="0"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rPr>
        <w:br w:type="page"/>
      </w:r>
      <w:bookmarkStart w:id="469" w:name="_Toc28451"/>
      <w:bookmarkStart w:id="470" w:name="_Toc10951"/>
      <w:bookmarkStart w:id="471" w:name="_Toc6548"/>
      <w:bookmarkStart w:id="472" w:name="_Toc515647800"/>
      <w:r>
        <w:rPr>
          <w:rFonts w:hint="eastAsia" w:ascii="仿宋" w:hAnsi="仿宋" w:eastAsia="仿宋" w:cs="仿宋"/>
          <w:color w:val="auto"/>
          <w:sz w:val="28"/>
          <w:szCs w:val="28"/>
          <w:highlight w:val="none"/>
        </w:rPr>
        <w:t>附件2：履约担保函格式</w:t>
      </w:r>
      <w:bookmarkEnd w:id="469"/>
      <w:bookmarkEnd w:id="470"/>
      <w:bookmarkEnd w:id="471"/>
      <w:bookmarkEnd w:id="472"/>
    </w:p>
    <w:p w14:paraId="11538938">
      <w:pPr>
        <w:pageBreakBefore w:val="0"/>
        <w:kinsoku/>
        <w:wordWrap/>
        <w:overflowPunct/>
        <w:topLinePunct w:val="0"/>
        <w:bidi w:val="0"/>
        <w:spacing w:line="500" w:lineRule="exact"/>
        <w:jc w:val="both"/>
        <w:rPr>
          <w:rFonts w:hint="eastAsia" w:ascii="仿宋" w:hAnsi="仿宋" w:eastAsia="仿宋" w:cs="仿宋"/>
          <w:b/>
          <w:color w:val="auto"/>
          <w:sz w:val="28"/>
          <w:szCs w:val="28"/>
          <w:highlight w:val="none"/>
        </w:rPr>
      </w:pPr>
      <w:bookmarkStart w:id="473" w:name="_Toc13962"/>
      <w:bookmarkStart w:id="474" w:name="_Toc162"/>
      <w:bookmarkStart w:id="475" w:name="_Toc515647801"/>
      <w:r>
        <w:rPr>
          <w:rFonts w:hint="eastAsia" w:ascii="仿宋" w:hAnsi="仿宋" w:eastAsia="仿宋" w:cs="仿宋"/>
          <w:color w:val="auto"/>
          <w:sz w:val="28"/>
          <w:szCs w:val="28"/>
          <w:highlight w:val="none"/>
        </w:rPr>
        <w:t>（采用政府采购信用担保形式时使用）</w:t>
      </w:r>
      <w:bookmarkEnd w:id="473"/>
      <w:bookmarkEnd w:id="474"/>
      <w:bookmarkEnd w:id="475"/>
    </w:p>
    <w:p w14:paraId="7E01087C">
      <w:pPr>
        <w:pageBreakBefore w:val="0"/>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政府采购履约担保函</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编号：</w:t>
      </w:r>
    </w:p>
    <w:p w14:paraId="5093D303">
      <w:pPr>
        <w:pageBreakBefore w:val="0"/>
        <w:kinsoku/>
        <w:wordWrap/>
        <w:overflowPunct/>
        <w:topLinePunct w:val="0"/>
        <w:bidi w:val="0"/>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w:t>
      </w:r>
    </w:p>
    <w:p w14:paraId="07451EFC">
      <w:pPr>
        <w:pageBreakBefore w:val="0"/>
        <w:kinsoku/>
        <w:wordWrap/>
        <w:overflowPunct/>
        <w:topLinePunct w:val="0"/>
        <w:bidi w:val="0"/>
        <w:spacing w:line="500" w:lineRule="exact"/>
        <w:rPr>
          <w:rFonts w:hint="eastAsia" w:ascii="仿宋" w:hAnsi="仿宋" w:eastAsia="仿宋" w:cs="仿宋"/>
          <w:color w:val="auto"/>
          <w:sz w:val="28"/>
          <w:szCs w:val="28"/>
          <w:highlight w:val="none"/>
        </w:rPr>
      </w:pPr>
    </w:p>
    <w:p w14:paraId="3A34C382">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鉴于你方与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（以下简称供应商）于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日签定编号为   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政府采购合同》（以下简称主合同），且依据该合同的约定，供应商应在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p>
    <w:p w14:paraId="1D5153F1">
      <w:pPr>
        <w:pageBreakBefore w:val="0"/>
        <w:kinsoku/>
        <w:wordWrap/>
        <w:overflowPunct/>
        <w:topLinePunct w:val="0"/>
        <w:bidi w:val="0"/>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日前向你方交纳履约保证金，且可以履约担保函的形式交纳履约保证金。应供应商的申请，我方以保证的方式向你方提供如下履约保证金担保：</w:t>
      </w:r>
    </w:p>
    <w:p w14:paraId="1F8618E6">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一、保证责任的情形及保证金额</w:t>
      </w:r>
    </w:p>
    <w:p w14:paraId="43A93E35">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（一）在供应商出现下列情形之一时，我方承担保证责任：</w:t>
      </w:r>
    </w:p>
    <w:p w14:paraId="71291EC5">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1．将中标项目转让给他人，或者在投标文件中未说明，且未经采购招标机构人同意，将中标项目分包给他人的；</w:t>
      </w:r>
    </w:p>
    <w:p w14:paraId="2A803D8D">
      <w:pPr>
        <w:pageBreakBefore w:val="0"/>
        <w:kinsoku/>
        <w:wordWrap/>
        <w:overflowPunct/>
        <w:topLinePunct w:val="0"/>
        <w:bidi w:val="0"/>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2．主合同约定的应当缴纳履约保证金的情形: </w:t>
      </w:r>
    </w:p>
    <w:p w14:paraId="7C6F72EA">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（1）未按主合同约定的质量、数量和期限供应货物/提供服务/完成工程的；</w:t>
      </w:r>
    </w:p>
    <w:p w14:paraId="5C3FA2E3">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p>
    <w:p w14:paraId="33C5B168">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（二）我方的保证范围是主合同约定的合同价款总额的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%数额为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），币种为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。（即主合同履约保证金金额）</w:t>
      </w:r>
    </w:p>
    <w:p w14:paraId="2137C6D0">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二、保证的方式及保证期间</w:t>
      </w:r>
    </w:p>
    <w:p w14:paraId="64544518">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2949AA39">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我方保证的期间为：自本合同生效之日起至供应商按照主合同约定的供货/完工期限届满后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日内。</w:t>
      </w:r>
    </w:p>
    <w:p w14:paraId="7A3DE836">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如果供应商未按主合同约定向贵方供应货物/提供服务/完成工程的，由我方在保证金额内向你方支付上述款项。</w:t>
      </w:r>
    </w:p>
    <w:p w14:paraId="473C9F68">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三、承担保证责任的程序</w:t>
      </w:r>
    </w:p>
    <w:p w14:paraId="65A219AC">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1．你方要求我方承担保证责任的，应在本保函保证期间内向我方发出书面索赔通知。索赔通知应写明要求索赔的金额，支付款项应到达的账号。并附有证明供应商违约事实的证明材料。</w:t>
      </w:r>
    </w:p>
    <w:p w14:paraId="5953D455">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如果你方与供应商因货物质量问题产生争议，你方还需同时提供</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部门出具的质量检测报告，或经诉讼（仲裁）程序裁决后的裁决书、调解书，本保证人即按照检测结果或裁决书、调解书决定是否承担保证责任。</w:t>
      </w:r>
    </w:p>
    <w:p w14:paraId="6388F4D6">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我方收到你方的书面索赔通知及相应证明材料，在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工作日内进行核定后按照本保函的承诺承担保证责任。</w:t>
      </w:r>
    </w:p>
    <w:p w14:paraId="5A6668C0">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四、保证责任的终止</w:t>
      </w:r>
    </w:p>
    <w:p w14:paraId="5E609E14">
      <w:pPr>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5C2ED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2．我方按照本保函向你方履行了保证责任后，自我方向你方支付款项（支付款项从我方账户划出）之日起，保证责任即终止。</w:t>
      </w:r>
    </w:p>
    <w:p w14:paraId="573FCE2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3．按照法律法规的规定或出现应终止我方保证责任的其他情形的，我方在本保函项下的保证责任亦终止。</w:t>
      </w:r>
    </w:p>
    <w:p w14:paraId="1997998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AA585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五、免责条款</w:t>
      </w:r>
    </w:p>
    <w:p w14:paraId="129A44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1．因你方违反主合同约定致使供应商不能履行义务的，我方不承担保证责任。</w:t>
      </w:r>
    </w:p>
    <w:p w14:paraId="277B9C6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2．依照法律法规的规定或你方与供应商的另行约定，全部或者部分免除供应商应缴纳的保证金义务的，我方亦免除相应的保证责任。</w:t>
      </w:r>
    </w:p>
    <w:p w14:paraId="1BF47A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3．因不可抗力造成供应商不能履行供货义务的，我方不承担保证责任。</w:t>
      </w:r>
    </w:p>
    <w:p w14:paraId="090B3F2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六、争议的解决</w:t>
      </w:r>
    </w:p>
    <w:p w14:paraId="527C11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7DA338C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七、保函的生效</w:t>
      </w:r>
    </w:p>
    <w:p w14:paraId="0A541B0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14:paraId="1B371A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rPr>
      </w:pPr>
    </w:p>
    <w:p w14:paraId="7045DD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4AAE56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2C86E3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3178B9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3D8A5839">
      <w:pPr>
        <w:pStyle w:val="9"/>
        <w:spacing w:line="240" w:lineRule="atLeast"/>
        <w:ind w:firstLine="0"/>
        <w:rPr>
          <w:rFonts w:hint="eastAsia" w:ascii="仿宋" w:hAnsi="仿宋" w:eastAsia="仿宋" w:cs="仿宋"/>
          <w:color w:val="auto"/>
          <w:kern w:val="2"/>
          <w:sz w:val="28"/>
          <w:szCs w:val="28"/>
          <w:highlight w:val="none"/>
        </w:rPr>
      </w:pPr>
      <w:r>
        <w:rPr>
          <w:rFonts w:hint="eastAsia" w:ascii="仿宋" w:hAnsi="仿宋" w:eastAsia="仿宋" w:cs="仿宋"/>
          <w:b/>
          <w:color w:val="auto"/>
          <w:sz w:val="28"/>
          <w:szCs w:val="28"/>
          <w:highlight w:val="none"/>
        </w:rPr>
        <w:br w:type="page"/>
      </w:r>
    </w:p>
    <w:p w14:paraId="6D0387F7">
      <w:pPr>
        <w:pStyle w:val="4"/>
        <w:numPr>
          <w:ilvl w:val="0"/>
          <w:numId w:val="0"/>
        </w:numPr>
        <w:spacing w:before="0" w:after="0" w:line="240" w:lineRule="atLeast"/>
        <w:ind w:leftChars="0"/>
        <w:jc w:val="center"/>
        <w:rPr>
          <w:rFonts w:hint="eastAsia" w:ascii="仿宋" w:hAnsi="仿宋" w:eastAsia="仿宋" w:cs="仿宋"/>
          <w:color w:val="auto"/>
        </w:rPr>
      </w:pPr>
      <w:bookmarkStart w:id="476" w:name="_Toc216582812"/>
      <w:bookmarkStart w:id="477" w:name="_Toc28406"/>
      <w:bookmarkStart w:id="478" w:name="_Toc32064"/>
      <w:bookmarkStart w:id="479" w:name="_Toc728"/>
      <w:bookmarkStart w:id="480" w:name="_Toc515647802"/>
      <w:bookmarkStart w:id="481" w:name="_Toc702"/>
      <w:r>
        <w:rPr>
          <w:rFonts w:hint="eastAsia" w:ascii="仿宋" w:hAnsi="仿宋" w:eastAsia="仿宋" w:cs="仿宋"/>
          <w:color w:val="auto"/>
          <w:lang w:val="en-US" w:eastAsia="zh-CN"/>
        </w:rPr>
        <w:t xml:space="preserve">第二章 </w:t>
      </w:r>
      <w:r>
        <w:rPr>
          <w:rFonts w:hint="eastAsia" w:ascii="仿宋" w:hAnsi="仿宋" w:eastAsia="仿宋" w:cs="仿宋"/>
          <w:color w:val="auto"/>
        </w:rPr>
        <w:t>标文件格式</w:t>
      </w:r>
      <w:bookmarkEnd w:id="476"/>
      <w:bookmarkEnd w:id="477"/>
      <w:bookmarkEnd w:id="478"/>
      <w:bookmarkEnd w:id="479"/>
      <w:bookmarkEnd w:id="480"/>
      <w:bookmarkEnd w:id="481"/>
    </w:p>
    <w:p w14:paraId="5EBFF202">
      <w:pPr>
        <w:spacing w:line="240" w:lineRule="atLeast"/>
        <w:ind w:left="735" w:leftChars="350" w:firstLine="120" w:firstLineChars="50"/>
        <w:rPr>
          <w:rFonts w:hint="eastAsia" w:ascii="仿宋" w:hAnsi="仿宋" w:eastAsia="仿宋" w:cs="仿宋"/>
          <w:color w:val="auto"/>
          <w:sz w:val="24"/>
        </w:rPr>
      </w:pPr>
    </w:p>
    <w:p w14:paraId="65CD1161">
      <w:pPr>
        <w:pStyle w:val="5"/>
        <w:keepNext w:val="0"/>
        <w:keepLines w:val="0"/>
        <w:pageBreakBefore w:val="0"/>
        <w:kinsoku/>
        <w:wordWrap/>
        <w:overflowPunct/>
        <w:topLinePunct w:val="0"/>
        <w:autoSpaceDE/>
        <w:autoSpaceDN/>
        <w:bidi w:val="0"/>
        <w:adjustRightInd/>
        <w:spacing w:before="0" w:line="400" w:lineRule="exact"/>
        <w:rPr>
          <w:rFonts w:hint="eastAsia" w:ascii="仿宋" w:hAnsi="仿宋" w:eastAsia="仿宋" w:cs="仿宋"/>
          <w:b/>
          <w:bCs/>
          <w:color w:val="auto"/>
          <w:sz w:val="28"/>
          <w:szCs w:val="28"/>
          <w:highlight w:val="none"/>
        </w:rPr>
      </w:pPr>
      <w:bookmarkStart w:id="482" w:name="_Toc30069"/>
      <w:bookmarkStart w:id="483" w:name="_Toc18694"/>
      <w:bookmarkStart w:id="484" w:name="_Toc18974"/>
      <w:bookmarkStart w:id="485" w:name="_Toc515647803"/>
      <w:r>
        <w:rPr>
          <w:rFonts w:hint="eastAsia" w:ascii="仿宋" w:hAnsi="仿宋" w:eastAsia="仿宋" w:cs="仿宋"/>
          <w:b/>
          <w:bCs/>
          <w:color w:val="auto"/>
          <w:sz w:val="28"/>
          <w:szCs w:val="28"/>
          <w:highlight w:val="none"/>
        </w:rPr>
        <w:t>第一部分 开标一览表及资格证明文件</w:t>
      </w:r>
      <w:bookmarkEnd w:id="482"/>
      <w:bookmarkEnd w:id="483"/>
      <w:bookmarkEnd w:id="484"/>
      <w:bookmarkEnd w:id="485"/>
    </w:p>
    <w:p w14:paraId="7636254E">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1、开标一览表；</w:t>
      </w:r>
    </w:p>
    <w:p w14:paraId="1937A2D6">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2、有效的企业营业执照、《银行开户许可证》或《基本存款账户信息》。</w:t>
      </w:r>
    </w:p>
    <w:p w14:paraId="0CFE4FCC">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default"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3.按项目标项特定资格要求附资格或资质文件。</w:t>
      </w:r>
    </w:p>
    <w:p w14:paraId="0443DC4B">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4.法人本人投标需提供法人身份证及法定代表人资格证明书；授权委托人投标需提供法人授权委托书、法人身份证复印件及被授权委托人身份证；</w:t>
      </w:r>
    </w:p>
    <w:p w14:paraId="3C58CF2A">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5.具有健全的财务会计制度和提供2023或2024年度财务审计报告；（2024年成立的公司可提供公司成立至今的银行资信证明）；</w:t>
      </w:r>
    </w:p>
    <w:p w14:paraId="514779DE">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6.提供本单位缴纳的近三个月（连续三个月）的社保缴纳证明（公司缴费证明和社保缴费个人明细单）、具有税务局开具依法缴纳近三个月（连续三个月）的完税证明；</w:t>
      </w:r>
    </w:p>
    <w:p w14:paraId="0FA6270E">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将拒绝其参加本次招标活动；</w:t>
      </w:r>
    </w:p>
    <w:p w14:paraId="48D73EFF">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8.提供针对本次项目《反商业贿赂承诺书》；</w:t>
      </w:r>
    </w:p>
    <w:p w14:paraId="6DDAFDBD">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9.参加政府采购活动前三年内在经营活动中没有重大违法记录的书面声明</w:t>
      </w:r>
    </w:p>
    <w:p w14:paraId="70057006">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10.投标人可提供有利于投标的其他资格证明材料。</w:t>
      </w:r>
    </w:p>
    <w:p w14:paraId="7B82D5D2">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11.投标保证金缴纳的有效证明（打款凭证或保函）；</w:t>
      </w:r>
    </w:p>
    <w:p w14:paraId="4C60DD45">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12、提供《中小企业声明函》。</w:t>
      </w:r>
    </w:p>
    <w:p w14:paraId="23597F02">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13、投标人须知资料表要求的其他资格证明文件。</w:t>
      </w:r>
    </w:p>
    <w:p w14:paraId="005F11DB">
      <w:pPr>
        <w:pStyle w:val="5"/>
        <w:keepNext w:val="0"/>
        <w:keepLines w:val="0"/>
        <w:pageBreakBefore w:val="0"/>
        <w:kinsoku/>
        <w:wordWrap/>
        <w:overflowPunct/>
        <w:topLinePunct w:val="0"/>
        <w:bidi w:val="0"/>
        <w:spacing w:before="0" w:line="500" w:lineRule="exact"/>
        <w:ind w:left="1079" w:leftChars="257" w:hanging="540"/>
        <w:outlineLvl w:val="9"/>
        <w:rPr>
          <w:rFonts w:hint="eastAsia" w:ascii="仿宋" w:hAnsi="仿宋" w:eastAsia="仿宋" w:cs="仿宋"/>
          <w:color w:val="auto"/>
          <w:sz w:val="28"/>
          <w:szCs w:val="28"/>
        </w:rPr>
      </w:pPr>
      <w:bookmarkStart w:id="486" w:name="_Toc2408"/>
      <w:bookmarkStart w:id="487" w:name="_Toc30524"/>
      <w:bookmarkStart w:id="488" w:name="_Toc6275"/>
      <w:bookmarkStart w:id="489" w:name="_Toc515647804"/>
      <w:bookmarkStart w:id="490" w:name="_Toc16568"/>
    </w:p>
    <w:p w14:paraId="6A682EAE">
      <w:pPr>
        <w:rPr>
          <w:rFonts w:hint="eastAsia" w:ascii="仿宋" w:hAnsi="仿宋" w:eastAsia="仿宋" w:cs="仿宋"/>
          <w:color w:val="auto"/>
          <w:sz w:val="28"/>
          <w:szCs w:val="28"/>
        </w:rPr>
      </w:pPr>
    </w:p>
    <w:p w14:paraId="5D6DCCF3">
      <w:pPr>
        <w:pStyle w:val="5"/>
        <w:keepNext w:val="0"/>
        <w:keepLines w:val="0"/>
        <w:pageBreakBefore w:val="0"/>
        <w:kinsoku/>
        <w:wordWrap/>
        <w:overflowPunct/>
        <w:topLinePunct w:val="0"/>
        <w:bidi w:val="0"/>
        <w:spacing w:before="0" w:line="50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开标一览表</w:t>
      </w:r>
      <w:bookmarkEnd w:id="486"/>
      <w:bookmarkEnd w:id="487"/>
      <w:bookmarkEnd w:id="488"/>
      <w:bookmarkEnd w:id="489"/>
      <w:bookmarkEnd w:id="490"/>
    </w:p>
    <w:p w14:paraId="2EEC2088">
      <w:pPr>
        <w:pStyle w:val="16"/>
        <w:keepNext w:val="0"/>
        <w:keepLines w:val="0"/>
        <w:pageBreakBefore w:val="0"/>
        <w:tabs>
          <w:tab w:val="left" w:pos="5580"/>
        </w:tabs>
        <w:kinsoku/>
        <w:wordWrap/>
        <w:overflowPunct/>
        <w:topLinePunct w:val="0"/>
        <w:bidi w:val="0"/>
        <w:spacing w:line="500" w:lineRule="exact"/>
        <w:ind w:left="268" w:leftChars="128"/>
        <w:rPr>
          <w:rFonts w:hint="eastAsia" w:ascii="仿宋" w:hAnsi="仿宋" w:eastAsia="仿宋" w:cs="仿宋"/>
          <w:color w:val="auto"/>
          <w:sz w:val="28"/>
          <w:szCs w:val="28"/>
          <w:highlight w:val="none"/>
        </w:rPr>
      </w:pPr>
    </w:p>
    <w:p w14:paraId="7F7EB635">
      <w:pPr>
        <w:pStyle w:val="9"/>
        <w:keepNext w:val="0"/>
        <w:keepLines w:val="0"/>
        <w:pageBreakBefore w:val="0"/>
        <w:tabs>
          <w:tab w:val="left" w:pos="5580"/>
        </w:tabs>
        <w:kinsoku/>
        <w:wordWrap/>
        <w:overflowPunct/>
        <w:topLinePunct w:val="0"/>
        <w:bidi w:val="0"/>
        <w:spacing w:line="500" w:lineRule="exact"/>
        <w:ind w:left="0" w:leftChars="0" w:firstLine="0" w:firstLineChars="0"/>
        <w:jc w:val="center"/>
        <w:rPr>
          <w:rFonts w:hint="eastAsia" w:ascii="仿宋" w:hAnsi="仿宋" w:eastAsia="仿宋" w:cs="仿宋"/>
          <w:b/>
          <w:color w:val="auto"/>
          <w:sz w:val="28"/>
          <w:szCs w:val="28"/>
          <w:highlight w:val="none"/>
        </w:rPr>
      </w:pPr>
      <w:bookmarkStart w:id="491" w:name="_Hlt520356241"/>
      <w:bookmarkEnd w:id="491"/>
      <w:bookmarkStart w:id="492" w:name="_Toc494296984"/>
      <w:bookmarkStart w:id="493" w:name="_Toc480942349"/>
      <w:bookmarkStart w:id="494" w:name="_Ref467988698"/>
      <w:bookmarkStart w:id="495" w:name="_Toc520356217"/>
      <w:bookmarkStart w:id="496" w:name="_Toc216582813"/>
      <w:r>
        <w:rPr>
          <w:rFonts w:hint="eastAsia" w:ascii="仿宋" w:hAnsi="仿宋" w:eastAsia="仿宋" w:cs="仿宋"/>
          <w:b/>
          <w:color w:val="auto"/>
          <w:sz w:val="28"/>
          <w:szCs w:val="28"/>
          <w:highlight w:val="none"/>
        </w:rPr>
        <w:t>开标一览表</w:t>
      </w:r>
      <w:bookmarkEnd w:id="492"/>
      <w:r>
        <w:rPr>
          <w:rFonts w:hint="eastAsia" w:ascii="仿宋" w:hAnsi="仿宋" w:eastAsia="仿宋" w:cs="仿宋"/>
          <w:b/>
          <w:color w:val="auto"/>
          <w:sz w:val="28"/>
          <w:szCs w:val="28"/>
          <w:highlight w:val="none"/>
        </w:rPr>
        <w:cr/>
      </w:r>
    </w:p>
    <w:p w14:paraId="49751D2E">
      <w:pPr>
        <w:keepNext w:val="0"/>
        <w:keepLines w:val="0"/>
        <w:pageBreakBefore w:val="0"/>
        <w:tabs>
          <w:tab w:val="left" w:pos="1800"/>
          <w:tab w:val="left" w:pos="5580"/>
        </w:tabs>
        <w:kinsoku/>
        <w:wordWrap/>
        <w:overflowPunct/>
        <w:topLinePunct w:val="0"/>
        <w:bidi w:val="0"/>
        <w:spacing w:line="500" w:lineRule="exact"/>
        <w:ind w:right="-867" w:rightChars="-41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w:t>
      </w:r>
      <w:r>
        <w:rPr>
          <w:rFonts w:hint="eastAsia" w:ascii="仿宋" w:hAnsi="仿宋" w:eastAsia="仿宋" w:cs="仿宋"/>
          <w:color w:val="auto"/>
          <w:sz w:val="28"/>
          <w:szCs w:val="28"/>
          <w:highlight w:val="none"/>
          <w:lang w:val="en-US" w:eastAsia="zh-CN"/>
        </w:rPr>
        <w:t>标项号：</w:t>
      </w:r>
      <w:r>
        <w:rPr>
          <w:rFonts w:hint="eastAsia" w:ascii="仿宋" w:hAnsi="仿宋" w:eastAsia="仿宋" w:cs="仿宋"/>
          <w:color w:val="auto"/>
          <w:sz w:val="28"/>
          <w:szCs w:val="28"/>
          <w:highlight w:val="none"/>
        </w:rPr>
        <w:t xml:space="preserve">        </w:t>
      </w:r>
    </w:p>
    <w:p w14:paraId="5A262EEC">
      <w:pPr>
        <w:keepNext w:val="0"/>
        <w:keepLines w:val="0"/>
        <w:pageBreakBefore w:val="0"/>
        <w:tabs>
          <w:tab w:val="left" w:pos="1800"/>
          <w:tab w:val="left" w:pos="5580"/>
        </w:tabs>
        <w:kinsoku/>
        <w:wordWrap/>
        <w:overflowPunct/>
        <w:topLinePunct w:val="0"/>
        <w:bidi w:val="0"/>
        <w:spacing w:line="500" w:lineRule="exact"/>
        <w:ind w:right="-867" w:rightChars="-41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项目编号</w:t>
      </w:r>
      <w:r>
        <w:rPr>
          <w:rFonts w:hint="eastAsia" w:ascii="仿宋" w:hAnsi="仿宋" w:eastAsia="仿宋" w:cs="仿宋"/>
          <w:color w:val="auto"/>
          <w:sz w:val="28"/>
          <w:szCs w:val="28"/>
          <w:highlight w:val="none"/>
        </w:rPr>
        <w:t>：       报价单位：人民币</w:t>
      </w:r>
      <w:r>
        <w:rPr>
          <w:rFonts w:hint="eastAsia" w:ascii="仿宋" w:hAnsi="仿宋" w:eastAsia="仿宋" w:cs="仿宋"/>
          <w:b/>
          <w:color w:val="auto"/>
          <w:sz w:val="28"/>
          <w:szCs w:val="28"/>
          <w:highlight w:val="none"/>
        </w:rPr>
        <w:t>元</w:t>
      </w:r>
    </w:p>
    <w:tbl>
      <w:tblPr>
        <w:tblStyle w:val="38"/>
        <w:tblW w:w="9873" w:type="dxa"/>
        <w:jc w:val="center"/>
        <w:tblLayout w:type="fixed"/>
        <w:tblCellMar>
          <w:top w:w="0" w:type="dxa"/>
          <w:left w:w="0" w:type="dxa"/>
          <w:bottom w:w="0" w:type="dxa"/>
          <w:right w:w="0" w:type="dxa"/>
        </w:tblCellMar>
      </w:tblPr>
      <w:tblGrid>
        <w:gridCol w:w="1420"/>
        <w:gridCol w:w="2340"/>
        <w:gridCol w:w="1805"/>
        <w:gridCol w:w="1445"/>
        <w:gridCol w:w="1797"/>
        <w:gridCol w:w="1066"/>
      </w:tblGrid>
      <w:tr w14:paraId="0674FA28">
        <w:tblPrEx>
          <w:tblCellMar>
            <w:top w:w="0" w:type="dxa"/>
            <w:left w:w="0" w:type="dxa"/>
            <w:bottom w:w="0" w:type="dxa"/>
            <w:right w:w="0" w:type="dxa"/>
          </w:tblCellMar>
        </w:tblPrEx>
        <w:trPr>
          <w:trHeight w:val="662" w:hRule="atLeast"/>
          <w:jc w:val="center"/>
        </w:trPr>
        <w:tc>
          <w:tcPr>
            <w:tcW w:w="1420" w:type="dxa"/>
            <w:tcBorders>
              <w:top w:val="single" w:color="auto" w:sz="4" w:space="0"/>
              <w:left w:val="single" w:color="auto" w:sz="4" w:space="0"/>
              <w:bottom w:val="single" w:color="auto" w:sz="8" w:space="0"/>
              <w:right w:val="single" w:color="auto" w:sz="4" w:space="0"/>
            </w:tcBorders>
            <w:noWrap w:val="0"/>
            <w:vAlign w:val="center"/>
          </w:tcPr>
          <w:p w14:paraId="11D2786F">
            <w:pPr>
              <w:keepNext w:val="0"/>
              <w:keepLines w:val="0"/>
              <w:pageBreakBefore w:val="0"/>
              <w:tabs>
                <w:tab w:val="left" w:pos="5580"/>
              </w:tabs>
              <w:kinsoku/>
              <w:wordWrap/>
              <w:overflowPunct/>
              <w:topLinePunct w:val="0"/>
              <w:bidi w:val="0"/>
              <w:spacing w:line="500" w:lineRule="exact"/>
              <w:ind w:right="-199"/>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2340" w:type="dxa"/>
            <w:tcBorders>
              <w:top w:val="single" w:color="auto" w:sz="4" w:space="0"/>
              <w:left w:val="single" w:color="auto" w:sz="8" w:space="0"/>
              <w:bottom w:val="single" w:color="auto" w:sz="8" w:space="0"/>
              <w:right w:val="single" w:color="auto" w:sz="4" w:space="0"/>
            </w:tcBorders>
            <w:noWrap w:val="0"/>
            <w:vAlign w:val="center"/>
          </w:tcPr>
          <w:p w14:paraId="1A78EC34">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w:t>
            </w:r>
          </w:p>
        </w:tc>
        <w:tc>
          <w:tcPr>
            <w:tcW w:w="1805" w:type="dxa"/>
            <w:tcBorders>
              <w:top w:val="single" w:color="auto" w:sz="8" w:space="0"/>
              <w:left w:val="nil"/>
              <w:bottom w:val="single" w:color="auto" w:sz="8" w:space="0"/>
              <w:right w:val="single" w:color="auto" w:sz="4" w:space="0"/>
            </w:tcBorders>
            <w:noWrap w:val="0"/>
            <w:vAlign w:val="center"/>
          </w:tcPr>
          <w:p w14:paraId="231FBDAE">
            <w:pPr>
              <w:keepNext w:val="0"/>
              <w:keepLines w:val="0"/>
              <w:pageBreakBefore w:val="0"/>
              <w:tabs>
                <w:tab w:val="left" w:pos="5580"/>
              </w:tabs>
              <w:kinsoku/>
              <w:wordWrap/>
              <w:overflowPunct/>
              <w:topLinePunct w:val="0"/>
              <w:bidi w:val="0"/>
              <w:spacing w:line="50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合同履约期限</w:t>
            </w:r>
          </w:p>
        </w:tc>
        <w:tc>
          <w:tcPr>
            <w:tcW w:w="1445" w:type="dxa"/>
            <w:tcBorders>
              <w:top w:val="single" w:color="auto" w:sz="8" w:space="0"/>
              <w:left w:val="nil"/>
              <w:bottom w:val="single" w:color="auto" w:sz="8" w:space="0"/>
              <w:right w:val="single" w:color="auto" w:sz="4" w:space="0"/>
            </w:tcBorders>
            <w:noWrap w:val="0"/>
            <w:vAlign w:val="center"/>
          </w:tcPr>
          <w:p w14:paraId="79B5F82C">
            <w:pPr>
              <w:keepNext w:val="0"/>
              <w:keepLines w:val="0"/>
              <w:pageBreakBefore w:val="0"/>
              <w:tabs>
                <w:tab w:val="left" w:pos="5580"/>
              </w:tabs>
              <w:kinsoku/>
              <w:wordWrap/>
              <w:overflowPunct/>
              <w:topLinePunct w:val="0"/>
              <w:bidi w:val="0"/>
              <w:spacing w:line="50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供货地点</w:t>
            </w:r>
          </w:p>
        </w:tc>
        <w:tc>
          <w:tcPr>
            <w:tcW w:w="1797" w:type="dxa"/>
            <w:tcBorders>
              <w:top w:val="single" w:color="auto" w:sz="8" w:space="0"/>
              <w:left w:val="nil"/>
              <w:bottom w:val="single" w:color="auto" w:sz="8" w:space="0"/>
              <w:right w:val="single" w:color="auto" w:sz="4" w:space="0"/>
            </w:tcBorders>
            <w:noWrap w:val="0"/>
            <w:vAlign w:val="center"/>
          </w:tcPr>
          <w:p w14:paraId="54FAFFD2">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供货方式</w:t>
            </w:r>
          </w:p>
        </w:tc>
        <w:tc>
          <w:tcPr>
            <w:tcW w:w="1066" w:type="dxa"/>
            <w:tcBorders>
              <w:top w:val="single" w:color="auto" w:sz="8" w:space="0"/>
              <w:left w:val="single" w:color="auto" w:sz="4" w:space="0"/>
              <w:bottom w:val="single" w:color="auto" w:sz="8" w:space="0"/>
              <w:right w:val="single" w:color="auto" w:sz="8" w:space="0"/>
            </w:tcBorders>
            <w:noWrap w:val="0"/>
            <w:vAlign w:val="center"/>
          </w:tcPr>
          <w:p w14:paraId="24D7CC35">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61245484">
        <w:tblPrEx>
          <w:tblCellMar>
            <w:top w:w="0" w:type="dxa"/>
            <w:left w:w="0" w:type="dxa"/>
            <w:bottom w:w="0" w:type="dxa"/>
            <w:right w:w="0" w:type="dxa"/>
          </w:tblCellMar>
        </w:tblPrEx>
        <w:trPr>
          <w:cantSplit/>
          <w:trHeight w:val="1640" w:hRule="atLeast"/>
          <w:jc w:val="center"/>
        </w:trPr>
        <w:tc>
          <w:tcPr>
            <w:tcW w:w="1420" w:type="dxa"/>
            <w:tcBorders>
              <w:top w:val="single" w:color="auto" w:sz="8" w:space="0"/>
              <w:left w:val="single" w:color="auto" w:sz="4" w:space="0"/>
              <w:bottom w:val="single" w:color="auto" w:sz="4" w:space="0"/>
              <w:right w:val="single" w:color="auto" w:sz="4" w:space="0"/>
            </w:tcBorders>
            <w:noWrap w:val="0"/>
            <w:vAlign w:val="center"/>
          </w:tcPr>
          <w:p w14:paraId="7B6A5DFF">
            <w:pPr>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color w:val="auto"/>
                <w:sz w:val="28"/>
                <w:szCs w:val="28"/>
                <w:highlight w:val="none"/>
              </w:rPr>
            </w:pPr>
          </w:p>
        </w:tc>
        <w:tc>
          <w:tcPr>
            <w:tcW w:w="2340" w:type="dxa"/>
            <w:tcBorders>
              <w:top w:val="single" w:color="auto" w:sz="8" w:space="0"/>
              <w:left w:val="single" w:color="auto" w:sz="8" w:space="0"/>
              <w:bottom w:val="single" w:color="auto" w:sz="4" w:space="0"/>
              <w:right w:val="single" w:color="auto" w:sz="4" w:space="0"/>
            </w:tcBorders>
            <w:noWrap w:val="0"/>
            <w:vAlign w:val="center"/>
          </w:tcPr>
          <w:p w14:paraId="3D1E9801">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p>
          <w:p w14:paraId="1F5EC7B2">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p>
        </w:tc>
        <w:tc>
          <w:tcPr>
            <w:tcW w:w="1805" w:type="dxa"/>
            <w:tcBorders>
              <w:top w:val="single" w:color="auto" w:sz="8" w:space="0"/>
              <w:left w:val="nil"/>
              <w:bottom w:val="single" w:color="auto" w:sz="4" w:space="0"/>
              <w:right w:val="single" w:color="auto" w:sz="4" w:space="0"/>
            </w:tcBorders>
            <w:noWrap w:val="0"/>
            <w:vAlign w:val="center"/>
          </w:tcPr>
          <w:p w14:paraId="245FE619">
            <w:pPr>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color w:val="auto"/>
                <w:sz w:val="28"/>
                <w:szCs w:val="28"/>
                <w:highlight w:val="none"/>
              </w:rPr>
            </w:pPr>
          </w:p>
        </w:tc>
        <w:tc>
          <w:tcPr>
            <w:tcW w:w="1445" w:type="dxa"/>
            <w:tcBorders>
              <w:top w:val="single" w:color="auto" w:sz="8" w:space="0"/>
              <w:left w:val="nil"/>
              <w:bottom w:val="single" w:color="auto" w:sz="4" w:space="0"/>
              <w:right w:val="single" w:color="auto" w:sz="4" w:space="0"/>
            </w:tcBorders>
            <w:noWrap w:val="0"/>
            <w:vAlign w:val="center"/>
          </w:tcPr>
          <w:p w14:paraId="5AD3BA9E">
            <w:pPr>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color w:val="auto"/>
                <w:sz w:val="28"/>
                <w:szCs w:val="28"/>
                <w:highlight w:val="none"/>
              </w:rPr>
            </w:pPr>
          </w:p>
        </w:tc>
        <w:tc>
          <w:tcPr>
            <w:tcW w:w="1797" w:type="dxa"/>
            <w:tcBorders>
              <w:top w:val="single" w:color="auto" w:sz="8" w:space="0"/>
              <w:left w:val="nil"/>
              <w:bottom w:val="single" w:color="auto" w:sz="4" w:space="0"/>
              <w:right w:val="single" w:color="auto" w:sz="4" w:space="0"/>
            </w:tcBorders>
            <w:noWrap w:val="0"/>
            <w:vAlign w:val="center"/>
          </w:tcPr>
          <w:p w14:paraId="1254BCBF">
            <w:pPr>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color w:val="auto"/>
                <w:sz w:val="28"/>
                <w:szCs w:val="28"/>
                <w:highlight w:val="none"/>
              </w:rPr>
            </w:pPr>
          </w:p>
        </w:tc>
        <w:tc>
          <w:tcPr>
            <w:tcW w:w="1066" w:type="dxa"/>
            <w:tcBorders>
              <w:top w:val="single" w:color="auto" w:sz="8" w:space="0"/>
              <w:left w:val="single" w:color="auto" w:sz="4" w:space="0"/>
              <w:bottom w:val="single" w:color="auto" w:sz="4" w:space="0"/>
              <w:right w:val="single" w:color="auto" w:sz="8" w:space="0"/>
            </w:tcBorders>
            <w:noWrap w:val="0"/>
            <w:vAlign w:val="center"/>
          </w:tcPr>
          <w:p w14:paraId="5BF11727">
            <w:pPr>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color w:val="auto"/>
                <w:sz w:val="28"/>
                <w:szCs w:val="28"/>
                <w:highlight w:val="none"/>
              </w:rPr>
            </w:pPr>
          </w:p>
        </w:tc>
      </w:tr>
    </w:tbl>
    <w:p w14:paraId="4F55EBFD">
      <w:pPr>
        <w:pStyle w:val="16"/>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highlight w:val="none"/>
        </w:rPr>
      </w:pPr>
    </w:p>
    <w:p w14:paraId="17B7EB53">
      <w:pPr>
        <w:pStyle w:val="16"/>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highlight w:val="none"/>
          <w:u w:val="single"/>
        </w:rPr>
      </w:pPr>
    </w:p>
    <w:p w14:paraId="3C3E7034">
      <w:pPr>
        <w:pStyle w:val="16"/>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投标人名称（单位盖</w:t>
      </w:r>
      <w:r>
        <w:rPr>
          <w:rFonts w:hint="eastAsia" w:ascii="仿宋" w:hAnsi="仿宋" w:eastAsia="仿宋" w:cs="仿宋"/>
          <w:color w:val="auto"/>
          <w:sz w:val="28"/>
          <w:szCs w:val="28"/>
          <w:highlight w:val="none"/>
          <w:lang w:val="en-US" w:eastAsia="zh-CN"/>
        </w:rPr>
        <w:t>公</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u w:val="single"/>
        </w:rPr>
        <w:t xml:space="preserve">                       </w:t>
      </w:r>
    </w:p>
    <w:p w14:paraId="28E2143E">
      <w:pPr>
        <w:pStyle w:val="16"/>
        <w:keepNext w:val="0"/>
        <w:keepLines w:val="0"/>
        <w:pageBreakBefore w:val="0"/>
        <w:tabs>
          <w:tab w:val="left" w:pos="5580"/>
        </w:tabs>
        <w:kinsoku/>
        <w:wordWrap/>
        <w:overflowPunct/>
        <w:topLinePunct w:val="0"/>
        <w:bidi w:val="0"/>
        <w:spacing w:line="500" w:lineRule="exact"/>
        <w:ind w:left="1079" w:leftChars="257" w:hanging="54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法定代表人或委托代理(签字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lang w:val="en-US" w:eastAsia="zh-CN"/>
        </w:rPr>
        <w:t xml:space="preserve">             </w:t>
      </w:r>
    </w:p>
    <w:p w14:paraId="0DDA4B3A">
      <w:pPr>
        <w:pStyle w:val="16"/>
        <w:keepNext w:val="0"/>
        <w:keepLines w:val="0"/>
        <w:pageBreakBefore w:val="0"/>
        <w:tabs>
          <w:tab w:val="left" w:pos="5580"/>
        </w:tabs>
        <w:kinsoku/>
        <w:wordWrap/>
        <w:overflowPunct/>
        <w:topLinePunct w:val="0"/>
        <w:bidi w:val="0"/>
        <w:spacing w:line="500" w:lineRule="exact"/>
        <w:ind w:left="741" w:leftChars="353"/>
        <w:rPr>
          <w:rFonts w:hint="eastAsia" w:ascii="仿宋" w:hAnsi="仿宋" w:eastAsia="仿宋" w:cs="仿宋"/>
          <w:color w:val="auto"/>
          <w:sz w:val="28"/>
          <w:szCs w:val="28"/>
          <w:highlight w:val="red"/>
        </w:rPr>
      </w:pPr>
    </w:p>
    <w:p w14:paraId="7DC5B06E">
      <w:pPr>
        <w:pStyle w:val="16"/>
        <w:keepNext w:val="0"/>
        <w:keepLines w:val="0"/>
        <w:pageBreakBefore w:val="0"/>
        <w:tabs>
          <w:tab w:val="left" w:pos="5580"/>
        </w:tabs>
        <w:kinsoku/>
        <w:wordWrap/>
        <w:overflowPunct/>
        <w:topLinePunct w:val="0"/>
        <w:bidi w:val="0"/>
        <w:spacing w:line="500" w:lineRule="exact"/>
        <w:ind w:left="741" w:leftChars="353"/>
        <w:rPr>
          <w:rFonts w:hint="eastAsia" w:ascii="仿宋" w:hAnsi="仿宋" w:eastAsia="仿宋" w:cs="仿宋"/>
          <w:color w:val="auto"/>
          <w:sz w:val="28"/>
          <w:szCs w:val="28"/>
        </w:rPr>
      </w:pPr>
    </w:p>
    <w:p w14:paraId="5650A1F7">
      <w:pPr>
        <w:pStyle w:val="16"/>
        <w:keepNext w:val="0"/>
        <w:keepLines w:val="0"/>
        <w:pageBreakBefore w:val="0"/>
        <w:tabs>
          <w:tab w:val="left" w:pos="5580"/>
        </w:tabs>
        <w:kinsoku/>
        <w:wordWrap/>
        <w:overflowPunct/>
        <w:topLinePunct w:val="0"/>
        <w:bidi w:val="0"/>
        <w:spacing w:line="500" w:lineRule="exact"/>
        <w:ind w:left="741" w:leftChars="353"/>
        <w:rPr>
          <w:rFonts w:hint="eastAsia" w:ascii="仿宋" w:hAnsi="仿宋" w:eastAsia="仿宋" w:cs="仿宋"/>
          <w:color w:val="auto"/>
          <w:sz w:val="28"/>
          <w:szCs w:val="28"/>
        </w:rPr>
      </w:pPr>
    </w:p>
    <w:p w14:paraId="5A488BDC">
      <w:pPr>
        <w:pStyle w:val="16"/>
        <w:keepNext w:val="0"/>
        <w:keepLines w:val="0"/>
        <w:pageBreakBefore w:val="0"/>
        <w:tabs>
          <w:tab w:val="left" w:pos="5580"/>
        </w:tabs>
        <w:kinsoku/>
        <w:wordWrap/>
        <w:overflowPunct/>
        <w:topLinePunct w:val="0"/>
        <w:bidi w:val="0"/>
        <w:spacing w:line="500" w:lineRule="exact"/>
        <w:ind w:left="741" w:leftChars="353"/>
        <w:rPr>
          <w:rFonts w:hint="eastAsia" w:ascii="仿宋" w:hAnsi="仿宋" w:eastAsia="仿宋" w:cs="仿宋"/>
          <w:color w:val="auto"/>
          <w:sz w:val="28"/>
          <w:szCs w:val="28"/>
        </w:rPr>
      </w:pPr>
    </w:p>
    <w:p w14:paraId="5FF6F3B6">
      <w:pPr>
        <w:keepNext w:val="0"/>
        <w:keepLines w:val="0"/>
        <w:pageBreakBefore w:val="0"/>
        <w:kinsoku/>
        <w:wordWrap/>
        <w:overflowPunct/>
        <w:topLinePunct w:val="0"/>
        <w:bidi w:val="0"/>
        <w:spacing w:line="500" w:lineRule="exact"/>
        <w:rPr>
          <w:rFonts w:hint="eastAsia" w:ascii="仿宋" w:hAnsi="仿宋" w:eastAsia="仿宋" w:cs="仿宋"/>
          <w:b/>
          <w:color w:val="auto"/>
          <w:sz w:val="28"/>
          <w:szCs w:val="28"/>
        </w:rPr>
      </w:pPr>
    </w:p>
    <w:p w14:paraId="28643C75">
      <w:pPr>
        <w:pStyle w:val="16"/>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b/>
          <w:color w:val="auto"/>
          <w:sz w:val="28"/>
          <w:szCs w:val="28"/>
        </w:rPr>
      </w:pPr>
    </w:p>
    <w:p w14:paraId="4EB31E46">
      <w:pPr>
        <w:keepNext w:val="0"/>
        <w:keepLines w:val="0"/>
        <w:pageBreakBefore w:val="0"/>
        <w:kinsoku/>
        <w:wordWrap/>
        <w:overflowPunct/>
        <w:topLinePunct w:val="0"/>
        <w:bidi w:val="0"/>
        <w:spacing w:line="500" w:lineRule="exact"/>
        <w:jc w:val="center"/>
        <w:rPr>
          <w:rFonts w:hint="eastAsia" w:ascii="仿宋" w:hAnsi="仿宋" w:eastAsia="仿宋" w:cs="仿宋"/>
          <w:b/>
          <w:color w:val="auto"/>
          <w:kern w:val="0"/>
          <w:sz w:val="28"/>
          <w:szCs w:val="28"/>
        </w:rPr>
      </w:pPr>
    </w:p>
    <w:p w14:paraId="4483BCC9">
      <w:pPr>
        <w:keepNext w:val="0"/>
        <w:keepLines w:val="0"/>
        <w:pageBreakBefore w:val="0"/>
        <w:kinsoku/>
        <w:wordWrap/>
        <w:overflowPunct/>
        <w:topLinePunct w:val="0"/>
        <w:bidi w:val="0"/>
        <w:spacing w:line="500" w:lineRule="exact"/>
        <w:jc w:val="center"/>
        <w:rPr>
          <w:rFonts w:hint="eastAsia" w:ascii="仿宋" w:hAnsi="仿宋" w:eastAsia="仿宋" w:cs="仿宋"/>
          <w:b/>
          <w:color w:val="auto"/>
          <w:kern w:val="0"/>
          <w:sz w:val="28"/>
          <w:szCs w:val="28"/>
        </w:rPr>
      </w:pPr>
    </w:p>
    <w:p w14:paraId="7120D826">
      <w:pPr>
        <w:keepNext w:val="0"/>
        <w:keepLines w:val="0"/>
        <w:pageBreakBefore w:val="0"/>
        <w:kinsoku/>
        <w:wordWrap/>
        <w:overflowPunct/>
        <w:topLinePunct w:val="0"/>
        <w:bidi w:val="0"/>
        <w:spacing w:line="500" w:lineRule="exact"/>
        <w:jc w:val="center"/>
        <w:rPr>
          <w:rFonts w:hint="eastAsia" w:ascii="仿宋" w:hAnsi="仿宋" w:eastAsia="仿宋" w:cs="仿宋"/>
          <w:b/>
          <w:color w:val="auto"/>
          <w:kern w:val="0"/>
          <w:sz w:val="28"/>
          <w:szCs w:val="28"/>
        </w:rPr>
      </w:pPr>
    </w:p>
    <w:p w14:paraId="0BA8D2A0">
      <w:pPr>
        <w:keepNext w:val="0"/>
        <w:keepLines w:val="0"/>
        <w:pageBreakBefore w:val="0"/>
        <w:kinsoku/>
        <w:wordWrap/>
        <w:overflowPunct/>
        <w:topLinePunct w:val="0"/>
        <w:bidi w:val="0"/>
        <w:spacing w:line="500" w:lineRule="exact"/>
        <w:jc w:val="center"/>
        <w:rPr>
          <w:rFonts w:hint="eastAsia" w:ascii="仿宋" w:hAnsi="仿宋" w:eastAsia="仿宋" w:cs="仿宋"/>
          <w:b/>
          <w:color w:val="auto"/>
          <w:kern w:val="0"/>
          <w:sz w:val="28"/>
          <w:szCs w:val="28"/>
        </w:rPr>
      </w:pPr>
    </w:p>
    <w:p w14:paraId="73775EDB">
      <w:pPr>
        <w:pStyle w:val="9"/>
        <w:rPr>
          <w:rFonts w:hint="eastAsia" w:ascii="仿宋" w:hAnsi="仿宋" w:eastAsia="仿宋" w:cs="仿宋"/>
          <w:b/>
          <w:color w:val="auto"/>
          <w:kern w:val="0"/>
          <w:sz w:val="28"/>
          <w:szCs w:val="28"/>
        </w:rPr>
      </w:pPr>
    </w:p>
    <w:p w14:paraId="036F9989">
      <w:pPr>
        <w:pStyle w:val="9"/>
        <w:rPr>
          <w:rFonts w:hint="eastAsia" w:ascii="仿宋" w:hAnsi="仿宋" w:eastAsia="仿宋" w:cs="仿宋"/>
          <w:b/>
          <w:color w:val="auto"/>
          <w:kern w:val="0"/>
          <w:sz w:val="28"/>
          <w:szCs w:val="28"/>
        </w:rPr>
      </w:pPr>
    </w:p>
    <w:p w14:paraId="4787FAEE">
      <w:pPr>
        <w:pStyle w:val="9"/>
        <w:rPr>
          <w:rFonts w:hint="eastAsia"/>
          <w:color w:val="auto"/>
        </w:rPr>
      </w:pPr>
    </w:p>
    <w:p w14:paraId="7A78C557">
      <w:pPr>
        <w:keepNext w:val="0"/>
        <w:keepLines w:val="0"/>
        <w:pageBreakBefore w:val="0"/>
        <w:kinsoku/>
        <w:wordWrap/>
        <w:overflowPunct/>
        <w:topLinePunct w:val="0"/>
        <w:bidi w:val="0"/>
        <w:spacing w:line="500" w:lineRule="exact"/>
        <w:jc w:val="center"/>
        <w:rPr>
          <w:rFonts w:hint="eastAsia" w:ascii="仿宋" w:hAnsi="仿宋" w:eastAsia="仿宋" w:cs="仿宋"/>
          <w:b/>
          <w:color w:val="auto"/>
          <w:kern w:val="0"/>
          <w:sz w:val="28"/>
          <w:szCs w:val="28"/>
        </w:rPr>
      </w:pPr>
    </w:p>
    <w:p w14:paraId="123622F8">
      <w:pPr>
        <w:pStyle w:val="13"/>
        <w:keepNext w:val="0"/>
        <w:keepLines w:val="0"/>
        <w:pageBreakBefore w:val="0"/>
        <w:kinsoku/>
        <w:wordWrap/>
        <w:overflowPunct/>
        <w:topLinePunct w:val="0"/>
        <w:bidi w:val="0"/>
        <w:adjustRightInd/>
        <w:snapToGrid/>
        <w:spacing w:line="500" w:lineRule="exact"/>
        <w:textAlignment w:val="auto"/>
        <w:rPr>
          <w:rFonts w:hint="default"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color w:val="auto"/>
          <w:kern w:val="0"/>
          <w:sz w:val="28"/>
          <w:szCs w:val="28"/>
        </w:rPr>
        <w:t>2、</w:t>
      </w:r>
      <w:r>
        <w:rPr>
          <w:rFonts w:hint="eastAsia" w:ascii="仿宋" w:hAnsi="仿宋" w:eastAsia="仿宋" w:cs="仿宋"/>
          <w:b/>
          <w:color w:val="auto"/>
          <w:kern w:val="0"/>
          <w:sz w:val="28"/>
          <w:szCs w:val="28"/>
          <w:lang w:val="en-US" w:eastAsia="zh-CN"/>
        </w:rPr>
        <w:t>有效的企业营业执照、</w:t>
      </w:r>
      <w:r>
        <w:rPr>
          <w:rFonts w:hint="eastAsia" w:ascii="仿宋" w:hAnsi="仿宋" w:eastAsia="仿宋" w:cs="仿宋"/>
          <w:b/>
          <w:bCs/>
          <w:i w:val="0"/>
          <w:caps w:val="0"/>
          <w:color w:val="auto"/>
          <w:spacing w:val="0"/>
          <w:w w:val="100"/>
          <w:sz w:val="28"/>
          <w:szCs w:val="28"/>
          <w:highlight w:val="none"/>
          <w:lang w:val="en-US" w:eastAsia="zh-CN"/>
        </w:rPr>
        <w:t>《银行开户许可证》或《基本存款账户信息》。</w:t>
      </w:r>
    </w:p>
    <w:p w14:paraId="0AA2DB5F">
      <w:pPr>
        <w:keepNext w:val="0"/>
        <w:keepLines w:val="0"/>
        <w:pageBreakBefore w:val="0"/>
        <w:kinsoku/>
        <w:wordWrap/>
        <w:overflowPunct/>
        <w:topLinePunct w:val="0"/>
        <w:bidi w:val="0"/>
        <w:spacing w:line="500" w:lineRule="exact"/>
        <w:jc w:val="both"/>
        <w:rPr>
          <w:rFonts w:hint="eastAsia" w:ascii="仿宋" w:hAnsi="仿宋" w:eastAsia="仿宋" w:cs="仿宋"/>
          <w:color w:val="auto"/>
          <w:sz w:val="28"/>
          <w:szCs w:val="28"/>
        </w:rPr>
      </w:pPr>
    </w:p>
    <w:p w14:paraId="51DBF139">
      <w:pPr>
        <w:pStyle w:val="5"/>
        <w:keepNext w:val="0"/>
        <w:keepLines w:val="0"/>
        <w:pageBreakBefore w:val="0"/>
        <w:kinsoku/>
        <w:wordWrap/>
        <w:overflowPunct/>
        <w:topLinePunct w:val="0"/>
        <w:bidi w:val="0"/>
        <w:spacing w:before="0" w:line="500" w:lineRule="exact"/>
        <w:jc w:val="both"/>
        <w:outlineLvl w:val="9"/>
        <w:rPr>
          <w:rFonts w:hint="eastAsia" w:ascii="仿宋" w:hAnsi="仿宋" w:eastAsia="仿宋" w:cs="仿宋"/>
          <w:b/>
          <w:bCs/>
          <w:color w:val="auto"/>
          <w:sz w:val="28"/>
          <w:szCs w:val="28"/>
        </w:rPr>
      </w:pPr>
    </w:p>
    <w:p w14:paraId="042033F9">
      <w:pPr>
        <w:pStyle w:val="16"/>
        <w:keepNext w:val="0"/>
        <w:keepLines w:val="0"/>
        <w:pageBreakBefore w:val="0"/>
        <w:tabs>
          <w:tab w:val="left" w:pos="5580"/>
        </w:tabs>
        <w:kinsoku/>
        <w:wordWrap/>
        <w:overflowPunct/>
        <w:topLinePunct w:val="0"/>
        <w:bidi w:val="0"/>
        <w:spacing w:line="500" w:lineRule="exact"/>
        <w:rPr>
          <w:rFonts w:hint="eastAsia" w:ascii="仿宋" w:hAnsi="仿宋" w:eastAsia="仿宋" w:cs="仿宋"/>
          <w:b/>
          <w:color w:val="auto"/>
          <w:sz w:val="28"/>
          <w:szCs w:val="28"/>
        </w:rPr>
      </w:pPr>
    </w:p>
    <w:p w14:paraId="7D7F880B">
      <w:pPr>
        <w:pStyle w:val="16"/>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rPr>
      </w:pPr>
      <w:bookmarkStart w:id="497" w:name="_Toc10097"/>
      <w:bookmarkStart w:id="498" w:name="_Toc515647808"/>
      <w:bookmarkStart w:id="499" w:name="_Toc7039"/>
      <w:bookmarkStart w:id="500" w:name="_Toc32520"/>
    </w:p>
    <w:p w14:paraId="5DBBAAAD">
      <w:pPr>
        <w:pStyle w:val="16"/>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rPr>
      </w:pPr>
    </w:p>
    <w:p w14:paraId="348DBAF2">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color w:val="auto"/>
          <w:kern w:val="0"/>
          <w:sz w:val="28"/>
          <w:szCs w:val="28"/>
          <w:lang w:val="en-US" w:eastAsia="zh-CN" w:bidi="ar-SA"/>
        </w:rPr>
      </w:pPr>
    </w:p>
    <w:p w14:paraId="5C670A0D">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color w:val="auto"/>
          <w:kern w:val="0"/>
          <w:sz w:val="28"/>
          <w:szCs w:val="28"/>
          <w:lang w:val="en-US" w:eastAsia="zh-CN" w:bidi="ar-SA"/>
        </w:rPr>
      </w:pPr>
    </w:p>
    <w:p w14:paraId="5D70F624">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color w:val="auto"/>
          <w:kern w:val="0"/>
          <w:sz w:val="28"/>
          <w:szCs w:val="28"/>
          <w:lang w:val="en-US" w:eastAsia="zh-CN" w:bidi="ar-SA"/>
        </w:rPr>
      </w:pPr>
    </w:p>
    <w:p w14:paraId="44C99DC9">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color w:val="auto"/>
          <w:kern w:val="0"/>
          <w:sz w:val="28"/>
          <w:szCs w:val="28"/>
          <w:lang w:val="en-US" w:eastAsia="zh-CN" w:bidi="ar-SA"/>
        </w:rPr>
      </w:pPr>
    </w:p>
    <w:p w14:paraId="13A563BF">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color w:val="auto"/>
          <w:kern w:val="0"/>
          <w:sz w:val="28"/>
          <w:szCs w:val="28"/>
          <w:lang w:val="en-US" w:eastAsia="zh-CN" w:bidi="ar-SA"/>
        </w:rPr>
      </w:pPr>
    </w:p>
    <w:p w14:paraId="6AE4D6FC">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color w:val="auto"/>
          <w:kern w:val="0"/>
          <w:sz w:val="28"/>
          <w:szCs w:val="28"/>
          <w:lang w:val="en-US" w:eastAsia="zh-CN" w:bidi="ar-SA"/>
        </w:rPr>
      </w:pPr>
    </w:p>
    <w:p w14:paraId="5781590A">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color w:val="auto"/>
          <w:kern w:val="0"/>
          <w:sz w:val="28"/>
          <w:szCs w:val="28"/>
          <w:lang w:val="en-US" w:eastAsia="zh-CN" w:bidi="ar-SA"/>
        </w:rPr>
      </w:pPr>
    </w:p>
    <w:p w14:paraId="32F770A5">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default"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3.特定资格要求（按标项要求附资格或资质文件）。</w:t>
      </w:r>
    </w:p>
    <w:p w14:paraId="18D29043">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color w:val="auto"/>
          <w:kern w:val="0"/>
          <w:sz w:val="28"/>
          <w:szCs w:val="28"/>
          <w:lang w:val="en-US" w:eastAsia="zh-CN" w:bidi="ar-SA"/>
        </w:rPr>
      </w:pPr>
    </w:p>
    <w:p w14:paraId="438CD232">
      <w:pPr>
        <w:pStyle w:val="16"/>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rPr>
      </w:pPr>
    </w:p>
    <w:p w14:paraId="4D3ED84B">
      <w:pPr>
        <w:pStyle w:val="16"/>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rPr>
      </w:pPr>
    </w:p>
    <w:p w14:paraId="5C8E276A">
      <w:pPr>
        <w:pStyle w:val="16"/>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rPr>
      </w:pPr>
    </w:p>
    <w:p w14:paraId="32970F6C">
      <w:pPr>
        <w:pStyle w:val="16"/>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rPr>
      </w:pPr>
    </w:p>
    <w:p w14:paraId="174A2A53">
      <w:pPr>
        <w:pStyle w:val="17"/>
        <w:rPr>
          <w:rFonts w:hint="eastAsia" w:ascii="仿宋" w:hAnsi="仿宋" w:eastAsia="仿宋" w:cs="仿宋"/>
          <w:color w:val="auto"/>
          <w:sz w:val="28"/>
          <w:szCs w:val="28"/>
        </w:rPr>
      </w:pPr>
    </w:p>
    <w:p w14:paraId="1DB663D8">
      <w:pPr>
        <w:rPr>
          <w:rFonts w:hint="eastAsia" w:ascii="仿宋" w:hAnsi="仿宋" w:eastAsia="仿宋" w:cs="仿宋"/>
          <w:color w:val="auto"/>
          <w:sz w:val="28"/>
          <w:szCs w:val="28"/>
        </w:rPr>
      </w:pPr>
    </w:p>
    <w:p w14:paraId="04EC9469">
      <w:pPr>
        <w:pStyle w:val="5"/>
        <w:outlineLvl w:val="9"/>
        <w:rPr>
          <w:rFonts w:hint="eastAsia" w:ascii="仿宋" w:hAnsi="仿宋" w:eastAsia="仿宋" w:cs="仿宋"/>
          <w:color w:val="auto"/>
          <w:sz w:val="28"/>
          <w:szCs w:val="28"/>
        </w:rPr>
      </w:pPr>
    </w:p>
    <w:p w14:paraId="15FDA2BA">
      <w:pPr>
        <w:rPr>
          <w:rFonts w:hint="eastAsia" w:ascii="仿宋" w:hAnsi="仿宋" w:eastAsia="仿宋" w:cs="仿宋"/>
          <w:color w:val="auto"/>
          <w:sz w:val="28"/>
          <w:szCs w:val="28"/>
        </w:rPr>
      </w:pPr>
    </w:p>
    <w:p w14:paraId="0A4991D8">
      <w:pPr>
        <w:pStyle w:val="5"/>
        <w:outlineLvl w:val="9"/>
        <w:rPr>
          <w:rFonts w:hint="eastAsia" w:ascii="仿宋" w:hAnsi="仿宋" w:eastAsia="仿宋" w:cs="仿宋"/>
          <w:color w:val="auto"/>
          <w:sz w:val="28"/>
          <w:szCs w:val="28"/>
        </w:rPr>
      </w:pPr>
    </w:p>
    <w:bookmarkEnd w:id="497"/>
    <w:p w14:paraId="2B64546C">
      <w:pPr>
        <w:keepNext w:val="0"/>
        <w:keepLines w:val="0"/>
        <w:pageBreakBefore w:val="0"/>
        <w:kinsoku/>
        <w:wordWrap/>
        <w:overflowPunct/>
        <w:topLinePunct w:val="0"/>
        <w:bidi w:val="0"/>
        <w:adjustRightInd w:val="0"/>
        <w:snapToGrid w:val="0"/>
        <w:spacing w:before="312" w:beforeLines="100" w:after="312" w:afterLines="100" w:line="500" w:lineRule="exact"/>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4. 法人本人投标需提供法人身份证及法定代表人资格证明书；授权委托人投标需提供法人授权委托书、法人身份证复印件及被授权委托人身份证；</w:t>
      </w:r>
    </w:p>
    <w:p w14:paraId="5FD9F544">
      <w:pPr>
        <w:keepNext w:val="0"/>
        <w:keepLines w:val="0"/>
        <w:pageBreakBefore w:val="0"/>
        <w:kinsoku/>
        <w:wordWrap/>
        <w:overflowPunct/>
        <w:topLinePunct w:val="0"/>
        <w:bidi w:val="0"/>
        <w:adjustRightInd w:val="0"/>
        <w:snapToGrid w:val="0"/>
        <w:spacing w:before="312" w:beforeLines="100" w:after="312" w:afterLines="100" w:line="500" w:lineRule="exact"/>
        <w:jc w:val="center"/>
        <w:rPr>
          <w:rFonts w:hint="eastAsia" w:ascii="仿宋" w:hAnsi="仿宋" w:eastAsia="仿宋" w:cs="仿宋"/>
          <w:b w:val="0"/>
          <w:bCs/>
          <w:color w:val="auto"/>
          <w:sz w:val="28"/>
          <w:szCs w:val="28"/>
          <w:u w:val="single"/>
        </w:rPr>
      </w:pPr>
      <w:r>
        <w:rPr>
          <w:rFonts w:hint="eastAsia" w:ascii="仿宋" w:hAnsi="仿宋" w:eastAsia="仿宋" w:cs="仿宋"/>
          <w:b w:val="0"/>
          <w:bCs/>
          <w:color w:val="auto"/>
          <w:sz w:val="28"/>
          <w:szCs w:val="28"/>
        </w:rPr>
        <w:t>法定代表人身份证明书</w:t>
      </w:r>
    </w:p>
    <w:p w14:paraId="3A13DEE6">
      <w:pPr>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同志，现任我单位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（职务）为法定代表</w:t>
      </w:r>
    </w:p>
    <w:p w14:paraId="1FC32C9D">
      <w:pPr>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人，特此证明。</w:t>
      </w:r>
    </w:p>
    <w:p w14:paraId="7B1EF920">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单位：                      签发日期：</w:t>
      </w:r>
    </w:p>
    <w:p w14:paraId="4BD9E15F">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                性别：            年龄：           </w:t>
      </w:r>
    </w:p>
    <w:p w14:paraId="75032CD9">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身份证号码：                联系电话：</w:t>
      </w:r>
    </w:p>
    <w:p w14:paraId="357FF32E">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合格有效的三证合一的营业执照（三证合一）或电子营业执照（需加盖公章）或同等法律效力的证明文件（发证机关或公证机关出具的证明材料）号码：    经济性质：</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说明：</w:t>
      </w:r>
    </w:p>
    <w:p w14:paraId="2190510F">
      <w:pPr>
        <w:keepNext w:val="0"/>
        <w:keepLines w:val="0"/>
        <w:pageBreakBefore w:val="0"/>
        <w:numPr>
          <w:ilvl w:val="0"/>
          <w:numId w:val="8"/>
        </w:numPr>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法定代表人为企业事业单位、国家机关、社会团体的主要行政负责人。</w:t>
      </w:r>
    </w:p>
    <w:p w14:paraId="20C21F5F">
      <w:pPr>
        <w:keepNext w:val="0"/>
        <w:keepLines w:val="0"/>
        <w:pageBreakBefore w:val="0"/>
        <w:numPr>
          <w:ilvl w:val="0"/>
          <w:numId w:val="8"/>
        </w:numPr>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内容必须填写真实、清楚、涂改无效，不得转让。</w:t>
      </w:r>
    </w:p>
    <w:p w14:paraId="0907DF01">
      <w:pPr>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3、将此证明书原件提交采购代理机构作为投标响应文件附件。</w:t>
      </w:r>
    </w:p>
    <w:p w14:paraId="418A7FE9">
      <w:pPr>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附：法定代表人身份证</w:t>
      </w:r>
      <w:r>
        <w:rPr>
          <w:rFonts w:hint="eastAsia" w:ascii="仿宋" w:hAnsi="仿宋" w:eastAsia="仿宋" w:cs="仿宋"/>
          <w:color w:val="auto"/>
          <w:sz w:val="28"/>
          <w:szCs w:val="28"/>
          <w:lang w:val="en-US" w:eastAsia="zh-CN"/>
        </w:rPr>
        <w:t>扫描</w:t>
      </w:r>
      <w:r>
        <w:rPr>
          <w:rFonts w:hint="eastAsia" w:ascii="仿宋" w:hAnsi="仿宋" w:eastAsia="仿宋" w:cs="仿宋"/>
          <w:color w:val="auto"/>
          <w:sz w:val="28"/>
          <w:szCs w:val="28"/>
        </w:rPr>
        <w:t>件</w:t>
      </w:r>
    </w:p>
    <w:p w14:paraId="79DA8276">
      <w:pPr>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0" distR="0" simplePos="0" relativeHeight="251662336" behindDoc="0" locked="0" layoutInCell="1" allowOverlap="1">
                <wp:simplePos x="0" y="0"/>
                <wp:positionH relativeFrom="column">
                  <wp:posOffset>2661285</wp:posOffset>
                </wp:positionH>
                <wp:positionV relativeFrom="paragraph">
                  <wp:posOffset>142875</wp:posOffset>
                </wp:positionV>
                <wp:extent cx="2609850" cy="1557020"/>
                <wp:effectExtent l="7620" t="7620" r="11430" b="16510"/>
                <wp:wrapNone/>
                <wp:docPr id="1027"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6F58661C">
                            <w:pPr>
                              <w:jc w:val="center"/>
                              <w:rPr>
                                <w:rFonts w:hAnsi="宋体"/>
                                <w:szCs w:val="21"/>
                              </w:rPr>
                            </w:pPr>
                            <w:r>
                              <w:rPr>
                                <w:rFonts w:hint="eastAsia" w:hAnsi="宋体"/>
                                <w:szCs w:val="21"/>
                              </w:rPr>
                              <w:t xml:space="preserve">  </w:t>
                            </w:r>
                          </w:p>
                          <w:p w14:paraId="321D49C4">
                            <w:pPr>
                              <w:jc w:val="center"/>
                              <w:rPr>
                                <w:rFonts w:hAnsi="宋体"/>
                                <w:szCs w:val="21"/>
                              </w:rPr>
                            </w:pPr>
                          </w:p>
                          <w:p w14:paraId="4037DD9B">
                            <w:pPr>
                              <w:jc w:val="center"/>
                              <w:rPr>
                                <w:rFonts w:hAnsi="宋体"/>
                                <w:szCs w:val="21"/>
                              </w:rPr>
                            </w:pPr>
                          </w:p>
                          <w:p w14:paraId="23BCC00F">
                            <w:pPr>
                              <w:jc w:val="center"/>
                              <w:rPr>
                                <w:szCs w:val="21"/>
                              </w:rPr>
                            </w:pPr>
                            <w:r>
                              <w:rPr>
                                <w:rFonts w:hint="eastAsia" w:hAnsi="宋体"/>
                                <w:szCs w:val="21"/>
                              </w:rPr>
                              <w:t>法定代表人身份证</w:t>
                            </w:r>
                            <w:r>
                              <w:rPr>
                                <w:rFonts w:hint="eastAsia" w:hAnsi="宋体"/>
                                <w:szCs w:val="21"/>
                                <w:lang w:val="en-US" w:eastAsia="zh-CN"/>
                              </w:rPr>
                              <w:t>扫描件</w:t>
                            </w:r>
                            <w:r>
                              <w:rPr>
                                <w:rFonts w:hint="eastAsia" w:hAnsi="宋体"/>
                                <w:szCs w:val="21"/>
                              </w:rPr>
                              <w:t>件反面</w:t>
                            </w:r>
                          </w:p>
                          <w:p w14:paraId="3F10F994"/>
                          <w:p w14:paraId="4F7D3C9B">
                            <w:pPr>
                              <w:pStyle w:val="9"/>
                            </w:pPr>
                          </w:p>
                          <w:p w14:paraId="65709472">
                            <w:pPr>
                              <w:pStyle w:val="9"/>
                            </w:pPr>
                          </w:p>
                          <w:p w14:paraId="2A21AF33">
                            <w:pPr>
                              <w:pStyle w:val="9"/>
                            </w:pPr>
                          </w:p>
                          <w:p w14:paraId="6FBD83B4">
                            <w:pPr>
                              <w:pStyle w:val="9"/>
                            </w:pPr>
                          </w:p>
                        </w:txbxContent>
                      </wps:txbx>
                      <wps:bodyPr vert="horz" wrap="square" anchor="t" anchorCtr="0" upright="1"/>
                    </wps:wsp>
                  </a:graphicData>
                </a:graphic>
              </wp:anchor>
            </w:drawing>
          </mc:Choice>
          <mc:Fallback>
            <w:pict>
              <v:roundrect id="圆角矩形 15" o:spid="_x0000_s1026" o:spt="2" style="position:absolute;left:0pt;margin-left:209.55pt;margin-top:11.25pt;height:122.6pt;width:205.5pt;z-index:251662336;mso-width-relative:page;mso-height-relative:page;" fillcolor="#FFFFFF" filled="t" stroked="t" coordsize="21600,21600" arcsize="0.166666666666667" o:gfxdata="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0whffbAAAACgEA&#10;AA8AAAAAAAAAAQAgAAAAIgAAAGRycy9kb3ducmV2LnhtbFBLAQIUABQAAAAIAIdO4kAtX4aGUAIA&#10;AKcEAAAOAAAAAAAAAAEAIAAAACoBAABkcnMvZTJvRG9jLnhtbFBLBQYAAAAABgAGAFkBAADsBQAA&#10;AAA=&#10;">
                <v:fill on="t" focussize="0,0"/>
                <v:stroke weight="1.25pt" color="#808080" joinstyle="round"/>
                <v:imagedata o:title=""/>
                <o:lock v:ext="edit" aspectratio="f"/>
                <v:textbox>
                  <w:txbxContent>
                    <w:p w14:paraId="6F58661C">
                      <w:pPr>
                        <w:jc w:val="center"/>
                        <w:rPr>
                          <w:rFonts w:hAnsi="宋体"/>
                          <w:szCs w:val="21"/>
                        </w:rPr>
                      </w:pPr>
                      <w:r>
                        <w:rPr>
                          <w:rFonts w:hint="eastAsia" w:hAnsi="宋体"/>
                          <w:szCs w:val="21"/>
                        </w:rPr>
                        <w:t xml:space="preserve">  </w:t>
                      </w:r>
                    </w:p>
                    <w:p w14:paraId="321D49C4">
                      <w:pPr>
                        <w:jc w:val="center"/>
                        <w:rPr>
                          <w:rFonts w:hAnsi="宋体"/>
                          <w:szCs w:val="21"/>
                        </w:rPr>
                      </w:pPr>
                    </w:p>
                    <w:p w14:paraId="4037DD9B">
                      <w:pPr>
                        <w:jc w:val="center"/>
                        <w:rPr>
                          <w:rFonts w:hAnsi="宋体"/>
                          <w:szCs w:val="21"/>
                        </w:rPr>
                      </w:pPr>
                    </w:p>
                    <w:p w14:paraId="23BCC00F">
                      <w:pPr>
                        <w:jc w:val="center"/>
                        <w:rPr>
                          <w:szCs w:val="21"/>
                        </w:rPr>
                      </w:pPr>
                      <w:r>
                        <w:rPr>
                          <w:rFonts w:hint="eastAsia" w:hAnsi="宋体"/>
                          <w:szCs w:val="21"/>
                        </w:rPr>
                        <w:t>法定代表人身份证</w:t>
                      </w:r>
                      <w:r>
                        <w:rPr>
                          <w:rFonts w:hint="eastAsia" w:hAnsi="宋体"/>
                          <w:szCs w:val="21"/>
                          <w:lang w:val="en-US" w:eastAsia="zh-CN"/>
                        </w:rPr>
                        <w:t>扫描件</w:t>
                      </w:r>
                      <w:r>
                        <w:rPr>
                          <w:rFonts w:hint="eastAsia" w:hAnsi="宋体"/>
                          <w:szCs w:val="21"/>
                        </w:rPr>
                        <w:t>件反面</w:t>
                      </w:r>
                    </w:p>
                    <w:p w14:paraId="3F10F994"/>
                    <w:p w14:paraId="4F7D3C9B">
                      <w:pPr>
                        <w:pStyle w:val="9"/>
                      </w:pPr>
                    </w:p>
                    <w:p w14:paraId="65709472">
                      <w:pPr>
                        <w:pStyle w:val="9"/>
                      </w:pPr>
                    </w:p>
                    <w:p w14:paraId="2A21AF33">
                      <w:pPr>
                        <w:pStyle w:val="9"/>
                      </w:pPr>
                    </w:p>
                    <w:p w14:paraId="6FBD83B4">
                      <w:pPr>
                        <w:pStyle w:val="9"/>
                      </w:pPr>
                    </w:p>
                  </w:txbxContent>
                </v:textbox>
              </v:roundrect>
            </w:pict>
          </mc:Fallback>
        </mc:AlternateContent>
      </w:r>
      <w:r>
        <w:rPr>
          <w:rFonts w:hint="eastAsia" w:ascii="仿宋" w:hAnsi="仿宋" w:eastAsia="仿宋" w:cs="仿宋"/>
          <w:color w:val="auto"/>
          <w:sz w:val="28"/>
          <w:szCs w:val="28"/>
        </w:rPr>
        <mc:AlternateContent>
          <mc:Choice Requires="wps">
            <w:drawing>
              <wp:anchor distT="0" distB="0" distL="0" distR="0" simplePos="0" relativeHeight="251661312" behindDoc="0" locked="0" layoutInCell="1" allowOverlap="1">
                <wp:simplePos x="0" y="0"/>
                <wp:positionH relativeFrom="column">
                  <wp:posOffset>-93345</wp:posOffset>
                </wp:positionH>
                <wp:positionV relativeFrom="paragraph">
                  <wp:posOffset>102870</wp:posOffset>
                </wp:positionV>
                <wp:extent cx="2333625" cy="1584325"/>
                <wp:effectExtent l="4445" t="4445" r="508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0F43F56">
                            <w:pPr>
                              <w:jc w:val="center"/>
                              <w:rPr>
                                <w:rFonts w:hAnsi="宋体"/>
                                <w:szCs w:val="21"/>
                              </w:rPr>
                            </w:pPr>
                          </w:p>
                          <w:p w14:paraId="00EE0A90">
                            <w:pPr>
                              <w:jc w:val="center"/>
                              <w:rPr>
                                <w:rFonts w:hAnsi="宋体"/>
                                <w:szCs w:val="21"/>
                              </w:rPr>
                            </w:pPr>
                          </w:p>
                          <w:p w14:paraId="36DC380C">
                            <w:pPr>
                              <w:jc w:val="center"/>
                              <w:rPr>
                                <w:rFonts w:hAnsi="宋体"/>
                                <w:szCs w:val="21"/>
                              </w:rPr>
                            </w:pPr>
                          </w:p>
                          <w:p w14:paraId="7C18C114">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件正面</w:t>
                            </w:r>
                          </w:p>
                        </w:txbxContent>
                      </wps:txbx>
                      <wps:bodyPr vert="horz" wrap="square" anchor="t" anchorCtr="0" upright="1"/>
                    </wps:wsp>
                  </a:graphicData>
                </a:graphic>
              </wp:anchor>
            </w:drawing>
          </mc:Choice>
          <mc:Fallback>
            <w:pict>
              <v:shape id="流程图: 可选过程 14" o:spid="_x0000_s1026" o:spt="176" type="#_x0000_t176" style="position:absolute;left:0pt;margin-left:-7.35pt;margin-top:8.1pt;height:124.75pt;width:183.75pt;z-index:251661312;mso-width-relative:page;mso-height-relative:page;" fillcolor="#FFFFFF" filled="t" stroked="t" coordsize="21600,21600" o:gfxdata="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Q9Pd72AAAAAoBAAAPAAAA&#10;AAAAAAEAIAAAACIAAABkcnMvZG93bnJldi54bWxQSwECFAAUAAAACACHTuJAdV5Gek4CAACVBAAA&#10;DgAAAAAAAAABACAAAAAnAQAAZHJzL2Uyb0RvYy54bWxQSwUGAAAAAAYABgBZAQAA5wUAAAAA&#10;">
                <v:fill on="t" focussize="0,0"/>
                <v:stroke color="#000000" joinstyle="miter"/>
                <v:imagedata o:title=""/>
                <o:lock v:ext="edit" aspectratio="f"/>
                <v:textbox>
                  <w:txbxContent>
                    <w:p w14:paraId="50F43F56">
                      <w:pPr>
                        <w:jc w:val="center"/>
                        <w:rPr>
                          <w:rFonts w:hAnsi="宋体"/>
                          <w:szCs w:val="21"/>
                        </w:rPr>
                      </w:pPr>
                    </w:p>
                    <w:p w14:paraId="00EE0A90">
                      <w:pPr>
                        <w:jc w:val="center"/>
                        <w:rPr>
                          <w:rFonts w:hAnsi="宋体"/>
                          <w:szCs w:val="21"/>
                        </w:rPr>
                      </w:pPr>
                    </w:p>
                    <w:p w14:paraId="36DC380C">
                      <w:pPr>
                        <w:jc w:val="center"/>
                        <w:rPr>
                          <w:rFonts w:hAnsi="宋体"/>
                          <w:szCs w:val="21"/>
                        </w:rPr>
                      </w:pPr>
                    </w:p>
                    <w:p w14:paraId="7C18C114">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件正面</w:t>
                      </w:r>
                    </w:p>
                  </w:txbxContent>
                </v:textbox>
              </v:shape>
            </w:pict>
          </mc:Fallback>
        </mc:AlternateContent>
      </w:r>
    </w:p>
    <w:p w14:paraId="23830BBD">
      <w:pPr>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p>
    <w:p w14:paraId="4EA3D12D">
      <w:pPr>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p>
    <w:p w14:paraId="0B3AF94D">
      <w:pPr>
        <w:keepNext w:val="0"/>
        <w:keepLines w:val="0"/>
        <w:pageBreakBefore w:val="0"/>
        <w:kinsoku/>
        <w:wordWrap/>
        <w:overflowPunct/>
        <w:topLinePunct w:val="0"/>
        <w:autoSpaceDE w:val="0"/>
        <w:autoSpaceDN w:val="0"/>
        <w:bidi w:val="0"/>
        <w:adjustRightInd w:val="0"/>
        <w:spacing w:line="500" w:lineRule="exact"/>
        <w:ind w:right="246" w:firstLine="915" w:firstLineChars="327"/>
        <w:rPr>
          <w:rFonts w:hint="eastAsia" w:ascii="仿宋" w:hAnsi="仿宋" w:eastAsia="仿宋" w:cs="仿宋"/>
          <w:color w:val="auto"/>
          <w:kern w:val="0"/>
          <w:sz w:val="28"/>
          <w:szCs w:val="28"/>
        </w:rPr>
      </w:pPr>
    </w:p>
    <w:p w14:paraId="4DB7B84A">
      <w:pPr>
        <w:keepNext w:val="0"/>
        <w:keepLines w:val="0"/>
        <w:pageBreakBefore w:val="0"/>
        <w:kinsoku/>
        <w:wordWrap/>
        <w:overflowPunct/>
        <w:topLinePunct w:val="0"/>
        <w:autoSpaceDE w:val="0"/>
        <w:autoSpaceDN w:val="0"/>
        <w:bidi w:val="0"/>
        <w:adjustRightInd w:val="0"/>
        <w:spacing w:line="500" w:lineRule="exact"/>
        <w:ind w:right="246" w:firstLine="915" w:firstLineChars="327"/>
        <w:rPr>
          <w:rFonts w:hint="eastAsia" w:ascii="仿宋" w:hAnsi="仿宋" w:eastAsia="仿宋" w:cs="仿宋"/>
          <w:color w:val="auto"/>
          <w:kern w:val="0"/>
          <w:sz w:val="28"/>
          <w:szCs w:val="28"/>
        </w:rPr>
      </w:pPr>
    </w:p>
    <w:p w14:paraId="22507387">
      <w:pPr>
        <w:keepNext w:val="0"/>
        <w:keepLines w:val="0"/>
        <w:pageBreakBefore w:val="0"/>
        <w:kinsoku/>
        <w:wordWrap/>
        <w:overflowPunct/>
        <w:topLinePunct w:val="0"/>
        <w:autoSpaceDE w:val="0"/>
        <w:autoSpaceDN w:val="0"/>
        <w:bidi w:val="0"/>
        <w:adjustRightInd w:val="0"/>
        <w:spacing w:line="500" w:lineRule="exact"/>
        <w:ind w:right="246" w:firstLine="915" w:firstLineChars="327"/>
        <w:rPr>
          <w:rFonts w:hint="eastAsia" w:ascii="仿宋" w:hAnsi="仿宋" w:eastAsia="仿宋" w:cs="仿宋"/>
          <w:color w:val="auto"/>
          <w:kern w:val="0"/>
          <w:sz w:val="28"/>
          <w:szCs w:val="28"/>
        </w:rPr>
      </w:pPr>
    </w:p>
    <w:p w14:paraId="5B8D9E6F">
      <w:pPr>
        <w:keepNext w:val="0"/>
        <w:keepLines w:val="0"/>
        <w:pageBreakBefore w:val="0"/>
        <w:kinsoku/>
        <w:wordWrap/>
        <w:overflowPunct/>
        <w:topLinePunct w:val="0"/>
        <w:autoSpaceDE w:val="0"/>
        <w:autoSpaceDN w:val="0"/>
        <w:bidi w:val="0"/>
        <w:adjustRightInd w:val="0"/>
        <w:spacing w:line="500" w:lineRule="exact"/>
        <w:ind w:right="246" w:firstLine="915" w:firstLineChars="327"/>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投标人（</w:t>
      </w:r>
      <w:r>
        <w:rPr>
          <w:rFonts w:hint="eastAsia" w:ascii="仿宋" w:hAnsi="仿宋" w:eastAsia="仿宋" w:cs="仿宋"/>
          <w:color w:val="auto"/>
          <w:kern w:val="0"/>
          <w:sz w:val="28"/>
          <w:szCs w:val="28"/>
          <w:lang w:val="en-US" w:eastAsia="zh-CN"/>
        </w:rPr>
        <w:t>签字或盖章</w:t>
      </w: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u w:val="single"/>
        </w:rPr>
        <w:t xml:space="preserve">           </w:t>
      </w:r>
    </w:p>
    <w:p w14:paraId="783A8ADC">
      <w:pPr>
        <w:keepNext w:val="0"/>
        <w:keepLines w:val="0"/>
        <w:pageBreakBefore w:val="0"/>
        <w:kinsoku/>
        <w:wordWrap/>
        <w:overflowPunct/>
        <w:topLinePunct w:val="0"/>
        <w:bidi w:val="0"/>
        <w:adjustRightInd w:val="0"/>
        <w:snapToGrid w:val="0"/>
        <w:spacing w:line="500" w:lineRule="exact"/>
        <w:ind w:firstLine="915" w:firstLineChars="327"/>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lang w:val="en-US" w:eastAsia="zh-CN"/>
        </w:rPr>
        <w:t>签字或盖章</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p>
    <w:p w14:paraId="0313BC2F">
      <w:pPr>
        <w:keepNext w:val="0"/>
        <w:keepLines w:val="0"/>
        <w:pageBreakBefore w:val="0"/>
        <w:kinsoku/>
        <w:wordWrap/>
        <w:overflowPunct/>
        <w:topLinePunct w:val="0"/>
        <w:bidi w:val="0"/>
        <w:adjustRightInd w:val="0"/>
        <w:snapToGrid w:val="0"/>
        <w:spacing w:line="500" w:lineRule="exact"/>
        <w:ind w:firstLine="915" w:firstLineChars="327"/>
        <w:rPr>
          <w:rFonts w:hint="eastAsia"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14:paraId="6FE72A82">
      <w:pPr>
        <w:keepNext w:val="0"/>
        <w:keepLines w:val="0"/>
        <w:pageBreakBefore w:val="0"/>
        <w:tabs>
          <w:tab w:val="left" w:pos="540"/>
        </w:tabs>
        <w:kinsoku/>
        <w:wordWrap/>
        <w:overflowPunct/>
        <w:topLinePunct w:val="0"/>
        <w:bidi w:val="0"/>
        <w:spacing w:line="500" w:lineRule="exact"/>
        <w:jc w:val="left"/>
        <w:rPr>
          <w:rFonts w:hint="eastAsia" w:ascii="仿宋" w:hAnsi="仿宋" w:eastAsia="仿宋" w:cs="仿宋"/>
          <w:b/>
          <w:bCs w:val="0"/>
          <w:color w:val="auto"/>
          <w:sz w:val="21"/>
          <w:szCs w:val="21"/>
          <w:lang w:eastAsia="zh-CN"/>
        </w:rPr>
      </w:pPr>
      <w:bookmarkStart w:id="501" w:name="_Toc29028"/>
      <w:bookmarkStart w:id="502" w:name="_Toc1846"/>
      <w:bookmarkStart w:id="503" w:name="_Toc23386"/>
      <w:r>
        <w:rPr>
          <w:rFonts w:hint="eastAsia" w:ascii="仿宋" w:hAnsi="仿宋" w:eastAsia="仿宋" w:cs="仿宋"/>
          <w:b/>
          <w:bCs w:val="0"/>
          <w:color w:val="auto"/>
          <w:sz w:val="21"/>
          <w:szCs w:val="21"/>
          <w:lang w:val="en-US" w:eastAsia="zh-CN"/>
        </w:rPr>
        <w:t>注：法人投标无需提供</w:t>
      </w:r>
    </w:p>
    <w:p w14:paraId="3EF46A5D">
      <w:pPr>
        <w:keepNext w:val="0"/>
        <w:keepLines w:val="0"/>
        <w:pageBreakBefore w:val="0"/>
        <w:tabs>
          <w:tab w:val="left" w:pos="540"/>
        </w:tabs>
        <w:kinsoku/>
        <w:wordWrap/>
        <w:overflowPunct/>
        <w:topLinePunct w:val="0"/>
        <w:bidi w:val="0"/>
        <w:spacing w:line="500" w:lineRule="exact"/>
        <w:jc w:val="center"/>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rPr>
        <w:t>法定代表人授权委托书</w:t>
      </w:r>
      <w:bookmarkEnd w:id="501"/>
      <w:bookmarkEnd w:id="502"/>
      <w:bookmarkEnd w:id="503"/>
      <w:bookmarkStart w:id="504" w:name="_Toc30228"/>
      <w:bookmarkStart w:id="505" w:name="_Toc5232"/>
      <w:bookmarkStart w:id="506" w:name="_Toc6592"/>
    </w:p>
    <w:p w14:paraId="40C0F053">
      <w:pPr>
        <w:pStyle w:val="13"/>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p>
    <w:p w14:paraId="18D1276A">
      <w:pPr>
        <w:keepNext w:val="0"/>
        <w:keepLines w:val="0"/>
        <w:pageBreakBefore w:val="0"/>
        <w:tabs>
          <w:tab w:val="left" w:pos="540"/>
        </w:tabs>
        <w:kinsoku/>
        <w:wordWrap/>
        <w:overflowPunct/>
        <w:topLinePunct w:val="0"/>
        <w:bidi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本授权书声明：注册于</w:t>
      </w:r>
      <w:r>
        <w:rPr>
          <w:rFonts w:hint="eastAsia" w:ascii="仿宋" w:hAnsi="仿宋" w:eastAsia="仿宋" w:cs="仿宋"/>
          <w:bCs/>
          <w:color w:val="auto"/>
          <w:sz w:val="28"/>
          <w:szCs w:val="28"/>
          <w:u w:val="single"/>
        </w:rPr>
        <w:t>（国家或地区的名称）</w:t>
      </w:r>
      <w:r>
        <w:rPr>
          <w:rFonts w:hint="eastAsia" w:ascii="仿宋" w:hAnsi="仿宋" w:eastAsia="仿宋" w:cs="仿宋"/>
          <w:bCs/>
          <w:color w:val="auto"/>
          <w:sz w:val="28"/>
          <w:szCs w:val="28"/>
        </w:rPr>
        <w:t>的（</w:t>
      </w:r>
      <w:r>
        <w:rPr>
          <w:rFonts w:hint="eastAsia" w:ascii="仿宋" w:hAnsi="仿宋" w:eastAsia="仿宋" w:cs="仿宋"/>
          <w:bCs/>
          <w:color w:val="auto"/>
          <w:sz w:val="28"/>
          <w:szCs w:val="28"/>
          <w:u w:val="single"/>
        </w:rPr>
        <w:t>投标人</w:t>
      </w:r>
      <w:r>
        <w:rPr>
          <w:rFonts w:hint="eastAsia" w:ascii="仿宋" w:hAnsi="仿宋" w:eastAsia="仿宋" w:cs="仿宋"/>
          <w:bCs/>
          <w:color w:val="auto"/>
          <w:sz w:val="28"/>
          <w:szCs w:val="28"/>
        </w:rPr>
        <w:t>）的在下面签字的（</w:t>
      </w:r>
      <w:r>
        <w:rPr>
          <w:rFonts w:hint="eastAsia" w:ascii="仿宋" w:hAnsi="仿宋" w:eastAsia="仿宋" w:cs="仿宋"/>
          <w:bCs/>
          <w:color w:val="auto"/>
          <w:sz w:val="28"/>
          <w:szCs w:val="28"/>
          <w:u w:val="single"/>
        </w:rPr>
        <w:t>法人代表姓名、职务</w:t>
      </w:r>
      <w:r>
        <w:rPr>
          <w:rFonts w:hint="eastAsia" w:ascii="仿宋" w:hAnsi="仿宋" w:eastAsia="仿宋" w:cs="仿宋"/>
          <w:bCs/>
          <w:color w:val="auto"/>
          <w:sz w:val="28"/>
          <w:szCs w:val="28"/>
        </w:rPr>
        <w:t>）代表我单位授权（</w:t>
      </w:r>
      <w:r>
        <w:rPr>
          <w:rFonts w:hint="eastAsia" w:ascii="仿宋" w:hAnsi="仿宋" w:eastAsia="仿宋" w:cs="仿宋"/>
          <w:bCs/>
          <w:color w:val="auto"/>
          <w:sz w:val="28"/>
          <w:szCs w:val="28"/>
          <w:u w:val="single"/>
        </w:rPr>
        <w:t>单位名称</w:t>
      </w:r>
      <w:r>
        <w:rPr>
          <w:rFonts w:hint="eastAsia" w:ascii="仿宋" w:hAnsi="仿宋" w:eastAsia="仿宋" w:cs="仿宋"/>
          <w:bCs/>
          <w:color w:val="auto"/>
          <w:sz w:val="28"/>
          <w:szCs w:val="28"/>
        </w:rPr>
        <w:t>）的在下面签字的（</w:t>
      </w:r>
      <w:r>
        <w:rPr>
          <w:rFonts w:hint="eastAsia" w:ascii="仿宋" w:hAnsi="仿宋" w:eastAsia="仿宋" w:cs="仿宋"/>
          <w:bCs/>
          <w:color w:val="auto"/>
          <w:sz w:val="28"/>
          <w:szCs w:val="28"/>
          <w:u w:val="single"/>
        </w:rPr>
        <w:t>被授权人的姓名、职务</w:t>
      </w:r>
      <w:r>
        <w:rPr>
          <w:rFonts w:hint="eastAsia" w:ascii="仿宋" w:hAnsi="仿宋" w:eastAsia="仿宋" w:cs="仿宋"/>
          <w:bCs/>
          <w:color w:val="auto"/>
          <w:sz w:val="28"/>
          <w:szCs w:val="28"/>
        </w:rPr>
        <w:t>）为我单位的合法代理人，就（</w:t>
      </w:r>
      <w:r>
        <w:rPr>
          <w:rFonts w:hint="eastAsia" w:ascii="仿宋" w:hAnsi="仿宋" w:eastAsia="仿宋" w:cs="仿宋"/>
          <w:bCs/>
          <w:color w:val="auto"/>
          <w:sz w:val="28"/>
          <w:szCs w:val="28"/>
          <w:u w:val="single"/>
        </w:rPr>
        <w:t>项目名称</w:t>
      </w:r>
      <w:r>
        <w:rPr>
          <w:rFonts w:hint="eastAsia" w:ascii="仿宋" w:hAnsi="仿宋" w:eastAsia="仿宋" w:cs="仿宋"/>
          <w:bCs/>
          <w:color w:val="auto"/>
          <w:sz w:val="28"/>
          <w:szCs w:val="28"/>
          <w:u w:val="single"/>
          <w:lang w:eastAsia="zh-CN"/>
        </w:rPr>
        <w:t>、</w:t>
      </w:r>
      <w:r>
        <w:rPr>
          <w:rFonts w:hint="eastAsia" w:ascii="仿宋" w:hAnsi="仿宋" w:eastAsia="仿宋" w:cs="仿宋"/>
          <w:bCs/>
          <w:color w:val="auto"/>
          <w:sz w:val="28"/>
          <w:szCs w:val="28"/>
          <w:u w:val="single"/>
          <w:lang w:val="en-US" w:eastAsia="zh-CN"/>
        </w:rPr>
        <w:t>标项号</w:t>
      </w:r>
      <w:r>
        <w:rPr>
          <w:rFonts w:hint="eastAsia" w:ascii="仿宋" w:hAnsi="仿宋" w:eastAsia="仿宋" w:cs="仿宋"/>
          <w:bCs/>
          <w:color w:val="auto"/>
          <w:sz w:val="28"/>
          <w:szCs w:val="28"/>
        </w:rPr>
        <w:t>）的投标，以我单位名义处理一切与之有关的事务。</w:t>
      </w:r>
      <w:r>
        <w:rPr>
          <w:rFonts w:hint="eastAsia" w:ascii="仿宋" w:hAnsi="仿宋" w:eastAsia="仿宋" w:cs="仿宋"/>
          <w:bCs/>
          <w:color w:val="auto"/>
          <w:sz w:val="28"/>
          <w:szCs w:val="28"/>
        </w:rPr>
        <w:cr/>
      </w:r>
      <w:bookmarkEnd w:id="504"/>
      <w:bookmarkEnd w:id="505"/>
      <w:bookmarkEnd w:id="506"/>
      <w:r>
        <w:rPr>
          <w:rFonts w:hint="eastAsia" w:ascii="仿宋" w:hAnsi="仿宋" w:eastAsia="仿宋" w:cs="仿宋"/>
          <w:color w:val="auto"/>
          <w:sz w:val="28"/>
          <w:szCs w:val="28"/>
        </w:rPr>
        <w:t>　　</w:t>
      </w:r>
    </w:p>
    <w:p w14:paraId="571FECC4">
      <w:pPr>
        <w:pStyle w:val="16"/>
        <w:keepNext w:val="0"/>
        <w:keepLines w:val="0"/>
        <w:pageBreakBefore w:val="0"/>
        <w:tabs>
          <w:tab w:val="left" w:pos="5580"/>
        </w:tabs>
        <w:kinsoku/>
        <w:wordWrap/>
        <w:overflowPunct/>
        <w:topLinePunct w:val="0"/>
        <w:bidi w:val="0"/>
        <w:spacing w:line="500" w:lineRule="exact"/>
        <w:ind w:left="-539" w:leftChars="-257" w:firstLine="1050" w:firstLineChars="375"/>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0" distR="0" simplePos="0" relativeHeight="251663360" behindDoc="0" locked="0" layoutInCell="1" allowOverlap="1">
                <wp:simplePos x="0" y="0"/>
                <wp:positionH relativeFrom="column">
                  <wp:posOffset>2827655</wp:posOffset>
                </wp:positionH>
                <wp:positionV relativeFrom="paragraph">
                  <wp:posOffset>581025</wp:posOffset>
                </wp:positionV>
                <wp:extent cx="2230755" cy="1239520"/>
                <wp:effectExtent l="8255" t="7620" r="8890" b="10160"/>
                <wp:wrapNone/>
                <wp:docPr id="1028" name="自选图形 1121"/>
                <wp:cNvGraphicFramePr/>
                <a:graphic xmlns:a="http://schemas.openxmlformats.org/drawingml/2006/main">
                  <a:graphicData uri="http://schemas.microsoft.com/office/word/2010/wordprocessingShape">
                    <wps:wsp>
                      <wps:cNvSpPr/>
                      <wps:spPr>
                        <a:xfrm>
                          <a:off x="0" y="0"/>
                          <a:ext cx="2230754" cy="12395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8882EA7">
                            <w:pPr>
                              <w:jc w:val="center"/>
                              <w:rPr>
                                <w:rFonts w:hAnsi="宋体"/>
                              </w:rPr>
                            </w:pPr>
                            <w:r>
                              <w:rPr>
                                <w:rFonts w:hint="eastAsia" w:hAnsi="宋体"/>
                              </w:rPr>
                              <w:t xml:space="preserve">  </w:t>
                            </w:r>
                          </w:p>
                          <w:p w14:paraId="66583A5E">
                            <w:pPr>
                              <w:rPr>
                                <w:rFonts w:hAnsi="宋体"/>
                              </w:rPr>
                            </w:pPr>
                          </w:p>
                          <w:p w14:paraId="47FDE27E">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件反面</w:t>
                            </w:r>
                          </w:p>
                          <w:p w14:paraId="09A54972"/>
                        </w:txbxContent>
                      </wps:txbx>
                      <wps:bodyPr vert="horz" wrap="square" anchor="t" anchorCtr="0" upright="1"/>
                    </wps:wsp>
                  </a:graphicData>
                </a:graphic>
              </wp:anchor>
            </w:drawing>
          </mc:Choice>
          <mc:Fallback>
            <w:pict>
              <v:roundrect id="自选图形 1121" o:spid="_x0000_s1026" o:spt="2" style="position:absolute;left:0pt;margin-left:222.65pt;margin-top:45.75pt;height:97.6pt;width:175.65pt;z-index:251663360;mso-width-relative:page;mso-height-relative:page;" fillcolor="#FFFFFF" filled="t" stroked="t" coordsize="21600,21600" arcsize="0.166666666666667" o:gfxdata="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GpZqr3QAA&#10;AAoBAAAPAAAAAAAAAAEAIAAAACIAAABkcnMvZG93bnJldi54bWxQSwECFAAUAAAACACHTuJAfNDm&#10;8lICAACpBAAADgAAAAAAAAABACAAAAAsAQAAZHJzL2Uyb0RvYy54bWxQSwUGAAAAAAYABgBZAQAA&#10;8AUAAAAA&#10;">
                <v:fill on="t" focussize="0,0"/>
                <v:stroke weight="1.25pt" color="#808080" joinstyle="round"/>
                <v:imagedata o:title=""/>
                <o:lock v:ext="edit" aspectratio="f"/>
                <v:textbox>
                  <w:txbxContent>
                    <w:p w14:paraId="08882EA7">
                      <w:pPr>
                        <w:jc w:val="center"/>
                        <w:rPr>
                          <w:rFonts w:hAnsi="宋体"/>
                        </w:rPr>
                      </w:pPr>
                      <w:r>
                        <w:rPr>
                          <w:rFonts w:hint="eastAsia" w:hAnsi="宋体"/>
                        </w:rPr>
                        <w:t xml:space="preserve">  </w:t>
                      </w:r>
                    </w:p>
                    <w:p w14:paraId="66583A5E">
                      <w:pPr>
                        <w:rPr>
                          <w:rFonts w:hAnsi="宋体"/>
                        </w:rPr>
                      </w:pPr>
                    </w:p>
                    <w:p w14:paraId="47FDE27E">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件反面</w:t>
                      </w:r>
                    </w:p>
                    <w:p w14:paraId="09A54972"/>
                  </w:txbxContent>
                </v:textbox>
              </v:roundrect>
            </w:pict>
          </mc:Fallback>
        </mc:AlternateContent>
      </w:r>
      <w:r>
        <w:rPr>
          <w:rFonts w:hint="eastAsia" w:ascii="仿宋" w:hAnsi="仿宋" w:eastAsia="仿宋" w:cs="仿宋"/>
          <w:color w:val="auto"/>
          <w:sz w:val="28"/>
          <w:szCs w:val="28"/>
        </w:rPr>
        <mc:AlternateContent>
          <mc:Choice Requires="wps">
            <w:drawing>
              <wp:anchor distT="0" distB="0" distL="0" distR="0" simplePos="0" relativeHeight="251664384" behindDoc="0" locked="0" layoutInCell="1" allowOverlap="1">
                <wp:simplePos x="0" y="0"/>
                <wp:positionH relativeFrom="column">
                  <wp:posOffset>321945</wp:posOffset>
                </wp:positionH>
                <wp:positionV relativeFrom="paragraph">
                  <wp:posOffset>566420</wp:posOffset>
                </wp:positionV>
                <wp:extent cx="2270760" cy="1302385"/>
                <wp:effectExtent l="7620" t="7620" r="26670" b="23495"/>
                <wp:wrapNone/>
                <wp:docPr id="1029" name="自选图形 1122"/>
                <wp:cNvGraphicFramePr/>
                <a:graphic xmlns:a="http://schemas.openxmlformats.org/drawingml/2006/main">
                  <a:graphicData uri="http://schemas.microsoft.com/office/word/2010/wordprocessingShape">
                    <wps:wsp>
                      <wps:cNvSpPr/>
                      <wps:spPr>
                        <a:xfrm>
                          <a:off x="0" y="0"/>
                          <a:ext cx="2270759" cy="1302384"/>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888444B">
                            <w:pPr>
                              <w:jc w:val="center"/>
                              <w:rPr>
                                <w:rFonts w:hAnsi="宋体"/>
                              </w:rPr>
                            </w:pPr>
                          </w:p>
                          <w:p w14:paraId="1CA68C46">
                            <w:pPr>
                              <w:rPr>
                                <w:rFonts w:hAnsi="宋体"/>
                              </w:rPr>
                            </w:pPr>
                          </w:p>
                          <w:p w14:paraId="6341ACD1">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件正面</w:t>
                            </w:r>
                          </w:p>
                          <w:p w14:paraId="31B05FAD"/>
                        </w:txbxContent>
                      </wps:txbx>
                      <wps:bodyPr vert="horz" wrap="square" anchor="t" anchorCtr="0" upright="1"/>
                    </wps:wsp>
                  </a:graphicData>
                </a:graphic>
              </wp:anchor>
            </w:drawing>
          </mc:Choice>
          <mc:Fallback>
            <w:pict>
              <v:roundrect id="自选图形 1122" o:spid="_x0000_s1026" o:spt="2" style="position:absolute;left:0pt;margin-left:25.35pt;margin-top:44.6pt;height:102.55pt;width:178.8pt;z-index:251664384;mso-width-relative:page;mso-height-relative:page;" fillcolor="#FFFFFF" filled="t" stroked="t" coordsize="21600,21600" arcsize="0.166666666666667" o:gfxdata="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8xKFdsAAAAJ&#10;AQAADwAAAAAAAAABACAAAAAiAAAAZHJzL2Rvd25yZXYueG1sUEsBAhQAFAAAAAgAh07iQIwvGGNS&#10;AgAAqQQAAA4AAAAAAAAAAQAgAAAAKgEAAGRycy9lMm9Eb2MueG1sUEsFBgAAAAAGAAYAWQEAAO4F&#10;AAAAAA==&#10;">
                <v:fill on="t" focussize="0,0"/>
                <v:stroke weight="1.25pt" color="#808080" joinstyle="round"/>
                <v:imagedata o:title=""/>
                <o:lock v:ext="edit" aspectratio="f"/>
                <v:textbox>
                  <w:txbxContent>
                    <w:p w14:paraId="0888444B">
                      <w:pPr>
                        <w:jc w:val="center"/>
                        <w:rPr>
                          <w:rFonts w:hAnsi="宋体"/>
                        </w:rPr>
                      </w:pPr>
                    </w:p>
                    <w:p w14:paraId="1CA68C46">
                      <w:pPr>
                        <w:rPr>
                          <w:rFonts w:hAnsi="宋体"/>
                        </w:rPr>
                      </w:pPr>
                    </w:p>
                    <w:p w14:paraId="6341ACD1">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件正面</w:t>
                      </w:r>
                    </w:p>
                    <w:p w14:paraId="31B05FAD"/>
                  </w:txbxContent>
                </v:textbox>
              </v:roundrect>
            </w:pict>
          </mc:Fallback>
        </mc:AlternateContent>
      </w:r>
      <w:r>
        <w:rPr>
          <w:rFonts w:hint="eastAsia" w:ascii="仿宋" w:hAnsi="仿宋" w:eastAsia="仿宋" w:cs="仿宋"/>
          <w:color w:val="auto"/>
          <w:sz w:val="28"/>
          <w:szCs w:val="28"/>
        </w:rPr>
        <w:t>本授权书于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日签字生效,特此声明。</w:t>
      </w:r>
      <w:r>
        <w:rPr>
          <w:rFonts w:hint="eastAsia" w:ascii="仿宋" w:hAnsi="仿宋" w:eastAsia="仿宋" w:cs="仿宋"/>
          <w:color w:val="auto"/>
          <w:sz w:val="28"/>
          <w:szCs w:val="28"/>
        </w:rPr>
        <w:cr/>
      </w:r>
      <w:r>
        <w:rPr>
          <w:rFonts w:hint="eastAsia" w:ascii="仿宋" w:hAnsi="仿宋" w:eastAsia="仿宋" w:cs="仿宋"/>
          <w:color w:val="auto"/>
          <w:sz w:val="28"/>
          <w:szCs w:val="28"/>
        </w:rPr>
        <w:cr/>
      </w:r>
    </w:p>
    <w:p w14:paraId="4CC3E879">
      <w:pPr>
        <w:pStyle w:val="16"/>
        <w:keepNext w:val="0"/>
        <w:keepLines w:val="0"/>
        <w:pageBreakBefore w:val="0"/>
        <w:tabs>
          <w:tab w:val="left" w:pos="5580"/>
        </w:tabs>
        <w:kinsoku/>
        <w:wordWrap/>
        <w:overflowPunct/>
        <w:topLinePunct w:val="0"/>
        <w:bidi w:val="0"/>
        <w:spacing w:line="500" w:lineRule="exact"/>
        <w:ind w:left="-539" w:leftChars="-257" w:firstLine="1050" w:firstLineChars="375"/>
        <w:rPr>
          <w:rFonts w:hint="eastAsia" w:ascii="仿宋" w:hAnsi="仿宋" w:eastAsia="仿宋" w:cs="仿宋"/>
          <w:color w:val="auto"/>
          <w:sz w:val="28"/>
          <w:szCs w:val="28"/>
        </w:rPr>
      </w:pPr>
    </w:p>
    <w:p w14:paraId="6C8A1879">
      <w:pPr>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p>
    <w:p w14:paraId="7E83E0DF">
      <w:pPr>
        <w:keepNext w:val="0"/>
        <w:keepLines w:val="0"/>
        <w:pageBreakBefore w:val="0"/>
        <w:kinsoku/>
        <w:wordWrap/>
        <w:overflowPunct/>
        <w:topLinePunct w:val="0"/>
        <w:bidi w:val="0"/>
        <w:spacing w:line="500" w:lineRule="exact"/>
        <w:ind w:firstLine="280" w:firstLineChars="100"/>
        <w:rPr>
          <w:rFonts w:hint="eastAsia" w:ascii="仿宋" w:hAnsi="仿宋" w:eastAsia="仿宋" w:cs="仿宋"/>
          <w:color w:val="auto"/>
          <w:sz w:val="28"/>
          <w:szCs w:val="28"/>
        </w:rPr>
      </w:pPr>
    </w:p>
    <w:p w14:paraId="41A6A3DD">
      <w:pPr>
        <w:keepNext w:val="0"/>
        <w:keepLines w:val="0"/>
        <w:pageBreakBefore w:val="0"/>
        <w:kinsoku/>
        <w:wordWrap/>
        <w:overflowPunct/>
        <w:topLinePunct w:val="0"/>
        <w:bidi w:val="0"/>
        <w:spacing w:line="500" w:lineRule="exact"/>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0" distR="0" simplePos="0" relativeHeight="251665408" behindDoc="0" locked="0" layoutInCell="1" allowOverlap="1">
                <wp:simplePos x="0" y="0"/>
                <wp:positionH relativeFrom="column">
                  <wp:posOffset>2772410</wp:posOffset>
                </wp:positionH>
                <wp:positionV relativeFrom="paragraph">
                  <wp:posOffset>203200</wp:posOffset>
                </wp:positionV>
                <wp:extent cx="2268855" cy="1211580"/>
                <wp:effectExtent l="7620" t="7620" r="9525" b="19050"/>
                <wp:wrapNone/>
                <wp:docPr id="1030" name="自选图形 1123"/>
                <wp:cNvGraphicFramePr/>
                <a:graphic xmlns:a="http://schemas.openxmlformats.org/drawingml/2006/main">
                  <a:graphicData uri="http://schemas.microsoft.com/office/word/2010/wordprocessingShape">
                    <wps:wsp>
                      <wps:cNvSpPr/>
                      <wps:spPr>
                        <a:xfrm>
                          <a:off x="0" y="0"/>
                          <a:ext cx="2268855" cy="121158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538A78A9">
                            <w:pPr>
                              <w:rPr>
                                <w:rFonts w:hAnsi="宋体"/>
                              </w:rPr>
                            </w:pPr>
                          </w:p>
                          <w:p w14:paraId="2968FCC5">
                            <w:pPr>
                              <w:rPr>
                                <w:rFonts w:hAnsi="宋体"/>
                              </w:rPr>
                            </w:pPr>
                          </w:p>
                          <w:p w14:paraId="601D1DC6">
                            <w:r>
                              <w:rPr>
                                <w:rFonts w:hint="eastAsia" w:hAnsi="宋体"/>
                              </w:rPr>
                              <w:t>被授权委托人身份证</w:t>
                            </w:r>
                            <w:r>
                              <w:rPr>
                                <w:rFonts w:hint="eastAsia" w:hAnsi="宋体"/>
                                <w:szCs w:val="21"/>
                                <w:lang w:val="en-US" w:eastAsia="zh-CN"/>
                              </w:rPr>
                              <w:t>扫描</w:t>
                            </w:r>
                            <w:r>
                              <w:rPr>
                                <w:rFonts w:hint="eastAsia" w:hAnsi="宋体"/>
                              </w:rPr>
                              <w:t>件反面</w:t>
                            </w:r>
                          </w:p>
                          <w:p w14:paraId="75FE7FA7"/>
                        </w:txbxContent>
                      </wps:txbx>
                      <wps:bodyPr vert="horz" wrap="square" anchor="t" anchorCtr="0" upright="1"/>
                    </wps:wsp>
                  </a:graphicData>
                </a:graphic>
              </wp:anchor>
            </w:drawing>
          </mc:Choice>
          <mc:Fallback>
            <w:pict>
              <v:roundrect id="自选图形 1123" o:spid="_x0000_s1026" o:spt="2" style="position:absolute;left:0pt;margin-left:218.3pt;margin-top:16pt;height:95.4pt;width:178.65pt;z-index:251665408;mso-width-relative:page;mso-height-relative:page;" fillcolor="#FFFFFF" filled="t" stroked="t" coordsize="21600,21600" arcsize="0.166666666666667" o:gfxdata="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miKeNsAAAAK&#10;AQAADwAAAAAAAAABACAAAAAiAAAAZHJzL2Rvd25yZXYueG1sUEsBAhQAFAAAAAgAh07iQE4V55JS&#10;AgAAqQQAAA4AAAAAAAAAAQAgAAAAKgEAAGRycy9lMm9Eb2MueG1sUEsFBgAAAAAGAAYAWQEAAO4F&#10;AAAAAA==&#10;">
                <v:fill on="t" focussize="0,0"/>
                <v:stroke weight="1.25pt" color="#808080" joinstyle="round"/>
                <v:imagedata o:title=""/>
                <o:lock v:ext="edit" aspectratio="f"/>
                <v:textbox>
                  <w:txbxContent>
                    <w:p w14:paraId="538A78A9">
                      <w:pPr>
                        <w:rPr>
                          <w:rFonts w:hAnsi="宋体"/>
                        </w:rPr>
                      </w:pPr>
                    </w:p>
                    <w:p w14:paraId="2968FCC5">
                      <w:pPr>
                        <w:rPr>
                          <w:rFonts w:hAnsi="宋体"/>
                        </w:rPr>
                      </w:pPr>
                    </w:p>
                    <w:p w14:paraId="601D1DC6">
                      <w:r>
                        <w:rPr>
                          <w:rFonts w:hint="eastAsia" w:hAnsi="宋体"/>
                        </w:rPr>
                        <w:t>被授权委托人身份证</w:t>
                      </w:r>
                      <w:r>
                        <w:rPr>
                          <w:rFonts w:hint="eastAsia" w:hAnsi="宋体"/>
                          <w:szCs w:val="21"/>
                          <w:lang w:val="en-US" w:eastAsia="zh-CN"/>
                        </w:rPr>
                        <w:t>扫描</w:t>
                      </w:r>
                      <w:r>
                        <w:rPr>
                          <w:rFonts w:hint="eastAsia" w:hAnsi="宋体"/>
                        </w:rPr>
                        <w:t>件反面</w:t>
                      </w:r>
                    </w:p>
                    <w:p w14:paraId="75FE7FA7"/>
                  </w:txbxContent>
                </v:textbox>
              </v:roundrect>
            </w:pict>
          </mc:Fallback>
        </mc:AlternateContent>
      </w:r>
      <w:r>
        <w:rPr>
          <w:rFonts w:hint="eastAsia" w:ascii="仿宋" w:hAnsi="仿宋" w:eastAsia="仿宋" w:cs="仿宋"/>
          <w:color w:val="auto"/>
          <w:sz w:val="28"/>
          <w:szCs w:val="28"/>
        </w:rPr>
        <mc:AlternateContent>
          <mc:Choice Requires="wps">
            <w:drawing>
              <wp:anchor distT="0" distB="0" distL="0" distR="0" simplePos="0" relativeHeight="251666432" behindDoc="0" locked="0" layoutInCell="1" allowOverlap="1">
                <wp:simplePos x="0" y="0"/>
                <wp:positionH relativeFrom="column">
                  <wp:posOffset>287655</wp:posOffset>
                </wp:positionH>
                <wp:positionV relativeFrom="paragraph">
                  <wp:posOffset>200025</wp:posOffset>
                </wp:positionV>
                <wp:extent cx="2259965" cy="1209675"/>
                <wp:effectExtent l="4445" t="4445" r="21590" b="5080"/>
                <wp:wrapNone/>
                <wp:docPr id="1031" name="自选图形 1124"/>
                <wp:cNvGraphicFramePr/>
                <a:graphic xmlns:a="http://schemas.openxmlformats.org/drawingml/2006/main">
                  <a:graphicData uri="http://schemas.microsoft.com/office/word/2010/wordprocessingShape">
                    <wps:wsp>
                      <wps:cNvSpPr/>
                      <wps:spPr>
                        <a:xfrm>
                          <a:off x="0" y="0"/>
                          <a:ext cx="2259965" cy="12096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CDB697C">
                            <w:pPr>
                              <w:rPr>
                                <w:rFonts w:hAnsi="宋体"/>
                              </w:rPr>
                            </w:pPr>
                          </w:p>
                          <w:p w14:paraId="512D6820">
                            <w:pPr>
                              <w:jc w:val="center"/>
                              <w:rPr>
                                <w:rFonts w:hAnsi="宋体"/>
                              </w:rPr>
                            </w:pPr>
                          </w:p>
                          <w:p w14:paraId="3CC96EB4">
                            <w:pPr>
                              <w:jc w:val="center"/>
                            </w:pPr>
                            <w:r>
                              <w:rPr>
                                <w:rFonts w:hint="eastAsia" w:hAnsi="宋体"/>
                              </w:rPr>
                              <w:t>被授权委托人身份证</w:t>
                            </w:r>
                            <w:r>
                              <w:rPr>
                                <w:rFonts w:hint="eastAsia" w:hAnsi="宋体"/>
                                <w:szCs w:val="21"/>
                                <w:lang w:val="en-US" w:eastAsia="zh-CN"/>
                              </w:rPr>
                              <w:t>扫描</w:t>
                            </w:r>
                            <w:r>
                              <w:rPr>
                                <w:rFonts w:hint="eastAsia" w:hAnsi="宋体"/>
                              </w:rPr>
                              <w:t>件正面</w:t>
                            </w:r>
                          </w:p>
                        </w:txbxContent>
                      </wps:txbx>
                      <wps:bodyPr vert="horz" wrap="square" anchor="t" anchorCtr="0" upright="1"/>
                    </wps:wsp>
                  </a:graphicData>
                </a:graphic>
              </wp:anchor>
            </w:drawing>
          </mc:Choice>
          <mc:Fallback>
            <w:pict>
              <v:shape id="自选图形 1124" o:spid="_x0000_s1026" o:spt="176" type="#_x0000_t176" style="position:absolute;left:0pt;margin-left:22.65pt;margin-top:15.75pt;height:95.25pt;width:177.95pt;z-index:251666432;mso-width-relative:page;mso-height-relative:page;" fillcolor="#FFFFFF" filled="t" stroked="t" coordsize="21600,21600" o:gfxdata="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9sWvF2AAAAAkBAAAPAAAAAAAAAAEAIAAAACIA&#10;AABkcnMvZG93bnJldi54bWxQSwECFAAUAAAACACHTuJA6hehzkICAACMBAAADgAAAAAAAAABACAA&#10;AAAnAQAAZHJzL2Uyb0RvYy54bWxQSwUGAAAAAAYABgBZAQAA2wUAAAAA&#10;">
                <v:fill on="t" focussize="0,0"/>
                <v:stroke color="#000000" joinstyle="miter"/>
                <v:imagedata o:title=""/>
                <o:lock v:ext="edit" aspectratio="f"/>
                <v:textbox>
                  <w:txbxContent>
                    <w:p w14:paraId="3CDB697C">
                      <w:pPr>
                        <w:rPr>
                          <w:rFonts w:hAnsi="宋体"/>
                        </w:rPr>
                      </w:pPr>
                    </w:p>
                    <w:p w14:paraId="512D6820">
                      <w:pPr>
                        <w:jc w:val="center"/>
                        <w:rPr>
                          <w:rFonts w:hAnsi="宋体"/>
                        </w:rPr>
                      </w:pPr>
                    </w:p>
                    <w:p w14:paraId="3CC96EB4">
                      <w:pPr>
                        <w:jc w:val="center"/>
                      </w:pPr>
                      <w:r>
                        <w:rPr>
                          <w:rFonts w:hint="eastAsia" w:hAnsi="宋体"/>
                        </w:rPr>
                        <w:t>被授权委托人身份证</w:t>
                      </w:r>
                      <w:r>
                        <w:rPr>
                          <w:rFonts w:hint="eastAsia" w:hAnsi="宋体"/>
                          <w:szCs w:val="21"/>
                          <w:lang w:val="en-US" w:eastAsia="zh-CN"/>
                        </w:rPr>
                        <w:t>扫描</w:t>
                      </w:r>
                      <w:r>
                        <w:rPr>
                          <w:rFonts w:hint="eastAsia" w:hAnsi="宋体"/>
                        </w:rPr>
                        <w:t>件正面</w:t>
                      </w:r>
                    </w:p>
                  </w:txbxContent>
                </v:textbox>
              </v:shape>
            </w:pict>
          </mc:Fallback>
        </mc:AlternateContent>
      </w:r>
    </w:p>
    <w:p w14:paraId="052C36B3">
      <w:pPr>
        <w:keepNext w:val="0"/>
        <w:keepLines w:val="0"/>
        <w:pageBreakBefore w:val="0"/>
        <w:kinsoku/>
        <w:wordWrap/>
        <w:overflowPunct/>
        <w:topLinePunct w:val="0"/>
        <w:bidi w:val="0"/>
        <w:spacing w:line="500" w:lineRule="exact"/>
        <w:ind w:firstLine="280" w:firstLineChars="100"/>
        <w:rPr>
          <w:rFonts w:hint="eastAsia" w:ascii="仿宋" w:hAnsi="仿宋" w:eastAsia="仿宋" w:cs="仿宋"/>
          <w:color w:val="auto"/>
          <w:sz w:val="28"/>
          <w:szCs w:val="28"/>
        </w:rPr>
      </w:pPr>
    </w:p>
    <w:p w14:paraId="45CCCE8E">
      <w:pPr>
        <w:pStyle w:val="16"/>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auto"/>
          <w:sz w:val="28"/>
          <w:szCs w:val="28"/>
          <w:u w:val="single"/>
        </w:rPr>
      </w:pPr>
      <w:r>
        <w:rPr>
          <w:rFonts w:hint="eastAsia" w:ascii="仿宋" w:hAnsi="仿宋" w:eastAsia="仿宋" w:cs="仿宋"/>
          <w:color w:val="auto"/>
          <w:sz w:val="28"/>
          <w:szCs w:val="28"/>
        </w:rPr>
        <w:t>投 标 人（盖</w:t>
      </w:r>
      <w:r>
        <w:rPr>
          <w:rFonts w:hint="eastAsia" w:ascii="仿宋" w:hAnsi="仿宋" w:eastAsia="仿宋" w:cs="仿宋"/>
          <w:color w:val="auto"/>
          <w:sz w:val="28"/>
          <w:szCs w:val="28"/>
          <w:lang w:val="en-US" w:eastAsia="zh-CN"/>
        </w:rPr>
        <w:t>公</w:t>
      </w:r>
      <w:r>
        <w:rPr>
          <w:rFonts w:hint="eastAsia" w:ascii="仿宋" w:hAnsi="仿宋" w:eastAsia="仿宋" w:cs="仿宋"/>
          <w:color w:val="auto"/>
          <w:sz w:val="28"/>
          <w:szCs w:val="28"/>
        </w:rPr>
        <w:t>章）：</w:t>
      </w:r>
      <w:r>
        <w:rPr>
          <w:rFonts w:hint="eastAsia" w:ascii="仿宋" w:hAnsi="仿宋" w:eastAsia="仿宋" w:cs="仿宋"/>
          <w:color w:val="auto"/>
          <w:sz w:val="28"/>
          <w:szCs w:val="28"/>
          <w:u w:val="single"/>
        </w:rPr>
        <w:t xml:space="preserve">                           </w:t>
      </w:r>
    </w:p>
    <w:p w14:paraId="504B8D8C">
      <w:pPr>
        <w:pStyle w:val="16"/>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auto"/>
          <w:sz w:val="28"/>
          <w:szCs w:val="28"/>
        </w:rPr>
      </w:pPr>
    </w:p>
    <w:p w14:paraId="54CC1C01">
      <w:pPr>
        <w:pStyle w:val="16"/>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auto"/>
          <w:sz w:val="28"/>
          <w:szCs w:val="28"/>
        </w:rPr>
      </w:pPr>
    </w:p>
    <w:p w14:paraId="74ED315C">
      <w:pPr>
        <w:pStyle w:val="16"/>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lang w:eastAsia="zh-CN"/>
        </w:rPr>
        <w:t>签字或盖章</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p>
    <w:p w14:paraId="69A39C55">
      <w:pPr>
        <w:pStyle w:val="16"/>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auto"/>
          <w:sz w:val="28"/>
          <w:szCs w:val="28"/>
        </w:rPr>
      </w:pPr>
      <w:r>
        <w:rPr>
          <w:rFonts w:hint="eastAsia" w:ascii="仿宋" w:hAnsi="仿宋" w:eastAsia="仿宋" w:cs="仿宋"/>
          <w:color w:val="auto"/>
          <w:sz w:val="28"/>
          <w:szCs w:val="28"/>
          <w:u w:val="single" w:color="EEECE1"/>
        </w:rPr>
        <w:t>身</w:t>
      </w:r>
      <w:r>
        <w:rPr>
          <w:rFonts w:hint="eastAsia" w:ascii="仿宋" w:hAnsi="仿宋" w:eastAsia="仿宋" w:cs="仿宋"/>
          <w:color w:val="auto"/>
          <w:sz w:val="28"/>
          <w:szCs w:val="28"/>
        </w:rPr>
        <w:t>份证号码：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4016B681">
      <w:pPr>
        <w:pStyle w:val="16"/>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auto"/>
          <w:sz w:val="28"/>
          <w:szCs w:val="28"/>
          <w:u w:val="single"/>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lang w:eastAsia="zh-CN"/>
        </w:rPr>
        <w:t>签字或盖章</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p>
    <w:p w14:paraId="1F5DE4EE">
      <w:pPr>
        <w:pStyle w:val="16"/>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auto"/>
          <w:sz w:val="28"/>
          <w:szCs w:val="28"/>
        </w:rPr>
      </w:pPr>
      <w:r>
        <w:rPr>
          <w:rFonts w:hint="eastAsia" w:ascii="仿宋" w:hAnsi="仿宋" w:eastAsia="仿宋" w:cs="仿宋"/>
          <w:color w:val="auto"/>
          <w:sz w:val="28"/>
          <w:szCs w:val="28"/>
        </w:rPr>
        <w:t>身份证号码：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24902D1F">
      <w:pPr>
        <w:pStyle w:val="16"/>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auto"/>
          <w:sz w:val="28"/>
          <w:szCs w:val="28"/>
        </w:rPr>
      </w:pPr>
      <w:r>
        <w:rPr>
          <w:rFonts w:hint="eastAsia" w:ascii="仿宋" w:hAnsi="仿宋" w:eastAsia="仿宋" w:cs="仿宋"/>
          <w:color w:val="auto"/>
          <w:sz w:val="28"/>
          <w:szCs w:val="28"/>
        </w:rPr>
        <w:t>详细通讯地址：</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6BC666F4">
      <w:pPr>
        <w:pStyle w:val="16"/>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auto"/>
          <w:sz w:val="28"/>
          <w:szCs w:val="28"/>
          <w:u w:val="single"/>
        </w:rPr>
      </w:pPr>
      <w:r>
        <w:rPr>
          <w:rFonts w:hint="eastAsia" w:ascii="仿宋" w:hAnsi="仿宋" w:eastAsia="仿宋" w:cs="仿宋"/>
          <w:color w:val="auto"/>
          <w:sz w:val="28"/>
          <w:szCs w:val="28"/>
        </w:rPr>
        <w:t>邮 政 编 码 ：</w:t>
      </w:r>
      <w:r>
        <w:rPr>
          <w:rFonts w:hint="eastAsia" w:ascii="仿宋" w:hAnsi="仿宋" w:eastAsia="仿宋" w:cs="仿宋"/>
          <w:color w:val="auto"/>
          <w:sz w:val="28"/>
          <w:szCs w:val="28"/>
          <w:u w:val="single"/>
        </w:rPr>
        <w:t xml:space="preserve">                               </w:t>
      </w:r>
    </w:p>
    <w:p w14:paraId="6BAEF78A">
      <w:pPr>
        <w:pStyle w:val="16"/>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b/>
          <w:color w:val="auto"/>
          <w:sz w:val="28"/>
          <w:szCs w:val="28"/>
        </w:rPr>
      </w:pPr>
      <w:r>
        <w:rPr>
          <w:rFonts w:hint="eastAsia" w:ascii="仿宋" w:hAnsi="仿宋" w:eastAsia="仿宋" w:cs="仿宋"/>
          <w:color w:val="auto"/>
          <w:sz w:val="28"/>
          <w:szCs w:val="28"/>
        </w:rPr>
        <w:t>日       期 ：</w:t>
      </w:r>
      <w:r>
        <w:rPr>
          <w:rFonts w:hint="eastAsia" w:ascii="仿宋" w:hAnsi="仿宋" w:eastAsia="仿宋" w:cs="仿宋"/>
          <w:color w:val="auto"/>
          <w:sz w:val="28"/>
          <w:szCs w:val="28"/>
          <w:u w:val="single"/>
        </w:rPr>
        <w:t xml:space="preserve">                               </w:t>
      </w:r>
    </w:p>
    <w:bookmarkEnd w:id="498"/>
    <w:bookmarkEnd w:id="499"/>
    <w:bookmarkEnd w:id="500"/>
    <w:p w14:paraId="3587CC97">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5.具有健全的财务会计制度和提供2023或2024年度财务审计报告；（2024年成立的公司可提供公司成立至今的银行资信证明）；</w:t>
      </w:r>
    </w:p>
    <w:p w14:paraId="3EE17FA0">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color w:val="auto"/>
          <w:kern w:val="0"/>
          <w:sz w:val="28"/>
          <w:szCs w:val="28"/>
          <w:highlight w:val="none"/>
          <w:lang w:val="en-US" w:eastAsia="zh-CN" w:bidi="ar-SA"/>
        </w:rPr>
      </w:pPr>
    </w:p>
    <w:p w14:paraId="4B2882A8">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color w:val="auto"/>
          <w:kern w:val="0"/>
          <w:sz w:val="28"/>
          <w:szCs w:val="28"/>
          <w:highlight w:val="none"/>
          <w:lang w:val="en-US" w:eastAsia="zh-CN" w:bidi="ar-SA"/>
        </w:rPr>
      </w:pPr>
    </w:p>
    <w:p w14:paraId="0FC05EC6">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color w:val="auto"/>
          <w:kern w:val="0"/>
          <w:sz w:val="28"/>
          <w:szCs w:val="28"/>
          <w:highlight w:val="none"/>
          <w:lang w:val="en-US" w:eastAsia="zh-CN" w:bidi="ar-SA"/>
        </w:rPr>
      </w:pPr>
    </w:p>
    <w:p w14:paraId="702BD6AB">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color w:val="auto"/>
          <w:kern w:val="0"/>
          <w:sz w:val="28"/>
          <w:szCs w:val="28"/>
          <w:highlight w:val="none"/>
          <w:lang w:val="en-US" w:eastAsia="zh-CN" w:bidi="ar-SA"/>
        </w:rPr>
      </w:pPr>
    </w:p>
    <w:p w14:paraId="3B0794DF">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6.提供本单位缴纳的近三个月（连续三个月）的社保缴纳证明（公司缴费证明和社保缴费个人明细单）、具有税务局开具依法缴纳近三个月（连续三个月）的完税证明；</w:t>
      </w:r>
    </w:p>
    <w:p w14:paraId="3AFEEBBD">
      <w:pPr>
        <w:keepNext w:val="0"/>
        <w:keepLines w:val="0"/>
        <w:pageBreakBefore w:val="0"/>
        <w:tabs>
          <w:tab w:val="left" w:pos="5580"/>
        </w:tabs>
        <w:kinsoku/>
        <w:wordWrap/>
        <w:overflowPunct/>
        <w:topLinePunct w:val="0"/>
        <w:bidi w:val="0"/>
        <w:spacing w:line="500" w:lineRule="exact"/>
        <w:ind w:left="741" w:leftChars="353"/>
        <w:rPr>
          <w:rFonts w:hint="eastAsia" w:ascii="仿宋" w:hAnsi="仿宋" w:eastAsia="仿宋" w:cs="仿宋"/>
          <w:b/>
          <w:bCs/>
          <w:color w:val="auto"/>
          <w:sz w:val="28"/>
          <w:szCs w:val="28"/>
        </w:rPr>
      </w:pPr>
    </w:p>
    <w:p w14:paraId="08E28489">
      <w:pPr>
        <w:pStyle w:val="2"/>
        <w:keepNext w:val="0"/>
        <w:keepLines w:val="0"/>
        <w:pageBreakBefore w:val="0"/>
        <w:kinsoku/>
        <w:wordWrap/>
        <w:overflowPunct/>
        <w:topLinePunct w:val="0"/>
        <w:bidi w:val="0"/>
        <w:spacing w:line="500" w:lineRule="exact"/>
        <w:ind w:left="741" w:leftChars="353" w:firstLine="0" w:firstLineChars="0"/>
        <w:rPr>
          <w:rFonts w:hint="eastAsia" w:ascii="仿宋" w:hAnsi="仿宋" w:eastAsia="仿宋" w:cs="仿宋"/>
          <w:color w:val="auto"/>
          <w:sz w:val="28"/>
          <w:szCs w:val="28"/>
        </w:rPr>
      </w:pPr>
    </w:p>
    <w:p w14:paraId="1891DBA2">
      <w:pPr>
        <w:pStyle w:val="9"/>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p>
    <w:p w14:paraId="39A6C0DD">
      <w:pPr>
        <w:pStyle w:val="10"/>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p>
    <w:p w14:paraId="029C7266">
      <w:pPr>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p>
    <w:p w14:paraId="21EBBFDE">
      <w:pPr>
        <w:pStyle w:val="9"/>
        <w:keepNext w:val="0"/>
        <w:keepLines w:val="0"/>
        <w:pageBreakBefore w:val="0"/>
        <w:kinsoku/>
        <w:wordWrap/>
        <w:overflowPunct/>
        <w:topLinePunct w:val="0"/>
        <w:bidi w:val="0"/>
        <w:spacing w:line="500" w:lineRule="exact"/>
        <w:ind w:left="0" w:leftChars="0" w:firstLine="0" w:firstLineChars="0"/>
        <w:rPr>
          <w:rFonts w:hint="eastAsia" w:ascii="仿宋" w:hAnsi="仿宋" w:eastAsia="仿宋" w:cs="仿宋"/>
          <w:color w:val="auto"/>
          <w:sz w:val="28"/>
          <w:szCs w:val="28"/>
        </w:rPr>
      </w:pPr>
      <w:bookmarkStart w:id="507" w:name="_Toc19001"/>
      <w:bookmarkStart w:id="508" w:name="_Toc24091"/>
      <w:bookmarkStart w:id="509" w:name="_Toc30208"/>
      <w:bookmarkStart w:id="510" w:name="_Toc16195"/>
      <w:bookmarkStart w:id="511" w:name="_Toc9460"/>
      <w:r>
        <w:rPr>
          <w:rFonts w:hint="eastAsia" w:ascii="仿宋" w:hAnsi="仿宋" w:eastAsia="仿宋" w:cs="仿宋"/>
          <w:b/>
          <w:bCs/>
          <w:color w:val="auto"/>
          <w:sz w:val="28"/>
          <w:szCs w:val="28"/>
          <w:highlight w:val="none"/>
          <w:lang w:val="en-US" w:eastAsia="zh-CN"/>
        </w:rPr>
        <w:t>7</w:t>
      </w:r>
      <w:bookmarkEnd w:id="507"/>
      <w:bookmarkEnd w:id="508"/>
      <w:bookmarkEnd w:id="509"/>
      <w:bookmarkEnd w:id="510"/>
      <w:bookmarkEnd w:id="511"/>
      <w:r>
        <w:rPr>
          <w:rFonts w:hint="eastAsia" w:ascii="仿宋" w:hAnsi="仿宋" w:eastAsia="仿宋" w:cs="仿宋"/>
          <w:b/>
          <w:bCs/>
          <w:color w:val="auto"/>
          <w:sz w:val="28"/>
          <w:szCs w:val="28"/>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将拒绝其参加本次招标活动；</w:t>
      </w:r>
    </w:p>
    <w:p w14:paraId="7D3A2C1C">
      <w:pPr>
        <w:pStyle w:val="9"/>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p>
    <w:p w14:paraId="365C191C">
      <w:pPr>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rPr>
      </w:pPr>
    </w:p>
    <w:p w14:paraId="38378EA8">
      <w:pPr>
        <w:pStyle w:val="2"/>
        <w:keepNext w:val="0"/>
        <w:keepLines w:val="0"/>
        <w:pageBreakBefore w:val="0"/>
        <w:kinsoku/>
        <w:wordWrap/>
        <w:overflowPunct/>
        <w:topLinePunct w:val="0"/>
        <w:bidi w:val="0"/>
        <w:spacing w:line="500" w:lineRule="exact"/>
        <w:ind w:firstLine="480"/>
        <w:rPr>
          <w:rFonts w:hint="eastAsia" w:ascii="仿宋" w:hAnsi="仿宋" w:eastAsia="仿宋" w:cs="仿宋"/>
          <w:color w:val="auto"/>
          <w:sz w:val="28"/>
          <w:szCs w:val="28"/>
        </w:rPr>
      </w:pPr>
    </w:p>
    <w:p w14:paraId="57302AFA">
      <w:pPr>
        <w:keepNext w:val="0"/>
        <w:keepLines w:val="0"/>
        <w:pageBreakBefore w:val="0"/>
        <w:kinsoku/>
        <w:wordWrap/>
        <w:overflowPunct/>
        <w:topLinePunct w:val="0"/>
        <w:bidi w:val="0"/>
        <w:spacing w:line="50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2C5C571D">
      <w:pPr>
        <w:pStyle w:val="9"/>
        <w:keepNext w:val="0"/>
        <w:keepLines w:val="0"/>
        <w:pageBreakBefore w:val="0"/>
        <w:kinsoku/>
        <w:wordWrap/>
        <w:overflowPunct/>
        <w:topLinePunct w:val="0"/>
        <w:bidi w:val="0"/>
        <w:spacing w:line="500" w:lineRule="exact"/>
        <w:ind w:left="0" w:leftChars="0" w:firstLine="0" w:firstLineChars="0"/>
        <w:jc w:val="center"/>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rPr>
        <w:t>投标单位（供应商）提供针对本次项目《反商业贿赂承诺书》</w:t>
      </w:r>
    </w:p>
    <w:p w14:paraId="17C1F474">
      <w:pPr>
        <w:keepNext w:val="0"/>
        <w:keepLines w:val="0"/>
        <w:pageBreakBefore w:val="0"/>
        <w:widowControl/>
        <w:kinsoku/>
        <w:wordWrap/>
        <w:overflowPunct/>
        <w:topLinePunct w:val="0"/>
        <w:bidi w:val="0"/>
        <w:spacing w:before="100" w:beforeAutospacing="1" w:after="100" w:afterAutospacing="1" w:line="5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我公司承诺在</w:t>
      </w:r>
      <w:r>
        <w:rPr>
          <w:rFonts w:hint="eastAsia" w:ascii="仿宋" w:hAnsi="仿宋" w:eastAsia="仿宋" w:cs="仿宋"/>
          <w:color w:val="auto"/>
          <w:sz w:val="28"/>
          <w:szCs w:val="28"/>
          <w:u w:val="single"/>
        </w:rPr>
        <w:t>（项目名称、项目编号</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highlight w:val="none"/>
          <w:u w:val="single"/>
          <w:lang w:val="en-US" w:eastAsia="zh-CN"/>
        </w:rPr>
        <w:t>标项号</w:t>
      </w:r>
      <w:r>
        <w:rPr>
          <w:rFonts w:hint="eastAsia" w:ascii="仿宋" w:hAnsi="仿宋" w:eastAsia="仿宋" w:cs="仿宋"/>
          <w:color w:val="auto"/>
          <w:sz w:val="28"/>
          <w:szCs w:val="28"/>
          <w:u w:val="none"/>
        </w:rPr>
        <w:t>）</w:t>
      </w:r>
      <w:r>
        <w:rPr>
          <w:rFonts w:hint="eastAsia" w:ascii="仿宋" w:hAnsi="仿宋" w:eastAsia="仿宋" w:cs="仿宋"/>
          <w:color w:val="auto"/>
          <w:sz w:val="28"/>
          <w:szCs w:val="28"/>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697D8F21">
      <w:pPr>
        <w:keepNext w:val="0"/>
        <w:keepLines w:val="0"/>
        <w:pageBreakBefore w:val="0"/>
        <w:widowControl/>
        <w:kinsoku/>
        <w:wordWrap/>
        <w:overflowPunct/>
        <w:topLinePunct w:val="0"/>
        <w:bidi w:val="0"/>
        <w:spacing w:before="100" w:beforeAutospacing="1" w:after="100" w:afterAutospacing="1" w:line="500" w:lineRule="exact"/>
        <w:ind w:firstLine="1064" w:firstLineChars="38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盖公章</w:t>
      </w:r>
      <w:r>
        <w:rPr>
          <w:rFonts w:hint="eastAsia" w:ascii="仿宋" w:hAnsi="仿宋" w:eastAsia="仿宋" w:cs="仿宋"/>
          <w:color w:val="auto"/>
          <w:sz w:val="28"/>
          <w:szCs w:val="28"/>
        </w:rPr>
        <w:t>：</w:t>
      </w:r>
    </w:p>
    <w:p w14:paraId="3C0608CB">
      <w:pPr>
        <w:keepNext w:val="0"/>
        <w:keepLines w:val="0"/>
        <w:pageBreakBefore w:val="0"/>
        <w:widowControl/>
        <w:kinsoku/>
        <w:wordWrap/>
        <w:overflowPunct/>
        <w:topLinePunct w:val="0"/>
        <w:bidi w:val="0"/>
        <w:spacing w:before="100" w:beforeAutospacing="1" w:after="100" w:afterAutospacing="1" w:line="500" w:lineRule="exact"/>
        <w:ind w:firstLine="899"/>
        <w:jc w:val="left"/>
        <w:rPr>
          <w:rFonts w:hint="eastAsia" w:ascii="仿宋" w:hAnsi="仿宋" w:eastAsia="仿宋" w:cs="仿宋"/>
          <w:color w:val="auto"/>
          <w:sz w:val="28"/>
          <w:szCs w:val="28"/>
        </w:rPr>
      </w:pPr>
      <w:r>
        <w:rPr>
          <w:rFonts w:hint="eastAsia" w:ascii="仿宋" w:hAnsi="仿宋" w:eastAsia="仿宋" w:cs="仿宋"/>
          <w:color w:val="auto"/>
          <w:sz w:val="28"/>
          <w:szCs w:val="28"/>
        </w:rPr>
        <w:t>法人</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rPr>
        <w:t>授权代表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签字或盖章）</w:t>
      </w:r>
      <w:r>
        <w:rPr>
          <w:rFonts w:hint="eastAsia" w:ascii="仿宋" w:hAnsi="仿宋" w:eastAsia="仿宋" w:cs="仿宋"/>
          <w:color w:val="auto"/>
          <w:sz w:val="28"/>
          <w:szCs w:val="28"/>
        </w:rPr>
        <w:t>：</w:t>
      </w:r>
    </w:p>
    <w:p w14:paraId="3A456103">
      <w:pPr>
        <w:pStyle w:val="9"/>
        <w:keepNext w:val="0"/>
        <w:keepLines w:val="0"/>
        <w:pageBreakBefore w:val="0"/>
        <w:kinsoku/>
        <w:wordWrap/>
        <w:overflowPunct/>
        <w:topLinePunct w:val="0"/>
        <w:bidi w:val="0"/>
        <w:spacing w:line="500" w:lineRule="exact"/>
        <w:ind w:firstLine="1680" w:firstLineChars="600"/>
        <w:rPr>
          <w:rFonts w:hint="eastAsia" w:ascii="仿宋" w:hAnsi="仿宋" w:eastAsia="仿宋" w:cs="仿宋"/>
          <w:bCs/>
          <w:color w:val="auto"/>
          <w:sz w:val="28"/>
          <w:szCs w:val="28"/>
        </w:rPr>
        <w:sectPr>
          <w:footerReference r:id="rId8" w:type="default"/>
          <w:pgSz w:w="11906" w:h="16838"/>
          <w:pgMar w:top="1440" w:right="1797" w:bottom="1440" w:left="1797" w:header="851" w:footer="992" w:gutter="0"/>
          <w:pgNumType w:fmt="decimal" w:start="1"/>
          <w:cols w:space="720" w:num="1"/>
          <w:docGrid w:type="linesAndChars" w:linePitch="312" w:charSpace="0"/>
        </w:sect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日          </w:t>
      </w:r>
    </w:p>
    <w:p w14:paraId="386EB902">
      <w:pPr>
        <w:pStyle w:val="9"/>
        <w:keepNext w:val="0"/>
        <w:keepLines w:val="0"/>
        <w:pageBreakBefore w:val="0"/>
        <w:kinsoku/>
        <w:wordWrap/>
        <w:overflowPunct/>
        <w:topLinePunct w:val="0"/>
        <w:bidi w:val="0"/>
        <w:spacing w:line="500" w:lineRule="exact"/>
        <w:ind w:left="0" w:leftChars="0" w:firstLine="0" w:firstLineChars="0"/>
        <w:rPr>
          <w:rFonts w:hint="eastAsia" w:ascii="仿宋" w:hAnsi="仿宋" w:eastAsia="仿宋" w:cs="仿宋"/>
          <w:b/>
          <w:bCs/>
          <w:color w:val="auto"/>
          <w:kern w:val="2"/>
          <w:sz w:val="28"/>
          <w:szCs w:val="28"/>
          <w:highlight w:val="none"/>
          <w:lang w:val="en-US" w:eastAsia="zh-CN" w:bidi="ar-SA"/>
        </w:rPr>
      </w:pPr>
      <w:bookmarkStart w:id="512" w:name="_Toc19359"/>
    </w:p>
    <w:bookmarkEnd w:id="512"/>
    <w:p w14:paraId="4B351B0A">
      <w:pPr>
        <w:pStyle w:val="9"/>
        <w:keepNext w:val="0"/>
        <w:keepLines w:val="0"/>
        <w:pageBreakBefore w:val="0"/>
        <w:kinsoku/>
        <w:wordWrap/>
        <w:overflowPunct/>
        <w:topLinePunct w:val="0"/>
        <w:bidi w:val="0"/>
        <w:spacing w:line="500" w:lineRule="exact"/>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kern w:val="2"/>
          <w:sz w:val="28"/>
          <w:szCs w:val="28"/>
          <w:highlight w:val="none"/>
          <w:lang w:val="en-US" w:eastAsia="zh-CN" w:bidi="ar-SA"/>
        </w:rPr>
        <w:t>9.参加政府采购活动前三年内在经营活动中没有重大违法记录的书面声明</w:t>
      </w:r>
    </w:p>
    <w:p w14:paraId="438B79CF">
      <w:pPr>
        <w:pStyle w:val="9"/>
        <w:keepNext w:val="0"/>
        <w:keepLines w:val="0"/>
        <w:pageBreakBefore w:val="0"/>
        <w:kinsoku/>
        <w:wordWrap/>
        <w:overflowPunct/>
        <w:topLinePunct w:val="0"/>
        <w:bidi w:val="0"/>
        <w:spacing w:line="500" w:lineRule="exact"/>
        <w:ind w:firstLine="843" w:firstLineChars="300"/>
        <w:rPr>
          <w:rFonts w:hint="eastAsia" w:ascii="仿宋" w:hAnsi="仿宋" w:eastAsia="仿宋" w:cs="仿宋"/>
          <w:b/>
          <w:bCs/>
          <w:color w:val="auto"/>
          <w:sz w:val="28"/>
          <w:szCs w:val="28"/>
          <w:lang w:val="en-US" w:eastAsia="zh-CN"/>
        </w:rPr>
      </w:pPr>
    </w:p>
    <w:p w14:paraId="2F1514B4">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color w:val="auto"/>
          <w:sz w:val="28"/>
          <w:szCs w:val="28"/>
          <w:lang w:val="en-US" w:eastAsia="zh-CN"/>
        </w:rPr>
      </w:pPr>
      <w:bookmarkStart w:id="513" w:name="_Toc494296991"/>
      <w:bookmarkStart w:id="514" w:name="_Toc494296665"/>
    </w:p>
    <w:p w14:paraId="5F326816">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color w:val="auto"/>
          <w:sz w:val="28"/>
          <w:szCs w:val="28"/>
          <w:lang w:val="en-US" w:eastAsia="zh-CN"/>
        </w:rPr>
      </w:pPr>
    </w:p>
    <w:p w14:paraId="66FC3C6B">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color w:val="auto"/>
          <w:sz w:val="28"/>
          <w:szCs w:val="28"/>
          <w:lang w:val="en-US" w:eastAsia="zh-CN"/>
        </w:rPr>
      </w:pPr>
    </w:p>
    <w:p w14:paraId="06EB3C2D">
      <w:pPr>
        <w:pStyle w:val="5"/>
        <w:outlineLvl w:val="9"/>
        <w:rPr>
          <w:rFonts w:hint="eastAsia"/>
          <w:color w:val="auto"/>
          <w:lang w:val="en-US" w:eastAsia="zh-CN"/>
        </w:rPr>
      </w:pPr>
    </w:p>
    <w:p w14:paraId="408E3090">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color w:val="auto"/>
          <w:sz w:val="28"/>
          <w:szCs w:val="28"/>
          <w:lang w:val="en-US" w:eastAsia="zh-CN"/>
        </w:rPr>
      </w:pPr>
    </w:p>
    <w:p w14:paraId="4E2F19AC">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color w:val="auto"/>
          <w:sz w:val="28"/>
          <w:szCs w:val="28"/>
          <w:lang w:val="en-US" w:eastAsia="zh-CN"/>
        </w:rPr>
      </w:pPr>
    </w:p>
    <w:p w14:paraId="15D472E1">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10.投标人可提供有利于投标的其他资格证明材料。</w:t>
      </w:r>
    </w:p>
    <w:p w14:paraId="71A09B23">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color w:val="auto"/>
          <w:sz w:val="28"/>
          <w:szCs w:val="28"/>
          <w:lang w:val="en-US" w:eastAsia="zh-CN"/>
        </w:rPr>
      </w:pPr>
    </w:p>
    <w:p w14:paraId="601A006C">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color w:val="auto"/>
          <w:sz w:val="28"/>
          <w:szCs w:val="28"/>
          <w:lang w:val="en-US" w:eastAsia="zh-CN"/>
        </w:rPr>
      </w:pPr>
    </w:p>
    <w:p w14:paraId="3C498772">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color w:val="auto"/>
          <w:sz w:val="28"/>
          <w:szCs w:val="28"/>
          <w:lang w:val="en-US" w:eastAsia="zh-CN"/>
        </w:rPr>
      </w:pPr>
    </w:p>
    <w:p w14:paraId="027685FC">
      <w:pPr>
        <w:pStyle w:val="5"/>
        <w:outlineLvl w:val="9"/>
        <w:rPr>
          <w:rFonts w:hint="eastAsia" w:ascii="仿宋" w:hAnsi="仿宋" w:eastAsia="仿宋" w:cs="仿宋"/>
          <w:b/>
          <w:bCs/>
          <w:color w:val="auto"/>
          <w:sz w:val="28"/>
          <w:szCs w:val="28"/>
          <w:lang w:val="en-US" w:eastAsia="zh-CN"/>
        </w:rPr>
      </w:pPr>
    </w:p>
    <w:p w14:paraId="2A3951A0">
      <w:pPr>
        <w:rPr>
          <w:rFonts w:hint="eastAsia" w:ascii="仿宋" w:hAnsi="仿宋" w:eastAsia="仿宋" w:cs="仿宋"/>
          <w:b/>
          <w:bCs/>
          <w:color w:val="auto"/>
          <w:sz w:val="28"/>
          <w:szCs w:val="28"/>
          <w:lang w:val="en-US" w:eastAsia="zh-CN"/>
        </w:rPr>
      </w:pPr>
    </w:p>
    <w:p w14:paraId="142E93D3">
      <w:pPr>
        <w:pStyle w:val="5"/>
        <w:outlineLvl w:val="9"/>
        <w:rPr>
          <w:rFonts w:hint="eastAsia" w:ascii="仿宋" w:hAnsi="仿宋" w:eastAsia="仿宋" w:cs="仿宋"/>
          <w:b/>
          <w:bCs/>
          <w:color w:val="auto"/>
          <w:sz w:val="28"/>
          <w:szCs w:val="28"/>
          <w:lang w:val="en-US" w:eastAsia="zh-CN"/>
        </w:rPr>
      </w:pPr>
    </w:p>
    <w:p w14:paraId="12E193B8">
      <w:pPr>
        <w:rPr>
          <w:rFonts w:hint="eastAsia"/>
          <w:color w:val="auto"/>
          <w:lang w:val="en-US" w:eastAsia="zh-CN"/>
        </w:rPr>
      </w:pPr>
    </w:p>
    <w:p w14:paraId="742C2CF7">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11.</w:t>
      </w:r>
      <w:r>
        <w:rPr>
          <w:rFonts w:hint="eastAsia" w:ascii="仿宋" w:hAnsi="仿宋" w:eastAsia="仿宋" w:cs="仿宋"/>
          <w:b/>
          <w:bCs/>
          <w:color w:val="auto"/>
          <w:sz w:val="28"/>
          <w:szCs w:val="28"/>
        </w:rPr>
        <w:t>投标保证金缴纳的有效证明（打款凭证或保函）；；</w:t>
      </w:r>
    </w:p>
    <w:bookmarkEnd w:id="513"/>
    <w:bookmarkEnd w:id="514"/>
    <w:p w14:paraId="020F234B">
      <w:pPr>
        <w:keepNext w:val="0"/>
        <w:keepLines w:val="0"/>
        <w:pageBreakBefore w:val="0"/>
        <w:kinsoku/>
        <w:wordWrap/>
        <w:overflowPunct/>
        <w:topLinePunct w:val="0"/>
        <w:bidi w:val="0"/>
        <w:spacing w:before="78" w:line="500" w:lineRule="exact"/>
        <w:ind w:right="102"/>
        <w:rPr>
          <w:rFonts w:hint="eastAsia" w:ascii="仿宋" w:hAnsi="仿宋" w:eastAsia="仿宋" w:cs="仿宋"/>
          <w:color w:val="auto"/>
          <w:sz w:val="28"/>
          <w:szCs w:val="28"/>
        </w:rPr>
      </w:pPr>
      <w:r>
        <w:rPr>
          <w:rFonts w:hint="eastAsia" w:ascii="仿宋" w:hAnsi="仿宋" w:eastAsia="仿宋" w:cs="仿宋"/>
          <w:color w:val="auto"/>
          <w:spacing w:val="-2"/>
          <w:sz w:val="28"/>
          <w:szCs w:val="28"/>
        </w:rPr>
        <w:t>说明：投标单位需</w:t>
      </w:r>
      <w:r>
        <w:rPr>
          <w:rFonts w:hint="eastAsia" w:ascii="仿宋" w:hAnsi="仿宋" w:eastAsia="仿宋" w:cs="仿宋"/>
          <w:color w:val="auto"/>
          <w:spacing w:val="-9"/>
          <w:sz w:val="28"/>
          <w:szCs w:val="28"/>
        </w:rPr>
        <w:t>将本项目投标保证金有效缴纳凭证</w:t>
      </w:r>
      <w:r>
        <w:rPr>
          <w:rFonts w:hint="eastAsia" w:ascii="仿宋" w:hAnsi="仿宋" w:eastAsia="仿宋" w:cs="仿宋"/>
          <w:color w:val="auto"/>
          <w:spacing w:val="-9"/>
          <w:sz w:val="28"/>
          <w:szCs w:val="28"/>
          <w:lang w:val="en-US" w:eastAsia="zh-CN"/>
        </w:rPr>
        <w:t>或保函</w:t>
      </w:r>
      <w:r>
        <w:rPr>
          <w:rFonts w:hint="eastAsia" w:ascii="仿宋" w:hAnsi="仿宋" w:eastAsia="仿宋" w:cs="仿宋"/>
          <w:color w:val="auto"/>
          <w:spacing w:val="-9"/>
          <w:sz w:val="28"/>
          <w:szCs w:val="28"/>
        </w:rPr>
        <w:t>：投标保证金</w:t>
      </w:r>
      <w:r>
        <w:rPr>
          <w:rFonts w:hint="eastAsia" w:ascii="仿宋" w:hAnsi="仿宋" w:eastAsia="仿宋" w:cs="仿宋"/>
          <w:color w:val="auto"/>
          <w:spacing w:val="-2"/>
          <w:sz w:val="28"/>
          <w:szCs w:val="28"/>
          <w:lang w:val="en-US" w:eastAsia="zh-CN"/>
        </w:rPr>
        <w:t>打款凭证扫描</w:t>
      </w:r>
      <w:r>
        <w:rPr>
          <w:rFonts w:hint="eastAsia" w:ascii="仿宋" w:hAnsi="仿宋" w:eastAsia="仿宋" w:cs="仿宋"/>
          <w:color w:val="auto"/>
          <w:spacing w:val="-2"/>
          <w:sz w:val="28"/>
          <w:szCs w:val="28"/>
        </w:rPr>
        <w:t>件</w:t>
      </w:r>
      <w:r>
        <w:rPr>
          <w:rFonts w:hint="eastAsia" w:ascii="仿宋" w:hAnsi="仿宋" w:eastAsia="仿宋" w:cs="仿宋"/>
          <w:color w:val="auto"/>
          <w:spacing w:val="-15"/>
          <w:sz w:val="28"/>
          <w:szCs w:val="28"/>
        </w:rPr>
        <w:t xml:space="preserve"> </w:t>
      </w:r>
      <w:r>
        <w:rPr>
          <w:rFonts w:hint="eastAsia" w:ascii="仿宋" w:hAnsi="仿宋" w:eastAsia="仿宋" w:cs="仿宋"/>
          <w:color w:val="auto"/>
          <w:spacing w:val="-87"/>
          <w:sz w:val="28"/>
          <w:szCs w:val="28"/>
        </w:rPr>
        <w:t>，</w:t>
      </w:r>
      <w:r>
        <w:rPr>
          <w:rFonts w:hint="eastAsia" w:ascii="仿宋" w:hAnsi="仿宋" w:eastAsia="仿宋" w:cs="仿宋"/>
          <w:color w:val="auto"/>
          <w:spacing w:val="-2"/>
          <w:sz w:val="28"/>
          <w:szCs w:val="28"/>
        </w:rPr>
        <w:t>若使用保函缴纳，则提供</w:t>
      </w:r>
      <w:r>
        <w:rPr>
          <w:rFonts w:hint="eastAsia" w:ascii="仿宋" w:hAnsi="仿宋" w:eastAsia="仿宋" w:cs="仿宋"/>
          <w:color w:val="auto"/>
          <w:spacing w:val="-7"/>
          <w:sz w:val="28"/>
          <w:szCs w:val="28"/>
        </w:rPr>
        <w:t>保函</w:t>
      </w:r>
      <w:r>
        <w:rPr>
          <w:rFonts w:hint="eastAsia" w:ascii="仿宋" w:hAnsi="仿宋" w:eastAsia="仿宋" w:cs="仿宋"/>
          <w:color w:val="auto"/>
          <w:spacing w:val="-7"/>
          <w:sz w:val="28"/>
          <w:szCs w:val="28"/>
          <w:lang w:val="en-US" w:eastAsia="zh-CN"/>
        </w:rPr>
        <w:t>扫描</w:t>
      </w:r>
      <w:r>
        <w:rPr>
          <w:rFonts w:hint="eastAsia" w:ascii="仿宋" w:hAnsi="仿宋" w:eastAsia="仿宋" w:cs="仿宋"/>
          <w:color w:val="auto"/>
          <w:spacing w:val="-7"/>
          <w:sz w:val="28"/>
          <w:szCs w:val="28"/>
        </w:rPr>
        <w:t>件作为缴纳凭证</w:t>
      </w:r>
      <w:r>
        <w:rPr>
          <w:rFonts w:hint="eastAsia" w:ascii="仿宋" w:hAnsi="仿宋" w:eastAsia="仿宋" w:cs="仿宋"/>
          <w:color w:val="auto"/>
          <w:spacing w:val="-7"/>
          <w:sz w:val="28"/>
          <w:szCs w:val="28"/>
          <w:lang w:val="en-US" w:eastAsia="zh-CN"/>
        </w:rPr>
        <w:t>放在</w:t>
      </w:r>
      <w:r>
        <w:rPr>
          <w:rFonts w:hint="eastAsia" w:ascii="仿宋" w:hAnsi="仿宋" w:eastAsia="仿宋" w:cs="仿宋"/>
          <w:color w:val="auto"/>
          <w:spacing w:val="-7"/>
          <w:sz w:val="28"/>
          <w:szCs w:val="28"/>
        </w:rPr>
        <w:t>本部分，并加盖单位公章。</w:t>
      </w:r>
    </w:p>
    <w:p w14:paraId="002BDAA5">
      <w:pPr>
        <w:pStyle w:val="9"/>
        <w:keepNext w:val="0"/>
        <w:keepLines w:val="0"/>
        <w:pageBreakBefore w:val="0"/>
        <w:kinsoku/>
        <w:wordWrap/>
        <w:overflowPunct/>
        <w:topLinePunct w:val="0"/>
        <w:bidi w:val="0"/>
        <w:spacing w:line="500" w:lineRule="exact"/>
        <w:ind w:firstLine="843" w:firstLineChars="300"/>
        <w:rPr>
          <w:rFonts w:hint="eastAsia" w:ascii="仿宋" w:hAnsi="仿宋" w:eastAsia="仿宋" w:cs="仿宋"/>
          <w:b/>
          <w:bCs/>
          <w:color w:val="auto"/>
          <w:sz w:val="28"/>
          <w:szCs w:val="28"/>
          <w:lang w:val="en-US" w:eastAsia="zh-CN"/>
        </w:rPr>
      </w:pPr>
    </w:p>
    <w:p w14:paraId="4AA72151">
      <w:pPr>
        <w:pStyle w:val="9"/>
        <w:keepNext w:val="0"/>
        <w:keepLines w:val="0"/>
        <w:pageBreakBefore w:val="0"/>
        <w:kinsoku/>
        <w:wordWrap/>
        <w:overflowPunct/>
        <w:topLinePunct w:val="0"/>
        <w:bidi w:val="0"/>
        <w:spacing w:line="500" w:lineRule="exact"/>
        <w:ind w:firstLine="843" w:firstLineChars="300"/>
        <w:rPr>
          <w:rFonts w:hint="eastAsia" w:ascii="仿宋" w:hAnsi="仿宋" w:eastAsia="仿宋" w:cs="仿宋"/>
          <w:b/>
          <w:bCs/>
          <w:color w:val="auto"/>
          <w:sz w:val="28"/>
          <w:szCs w:val="28"/>
          <w:lang w:val="en-US" w:eastAsia="zh-CN"/>
        </w:rPr>
      </w:pPr>
    </w:p>
    <w:p w14:paraId="2B0239B7">
      <w:pPr>
        <w:keepNext w:val="0"/>
        <w:keepLines w:val="0"/>
        <w:pageBreakBefore w:val="0"/>
        <w:kinsoku/>
        <w:wordWrap/>
        <w:overflowPunct/>
        <w:topLinePunct w:val="0"/>
        <w:bidi w:val="0"/>
        <w:spacing w:line="500" w:lineRule="exact"/>
        <w:rPr>
          <w:rFonts w:hint="eastAsia" w:ascii="仿宋" w:hAnsi="仿宋" w:eastAsia="仿宋" w:cs="仿宋"/>
          <w:b/>
          <w:bCs/>
          <w:color w:val="auto"/>
          <w:sz w:val="28"/>
          <w:szCs w:val="28"/>
          <w:lang w:val="en-US" w:eastAsia="zh-CN"/>
        </w:rPr>
      </w:pPr>
    </w:p>
    <w:p w14:paraId="5874F826">
      <w:pPr>
        <w:pStyle w:val="5"/>
        <w:keepNext w:val="0"/>
        <w:keepLines w:val="0"/>
        <w:pageBreakBefore w:val="0"/>
        <w:kinsoku/>
        <w:wordWrap/>
        <w:overflowPunct/>
        <w:topLinePunct w:val="0"/>
        <w:bidi w:val="0"/>
        <w:spacing w:line="500" w:lineRule="exact"/>
        <w:outlineLvl w:val="9"/>
        <w:rPr>
          <w:rFonts w:hint="eastAsia" w:ascii="仿宋" w:hAnsi="仿宋" w:eastAsia="仿宋" w:cs="仿宋"/>
          <w:b/>
          <w:bCs/>
          <w:color w:val="auto"/>
          <w:sz w:val="28"/>
          <w:szCs w:val="28"/>
          <w:lang w:val="en-US" w:eastAsia="zh-CN"/>
        </w:rPr>
      </w:pPr>
    </w:p>
    <w:p w14:paraId="165F71F8">
      <w:pPr>
        <w:rPr>
          <w:rFonts w:hint="eastAsia" w:ascii="仿宋" w:hAnsi="仿宋" w:eastAsia="仿宋" w:cs="仿宋"/>
          <w:b/>
          <w:bCs/>
          <w:color w:val="auto"/>
          <w:sz w:val="28"/>
          <w:szCs w:val="28"/>
          <w:lang w:val="en-US" w:eastAsia="zh-CN"/>
        </w:rPr>
      </w:pPr>
    </w:p>
    <w:p w14:paraId="7ADC7B4F">
      <w:pPr>
        <w:pStyle w:val="9"/>
        <w:rPr>
          <w:rFonts w:hint="eastAsia" w:ascii="仿宋" w:hAnsi="仿宋" w:eastAsia="仿宋" w:cs="仿宋"/>
          <w:b/>
          <w:bCs/>
          <w:color w:val="auto"/>
          <w:sz w:val="28"/>
          <w:szCs w:val="28"/>
          <w:lang w:val="en-US" w:eastAsia="zh-CN"/>
        </w:rPr>
      </w:pPr>
    </w:p>
    <w:p w14:paraId="71787CC1">
      <w:pPr>
        <w:pStyle w:val="9"/>
        <w:rPr>
          <w:rFonts w:hint="eastAsia" w:ascii="仿宋" w:hAnsi="仿宋" w:eastAsia="仿宋" w:cs="仿宋"/>
          <w:b/>
          <w:bCs/>
          <w:color w:val="auto"/>
          <w:sz w:val="28"/>
          <w:szCs w:val="28"/>
          <w:lang w:val="en-US" w:eastAsia="zh-CN"/>
        </w:rPr>
      </w:pPr>
    </w:p>
    <w:p w14:paraId="528D2F0C">
      <w:pPr>
        <w:pStyle w:val="9"/>
        <w:rPr>
          <w:rFonts w:hint="eastAsia" w:ascii="仿宋" w:hAnsi="仿宋" w:eastAsia="仿宋" w:cs="仿宋"/>
          <w:b/>
          <w:bCs/>
          <w:color w:val="auto"/>
          <w:sz w:val="28"/>
          <w:szCs w:val="28"/>
          <w:lang w:val="en-US" w:eastAsia="zh-CN"/>
        </w:rPr>
      </w:pPr>
    </w:p>
    <w:p w14:paraId="57BB86D4">
      <w:pPr>
        <w:pStyle w:val="9"/>
        <w:rPr>
          <w:rFonts w:hint="eastAsia" w:ascii="仿宋" w:hAnsi="仿宋" w:eastAsia="仿宋" w:cs="仿宋"/>
          <w:b/>
          <w:bCs/>
          <w:color w:val="auto"/>
          <w:sz w:val="28"/>
          <w:szCs w:val="28"/>
          <w:lang w:val="en-US" w:eastAsia="zh-CN"/>
        </w:rPr>
      </w:pPr>
    </w:p>
    <w:p w14:paraId="3C28211E">
      <w:pPr>
        <w:pStyle w:val="9"/>
        <w:rPr>
          <w:rFonts w:hint="eastAsia" w:ascii="仿宋" w:hAnsi="仿宋" w:eastAsia="仿宋" w:cs="仿宋"/>
          <w:b/>
          <w:bCs/>
          <w:color w:val="auto"/>
          <w:sz w:val="28"/>
          <w:szCs w:val="28"/>
          <w:lang w:val="en-US" w:eastAsia="zh-CN"/>
        </w:rPr>
      </w:pPr>
    </w:p>
    <w:p w14:paraId="64230CA6">
      <w:pPr>
        <w:pStyle w:val="9"/>
        <w:keepNext w:val="0"/>
        <w:keepLines w:val="0"/>
        <w:pageBreakBefore w:val="0"/>
        <w:kinsoku/>
        <w:wordWrap/>
        <w:overflowPunct/>
        <w:topLinePunct w:val="0"/>
        <w:bidi w:val="0"/>
        <w:spacing w:line="500" w:lineRule="exact"/>
        <w:ind w:left="0" w:leftChars="0" w:firstLine="0" w:firstLineChars="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12.中小企业声明函</w:t>
      </w:r>
    </w:p>
    <w:p w14:paraId="05FB7BE6">
      <w:pPr>
        <w:keepNext w:val="0"/>
        <w:keepLines w:val="0"/>
        <w:pageBreakBefore w:val="0"/>
        <w:kinsoku/>
        <w:wordWrap/>
        <w:overflowPunct/>
        <w:topLinePunct w:val="0"/>
        <w:autoSpaceDE/>
        <w:autoSpaceDN/>
        <w:bidi w:val="0"/>
        <w:adjustRightInd/>
        <w:snapToGrid/>
        <w:spacing w:line="460" w:lineRule="exact"/>
        <w:ind w:left="1080" w:leftChars="257" w:hanging="540"/>
        <w:jc w:val="center"/>
        <w:textAlignment w:val="auto"/>
        <w:rPr>
          <w:rFonts w:hint="eastAsia" w:ascii="仿宋" w:hAnsi="仿宋" w:eastAsia="仿宋" w:cs="仿宋"/>
          <w:b/>
          <w:bCs/>
          <w:color w:val="auto"/>
          <w:sz w:val="28"/>
          <w:szCs w:val="28"/>
        </w:rPr>
      </w:pPr>
    </w:p>
    <w:p w14:paraId="5C44C102">
      <w:pPr>
        <w:keepNext w:val="0"/>
        <w:keepLines w:val="0"/>
        <w:pageBreakBefore w:val="0"/>
        <w:kinsoku/>
        <w:wordWrap/>
        <w:overflowPunct/>
        <w:topLinePunct w:val="0"/>
        <w:autoSpaceDE/>
        <w:autoSpaceDN/>
        <w:bidi w:val="0"/>
        <w:adjustRightInd/>
        <w:snapToGrid/>
        <w:spacing w:line="460" w:lineRule="exact"/>
        <w:ind w:left="1080" w:leftChars="257" w:hanging="540"/>
        <w:jc w:val="center"/>
        <w:textAlignment w:val="auto"/>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rPr>
        <w:t>中小企业声明函</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货物</w:t>
      </w:r>
      <w:r>
        <w:rPr>
          <w:rFonts w:hint="eastAsia" w:ascii="仿宋" w:hAnsi="仿宋" w:eastAsia="仿宋" w:cs="仿宋"/>
          <w:b/>
          <w:bCs/>
          <w:color w:val="auto"/>
          <w:sz w:val="28"/>
          <w:szCs w:val="28"/>
          <w:lang w:eastAsia="zh-CN"/>
        </w:rPr>
        <w:t>）</w:t>
      </w:r>
    </w:p>
    <w:p w14:paraId="4353AA1E">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eastAsia" w:ascii="仿宋" w:hAnsi="仿宋" w:eastAsia="仿宋" w:cs="仿宋"/>
          <w:color w:val="auto"/>
          <w:sz w:val="28"/>
          <w:szCs w:val="28"/>
          <w:lang w:eastAsia="zh-CN"/>
        </w:rPr>
      </w:pPr>
      <w:bookmarkStart w:id="515" w:name="_Toc14089"/>
      <w:bookmarkStart w:id="516" w:name="_Toc17207"/>
      <w:bookmarkStart w:id="517" w:name="_Toc515647813"/>
      <w:bookmarkStart w:id="518" w:name="_Toc29703"/>
      <w:bookmarkStart w:id="519" w:name="_Toc1943"/>
      <w:r>
        <w:rPr>
          <w:rFonts w:hint="eastAsia" w:ascii="仿宋" w:hAnsi="仿宋" w:eastAsia="仿宋" w:cs="仿宋"/>
          <w:color w:val="auto"/>
          <w:sz w:val="28"/>
          <w:szCs w:val="28"/>
          <w:lang w:eastAsia="zh-CN"/>
        </w:rPr>
        <w:t>本公司郑重声明，根据《政府采购促进中小企业发展管理办法》 (财库〔2020〕[2020]46号)的规定，本公司参加(单位名称)的(项目名称)采购活动，提供的货物全部由符合政策要求的中小企业制造。相关企业 (含联合体中的中小企业、签订分包意向协议的中小企业)的具体情况如下：</w:t>
      </w:r>
    </w:p>
    <w:p w14:paraId="6E0C73E4">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 (标的名称),属于(采购文件中明确的所属行业);制造商为(企业名 称),从业人员   人，营业收入为    万元，资产总额为   万元，属于(中 型企业、小型企业、微型企业) ;</w:t>
      </w:r>
    </w:p>
    <w:p w14:paraId="686AFF9F">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 (标的名称),属于(采购文件中明确的所属行业);制造商为(企业名 称),从业人员   人，营业收入为    万元，资产总额为   万元，属于(中 型企业、小型企业、微型企业) ;</w:t>
      </w:r>
    </w:p>
    <w:p w14:paraId="21D2E2D9">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p>
    <w:p w14:paraId="263370E3">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以上企业，不属于大企业的分支机构，不存在控股股东为大企业的情形，也 不存在与大企业的负责人为同一人的情形。</w:t>
      </w:r>
    </w:p>
    <w:p w14:paraId="47DDC926">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本企业对上述声明内容的真实性负责。如有虚假，将依法承担相应责任。</w:t>
      </w:r>
    </w:p>
    <w:p w14:paraId="6CCC667C">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320" w:firstLineChars="19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企业名称(盖章):</w:t>
      </w:r>
    </w:p>
    <w:p w14:paraId="2DA1BDD6">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6720" w:firstLineChars="24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日期：</w:t>
      </w:r>
    </w:p>
    <w:p w14:paraId="5100BDB1">
      <w:pPr>
        <w:pStyle w:val="13"/>
        <w:spacing w:line="278" w:lineRule="auto"/>
        <w:rPr>
          <w:rFonts w:hint="eastAsia" w:ascii="仿宋" w:hAnsi="仿宋" w:eastAsia="仿宋" w:cs="仿宋"/>
          <w:color w:val="auto"/>
        </w:rPr>
      </w:pPr>
    </w:p>
    <w:p w14:paraId="2E8A42E3">
      <w:pPr>
        <w:pStyle w:val="13"/>
        <w:spacing w:line="278" w:lineRule="auto"/>
        <w:rPr>
          <w:rFonts w:hint="eastAsia" w:ascii="仿宋" w:hAnsi="仿宋" w:eastAsia="仿宋" w:cs="仿宋"/>
          <w:color w:val="auto"/>
        </w:rPr>
      </w:pPr>
    </w:p>
    <w:p w14:paraId="5215B92D">
      <w:pPr>
        <w:spacing w:line="219" w:lineRule="auto"/>
        <w:rPr>
          <w:rFonts w:hint="eastAsia" w:ascii="仿宋" w:hAnsi="仿宋" w:eastAsia="仿宋" w:cs="仿宋"/>
          <w:color w:val="auto"/>
          <w:sz w:val="24"/>
          <w:szCs w:val="24"/>
        </w:rPr>
      </w:pPr>
    </w:p>
    <w:p w14:paraId="0BBEFBBE">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jc w:val="lef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从业人员、营业收入、资产总额填报上一年度数据，无上一年度数据的新成立企业可不填报。</w:t>
      </w:r>
    </w:p>
    <w:p w14:paraId="29925C07">
      <w:pPr>
        <w:spacing w:line="228" w:lineRule="auto"/>
        <w:rPr>
          <w:rFonts w:ascii="宋体" w:hAnsi="宋体" w:eastAsia="宋体" w:cs="宋体"/>
          <w:color w:val="auto"/>
          <w:sz w:val="20"/>
          <w:szCs w:val="20"/>
        </w:rPr>
        <w:sectPr>
          <w:footerReference r:id="rId9" w:type="default"/>
          <w:pgSz w:w="11906" w:h="16838"/>
          <w:pgMar w:top="400" w:right="1720" w:bottom="1153" w:left="1785" w:header="0" w:footer="984" w:gutter="0"/>
          <w:pgNumType w:fmt="decimal"/>
          <w:cols w:space="720" w:num="1"/>
        </w:sectPr>
      </w:pPr>
    </w:p>
    <w:p w14:paraId="238C4021">
      <w:pPr>
        <w:pStyle w:val="6"/>
        <w:shd w:val="clear" w:color="auto" w:fill="auto"/>
        <w:jc w:val="both"/>
        <w:outlineLvl w:val="0"/>
        <w:rPr>
          <w:rFonts w:hint="eastAsia" w:ascii="仿宋" w:hAnsi="仿宋" w:eastAsia="仿宋" w:cs="仿宋"/>
          <w:color w:val="auto"/>
          <w:sz w:val="28"/>
          <w:szCs w:val="28"/>
          <w:highlight w:val="none"/>
          <w:lang w:val="en-US" w:eastAsia="zh-CN"/>
        </w:rPr>
      </w:pPr>
      <w:bookmarkStart w:id="520" w:name="_Toc30660"/>
      <w:bookmarkStart w:id="521" w:name="_Toc4201"/>
      <w:bookmarkStart w:id="522" w:name="_Toc26934"/>
      <w:r>
        <w:rPr>
          <w:rFonts w:hint="eastAsia" w:ascii="仿宋" w:hAnsi="仿宋" w:eastAsia="仿宋" w:cs="仿宋"/>
          <w:color w:val="auto"/>
          <w:sz w:val="28"/>
          <w:szCs w:val="28"/>
          <w:highlight w:val="none"/>
          <w:lang w:val="en-US" w:eastAsia="zh-CN"/>
        </w:rPr>
        <w:t>附件：</w:t>
      </w:r>
      <w:bookmarkEnd w:id="520"/>
      <w:bookmarkEnd w:id="521"/>
      <w:bookmarkEnd w:id="522"/>
    </w:p>
    <w:p w14:paraId="7770AD26">
      <w:pPr>
        <w:pStyle w:val="6"/>
        <w:shd w:val="clear" w:color="auto" w:fill="auto"/>
        <w:jc w:val="center"/>
        <w:outlineLvl w:val="0"/>
        <w:rPr>
          <w:rFonts w:hint="eastAsia" w:ascii="仿宋" w:hAnsi="仿宋" w:eastAsia="仿宋" w:cs="仿宋"/>
          <w:color w:val="auto"/>
          <w:highlight w:val="none"/>
        </w:rPr>
      </w:pPr>
      <w:bookmarkStart w:id="523" w:name="_Toc27171"/>
      <w:bookmarkStart w:id="524" w:name="_Toc20477"/>
      <w:bookmarkStart w:id="525" w:name="_Toc24154"/>
      <w:r>
        <w:rPr>
          <w:rFonts w:hint="eastAsia" w:ascii="仿宋" w:hAnsi="仿宋" w:eastAsia="仿宋" w:cs="仿宋"/>
          <w:color w:val="auto"/>
          <w:sz w:val="28"/>
          <w:szCs w:val="28"/>
          <w:highlight w:val="none"/>
        </w:rPr>
        <w:t>中小企业划分标准</w:t>
      </w:r>
      <w:bookmarkEnd w:id="523"/>
      <w:bookmarkEnd w:id="524"/>
      <w:bookmarkEnd w:id="525"/>
    </w:p>
    <w:p w14:paraId="3791B99F">
      <w:pPr>
        <w:shd w:val="clear" w:color="auto" w:fill="auto"/>
        <w:ind w:firstLine="560" w:firstLineChars="200"/>
        <w:rPr>
          <w:rFonts w:hint="eastAsia" w:ascii="仿宋" w:hAnsi="仿宋" w:eastAsia="仿宋" w:cs="仿宋"/>
          <w:color w:val="auto"/>
          <w:sz w:val="28"/>
          <w:szCs w:val="28"/>
          <w:highlight w:val="none"/>
        </w:rPr>
      </w:pPr>
      <w:bookmarkStart w:id="526" w:name="bookmark5"/>
      <w:bookmarkStart w:id="527" w:name="bookmark4"/>
      <w:r>
        <w:rPr>
          <w:rFonts w:hint="eastAsia" w:ascii="仿宋" w:hAnsi="仿宋" w:eastAsia="仿宋" w:cs="仿宋"/>
          <w:color w:val="auto"/>
          <w:sz w:val="28"/>
          <w:szCs w:val="28"/>
          <w:highlight w:val="none"/>
        </w:rPr>
        <w:t>工业和信息化部、国家统计局、发展改革委、财政部等四部门《关于印发中小企业划型标准规定的通知》（工信部联企业〔2011〕300号）规定中小企业划型标准如表所示：</w:t>
      </w:r>
      <w:bookmarkEnd w:id="526"/>
      <w:bookmarkEnd w:id="527"/>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29"/>
        <w:gridCol w:w="1049"/>
        <w:gridCol w:w="6990"/>
      </w:tblGrid>
      <w:tr w14:paraId="4BCD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2206A5D8">
            <w:pPr>
              <w:pStyle w:val="125"/>
              <w:shd w:val="clear" w:color="auto" w:fill="auto"/>
              <w:spacing w:line="240" w:lineRule="auto"/>
              <w:ind w:firstLine="24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农、林、牧、渔业</w:t>
            </w:r>
          </w:p>
        </w:tc>
        <w:tc>
          <w:tcPr>
            <w:tcW w:w="8039" w:type="dxa"/>
            <w:gridSpan w:val="2"/>
            <w:shd w:val="clear" w:color="auto" w:fill="FFFFFF"/>
            <w:noWrap w:val="0"/>
            <w:vAlign w:val="center"/>
          </w:tcPr>
          <w:p w14:paraId="23083134">
            <w:pPr>
              <w:pStyle w:val="125"/>
              <w:shd w:val="clear" w:color="auto" w:fill="auto"/>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营业收入20000万元以下的为中小微型企业。</w:t>
            </w:r>
          </w:p>
        </w:tc>
      </w:tr>
      <w:tr w14:paraId="2D82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5F07268F">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55464491">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22AAF30C">
            <w:pPr>
              <w:pStyle w:val="125"/>
              <w:shd w:val="clear" w:color="auto" w:fill="auto"/>
              <w:tabs>
                <w:tab w:val="left" w:pos="1930"/>
              </w:tabs>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500万元</w:t>
            </w:r>
            <w:r>
              <w:rPr>
                <w:rFonts w:hint="eastAsia" w:ascii="仿宋" w:hAnsi="仿宋" w:eastAsia="仿宋" w:cs="仿宋"/>
                <w:color w:val="auto"/>
                <w:sz w:val="28"/>
                <w:szCs w:val="28"/>
                <w:highlight w:val="none"/>
                <w:lang w:val="en-US"/>
              </w:rPr>
              <w:t>-</w:t>
            </w:r>
            <w:r>
              <w:rPr>
                <w:rFonts w:hint="eastAsia" w:ascii="仿宋" w:hAnsi="仿宋" w:eastAsia="仿宋" w:cs="仿宋"/>
                <w:color w:val="auto"/>
                <w:sz w:val="28"/>
                <w:szCs w:val="28"/>
                <w:highlight w:val="none"/>
              </w:rPr>
              <w:t>20000万元</w:t>
            </w:r>
          </w:p>
        </w:tc>
      </w:tr>
      <w:tr w14:paraId="4DE2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18D8390">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1424418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156AE1DF">
            <w:pPr>
              <w:pStyle w:val="125"/>
              <w:shd w:val="clear" w:color="auto" w:fill="auto"/>
              <w:tabs>
                <w:tab w:val="left" w:pos="1752"/>
              </w:tabs>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50万元</w:t>
            </w:r>
            <w:r>
              <w:rPr>
                <w:rFonts w:hint="eastAsia" w:ascii="仿宋" w:hAnsi="仿宋" w:eastAsia="仿宋" w:cs="仿宋"/>
                <w:color w:val="auto"/>
                <w:sz w:val="28"/>
                <w:szCs w:val="28"/>
                <w:highlight w:val="none"/>
                <w:lang w:val="en-US"/>
              </w:rPr>
              <w:t>-</w:t>
            </w:r>
            <w:r>
              <w:rPr>
                <w:rFonts w:hint="eastAsia" w:ascii="仿宋" w:hAnsi="仿宋" w:eastAsia="仿宋" w:cs="仿宋"/>
                <w:color w:val="auto"/>
                <w:sz w:val="28"/>
                <w:szCs w:val="28"/>
                <w:highlight w:val="none"/>
              </w:rPr>
              <w:t>500万元</w:t>
            </w:r>
          </w:p>
        </w:tc>
      </w:tr>
      <w:tr w14:paraId="0868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659A8DE6">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3934809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75DB0D0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50万元以下</w:t>
            </w:r>
          </w:p>
        </w:tc>
      </w:tr>
      <w:tr w14:paraId="5023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3B07E35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工业</w:t>
            </w:r>
          </w:p>
          <w:p w14:paraId="428E34DF">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（包括采矿业，制造业，电力、热力、燃气及水生产和供应</w:t>
            </w:r>
          </w:p>
          <w:p w14:paraId="78DB73C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w:t>
            </w:r>
          </w:p>
        </w:tc>
        <w:tc>
          <w:tcPr>
            <w:tcW w:w="8039" w:type="dxa"/>
            <w:gridSpan w:val="2"/>
            <w:shd w:val="clear" w:color="auto" w:fill="FFFFFF"/>
            <w:noWrap w:val="0"/>
            <w:vAlign w:val="center"/>
          </w:tcPr>
          <w:p w14:paraId="18F2674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从业人员1000人以下或营业收入 40000万元以下的为中小微型企业。</w:t>
            </w:r>
          </w:p>
        </w:tc>
      </w:tr>
      <w:tr w14:paraId="5C18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C9E53A1">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53826076">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123E3D1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 300人一1000人，且营业收入 2000万元一40 000万元</w:t>
            </w:r>
          </w:p>
        </w:tc>
      </w:tr>
      <w:tr w14:paraId="6A6A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E08C0F0">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2985C95A">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10982BD4">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从业人员20人一300人，且营业收入300万元一2000万元</w:t>
            </w:r>
          </w:p>
        </w:tc>
      </w:tr>
      <w:tr w14:paraId="5CB6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CCDFECE">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7385610B">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4048BF6F">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从业人员20人以下或营业收入 300万元以下</w:t>
            </w:r>
          </w:p>
        </w:tc>
      </w:tr>
      <w:tr w14:paraId="64D7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7B1DBA8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建筑业</w:t>
            </w:r>
          </w:p>
        </w:tc>
        <w:tc>
          <w:tcPr>
            <w:tcW w:w="8039" w:type="dxa"/>
            <w:gridSpan w:val="2"/>
            <w:shd w:val="clear" w:color="auto" w:fill="FFFFFF"/>
            <w:noWrap w:val="0"/>
            <w:vAlign w:val="center"/>
          </w:tcPr>
          <w:p w14:paraId="0C38F992">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营业收入80000万元以下或资产总额 80000万元以下的为中小微型企业。</w:t>
            </w:r>
          </w:p>
        </w:tc>
      </w:tr>
      <w:tr w14:paraId="4026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F3F3A4D">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3B7D53B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47E38D08">
            <w:pPr>
              <w:pStyle w:val="125"/>
              <w:shd w:val="clear" w:color="auto" w:fill="auto"/>
              <w:spacing w:line="240" w:lineRule="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营业收入6000万元一80000万元，且资产总额 5 000万元一80 000 万元</w:t>
            </w:r>
          </w:p>
        </w:tc>
      </w:tr>
      <w:tr w14:paraId="572D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670A4E6C">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71CFDF65">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69A0D2A9">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 300万元一6 000万元，且资产总额 300万一5 000万元</w:t>
            </w:r>
          </w:p>
        </w:tc>
      </w:tr>
      <w:tr w14:paraId="2E83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1576FF5">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54C7C37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4D5DF78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营业收入300万元以下或资产总额 300万元以下</w:t>
            </w:r>
          </w:p>
        </w:tc>
      </w:tr>
      <w:tr w14:paraId="153E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7DC43C25">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批发业</w:t>
            </w:r>
          </w:p>
        </w:tc>
        <w:tc>
          <w:tcPr>
            <w:tcW w:w="8039" w:type="dxa"/>
            <w:gridSpan w:val="2"/>
            <w:shd w:val="clear" w:color="auto" w:fill="FFFFFF"/>
            <w:noWrap w:val="0"/>
            <w:vAlign w:val="center"/>
          </w:tcPr>
          <w:p w14:paraId="53FD08E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从业人员200人以下或营业收入 40 000万元以下的为中小微型企业。</w:t>
            </w:r>
          </w:p>
        </w:tc>
      </w:tr>
      <w:tr w14:paraId="1B7B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299F650">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7F4311EF">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63F9ACB2">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从业人员20人一200人，且营业收入 5 000万元一40 000万元</w:t>
            </w:r>
          </w:p>
        </w:tc>
      </w:tr>
      <w:tr w14:paraId="25E6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DD23703">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44C5DA9C">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3034A03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从业人员5人一20人，且营业收入1000万元一5000万元</w:t>
            </w:r>
          </w:p>
        </w:tc>
      </w:tr>
      <w:tr w14:paraId="1B19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5EB1180">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1AB3B70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1A9CCEE9">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从业人员5人以下或营业收入 1 000万元以下</w:t>
            </w:r>
          </w:p>
        </w:tc>
      </w:tr>
      <w:tr w14:paraId="2AB0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7274713C">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零售业</w:t>
            </w:r>
          </w:p>
        </w:tc>
        <w:tc>
          <w:tcPr>
            <w:tcW w:w="8039" w:type="dxa"/>
            <w:gridSpan w:val="2"/>
            <w:shd w:val="clear" w:color="auto" w:fill="FFFFFF"/>
            <w:noWrap w:val="0"/>
            <w:vAlign w:val="center"/>
          </w:tcPr>
          <w:p w14:paraId="20ED4BC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从业人员300人以下或营业收入 20 000万元以下的为中小微型企业。</w:t>
            </w:r>
          </w:p>
        </w:tc>
      </w:tr>
      <w:tr w14:paraId="52B5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66E1EB4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2F2C0DF4">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10DFF8CD">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 50人一300人，且营业收入 500万元一20 000万元</w:t>
            </w:r>
          </w:p>
        </w:tc>
      </w:tr>
      <w:tr w14:paraId="7155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B75850E">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641DEAC8">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70F85DBD">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从业人员10人一50人，且营业收入 100万元一500万元</w:t>
            </w:r>
          </w:p>
        </w:tc>
      </w:tr>
      <w:tr w14:paraId="69E4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682EB484">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546DB94B">
            <w:pPr>
              <w:pStyle w:val="125"/>
              <w:shd w:val="clear" w:color="auto" w:fill="auto"/>
              <w:spacing w:before="80"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72072FC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从业人员10人以下或营业收入 100万元以下</w:t>
            </w:r>
          </w:p>
        </w:tc>
      </w:tr>
      <w:tr w14:paraId="552F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50DD6B27">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交通运输业 （不含铁路运输业）</w:t>
            </w:r>
          </w:p>
        </w:tc>
        <w:tc>
          <w:tcPr>
            <w:tcW w:w="8039" w:type="dxa"/>
            <w:gridSpan w:val="2"/>
            <w:shd w:val="clear" w:color="auto" w:fill="FFFFFF"/>
            <w:noWrap w:val="0"/>
            <w:vAlign w:val="center"/>
          </w:tcPr>
          <w:p w14:paraId="0B8FC0AC">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从业人员1 000人以下或营业收入 30 000万元以下的为中小微型企业。</w:t>
            </w:r>
          </w:p>
        </w:tc>
      </w:tr>
      <w:tr w14:paraId="3FE3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5F710E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3ED9B17B">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55B472AC">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 300人一1 000人，且营业收入 3 000万元一30 000万元</w:t>
            </w:r>
          </w:p>
        </w:tc>
      </w:tr>
      <w:tr w14:paraId="6903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6D6190F">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1BA204A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1C2FEF12">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从业人员20人一300人，且营业收入 200万元一3 000万元</w:t>
            </w:r>
          </w:p>
        </w:tc>
      </w:tr>
      <w:tr w14:paraId="11B8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4E9A0A6">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307B2708">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160D1A9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从业人员20人以下或营业收入 200万元以下</w:t>
            </w:r>
          </w:p>
        </w:tc>
      </w:tr>
      <w:tr w14:paraId="7C77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3B5A075F">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仓储业</w:t>
            </w:r>
          </w:p>
        </w:tc>
        <w:tc>
          <w:tcPr>
            <w:tcW w:w="8039" w:type="dxa"/>
            <w:gridSpan w:val="2"/>
            <w:shd w:val="clear" w:color="auto" w:fill="FFFFFF"/>
            <w:noWrap w:val="0"/>
            <w:vAlign w:val="center"/>
          </w:tcPr>
          <w:p w14:paraId="662ADF3F">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从业人员200人以下或营业收入 30 000万元以下的为中小微型企业。</w:t>
            </w:r>
          </w:p>
        </w:tc>
      </w:tr>
      <w:tr w14:paraId="3BD1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5A8D4FD">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0CEEA7DB">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3850B81D">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从业人员100人一200人，且营业收入 1 000万元一30 000万元</w:t>
            </w:r>
          </w:p>
        </w:tc>
      </w:tr>
      <w:tr w14:paraId="325F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4B32946">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01672174">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407A6551">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从业人员20人一100人，且营业收入 100万元一1 000万元</w:t>
            </w:r>
          </w:p>
        </w:tc>
      </w:tr>
      <w:tr w14:paraId="2620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F962CE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797BAB57">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3248D96C">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从业人员20人以下或营业收入 100万元以下</w:t>
            </w:r>
          </w:p>
        </w:tc>
      </w:tr>
      <w:tr w14:paraId="73D4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1EC0C7C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邮政业</w:t>
            </w:r>
          </w:p>
        </w:tc>
        <w:tc>
          <w:tcPr>
            <w:tcW w:w="8039" w:type="dxa"/>
            <w:gridSpan w:val="2"/>
            <w:shd w:val="clear" w:color="auto" w:fill="FFFFFF"/>
            <w:noWrap w:val="0"/>
            <w:vAlign w:val="center"/>
          </w:tcPr>
          <w:p w14:paraId="66294496">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从业人员1 000人以下或营业收入 30 000万元以下的为中小微型企业。</w:t>
            </w:r>
          </w:p>
        </w:tc>
      </w:tr>
      <w:tr w14:paraId="552C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CBC5A7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735B440D">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39485D9D">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 300人一1 000人，且营业收入 2 000万元一30 000万元</w:t>
            </w:r>
          </w:p>
        </w:tc>
      </w:tr>
      <w:tr w14:paraId="3DF9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025597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659607FB">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5AE15E7A">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从业人员20人一300人，且营业收入 100万元一2 000万元</w:t>
            </w:r>
          </w:p>
        </w:tc>
      </w:tr>
      <w:tr w14:paraId="2B73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5F5BA0B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061CF129">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1EE2BA71">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从业人员20人以下或营业收入 100万元以下</w:t>
            </w:r>
          </w:p>
        </w:tc>
      </w:tr>
    </w:tbl>
    <w:p w14:paraId="3E405809">
      <w:pPr>
        <w:shd w:val="clear" w:color="auto" w:fill="auto"/>
        <w:spacing w:line="1" w:lineRule="exact"/>
        <w:jc w:val="left"/>
        <w:rPr>
          <w:rFonts w:hint="eastAsia" w:ascii="仿宋" w:hAnsi="仿宋" w:eastAsia="仿宋" w:cs="仿宋"/>
          <w:color w:val="auto"/>
          <w:sz w:val="28"/>
          <w:szCs w:val="28"/>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3"/>
        <w:gridCol w:w="769"/>
        <w:gridCol w:w="7308"/>
      </w:tblGrid>
      <w:tr w14:paraId="60FF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51B07F7B">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住宿业</w:t>
            </w:r>
          </w:p>
        </w:tc>
        <w:tc>
          <w:tcPr>
            <w:tcW w:w="8077" w:type="dxa"/>
            <w:gridSpan w:val="2"/>
            <w:shd w:val="clear" w:color="auto" w:fill="FFFFFF"/>
            <w:noWrap w:val="0"/>
            <w:vAlign w:val="center"/>
          </w:tcPr>
          <w:p w14:paraId="58CAC6BF">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从业人员300人以下或营业收入 10000万元以下的为中小微型企业。</w:t>
            </w:r>
          </w:p>
        </w:tc>
      </w:tr>
      <w:tr w14:paraId="307D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3BEE899">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31ABFB5C">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2DD1B440">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从业人员100人一300人，且营业收入 2 000万元一10 000万元</w:t>
            </w:r>
          </w:p>
        </w:tc>
      </w:tr>
      <w:tr w14:paraId="5F70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B919075">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5CE35D07">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6462BDF0">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从业人员10人一100人，且营业收入 100万元一2 000万元</w:t>
            </w:r>
          </w:p>
        </w:tc>
      </w:tr>
      <w:tr w14:paraId="259C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C55B2D9">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16DE054F">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6D71773F">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从业人员10人以下或营业收入 100万元以下</w:t>
            </w:r>
          </w:p>
        </w:tc>
      </w:tr>
      <w:tr w14:paraId="4CA6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752FFD2">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餐饮业</w:t>
            </w:r>
          </w:p>
        </w:tc>
        <w:tc>
          <w:tcPr>
            <w:tcW w:w="8077" w:type="dxa"/>
            <w:gridSpan w:val="2"/>
            <w:shd w:val="clear" w:color="auto" w:fill="FFFFFF"/>
            <w:noWrap w:val="0"/>
            <w:vAlign w:val="center"/>
          </w:tcPr>
          <w:p w14:paraId="5F9035A2">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从业人员300人以下或营业收入 10 000万元以下的为中小微型企业。</w:t>
            </w:r>
          </w:p>
        </w:tc>
      </w:tr>
      <w:tr w14:paraId="589B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7420161">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3B191B88">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5525D8F5">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 300人，且营业收入 2 000万元一10 000万元</w:t>
            </w:r>
          </w:p>
        </w:tc>
      </w:tr>
      <w:tr w14:paraId="5A3F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CDE86D4">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034DCBAB">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488CB775">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从业人员10人一100人，且营业收入 100万元一2 000万元</w:t>
            </w:r>
          </w:p>
        </w:tc>
      </w:tr>
      <w:tr w14:paraId="7EF3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155BE75">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2C7B0B16">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03B81B74">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从业人员10人以下或营业收入 100万元以下</w:t>
            </w:r>
          </w:p>
        </w:tc>
      </w:tr>
      <w:tr w14:paraId="256B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756C98A">
            <w:pPr>
              <w:pStyle w:val="125"/>
              <w:shd w:val="clear" w:color="auto" w:fill="auto"/>
              <w:spacing w:line="492"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信息传输业 （包括电信、互联网 和相关服务）</w:t>
            </w:r>
          </w:p>
        </w:tc>
        <w:tc>
          <w:tcPr>
            <w:tcW w:w="8077" w:type="dxa"/>
            <w:gridSpan w:val="2"/>
            <w:shd w:val="clear" w:color="auto" w:fill="FFFFFF"/>
            <w:noWrap w:val="0"/>
            <w:vAlign w:val="center"/>
          </w:tcPr>
          <w:p w14:paraId="26CF905A">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从业人员2 000人以下或营业收入 100 000万元以下的为中小微型企业。</w:t>
            </w:r>
          </w:p>
        </w:tc>
      </w:tr>
      <w:tr w14:paraId="3B1B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C4B364F">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6E02A4C2">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331B124F">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从业人员100人一2 000人，且营业收入 1 000万元一10 000万元</w:t>
            </w:r>
          </w:p>
        </w:tc>
      </w:tr>
      <w:tr w14:paraId="710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275A5F0">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C794CBC">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0BBDF445">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从业人员10人一100人，且营业收入 100万元一1 000万元</w:t>
            </w:r>
          </w:p>
        </w:tc>
      </w:tr>
      <w:tr w14:paraId="29F4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088AB8A">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649D895F">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2CF5CF9B">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从业人员10人以下或营业收入 100万元以下</w:t>
            </w:r>
          </w:p>
        </w:tc>
      </w:tr>
      <w:tr w14:paraId="719A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5C71C0DB">
            <w:pPr>
              <w:pStyle w:val="125"/>
              <w:shd w:val="clear" w:color="auto" w:fill="auto"/>
              <w:spacing w:line="509"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软件和信息技术服务业</w:t>
            </w:r>
          </w:p>
        </w:tc>
        <w:tc>
          <w:tcPr>
            <w:tcW w:w="8077" w:type="dxa"/>
            <w:gridSpan w:val="2"/>
            <w:shd w:val="clear" w:color="auto" w:fill="FFFFFF"/>
            <w:noWrap w:val="0"/>
            <w:vAlign w:val="center"/>
          </w:tcPr>
          <w:p w14:paraId="7014BF1E">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从业人员300人以下或营业收入 10000万元以下的为中小微型企业。</w:t>
            </w:r>
          </w:p>
        </w:tc>
      </w:tr>
      <w:tr w14:paraId="7557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F06AFA0">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59820C7C">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7FC82222">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 300人，且营业收入 1 000万元一10 000万元</w:t>
            </w:r>
          </w:p>
        </w:tc>
      </w:tr>
      <w:tr w14:paraId="298E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A8D01F3">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39251446">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337A32DC">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从业人员10人一100人，且营业收入 50万元一1 000万元</w:t>
            </w:r>
          </w:p>
        </w:tc>
      </w:tr>
      <w:tr w14:paraId="3DD7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E6A48F3">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8C31708">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5711E217">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从业人员10人以下或营业收入 50万元以下</w:t>
            </w:r>
          </w:p>
        </w:tc>
      </w:tr>
      <w:tr w14:paraId="6B73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1AEF9951">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房地产开发经营</w:t>
            </w:r>
          </w:p>
        </w:tc>
        <w:tc>
          <w:tcPr>
            <w:tcW w:w="8077" w:type="dxa"/>
            <w:gridSpan w:val="2"/>
            <w:shd w:val="clear" w:color="auto" w:fill="FFFFFF"/>
            <w:noWrap w:val="0"/>
            <w:vAlign w:val="center"/>
          </w:tcPr>
          <w:p w14:paraId="5C32B364">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营业收入200 000万元以下或资产总额 10 000万元以下的为中小微型企业。</w:t>
            </w:r>
          </w:p>
        </w:tc>
      </w:tr>
      <w:tr w14:paraId="57FE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C95B084">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6B64E814">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21B485DB">
            <w:pPr>
              <w:pStyle w:val="125"/>
              <w:shd w:val="clear" w:color="auto" w:fill="auto"/>
              <w:spacing w:after="120"/>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营业收入1 000万元一200 000万元，且资产总额 5 000万元一10000万元</w:t>
            </w:r>
          </w:p>
        </w:tc>
      </w:tr>
      <w:tr w14:paraId="4E62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0F5C6E8">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A0FF1B5">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419E0A86">
            <w:pPr>
              <w:pStyle w:val="125"/>
              <w:shd w:val="clear" w:color="auto" w:fill="auto"/>
              <w:spacing w:line="240" w:lineRule="auto"/>
              <w:ind w:left="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营业收入100万元一1 000万元，且资产总额 2 000万元一5 000 万元</w:t>
            </w:r>
          </w:p>
        </w:tc>
      </w:tr>
      <w:tr w14:paraId="16D2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5B524E2">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DBE088A">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429D56B3">
            <w:pPr>
              <w:pStyle w:val="125"/>
              <w:shd w:val="clear" w:color="auto" w:fill="auto"/>
              <w:tabs>
                <w:tab w:val="left" w:pos="5256"/>
              </w:tabs>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营业收入100万元以下或资产总额2 000万元以下的为微型企业</w:t>
            </w:r>
          </w:p>
        </w:tc>
      </w:tr>
      <w:tr w14:paraId="1245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4B316559">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物业管理</w:t>
            </w:r>
          </w:p>
        </w:tc>
        <w:tc>
          <w:tcPr>
            <w:tcW w:w="8077" w:type="dxa"/>
            <w:gridSpan w:val="2"/>
            <w:shd w:val="clear" w:color="auto" w:fill="FFFFFF"/>
            <w:noWrap w:val="0"/>
            <w:vAlign w:val="center"/>
          </w:tcPr>
          <w:p w14:paraId="7AF77D75">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从业人员1 000人以下或营业收入 5 000万元以下的为中小微型企业。</w:t>
            </w:r>
          </w:p>
        </w:tc>
      </w:tr>
      <w:tr w14:paraId="4D44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801BDEA">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35474EA5">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107C201A">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 300人一1 000人，且营业收入 1000万元一5 000万元</w:t>
            </w:r>
          </w:p>
        </w:tc>
      </w:tr>
      <w:tr w14:paraId="2C84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92E9A46">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30CF1F47">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254B2B0B">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从业人员100人一300人，且营业收入 500万元一1 000万元</w:t>
            </w:r>
          </w:p>
        </w:tc>
      </w:tr>
      <w:tr w14:paraId="71C7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379F143">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58E8649">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7E521030">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从业人员100人以下或营业收入 500万元以下</w:t>
            </w:r>
          </w:p>
        </w:tc>
      </w:tr>
      <w:tr w14:paraId="4AAE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677FB871">
            <w:pPr>
              <w:pStyle w:val="125"/>
              <w:shd w:val="clear" w:color="auto" w:fill="auto"/>
              <w:ind w:firstLine="2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租赁和商务服务业</w:t>
            </w:r>
          </w:p>
        </w:tc>
        <w:tc>
          <w:tcPr>
            <w:tcW w:w="8077" w:type="dxa"/>
            <w:gridSpan w:val="2"/>
            <w:shd w:val="clear" w:color="auto" w:fill="FFFFFF"/>
            <w:noWrap w:val="0"/>
            <w:vAlign w:val="center"/>
          </w:tcPr>
          <w:p w14:paraId="7C6A9BF9">
            <w:pPr>
              <w:pStyle w:val="125"/>
              <w:shd w:val="clear" w:color="auto" w:fill="auto"/>
              <w:tabs>
                <w:tab w:val="left" w:pos="10666"/>
              </w:tabs>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仿宋" w:hAnsi="仿宋" w:eastAsia="仿宋" w:cs="仿宋"/>
                <w:color w:val="auto"/>
                <w:sz w:val="28"/>
                <w:szCs w:val="28"/>
                <w:highlight w:val="none"/>
                <w:lang w:val="en-US"/>
              </w:rPr>
              <w:t>10</w:t>
            </w:r>
            <w:r>
              <w:rPr>
                <w:rFonts w:hint="eastAsia" w:ascii="仿宋" w:hAnsi="仿宋" w:eastAsia="仿宋" w:cs="仿宋"/>
                <w:color w:val="auto"/>
                <w:sz w:val="28"/>
                <w:szCs w:val="28"/>
                <w:highlight w:val="none"/>
              </w:rPr>
              <w:t>人以下或资产总额 100万元以下的为微型企业。</w:t>
            </w:r>
          </w:p>
        </w:tc>
      </w:tr>
      <w:tr w14:paraId="1F34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4AAC2B6">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277815A7">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2A06A961">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从业人员100人一300人，且资产总额8000万元一120000万元</w:t>
            </w:r>
          </w:p>
        </w:tc>
      </w:tr>
      <w:tr w14:paraId="29FC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AA73411">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0D70D130">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71848B7C">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从业人员10人一100人，且资产总额 100万元一8000万元</w:t>
            </w:r>
          </w:p>
        </w:tc>
      </w:tr>
      <w:tr w14:paraId="47CA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7E49A5E">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6BB70AD3">
            <w:pPr>
              <w:pStyle w:val="125"/>
              <w:shd w:val="clear" w:color="auto" w:fill="auto"/>
              <w:spacing w:before="1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793B6A93">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从业人员10人以下或资产总额 100万元以下</w:t>
            </w:r>
          </w:p>
        </w:tc>
      </w:tr>
      <w:tr w14:paraId="3050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DB7ACDF">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其他未列明行业</w:t>
            </w:r>
          </w:p>
        </w:tc>
        <w:tc>
          <w:tcPr>
            <w:tcW w:w="8077" w:type="dxa"/>
            <w:gridSpan w:val="2"/>
            <w:shd w:val="clear" w:color="auto" w:fill="FFFFFF"/>
            <w:noWrap w:val="0"/>
            <w:vAlign w:val="center"/>
          </w:tcPr>
          <w:p w14:paraId="5D9C2159">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从业人员300人以下的为中小微型企业。</w:t>
            </w:r>
          </w:p>
        </w:tc>
      </w:tr>
      <w:tr w14:paraId="138C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9C0914B">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197178A6">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377B55F2">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 300人</w:t>
            </w:r>
          </w:p>
        </w:tc>
      </w:tr>
      <w:tr w14:paraId="3025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73A6A9B">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AD257EB">
            <w:pPr>
              <w:pStyle w:val="125"/>
              <w:shd w:val="clear" w:color="auto" w:fill="auto"/>
              <w:spacing w:before="8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343F492F">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w:t>
            </w:r>
          </w:p>
        </w:tc>
      </w:tr>
      <w:tr w14:paraId="2DF7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19CD0C5">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1E908DA4">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10993AE8">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w:t>
            </w:r>
          </w:p>
        </w:tc>
      </w:tr>
    </w:tbl>
    <w:p w14:paraId="1F344541">
      <w:pPr>
        <w:pStyle w:val="9"/>
        <w:rPr>
          <w:rFonts w:hint="eastAsia" w:ascii="仿宋" w:hAnsi="仿宋" w:eastAsia="仿宋" w:cs="仿宋"/>
          <w:color w:val="auto"/>
          <w:sz w:val="24"/>
          <w:szCs w:val="24"/>
        </w:rPr>
        <w:sectPr>
          <w:footerReference r:id="rId10" w:type="default"/>
          <w:pgSz w:w="11910" w:h="16840"/>
          <w:pgMar w:top="1429" w:right="1134" w:bottom="1140" w:left="1701" w:header="0" w:footer="999" w:gutter="0"/>
          <w:pgNumType w:fmt="decimal"/>
          <w:cols w:space="720" w:num="1"/>
          <w:rtlGutter w:val="0"/>
          <w:docGrid w:linePitch="0" w:charSpace="0"/>
        </w:sectPr>
      </w:pPr>
    </w:p>
    <w:p w14:paraId="55F8C2F0">
      <w:pPr>
        <w:pStyle w:val="9"/>
        <w:keepNext w:val="0"/>
        <w:keepLines w:val="0"/>
        <w:pageBreakBefore w:val="0"/>
        <w:kinsoku/>
        <w:wordWrap/>
        <w:overflowPunct/>
        <w:topLinePunct w:val="0"/>
        <w:bidi w:val="0"/>
        <w:spacing w:line="500" w:lineRule="exact"/>
        <w:ind w:left="0" w:leftChars="0" w:firstLine="0" w:firstLineChars="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13.</w:t>
      </w:r>
      <w:r>
        <w:rPr>
          <w:rFonts w:hint="eastAsia" w:ascii="仿宋" w:hAnsi="仿宋" w:eastAsia="仿宋" w:cs="仿宋"/>
          <w:b/>
          <w:bCs/>
          <w:color w:val="auto"/>
          <w:sz w:val="28"/>
          <w:szCs w:val="28"/>
        </w:rPr>
        <w:t>投标人须知资料表要求的其他资格证明文件</w:t>
      </w:r>
      <w:bookmarkEnd w:id="515"/>
      <w:bookmarkEnd w:id="516"/>
      <w:bookmarkEnd w:id="517"/>
      <w:bookmarkEnd w:id="518"/>
      <w:bookmarkEnd w:id="519"/>
    </w:p>
    <w:p w14:paraId="003C8623">
      <w:pPr>
        <w:keepNext w:val="0"/>
        <w:keepLines w:val="0"/>
        <w:pageBreakBefore w:val="0"/>
        <w:kinsoku/>
        <w:wordWrap/>
        <w:overflowPunct/>
        <w:topLinePunct w:val="0"/>
        <w:bidi w:val="0"/>
        <w:spacing w:line="500" w:lineRule="exact"/>
        <w:rPr>
          <w:rFonts w:hint="eastAsia" w:ascii="仿宋" w:hAnsi="仿宋" w:eastAsia="仿宋" w:cs="仿宋"/>
          <w:b/>
          <w:bCs/>
          <w:color w:val="auto"/>
          <w:sz w:val="28"/>
          <w:szCs w:val="28"/>
        </w:rPr>
      </w:pPr>
    </w:p>
    <w:p w14:paraId="6D8FCBA5">
      <w:pPr>
        <w:keepNext w:val="0"/>
        <w:keepLines w:val="0"/>
        <w:pageBreakBefore w:val="0"/>
        <w:widowControl/>
        <w:kinsoku/>
        <w:wordWrap/>
        <w:overflowPunct/>
        <w:topLinePunct w:val="0"/>
        <w:bidi w:val="0"/>
        <w:spacing w:before="100" w:beforeAutospacing="1" w:after="100" w:afterAutospacing="1" w:line="50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说明：1.应提供投标人须知资料表要求的其他资格证明文件。</w:t>
      </w:r>
    </w:p>
    <w:p w14:paraId="31FA0303">
      <w:pPr>
        <w:keepNext w:val="0"/>
        <w:keepLines w:val="0"/>
        <w:pageBreakBefore w:val="0"/>
        <w:widowControl/>
        <w:kinsoku/>
        <w:wordWrap/>
        <w:overflowPunct/>
        <w:topLinePunct w:val="0"/>
        <w:bidi w:val="0"/>
        <w:spacing w:before="100" w:beforeAutospacing="1" w:after="100" w:afterAutospacing="1" w:line="50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      2.</w:t>
      </w:r>
      <w:r>
        <w:rPr>
          <w:rFonts w:hint="eastAsia" w:ascii="仿宋" w:hAnsi="仿宋" w:eastAsia="仿宋" w:cs="仿宋"/>
          <w:color w:val="auto"/>
          <w:sz w:val="28"/>
          <w:szCs w:val="28"/>
          <w:lang w:eastAsia="zh-CN"/>
        </w:rPr>
        <w:t>扫描</w:t>
      </w:r>
      <w:r>
        <w:rPr>
          <w:rFonts w:hint="eastAsia" w:ascii="仿宋" w:hAnsi="仿宋" w:eastAsia="仿宋" w:cs="仿宋"/>
          <w:color w:val="auto"/>
          <w:sz w:val="28"/>
          <w:szCs w:val="28"/>
        </w:rPr>
        <w:t>件上应加盖本单位</w:t>
      </w:r>
      <w:r>
        <w:rPr>
          <w:rFonts w:hint="eastAsia" w:ascii="仿宋" w:hAnsi="仿宋" w:eastAsia="仿宋" w:cs="仿宋"/>
          <w:color w:val="auto"/>
          <w:sz w:val="28"/>
          <w:szCs w:val="28"/>
          <w:lang w:val="en-US" w:eastAsia="zh-CN"/>
        </w:rPr>
        <w:t>公</w:t>
      </w:r>
      <w:r>
        <w:rPr>
          <w:rFonts w:hint="eastAsia" w:ascii="仿宋" w:hAnsi="仿宋" w:eastAsia="仿宋" w:cs="仿宋"/>
          <w:color w:val="auto"/>
          <w:sz w:val="28"/>
          <w:szCs w:val="28"/>
        </w:rPr>
        <w:t>章。</w:t>
      </w:r>
    </w:p>
    <w:p w14:paraId="0840A32E">
      <w:pPr>
        <w:pStyle w:val="16"/>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br w:type="page"/>
      </w:r>
      <w:bookmarkStart w:id="528" w:name="_Toc515647814"/>
      <w:bookmarkStart w:id="529" w:name="_Toc2502"/>
      <w:bookmarkStart w:id="530" w:name="_Toc23044"/>
      <w:r>
        <w:rPr>
          <w:rFonts w:hint="eastAsia" w:ascii="仿宋" w:hAnsi="仿宋" w:eastAsia="仿宋" w:cs="仿宋"/>
          <w:color w:val="auto"/>
          <w:sz w:val="28"/>
          <w:szCs w:val="28"/>
        </w:rPr>
        <w:t xml:space="preserve">  </w:t>
      </w:r>
      <w:bookmarkEnd w:id="528"/>
      <w:bookmarkEnd w:id="529"/>
      <w:bookmarkEnd w:id="530"/>
      <w:r>
        <w:rPr>
          <w:rFonts w:hint="eastAsia" w:ascii="仿宋" w:hAnsi="仿宋" w:eastAsia="仿宋" w:cs="仿宋"/>
          <w:color w:val="auto"/>
          <w:sz w:val="28"/>
          <w:szCs w:val="28"/>
        </w:rPr>
        <w:t xml:space="preserve"> </w:t>
      </w:r>
    </w:p>
    <w:p w14:paraId="412B25DB">
      <w:pPr>
        <w:pStyle w:val="5"/>
        <w:keepNext w:val="0"/>
        <w:keepLines w:val="0"/>
        <w:pageBreakBefore w:val="0"/>
        <w:kinsoku/>
        <w:wordWrap/>
        <w:overflowPunct/>
        <w:topLinePunct w:val="0"/>
        <w:bidi w:val="0"/>
        <w:spacing w:before="0" w:line="500" w:lineRule="exact"/>
        <w:ind w:left="1079" w:leftChars="257" w:hanging="540"/>
        <w:jc w:val="center"/>
        <w:rPr>
          <w:rFonts w:hint="eastAsia" w:ascii="仿宋" w:hAnsi="仿宋" w:eastAsia="仿宋" w:cs="仿宋"/>
          <w:color w:val="auto"/>
          <w:sz w:val="28"/>
          <w:szCs w:val="28"/>
        </w:rPr>
      </w:pPr>
      <w:bookmarkStart w:id="531" w:name="_Toc515647816"/>
      <w:bookmarkStart w:id="532" w:name="_Toc11180"/>
      <w:bookmarkStart w:id="533" w:name="_Toc22182"/>
      <w:bookmarkStart w:id="534" w:name="_Toc22967"/>
      <w:r>
        <w:rPr>
          <w:rFonts w:hint="eastAsia" w:ascii="仿宋" w:hAnsi="仿宋" w:eastAsia="仿宋" w:cs="仿宋"/>
          <w:color w:val="auto"/>
          <w:sz w:val="28"/>
          <w:szCs w:val="28"/>
        </w:rPr>
        <w:t xml:space="preserve">  </w:t>
      </w:r>
      <w:r>
        <w:rPr>
          <w:rFonts w:hint="eastAsia" w:ascii="仿宋" w:hAnsi="仿宋" w:eastAsia="仿宋" w:cs="仿宋"/>
          <w:b/>
          <w:bCs/>
          <w:color w:val="auto"/>
          <w:sz w:val="28"/>
          <w:szCs w:val="28"/>
        </w:rPr>
        <w:t>商务及技术文件</w:t>
      </w:r>
      <w:bookmarkEnd w:id="531"/>
      <w:bookmarkEnd w:id="532"/>
      <w:bookmarkEnd w:id="533"/>
      <w:bookmarkEnd w:id="534"/>
    </w:p>
    <w:p w14:paraId="29DD66A8">
      <w:pPr>
        <w:pStyle w:val="16"/>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1、投标书</w:t>
      </w:r>
    </w:p>
    <w:p w14:paraId="162A4E7F">
      <w:pPr>
        <w:pStyle w:val="16"/>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、投标报价表</w:t>
      </w:r>
    </w:p>
    <w:p w14:paraId="1E63D5FE">
      <w:pPr>
        <w:pStyle w:val="16"/>
        <w:keepNext w:val="0"/>
        <w:keepLines w:val="0"/>
        <w:pageBreakBefore w:val="0"/>
        <w:kinsoku/>
        <w:wordWrap/>
        <w:overflowPunct/>
        <w:topLinePunct w:val="0"/>
        <w:bidi w:val="0"/>
        <w:spacing w:line="5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货物需求一览表</w:t>
      </w:r>
    </w:p>
    <w:p w14:paraId="66293DAF">
      <w:pPr>
        <w:pStyle w:val="16"/>
        <w:keepNext w:val="0"/>
        <w:keepLines w:val="0"/>
        <w:pageBreakBefore w:val="0"/>
        <w:kinsoku/>
        <w:wordWrap/>
        <w:overflowPunct/>
        <w:topLinePunct w:val="0"/>
        <w:bidi w:val="0"/>
        <w:spacing w:line="500" w:lineRule="exac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3、商务偏离表</w:t>
      </w:r>
    </w:p>
    <w:p w14:paraId="421BA155">
      <w:pPr>
        <w:pStyle w:val="16"/>
        <w:keepNext w:val="0"/>
        <w:keepLines w:val="0"/>
        <w:pageBreakBefore w:val="0"/>
        <w:kinsoku/>
        <w:wordWrap/>
        <w:overflowPunct/>
        <w:topLinePunct w:val="0"/>
        <w:bidi w:val="0"/>
        <w:spacing w:line="500" w:lineRule="exac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4、技术偏离表</w:t>
      </w:r>
    </w:p>
    <w:p w14:paraId="37924311">
      <w:pPr>
        <w:pStyle w:val="16"/>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、符合《政府采购促进中小企业发展暂行办法》、《关于政府采购支持监狱企业发展有关问题的通知》和《三部门联合发布关于促进残疾人就业政府采购政策的通知》的投标人须提交</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《监狱企业适用》</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《残疾人福利性单位声明函》</w:t>
      </w:r>
    </w:p>
    <w:p w14:paraId="4188CEBF">
      <w:pPr>
        <w:pStyle w:val="16"/>
        <w:keepNext w:val="0"/>
        <w:keepLines w:val="0"/>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、投标人关联单位的说明（格式自拟）</w:t>
      </w:r>
    </w:p>
    <w:p w14:paraId="4A741047">
      <w:pPr>
        <w:keepNext w:val="0"/>
        <w:keepLines w:val="0"/>
        <w:pageBreakBefore w:val="0"/>
        <w:kinsoku/>
        <w:wordWrap/>
        <w:overflowPunct/>
        <w:topLinePunct w:val="0"/>
        <w:bidi w:val="0"/>
        <w:spacing w:line="5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7、项目拟投入的主要人员一览表</w:t>
      </w:r>
    </w:p>
    <w:p w14:paraId="0AF7D656">
      <w:pPr>
        <w:keepNext w:val="0"/>
        <w:keepLines w:val="0"/>
        <w:pageBreakBefore w:val="0"/>
        <w:kinsoku/>
        <w:wordWrap/>
        <w:overflowPunct/>
        <w:topLinePunct w:val="0"/>
        <w:bidi w:val="0"/>
        <w:spacing w:line="5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8、对本次投标项目的技术方案(投标人根据商务技术标要求编写)；</w:t>
      </w:r>
    </w:p>
    <w:p w14:paraId="3D6125A3">
      <w:pPr>
        <w:keepNext w:val="0"/>
        <w:keepLines w:val="0"/>
        <w:pageBreakBefore w:val="0"/>
        <w:kinsoku/>
        <w:wordWrap/>
        <w:overflowPunct/>
        <w:topLinePunct w:val="0"/>
        <w:bidi w:val="0"/>
        <w:spacing w:line="5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9、其他有利于投标人的资料（如有）</w:t>
      </w:r>
    </w:p>
    <w:p w14:paraId="4C142F24">
      <w:pPr>
        <w:keepNext w:val="0"/>
        <w:keepLines w:val="0"/>
        <w:pageBreakBefore w:val="0"/>
        <w:kinsoku/>
        <w:wordWrap/>
        <w:overflowPunct/>
        <w:topLinePunct w:val="0"/>
        <w:bidi w:val="0"/>
        <w:spacing w:line="500" w:lineRule="exact"/>
        <w:rPr>
          <w:rFonts w:hint="eastAsia" w:ascii="仿宋" w:hAnsi="仿宋" w:eastAsia="仿宋" w:cs="仿宋"/>
          <w:color w:val="auto"/>
          <w:kern w:val="2"/>
          <w:sz w:val="28"/>
          <w:szCs w:val="28"/>
          <w:lang w:val="en-US" w:eastAsia="zh-CN" w:bidi="ar-SA"/>
        </w:rPr>
      </w:pPr>
    </w:p>
    <w:p w14:paraId="41C37184">
      <w:pPr>
        <w:keepNext w:val="0"/>
        <w:keepLines w:val="0"/>
        <w:pageBreakBefore w:val="0"/>
        <w:kinsoku/>
        <w:wordWrap/>
        <w:overflowPunct/>
        <w:topLinePunct w:val="0"/>
        <w:bidi w:val="0"/>
        <w:spacing w:line="500" w:lineRule="exact"/>
        <w:rPr>
          <w:rFonts w:hint="eastAsia" w:ascii="仿宋" w:hAnsi="仿宋" w:eastAsia="仿宋" w:cs="仿宋"/>
          <w:color w:val="auto"/>
          <w:kern w:val="2"/>
          <w:sz w:val="28"/>
          <w:szCs w:val="28"/>
          <w:lang w:val="en-US" w:eastAsia="zh-CN" w:bidi="ar-SA"/>
        </w:rPr>
      </w:pPr>
    </w:p>
    <w:p w14:paraId="13FDEC30">
      <w:pPr>
        <w:keepNext w:val="0"/>
        <w:keepLines w:val="0"/>
        <w:pageBreakBefore w:val="0"/>
        <w:kinsoku/>
        <w:wordWrap/>
        <w:overflowPunct/>
        <w:topLinePunct w:val="0"/>
        <w:bidi w:val="0"/>
        <w:spacing w:line="5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注：①投标文件必须制作有目录和页码</w:t>
      </w:r>
    </w:p>
    <w:p w14:paraId="579A8AB9">
      <w:pPr>
        <w:keepNext w:val="0"/>
        <w:keepLines w:val="0"/>
        <w:pageBreakBefore w:val="0"/>
        <w:kinsoku/>
        <w:wordWrap/>
        <w:overflowPunct/>
        <w:topLinePunct w:val="0"/>
        <w:bidi w:val="0"/>
        <w:spacing w:line="500" w:lineRule="exact"/>
        <w:outlineLvl w:val="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②只接受A4纸张大小的投标文件</w:t>
      </w:r>
    </w:p>
    <w:p w14:paraId="68E69ED8">
      <w:pPr>
        <w:pStyle w:val="16"/>
        <w:rPr>
          <w:rFonts w:hint="eastAsia" w:ascii="仿宋" w:hAnsi="仿宋" w:eastAsia="仿宋" w:cs="仿宋"/>
          <w:color w:val="auto"/>
          <w:sz w:val="28"/>
          <w:szCs w:val="28"/>
        </w:rPr>
      </w:pPr>
    </w:p>
    <w:p w14:paraId="1219CD33">
      <w:pPr>
        <w:pStyle w:val="16"/>
        <w:tabs>
          <w:tab w:val="left" w:pos="5580"/>
        </w:tabs>
        <w:spacing w:line="240" w:lineRule="atLeast"/>
        <w:ind w:left="1079" w:leftChars="257" w:hanging="540"/>
        <w:rPr>
          <w:rFonts w:hint="eastAsia" w:ascii="仿宋" w:hAnsi="仿宋" w:eastAsia="仿宋" w:cs="仿宋"/>
          <w:color w:val="auto"/>
          <w:sz w:val="28"/>
          <w:szCs w:val="28"/>
        </w:rPr>
      </w:pPr>
    </w:p>
    <w:p w14:paraId="463146DB">
      <w:pPr>
        <w:pStyle w:val="16"/>
        <w:tabs>
          <w:tab w:val="left" w:pos="5580"/>
        </w:tabs>
        <w:spacing w:line="240" w:lineRule="atLeast"/>
        <w:ind w:left="1079" w:leftChars="257" w:hanging="540"/>
        <w:rPr>
          <w:rFonts w:hint="eastAsia" w:ascii="仿宋" w:hAnsi="仿宋" w:eastAsia="仿宋" w:cs="仿宋"/>
          <w:color w:val="auto"/>
          <w:sz w:val="28"/>
          <w:szCs w:val="28"/>
        </w:rPr>
      </w:pPr>
    </w:p>
    <w:p w14:paraId="31ED5675">
      <w:pPr>
        <w:pStyle w:val="16"/>
        <w:tabs>
          <w:tab w:val="left" w:pos="5580"/>
        </w:tabs>
        <w:spacing w:line="240" w:lineRule="atLeast"/>
        <w:ind w:left="1079" w:leftChars="257" w:hanging="540"/>
        <w:rPr>
          <w:rFonts w:hint="eastAsia" w:ascii="仿宋" w:hAnsi="仿宋" w:eastAsia="仿宋" w:cs="仿宋"/>
          <w:color w:val="auto"/>
          <w:sz w:val="28"/>
          <w:szCs w:val="28"/>
        </w:rPr>
      </w:pPr>
    </w:p>
    <w:p w14:paraId="6A2C80F1">
      <w:pPr>
        <w:pStyle w:val="16"/>
        <w:tabs>
          <w:tab w:val="left" w:pos="5580"/>
        </w:tabs>
        <w:spacing w:line="240" w:lineRule="atLeast"/>
        <w:ind w:left="1079" w:leftChars="257" w:hanging="540"/>
        <w:rPr>
          <w:rFonts w:hint="eastAsia" w:ascii="仿宋" w:hAnsi="仿宋" w:eastAsia="仿宋" w:cs="仿宋"/>
          <w:color w:val="auto"/>
          <w:sz w:val="28"/>
          <w:szCs w:val="28"/>
        </w:rPr>
      </w:pPr>
    </w:p>
    <w:p w14:paraId="20506B7C">
      <w:pPr>
        <w:pStyle w:val="16"/>
        <w:tabs>
          <w:tab w:val="left" w:pos="5580"/>
        </w:tabs>
        <w:spacing w:line="240" w:lineRule="atLeast"/>
        <w:ind w:left="1079" w:leftChars="257" w:hanging="540"/>
        <w:rPr>
          <w:rFonts w:hint="eastAsia" w:ascii="仿宋" w:hAnsi="仿宋" w:eastAsia="仿宋" w:cs="仿宋"/>
          <w:color w:val="auto"/>
          <w:sz w:val="28"/>
          <w:szCs w:val="28"/>
        </w:rPr>
      </w:pPr>
    </w:p>
    <w:p w14:paraId="0B762E76">
      <w:pPr>
        <w:pStyle w:val="16"/>
        <w:tabs>
          <w:tab w:val="left" w:pos="5580"/>
        </w:tabs>
        <w:spacing w:line="240" w:lineRule="atLeast"/>
        <w:ind w:left="1079" w:leftChars="257" w:hanging="540"/>
        <w:rPr>
          <w:rFonts w:hint="eastAsia" w:ascii="仿宋" w:hAnsi="仿宋" w:eastAsia="仿宋" w:cs="仿宋"/>
          <w:color w:val="auto"/>
          <w:sz w:val="28"/>
          <w:szCs w:val="28"/>
        </w:rPr>
      </w:pPr>
    </w:p>
    <w:p w14:paraId="16C5014D">
      <w:pPr>
        <w:pStyle w:val="5"/>
        <w:spacing w:before="0" w:line="240" w:lineRule="atLeast"/>
        <w:ind w:left="1079" w:leftChars="257" w:hanging="540"/>
        <w:jc w:val="center"/>
        <w:rPr>
          <w:rFonts w:hint="eastAsia" w:ascii="仿宋" w:hAnsi="仿宋" w:eastAsia="仿宋" w:cs="仿宋"/>
          <w:color w:val="auto"/>
          <w:sz w:val="28"/>
          <w:szCs w:val="28"/>
        </w:rPr>
      </w:pPr>
      <w:bookmarkStart w:id="535" w:name="_Toc14915"/>
      <w:bookmarkStart w:id="536" w:name="_Toc15989"/>
      <w:bookmarkStart w:id="537" w:name="_Toc7548"/>
      <w:bookmarkStart w:id="538" w:name="_Toc2041"/>
      <w:bookmarkStart w:id="539" w:name="_Toc515647817"/>
      <w:r>
        <w:rPr>
          <w:rFonts w:hint="eastAsia" w:ascii="仿宋" w:hAnsi="仿宋" w:eastAsia="仿宋" w:cs="仿宋"/>
          <w:color w:val="auto"/>
          <w:sz w:val="28"/>
          <w:szCs w:val="28"/>
        </w:rPr>
        <w:t>1</w:t>
      </w:r>
      <w:bookmarkStart w:id="540" w:name="_Hlt520355504"/>
      <w:bookmarkEnd w:id="54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w:t>
      </w:r>
      <w:bookmarkEnd w:id="493"/>
      <w:bookmarkEnd w:id="494"/>
      <w:r>
        <w:rPr>
          <w:rFonts w:hint="eastAsia" w:ascii="仿宋" w:hAnsi="仿宋" w:eastAsia="仿宋" w:cs="仿宋"/>
          <w:color w:val="auto"/>
          <w:sz w:val="28"/>
          <w:szCs w:val="28"/>
        </w:rPr>
        <w:t>书</w:t>
      </w:r>
      <w:bookmarkEnd w:id="495"/>
      <w:bookmarkEnd w:id="496"/>
      <w:bookmarkEnd w:id="535"/>
      <w:bookmarkEnd w:id="536"/>
      <w:bookmarkEnd w:id="537"/>
      <w:bookmarkEnd w:id="538"/>
      <w:bookmarkEnd w:id="539"/>
    </w:p>
    <w:p w14:paraId="634F2D45">
      <w:pPr>
        <w:tabs>
          <w:tab w:val="left" w:pos="5580"/>
        </w:tabs>
        <w:spacing w:line="240" w:lineRule="atLeast"/>
        <w:ind w:left="1079" w:leftChars="257" w:hanging="540"/>
        <w:rPr>
          <w:rFonts w:hint="eastAsia" w:ascii="仿宋" w:hAnsi="仿宋" w:eastAsia="仿宋" w:cs="仿宋"/>
          <w:color w:val="auto"/>
          <w:sz w:val="28"/>
          <w:szCs w:val="28"/>
        </w:rPr>
      </w:pPr>
    </w:p>
    <w:p w14:paraId="7DB25A4E">
      <w:pPr>
        <w:tabs>
          <w:tab w:val="left" w:pos="5580"/>
        </w:tabs>
        <w:spacing w:line="240" w:lineRule="atLeast"/>
        <w:ind w:left="1080" w:hanging="1080"/>
        <w:rPr>
          <w:rFonts w:hint="eastAsia" w:ascii="仿宋" w:hAnsi="仿宋" w:eastAsia="仿宋" w:cs="仿宋"/>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u w:val="single"/>
        </w:rPr>
        <w:t>采购代理机构</w:t>
      </w:r>
    </w:p>
    <w:p w14:paraId="14062807">
      <w:pPr>
        <w:pStyle w:val="16"/>
        <w:tabs>
          <w:tab w:val="left" w:pos="5580"/>
        </w:tabs>
        <w:spacing w:line="240" w:lineRule="atLeast"/>
        <w:ind w:left="1079" w:leftChars="257" w:hanging="540"/>
        <w:rPr>
          <w:rFonts w:hint="eastAsia" w:ascii="仿宋" w:hAnsi="仿宋" w:eastAsia="仿宋" w:cs="仿宋"/>
          <w:color w:val="auto"/>
          <w:sz w:val="28"/>
          <w:szCs w:val="28"/>
        </w:rPr>
      </w:pPr>
    </w:p>
    <w:p w14:paraId="6AE701B3">
      <w:pPr>
        <w:pStyle w:val="16"/>
        <w:tabs>
          <w:tab w:val="left" w:pos="5580"/>
        </w:tabs>
        <w:spacing w:line="400" w:lineRule="exact"/>
        <w:ind w:left="2" w:leftChars="1"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根据贵方(</w:t>
      </w:r>
      <w:r>
        <w:rPr>
          <w:rFonts w:hint="eastAsia" w:ascii="仿宋" w:hAnsi="仿宋" w:eastAsia="仿宋" w:cs="仿宋"/>
          <w:i w:val="0"/>
          <w:iCs/>
          <w:color w:val="auto"/>
          <w:sz w:val="28"/>
          <w:szCs w:val="28"/>
          <w:u w:val="single"/>
        </w:rPr>
        <w:t>项目名称</w:t>
      </w:r>
      <w:r>
        <w:rPr>
          <w:rFonts w:hint="eastAsia" w:ascii="仿宋" w:hAnsi="仿宋" w:eastAsia="仿宋" w:cs="仿宋"/>
          <w:i/>
          <w:color w:val="auto"/>
          <w:sz w:val="28"/>
          <w:szCs w:val="28"/>
          <w:u w:val="single"/>
          <w:lang w:eastAsia="zh-CN"/>
        </w:rPr>
        <w:t>、</w:t>
      </w:r>
      <w:r>
        <w:rPr>
          <w:rFonts w:hint="eastAsia" w:ascii="仿宋" w:hAnsi="仿宋" w:eastAsia="仿宋" w:cs="仿宋"/>
          <w:bCs/>
          <w:color w:val="auto"/>
          <w:sz w:val="28"/>
          <w:szCs w:val="28"/>
          <w:u w:val="single"/>
          <w:lang w:val="en-US" w:eastAsia="zh-CN"/>
        </w:rPr>
        <w:t>标项号</w:t>
      </w:r>
      <w:r>
        <w:rPr>
          <w:rFonts w:hint="eastAsia" w:ascii="仿宋" w:hAnsi="仿宋" w:eastAsia="仿宋" w:cs="仿宋"/>
          <w:color w:val="auto"/>
          <w:sz w:val="28"/>
          <w:szCs w:val="28"/>
        </w:rPr>
        <w:t>)项目的投标邀请(</w:t>
      </w:r>
      <w:r>
        <w:rPr>
          <w:rFonts w:hint="eastAsia" w:ascii="仿宋" w:hAnsi="仿宋" w:eastAsia="仿宋" w:cs="仿宋"/>
          <w:i w:val="0"/>
          <w:iCs/>
          <w:color w:val="auto"/>
          <w:sz w:val="28"/>
          <w:szCs w:val="28"/>
          <w:u w:val="single"/>
        </w:rPr>
        <w:t>项目编号</w:t>
      </w:r>
      <w:r>
        <w:rPr>
          <w:rFonts w:hint="eastAsia" w:ascii="仿宋" w:hAnsi="仿宋" w:eastAsia="仿宋" w:cs="仿宋"/>
          <w:color w:val="auto"/>
          <w:sz w:val="28"/>
          <w:szCs w:val="28"/>
        </w:rPr>
        <w:t>),签字代表(</w:t>
      </w:r>
      <w:r>
        <w:rPr>
          <w:rFonts w:hint="eastAsia" w:ascii="仿宋" w:hAnsi="仿宋" w:eastAsia="仿宋" w:cs="仿宋"/>
          <w:i w:val="0"/>
          <w:iCs/>
          <w:color w:val="auto"/>
          <w:sz w:val="28"/>
          <w:szCs w:val="28"/>
          <w:u w:val="single"/>
        </w:rPr>
        <w:t>姓名、职务</w:t>
      </w:r>
      <w:r>
        <w:rPr>
          <w:rFonts w:hint="eastAsia" w:ascii="仿宋" w:hAnsi="仿宋" w:eastAsia="仿宋" w:cs="仿宋"/>
          <w:color w:val="auto"/>
          <w:sz w:val="28"/>
          <w:szCs w:val="28"/>
        </w:rPr>
        <w:t>)经正式授权并代表供应商（</w:t>
      </w:r>
      <w:r>
        <w:rPr>
          <w:rFonts w:hint="eastAsia" w:ascii="仿宋" w:hAnsi="仿宋" w:eastAsia="仿宋" w:cs="仿宋"/>
          <w:i/>
          <w:color w:val="auto"/>
          <w:sz w:val="28"/>
          <w:szCs w:val="28"/>
          <w:u w:val="single"/>
        </w:rPr>
        <w:t>名称、地址</w:t>
      </w:r>
      <w:r>
        <w:rPr>
          <w:rFonts w:hint="eastAsia" w:ascii="仿宋" w:hAnsi="仿宋" w:eastAsia="仿宋" w:cs="仿宋"/>
          <w:color w:val="auto"/>
          <w:sz w:val="28"/>
          <w:szCs w:val="28"/>
        </w:rPr>
        <w:t>）上传投标文件，并以</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形式出具的金额为人民币</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元的投标</w:t>
      </w:r>
    </w:p>
    <w:p w14:paraId="5D47CAEA">
      <w:pPr>
        <w:pStyle w:val="16"/>
        <w:tabs>
          <w:tab w:val="left" w:pos="5580"/>
        </w:tabs>
        <w:spacing w:line="400" w:lineRule="exact"/>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w:t>
      </w:r>
    </w:p>
    <w:p w14:paraId="5E32A4A2">
      <w:pPr>
        <w:pStyle w:val="16"/>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据此，签字代表宣布同意如下：</w:t>
      </w:r>
    </w:p>
    <w:p w14:paraId="3968DF1A">
      <w:pPr>
        <w:pStyle w:val="16"/>
        <w:tabs>
          <w:tab w:val="left" w:pos="720"/>
          <w:tab w:val="left" w:pos="900"/>
        </w:tabs>
        <w:spacing w:line="240" w:lineRule="atLeast"/>
        <w:ind w:left="768" w:leftChars="257" w:hanging="229"/>
        <w:rPr>
          <w:rFonts w:hint="eastAsia" w:ascii="仿宋" w:hAnsi="仿宋" w:eastAsia="仿宋" w:cs="仿宋"/>
          <w:color w:val="auto"/>
          <w:sz w:val="28"/>
          <w:szCs w:val="28"/>
          <w:u w:val="single"/>
        </w:rPr>
      </w:pPr>
      <w:r>
        <w:rPr>
          <w:rFonts w:hint="eastAsia" w:ascii="仿宋" w:hAnsi="仿宋" w:eastAsia="仿宋" w:cs="仿宋"/>
          <w:color w:val="auto"/>
          <w:sz w:val="28"/>
          <w:szCs w:val="28"/>
        </w:rPr>
        <w:t>（1）附投标价格表中规定的应提供货物的投标总价详见开标一览表，</w:t>
      </w:r>
      <w:r>
        <w:rPr>
          <w:rFonts w:hint="eastAsia" w:ascii="仿宋" w:hAnsi="仿宋" w:eastAsia="仿宋" w:cs="仿宋"/>
          <w:color w:val="auto"/>
          <w:sz w:val="28"/>
          <w:szCs w:val="28"/>
          <w:u w:val="none"/>
        </w:rPr>
        <w:t>其中由</w:t>
      </w:r>
      <w:r>
        <w:rPr>
          <w:rFonts w:hint="eastAsia" w:ascii="仿宋" w:hAnsi="仿宋" w:eastAsia="仿宋" w:cs="仿宋"/>
          <w:color w:val="auto"/>
          <w:sz w:val="28"/>
          <w:szCs w:val="28"/>
          <w:u w:val="single"/>
        </w:rPr>
        <w:t>小型和微型</w:t>
      </w:r>
      <w:r>
        <w:rPr>
          <w:rFonts w:hint="eastAsia" w:ascii="仿宋" w:hAnsi="仿宋" w:eastAsia="仿宋" w:cs="仿宋"/>
          <w:color w:val="auto"/>
          <w:sz w:val="28"/>
          <w:szCs w:val="28"/>
        </w:rPr>
        <w:t>企业制造产品的价格为</w:t>
      </w:r>
      <w:r>
        <w:rPr>
          <w:rFonts w:hint="eastAsia" w:ascii="仿宋" w:hAnsi="仿宋" w:eastAsia="仿宋" w:cs="仿宋"/>
          <w:color w:val="auto"/>
          <w:sz w:val="28"/>
          <w:szCs w:val="28"/>
          <w:u w:val="single"/>
        </w:rPr>
        <w:t>　　  （用文字和数字表示），占投标总价   %</w:t>
      </w:r>
      <w:r>
        <w:rPr>
          <w:rFonts w:hint="eastAsia" w:ascii="仿宋" w:hAnsi="仿宋" w:eastAsia="仿宋" w:cs="仿宋"/>
          <w:color w:val="auto"/>
          <w:sz w:val="28"/>
          <w:szCs w:val="28"/>
        </w:rPr>
        <w:t>。</w:t>
      </w:r>
    </w:p>
    <w:p w14:paraId="775E7DF7">
      <w:pPr>
        <w:pStyle w:val="16"/>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（2）本投标有效期为自投标截止之日起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个日历日。</w:t>
      </w:r>
    </w:p>
    <w:p w14:paraId="642781EF">
      <w:pPr>
        <w:pStyle w:val="16"/>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（3）联合体中的大中型企业和其他自然人、法人或者非法人组织，与联合体中的小型、微型企业之间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存在、不存在）投资关系（如果是联合体的话）。</w:t>
      </w:r>
    </w:p>
    <w:p w14:paraId="72809F81">
      <w:pPr>
        <w:pStyle w:val="16"/>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（4）已详细审查全部招标文件，包括所有补充通知（如果有的话），完全理解并同意放弃对这方面有不明、误解和质疑的权力。</w:t>
      </w:r>
    </w:p>
    <w:p w14:paraId="15821F78">
      <w:pPr>
        <w:pStyle w:val="16"/>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（5）在规定的开标时间后，遵守招标文件中有关保证金的规定。</w:t>
      </w:r>
    </w:p>
    <w:p w14:paraId="2C8B565B">
      <w:pPr>
        <w:pStyle w:val="16"/>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（6）我方不是为本项目提供整体设计、规范编制或者项目管理、监理、检测等服务的供应商，我方不是采购代理机构的附属机构。</w:t>
      </w:r>
    </w:p>
    <w:p w14:paraId="340827E5">
      <w:pPr>
        <w:pStyle w:val="16"/>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（7）在领取中标通知书的同时按招标文件规定的形式，向贵方一次性支付中标服务费。</w:t>
      </w:r>
    </w:p>
    <w:p w14:paraId="268BE5C0">
      <w:pPr>
        <w:pStyle w:val="16"/>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（8）按照贵方可能要求，提供与其投标有关的一切数据或资料，完全理解贵方不一定接受最低价的投标或收到的任何投标。</w:t>
      </w:r>
    </w:p>
    <w:p w14:paraId="2145F756">
      <w:pPr>
        <w:pStyle w:val="16"/>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（9）按照招标文件的规定履行合同责任和义务。</w:t>
      </w:r>
    </w:p>
    <w:p w14:paraId="0ECB8D7C">
      <w:pPr>
        <w:pStyle w:val="16"/>
        <w:tabs>
          <w:tab w:val="left" w:pos="5580"/>
        </w:tabs>
        <w:spacing w:line="240" w:lineRule="atLeast"/>
        <w:ind w:left="394" w:leftChars="68" w:hanging="252" w:hangingChars="90"/>
        <w:rPr>
          <w:rFonts w:hint="eastAsia" w:ascii="仿宋" w:hAnsi="仿宋" w:eastAsia="仿宋" w:cs="仿宋"/>
          <w:color w:val="auto"/>
          <w:sz w:val="28"/>
          <w:szCs w:val="28"/>
        </w:rPr>
      </w:pPr>
      <w:r>
        <w:rPr>
          <w:rFonts w:hint="eastAsia" w:ascii="仿宋" w:hAnsi="仿宋" w:eastAsia="仿宋" w:cs="仿宋"/>
          <w:color w:val="auto"/>
          <w:sz w:val="28"/>
          <w:szCs w:val="28"/>
        </w:rPr>
        <w:t xml:space="preserve">  与本投标有关的一切正式往来信函请寄：</w:t>
      </w:r>
    </w:p>
    <w:p w14:paraId="183ABB97">
      <w:pPr>
        <w:pStyle w:val="16"/>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传真</w:t>
      </w:r>
      <w:r>
        <w:rPr>
          <w:rFonts w:hint="eastAsia" w:ascii="仿宋" w:hAnsi="仿宋" w:eastAsia="仿宋" w:cs="仿宋"/>
          <w:color w:val="auto"/>
          <w:sz w:val="28"/>
          <w:szCs w:val="28"/>
          <w:u w:val="single"/>
        </w:rPr>
        <w:t xml:space="preserve">                             </w:t>
      </w:r>
    </w:p>
    <w:p w14:paraId="278BD99D">
      <w:pPr>
        <w:pStyle w:val="16"/>
        <w:tabs>
          <w:tab w:val="left" w:pos="5580"/>
        </w:tabs>
        <w:spacing w:line="240" w:lineRule="atLeast"/>
        <w:ind w:left="1079" w:leftChars="257" w:hanging="540"/>
        <w:rPr>
          <w:rFonts w:hint="eastAsia" w:ascii="仿宋" w:hAnsi="仿宋" w:eastAsia="仿宋" w:cs="仿宋"/>
          <w:b/>
          <w:color w:val="auto"/>
          <w:sz w:val="28"/>
          <w:szCs w:val="28"/>
        </w:rPr>
      </w:pPr>
      <w:r>
        <w:rPr>
          <w:rFonts w:hint="eastAsia" w:ascii="仿宋" w:hAnsi="仿宋" w:eastAsia="仿宋" w:cs="仿宋"/>
          <w:color w:val="auto"/>
          <w:sz w:val="28"/>
          <w:szCs w:val="28"/>
        </w:rPr>
        <w:t>电话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电子函件</w:t>
      </w:r>
      <w:r>
        <w:rPr>
          <w:rFonts w:hint="eastAsia" w:ascii="仿宋" w:hAnsi="仿宋" w:eastAsia="仿宋" w:cs="仿宋"/>
          <w:color w:val="auto"/>
          <w:sz w:val="28"/>
          <w:szCs w:val="28"/>
          <w:u w:val="single"/>
        </w:rPr>
        <w:t xml:space="preserve">                         </w:t>
      </w:r>
    </w:p>
    <w:p w14:paraId="097B8AEC">
      <w:pPr>
        <w:pStyle w:val="16"/>
        <w:tabs>
          <w:tab w:val="left" w:pos="5580"/>
        </w:tabs>
        <w:spacing w:line="240" w:lineRule="atLeast"/>
        <w:ind w:left="1079" w:leftChars="257" w:hanging="540"/>
        <w:rPr>
          <w:rFonts w:hint="eastAsia" w:ascii="仿宋" w:hAnsi="仿宋" w:eastAsia="仿宋" w:cs="仿宋"/>
          <w:color w:val="auto"/>
          <w:sz w:val="28"/>
          <w:szCs w:val="28"/>
        </w:rPr>
      </w:pPr>
    </w:p>
    <w:p w14:paraId="58E06526">
      <w:pPr>
        <w:pStyle w:val="16"/>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法定代表人或其委托代理人签字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u w:val="single"/>
        </w:rPr>
        <w:t xml:space="preserve">                        </w:t>
      </w:r>
    </w:p>
    <w:p w14:paraId="224E5BD0">
      <w:pPr>
        <w:pStyle w:val="16"/>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投标人名称（全称）</w:t>
      </w:r>
      <w:r>
        <w:rPr>
          <w:rFonts w:hint="eastAsia" w:ascii="仿宋" w:hAnsi="仿宋" w:eastAsia="仿宋" w:cs="仿宋"/>
          <w:color w:val="auto"/>
          <w:sz w:val="28"/>
          <w:szCs w:val="28"/>
          <w:u w:val="single"/>
        </w:rPr>
        <w:t xml:space="preserve">                        </w:t>
      </w:r>
    </w:p>
    <w:p w14:paraId="28D888BE">
      <w:pPr>
        <w:pStyle w:val="16"/>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投标人开户银行（全称）</w:t>
      </w:r>
      <w:r>
        <w:rPr>
          <w:rFonts w:hint="eastAsia" w:ascii="仿宋" w:hAnsi="仿宋" w:eastAsia="仿宋" w:cs="仿宋"/>
          <w:color w:val="auto"/>
          <w:sz w:val="28"/>
          <w:szCs w:val="28"/>
          <w:u w:val="single"/>
        </w:rPr>
        <w:t xml:space="preserve">　　　　　　 </w:t>
      </w:r>
    </w:p>
    <w:p w14:paraId="4CCD6F14">
      <w:pPr>
        <w:pStyle w:val="16"/>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投标人银行账号</w:t>
      </w:r>
      <w:r>
        <w:rPr>
          <w:rFonts w:hint="eastAsia" w:ascii="仿宋" w:hAnsi="仿宋" w:eastAsia="仿宋" w:cs="仿宋"/>
          <w:color w:val="auto"/>
          <w:sz w:val="28"/>
          <w:szCs w:val="28"/>
          <w:u w:val="single"/>
        </w:rPr>
        <w:t>　　　　　　　　 　　</w:t>
      </w:r>
    </w:p>
    <w:p w14:paraId="5A63620E">
      <w:pPr>
        <w:pStyle w:val="16"/>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投标人单位</w:t>
      </w:r>
      <w:r>
        <w:rPr>
          <w:rFonts w:hint="eastAsia" w:ascii="仿宋" w:hAnsi="仿宋" w:eastAsia="仿宋" w:cs="仿宋"/>
          <w:color w:val="auto"/>
          <w:sz w:val="28"/>
          <w:szCs w:val="28"/>
          <w:lang w:val="en-US" w:eastAsia="zh-CN"/>
        </w:rPr>
        <w:t>公</w:t>
      </w:r>
      <w:r>
        <w:rPr>
          <w:rFonts w:hint="eastAsia" w:ascii="仿宋" w:hAnsi="仿宋" w:eastAsia="仿宋" w:cs="仿宋"/>
          <w:color w:val="auto"/>
          <w:sz w:val="28"/>
          <w:szCs w:val="28"/>
        </w:rPr>
        <w:t>章</w:t>
      </w:r>
      <w:r>
        <w:rPr>
          <w:rFonts w:hint="eastAsia" w:ascii="仿宋" w:hAnsi="仿宋" w:eastAsia="仿宋" w:cs="仿宋"/>
          <w:color w:val="auto"/>
          <w:sz w:val="28"/>
          <w:szCs w:val="28"/>
          <w:u w:val="single"/>
        </w:rPr>
        <w:t xml:space="preserve">                        </w:t>
      </w:r>
    </w:p>
    <w:p w14:paraId="0F66633F">
      <w:pPr>
        <w:pStyle w:val="16"/>
        <w:tabs>
          <w:tab w:val="left" w:pos="5580"/>
        </w:tabs>
        <w:spacing w:line="240" w:lineRule="atLeast"/>
        <w:ind w:left="1079"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p>
    <w:p w14:paraId="1C96D993">
      <w:pPr>
        <w:pStyle w:val="9"/>
        <w:rPr>
          <w:rFonts w:hint="eastAsia" w:ascii="仿宋" w:hAnsi="仿宋" w:eastAsia="仿宋" w:cs="仿宋"/>
          <w:color w:val="auto"/>
          <w:sz w:val="28"/>
          <w:szCs w:val="28"/>
        </w:rPr>
        <w:sectPr>
          <w:footerReference r:id="rId11" w:type="default"/>
          <w:pgSz w:w="11906" w:h="16838"/>
          <w:pgMar w:top="1474" w:right="1814" w:bottom="1474" w:left="1814" w:header="851" w:footer="992" w:gutter="0"/>
          <w:pgNumType w:fmt="decimal"/>
          <w:cols w:space="720" w:num="1"/>
          <w:docGrid w:type="linesAndChars" w:linePitch="312" w:charSpace="0"/>
        </w:sectPr>
      </w:pPr>
      <w:r>
        <w:rPr>
          <w:rFonts w:hint="eastAsia" w:ascii="仿宋" w:hAnsi="仿宋" w:eastAsia="仿宋" w:cs="仿宋"/>
          <w:color w:val="auto"/>
          <w:sz w:val="28"/>
          <w:szCs w:val="28"/>
        </w:rPr>
        <w:br w:type="page"/>
      </w:r>
    </w:p>
    <w:p w14:paraId="0CD9AC17">
      <w:pPr>
        <w:pStyle w:val="5"/>
        <w:spacing w:before="0" w:line="240" w:lineRule="atLeast"/>
        <w:jc w:val="center"/>
        <w:rPr>
          <w:rFonts w:hint="eastAsia" w:ascii="仿宋" w:hAnsi="仿宋" w:eastAsia="仿宋" w:cs="仿宋"/>
          <w:color w:val="auto"/>
          <w:sz w:val="28"/>
          <w:szCs w:val="28"/>
        </w:rPr>
      </w:pPr>
      <w:bookmarkStart w:id="541" w:name="_Hlt520355938"/>
      <w:bookmarkEnd w:id="541"/>
      <w:bookmarkStart w:id="542" w:name="_Hlt520356243"/>
      <w:bookmarkEnd w:id="542"/>
      <w:bookmarkStart w:id="543" w:name="_Toc1881"/>
      <w:bookmarkStart w:id="544" w:name="_Toc216582815"/>
      <w:bookmarkStart w:id="545" w:name="_Toc2693"/>
      <w:bookmarkStart w:id="546" w:name="_Toc515647818"/>
      <w:bookmarkStart w:id="547" w:name="_Toc24803"/>
      <w:bookmarkStart w:id="548" w:name="_Toc20897"/>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投标报价表</w:t>
      </w:r>
      <w:bookmarkEnd w:id="543"/>
      <w:bookmarkEnd w:id="544"/>
      <w:bookmarkEnd w:id="545"/>
      <w:bookmarkEnd w:id="546"/>
      <w:bookmarkEnd w:id="547"/>
      <w:bookmarkEnd w:id="548"/>
    </w:p>
    <w:p w14:paraId="41A48B72">
      <w:pPr>
        <w:pStyle w:val="16"/>
        <w:spacing w:line="240" w:lineRule="atLeast"/>
        <w:ind w:left="1080" w:leftChars="257" w:hanging="540"/>
        <w:rPr>
          <w:rFonts w:hint="eastAsia" w:ascii="仿宋" w:hAnsi="仿宋" w:eastAsia="仿宋" w:cs="仿宋"/>
          <w:color w:val="auto"/>
          <w:sz w:val="28"/>
          <w:szCs w:val="28"/>
        </w:rPr>
      </w:pPr>
    </w:p>
    <w:p w14:paraId="2AD5B87D">
      <w:pPr>
        <w:tabs>
          <w:tab w:val="left" w:pos="1800"/>
          <w:tab w:val="left" w:pos="5580"/>
        </w:tabs>
        <w:spacing w:line="240" w:lineRule="atLeast"/>
        <w:ind w:left="1080" w:leftChars="257" w:right="-867" w:rightChars="-413" w:hanging="540"/>
        <w:rPr>
          <w:rFonts w:hint="eastAsia" w:ascii="仿宋" w:hAnsi="仿宋" w:eastAsia="仿宋" w:cs="仿宋"/>
          <w:color w:val="auto"/>
          <w:sz w:val="28"/>
          <w:szCs w:val="28"/>
        </w:rPr>
      </w:pPr>
      <w:r>
        <w:rPr>
          <w:rFonts w:hint="eastAsia" w:ascii="仿宋" w:hAnsi="仿宋" w:eastAsia="仿宋" w:cs="仿宋"/>
          <w:color w:val="auto"/>
          <w:sz w:val="28"/>
          <w:szCs w:val="28"/>
        </w:rPr>
        <w:t xml:space="preserve">项目名称：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项目编号</w:t>
      </w:r>
      <w:r>
        <w:rPr>
          <w:rFonts w:hint="eastAsia" w:ascii="仿宋" w:hAnsi="仿宋" w:eastAsia="仿宋" w:cs="仿宋"/>
          <w:color w:val="auto"/>
          <w:sz w:val="28"/>
          <w:szCs w:val="28"/>
        </w:rPr>
        <w:t xml:space="preserve">：                </w:t>
      </w:r>
    </w:p>
    <w:p w14:paraId="308FB77B">
      <w:pPr>
        <w:tabs>
          <w:tab w:val="left" w:pos="1800"/>
          <w:tab w:val="left" w:pos="5580"/>
        </w:tabs>
        <w:spacing w:line="240" w:lineRule="atLeast"/>
        <w:ind w:left="1080" w:leftChars="257" w:right="-867" w:rightChars="-413" w:hanging="54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标项号：</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报价单位：人民币</w:t>
      </w:r>
      <w:r>
        <w:rPr>
          <w:rFonts w:hint="eastAsia" w:ascii="仿宋" w:hAnsi="仿宋" w:eastAsia="仿宋" w:cs="仿宋"/>
          <w:b/>
          <w:color w:val="auto"/>
          <w:sz w:val="28"/>
          <w:szCs w:val="28"/>
        </w:rPr>
        <w:t>元</w:t>
      </w:r>
    </w:p>
    <w:tbl>
      <w:tblPr>
        <w:tblStyle w:val="38"/>
        <w:tblW w:w="12616" w:type="dxa"/>
        <w:jc w:val="center"/>
        <w:tblLayout w:type="fixed"/>
        <w:tblCellMar>
          <w:top w:w="0" w:type="dxa"/>
          <w:left w:w="0" w:type="dxa"/>
          <w:bottom w:w="0" w:type="dxa"/>
          <w:right w:w="0" w:type="dxa"/>
        </w:tblCellMar>
      </w:tblPr>
      <w:tblGrid>
        <w:gridCol w:w="3026"/>
        <w:gridCol w:w="2621"/>
        <w:gridCol w:w="1725"/>
        <w:gridCol w:w="1786"/>
        <w:gridCol w:w="2370"/>
        <w:gridCol w:w="1088"/>
      </w:tblGrid>
      <w:tr w14:paraId="3D6EE8BE">
        <w:tblPrEx>
          <w:tblCellMar>
            <w:top w:w="0" w:type="dxa"/>
            <w:left w:w="0" w:type="dxa"/>
            <w:bottom w:w="0" w:type="dxa"/>
            <w:right w:w="0" w:type="dxa"/>
          </w:tblCellMar>
        </w:tblPrEx>
        <w:trPr>
          <w:trHeight w:val="662" w:hRule="atLeast"/>
          <w:jc w:val="center"/>
        </w:trPr>
        <w:tc>
          <w:tcPr>
            <w:tcW w:w="3026" w:type="dxa"/>
            <w:tcBorders>
              <w:top w:val="single" w:color="auto" w:sz="4" w:space="0"/>
              <w:left w:val="single" w:color="auto" w:sz="4" w:space="0"/>
              <w:bottom w:val="single" w:color="auto" w:sz="8" w:space="0"/>
              <w:right w:val="single" w:color="auto" w:sz="4" w:space="0"/>
            </w:tcBorders>
            <w:noWrap w:val="0"/>
            <w:vAlign w:val="center"/>
          </w:tcPr>
          <w:p w14:paraId="05F6C6E3">
            <w:pPr>
              <w:keepNext w:val="0"/>
              <w:keepLines w:val="0"/>
              <w:pageBreakBefore w:val="0"/>
              <w:tabs>
                <w:tab w:val="left" w:pos="5580"/>
              </w:tabs>
              <w:kinsoku/>
              <w:wordWrap/>
              <w:overflowPunct/>
              <w:topLinePunct w:val="0"/>
              <w:bidi w:val="0"/>
              <w:spacing w:line="500" w:lineRule="exact"/>
              <w:ind w:right="-199"/>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tc>
        <w:tc>
          <w:tcPr>
            <w:tcW w:w="2621" w:type="dxa"/>
            <w:tcBorders>
              <w:top w:val="single" w:color="auto" w:sz="4" w:space="0"/>
              <w:left w:val="single" w:color="auto" w:sz="8" w:space="0"/>
              <w:bottom w:val="single" w:color="auto" w:sz="8" w:space="0"/>
              <w:right w:val="single" w:color="auto" w:sz="4" w:space="0"/>
            </w:tcBorders>
            <w:noWrap w:val="0"/>
            <w:vAlign w:val="center"/>
          </w:tcPr>
          <w:p w14:paraId="43FDE8F9">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投标总价</w:t>
            </w:r>
          </w:p>
        </w:tc>
        <w:tc>
          <w:tcPr>
            <w:tcW w:w="1725" w:type="dxa"/>
            <w:tcBorders>
              <w:top w:val="single" w:color="auto" w:sz="8" w:space="0"/>
              <w:left w:val="nil"/>
              <w:bottom w:val="single" w:color="auto" w:sz="8" w:space="0"/>
              <w:right w:val="single" w:color="auto" w:sz="4" w:space="0"/>
            </w:tcBorders>
            <w:noWrap w:val="0"/>
            <w:vAlign w:val="center"/>
          </w:tcPr>
          <w:p w14:paraId="40EB418B">
            <w:pPr>
              <w:keepNext w:val="0"/>
              <w:keepLines w:val="0"/>
              <w:pageBreakBefore w:val="0"/>
              <w:tabs>
                <w:tab w:val="left" w:pos="5580"/>
              </w:tabs>
              <w:kinsoku/>
              <w:wordWrap/>
              <w:overflowPunct/>
              <w:topLinePunct w:val="0"/>
              <w:bidi w:val="0"/>
              <w:spacing w:line="50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合同履约期限</w:t>
            </w:r>
          </w:p>
        </w:tc>
        <w:tc>
          <w:tcPr>
            <w:tcW w:w="1786" w:type="dxa"/>
            <w:tcBorders>
              <w:top w:val="single" w:color="auto" w:sz="8" w:space="0"/>
              <w:left w:val="nil"/>
              <w:bottom w:val="single" w:color="auto" w:sz="8" w:space="0"/>
              <w:right w:val="single" w:color="auto" w:sz="4" w:space="0"/>
            </w:tcBorders>
            <w:noWrap w:val="0"/>
            <w:vAlign w:val="center"/>
          </w:tcPr>
          <w:p w14:paraId="7974BB99">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供货地点</w:t>
            </w:r>
          </w:p>
        </w:tc>
        <w:tc>
          <w:tcPr>
            <w:tcW w:w="2370" w:type="dxa"/>
            <w:tcBorders>
              <w:top w:val="single" w:color="auto" w:sz="8" w:space="0"/>
              <w:left w:val="nil"/>
              <w:bottom w:val="single" w:color="auto" w:sz="8" w:space="0"/>
              <w:right w:val="single" w:color="auto" w:sz="4" w:space="0"/>
            </w:tcBorders>
            <w:noWrap w:val="0"/>
            <w:vAlign w:val="center"/>
          </w:tcPr>
          <w:p w14:paraId="6CC26F64">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供货方式</w:t>
            </w:r>
          </w:p>
        </w:tc>
        <w:tc>
          <w:tcPr>
            <w:tcW w:w="1088" w:type="dxa"/>
            <w:tcBorders>
              <w:top w:val="single" w:color="auto" w:sz="8" w:space="0"/>
              <w:left w:val="single" w:color="auto" w:sz="4" w:space="0"/>
              <w:bottom w:val="single" w:color="auto" w:sz="8" w:space="0"/>
              <w:right w:val="single" w:color="auto" w:sz="8" w:space="0"/>
            </w:tcBorders>
            <w:noWrap w:val="0"/>
            <w:vAlign w:val="center"/>
          </w:tcPr>
          <w:p w14:paraId="48C291E6">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14:paraId="71101261">
        <w:tblPrEx>
          <w:tblCellMar>
            <w:top w:w="0" w:type="dxa"/>
            <w:left w:w="0" w:type="dxa"/>
            <w:bottom w:w="0" w:type="dxa"/>
            <w:right w:w="0" w:type="dxa"/>
          </w:tblCellMar>
        </w:tblPrEx>
        <w:trPr>
          <w:cantSplit/>
          <w:trHeight w:val="2165" w:hRule="atLeast"/>
          <w:jc w:val="center"/>
        </w:trPr>
        <w:tc>
          <w:tcPr>
            <w:tcW w:w="3026" w:type="dxa"/>
            <w:tcBorders>
              <w:top w:val="single" w:color="auto" w:sz="8" w:space="0"/>
              <w:left w:val="single" w:color="auto" w:sz="4" w:space="0"/>
              <w:bottom w:val="single" w:color="auto" w:sz="4" w:space="0"/>
              <w:right w:val="single" w:color="auto" w:sz="4" w:space="0"/>
            </w:tcBorders>
            <w:noWrap w:val="0"/>
            <w:vAlign w:val="center"/>
          </w:tcPr>
          <w:p w14:paraId="6DC8FA1C">
            <w:pPr>
              <w:keepNext w:val="0"/>
              <w:keepLines w:val="0"/>
              <w:pageBreakBefore w:val="0"/>
              <w:tabs>
                <w:tab w:val="left" w:pos="5580"/>
              </w:tabs>
              <w:kinsoku/>
              <w:wordWrap/>
              <w:overflowPunct/>
              <w:topLinePunct w:val="0"/>
              <w:bidi w:val="0"/>
              <w:spacing w:line="500" w:lineRule="exact"/>
              <w:ind w:left="1080" w:leftChars="257" w:hanging="540"/>
              <w:jc w:val="center"/>
              <w:rPr>
                <w:rFonts w:hint="eastAsia" w:ascii="仿宋" w:hAnsi="仿宋" w:eastAsia="仿宋" w:cs="仿宋"/>
                <w:color w:val="auto"/>
                <w:sz w:val="28"/>
                <w:szCs w:val="28"/>
              </w:rPr>
            </w:pPr>
          </w:p>
        </w:tc>
        <w:tc>
          <w:tcPr>
            <w:tcW w:w="2621" w:type="dxa"/>
            <w:tcBorders>
              <w:top w:val="single" w:color="auto" w:sz="8" w:space="0"/>
              <w:left w:val="single" w:color="auto" w:sz="8" w:space="0"/>
              <w:bottom w:val="single" w:color="auto" w:sz="4" w:space="0"/>
              <w:right w:val="single" w:color="auto" w:sz="4" w:space="0"/>
            </w:tcBorders>
            <w:noWrap w:val="0"/>
            <w:vAlign w:val="center"/>
          </w:tcPr>
          <w:p w14:paraId="6BF5FE5D">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大写：</w:t>
            </w:r>
          </w:p>
          <w:p w14:paraId="374A7EF2">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小写：</w:t>
            </w:r>
          </w:p>
        </w:tc>
        <w:tc>
          <w:tcPr>
            <w:tcW w:w="1725" w:type="dxa"/>
            <w:tcBorders>
              <w:top w:val="single" w:color="auto" w:sz="8" w:space="0"/>
              <w:left w:val="nil"/>
              <w:bottom w:val="single" w:color="auto" w:sz="4" w:space="0"/>
              <w:right w:val="single" w:color="auto" w:sz="4" w:space="0"/>
            </w:tcBorders>
            <w:noWrap w:val="0"/>
            <w:vAlign w:val="center"/>
          </w:tcPr>
          <w:p w14:paraId="287EC3A3">
            <w:pPr>
              <w:keepNext w:val="0"/>
              <w:keepLines w:val="0"/>
              <w:pageBreakBefore w:val="0"/>
              <w:tabs>
                <w:tab w:val="left" w:pos="5580"/>
              </w:tabs>
              <w:kinsoku/>
              <w:wordWrap/>
              <w:overflowPunct/>
              <w:topLinePunct w:val="0"/>
              <w:bidi w:val="0"/>
              <w:spacing w:line="500" w:lineRule="exact"/>
              <w:ind w:left="1080" w:leftChars="257" w:hanging="540"/>
              <w:jc w:val="center"/>
              <w:rPr>
                <w:rFonts w:hint="eastAsia" w:ascii="仿宋" w:hAnsi="仿宋" w:eastAsia="仿宋" w:cs="仿宋"/>
                <w:color w:val="auto"/>
                <w:sz w:val="28"/>
                <w:szCs w:val="28"/>
              </w:rPr>
            </w:pPr>
          </w:p>
        </w:tc>
        <w:tc>
          <w:tcPr>
            <w:tcW w:w="1786" w:type="dxa"/>
            <w:tcBorders>
              <w:top w:val="single" w:color="auto" w:sz="8" w:space="0"/>
              <w:left w:val="nil"/>
              <w:bottom w:val="single" w:color="auto" w:sz="4" w:space="0"/>
              <w:right w:val="single" w:color="auto" w:sz="4" w:space="0"/>
            </w:tcBorders>
            <w:noWrap w:val="0"/>
            <w:vAlign w:val="center"/>
          </w:tcPr>
          <w:p w14:paraId="2CB61A62">
            <w:pPr>
              <w:keepNext w:val="0"/>
              <w:keepLines w:val="0"/>
              <w:pageBreakBefore w:val="0"/>
              <w:tabs>
                <w:tab w:val="left" w:pos="5580"/>
              </w:tabs>
              <w:kinsoku/>
              <w:wordWrap/>
              <w:overflowPunct/>
              <w:topLinePunct w:val="0"/>
              <w:bidi w:val="0"/>
              <w:spacing w:line="500" w:lineRule="exact"/>
              <w:ind w:left="1080" w:leftChars="257" w:hanging="540"/>
              <w:jc w:val="center"/>
              <w:rPr>
                <w:rFonts w:hint="eastAsia" w:ascii="仿宋" w:hAnsi="仿宋" w:eastAsia="仿宋" w:cs="仿宋"/>
                <w:color w:val="auto"/>
                <w:sz w:val="28"/>
                <w:szCs w:val="28"/>
              </w:rPr>
            </w:pPr>
          </w:p>
        </w:tc>
        <w:tc>
          <w:tcPr>
            <w:tcW w:w="2370" w:type="dxa"/>
            <w:tcBorders>
              <w:top w:val="single" w:color="auto" w:sz="8" w:space="0"/>
              <w:left w:val="nil"/>
              <w:bottom w:val="single" w:color="auto" w:sz="4" w:space="0"/>
              <w:right w:val="single" w:color="auto" w:sz="4" w:space="0"/>
            </w:tcBorders>
            <w:noWrap w:val="0"/>
            <w:vAlign w:val="center"/>
          </w:tcPr>
          <w:p w14:paraId="0B640466">
            <w:pPr>
              <w:keepNext w:val="0"/>
              <w:keepLines w:val="0"/>
              <w:pageBreakBefore w:val="0"/>
              <w:tabs>
                <w:tab w:val="left" w:pos="5580"/>
              </w:tabs>
              <w:kinsoku/>
              <w:wordWrap/>
              <w:overflowPunct/>
              <w:topLinePunct w:val="0"/>
              <w:bidi w:val="0"/>
              <w:spacing w:line="500" w:lineRule="exact"/>
              <w:ind w:left="1080" w:leftChars="257" w:hanging="540"/>
              <w:jc w:val="center"/>
              <w:rPr>
                <w:rFonts w:hint="eastAsia" w:ascii="仿宋" w:hAnsi="仿宋" w:eastAsia="仿宋" w:cs="仿宋"/>
                <w:color w:val="auto"/>
                <w:sz w:val="28"/>
                <w:szCs w:val="28"/>
              </w:rPr>
            </w:pPr>
          </w:p>
        </w:tc>
        <w:tc>
          <w:tcPr>
            <w:tcW w:w="1088" w:type="dxa"/>
            <w:tcBorders>
              <w:top w:val="single" w:color="auto" w:sz="8" w:space="0"/>
              <w:left w:val="single" w:color="auto" w:sz="4" w:space="0"/>
              <w:bottom w:val="single" w:color="auto" w:sz="4" w:space="0"/>
              <w:right w:val="single" w:color="auto" w:sz="8" w:space="0"/>
            </w:tcBorders>
            <w:noWrap w:val="0"/>
            <w:vAlign w:val="center"/>
          </w:tcPr>
          <w:p w14:paraId="63813A2A">
            <w:pPr>
              <w:keepNext w:val="0"/>
              <w:keepLines w:val="0"/>
              <w:pageBreakBefore w:val="0"/>
              <w:tabs>
                <w:tab w:val="left" w:pos="5580"/>
              </w:tabs>
              <w:kinsoku/>
              <w:wordWrap/>
              <w:overflowPunct/>
              <w:topLinePunct w:val="0"/>
              <w:bidi w:val="0"/>
              <w:spacing w:line="500" w:lineRule="exact"/>
              <w:ind w:left="1080" w:leftChars="257" w:hanging="540"/>
              <w:jc w:val="center"/>
              <w:rPr>
                <w:rFonts w:hint="eastAsia" w:ascii="仿宋" w:hAnsi="仿宋" w:eastAsia="仿宋" w:cs="仿宋"/>
                <w:color w:val="auto"/>
                <w:sz w:val="28"/>
                <w:szCs w:val="28"/>
              </w:rPr>
            </w:pPr>
          </w:p>
        </w:tc>
      </w:tr>
    </w:tbl>
    <w:p w14:paraId="78102849">
      <w:pPr>
        <w:pStyle w:val="16"/>
        <w:tabs>
          <w:tab w:val="left" w:pos="5580"/>
        </w:tabs>
        <w:spacing w:line="240" w:lineRule="atLeast"/>
        <w:ind w:left="1080" w:leftChars="257" w:hanging="540"/>
        <w:rPr>
          <w:rFonts w:hint="eastAsia" w:ascii="仿宋" w:hAnsi="仿宋" w:eastAsia="仿宋" w:cs="仿宋"/>
          <w:color w:val="auto"/>
          <w:sz w:val="28"/>
          <w:szCs w:val="28"/>
        </w:rPr>
      </w:pPr>
    </w:p>
    <w:p w14:paraId="079A046F">
      <w:pPr>
        <w:pStyle w:val="16"/>
        <w:tabs>
          <w:tab w:val="left" w:pos="5580"/>
        </w:tabs>
        <w:spacing w:line="240" w:lineRule="atLeast"/>
        <w:ind w:left="1080" w:leftChars="257" w:hanging="540"/>
        <w:rPr>
          <w:rFonts w:hint="eastAsia" w:ascii="仿宋" w:hAnsi="仿宋" w:eastAsia="仿宋" w:cs="仿宋"/>
          <w:color w:val="auto"/>
          <w:sz w:val="28"/>
          <w:szCs w:val="28"/>
          <w:u w:val="single"/>
        </w:rPr>
      </w:pPr>
    </w:p>
    <w:p w14:paraId="7358ACC6">
      <w:pPr>
        <w:pStyle w:val="16"/>
        <w:tabs>
          <w:tab w:val="left" w:pos="5580"/>
        </w:tabs>
        <w:spacing w:line="240" w:lineRule="atLeast"/>
        <w:ind w:left="1080"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投标人名称（单位盖</w:t>
      </w:r>
      <w:r>
        <w:rPr>
          <w:rFonts w:hint="eastAsia" w:ascii="仿宋" w:hAnsi="仿宋" w:eastAsia="仿宋" w:cs="仿宋"/>
          <w:color w:val="auto"/>
          <w:sz w:val="28"/>
          <w:szCs w:val="28"/>
          <w:lang w:val="en-US" w:eastAsia="zh-CN"/>
        </w:rPr>
        <w:t>公</w:t>
      </w:r>
      <w:r>
        <w:rPr>
          <w:rFonts w:hint="eastAsia" w:ascii="仿宋" w:hAnsi="仿宋" w:eastAsia="仿宋" w:cs="仿宋"/>
          <w:color w:val="auto"/>
          <w:sz w:val="28"/>
          <w:szCs w:val="28"/>
        </w:rPr>
        <w:t>章）：</w:t>
      </w:r>
      <w:r>
        <w:rPr>
          <w:rFonts w:hint="eastAsia" w:ascii="仿宋" w:hAnsi="仿宋" w:eastAsia="仿宋" w:cs="仿宋"/>
          <w:color w:val="auto"/>
          <w:sz w:val="28"/>
          <w:szCs w:val="28"/>
          <w:u w:val="single"/>
        </w:rPr>
        <w:t xml:space="preserve">                       </w:t>
      </w:r>
    </w:p>
    <w:p w14:paraId="7818FCEB">
      <w:pPr>
        <w:pStyle w:val="16"/>
        <w:tabs>
          <w:tab w:val="left" w:pos="5580"/>
        </w:tabs>
        <w:spacing w:line="240" w:lineRule="atLeast"/>
        <w:ind w:left="1080" w:leftChars="257" w:hanging="540"/>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法定代表人或委托代理(签字</w:t>
      </w:r>
      <w:r>
        <w:rPr>
          <w:rFonts w:hint="eastAsia" w:ascii="仿宋" w:hAnsi="仿宋" w:eastAsia="仿宋" w:cs="仿宋"/>
          <w:color w:val="auto"/>
          <w:sz w:val="28"/>
          <w:szCs w:val="28"/>
          <w:lang w:val="en-US" w:eastAsia="zh-CN"/>
        </w:rPr>
        <w:t>或盖章</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lang w:val="en-US" w:eastAsia="zh-CN"/>
        </w:rPr>
        <w:t xml:space="preserve">             </w:t>
      </w:r>
    </w:p>
    <w:p w14:paraId="18B84DDE">
      <w:pPr>
        <w:pStyle w:val="16"/>
        <w:spacing w:line="240" w:lineRule="atLeast"/>
        <w:ind w:left="1080"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33EA3585">
      <w:pPr>
        <w:pStyle w:val="5"/>
        <w:spacing w:before="0" w:line="24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2.1.分项报价表</w:t>
      </w:r>
    </w:p>
    <w:tbl>
      <w:tblPr>
        <w:tblStyle w:val="38"/>
        <w:tblW w:w="13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1"/>
        <w:gridCol w:w="2283"/>
        <w:gridCol w:w="1500"/>
        <w:gridCol w:w="3123"/>
        <w:gridCol w:w="1275"/>
        <w:gridCol w:w="1215"/>
        <w:gridCol w:w="1650"/>
        <w:gridCol w:w="1550"/>
      </w:tblGrid>
      <w:tr w14:paraId="1069E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13EE">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序号</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6BD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标的名称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F225">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数量</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37DE">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规格参数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250E">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产地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2903">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品牌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B6AA">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单价</w:t>
            </w:r>
            <w:r>
              <w:rPr>
                <w:rFonts w:hint="eastAsia" w:ascii="仿宋" w:hAnsi="仿宋" w:eastAsia="仿宋" w:cs="仿宋"/>
                <w:i w:val="0"/>
                <w:iCs w:val="0"/>
                <w:color w:val="auto"/>
                <w:sz w:val="28"/>
                <w:szCs w:val="28"/>
                <w:u w:val="none"/>
                <w:lang w:val="en-US" w:eastAsia="zh-CN"/>
              </w:rPr>
              <w:t>（元）</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7237">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合价</w:t>
            </w:r>
            <w:r>
              <w:rPr>
                <w:rFonts w:hint="eastAsia" w:ascii="仿宋" w:hAnsi="仿宋" w:eastAsia="仿宋" w:cs="仿宋"/>
                <w:i w:val="0"/>
                <w:iCs w:val="0"/>
                <w:color w:val="auto"/>
                <w:sz w:val="28"/>
                <w:szCs w:val="28"/>
                <w:u w:val="none"/>
                <w:lang w:val="en-US" w:eastAsia="zh-CN"/>
              </w:rPr>
              <w:t>（元）</w:t>
            </w:r>
          </w:p>
        </w:tc>
      </w:tr>
      <w:tr w14:paraId="79F2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E0A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C53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DA24">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86A4">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2EC8">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614D">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36BD">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EA1B">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03EA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C2E3">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5DD4">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F88C">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4A5A">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26E1">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0A9B">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56ED">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7BA3">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2122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CA99">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A96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B72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3E85">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ADFD">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2B0E">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E8F3">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7A72">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764B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D19D">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840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BE8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44F9">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9B71">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A5FB">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23AC">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A095">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2FA8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0BB4">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CFA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4D5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49B0">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B6FF">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1A86">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F9AF">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8B4A">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3DBF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5B96">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640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E8D6">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7AFC">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842B">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399A">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1CD6">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7393">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40C7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C0F3">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9F38">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18ED">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75F5">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897A">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3970">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9AA1">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975B">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6991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DE3C">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8</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D816">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7FD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55D4">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CFE5">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ECEC">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65CB">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2DAA">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7A36B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5D17">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9</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3E6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CB2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D4C3">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CA3D">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21CA">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AC4F">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7924">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03AC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8AB4">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10</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260E">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DB94">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4EB3">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CF30">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C7FF">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97CA">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646A">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6862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5A30">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D2F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B1E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5F6E">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622C">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DDC6">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46DE">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8653">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5C19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1BAA">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8F59">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FEBD">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211C">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E3A0">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84CF">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B28B">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E1EF">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6384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29AC">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13</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283B">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1E5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2272">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BA17">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0FA5">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C517">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B1B7">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1097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8A66">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14</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02F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714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C358">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CFE6">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2E1E">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7E55">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7796">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78312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ED2816">
            <w:pPr>
              <w:keepNext w:val="0"/>
              <w:keepLines w:val="0"/>
              <w:widowControl/>
              <w:suppressLineNumbers w:val="0"/>
              <w:ind w:firstLine="3640" w:firstLineChars="1300"/>
              <w:jc w:val="left"/>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总价合计（元）：</w:t>
            </w:r>
          </w:p>
        </w:tc>
        <w:tc>
          <w:tcPr>
            <w:tcW w:w="5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08D61F">
            <w:pPr>
              <w:keepNext w:val="0"/>
              <w:keepLines w:val="0"/>
              <w:widowControl/>
              <w:suppressLineNumbers w:val="0"/>
              <w:ind w:firstLine="2520" w:firstLineChars="900"/>
              <w:jc w:val="left"/>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   ）元</w:t>
            </w:r>
          </w:p>
        </w:tc>
      </w:tr>
    </w:tbl>
    <w:p w14:paraId="71C7FCA4">
      <w:pPr>
        <w:pStyle w:val="16"/>
        <w:tabs>
          <w:tab w:val="left" w:pos="5580"/>
        </w:tabs>
        <w:spacing w:line="240" w:lineRule="atLeast"/>
        <w:ind w:left="1080" w:leftChars="257" w:hanging="540"/>
        <w:rPr>
          <w:rFonts w:hint="eastAsia" w:ascii="仿宋" w:hAnsi="仿宋" w:eastAsia="仿宋" w:cs="仿宋"/>
          <w:color w:val="auto"/>
          <w:sz w:val="28"/>
          <w:szCs w:val="28"/>
        </w:rPr>
      </w:pPr>
    </w:p>
    <w:p w14:paraId="7F38B8AB">
      <w:pPr>
        <w:pStyle w:val="16"/>
        <w:tabs>
          <w:tab w:val="left" w:pos="5580"/>
        </w:tabs>
        <w:spacing w:line="240" w:lineRule="atLeast"/>
        <w:ind w:left="1080"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投标人名称（单位盖</w:t>
      </w:r>
      <w:r>
        <w:rPr>
          <w:rFonts w:hint="eastAsia" w:ascii="仿宋" w:hAnsi="仿宋" w:eastAsia="仿宋" w:cs="仿宋"/>
          <w:color w:val="auto"/>
          <w:sz w:val="28"/>
          <w:szCs w:val="28"/>
          <w:lang w:val="en-US" w:eastAsia="zh-CN"/>
        </w:rPr>
        <w:t>公</w:t>
      </w:r>
      <w:r>
        <w:rPr>
          <w:rFonts w:hint="eastAsia" w:ascii="仿宋" w:hAnsi="仿宋" w:eastAsia="仿宋" w:cs="仿宋"/>
          <w:color w:val="auto"/>
          <w:sz w:val="28"/>
          <w:szCs w:val="28"/>
        </w:rPr>
        <w:t>章）：</w:t>
      </w:r>
      <w:r>
        <w:rPr>
          <w:rFonts w:hint="eastAsia" w:ascii="仿宋" w:hAnsi="仿宋" w:eastAsia="仿宋" w:cs="仿宋"/>
          <w:color w:val="auto"/>
          <w:sz w:val="28"/>
          <w:szCs w:val="28"/>
          <w:u w:val="single"/>
        </w:rPr>
        <w:t xml:space="preserve">                       </w:t>
      </w:r>
    </w:p>
    <w:p w14:paraId="4EFB699B">
      <w:pPr>
        <w:pStyle w:val="16"/>
        <w:tabs>
          <w:tab w:val="left" w:pos="5580"/>
        </w:tabs>
        <w:spacing w:line="240" w:lineRule="atLeast"/>
        <w:ind w:left="1080" w:leftChars="257" w:hanging="540"/>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法定代表人或委托代理(签字</w:t>
      </w:r>
      <w:r>
        <w:rPr>
          <w:rFonts w:hint="eastAsia" w:ascii="仿宋" w:hAnsi="仿宋" w:eastAsia="仿宋" w:cs="仿宋"/>
          <w:color w:val="auto"/>
          <w:sz w:val="28"/>
          <w:szCs w:val="28"/>
          <w:lang w:val="en-US" w:eastAsia="zh-CN"/>
        </w:rPr>
        <w:t>或盖章</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lang w:val="en-US" w:eastAsia="zh-CN"/>
        </w:rPr>
        <w:t xml:space="preserve">             </w:t>
      </w:r>
    </w:p>
    <w:p w14:paraId="0E7498DF">
      <w:pPr>
        <w:pStyle w:val="16"/>
        <w:spacing w:line="240" w:lineRule="atLeast"/>
        <w:ind w:left="1080" w:leftChars="257" w:hanging="540"/>
        <w:jc w:val="center"/>
        <w:rPr>
          <w:rFonts w:hint="eastAsia" w:ascii="仿宋" w:hAnsi="仿宋" w:eastAsia="仿宋" w:cs="仿宋"/>
          <w:color w:val="auto"/>
          <w:sz w:val="28"/>
          <w:szCs w:val="28"/>
        </w:rPr>
      </w:pPr>
    </w:p>
    <w:p w14:paraId="10ECA4AE">
      <w:pPr>
        <w:pStyle w:val="16"/>
        <w:spacing w:line="240" w:lineRule="atLeast"/>
        <w:ind w:left="1080" w:leftChars="257" w:hanging="540"/>
        <w:jc w:val="center"/>
        <w:rPr>
          <w:rFonts w:hint="eastAsia" w:ascii="仿宋" w:hAnsi="仿宋" w:eastAsia="仿宋" w:cs="仿宋"/>
          <w:color w:val="auto"/>
          <w:sz w:val="28"/>
          <w:szCs w:val="28"/>
        </w:rPr>
        <w:sectPr>
          <w:pgSz w:w="16838" w:h="11906" w:orient="landscape"/>
          <w:pgMar w:top="1474" w:right="1814" w:bottom="1474" w:left="1814" w:header="851" w:footer="992" w:gutter="0"/>
          <w:pgNumType w:fmt="decimal"/>
          <w:cols w:space="720" w:num="1"/>
          <w:docGrid w:linePitch="312" w:charSpace="0"/>
        </w:sectPr>
      </w:pPr>
    </w:p>
    <w:p w14:paraId="2FD2F6F2">
      <w:pPr>
        <w:spacing w:before="48" w:line="219" w:lineRule="auto"/>
        <w:ind w:left="3688"/>
        <w:rPr>
          <w:rFonts w:hint="eastAsia" w:ascii="仿宋" w:hAnsi="仿宋" w:eastAsia="仿宋" w:cs="仿宋"/>
          <w:color w:val="auto"/>
          <w:sz w:val="28"/>
          <w:szCs w:val="28"/>
        </w:rPr>
      </w:pPr>
      <w:bookmarkStart w:id="549" w:name="_Toc23068"/>
      <w:bookmarkStart w:id="550" w:name="_Toc732"/>
      <w:bookmarkStart w:id="551" w:name="_Toc26931"/>
      <w:bookmarkStart w:id="552" w:name="_Toc24860"/>
      <w:bookmarkStart w:id="553" w:name="_Toc515647825"/>
      <w:bookmarkStart w:id="554" w:name="_Toc19284"/>
      <w:bookmarkStart w:id="555" w:name="_Toc30849"/>
      <w:bookmarkStart w:id="556" w:name="_Toc3420"/>
      <w:bookmarkStart w:id="557" w:name="_Toc7827"/>
      <w:bookmarkStart w:id="558" w:name="_Toc9865"/>
      <w:bookmarkStart w:id="559" w:name="_Toc13947"/>
      <w:bookmarkStart w:id="560" w:name="_Toc5030"/>
      <w:bookmarkStart w:id="561" w:name="_Toc15294"/>
      <w:bookmarkStart w:id="562" w:name="_Toc32586"/>
      <w:bookmarkStart w:id="563" w:name="_Toc2621"/>
      <w:bookmarkStart w:id="564" w:name="_Toc4244"/>
      <w:bookmarkStart w:id="565" w:name="_Toc14454"/>
      <w:bookmarkStart w:id="566" w:name="OLE_LINK14"/>
      <w:bookmarkStart w:id="567" w:name="OLE_LINK13"/>
      <w:r>
        <w:rPr>
          <w:rFonts w:hint="eastAsia" w:ascii="仿宋" w:hAnsi="仿宋" w:eastAsia="仿宋" w:cs="仿宋"/>
          <w:b/>
          <w:bCs/>
          <w:color w:val="auto"/>
          <w:spacing w:val="-6"/>
          <w:sz w:val="28"/>
          <w:szCs w:val="28"/>
          <w:lang w:val="en-US" w:eastAsia="zh-CN"/>
        </w:rPr>
        <w:t>3.</w:t>
      </w:r>
      <w:r>
        <w:rPr>
          <w:rFonts w:hint="eastAsia" w:ascii="仿宋" w:hAnsi="仿宋" w:eastAsia="仿宋" w:cs="仿宋"/>
          <w:b/>
          <w:bCs/>
          <w:color w:val="auto"/>
          <w:spacing w:val="-6"/>
          <w:sz w:val="28"/>
          <w:szCs w:val="28"/>
        </w:rPr>
        <w:t>商务偏离表</w:t>
      </w:r>
    </w:p>
    <w:p w14:paraId="38B5879A">
      <w:pPr>
        <w:spacing w:before="64"/>
        <w:rPr>
          <w:rFonts w:hint="eastAsia" w:ascii="仿宋" w:hAnsi="仿宋" w:eastAsia="仿宋" w:cs="仿宋"/>
          <w:color w:val="auto"/>
          <w:sz w:val="28"/>
          <w:szCs w:val="28"/>
        </w:rPr>
      </w:pPr>
    </w:p>
    <w:p w14:paraId="283161AF">
      <w:pPr>
        <w:spacing w:before="103"/>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项目名称：                标项号：              项目编号：</w:t>
      </w:r>
    </w:p>
    <w:tbl>
      <w:tblPr>
        <w:tblStyle w:val="107"/>
        <w:tblW w:w="98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1660"/>
        <w:gridCol w:w="2745"/>
        <w:gridCol w:w="2774"/>
        <w:gridCol w:w="810"/>
        <w:gridCol w:w="900"/>
      </w:tblGrid>
      <w:tr w14:paraId="0417D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954" w:type="dxa"/>
            <w:vAlign w:val="center"/>
          </w:tcPr>
          <w:p w14:paraId="68465325">
            <w:pPr>
              <w:pStyle w:val="124"/>
              <w:spacing w:before="45" w:line="221" w:lineRule="auto"/>
              <w:ind w:left="225"/>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序号</w:t>
            </w:r>
          </w:p>
        </w:tc>
        <w:tc>
          <w:tcPr>
            <w:tcW w:w="1660" w:type="dxa"/>
            <w:vAlign w:val="center"/>
          </w:tcPr>
          <w:p w14:paraId="40D89A4D">
            <w:pPr>
              <w:pStyle w:val="124"/>
              <w:spacing w:before="54" w:line="219"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文件条款号</w:t>
            </w:r>
          </w:p>
        </w:tc>
        <w:tc>
          <w:tcPr>
            <w:tcW w:w="2745" w:type="dxa"/>
            <w:vAlign w:val="center"/>
          </w:tcPr>
          <w:p w14:paraId="54D68338">
            <w:pPr>
              <w:pStyle w:val="124"/>
              <w:spacing w:before="54" w:line="219" w:lineRule="auto"/>
              <w:ind w:left="194"/>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lang w:val="en-US" w:eastAsia="zh-CN"/>
              </w:rPr>
              <w:t>招标文件</w:t>
            </w:r>
            <w:r>
              <w:rPr>
                <w:rFonts w:hint="eastAsia" w:ascii="仿宋" w:hAnsi="仿宋" w:eastAsia="仿宋" w:cs="仿宋"/>
                <w:color w:val="auto"/>
                <w:spacing w:val="-1"/>
                <w:sz w:val="28"/>
                <w:szCs w:val="28"/>
              </w:rPr>
              <w:t>的商务条款</w:t>
            </w:r>
          </w:p>
        </w:tc>
        <w:tc>
          <w:tcPr>
            <w:tcW w:w="2774" w:type="dxa"/>
            <w:vAlign w:val="center"/>
          </w:tcPr>
          <w:p w14:paraId="1A1B2D94">
            <w:pPr>
              <w:pStyle w:val="124"/>
              <w:spacing w:before="54" w:line="219" w:lineRule="auto"/>
              <w:ind w:left="197"/>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响应文件的商务条款</w:t>
            </w:r>
          </w:p>
        </w:tc>
        <w:tc>
          <w:tcPr>
            <w:tcW w:w="810" w:type="dxa"/>
            <w:vAlign w:val="center"/>
          </w:tcPr>
          <w:p w14:paraId="35F39E1A">
            <w:pPr>
              <w:pStyle w:val="124"/>
              <w:spacing w:before="34" w:line="219"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偏离</w:t>
            </w:r>
          </w:p>
        </w:tc>
        <w:tc>
          <w:tcPr>
            <w:tcW w:w="900" w:type="dxa"/>
            <w:vAlign w:val="center"/>
          </w:tcPr>
          <w:p w14:paraId="558F33DC">
            <w:pPr>
              <w:pStyle w:val="124"/>
              <w:spacing w:before="34" w:line="219" w:lineRule="auto"/>
              <w:jc w:val="center"/>
              <w:rPr>
                <w:rFonts w:hint="eastAsia"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备注</w:t>
            </w:r>
          </w:p>
        </w:tc>
      </w:tr>
      <w:tr w14:paraId="0A368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54" w:type="dxa"/>
            <w:vAlign w:val="top"/>
          </w:tcPr>
          <w:p w14:paraId="7846D408">
            <w:pPr>
              <w:rPr>
                <w:rFonts w:hint="eastAsia" w:ascii="仿宋" w:hAnsi="仿宋" w:eastAsia="仿宋" w:cs="仿宋"/>
                <w:color w:val="auto"/>
                <w:sz w:val="28"/>
                <w:szCs w:val="28"/>
              </w:rPr>
            </w:pPr>
          </w:p>
        </w:tc>
        <w:tc>
          <w:tcPr>
            <w:tcW w:w="1660" w:type="dxa"/>
            <w:vAlign w:val="top"/>
          </w:tcPr>
          <w:p w14:paraId="38C2119A">
            <w:pPr>
              <w:rPr>
                <w:rFonts w:hint="eastAsia" w:ascii="仿宋" w:hAnsi="仿宋" w:eastAsia="仿宋" w:cs="仿宋"/>
                <w:color w:val="auto"/>
                <w:sz w:val="28"/>
                <w:szCs w:val="28"/>
              </w:rPr>
            </w:pPr>
          </w:p>
        </w:tc>
        <w:tc>
          <w:tcPr>
            <w:tcW w:w="2745" w:type="dxa"/>
            <w:vAlign w:val="top"/>
          </w:tcPr>
          <w:p w14:paraId="7670B475">
            <w:pPr>
              <w:rPr>
                <w:rFonts w:hint="eastAsia" w:ascii="仿宋" w:hAnsi="仿宋" w:eastAsia="仿宋" w:cs="仿宋"/>
                <w:color w:val="auto"/>
                <w:sz w:val="28"/>
                <w:szCs w:val="28"/>
              </w:rPr>
            </w:pPr>
          </w:p>
        </w:tc>
        <w:tc>
          <w:tcPr>
            <w:tcW w:w="2774" w:type="dxa"/>
            <w:vAlign w:val="top"/>
          </w:tcPr>
          <w:p w14:paraId="517DDD36">
            <w:pPr>
              <w:rPr>
                <w:rFonts w:hint="eastAsia" w:ascii="仿宋" w:hAnsi="仿宋" w:eastAsia="仿宋" w:cs="仿宋"/>
                <w:color w:val="auto"/>
                <w:sz w:val="28"/>
                <w:szCs w:val="28"/>
              </w:rPr>
            </w:pPr>
          </w:p>
        </w:tc>
        <w:tc>
          <w:tcPr>
            <w:tcW w:w="810" w:type="dxa"/>
            <w:vAlign w:val="top"/>
          </w:tcPr>
          <w:p w14:paraId="75465C12">
            <w:pPr>
              <w:rPr>
                <w:rFonts w:hint="eastAsia" w:ascii="仿宋" w:hAnsi="仿宋" w:eastAsia="仿宋" w:cs="仿宋"/>
                <w:color w:val="auto"/>
                <w:sz w:val="28"/>
                <w:szCs w:val="28"/>
              </w:rPr>
            </w:pPr>
          </w:p>
        </w:tc>
        <w:tc>
          <w:tcPr>
            <w:tcW w:w="900" w:type="dxa"/>
            <w:vAlign w:val="top"/>
          </w:tcPr>
          <w:p w14:paraId="36D15121">
            <w:pPr>
              <w:rPr>
                <w:rFonts w:hint="eastAsia" w:ascii="仿宋" w:hAnsi="仿宋" w:eastAsia="仿宋" w:cs="仿宋"/>
                <w:color w:val="auto"/>
                <w:sz w:val="28"/>
                <w:szCs w:val="28"/>
              </w:rPr>
            </w:pPr>
          </w:p>
        </w:tc>
      </w:tr>
      <w:tr w14:paraId="08540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954" w:type="dxa"/>
            <w:vAlign w:val="top"/>
          </w:tcPr>
          <w:p w14:paraId="3647725A">
            <w:pPr>
              <w:rPr>
                <w:rFonts w:hint="eastAsia" w:ascii="仿宋" w:hAnsi="仿宋" w:eastAsia="仿宋" w:cs="仿宋"/>
                <w:color w:val="auto"/>
                <w:sz w:val="28"/>
                <w:szCs w:val="28"/>
              </w:rPr>
            </w:pPr>
          </w:p>
        </w:tc>
        <w:tc>
          <w:tcPr>
            <w:tcW w:w="1660" w:type="dxa"/>
            <w:vAlign w:val="top"/>
          </w:tcPr>
          <w:p w14:paraId="49E195E4">
            <w:pPr>
              <w:rPr>
                <w:rFonts w:hint="eastAsia" w:ascii="仿宋" w:hAnsi="仿宋" w:eastAsia="仿宋" w:cs="仿宋"/>
                <w:color w:val="auto"/>
                <w:sz w:val="28"/>
                <w:szCs w:val="28"/>
              </w:rPr>
            </w:pPr>
          </w:p>
        </w:tc>
        <w:tc>
          <w:tcPr>
            <w:tcW w:w="2745" w:type="dxa"/>
            <w:vAlign w:val="top"/>
          </w:tcPr>
          <w:p w14:paraId="00E2BC84">
            <w:pPr>
              <w:rPr>
                <w:rFonts w:hint="eastAsia" w:ascii="仿宋" w:hAnsi="仿宋" w:eastAsia="仿宋" w:cs="仿宋"/>
                <w:color w:val="auto"/>
                <w:sz w:val="28"/>
                <w:szCs w:val="28"/>
              </w:rPr>
            </w:pPr>
          </w:p>
        </w:tc>
        <w:tc>
          <w:tcPr>
            <w:tcW w:w="2774" w:type="dxa"/>
            <w:vAlign w:val="top"/>
          </w:tcPr>
          <w:p w14:paraId="1F9E8B5D">
            <w:pPr>
              <w:rPr>
                <w:rFonts w:hint="eastAsia" w:ascii="仿宋" w:hAnsi="仿宋" w:eastAsia="仿宋" w:cs="仿宋"/>
                <w:color w:val="auto"/>
                <w:sz w:val="28"/>
                <w:szCs w:val="28"/>
              </w:rPr>
            </w:pPr>
          </w:p>
        </w:tc>
        <w:tc>
          <w:tcPr>
            <w:tcW w:w="810" w:type="dxa"/>
            <w:vAlign w:val="top"/>
          </w:tcPr>
          <w:p w14:paraId="40CB6EBF">
            <w:pPr>
              <w:rPr>
                <w:rFonts w:hint="eastAsia" w:ascii="仿宋" w:hAnsi="仿宋" w:eastAsia="仿宋" w:cs="仿宋"/>
                <w:color w:val="auto"/>
                <w:sz w:val="28"/>
                <w:szCs w:val="28"/>
              </w:rPr>
            </w:pPr>
          </w:p>
        </w:tc>
        <w:tc>
          <w:tcPr>
            <w:tcW w:w="900" w:type="dxa"/>
            <w:vAlign w:val="top"/>
          </w:tcPr>
          <w:p w14:paraId="46907103">
            <w:pPr>
              <w:rPr>
                <w:rFonts w:hint="eastAsia" w:ascii="仿宋" w:hAnsi="仿宋" w:eastAsia="仿宋" w:cs="仿宋"/>
                <w:color w:val="auto"/>
                <w:sz w:val="28"/>
                <w:szCs w:val="28"/>
              </w:rPr>
            </w:pPr>
          </w:p>
        </w:tc>
      </w:tr>
      <w:tr w14:paraId="5D0BC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954" w:type="dxa"/>
            <w:vAlign w:val="top"/>
          </w:tcPr>
          <w:p w14:paraId="086F8ECA">
            <w:pPr>
              <w:rPr>
                <w:rFonts w:hint="eastAsia" w:ascii="仿宋" w:hAnsi="仿宋" w:eastAsia="仿宋" w:cs="仿宋"/>
                <w:color w:val="auto"/>
                <w:sz w:val="28"/>
                <w:szCs w:val="28"/>
              </w:rPr>
            </w:pPr>
          </w:p>
        </w:tc>
        <w:tc>
          <w:tcPr>
            <w:tcW w:w="1660" w:type="dxa"/>
            <w:vAlign w:val="top"/>
          </w:tcPr>
          <w:p w14:paraId="07EDADEF">
            <w:pPr>
              <w:rPr>
                <w:rFonts w:hint="eastAsia" w:ascii="仿宋" w:hAnsi="仿宋" w:eastAsia="仿宋" w:cs="仿宋"/>
                <w:color w:val="auto"/>
                <w:sz w:val="28"/>
                <w:szCs w:val="28"/>
              </w:rPr>
            </w:pPr>
          </w:p>
        </w:tc>
        <w:tc>
          <w:tcPr>
            <w:tcW w:w="2745" w:type="dxa"/>
            <w:vAlign w:val="top"/>
          </w:tcPr>
          <w:p w14:paraId="03D85C6E">
            <w:pPr>
              <w:rPr>
                <w:rFonts w:hint="eastAsia" w:ascii="仿宋" w:hAnsi="仿宋" w:eastAsia="仿宋" w:cs="仿宋"/>
                <w:color w:val="auto"/>
                <w:sz w:val="28"/>
                <w:szCs w:val="28"/>
              </w:rPr>
            </w:pPr>
          </w:p>
        </w:tc>
        <w:tc>
          <w:tcPr>
            <w:tcW w:w="2774" w:type="dxa"/>
            <w:vAlign w:val="top"/>
          </w:tcPr>
          <w:p w14:paraId="663AF285">
            <w:pPr>
              <w:rPr>
                <w:rFonts w:hint="eastAsia" w:ascii="仿宋" w:hAnsi="仿宋" w:eastAsia="仿宋" w:cs="仿宋"/>
                <w:color w:val="auto"/>
                <w:sz w:val="28"/>
                <w:szCs w:val="28"/>
              </w:rPr>
            </w:pPr>
          </w:p>
        </w:tc>
        <w:tc>
          <w:tcPr>
            <w:tcW w:w="810" w:type="dxa"/>
            <w:vAlign w:val="top"/>
          </w:tcPr>
          <w:p w14:paraId="55697C12">
            <w:pPr>
              <w:rPr>
                <w:rFonts w:hint="eastAsia" w:ascii="仿宋" w:hAnsi="仿宋" w:eastAsia="仿宋" w:cs="仿宋"/>
                <w:color w:val="auto"/>
                <w:sz w:val="28"/>
                <w:szCs w:val="28"/>
              </w:rPr>
            </w:pPr>
          </w:p>
        </w:tc>
        <w:tc>
          <w:tcPr>
            <w:tcW w:w="900" w:type="dxa"/>
            <w:vAlign w:val="top"/>
          </w:tcPr>
          <w:p w14:paraId="58EF52F3">
            <w:pPr>
              <w:rPr>
                <w:rFonts w:hint="eastAsia" w:ascii="仿宋" w:hAnsi="仿宋" w:eastAsia="仿宋" w:cs="仿宋"/>
                <w:color w:val="auto"/>
                <w:sz w:val="28"/>
                <w:szCs w:val="28"/>
              </w:rPr>
            </w:pPr>
          </w:p>
        </w:tc>
      </w:tr>
      <w:tr w14:paraId="531C9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54" w:type="dxa"/>
            <w:vAlign w:val="top"/>
          </w:tcPr>
          <w:p w14:paraId="0931966C">
            <w:pPr>
              <w:rPr>
                <w:rFonts w:hint="eastAsia" w:ascii="仿宋" w:hAnsi="仿宋" w:eastAsia="仿宋" w:cs="仿宋"/>
                <w:color w:val="auto"/>
                <w:sz w:val="28"/>
                <w:szCs w:val="28"/>
              </w:rPr>
            </w:pPr>
          </w:p>
        </w:tc>
        <w:tc>
          <w:tcPr>
            <w:tcW w:w="1660" w:type="dxa"/>
            <w:vAlign w:val="top"/>
          </w:tcPr>
          <w:p w14:paraId="66A0CEF3">
            <w:pPr>
              <w:rPr>
                <w:rFonts w:hint="eastAsia" w:ascii="仿宋" w:hAnsi="仿宋" w:eastAsia="仿宋" w:cs="仿宋"/>
                <w:color w:val="auto"/>
                <w:sz w:val="28"/>
                <w:szCs w:val="28"/>
              </w:rPr>
            </w:pPr>
          </w:p>
        </w:tc>
        <w:tc>
          <w:tcPr>
            <w:tcW w:w="2745" w:type="dxa"/>
            <w:vAlign w:val="top"/>
          </w:tcPr>
          <w:p w14:paraId="20728B5F">
            <w:pPr>
              <w:rPr>
                <w:rFonts w:hint="eastAsia" w:ascii="仿宋" w:hAnsi="仿宋" w:eastAsia="仿宋" w:cs="仿宋"/>
                <w:color w:val="auto"/>
                <w:sz w:val="28"/>
                <w:szCs w:val="28"/>
              </w:rPr>
            </w:pPr>
          </w:p>
        </w:tc>
        <w:tc>
          <w:tcPr>
            <w:tcW w:w="2774" w:type="dxa"/>
            <w:vAlign w:val="top"/>
          </w:tcPr>
          <w:p w14:paraId="2CB018DA">
            <w:pPr>
              <w:rPr>
                <w:rFonts w:hint="eastAsia" w:ascii="仿宋" w:hAnsi="仿宋" w:eastAsia="仿宋" w:cs="仿宋"/>
                <w:color w:val="auto"/>
                <w:sz w:val="28"/>
                <w:szCs w:val="28"/>
              </w:rPr>
            </w:pPr>
          </w:p>
        </w:tc>
        <w:tc>
          <w:tcPr>
            <w:tcW w:w="810" w:type="dxa"/>
            <w:vAlign w:val="top"/>
          </w:tcPr>
          <w:p w14:paraId="3BA7DC97">
            <w:pPr>
              <w:rPr>
                <w:rFonts w:hint="eastAsia" w:ascii="仿宋" w:hAnsi="仿宋" w:eastAsia="仿宋" w:cs="仿宋"/>
                <w:color w:val="auto"/>
                <w:sz w:val="28"/>
                <w:szCs w:val="28"/>
              </w:rPr>
            </w:pPr>
          </w:p>
        </w:tc>
        <w:tc>
          <w:tcPr>
            <w:tcW w:w="900" w:type="dxa"/>
            <w:vAlign w:val="top"/>
          </w:tcPr>
          <w:p w14:paraId="10B5D53C">
            <w:pPr>
              <w:rPr>
                <w:rFonts w:hint="eastAsia" w:ascii="仿宋" w:hAnsi="仿宋" w:eastAsia="仿宋" w:cs="仿宋"/>
                <w:color w:val="auto"/>
                <w:sz w:val="28"/>
                <w:szCs w:val="28"/>
              </w:rPr>
            </w:pPr>
          </w:p>
        </w:tc>
      </w:tr>
      <w:tr w14:paraId="5FA74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954" w:type="dxa"/>
            <w:vAlign w:val="top"/>
          </w:tcPr>
          <w:p w14:paraId="4A2504F0">
            <w:pPr>
              <w:rPr>
                <w:rFonts w:hint="eastAsia" w:ascii="仿宋" w:hAnsi="仿宋" w:eastAsia="仿宋" w:cs="仿宋"/>
                <w:color w:val="auto"/>
                <w:sz w:val="28"/>
                <w:szCs w:val="28"/>
              </w:rPr>
            </w:pPr>
          </w:p>
        </w:tc>
        <w:tc>
          <w:tcPr>
            <w:tcW w:w="1660" w:type="dxa"/>
            <w:vAlign w:val="top"/>
          </w:tcPr>
          <w:p w14:paraId="723DF9B2">
            <w:pPr>
              <w:rPr>
                <w:rFonts w:hint="eastAsia" w:ascii="仿宋" w:hAnsi="仿宋" w:eastAsia="仿宋" w:cs="仿宋"/>
                <w:color w:val="auto"/>
                <w:sz w:val="28"/>
                <w:szCs w:val="28"/>
              </w:rPr>
            </w:pPr>
          </w:p>
        </w:tc>
        <w:tc>
          <w:tcPr>
            <w:tcW w:w="2745" w:type="dxa"/>
            <w:vAlign w:val="top"/>
          </w:tcPr>
          <w:p w14:paraId="3A639D40">
            <w:pPr>
              <w:rPr>
                <w:rFonts w:hint="eastAsia" w:ascii="仿宋" w:hAnsi="仿宋" w:eastAsia="仿宋" w:cs="仿宋"/>
                <w:color w:val="auto"/>
                <w:sz w:val="28"/>
                <w:szCs w:val="28"/>
              </w:rPr>
            </w:pPr>
          </w:p>
        </w:tc>
        <w:tc>
          <w:tcPr>
            <w:tcW w:w="2774" w:type="dxa"/>
            <w:vAlign w:val="top"/>
          </w:tcPr>
          <w:p w14:paraId="726C2FE3">
            <w:pPr>
              <w:rPr>
                <w:rFonts w:hint="eastAsia" w:ascii="仿宋" w:hAnsi="仿宋" w:eastAsia="仿宋" w:cs="仿宋"/>
                <w:color w:val="auto"/>
                <w:sz w:val="28"/>
                <w:szCs w:val="28"/>
              </w:rPr>
            </w:pPr>
          </w:p>
        </w:tc>
        <w:tc>
          <w:tcPr>
            <w:tcW w:w="810" w:type="dxa"/>
            <w:vAlign w:val="top"/>
          </w:tcPr>
          <w:p w14:paraId="2F9AED7D">
            <w:pPr>
              <w:rPr>
                <w:rFonts w:hint="eastAsia" w:ascii="仿宋" w:hAnsi="仿宋" w:eastAsia="仿宋" w:cs="仿宋"/>
                <w:color w:val="auto"/>
                <w:sz w:val="28"/>
                <w:szCs w:val="28"/>
              </w:rPr>
            </w:pPr>
          </w:p>
        </w:tc>
        <w:tc>
          <w:tcPr>
            <w:tcW w:w="900" w:type="dxa"/>
            <w:vAlign w:val="top"/>
          </w:tcPr>
          <w:p w14:paraId="256DD943">
            <w:pPr>
              <w:rPr>
                <w:rFonts w:hint="eastAsia" w:ascii="仿宋" w:hAnsi="仿宋" w:eastAsia="仿宋" w:cs="仿宋"/>
                <w:color w:val="auto"/>
                <w:sz w:val="28"/>
                <w:szCs w:val="28"/>
              </w:rPr>
            </w:pPr>
          </w:p>
        </w:tc>
      </w:tr>
      <w:tr w14:paraId="090C7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954" w:type="dxa"/>
            <w:vAlign w:val="top"/>
          </w:tcPr>
          <w:p w14:paraId="12ECF009">
            <w:pPr>
              <w:rPr>
                <w:rFonts w:hint="eastAsia" w:ascii="仿宋" w:hAnsi="仿宋" w:eastAsia="仿宋" w:cs="仿宋"/>
                <w:color w:val="auto"/>
                <w:sz w:val="28"/>
                <w:szCs w:val="28"/>
              </w:rPr>
            </w:pPr>
          </w:p>
        </w:tc>
        <w:tc>
          <w:tcPr>
            <w:tcW w:w="1660" w:type="dxa"/>
            <w:vAlign w:val="top"/>
          </w:tcPr>
          <w:p w14:paraId="758413F6">
            <w:pPr>
              <w:rPr>
                <w:rFonts w:hint="eastAsia" w:ascii="仿宋" w:hAnsi="仿宋" w:eastAsia="仿宋" w:cs="仿宋"/>
                <w:color w:val="auto"/>
                <w:sz w:val="28"/>
                <w:szCs w:val="28"/>
              </w:rPr>
            </w:pPr>
          </w:p>
        </w:tc>
        <w:tc>
          <w:tcPr>
            <w:tcW w:w="2745" w:type="dxa"/>
            <w:vAlign w:val="top"/>
          </w:tcPr>
          <w:p w14:paraId="09A11160">
            <w:pPr>
              <w:rPr>
                <w:rFonts w:hint="eastAsia" w:ascii="仿宋" w:hAnsi="仿宋" w:eastAsia="仿宋" w:cs="仿宋"/>
                <w:color w:val="auto"/>
                <w:sz w:val="28"/>
                <w:szCs w:val="28"/>
              </w:rPr>
            </w:pPr>
          </w:p>
        </w:tc>
        <w:tc>
          <w:tcPr>
            <w:tcW w:w="2774" w:type="dxa"/>
            <w:vAlign w:val="top"/>
          </w:tcPr>
          <w:p w14:paraId="2B36C324">
            <w:pPr>
              <w:rPr>
                <w:rFonts w:hint="eastAsia" w:ascii="仿宋" w:hAnsi="仿宋" w:eastAsia="仿宋" w:cs="仿宋"/>
                <w:color w:val="auto"/>
                <w:sz w:val="28"/>
                <w:szCs w:val="28"/>
              </w:rPr>
            </w:pPr>
          </w:p>
        </w:tc>
        <w:tc>
          <w:tcPr>
            <w:tcW w:w="810" w:type="dxa"/>
            <w:vAlign w:val="top"/>
          </w:tcPr>
          <w:p w14:paraId="0F44F481">
            <w:pPr>
              <w:rPr>
                <w:rFonts w:hint="eastAsia" w:ascii="仿宋" w:hAnsi="仿宋" w:eastAsia="仿宋" w:cs="仿宋"/>
                <w:color w:val="auto"/>
                <w:sz w:val="28"/>
                <w:szCs w:val="28"/>
              </w:rPr>
            </w:pPr>
          </w:p>
        </w:tc>
        <w:tc>
          <w:tcPr>
            <w:tcW w:w="900" w:type="dxa"/>
            <w:vAlign w:val="top"/>
          </w:tcPr>
          <w:p w14:paraId="13361D83">
            <w:pPr>
              <w:rPr>
                <w:rFonts w:hint="eastAsia" w:ascii="仿宋" w:hAnsi="仿宋" w:eastAsia="仿宋" w:cs="仿宋"/>
                <w:color w:val="auto"/>
                <w:sz w:val="28"/>
                <w:szCs w:val="28"/>
              </w:rPr>
            </w:pPr>
          </w:p>
        </w:tc>
      </w:tr>
      <w:tr w14:paraId="66239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954" w:type="dxa"/>
            <w:vAlign w:val="top"/>
          </w:tcPr>
          <w:p w14:paraId="02541E11">
            <w:pPr>
              <w:rPr>
                <w:rFonts w:hint="eastAsia" w:ascii="仿宋" w:hAnsi="仿宋" w:eastAsia="仿宋" w:cs="仿宋"/>
                <w:color w:val="auto"/>
                <w:sz w:val="28"/>
                <w:szCs w:val="28"/>
              </w:rPr>
            </w:pPr>
          </w:p>
        </w:tc>
        <w:tc>
          <w:tcPr>
            <w:tcW w:w="1660" w:type="dxa"/>
            <w:vAlign w:val="top"/>
          </w:tcPr>
          <w:p w14:paraId="196AB60F">
            <w:pPr>
              <w:rPr>
                <w:rFonts w:hint="eastAsia" w:ascii="仿宋" w:hAnsi="仿宋" w:eastAsia="仿宋" w:cs="仿宋"/>
                <w:color w:val="auto"/>
                <w:sz w:val="28"/>
                <w:szCs w:val="28"/>
              </w:rPr>
            </w:pPr>
          </w:p>
        </w:tc>
        <w:tc>
          <w:tcPr>
            <w:tcW w:w="2745" w:type="dxa"/>
            <w:vAlign w:val="top"/>
          </w:tcPr>
          <w:p w14:paraId="16EC92F6">
            <w:pPr>
              <w:rPr>
                <w:rFonts w:hint="eastAsia" w:ascii="仿宋" w:hAnsi="仿宋" w:eastAsia="仿宋" w:cs="仿宋"/>
                <w:color w:val="auto"/>
                <w:sz w:val="28"/>
                <w:szCs w:val="28"/>
              </w:rPr>
            </w:pPr>
          </w:p>
        </w:tc>
        <w:tc>
          <w:tcPr>
            <w:tcW w:w="2774" w:type="dxa"/>
            <w:vAlign w:val="top"/>
          </w:tcPr>
          <w:p w14:paraId="456D35B2">
            <w:pPr>
              <w:rPr>
                <w:rFonts w:hint="eastAsia" w:ascii="仿宋" w:hAnsi="仿宋" w:eastAsia="仿宋" w:cs="仿宋"/>
                <w:color w:val="auto"/>
                <w:sz w:val="28"/>
                <w:szCs w:val="28"/>
              </w:rPr>
            </w:pPr>
          </w:p>
        </w:tc>
        <w:tc>
          <w:tcPr>
            <w:tcW w:w="810" w:type="dxa"/>
            <w:vAlign w:val="top"/>
          </w:tcPr>
          <w:p w14:paraId="5825FFD2">
            <w:pPr>
              <w:rPr>
                <w:rFonts w:hint="eastAsia" w:ascii="仿宋" w:hAnsi="仿宋" w:eastAsia="仿宋" w:cs="仿宋"/>
                <w:color w:val="auto"/>
                <w:sz w:val="28"/>
                <w:szCs w:val="28"/>
              </w:rPr>
            </w:pPr>
          </w:p>
        </w:tc>
        <w:tc>
          <w:tcPr>
            <w:tcW w:w="900" w:type="dxa"/>
            <w:vAlign w:val="top"/>
          </w:tcPr>
          <w:p w14:paraId="164F4AC0">
            <w:pPr>
              <w:rPr>
                <w:rFonts w:hint="eastAsia" w:ascii="仿宋" w:hAnsi="仿宋" w:eastAsia="仿宋" w:cs="仿宋"/>
                <w:color w:val="auto"/>
                <w:sz w:val="28"/>
                <w:szCs w:val="28"/>
              </w:rPr>
            </w:pPr>
          </w:p>
        </w:tc>
      </w:tr>
      <w:tr w14:paraId="58EA8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954" w:type="dxa"/>
            <w:vAlign w:val="top"/>
          </w:tcPr>
          <w:p w14:paraId="40BFB88F">
            <w:pPr>
              <w:rPr>
                <w:rFonts w:hint="eastAsia" w:ascii="仿宋" w:hAnsi="仿宋" w:eastAsia="仿宋" w:cs="仿宋"/>
                <w:color w:val="auto"/>
                <w:sz w:val="28"/>
                <w:szCs w:val="28"/>
              </w:rPr>
            </w:pPr>
          </w:p>
        </w:tc>
        <w:tc>
          <w:tcPr>
            <w:tcW w:w="1660" w:type="dxa"/>
            <w:vAlign w:val="top"/>
          </w:tcPr>
          <w:p w14:paraId="431AE702">
            <w:pPr>
              <w:rPr>
                <w:rFonts w:hint="eastAsia" w:ascii="仿宋" w:hAnsi="仿宋" w:eastAsia="仿宋" w:cs="仿宋"/>
                <w:color w:val="auto"/>
                <w:sz w:val="28"/>
                <w:szCs w:val="28"/>
              </w:rPr>
            </w:pPr>
          </w:p>
        </w:tc>
        <w:tc>
          <w:tcPr>
            <w:tcW w:w="2745" w:type="dxa"/>
            <w:vAlign w:val="top"/>
          </w:tcPr>
          <w:p w14:paraId="7BA47310">
            <w:pPr>
              <w:rPr>
                <w:rFonts w:hint="eastAsia" w:ascii="仿宋" w:hAnsi="仿宋" w:eastAsia="仿宋" w:cs="仿宋"/>
                <w:color w:val="auto"/>
                <w:sz w:val="28"/>
                <w:szCs w:val="28"/>
              </w:rPr>
            </w:pPr>
          </w:p>
        </w:tc>
        <w:tc>
          <w:tcPr>
            <w:tcW w:w="2774" w:type="dxa"/>
            <w:vAlign w:val="top"/>
          </w:tcPr>
          <w:p w14:paraId="35F8E9F1">
            <w:pPr>
              <w:rPr>
                <w:rFonts w:hint="eastAsia" w:ascii="仿宋" w:hAnsi="仿宋" w:eastAsia="仿宋" w:cs="仿宋"/>
                <w:color w:val="auto"/>
                <w:sz w:val="28"/>
                <w:szCs w:val="28"/>
              </w:rPr>
            </w:pPr>
          </w:p>
        </w:tc>
        <w:tc>
          <w:tcPr>
            <w:tcW w:w="810" w:type="dxa"/>
            <w:vAlign w:val="top"/>
          </w:tcPr>
          <w:p w14:paraId="0D7A9A52">
            <w:pPr>
              <w:rPr>
                <w:rFonts w:hint="eastAsia" w:ascii="仿宋" w:hAnsi="仿宋" w:eastAsia="仿宋" w:cs="仿宋"/>
                <w:color w:val="auto"/>
                <w:sz w:val="28"/>
                <w:szCs w:val="28"/>
              </w:rPr>
            </w:pPr>
          </w:p>
        </w:tc>
        <w:tc>
          <w:tcPr>
            <w:tcW w:w="900" w:type="dxa"/>
            <w:vAlign w:val="top"/>
          </w:tcPr>
          <w:p w14:paraId="4881ACE2">
            <w:pPr>
              <w:rPr>
                <w:rFonts w:hint="eastAsia" w:ascii="仿宋" w:hAnsi="仿宋" w:eastAsia="仿宋" w:cs="仿宋"/>
                <w:color w:val="auto"/>
                <w:sz w:val="28"/>
                <w:szCs w:val="28"/>
              </w:rPr>
            </w:pPr>
          </w:p>
        </w:tc>
      </w:tr>
      <w:tr w14:paraId="515C1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954" w:type="dxa"/>
            <w:vAlign w:val="top"/>
          </w:tcPr>
          <w:p w14:paraId="3159FADE">
            <w:pPr>
              <w:rPr>
                <w:rFonts w:hint="eastAsia" w:ascii="仿宋" w:hAnsi="仿宋" w:eastAsia="仿宋" w:cs="仿宋"/>
                <w:color w:val="auto"/>
                <w:sz w:val="28"/>
                <w:szCs w:val="28"/>
              </w:rPr>
            </w:pPr>
          </w:p>
        </w:tc>
        <w:tc>
          <w:tcPr>
            <w:tcW w:w="1660" w:type="dxa"/>
            <w:vAlign w:val="top"/>
          </w:tcPr>
          <w:p w14:paraId="422923A7">
            <w:pPr>
              <w:rPr>
                <w:rFonts w:hint="eastAsia" w:ascii="仿宋" w:hAnsi="仿宋" w:eastAsia="仿宋" w:cs="仿宋"/>
                <w:color w:val="auto"/>
                <w:sz w:val="28"/>
                <w:szCs w:val="28"/>
              </w:rPr>
            </w:pPr>
          </w:p>
        </w:tc>
        <w:tc>
          <w:tcPr>
            <w:tcW w:w="2745" w:type="dxa"/>
            <w:vAlign w:val="top"/>
          </w:tcPr>
          <w:p w14:paraId="3C0E55FC">
            <w:pPr>
              <w:rPr>
                <w:rFonts w:hint="eastAsia" w:ascii="仿宋" w:hAnsi="仿宋" w:eastAsia="仿宋" w:cs="仿宋"/>
                <w:color w:val="auto"/>
                <w:sz w:val="28"/>
                <w:szCs w:val="28"/>
              </w:rPr>
            </w:pPr>
          </w:p>
        </w:tc>
        <w:tc>
          <w:tcPr>
            <w:tcW w:w="2774" w:type="dxa"/>
            <w:vAlign w:val="top"/>
          </w:tcPr>
          <w:p w14:paraId="0940A672">
            <w:pPr>
              <w:rPr>
                <w:rFonts w:hint="eastAsia" w:ascii="仿宋" w:hAnsi="仿宋" w:eastAsia="仿宋" w:cs="仿宋"/>
                <w:color w:val="auto"/>
                <w:sz w:val="28"/>
                <w:szCs w:val="28"/>
              </w:rPr>
            </w:pPr>
          </w:p>
        </w:tc>
        <w:tc>
          <w:tcPr>
            <w:tcW w:w="810" w:type="dxa"/>
            <w:vAlign w:val="top"/>
          </w:tcPr>
          <w:p w14:paraId="53BB41F5">
            <w:pPr>
              <w:rPr>
                <w:rFonts w:hint="eastAsia" w:ascii="仿宋" w:hAnsi="仿宋" w:eastAsia="仿宋" w:cs="仿宋"/>
                <w:color w:val="auto"/>
                <w:sz w:val="28"/>
                <w:szCs w:val="28"/>
              </w:rPr>
            </w:pPr>
          </w:p>
        </w:tc>
        <w:tc>
          <w:tcPr>
            <w:tcW w:w="900" w:type="dxa"/>
            <w:vAlign w:val="top"/>
          </w:tcPr>
          <w:p w14:paraId="51A99E6E">
            <w:pPr>
              <w:rPr>
                <w:rFonts w:hint="eastAsia" w:ascii="仿宋" w:hAnsi="仿宋" w:eastAsia="仿宋" w:cs="仿宋"/>
                <w:color w:val="auto"/>
                <w:sz w:val="28"/>
                <w:szCs w:val="28"/>
              </w:rPr>
            </w:pPr>
          </w:p>
        </w:tc>
      </w:tr>
      <w:tr w14:paraId="59C17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954" w:type="dxa"/>
            <w:vAlign w:val="top"/>
          </w:tcPr>
          <w:p w14:paraId="0390BCCA">
            <w:pPr>
              <w:rPr>
                <w:rFonts w:hint="eastAsia" w:ascii="仿宋" w:hAnsi="仿宋" w:eastAsia="仿宋" w:cs="仿宋"/>
                <w:color w:val="auto"/>
                <w:sz w:val="28"/>
                <w:szCs w:val="28"/>
              </w:rPr>
            </w:pPr>
          </w:p>
        </w:tc>
        <w:tc>
          <w:tcPr>
            <w:tcW w:w="1660" w:type="dxa"/>
            <w:vAlign w:val="top"/>
          </w:tcPr>
          <w:p w14:paraId="0262836C">
            <w:pPr>
              <w:rPr>
                <w:rFonts w:hint="eastAsia" w:ascii="仿宋" w:hAnsi="仿宋" w:eastAsia="仿宋" w:cs="仿宋"/>
                <w:color w:val="auto"/>
                <w:sz w:val="28"/>
                <w:szCs w:val="28"/>
              </w:rPr>
            </w:pPr>
          </w:p>
        </w:tc>
        <w:tc>
          <w:tcPr>
            <w:tcW w:w="2745" w:type="dxa"/>
            <w:vAlign w:val="top"/>
          </w:tcPr>
          <w:p w14:paraId="53AC7183">
            <w:pPr>
              <w:rPr>
                <w:rFonts w:hint="eastAsia" w:ascii="仿宋" w:hAnsi="仿宋" w:eastAsia="仿宋" w:cs="仿宋"/>
                <w:color w:val="auto"/>
                <w:sz w:val="28"/>
                <w:szCs w:val="28"/>
              </w:rPr>
            </w:pPr>
          </w:p>
        </w:tc>
        <w:tc>
          <w:tcPr>
            <w:tcW w:w="2774" w:type="dxa"/>
            <w:vAlign w:val="top"/>
          </w:tcPr>
          <w:p w14:paraId="12E8BDFA">
            <w:pPr>
              <w:rPr>
                <w:rFonts w:hint="eastAsia" w:ascii="仿宋" w:hAnsi="仿宋" w:eastAsia="仿宋" w:cs="仿宋"/>
                <w:color w:val="auto"/>
                <w:sz w:val="28"/>
                <w:szCs w:val="28"/>
              </w:rPr>
            </w:pPr>
          </w:p>
        </w:tc>
        <w:tc>
          <w:tcPr>
            <w:tcW w:w="810" w:type="dxa"/>
            <w:vAlign w:val="top"/>
          </w:tcPr>
          <w:p w14:paraId="75ABF166">
            <w:pPr>
              <w:rPr>
                <w:rFonts w:hint="eastAsia" w:ascii="仿宋" w:hAnsi="仿宋" w:eastAsia="仿宋" w:cs="仿宋"/>
                <w:color w:val="auto"/>
                <w:sz w:val="28"/>
                <w:szCs w:val="28"/>
              </w:rPr>
            </w:pPr>
          </w:p>
        </w:tc>
        <w:tc>
          <w:tcPr>
            <w:tcW w:w="900" w:type="dxa"/>
            <w:vAlign w:val="top"/>
          </w:tcPr>
          <w:p w14:paraId="5B2F9B55">
            <w:pPr>
              <w:rPr>
                <w:rFonts w:hint="eastAsia" w:ascii="仿宋" w:hAnsi="仿宋" w:eastAsia="仿宋" w:cs="仿宋"/>
                <w:color w:val="auto"/>
                <w:sz w:val="28"/>
                <w:szCs w:val="28"/>
              </w:rPr>
            </w:pPr>
          </w:p>
        </w:tc>
      </w:tr>
      <w:tr w14:paraId="232AC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954" w:type="dxa"/>
            <w:vAlign w:val="top"/>
          </w:tcPr>
          <w:p w14:paraId="06572333">
            <w:pPr>
              <w:rPr>
                <w:rFonts w:hint="eastAsia" w:ascii="仿宋" w:hAnsi="仿宋" w:eastAsia="仿宋" w:cs="仿宋"/>
                <w:color w:val="auto"/>
                <w:sz w:val="28"/>
                <w:szCs w:val="28"/>
              </w:rPr>
            </w:pPr>
          </w:p>
        </w:tc>
        <w:tc>
          <w:tcPr>
            <w:tcW w:w="1660" w:type="dxa"/>
            <w:vAlign w:val="top"/>
          </w:tcPr>
          <w:p w14:paraId="721C5738">
            <w:pPr>
              <w:rPr>
                <w:rFonts w:hint="eastAsia" w:ascii="仿宋" w:hAnsi="仿宋" w:eastAsia="仿宋" w:cs="仿宋"/>
                <w:color w:val="auto"/>
                <w:sz w:val="28"/>
                <w:szCs w:val="28"/>
              </w:rPr>
            </w:pPr>
          </w:p>
        </w:tc>
        <w:tc>
          <w:tcPr>
            <w:tcW w:w="2745" w:type="dxa"/>
            <w:vAlign w:val="top"/>
          </w:tcPr>
          <w:p w14:paraId="31AA8C57">
            <w:pPr>
              <w:rPr>
                <w:rFonts w:hint="eastAsia" w:ascii="仿宋" w:hAnsi="仿宋" w:eastAsia="仿宋" w:cs="仿宋"/>
                <w:color w:val="auto"/>
                <w:sz w:val="28"/>
                <w:szCs w:val="28"/>
              </w:rPr>
            </w:pPr>
          </w:p>
        </w:tc>
        <w:tc>
          <w:tcPr>
            <w:tcW w:w="2774" w:type="dxa"/>
            <w:vAlign w:val="top"/>
          </w:tcPr>
          <w:p w14:paraId="4068847A">
            <w:pPr>
              <w:rPr>
                <w:rFonts w:hint="eastAsia" w:ascii="仿宋" w:hAnsi="仿宋" w:eastAsia="仿宋" w:cs="仿宋"/>
                <w:color w:val="auto"/>
                <w:sz w:val="28"/>
                <w:szCs w:val="28"/>
              </w:rPr>
            </w:pPr>
          </w:p>
        </w:tc>
        <w:tc>
          <w:tcPr>
            <w:tcW w:w="810" w:type="dxa"/>
            <w:vAlign w:val="top"/>
          </w:tcPr>
          <w:p w14:paraId="630C618B">
            <w:pPr>
              <w:rPr>
                <w:rFonts w:hint="eastAsia" w:ascii="仿宋" w:hAnsi="仿宋" w:eastAsia="仿宋" w:cs="仿宋"/>
                <w:color w:val="auto"/>
                <w:sz w:val="28"/>
                <w:szCs w:val="28"/>
              </w:rPr>
            </w:pPr>
          </w:p>
        </w:tc>
        <w:tc>
          <w:tcPr>
            <w:tcW w:w="900" w:type="dxa"/>
            <w:vAlign w:val="top"/>
          </w:tcPr>
          <w:p w14:paraId="3342010E">
            <w:pPr>
              <w:rPr>
                <w:rFonts w:hint="eastAsia" w:ascii="仿宋" w:hAnsi="仿宋" w:eastAsia="仿宋" w:cs="仿宋"/>
                <w:color w:val="auto"/>
                <w:sz w:val="28"/>
                <w:szCs w:val="28"/>
              </w:rPr>
            </w:pPr>
          </w:p>
        </w:tc>
      </w:tr>
      <w:tr w14:paraId="6D587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954" w:type="dxa"/>
            <w:vAlign w:val="top"/>
          </w:tcPr>
          <w:p w14:paraId="41B76105">
            <w:pPr>
              <w:rPr>
                <w:rFonts w:hint="eastAsia" w:ascii="仿宋" w:hAnsi="仿宋" w:eastAsia="仿宋" w:cs="仿宋"/>
                <w:color w:val="auto"/>
                <w:sz w:val="28"/>
                <w:szCs w:val="28"/>
              </w:rPr>
            </w:pPr>
          </w:p>
        </w:tc>
        <w:tc>
          <w:tcPr>
            <w:tcW w:w="1660" w:type="dxa"/>
            <w:vAlign w:val="top"/>
          </w:tcPr>
          <w:p w14:paraId="61275AC8">
            <w:pPr>
              <w:rPr>
                <w:rFonts w:hint="eastAsia" w:ascii="仿宋" w:hAnsi="仿宋" w:eastAsia="仿宋" w:cs="仿宋"/>
                <w:color w:val="auto"/>
                <w:sz w:val="28"/>
                <w:szCs w:val="28"/>
              </w:rPr>
            </w:pPr>
          </w:p>
        </w:tc>
        <w:tc>
          <w:tcPr>
            <w:tcW w:w="2745" w:type="dxa"/>
            <w:vAlign w:val="top"/>
          </w:tcPr>
          <w:p w14:paraId="27611744">
            <w:pPr>
              <w:rPr>
                <w:rFonts w:hint="eastAsia" w:ascii="仿宋" w:hAnsi="仿宋" w:eastAsia="仿宋" w:cs="仿宋"/>
                <w:color w:val="auto"/>
                <w:sz w:val="28"/>
                <w:szCs w:val="28"/>
              </w:rPr>
            </w:pPr>
          </w:p>
        </w:tc>
        <w:tc>
          <w:tcPr>
            <w:tcW w:w="2774" w:type="dxa"/>
            <w:vAlign w:val="top"/>
          </w:tcPr>
          <w:p w14:paraId="504903C9">
            <w:pPr>
              <w:rPr>
                <w:rFonts w:hint="eastAsia" w:ascii="仿宋" w:hAnsi="仿宋" w:eastAsia="仿宋" w:cs="仿宋"/>
                <w:color w:val="auto"/>
                <w:sz w:val="28"/>
                <w:szCs w:val="28"/>
              </w:rPr>
            </w:pPr>
          </w:p>
        </w:tc>
        <w:tc>
          <w:tcPr>
            <w:tcW w:w="810" w:type="dxa"/>
            <w:vAlign w:val="top"/>
          </w:tcPr>
          <w:p w14:paraId="15641E21">
            <w:pPr>
              <w:rPr>
                <w:rFonts w:hint="eastAsia" w:ascii="仿宋" w:hAnsi="仿宋" w:eastAsia="仿宋" w:cs="仿宋"/>
                <w:color w:val="auto"/>
                <w:sz w:val="28"/>
                <w:szCs w:val="28"/>
              </w:rPr>
            </w:pPr>
          </w:p>
        </w:tc>
        <w:tc>
          <w:tcPr>
            <w:tcW w:w="900" w:type="dxa"/>
            <w:vAlign w:val="top"/>
          </w:tcPr>
          <w:p w14:paraId="418428CE">
            <w:pPr>
              <w:rPr>
                <w:rFonts w:hint="eastAsia" w:ascii="仿宋" w:hAnsi="仿宋" w:eastAsia="仿宋" w:cs="仿宋"/>
                <w:color w:val="auto"/>
                <w:sz w:val="28"/>
                <w:szCs w:val="28"/>
              </w:rPr>
            </w:pPr>
          </w:p>
        </w:tc>
      </w:tr>
      <w:tr w14:paraId="78009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954" w:type="dxa"/>
            <w:vAlign w:val="top"/>
          </w:tcPr>
          <w:p w14:paraId="65000D1A">
            <w:pPr>
              <w:rPr>
                <w:rFonts w:hint="eastAsia" w:ascii="仿宋" w:hAnsi="仿宋" w:eastAsia="仿宋" w:cs="仿宋"/>
                <w:color w:val="auto"/>
                <w:sz w:val="28"/>
                <w:szCs w:val="28"/>
              </w:rPr>
            </w:pPr>
          </w:p>
        </w:tc>
        <w:tc>
          <w:tcPr>
            <w:tcW w:w="1660" w:type="dxa"/>
            <w:vAlign w:val="top"/>
          </w:tcPr>
          <w:p w14:paraId="721D24DE">
            <w:pPr>
              <w:rPr>
                <w:rFonts w:hint="eastAsia" w:ascii="仿宋" w:hAnsi="仿宋" w:eastAsia="仿宋" w:cs="仿宋"/>
                <w:color w:val="auto"/>
                <w:sz w:val="28"/>
                <w:szCs w:val="28"/>
              </w:rPr>
            </w:pPr>
          </w:p>
        </w:tc>
        <w:tc>
          <w:tcPr>
            <w:tcW w:w="2745" w:type="dxa"/>
            <w:vAlign w:val="top"/>
          </w:tcPr>
          <w:p w14:paraId="68BD2189">
            <w:pPr>
              <w:rPr>
                <w:rFonts w:hint="eastAsia" w:ascii="仿宋" w:hAnsi="仿宋" w:eastAsia="仿宋" w:cs="仿宋"/>
                <w:color w:val="auto"/>
                <w:sz w:val="28"/>
                <w:szCs w:val="28"/>
              </w:rPr>
            </w:pPr>
          </w:p>
        </w:tc>
        <w:tc>
          <w:tcPr>
            <w:tcW w:w="2774" w:type="dxa"/>
            <w:vAlign w:val="top"/>
          </w:tcPr>
          <w:p w14:paraId="6148227E">
            <w:pPr>
              <w:rPr>
                <w:rFonts w:hint="eastAsia" w:ascii="仿宋" w:hAnsi="仿宋" w:eastAsia="仿宋" w:cs="仿宋"/>
                <w:color w:val="auto"/>
                <w:sz w:val="28"/>
                <w:szCs w:val="28"/>
              </w:rPr>
            </w:pPr>
          </w:p>
        </w:tc>
        <w:tc>
          <w:tcPr>
            <w:tcW w:w="810" w:type="dxa"/>
            <w:vAlign w:val="top"/>
          </w:tcPr>
          <w:p w14:paraId="2A6F09F9">
            <w:pPr>
              <w:rPr>
                <w:rFonts w:hint="eastAsia" w:ascii="仿宋" w:hAnsi="仿宋" w:eastAsia="仿宋" w:cs="仿宋"/>
                <w:color w:val="auto"/>
                <w:sz w:val="28"/>
                <w:szCs w:val="28"/>
              </w:rPr>
            </w:pPr>
          </w:p>
        </w:tc>
        <w:tc>
          <w:tcPr>
            <w:tcW w:w="900" w:type="dxa"/>
            <w:vAlign w:val="top"/>
          </w:tcPr>
          <w:p w14:paraId="608976AA">
            <w:pPr>
              <w:rPr>
                <w:rFonts w:hint="eastAsia" w:ascii="仿宋" w:hAnsi="仿宋" w:eastAsia="仿宋" w:cs="仿宋"/>
                <w:color w:val="auto"/>
                <w:sz w:val="28"/>
                <w:szCs w:val="28"/>
              </w:rPr>
            </w:pPr>
          </w:p>
        </w:tc>
      </w:tr>
      <w:tr w14:paraId="41DFF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954" w:type="dxa"/>
            <w:vAlign w:val="top"/>
          </w:tcPr>
          <w:p w14:paraId="7A96DA8A">
            <w:pPr>
              <w:rPr>
                <w:rFonts w:hint="eastAsia" w:ascii="仿宋" w:hAnsi="仿宋" w:eastAsia="仿宋" w:cs="仿宋"/>
                <w:color w:val="auto"/>
                <w:sz w:val="28"/>
                <w:szCs w:val="28"/>
              </w:rPr>
            </w:pPr>
          </w:p>
        </w:tc>
        <w:tc>
          <w:tcPr>
            <w:tcW w:w="1660" w:type="dxa"/>
            <w:vAlign w:val="top"/>
          </w:tcPr>
          <w:p w14:paraId="3EE5F995">
            <w:pPr>
              <w:rPr>
                <w:rFonts w:hint="eastAsia" w:ascii="仿宋" w:hAnsi="仿宋" w:eastAsia="仿宋" w:cs="仿宋"/>
                <w:color w:val="auto"/>
                <w:sz w:val="28"/>
                <w:szCs w:val="28"/>
              </w:rPr>
            </w:pPr>
          </w:p>
        </w:tc>
        <w:tc>
          <w:tcPr>
            <w:tcW w:w="2745" w:type="dxa"/>
            <w:vAlign w:val="top"/>
          </w:tcPr>
          <w:p w14:paraId="16734CE0">
            <w:pPr>
              <w:rPr>
                <w:rFonts w:hint="eastAsia" w:ascii="仿宋" w:hAnsi="仿宋" w:eastAsia="仿宋" w:cs="仿宋"/>
                <w:color w:val="auto"/>
                <w:sz w:val="28"/>
                <w:szCs w:val="28"/>
              </w:rPr>
            </w:pPr>
          </w:p>
        </w:tc>
        <w:tc>
          <w:tcPr>
            <w:tcW w:w="2774" w:type="dxa"/>
            <w:vAlign w:val="top"/>
          </w:tcPr>
          <w:p w14:paraId="7CD2D5BB">
            <w:pPr>
              <w:rPr>
                <w:rFonts w:hint="eastAsia" w:ascii="仿宋" w:hAnsi="仿宋" w:eastAsia="仿宋" w:cs="仿宋"/>
                <w:color w:val="auto"/>
                <w:sz w:val="28"/>
                <w:szCs w:val="28"/>
              </w:rPr>
            </w:pPr>
          </w:p>
        </w:tc>
        <w:tc>
          <w:tcPr>
            <w:tcW w:w="810" w:type="dxa"/>
            <w:vAlign w:val="top"/>
          </w:tcPr>
          <w:p w14:paraId="20EBF0AC">
            <w:pPr>
              <w:rPr>
                <w:rFonts w:hint="eastAsia" w:ascii="仿宋" w:hAnsi="仿宋" w:eastAsia="仿宋" w:cs="仿宋"/>
                <w:color w:val="auto"/>
                <w:sz w:val="28"/>
                <w:szCs w:val="28"/>
              </w:rPr>
            </w:pPr>
          </w:p>
        </w:tc>
        <w:tc>
          <w:tcPr>
            <w:tcW w:w="900" w:type="dxa"/>
            <w:vAlign w:val="top"/>
          </w:tcPr>
          <w:p w14:paraId="7FEDF347">
            <w:pPr>
              <w:rPr>
                <w:rFonts w:hint="eastAsia" w:ascii="仿宋" w:hAnsi="仿宋" w:eastAsia="仿宋" w:cs="仿宋"/>
                <w:color w:val="auto"/>
                <w:sz w:val="28"/>
                <w:szCs w:val="28"/>
              </w:rPr>
            </w:pPr>
          </w:p>
        </w:tc>
      </w:tr>
      <w:tr w14:paraId="6C135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54" w:type="dxa"/>
            <w:vAlign w:val="top"/>
          </w:tcPr>
          <w:p w14:paraId="5F0D3181">
            <w:pPr>
              <w:rPr>
                <w:rFonts w:hint="eastAsia" w:ascii="仿宋" w:hAnsi="仿宋" w:eastAsia="仿宋" w:cs="仿宋"/>
                <w:color w:val="auto"/>
                <w:sz w:val="28"/>
                <w:szCs w:val="28"/>
              </w:rPr>
            </w:pPr>
          </w:p>
        </w:tc>
        <w:tc>
          <w:tcPr>
            <w:tcW w:w="1660" w:type="dxa"/>
            <w:vAlign w:val="top"/>
          </w:tcPr>
          <w:p w14:paraId="13EA9426">
            <w:pPr>
              <w:rPr>
                <w:rFonts w:hint="eastAsia" w:ascii="仿宋" w:hAnsi="仿宋" w:eastAsia="仿宋" w:cs="仿宋"/>
                <w:color w:val="auto"/>
                <w:sz w:val="28"/>
                <w:szCs w:val="28"/>
              </w:rPr>
            </w:pPr>
          </w:p>
        </w:tc>
        <w:tc>
          <w:tcPr>
            <w:tcW w:w="2745" w:type="dxa"/>
            <w:vAlign w:val="top"/>
          </w:tcPr>
          <w:p w14:paraId="15EF66C4">
            <w:pPr>
              <w:rPr>
                <w:rFonts w:hint="eastAsia" w:ascii="仿宋" w:hAnsi="仿宋" w:eastAsia="仿宋" w:cs="仿宋"/>
                <w:color w:val="auto"/>
                <w:sz w:val="28"/>
                <w:szCs w:val="28"/>
              </w:rPr>
            </w:pPr>
          </w:p>
        </w:tc>
        <w:tc>
          <w:tcPr>
            <w:tcW w:w="2774" w:type="dxa"/>
            <w:vAlign w:val="top"/>
          </w:tcPr>
          <w:p w14:paraId="6977F30B">
            <w:pPr>
              <w:rPr>
                <w:rFonts w:hint="eastAsia" w:ascii="仿宋" w:hAnsi="仿宋" w:eastAsia="仿宋" w:cs="仿宋"/>
                <w:color w:val="auto"/>
                <w:sz w:val="28"/>
                <w:szCs w:val="28"/>
              </w:rPr>
            </w:pPr>
          </w:p>
        </w:tc>
        <w:tc>
          <w:tcPr>
            <w:tcW w:w="810" w:type="dxa"/>
            <w:vAlign w:val="top"/>
          </w:tcPr>
          <w:p w14:paraId="118C422F">
            <w:pPr>
              <w:rPr>
                <w:rFonts w:hint="eastAsia" w:ascii="仿宋" w:hAnsi="仿宋" w:eastAsia="仿宋" w:cs="仿宋"/>
                <w:color w:val="auto"/>
                <w:sz w:val="28"/>
                <w:szCs w:val="28"/>
              </w:rPr>
            </w:pPr>
          </w:p>
        </w:tc>
        <w:tc>
          <w:tcPr>
            <w:tcW w:w="900" w:type="dxa"/>
            <w:vAlign w:val="top"/>
          </w:tcPr>
          <w:p w14:paraId="633C5FE9">
            <w:pPr>
              <w:rPr>
                <w:rFonts w:hint="eastAsia" w:ascii="仿宋" w:hAnsi="仿宋" w:eastAsia="仿宋" w:cs="仿宋"/>
                <w:color w:val="auto"/>
                <w:sz w:val="28"/>
                <w:szCs w:val="28"/>
              </w:rPr>
            </w:pPr>
          </w:p>
        </w:tc>
      </w:tr>
      <w:tr w14:paraId="6FF7B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954" w:type="dxa"/>
            <w:vAlign w:val="top"/>
          </w:tcPr>
          <w:p w14:paraId="63487A64">
            <w:pPr>
              <w:rPr>
                <w:rFonts w:hint="eastAsia" w:ascii="仿宋" w:hAnsi="仿宋" w:eastAsia="仿宋" w:cs="仿宋"/>
                <w:color w:val="auto"/>
                <w:sz w:val="28"/>
                <w:szCs w:val="28"/>
              </w:rPr>
            </w:pPr>
          </w:p>
        </w:tc>
        <w:tc>
          <w:tcPr>
            <w:tcW w:w="1660" w:type="dxa"/>
            <w:vAlign w:val="top"/>
          </w:tcPr>
          <w:p w14:paraId="5767220A">
            <w:pPr>
              <w:rPr>
                <w:rFonts w:hint="eastAsia" w:ascii="仿宋" w:hAnsi="仿宋" w:eastAsia="仿宋" w:cs="仿宋"/>
                <w:color w:val="auto"/>
                <w:sz w:val="28"/>
                <w:szCs w:val="28"/>
              </w:rPr>
            </w:pPr>
          </w:p>
        </w:tc>
        <w:tc>
          <w:tcPr>
            <w:tcW w:w="2745" w:type="dxa"/>
            <w:vAlign w:val="top"/>
          </w:tcPr>
          <w:p w14:paraId="6D0B18B3">
            <w:pPr>
              <w:rPr>
                <w:rFonts w:hint="eastAsia" w:ascii="仿宋" w:hAnsi="仿宋" w:eastAsia="仿宋" w:cs="仿宋"/>
                <w:color w:val="auto"/>
                <w:sz w:val="28"/>
                <w:szCs w:val="28"/>
              </w:rPr>
            </w:pPr>
          </w:p>
        </w:tc>
        <w:tc>
          <w:tcPr>
            <w:tcW w:w="2774" w:type="dxa"/>
            <w:vAlign w:val="top"/>
          </w:tcPr>
          <w:p w14:paraId="567CCCF8">
            <w:pPr>
              <w:rPr>
                <w:rFonts w:hint="eastAsia" w:ascii="仿宋" w:hAnsi="仿宋" w:eastAsia="仿宋" w:cs="仿宋"/>
                <w:color w:val="auto"/>
                <w:sz w:val="28"/>
                <w:szCs w:val="28"/>
              </w:rPr>
            </w:pPr>
          </w:p>
        </w:tc>
        <w:tc>
          <w:tcPr>
            <w:tcW w:w="810" w:type="dxa"/>
            <w:vAlign w:val="top"/>
          </w:tcPr>
          <w:p w14:paraId="28ADA770">
            <w:pPr>
              <w:rPr>
                <w:rFonts w:hint="eastAsia" w:ascii="仿宋" w:hAnsi="仿宋" w:eastAsia="仿宋" w:cs="仿宋"/>
                <w:color w:val="auto"/>
                <w:sz w:val="28"/>
                <w:szCs w:val="28"/>
              </w:rPr>
            </w:pPr>
          </w:p>
        </w:tc>
        <w:tc>
          <w:tcPr>
            <w:tcW w:w="900" w:type="dxa"/>
            <w:vAlign w:val="top"/>
          </w:tcPr>
          <w:p w14:paraId="0D625C1C">
            <w:pPr>
              <w:rPr>
                <w:rFonts w:hint="eastAsia" w:ascii="仿宋" w:hAnsi="仿宋" w:eastAsia="仿宋" w:cs="仿宋"/>
                <w:color w:val="auto"/>
                <w:sz w:val="28"/>
                <w:szCs w:val="28"/>
              </w:rPr>
            </w:pPr>
          </w:p>
        </w:tc>
      </w:tr>
      <w:tr w14:paraId="27FE2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54" w:type="dxa"/>
            <w:vAlign w:val="top"/>
          </w:tcPr>
          <w:p w14:paraId="172F4B3C">
            <w:pPr>
              <w:rPr>
                <w:rFonts w:hint="eastAsia" w:ascii="仿宋" w:hAnsi="仿宋" w:eastAsia="仿宋" w:cs="仿宋"/>
                <w:color w:val="auto"/>
                <w:sz w:val="28"/>
                <w:szCs w:val="28"/>
              </w:rPr>
            </w:pPr>
          </w:p>
        </w:tc>
        <w:tc>
          <w:tcPr>
            <w:tcW w:w="1660" w:type="dxa"/>
            <w:vAlign w:val="top"/>
          </w:tcPr>
          <w:p w14:paraId="2EC2B749">
            <w:pPr>
              <w:rPr>
                <w:rFonts w:hint="eastAsia" w:ascii="仿宋" w:hAnsi="仿宋" w:eastAsia="仿宋" w:cs="仿宋"/>
                <w:color w:val="auto"/>
                <w:sz w:val="28"/>
                <w:szCs w:val="28"/>
              </w:rPr>
            </w:pPr>
          </w:p>
        </w:tc>
        <w:tc>
          <w:tcPr>
            <w:tcW w:w="2745" w:type="dxa"/>
            <w:vAlign w:val="top"/>
          </w:tcPr>
          <w:p w14:paraId="53C27FD8">
            <w:pPr>
              <w:rPr>
                <w:rFonts w:hint="eastAsia" w:ascii="仿宋" w:hAnsi="仿宋" w:eastAsia="仿宋" w:cs="仿宋"/>
                <w:color w:val="auto"/>
                <w:sz w:val="28"/>
                <w:szCs w:val="28"/>
              </w:rPr>
            </w:pPr>
          </w:p>
        </w:tc>
        <w:tc>
          <w:tcPr>
            <w:tcW w:w="2774" w:type="dxa"/>
            <w:vAlign w:val="top"/>
          </w:tcPr>
          <w:p w14:paraId="673A8052">
            <w:pPr>
              <w:rPr>
                <w:rFonts w:hint="eastAsia" w:ascii="仿宋" w:hAnsi="仿宋" w:eastAsia="仿宋" w:cs="仿宋"/>
                <w:color w:val="auto"/>
                <w:sz w:val="28"/>
                <w:szCs w:val="28"/>
              </w:rPr>
            </w:pPr>
          </w:p>
        </w:tc>
        <w:tc>
          <w:tcPr>
            <w:tcW w:w="810" w:type="dxa"/>
            <w:vAlign w:val="top"/>
          </w:tcPr>
          <w:p w14:paraId="77564AC0">
            <w:pPr>
              <w:rPr>
                <w:rFonts w:hint="eastAsia" w:ascii="仿宋" w:hAnsi="仿宋" w:eastAsia="仿宋" w:cs="仿宋"/>
                <w:color w:val="auto"/>
                <w:sz w:val="28"/>
                <w:szCs w:val="28"/>
              </w:rPr>
            </w:pPr>
          </w:p>
        </w:tc>
        <w:tc>
          <w:tcPr>
            <w:tcW w:w="900" w:type="dxa"/>
            <w:vAlign w:val="top"/>
          </w:tcPr>
          <w:p w14:paraId="2F9AD0D1">
            <w:pPr>
              <w:rPr>
                <w:rFonts w:hint="eastAsia" w:ascii="仿宋" w:hAnsi="仿宋" w:eastAsia="仿宋" w:cs="仿宋"/>
                <w:color w:val="auto"/>
                <w:sz w:val="28"/>
                <w:szCs w:val="28"/>
              </w:rPr>
            </w:pPr>
          </w:p>
        </w:tc>
      </w:tr>
    </w:tbl>
    <w:p w14:paraId="6B5F2571">
      <w:pPr>
        <w:pStyle w:val="13"/>
        <w:spacing w:line="295" w:lineRule="auto"/>
        <w:rPr>
          <w:rFonts w:hint="eastAsia" w:ascii="仿宋" w:hAnsi="仿宋" w:eastAsia="仿宋" w:cs="仿宋"/>
          <w:color w:val="auto"/>
          <w:sz w:val="28"/>
          <w:szCs w:val="28"/>
        </w:rPr>
      </w:pPr>
    </w:p>
    <w:p w14:paraId="69D2197F">
      <w:pPr>
        <w:pStyle w:val="13"/>
        <w:spacing w:line="296" w:lineRule="auto"/>
        <w:rPr>
          <w:rFonts w:hint="eastAsia" w:ascii="仿宋" w:hAnsi="仿宋" w:eastAsia="仿宋" w:cs="仿宋"/>
          <w:color w:val="auto"/>
          <w:sz w:val="28"/>
          <w:szCs w:val="28"/>
        </w:rPr>
      </w:pPr>
    </w:p>
    <w:p w14:paraId="6E341ADE">
      <w:pPr>
        <w:spacing w:before="78" w:line="208" w:lineRule="auto"/>
        <w:ind w:left="845" w:right="1154"/>
        <w:rPr>
          <w:rFonts w:hint="eastAsia" w:ascii="仿宋" w:hAnsi="仿宋" w:eastAsia="仿宋" w:cs="仿宋"/>
          <w:color w:val="auto"/>
          <w:sz w:val="28"/>
          <w:szCs w:val="28"/>
        </w:rPr>
      </w:pPr>
      <w:r>
        <w:rPr>
          <w:rFonts w:hint="eastAsia" w:ascii="仿宋" w:hAnsi="仿宋" w:eastAsia="仿宋" w:cs="仿宋"/>
          <w:color w:val="auto"/>
          <w:spacing w:val="9"/>
          <w:sz w:val="28"/>
          <w:szCs w:val="28"/>
        </w:rPr>
        <w:t>法定代表人或其委托代理人(签字或盖章):</w:t>
      </w:r>
      <w:r>
        <w:rPr>
          <w:rFonts w:hint="eastAsia" w:ascii="仿宋" w:hAnsi="仿宋" w:eastAsia="仿宋" w:cs="仿宋"/>
          <w:color w:val="auto"/>
          <w:spacing w:val="9"/>
          <w:sz w:val="28"/>
          <w:szCs w:val="28"/>
          <w:u w:val="single" w:color="auto"/>
        </w:rPr>
        <w:t xml:space="preserve">               </w:t>
      </w:r>
      <w:r>
        <w:rPr>
          <w:rFonts w:hint="eastAsia" w:ascii="仿宋" w:hAnsi="仿宋" w:eastAsia="仿宋" w:cs="仿宋"/>
          <w:color w:val="auto"/>
          <w:spacing w:val="8"/>
          <w:sz w:val="28"/>
          <w:szCs w:val="28"/>
          <w:u w:val="single" w:color="auto"/>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pacing w:val="-2"/>
          <w:sz w:val="28"/>
          <w:szCs w:val="28"/>
        </w:rPr>
        <w:t>供应商(公章):</w:t>
      </w:r>
      <w:r>
        <w:rPr>
          <w:rFonts w:hint="eastAsia" w:ascii="仿宋" w:hAnsi="仿宋" w:eastAsia="仿宋" w:cs="仿宋"/>
          <w:color w:val="auto"/>
          <w:sz w:val="28"/>
          <w:szCs w:val="28"/>
          <w:u w:val="single" w:color="auto"/>
        </w:rPr>
        <w:t xml:space="preserve">                            </w:t>
      </w:r>
    </w:p>
    <w:p w14:paraId="2B905949">
      <w:pPr>
        <w:spacing w:line="208" w:lineRule="auto"/>
        <w:rPr>
          <w:rFonts w:hint="eastAsia" w:ascii="仿宋" w:hAnsi="仿宋" w:eastAsia="仿宋" w:cs="仿宋"/>
          <w:color w:val="auto"/>
          <w:sz w:val="28"/>
          <w:szCs w:val="28"/>
        </w:rPr>
        <w:sectPr>
          <w:footerReference r:id="rId12" w:type="default"/>
          <w:type w:val="continuous"/>
          <w:pgSz w:w="11910" w:h="16840"/>
          <w:pgMar w:top="1429" w:right="1134" w:bottom="1140" w:left="1701" w:header="0" w:footer="999" w:gutter="0"/>
          <w:pgNumType w:fmt="decimal"/>
          <w:cols w:equalWidth="0" w:num="1">
            <w:col w:w="8940"/>
          </w:cols>
          <w:rtlGutter w:val="0"/>
          <w:docGrid w:linePitch="0" w:charSpace="0"/>
        </w:sectPr>
      </w:pPr>
    </w:p>
    <w:p w14:paraId="43FE70FF">
      <w:pPr>
        <w:jc w:val="center"/>
        <w:rPr>
          <w:rFonts w:hint="eastAsia" w:ascii="仿宋" w:hAnsi="仿宋" w:eastAsia="仿宋" w:cs="仿宋"/>
          <w:color w:val="auto"/>
          <w:sz w:val="28"/>
          <w:szCs w:val="28"/>
          <w:lang w:val="en-US" w:eastAsia="zh-CN"/>
        </w:rPr>
      </w:pPr>
    </w:p>
    <w:p w14:paraId="22CAAC53">
      <w:pPr>
        <w:pStyle w:val="13"/>
        <w:spacing w:line="296" w:lineRule="auto"/>
        <w:rPr>
          <w:rFonts w:hint="eastAsia" w:ascii="仿宋" w:hAnsi="仿宋" w:eastAsia="仿宋" w:cs="仿宋"/>
          <w:color w:val="auto"/>
          <w:sz w:val="28"/>
          <w:szCs w:val="28"/>
        </w:rPr>
      </w:pPr>
    </w:p>
    <w:p w14:paraId="668419C3">
      <w:pPr>
        <w:pStyle w:val="13"/>
        <w:spacing w:line="296" w:lineRule="auto"/>
        <w:rPr>
          <w:rFonts w:hint="eastAsia" w:ascii="仿宋" w:hAnsi="仿宋" w:eastAsia="仿宋" w:cs="仿宋"/>
          <w:color w:val="auto"/>
          <w:sz w:val="28"/>
          <w:szCs w:val="28"/>
        </w:rPr>
      </w:pPr>
    </w:p>
    <w:p w14:paraId="4A55DE0A">
      <w:pPr>
        <w:pStyle w:val="13"/>
        <w:spacing w:line="14" w:lineRule="auto"/>
        <w:rPr>
          <w:rFonts w:hint="eastAsia" w:ascii="仿宋" w:hAnsi="仿宋" w:eastAsia="仿宋" w:cs="仿宋"/>
          <w:color w:val="auto"/>
          <w:sz w:val="28"/>
          <w:szCs w:val="28"/>
        </w:rPr>
      </w:pPr>
      <w:r>
        <w:rPr>
          <w:rFonts w:hint="eastAsia" w:ascii="仿宋" w:hAnsi="仿宋" w:eastAsia="仿宋" w:cs="仿宋"/>
          <w:color w:val="auto"/>
          <w:sz w:val="28"/>
          <w:szCs w:val="28"/>
        </w:rPr>
        <w:br w:type="column"/>
      </w:r>
    </w:p>
    <w:p w14:paraId="2CF513F0">
      <w:pPr>
        <w:spacing w:before="44" w:line="219" w:lineRule="auto"/>
        <w:jc w:val="center"/>
        <w:rPr>
          <w:rFonts w:hint="eastAsia" w:ascii="仿宋" w:hAnsi="仿宋" w:eastAsia="仿宋" w:cs="仿宋"/>
          <w:color w:val="auto"/>
          <w:sz w:val="28"/>
          <w:szCs w:val="28"/>
        </w:rPr>
      </w:pPr>
      <w:r>
        <w:rPr>
          <w:rFonts w:hint="eastAsia" w:ascii="仿宋" w:hAnsi="仿宋" w:eastAsia="仿宋" w:cs="仿宋"/>
          <w:b/>
          <w:bCs/>
          <w:color w:val="auto"/>
          <w:spacing w:val="7"/>
          <w:sz w:val="28"/>
          <w:szCs w:val="28"/>
          <w:lang w:val="en-US" w:eastAsia="zh-CN"/>
        </w:rPr>
        <w:t>4.</w:t>
      </w:r>
      <w:r>
        <w:rPr>
          <w:rFonts w:hint="eastAsia" w:ascii="仿宋" w:hAnsi="仿宋" w:eastAsia="仿宋" w:cs="仿宋"/>
          <w:b/>
          <w:bCs/>
          <w:color w:val="auto"/>
          <w:spacing w:val="7"/>
          <w:sz w:val="28"/>
          <w:szCs w:val="28"/>
        </w:rPr>
        <w:t>技术规格偏离表</w:t>
      </w:r>
    </w:p>
    <w:p w14:paraId="4F3C8BFE">
      <w:pPr>
        <w:pStyle w:val="13"/>
        <w:spacing w:line="263" w:lineRule="auto"/>
        <w:rPr>
          <w:rFonts w:hint="eastAsia" w:ascii="仿宋" w:hAnsi="仿宋" w:eastAsia="仿宋" w:cs="仿宋"/>
          <w:color w:val="auto"/>
          <w:sz w:val="28"/>
          <w:szCs w:val="28"/>
        </w:rPr>
      </w:pPr>
    </w:p>
    <w:p w14:paraId="6021A1A8">
      <w:pPr>
        <w:spacing w:before="103"/>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项目名称：                标项号：                项目编号：</w:t>
      </w:r>
    </w:p>
    <w:tbl>
      <w:tblPr>
        <w:tblStyle w:val="107"/>
        <w:tblW w:w="87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015"/>
        <w:gridCol w:w="2160"/>
        <w:gridCol w:w="1485"/>
        <w:gridCol w:w="1453"/>
        <w:gridCol w:w="909"/>
        <w:gridCol w:w="884"/>
      </w:tblGrid>
      <w:tr w14:paraId="4CBED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24" w:type="dxa"/>
            <w:vAlign w:val="center"/>
          </w:tcPr>
          <w:p w14:paraId="5FD93609">
            <w:pPr>
              <w:pStyle w:val="124"/>
              <w:spacing w:before="145" w:line="221" w:lineRule="auto"/>
              <w:ind w:left="154"/>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序号</w:t>
            </w:r>
          </w:p>
        </w:tc>
        <w:tc>
          <w:tcPr>
            <w:tcW w:w="1015" w:type="dxa"/>
            <w:vAlign w:val="center"/>
          </w:tcPr>
          <w:p w14:paraId="2F6054A9">
            <w:pPr>
              <w:pStyle w:val="124"/>
              <w:spacing w:before="147" w:line="221"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名称</w:t>
            </w:r>
          </w:p>
        </w:tc>
        <w:tc>
          <w:tcPr>
            <w:tcW w:w="2160" w:type="dxa"/>
            <w:vAlign w:val="center"/>
          </w:tcPr>
          <w:p w14:paraId="1CF2A536">
            <w:pPr>
              <w:pStyle w:val="124"/>
              <w:spacing w:before="144" w:line="219"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lang w:val="en-US" w:eastAsia="zh-CN"/>
              </w:rPr>
              <w:t>招标</w:t>
            </w:r>
            <w:r>
              <w:rPr>
                <w:rFonts w:hint="eastAsia" w:ascii="仿宋" w:hAnsi="仿宋" w:eastAsia="仿宋" w:cs="仿宋"/>
                <w:color w:val="auto"/>
                <w:spacing w:val="2"/>
                <w:sz w:val="28"/>
                <w:szCs w:val="28"/>
              </w:rPr>
              <w:t>文件条款号</w:t>
            </w:r>
          </w:p>
        </w:tc>
        <w:tc>
          <w:tcPr>
            <w:tcW w:w="1485" w:type="dxa"/>
            <w:vAlign w:val="center"/>
          </w:tcPr>
          <w:p w14:paraId="7D13CFB5">
            <w:pPr>
              <w:pStyle w:val="124"/>
              <w:spacing w:before="144" w:line="219" w:lineRule="auto"/>
              <w:ind w:left="164"/>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招标规格</w:t>
            </w:r>
          </w:p>
        </w:tc>
        <w:tc>
          <w:tcPr>
            <w:tcW w:w="1453" w:type="dxa"/>
            <w:vAlign w:val="center"/>
          </w:tcPr>
          <w:p w14:paraId="33FFAE46">
            <w:pPr>
              <w:pStyle w:val="124"/>
              <w:spacing w:before="144" w:line="219" w:lineRule="auto"/>
              <w:ind w:left="176"/>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响应规格</w:t>
            </w:r>
          </w:p>
        </w:tc>
        <w:tc>
          <w:tcPr>
            <w:tcW w:w="909" w:type="dxa"/>
            <w:vAlign w:val="center"/>
          </w:tcPr>
          <w:p w14:paraId="65D6DD72">
            <w:pPr>
              <w:pStyle w:val="124"/>
              <w:spacing w:before="144" w:line="219" w:lineRule="auto"/>
              <w:ind w:left="218"/>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偏离</w:t>
            </w:r>
          </w:p>
        </w:tc>
        <w:tc>
          <w:tcPr>
            <w:tcW w:w="884" w:type="dxa"/>
            <w:vAlign w:val="center"/>
          </w:tcPr>
          <w:p w14:paraId="28F2E626">
            <w:pPr>
              <w:pStyle w:val="124"/>
              <w:spacing w:before="144" w:line="219" w:lineRule="auto"/>
              <w:ind w:left="228"/>
              <w:jc w:val="center"/>
              <w:rPr>
                <w:rFonts w:hint="eastAsia" w:ascii="仿宋" w:hAnsi="仿宋" w:eastAsia="仿宋" w:cs="仿宋"/>
                <w:color w:val="auto"/>
                <w:sz w:val="28"/>
                <w:szCs w:val="28"/>
              </w:rPr>
            </w:pPr>
            <w:r>
              <w:rPr>
                <w:rFonts w:hint="eastAsia" w:ascii="仿宋" w:hAnsi="仿宋" w:eastAsia="仿宋" w:cs="仿宋"/>
                <w:color w:val="auto"/>
                <w:spacing w:val="12"/>
                <w:sz w:val="28"/>
                <w:szCs w:val="28"/>
              </w:rPr>
              <w:t>说明</w:t>
            </w:r>
          </w:p>
        </w:tc>
      </w:tr>
      <w:tr w14:paraId="7BB4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24" w:type="dxa"/>
            <w:vAlign w:val="top"/>
          </w:tcPr>
          <w:p w14:paraId="4AA8018F">
            <w:pPr>
              <w:rPr>
                <w:rFonts w:hint="eastAsia" w:ascii="仿宋" w:hAnsi="仿宋" w:eastAsia="仿宋" w:cs="仿宋"/>
                <w:color w:val="auto"/>
                <w:sz w:val="28"/>
                <w:szCs w:val="28"/>
              </w:rPr>
            </w:pPr>
          </w:p>
        </w:tc>
        <w:tc>
          <w:tcPr>
            <w:tcW w:w="1015" w:type="dxa"/>
            <w:vAlign w:val="top"/>
          </w:tcPr>
          <w:p w14:paraId="290CC146">
            <w:pPr>
              <w:rPr>
                <w:rFonts w:hint="eastAsia" w:ascii="仿宋" w:hAnsi="仿宋" w:eastAsia="仿宋" w:cs="仿宋"/>
                <w:color w:val="auto"/>
                <w:sz w:val="28"/>
                <w:szCs w:val="28"/>
              </w:rPr>
            </w:pPr>
          </w:p>
        </w:tc>
        <w:tc>
          <w:tcPr>
            <w:tcW w:w="2160" w:type="dxa"/>
            <w:vAlign w:val="top"/>
          </w:tcPr>
          <w:p w14:paraId="76EB7395">
            <w:pPr>
              <w:rPr>
                <w:rFonts w:hint="eastAsia" w:ascii="仿宋" w:hAnsi="仿宋" w:eastAsia="仿宋" w:cs="仿宋"/>
                <w:color w:val="auto"/>
                <w:sz w:val="28"/>
                <w:szCs w:val="28"/>
              </w:rPr>
            </w:pPr>
          </w:p>
        </w:tc>
        <w:tc>
          <w:tcPr>
            <w:tcW w:w="1485" w:type="dxa"/>
            <w:vAlign w:val="top"/>
          </w:tcPr>
          <w:p w14:paraId="2065B609">
            <w:pPr>
              <w:rPr>
                <w:rFonts w:hint="eastAsia" w:ascii="仿宋" w:hAnsi="仿宋" w:eastAsia="仿宋" w:cs="仿宋"/>
                <w:color w:val="auto"/>
                <w:sz w:val="28"/>
                <w:szCs w:val="28"/>
              </w:rPr>
            </w:pPr>
          </w:p>
        </w:tc>
        <w:tc>
          <w:tcPr>
            <w:tcW w:w="1453" w:type="dxa"/>
            <w:vAlign w:val="top"/>
          </w:tcPr>
          <w:p w14:paraId="2CCA4E02">
            <w:pPr>
              <w:rPr>
                <w:rFonts w:hint="eastAsia" w:ascii="仿宋" w:hAnsi="仿宋" w:eastAsia="仿宋" w:cs="仿宋"/>
                <w:color w:val="auto"/>
                <w:sz w:val="28"/>
                <w:szCs w:val="28"/>
              </w:rPr>
            </w:pPr>
          </w:p>
        </w:tc>
        <w:tc>
          <w:tcPr>
            <w:tcW w:w="909" w:type="dxa"/>
            <w:vAlign w:val="top"/>
          </w:tcPr>
          <w:p w14:paraId="4F950149">
            <w:pPr>
              <w:rPr>
                <w:rFonts w:hint="eastAsia" w:ascii="仿宋" w:hAnsi="仿宋" w:eastAsia="仿宋" w:cs="仿宋"/>
                <w:color w:val="auto"/>
                <w:sz w:val="28"/>
                <w:szCs w:val="28"/>
              </w:rPr>
            </w:pPr>
          </w:p>
        </w:tc>
        <w:tc>
          <w:tcPr>
            <w:tcW w:w="884" w:type="dxa"/>
            <w:vAlign w:val="top"/>
          </w:tcPr>
          <w:p w14:paraId="2CE9F584">
            <w:pPr>
              <w:rPr>
                <w:rFonts w:hint="eastAsia" w:ascii="仿宋" w:hAnsi="仿宋" w:eastAsia="仿宋" w:cs="仿宋"/>
                <w:color w:val="auto"/>
                <w:sz w:val="28"/>
                <w:szCs w:val="28"/>
              </w:rPr>
            </w:pPr>
          </w:p>
        </w:tc>
      </w:tr>
      <w:tr w14:paraId="35497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24" w:type="dxa"/>
            <w:vAlign w:val="top"/>
          </w:tcPr>
          <w:p w14:paraId="57BD2E94">
            <w:pPr>
              <w:rPr>
                <w:rFonts w:hint="eastAsia" w:ascii="仿宋" w:hAnsi="仿宋" w:eastAsia="仿宋" w:cs="仿宋"/>
                <w:color w:val="auto"/>
                <w:sz w:val="28"/>
                <w:szCs w:val="28"/>
              </w:rPr>
            </w:pPr>
          </w:p>
        </w:tc>
        <w:tc>
          <w:tcPr>
            <w:tcW w:w="1015" w:type="dxa"/>
            <w:vAlign w:val="top"/>
          </w:tcPr>
          <w:p w14:paraId="7444C611">
            <w:pPr>
              <w:rPr>
                <w:rFonts w:hint="eastAsia" w:ascii="仿宋" w:hAnsi="仿宋" w:eastAsia="仿宋" w:cs="仿宋"/>
                <w:color w:val="auto"/>
                <w:sz w:val="28"/>
                <w:szCs w:val="28"/>
              </w:rPr>
            </w:pPr>
          </w:p>
        </w:tc>
        <w:tc>
          <w:tcPr>
            <w:tcW w:w="2160" w:type="dxa"/>
            <w:vAlign w:val="top"/>
          </w:tcPr>
          <w:p w14:paraId="426774EA">
            <w:pPr>
              <w:rPr>
                <w:rFonts w:hint="eastAsia" w:ascii="仿宋" w:hAnsi="仿宋" w:eastAsia="仿宋" w:cs="仿宋"/>
                <w:color w:val="auto"/>
                <w:sz w:val="28"/>
                <w:szCs w:val="28"/>
              </w:rPr>
            </w:pPr>
          </w:p>
        </w:tc>
        <w:tc>
          <w:tcPr>
            <w:tcW w:w="1485" w:type="dxa"/>
            <w:vAlign w:val="top"/>
          </w:tcPr>
          <w:p w14:paraId="30A424EE">
            <w:pPr>
              <w:rPr>
                <w:rFonts w:hint="eastAsia" w:ascii="仿宋" w:hAnsi="仿宋" w:eastAsia="仿宋" w:cs="仿宋"/>
                <w:color w:val="auto"/>
                <w:sz w:val="28"/>
                <w:szCs w:val="28"/>
              </w:rPr>
            </w:pPr>
          </w:p>
        </w:tc>
        <w:tc>
          <w:tcPr>
            <w:tcW w:w="1453" w:type="dxa"/>
            <w:vAlign w:val="top"/>
          </w:tcPr>
          <w:p w14:paraId="02D37D9D">
            <w:pPr>
              <w:rPr>
                <w:rFonts w:hint="eastAsia" w:ascii="仿宋" w:hAnsi="仿宋" w:eastAsia="仿宋" w:cs="仿宋"/>
                <w:color w:val="auto"/>
                <w:sz w:val="28"/>
                <w:szCs w:val="28"/>
              </w:rPr>
            </w:pPr>
          </w:p>
        </w:tc>
        <w:tc>
          <w:tcPr>
            <w:tcW w:w="909" w:type="dxa"/>
            <w:vAlign w:val="top"/>
          </w:tcPr>
          <w:p w14:paraId="027B2C65">
            <w:pPr>
              <w:rPr>
                <w:rFonts w:hint="eastAsia" w:ascii="仿宋" w:hAnsi="仿宋" w:eastAsia="仿宋" w:cs="仿宋"/>
                <w:color w:val="auto"/>
                <w:sz w:val="28"/>
                <w:szCs w:val="28"/>
              </w:rPr>
            </w:pPr>
          </w:p>
        </w:tc>
        <w:tc>
          <w:tcPr>
            <w:tcW w:w="884" w:type="dxa"/>
            <w:vAlign w:val="top"/>
          </w:tcPr>
          <w:p w14:paraId="318C6DDE">
            <w:pPr>
              <w:rPr>
                <w:rFonts w:hint="eastAsia" w:ascii="仿宋" w:hAnsi="仿宋" w:eastAsia="仿宋" w:cs="仿宋"/>
                <w:color w:val="auto"/>
                <w:sz w:val="28"/>
                <w:szCs w:val="28"/>
              </w:rPr>
            </w:pPr>
          </w:p>
        </w:tc>
      </w:tr>
      <w:tr w14:paraId="5C830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24" w:type="dxa"/>
            <w:vAlign w:val="top"/>
          </w:tcPr>
          <w:p w14:paraId="4ACC0DD7">
            <w:pPr>
              <w:rPr>
                <w:rFonts w:hint="eastAsia" w:ascii="仿宋" w:hAnsi="仿宋" w:eastAsia="仿宋" w:cs="仿宋"/>
                <w:color w:val="auto"/>
                <w:sz w:val="28"/>
                <w:szCs w:val="28"/>
              </w:rPr>
            </w:pPr>
          </w:p>
        </w:tc>
        <w:tc>
          <w:tcPr>
            <w:tcW w:w="1015" w:type="dxa"/>
            <w:vAlign w:val="top"/>
          </w:tcPr>
          <w:p w14:paraId="6DC9487E">
            <w:pPr>
              <w:rPr>
                <w:rFonts w:hint="eastAsia" w:ascii="仿宋" w:hAnsi="仿宋" w:eastAsia="仿宋" w:cs="仿宋"/>
                <w:color w:val="auto"/>
                <w:sz w:val="28"/>
                <w:szCs w:val="28"/>
              </w:rPr>
            </w:pPr>
          </w:p>
        </w:tc>
        <w:tc>
          <w:tcPr>
            <w:tcW w:w="2160" w:type="dxa"/>
            <w:vAlign w:val="top"/>
          </w:tcPr>
          <w:p w14:paraId="1A0A1F78">
            <w:pPr>
              <w:rPr>
                <w:rFonts w:hint="eastAsia" w:ascii="仿宋" w:hAnsi="仿宋" w:eastAsia="仿宋" w:cs="仿宋"/>
                <w:color w:val="auto"/>
                <w:sz w:val="28"/>
                <w:szCs w:val="28"/>
              </w:rPr>
            </w:pPr>
          </w:p>
        </w:tc>
        <w:tc>
          <w:tcPr>
            <w:tcW w:w="1485" w:type="dxa"/>
            <w:vAlign w:val="top"/>
          </w:tcPr>
          <w:p w14:paraId="655A9CF7">
            <w:pPr>
              <w:rPr>
                <w:rFonts w:hint="eastAsia" w:ascii="仿宋" w:hAnsi="仿宋" w:eastAsia="仿宋" w:cs="仿宋"/>
                <w:color w:val="auto"/>
                <w:sz w:val="28"/>
                <w:szCs w:val="28"/>
              </w:rPr>
            </w:pPr>
          </w:p>
        </w:tc>
        <w:tc>
          <w:tcPr>
            <w:tcW w:w="1453" w:type="dxa"/>
            <w:vAlign w:val="top"/>
          </w:tcPr>
          <w:p w14:paraId="23509AD4">
            <w:pPr>
              <w:rPr>
                <w:rFonts w:hint="eastAsia" w:ascii="仿宋" w:hAnsi="仿宋" w:eastAsia="仿宋" w:cs="仿宋"/>
                <w:color w:val="auto"/>
                <w:sz w:val="28"/>
                <w:szCs w:val="28"/>
              </w:rPr>
            </w:pPr>
          </w:p>
        </w:tc>
        <w:tc>
          <w:tcPr>
            <w:tcW w:w="909" w:type="dxa"/>
            <w:vAlign w:val="top"/>
          </w:tcPr>
          <w:p w14:paraId="13CFFB64">
            <w:pPr>
              <w:rPr>
                <w:rFonts w:hint="eastAsia" w:ascii="仿宋" w:hAnsi="仿宋" w:eastAsia="仿宋" w:cs="仿宋"/>
                <w:color w:val="auto"/>
                <w:sz w:val="28"/>
                <w:szCs w:val="28"/>
              </w:rPr>
            </w:pPr>
          </w:p>
        </w:tc>
        <w:tc>
          <w:tcPr>
            <w:tcW w:w="884" w:type="dxa"/>
            <w:vAlign w:val="top"/>
          </w:tcPr>
          <w:p w14:paraId="5E73DD11">
            <w:pPr>
              <w:rPr>
                <w:rFonts w:hint="eastAsia" w:ascii="仿宋" w:hAnsi="仿宋" w:eastAsia="仿宋" w:cs="仿宋"/>
                <w:color w:val="auto"/>
                <w:sz w:val="28"/>
                <w:szCs w:val="28"/>
              </w:rPr>
            </w:pPr>
          </w:p>
        </w:tc>
      </w:tr>
      <w:tr w14:paraId="302E8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00CD52DB">
            <w:pPr>
              <w:rPr>
                <w:rFonts w:hint="eastAsia" w:ascii="仿宋" w:hAnsi="仿宋" w:eastAsia="仿宋" w:cs="仿宋"/>
                <w:color w:val="auto"/>
                <w:sz w:val="28"/>
                <w:szCs w:val="28"/>
              </w:rPr>
            </w:pPr>
          </w:p>
        </w:tc>
        <w:tc>
          <w:tcPr>
            <w:tcW w:w="1015" w:type="dxa"/>
            <w:vAlign w:val="top"/>
          </w:tcPr>
          <w:p w14:paraId="04D75793">
            <w:pPr>
              <w:rPr>
                <w:rFonts w:hint="eastAsia" w:ascii="仿宋" w:hAnsi="仿宋" w:eastAsia="仿宋" w:cs="仿宋"/>
                <w:color w:val="auto"/>
                <w:sz w:val="28"/>
                <w:szCs w:val="28"/>
              </w:rPr>
            </w:pPr>
          </w:p>
        </w:tc>
        <w:tc>
          <w:tcPr>
            <w:tcW w:w="2160" w:type="dxa"/>
            <w:vAlign w:val="top"/>
          </w:tcPr>
          <w:p w14:paraId="1526E346">
            <w:pPr>
              <w:rPr>
                <w:rFonts w:hint="eastAsia" w:ascii="仿宋" w:hAnsi="仿宋" w:eastAsia="仿宋" w:cs="仿宋"/>
                <w:color w:val="auto"/>
                <w:sz w:val="28"/>
                <w:szCs w:val="28"/>
              </w:rPr>
            </w:pPr>
          </w:p>
        </w:tc>
        <w:tc>
          <w:tcPr>
            <w:tcW w:w="1485" w:type="dxa"/>
            <w:vAlign w:val="top"/>
          </w:tcPr>
          <w:p w14:paraId="39CE3D89">
            <w:pPr>
              <w:rPr>
                <w:rFonts w:hint="eastAsia" w:ascii="仿宋" w:hAnsi="仿宋" w:eastAsia="仿宋" w:cs="仿宋"/>
                <w:color w:val="auto"/>
                <w:sz w:val="28"/>
                <w:szCs w:val="28"/>
              </w:rPr>
            </w:pPr>
          </w:p>
        </w:tc>
        <w:tc>
          <w:tcPr>
            <w:tcW w:w="1453" w:type="dxa"/>
            <w:vAlign w:val="top"/>
          </w:tcPr>
          <w:p w14:paraId="470B0475">
            <w:pPr>
              <w:rPr>
                <w:rFonts w:hint="eastAsia" w:ascii="仿宋" w:hAnsi="仿宋" w:eastAsia="仿宋" w:cs="仿宋"/>
                <w:color w:val="auto"/>
                <w:sz w:val="28"/>
                <w:szCs w:val="28"/>
              </w:rPr>
            </w:pPr>
          </w:p>
        </w:tc>
        <w:tc>
          <w:tcPr>
            <w:tcW w:w="909" w:type="dxa"/>
            <w:vAlign w:val="top"/>
          </w:tcPr>
          <w:p w14:paraId="4C44CEE5">
            <w:pPr>
              <w:rPr>
                <w:rFonts w:hint="eastAsia" w:ascii="仿宋" w:hAnsi="仿宋" w:eastAsia="仿宋" w:cs="仿宋"/>
                <w:color w:val="auto"/>
                <w:sz w:val="28"/>
                <w:szCs w:val="28"/>
              </w:rPr>
            </w:pPr>
          </w:p>
        </w:tc>
        <w:tc>
          <w:tcPr>
            <w:tcW w:w="884" w:type="dxa"/>
            <w:vAlign w:val="top"/>
          </w:tcPr>
          <w:p w14:paraId="49D41DC8">
            <w:pPr>
              <w:rPr>
                <w:rFonts w:hint="eastAsia" w:ascii="仿宋" w:hAnsi="仿宋" w:eastAsia="仿宋" w:cs="仿宋"/>
                <w:color w:val="auto"/>
                <w:sz w:val="28"/>
                <w:szCs w:val="28"/>
              </w:rPr>
            </w:pPr>
          </w:p>
        </w:tc>
      </w:tr>
      <w:tr w14:paraId="03033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24" w:type="dxa"/>
            <w:vAlign w:val="top"/>
          </w:tcPr>
          <w:p w14:paraId="1389AE7F">
            <w:pPr>
              <w:rPr>
                <w:rFonts w:hint="eastAsia" w:ascii="仿宋" w:hAnsi="仿宋" w:eastAsia="仿宋" w:cs="仿宋"/>
                <w:color w:val="auto"/>
                <w:sz w:val="28"/>
                <w:szCs w:val="28"/>
              </w:rPr>
            </w:pPr>
          </w:p>
        </w:tc>
        <w:tc>
          <w:tcPr>
            <w:tcW w:w="1015" w:type="dxa"/>
            <w:vAlign w:val="top"/>
          </w:tcPr>
          <w:p w14:paraId="407E3AF0">
            <w:pPr>
              <w:rPr>
                <w:rFonts w:hint="eastAsia" w:ascii="仿宋" w:hAnsi="仿宋" w:eastAsia="仿宋" w:cs="仿宋"/>
                <w:color w:val="auto"/>
                <w:sz w:val="28"/>
                <w:szCs w:val="28"/>
              </w:rPr>
            </w:pPr>
          </w:p>
        </w:tc>
        <w:tc>
          <w:tcPr>
            <w:tcW w:w="2160" w:type="dxa"/>
            <w:vAlign w:val="top"/>
          </w:tcPr>
          <w:p w14:paraId="5A890D20">
            <w:pPr>
              <w:rPr>
                <w:rFonts w:hint="eastAsia" w:ascii="仿宋" w:hAnsi="仿宋" w:eastAsia="仿宋" w:cs="仿宋"/>
                <w:color w:val="auto"/>
                <w:sz w:val="28"/>
                <w:szCs w:val="28"/>
              </w:rPr>
            </w:pPr>
          </w:p>
        </w:tc>
        <w:tc>
          <w:tcPr>
            <w:tcW w:w="1485" w:type="dxa"/>
            <w:vAlign w:val="top"/>
          </w:tcPr>
          <w:p w14:paraId="7D596BB4">
            <w:pPr>
              <w:rPr>
                <w:rFonts w:hint="eastAsia" w:ascii="仿宋" w:hAnsi="仿宋" w:eastAsia="仿宋" w:cs="仿宋"/>
                <w:color w:val="auto"/>
                <w:sz w:val="28"/>
                <w:szCs w:val="28"/>
              </w:rPr>
            </w:pPr>
          </w:p>
        </w:tc>
        <w:tc>
          <w:tcPr>
            <w:tcW w:w="1453" w:type="dxa"/>
            <w:vAlign w:val="top"/>
          </w:tcPr>
          <w:p w14:paraId="5AFC24DD">
            <w:pPr>
              <w:rPr>
                <w:rFonts w:hint="eastAsia" w:ascii="仿宋" w:hAnsi="仿宋" w:eastAsia="仿宋" w:cs="仿宋"/>
                <w:color w:val="auto"/>
                <w:sz w:val="28"/>
                <w:szCs w:val="28"/>
              </w:rPr>
            </w:pPr>
          </w:p>
        </w:tc>
        <w:tc>
          <w:tcPr>
            <w:tcW w:w="909" w:type="dxa"/>
            <w:vAlign w:val="top"/>
          </w:tcPr>
          <w:p w14:paraId="6056FC77">
            <w:pPr>
              <w:rPr>
                <w:rFonts w:hint="eastAsia" w:ascii="仿宋" w:hAnsi="仿宋" w:eastAsia="仿宋" w:cs="仿宋"/>
                <w:color w:val="auto"/>
                <w:sz w:val="28"/>
                <w:szCs w:val="28"/>
              </w:rPr>
            </w:pPr>
          </w:p>
        </w:tc>
        <w:tc>
          <w:tcPr>
            <w:tcW w:w="884" w:type="dxa"/>
            <w:vAlign w:val="top"/>
          </w:tcPr>
          <w:p w14:paraId="78B90C8A">
            <w:pPr>
              <w:rPr>
                <w:rFonts w:hint="eastAsia" w:ascii="仿宋" w:hAnsi="仿宋" w:eastAsia="仿宋" w:cs="仿宋"/>
                <w:color w:val="auto"/>
                <w:sz w:val="28"/>
                <w:szCs w:val="28"/>
              </w:rPr>
            </w:pPr>
          </w:p>
        </w:tc>
      </w:tr>
      <w:tr w14:paraId="3A8C7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714FD14F">
            <w:pPr>
              <w:rPr>
                <w:rFonts w:hint="eastAsia" w:ascii="仿宋" w:hAnsi="仿宋" w:eastAsia="仿宋" w:cs="仿宋"/>
                <w:color w:val="auto"/>
                <w:sz w:val="28"/>
                <w:szCs w:val="28"/>
              </w:rPr>
            </w:pPr>
          </w:p>
        </w:tc>
        <w:tc>
          <w:tcPr>
            <w:tcW w:w="1015" w:type="dxa"/>
            <w:vAlign w:val="top"/>
          </w:tcPr>
          <w:p w14:paraId="3905FF90">
            <w:pPr>
              <w:rPr>
                <w:rFonts w:hint="eastAsia" w:ascii="仿宋" w:hAnsi="仿宋" w:eastAsia="仿宋" w:cs="仿宋"/>
                <w:color w:val="auto"/>
                <w:sz w:val="28"/>
                <w:szCs w:val="28"/>
              </w:rPr>
            </w:pPr>
          </w:p>
        </w:tc>
        <w:tc>
          <w:tcPr>
            <w:tcW w:w="2160" w:type="dxa"/>
            <w:vAlign w:val="top"/>
          </w:tcPr>
          <w:p w14:paraId="24F6D6D6">
            <w:pPr>
              <w:rPr>
                <w:rFonts w:hint="eastAsia" w:ascii="仿宋" w:hAnsi="仿宋" w:eastAsia="仿宋" w:cs="仿宋"/>
                <w:color w:val="auto"/>
                <w:sz w:val="28"/>
                <w:szCs w:val="28"/>
              </w:rPr>
            </w:pPr>
          </w:p>
        </w:tc>
        <w:tc>
          <w:tcPr>
            <w:tcW w:w="1485" w:type="dxa"/>
            <w:vAlign w:val="top"/>
          </w:tcPr>
          <w:p w14:paraId="66D6ED4B">
            <w:pPr>
              <w:rPr>
                <w:rFonts w:hint="eastAsia" w:ascii="仿宋" w:hAnsi="仿宋" w:eastAsia="仿宋" w:cs="仿宋"/>
                <w:color w:val="auto"/>
                <w:sz w:val="28"/>
                <w:szCs w:val="28"/>
              </w:rPr>
            </w:pPr>
          </w:p>
        </w:tc>
        <w:tc>
          <w:tcPr>
            <w:tcW w:w="1453" w:type="dxa"/>
            <w:vAlign w:val="top"/>
          </w:tcPr>
          <w:p w14:paraId="37E780EE">
            <w:pPr>
              <w:rPr>
                <w:rFonts w:hint="eastAsia" w:ascii="仿宋" w:hAnsi="仿宋" w:eastAsia="仿宋" w:cs="仿宋"/>
                <w:color w:val="auto"/>
                <w:sz w:val="28"/>
                <w:szCs w:val="28"/>
              </w:rPr>
            </w:pPr>
          </w:p>
        </w:tc>
        <w:tc>
          <w:tcPr>
            <w:tcW w:w="909" w:type="dxa"/>
            <w:vAlign w:val="top"/>
          </w:tcPr>
          <w:p w14:paraId="712F0C58">
            <w:pPr>
              <w:rPr>
                <w:rFonts w:hint="eastAsia" w:ascii="仿宋" w:hAnsi="仿宋" w:eastAsia="仿宋" w:cs="仿宋"/>
                <w:color w:val="auto"/>
                <w:sz w:val="28"/>
                <w:szCs w:val="28"/>
              </w:rPr>
            </w:pPr>
          </w:p>
        </w:tc>
        <w:tc>
          <w:tcPr>
            <w:tcW w:w="884" w:type="dxa"/>
            <w:vAlign w:val="top"/>
          </w:tcPr>
          <w:p w14:paraId="76B43366">
            <w:pPr>
              <w:rPr>
                <w:rFonts w:hint="eastAsia" w:ascii="仿宋" w:hAnsi="仿宋" w:eastAsia="仿宋" w:cs="仿宋"/>
                <w:color w:val="auto"/>
                <w:sz w:val="28"/>
                <w:szCs w:val="28"/>
              </w:rPr>
            </w:pPr>
          </w:p>
        </w:tc>
      </w:tr>
      <w:tr w14:paraId="348B9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24" w:type="dxa"/>
            <w:vAlign w:val="top"/>
          </w:tcPr>
          <w:p w14:paraId="0BAE2560">
            <w:pPr>
              <w:rPr>
                <w:rFonts w:hint="eastAsia" w:ascii="仿宋" w:hAnsi="仿宋" w:eastAsia="仿宋" w:cs="仿宋"/>
                <w:color w:val="auto"/>
                <w:sz w:val="28"/>
                <w:szCs w:val="28"/>
              </w:rPr>
            </w:pPr>
          </w:p>
        </w:tc>
        <w:tc>
          <w:tcPr>
            <w:tcW w:w="1015" w:type="dxa"/>
            <w:vAlign w:val="top"/>
          </w:tcPr>
          <w:p w14:paraId="5E15D8D1">
            <w:pPr>
              <w:rPr>
                <w:rFonts w:hint="eastAsia" w:ascii="仿宋" w:hAnsi="仿宋" w:eastAsia="仿宋" w:cs="仿宋"/>
                <w:color w:val="auto"/>
                <w:sz w:val="28"/>
                <w:szCs w:val="28"/>
              </w:rPr>
            </w:pPr>
          </w:p>
        </w:tc>
        <w:tc>
          <w:tcPr>
            <w:tcW w:w="2160" w:type="dxa"/>
            <w:vAlign w:val="top"/>
          </w:tcPr>
          <w:p w14:paraId="78A4C6A1">
            <w:pPr>
              <w:rPr>
                <w:rFonts w:hint="eastAsia" w:ascii="仿宋" w:hAnsi="仿宋" w:eastAsia="仿宋" w:cs="仿宋"/>
                <w:color w:val="auto"/>
                <w:sz w:val="28"/>
                <w:szCs w:val="28"/>
              </w:rPr>
            </w:pPr>
          </w:p>
        </w:tc>
        <w:tc>
          <w:tcPr>
            <w:tcW w:w="1485" w:type="dxa"/>
            <w:vAlign w:val="top"/>
          </w:tcPr>
          <w:p w14:paraId="03EEFBC7">
            <w:pPr>
              <w:rPr>
                <w:rFonts w:hint="eastAsia" w:ascii="仿宋" w:hAnsi="仿宋" w:eastAsia="仿宋" w:cs="仿宋"/>
                <w:color w:val="auto"/>
                <w:sz w:val="28"/>
                <w:szCs w:val="28"/>
              </w:rPr>
            </w:pPr>
          </w:p>
        </w:tc>
        <w:tc>
          <w:tcPr>
            <w:tcW w:w="1453" w:type="dxa"/>
            <w:vAlign w:val="top"/>
          </w:tcPr>
          <w:p w14:paraId="319C6C2A">
            <w:pPr>
              <w:rPr>
                <w:rFonts w:hint="eastAsia" w:ascii="仿宋" w:hAnsi="仿宋" w:eastAsia="仿宋" w:cs="仿宋"/>
                <w:color w:val="auto"/>
                <w:sz w:val="28"/>
                <w:szCs w:val="28"/>
              </w:rPr>
            </w:pPr>
          </w:p>
        </w:tc>
        <w:tc>
          <w:tcPr>
            <w:tcW w:w="909" w:type="dxa"/>
            <w:vAlign w:val="top"/>
          </w:tcPr>
          <w:p w14:paraId="6EFD97A6">
            <w:pPr>
              <w:rPr>
                <w:rFonts w:hint="eastAsia" w:ascii="仿宋" w:hAnsi="仿宋" w:eastAsia="仿宋" w:cs="仿宋"/>
                <w:color w:val="auto"/>
                <w:sz w:val="28"/>
                <w:szCs w:val="28"/>
              </w:rPr>
            </w:pPr>
          </w:p>
        </w:tc>
        <w:tc>
          <w:tcPr>
            <w:tcW w:w="884" w:type="dxa"/>
            <w:vAlign w:val="top"/>
          </w:tcPr>
          <w:p w14:paraId="2BAC0490">
            <w:pPr>
              <w:rPr>
                <w:rFonts w:hint="eastAsia" w:ascii="仿宋" w:hAnsi="仿宋" w:eastAsia="仿宋" w:cs="仿宋"/>
                <w:color w:val="auto"/>
                <w:sz w:val="28"/>
                <w:szCs w:val="28"/>
              </w:rPr>
            </w:pPr>
          </w:p>
        </w:tc>
      </w:tr>
      <w:tr w14:paraId="4903B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0075E223">
            <w:pPr>
              <w:rPr>
                <w:rFonts w:hint="eastAsia" w:ascii="仿宋" w:hAnsi="仿宋" w:eastAsia="仿宋" w:cs="仿宋"/>
                <w:color w:val="auto"/>
                <w:sz w:val="28"/>
                <w:szCs w:val="28"/>
              </w:rPr>
            </w:pPr>
          </w:p>
        </w:tc>
        <w:tc>
          <w:tcPr>
            <w:tcW w:w="1015" w:type="dxa"/>
            <w:vAlign w:val="top"/>
          </w:tcPr>
          <w:p w14:paraId="0E410DB4">
            <w:pPr>
              <w:rPr>
                <w:rFonts w:hint="eastAsia" w:ascii="仿宋" w:hAnsi="仿宋" w:eastAsia="仿宋" w:cs="仿宋"/>
                <w:color w:val="auto"/>
                <w:sz w:val="28"/>
                <w:szCs w:val="28"/>
              </w:rPr>
            </w:pPr>
          </w:p>
        </w:tc>
        <w:tc>
          <w:tcPr>
            <w:tcW w:w="2160" w:type="dxa"/>
            <w:vAlign w:val="top"/>
          </w:tcPr>
          <w:p w14:paraId="46CC7A36">
            <w:pPr>
              <w:rPr>
                <w:rFonts w:hint="eastAsia" w:ascii="仿宋" w:hAnsi="仿宋" w:eastAsia="仿宋" w:cs="仿宋"/>
                <w:color w:val="auto"/>
                <w:sz w:val="28"/>
                <w:szCs w:val="28"/>
              </w:rPr>
            </w:pPr>
          </w:p>
        </w:tc>
        <w:tc>
          <w:tcPr>
            <w:tcW w:w="1485" w:type="dxa"/>
            <w:vAlign w:val="top"/>
          </w:tcPr>
          <w:p w14:paraId="6B33D645">
            <w:pPr>
              <w:rPr>
                <w:rFonts w:hint="eastAsia" w:ascii="仿宋" w:hAnsi="仿宋" w:eastAsia="仿宋" w:cs="仿宋"/>
                <w:color w:val="auto"/>
                <w:sz w:val="28"/>
                <w:szCs w:val="28"/>
              </w:rPr>
            </w:pPr>
          </w:p>
        </w:tc>
        <w:tc>
          <w:tcPr>
            <w:tcW w:w="1453" w:type="dxa"/>
            <w:vAlign w:val="top"/>
          </w:tcPr>
          <w:p w14:paraId="684087FE">
            <w:pPr>
              <w:rPr>
                <w:rFonts w:hint="eastAsia" w:ascii="仿宋" w:hAnsi="仿宋" w:eastAsia="仿宋" w:cs="仿宋"/>
                <w:color w:val="auto"/>
                <w:sz w:val="28"/>
                <w:szCs w:val="28"/>
              </w:rPr>
            </w:pPr>
          </w:p>
        </w:tc>
        <w:tc>
          <w:tcPr>
            <w:tcW w:w="909" w:type="dxa"/>
            <w:vAlign w:val="top"/>
          </w:tcPr>
          <w:p w14:paraId="77B0F3E9">
            <w:pPr>
              <w:rPr>
                <w:rFonts w:hint="eastAsia" w:ascii="仿宋" w:hAnsi="仿宋" w:eastAsia="仿宋" w:cs="仿宋"/>
                <w:color w:val="auto"/>
                <w:sz w:val="28"/>
                <w:szCs w:val="28"/>
              </w:rPr>
            </w:pPr>
          </w:p>
        </w:tc>
        <w:tc>
          <w:tcPr>
            <w:tcW w:w="884" w:type="dxa"/>
            <w:vAlign w:val="top"/>
          </w:tcPr>
          <w:p w14:paraId="764E76AE">
            <w:pPr>
              <w:rPr>
                <w:rFonts w:hint="eastAsia" w:ascii="仿宋" w:hAnsi="仿宋" w:eastAsia="仿宋" w:cs="仿宋"/>
                <w:color w:val="auto"/>
                <w:sz w:val="28"/>
                <w:szCs w:val="28"/>
              </w:rPr>
            </w:pPr>
          </w:p>
        </w:tc>
      </w:tr>
      <w:tr w14:paraId="7903D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24" w:type="dxa"/>
            <w:vAlign w:val="top"/>
          </w:tcPr>
          <w:p w14:paraId="2A382439">
            <w:pPr>
              <w:rPr>
                <w:rFonts w:hint="eastAsia" w:ascii="仿宋" w:hAnsi="仿宋" w:eastAsia="仿宋" w:cs="仿宋"/>
                <w:color w:val="auto"/>
                <w:sz w:val="28"/>
                <w:szCs w:val="28"/>
              </w:rPr>
            </w:pPr>
          </w:p>
        </w:tc>
        <w:tc>
          <w:tcPr>
            <w:tcW w:w="1015" w:type="dxa"/>
            <w:vAlign w:val="top"/>
          </w:tcPr>
          <w:p w14:paraId="2DA524A7">
            <w:pPr>
              <w:rPr>
                <w:rFonts w:hint="eastAsia" w:ascii="仿宋" w:hAnsi="仿宋" w:eastAsia="仿宋" w:cs="仿宋"/>
                <w:color w:val="auto"/>
                <w:sz w:val="28"/>
                <w:szCs w:val="28"/>
              </w:rPr>
            </w:pPr>
          </w:p>
        </w:tc>
        <w:tc>
          <w:tcPr>
            <w:tcW w:w="2160" w:type="dxa"/>
            <w:vAlign w:val="top"/>
          </w:tcPr>
          <w:p w14:paraId="00E7B60C">
            <w:pPr>
              <w:rPr>
                <w:rFonts w:hint="eastAsia" w:ascii="仿宋" w:hAnsi="仿宋" w:eastAsia="仿宋" w:cs="仿宋"/>
                <w:color w:val="auto"/>
                <w:sz w:val="28"/>
                <w:szCs w:val="28"/>
              </w:rPr>
            </w:pPr>
          </w:p>
        </w:tc>
        <w:tc>
          <w:tcPr>
            <w:tcW w:w="1485" w:type="dxa"/>
            <w:vAlign w:val="top"/>
          </w:tcPr>
          <w:p w14:paraId="11EFD2E7">
            <w:pPr>
              <w:rPr>
                <w:rFonts w:hint="eastAsia" w:ascii="仿宋" w:hAnsi="仿宋" w:eastAsia="仿宋" w:cs="仿宋"/>
                <w:color w:val="auto"/>
                <w:sz w:val="28"/>
                <w:szCs w:val="28"/>
              </w:rPr>
            </w:pPr>
          </w:p>
        </w:tc>
        <w:tc>
          <w:tcPr>
            <w:tcW w:w="1453" w:type="dxa"/>
            <w:vAlign w:val="top"/>
          </w:tcPr>
          <w:p w14:paraId="0E5035F8">
            <w:pPr>
              <w:rPr>
                <w:rFonts w:hint="eastAsia" w:ascii="仿宋" w:hAnsi="仿宋" w:eastAsia="仿宋" w:cs="仿宋"/>
                <w:color w:val="auto"/>
                <w:sz w:val="28"/>
                <w:szCs w:val="28"/>
              </w:rPr>
            </w:pPr>
          </w:p>
        </w:tc>
        <w:tc>
          <w:tcPr>
            <w:tcW w:w="909" w:type="dxa"/>
            <w:vAlign w:val="top"/>
          </w:tcPr>
          <w:p w14:paraId="2826691E">
            <w:pPr>
              <w:rPr>
                <w:rFonts w:hint="eastAsia" w:ascii="仿宋" w:hAnsi="仿宋" w:eastAsia="仿宋" w:cs="仿宋"/>
                <w:color w:val="auto"/>
                <w:sz w:val="28"/>
                <w:szCs w:val="28"/>
              </w:rPr>
            </w:pPr>
          </w:p>
        </w:tc>
        <w:tc>
          <w:tcPr>
            <w:tcW w:w="884" w:type="dxa"/>
            <w:vAlign w:val="top"/>
          </w:tcPr>
          <w:p w14:paraId="22B57637">
            <w:pPr>
              <w:rPr>
                <w:rFonts w:hint="eastAsia" w:ascii="仿宋" w:hAnsi="仿宋" w:eastAsia="仿宋" w:cs="仿宋"/>
                <w:color w:val="auto"/>
                <w:sz w:val="28"/>
                <w:szCs w:val="28"/>
              </w:rPr>
            </w:pPr>
          </w:p>
        </w:tc>
      </w:tr>
      <w:tr w14:paraId="3A7D9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72861514">
            <w:pPr>
              <w:rPr>
                <w:rFonts w:hint="eastAsia" w:ascii="仿宋" w:hAnsi="仿宋" w:eastAsia="仿宋" w:cs="仿宋"/>
                <w:color w:val="auto"/>
                <w:sz w:val="28"/>
                <w:szCs w:val="28"/>
              </w:rPr>
            </w:pPr>
          </w:p>
        </w:tc>
        <w:tc>
          <w:tcPr>
            <w:tcW w:w="1015" w:type="dxa"/>
            <w:vAlign w:val="top"/>
          </w:tcPr>
          <w:p w14:paraId="6812AB29">
            <w:pPr>
              <w:rPr>
                <w:rFonts w:hint="eastAsia" w:ascii="仿宋" w:hAnsi="仿宋" w:eastAsia="仿宋" w:cs="仿宋"/>
                <w:color w:val="auto"/>
                <w:sz w:val="28"/>
                <w:szCs w:val="28"/>
              </w:rPr>
            </w:pPr>
          </w:p>
        </w:tc>
        <w:tc>
          <w:tcPr>
            <w:tcW w:w="2160" w:type="dxa"/>
            <w:vAlign w:val="top"/>
          </w:tcPr>
          <w:p w14:paraId="380F1289">
            <w:pPr>
              <w:rPr>
                <w:rFonts w:hint="eastAsia" w:ascii="仿宋" w:hAnsi="仿宋" w:eastAsia="仿宋" w:cs="仿宋"/>
                <w:color w:val="auto"/>
                <w:sz w:val="28"/>
                <w:szCs w:val="28"/>
              </w:rPr>
            </w:pPr>
          </w:p>
        </w:tc>
        <w:tc>
          <w:tcPr>
            <w:tcW w:w="1485" w:type="dxa"/>
            <w:vAlign w:val="top"/>
          </w:tcPr>
          <w:p w14:paraId="58DA429F">
            <w:pPr>
              <w:rPr>
                <w:rFonts w:hint="eastAsia" w:ascii="仿宋" w:hAnsi="仿宋" w:eastAsia="仿宋" w:cs="仿宋"/>
                <w:color w:val="auto"/>
                <w:sz w:val="28"/>
                <w:szCs w:val="28"/>
              </w:rPr>
            </w:pPr>
          </w:p>
        </w:tc>
        <w:tc>
          <w:tcPr>
            <w:tcW w:w="1453" w:type="dxa"/>
            <w:vAlign w:val="top"/>
          </w:tcPr>
          <w:p w14:paraId="1864A8A6">
            <w:pPr>
              <w:rPr>
                <w:rFonts w:hint="eastAsia" w:ascii="仿宋" w:hAnsi="仿宋" w:eastAsia="仿宋" w:cs="仿宋"/>
                <w:color w:val="auto"/>
                <w:sz w:val="28"/>
                <w:szCs w:val="28"/>
              </w:rPr>
            </w:pPr>
          </w:p>
        </w:tc>
        <w:tc>
          <w:tcPr>
            <w:tcW w:w="909" w:type="dxa"/>
            <w:vAlign w:val="top"/>
          </w:tcPr>
          <w:p w14:paraId="703E21DD">
            <w:pPr>
              <w:rPr>
                <w:rFonts w:hint="eastAsia" w:ascii="仿宋" w:hAnsi="仿宋" w:eastAsia="仿宋" w:cs="仿宋"/>
                <w:color w:val="auto"/>
                <w:sz w:val="28"/>
                <w:szCs w:val="28"/>
              </w:rPr>
            </w:pPr>
          </w:p>
        </w:tc>
        <w:tc>
          <w:tcPr>
            <w:tcW w:w="884" w:type="dxa"/>
            <w:vAlign w:val="top"/>
          </w:tcPr>
          <w:p w14:paraId="5590A8D3">
            <w:pPr>
              <w:rPr>
                <w:rFonts w:hint="eastAsia" w:ascii="仿宋" w:hAnsi="仿宋" w:eastAsia="仿宋" w:cs="仿宋"/>
                <w:color w:val="auto"/>
                <w:sz w:val="28"/>
                <w:szCs w:val="28"/>
              </w:rPr>
            </w:pPr>
          </w:p>
        </w:tc>
      </w:tr>
      <w:tr w14:paraId="5778D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24" w:type="dxa"/>
            <w:vAlign w:val="top"/>
          </w:tcPr>
          <w:p w14:paraId="33A6A5D5">
            <w:pPr>
              <w:rPr>
                <w:rFonts w:hint="eastAsia" w:ascii="仿宋" w:hAnsi="仿宋" w:eastAsia="仿宋" w:cs="仿宋"/>
                <w:color w:val="auto"/>
                <w:sz w:val="28"/>
                <w:szCs w:val="28"/>
              </w:rPr>
            </w:pPr>
          </w:p>
        </w:tc>
        <w:tc>
          <w:tcPr>
            <w:tcW w:w="1015" w:type="dxa"/>
            <w:vAlign w:val="top"/>
          </w:tcPr>
          <w:p w14:paraId="064562DD">
            <w:pPr>
              <w:rPr>
                <w:rFonts w:hint="eastAsia" w:ascii="仿宋" w:hAnsi="仿宋" w:eastAsia="仿宋" w:cs="仿宋"/>
                <w:color w:val="auto"/>
                <w:sz w:val="28"/>
                <w:szCs w:val="28"/>
              </w:rPr>
            </w:pPr>
          </w:p>
        </w:tc>
        <w:tc>
          <w:tcPr>
            <w:tcW w:w="2160" w:type="dxa"/>
            <w:vAlign w:val="top"/>
          </w:tcPr>
          <w:p w14:paraId="20BFBE74">
            <w:pPr>
              <w:rPr>
                <w:rFonts w:hint="eastAsia" w:ascii="仿宋" w:hAnsi="仿宋" w:eastAsia="仿宋" w:cs="仿宋"/>
                <w:color w:val="auto"/>
                <w:sz w:val="28"/>
                <w:szCs w:val="28"/>
              </w:rPr>
            </w:pPr>
          </w:p>
        </w:tc>
        <w:tc>
          <w:tcPr>
            <w:tcW w:w="1485" w:type="dxa"/>
            <w:vAlign w:val="top"/>
          </w:tcPr>
          <w:p w14:paraId="727B55AF">
            <w:pPr>
              <w:rPr>
                <w:rFonts w:hint="eastAsia" w:ascii="仿宋" w:hAnsi="仿宋" w:eastAsia="仿宋" w:cs="仿宋"/>
                <w:color w:val="auto"/>
                <w:sz w:val="28"/>
                <w:szCs w:val="28"/>
              </w:rPr>
            </w:pPr>
          </w:p>
        </w:tc>
        <w:tc>
          <w:tcPr>
            <w:tcW w:w="1453" w:type="dxa"/>
            <w:vAlign w:val="top"/>
          </w:tcPr>
          <w:p w14:paraId="447C1BBD">
            <w:pPr>
              <w:rPr>
                <w:rFonts w:hint="eastAsia" w:ascii="仿宋" w:hAnsi="仿宋" w:eastAsia="仿宋" w:cs="仿宋"/>
                <w:color w:val="auto"/>
                <w:sz w:val="28"/>
                <w:szCs w:val="28"/>
              </w:rPr>
            </w:pPr>
          </w:p>
        </w:tc>
        <w:tc>
          <w:tcPr>
            <w:tcW w:w="909" w:type="dxa"/>
            <w:vAlign w:val="top"/>
          </w:tcPr>
          <w:p w14:paraId="1B378D65">
            <w:pPr>
              <w:rPr>
                <w:rFonts w:hint="eastAsia" w:ascii="仿宋" w:hAnsi="仿宋" w:eastAsia="仿宋" w:cs="仿宋"/>
                <w:color w:val="auto"/>
                <w:sz w:val="28"/>
                <w:szCs w:val="28"/>
              </w:rPr>
            </w:pPr>
          </w:p>
        </w:tc>
        <w:tc>
          <w:tcPr>
            <w:tcW w:w="884" w:type="dxa"/>
            <w:vAlign w:val="top"/>
          </w:tcPr>
          <w:p w14:paraId="4CF73C46">
            <w:pPr>
              <w:rPr>
                <w:rFonts w:hint="eastAsia" w:ascii="仿宋" w:hAnsi="仿宋" w:eastAsia="仿宋" w:cs="仿宋"/>
                <w:color w:val="auto"/>
                <w:sz w:val="28"/>
                <w:szCs w:val="28"/>
              </w:rPr>
            </w:pPr>
          </w:p>
        </w:tc>
      </w:tr>
      <w:tr w14:paraId="0257D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2D0334A8">
            <w:pPr>
              <w:rPr>
                <w:rFonts w:hint="eastAsia" w:ascii="仿宋" w:hAnsi="仿宋" w:eastAsia="仿宋" w:cs="仿宋"/>
                <w:color w:val="auto"/>
                <w:sz w:val="28"/>
                <w:szCs w:val="28"/>
              </w:rPr>
            </w:pPr>
          </w:p>
        </w:tc>
        <w:tc>
          <w:tcPr>
            <w:tcW w:w="1015" w:type="dxa"/>
            <w:vAlign w:val="top"/>
          </w:tcPr>
          <w:p w14:paraId="5FBE9B93">
            <w:pPr>
              <w:rPr>
                <w:rFonts w:hint="eastAsia" w:ascii="仿宋" w:hAnsi="仿宋" w:eastAsia="仿宋" w:cs="仿宋"/>
                <w:color w:val="auto"/>
                <w:sz w:val="28"/>
                <w:szCs w:val="28"/>
              </w:rPr>
            </w:pPr>
          </w:p>
        </w:tc>
        <w:tc>
          <w:tcPr>
            <w:tcW w:w="2160" w:type="dxa"/>
            <w:vAlign w:val="top"/>
          </w:tcPr>
          <w:p w14:paraId="7254476F">
            <w:pPr>
              <w:rPr>
                <w:rFonts w:hint="eastAsia" w:ascii="仿宋" w:hAnsi="仿宋" w:eastAsia="仿宋" w:cs="仿宋"/>
                <w:color w:val="auto"/>
                <w:sz w:val="28"/>
                <w:szCs w:val="28"/>
              </w:rPr>
            </w:pPr>
          </w:p>
        </w:tc>
        <w:tc>
          <w:tcPr>
            <w:tcW w:w="1485" w:type="dxa"/>
            <w:vAlign w:val="top"/>
          </w:tcPr>
          <w:p w14:paraId="0EE45299">
            <w:pPr>
              <w:rPr>
                <w:rFonts w:hint="eastAsia" w:ascii="仿宋" w:hAnsi="仿宋" w:eastAsia="仿宋" w:cs="仿宋"/>
                <w:color w:val="auto"/>
                <w:sz w:val="28"/>
                <w:szCs w:val="28"/>
              </w:rPr>
            </w:pPr>
          </w:p>
        </w:tc>
        <w:tc>
          <w:tcPr>
            <w:tcW w:w="1453" w:type="dxa"/>
            <w:vAlign w:val="top"/>
          </w:tcPr>
          <w:p w14:paraId="2D5729E9">
            <w:pPr>
              <w:rPr>
                <w:rFonts w:hint="eastAsia" w:ascii="仿宋" w:hAnsi="仿宋" w:eastAsia="仿宋" w:cs="仿宋"/>
                <w:color w:val="auto"/>
                <w:sz w:val="28"/>
                <w:szCs w:val="28"/>
              </w:rPr>
            </w:pPr>
          </w:p>
        </w:tc>
        <w:tc>
          <w:tcPr>
            <w:tcW w:w="909" w:type="dxa"/>
            <w:vAlign w:val="top"/>
          </w:tcPr>
          <w:p w14:paraId="3784E800">
            <w:pPr>
              <w:rPr>
                <w:rFonts w:hint="eastAsia" w:ascii="仿宋" w:hAnsi="仿宋" w:eastAsia="仿宋" w:cs="仿宋"/>
                <w:color w:val="auto"/>
                <w:sz w:val="28"/>
                <w:szCs w:val="28"/>
              </w:rPr>
            </w:pPr>
          </w:p>
        </w:tc>
        <w:tc>
          <w:tcPr>
            <w:tcW w:w="884" w:type="dxa"/>
            <w:vAlign w:val="top"/>
          </w:tcPr>
          <w:p w14:paraId="31DB92C4">
            <w:pPr>
              <w:rPr>
                <w:rFonts w:hint="eastAsia" w:ascii="仿宋" w:hAnsi="仿宋" w:eastAsia="仿宋" w:cs="仿宋"/>
                <w:color w:val="auto"/>
                <w:sz w:val="28"/>
                <w:szCs w:val="28"/>
              </w:rPr>
            </w:pPr>
          </w:p>
        </w:tc>
      </w:tr>
      <w:tr w14:paraId="7336F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18AC4C71">
            <w:pPr>
              <w:rPr>
                <w:rFonts w:hint="eastAsia" w:ascii="仿宋" w:hAnsi="仿宋" w:eastAsia="仿宋" w:cs="仿宋"/>
                <w:color w:val="auto"/>
                <w:sz w:val="28"/>
                <w:szCs w:val="28"/>
              </w:rPr>
            </w:pPr>
          </w:p>
        </w:tc>
        <w:tc>
          <w:tcPr>
            <w:tcW w:w="1015" w:type="dxa"/>
            <w:vAlign w:val="top"/>
          </w:tcPr>
          <w:p w14:paraId="7F4C8BA2">
            <w:pPr>
              <w:rPr>
                <w:rFonts w:hint="eastAsia" w:ascii="仿宋" w:hAnsi="仿宋" w:eastAsia="仿宋" w:cs="仿宋"/>
                <w:color w:val="auto"/>
                <w:sz w:val="28"/>
                <w:szCs w:val="28"/>
              </w:rPr>
            </w:pPr>
          </w:p>
        </w:tc>
        <w:tc>
          <w:tcPr>
            <w:tcW w:w="2160" w:type="dxa"/>
            <w:vAlign w:val="top"/>
          </w:tcPr>
          <w:p w14:paraId="2B162301">
            <w:pPr>
              <w:rPr>
                <w:rFonts w:hint="eastAsia" w:ascii="仿宋" w:hAnsi="仿宋" w:eastAsia="仿宋" w:cs="仿宋"/>
                <w:color w:val="auto"/>
                <w:sz w:val="28"/>
                <w:szCs w:val="28"/>
              </w:rPr>
            </w:pPr>
          </w:p>
        </w:tc>
        <w:tc>
          <w:tcPr>
            <w:tcW w:w="1485" w:type="dxa"/>
            <w:vAlign w:val="top"/>
          </w:tcPr>
          <w:p w14:paraId="3DDFCF85">
            <w:pPr>
              <w:rPr>
                <w:rFonts w:hint="eastAsia" w:ascii="仿宋" w:hAnsi="仿宋" w:eastAsia="仿宋" w:cs="仿宋"/>
                <w:color w:val="auto"/>
                <w:sz w:val="28"/>
                <w:szCs w:val="28"/>
              </w:rPr>
            </w:pPr>
          </w:p>
        </w:tc>
        <w:tc>
          <w:tcPr>
            <w:tcW w:w="1453" w:type="dxa"/>
            <w:vAlign w:val="top"/>
          </w:tcPr>
          <w:p w14:paraId="431BAF5D">
            <w:pPr>
              <w:rPr>
                <w:rFonts w:hint="eastAsia" w:ascii="仿宋" w:hAnsi="仿宋" w:eastAsia="仿宋" w:cs="仿宋"/>
                <w:color w:val="auto"/>
                <w:sz w:val="28"/>
                <w:szCs w:val="28"/>
              </w:rPr>
            </w:pPr>
          </w:p>
        </w:tc>
        <w:tc>
          <w:tcPr>
            <w:tcW w:w="909" w:type="dxa"/>
            <w:vAlign w:val="top"/>
          </w:tcPr>
          <w:p w14:paraId="676005A4">
            <w:pPr>
              <w:rPr>
                <w:rFonts w:hint="eastAsia" w:ascii="仿宋" w:hAnsi="仿宋" w:eastAsia="仿宋" w:cs="仿宋"/>
                <w:color w:val="auto"/>
                <w:sz w:val="28"/>
                <w:szCs w:val="28"/>
              </w:rPr>
            </w:pPr>
          </w:p>
        </w:tc>
        <w:tc>
          <w:tcPr>
            <w:tcW w:w="884" w:type="dxa"/>
            <w:vAlign w:val="top"/>
          </w:tcPr>
          <w:p w14:paraId="7E557D27">
            <w:pPr>
              <w:rPr>
                <w:rFonts w:hint="eastAsia" w:ascii="仿宋" w:hAnsi="仿宋" w:eastAsia="仿宋" w:cs="仿宋"/>
                <w:color w:val="auto"/>
                <w:sz w:val="28"/>
                <w:szCs w:val="28"/>
              </w:rPr>
            </w:pPr>
          </w:p>
        </w:tc>
      </w:tr>
      <w:tr w14:paraId="21A04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24" w:type="dxa"/>
            <w:vAlign w:val="top"/>
          </w:tcPr>
          <w:p w14:paraId="7265C092">
            <w:pPr>
              <w:rPr>
                <w:rFonts w:hint="eastAsia" w:ascii="仿宋" w:hAnsi="仿宋" w:eastAsia="仿宋" w:cs="仿宋"/>
                <w:color w:val="auto"/>
                <w:sz w:val="28"/>
                <w:szCs w:val="28"/>
              </w:rPr>
            </w:pPr>
          </w:p>
        </w:tc>
        <w:tc>
          <w:tcPr>
            <w:tcW w:w="1015" w:type="dxa"/>
            <w:vAlign w:val="top"/>
          </w:tcPr>
          <w:p w14:paraId="1184195C">
            <w:pPr>
              <w:rPr>
                <w:rFonts w:hint="eastAsia" w:ascii="仿宋" w:hAnsi="仿宋" w:eastAsia="仿宋" w:cs="仿宋"/>
                <w:color w:val="auto"/>
                <w:sz w:val="28"/>
                <w:szCs w:val="28"/>
              </w:rPr>
            </w:pPr>
          </w:p>
        </w:tc>
        <w:tc>
          <w:tcPr>
            <w:tcW w:w="2160" w:type="dxa"/>
            <w:vAlign w:val="top"/>
          </w:tcPr>
          <w:p w14:paraId="54A18AF1">
            <w:pPr>
              <w:rPr>
                <w:rFonts w:hint="eastAsia" w:ascii="仿宋" w:hAnsi="仿宋" w:eastAsia="仿宋" w:cs="仿宋"/>
                <w:color w:val="auto"/>
                <w:sz w:val="28"/>
                <w:szCs w:val="28"/>
              </w:rPr>
            </w:pPr>
          </w:p>
        </w:tc>
        <w:tc>
          <w:tcPr>
            <w:tcW w:w="1485" w:type="dxa"/>
            <w:vAlign w:val="top"/>
          </w:tcPr>
          <w:p w14:paraId="21F9EE2A">
            <w:pPr>
              <w:rPr>
                <w:rFonts w:hint="eastAsia" w:ascii="仿宋" w:hAnsi="仿宋" w:eastAsia="仿宋" w:cs="仿宋"/>
                <w:color w:val="auto"/>
                <w:sz w:val="28"/>
                <w:szCs w:val="28"/>
              </w:rPr>
            </w:pPr>
          </w:p>
        </w:tc>
        <w:tc>
          <w:tcPr>
            <w:tcW w:w="1453" w:type="dxa"/>
            <w:vAlign w:val="top"/>
          </w:tcPr>
          <w:p w14:paraId="28C02555">
            <w:pPr>
              <w:rPr>
                <w:rFonts w:hint="eastAsia" w:ascii="仿宋" w:hAnsi="仿宋" w:eastAsia="仿宋" w:cs="仿宋"/>
                <w:color w:val="auto"/>
                <w:sz w:val="28"/>
                <w:szCs w:val="28"/>
              </w:rPr>
            </w:pPr>
          </w:p>
        </w:tc>
        <w:tc>
          <w:tcPr>
            <w:tcW w:w="909" w:type="dxa"/>
            <w:vAlign w:val="top"/>
          </w:tcPr>
          <w:p w14:paraId="7F5F3BE6">
            <w:pPr>
              <w:rPr>
                <w:rFonts w:hint="eastAsia" w:ascii="仿宋" w:hAnsi="仿宋" w:eastAsia="仿宋" w:cs="仿宋"/>
                <w:color w:val="auto"/>
                <w:sz w:val="28"/>
                <w:szCs w:val="28"/>
              </w:rPr>
            </w:pPr>
          </w:p>
        </w:tc>
        <w:tc>
          <w:tcPr>
            <w:tcW w:w="884" w:type="dxa"/>
            <w:vAlign w:val="top"/>
          </w:tcPr>
          <w:p w14:paraId="7EC392B6">
            <w:pPr>
              <w:rPr>
                <w:rFonts w:hint="eastAsia" w:ascii="仿宋" w:hAnsi="仿宋" w:eastAsia="仿宋" w:cs="仿宋"/>
                <w:color w:val="auto"/>
                <w:sz w:val="28"/>
                <w:szCs w:val="28"/>
              </w:rPr>
            </w:pPr>
          </w:p>
        </w:tc>
      </w:tr>
      <w:tr w14:paraId="3B84D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24" w:type="dxa"/>
            <w:vAlign w:val="top"/>
          </w:tcPr>
          <w:p w14:paraId="339BBAB7">
            <w:pPr>
              <w:rPr>
                <w:rFonts w:hint="eastAsia" w:ascii="仿宋" w:hAnsi="仿宋" w:eastAsia="仿宋" w:cs="仿宋"/>
                <w:color w:val="auto"/>
                <w:sz w:val="28"/>
                <w:szCs w:val="28"/>
              </w:rPr>
            </w:pPr>
          </w:p>
        </w:tc>
        <w:tc>
          <w:tcPr>
            <w:tcW w:w="1015" w:type="dxa"/>
            <w:vAlign w:val="top"/>
          </w:tcPr>
          <w:p w14:paraId="76C8C288">
            <w:pPr>
              <w:rPr>
                <w:rFonts w:hint="eastAsia" w:ascii="仿宋" w:hAnsi="仿宋" w:eastAsia="仿宋" w:cs="仿宋"/>
                <w:color w:val="auto"/>
                <w:sz w:val="28"/>
                <w:szCs w:val="28"/>
              </w:rPr>
            </w:pPr>
          </w:p>
        </w:tc>
        <w:tc>
          <w:tcPr>
            <w:tcW w:w="2160" w:type="dxa"/>
            <w:vAlign w:val="top"/>
          </w:tcPr>
          <w:p w14:paraId="60223AAF">
            <w:pPr>
              <w:rPr>
                <w:rFonts w:hint="eastAsia" w:ascii="仿宋" w:hAnsi="仿宋" w:eastAsia="仿宋" w:cs="仿宋"/>
                <w:color w:val="auto"/>
                <w:sz w:val="28"/>
                <w:szCs w:val="28"/>
              </w:rPr>
            </w:pPr>
          </w:p>
        </w:tc>
        <w:tc>
          <w:tcPr>
            <w:tcW w:w="1485" w:type="dxa"/>
            <w:vAlign w:val="top"/>
          </w:tcPr>
          <w:p w14:paraId="5BB866DF">
            <w:pPr>
              <w:rPr>
                <w:rFonts w:hint="eastAsia" w:ascii="仿宋" w:hAnsi="仿宋" w:eastAsia="仿宋" w:cs="仿宋"/>
                <w:color w:val="auto"/>
                <w:sz w:val="28"/>
                <w:szCs w:val="28"/>
              </w:rPr>
            </w:pPr>
          </w:p>
        </w:tc>
        <w:tc>
          <w:tcPr>
            <w:tcW w:w="1453" w:type="dxa"/>
            <w:vAlign w:val="top"/>
          </w:tcPr>
          <w:p w14:paraId="0190E09B">
            <w:pPr>
              <w:rPr>
                <w:rFonts w:hint="eastAsia" w:ascii="仿宋" w:hAnsi="仿宋" w:eastAsia="仿宋" w:cs="仿宋"/>
                <w:color w:val="auto"/>
                <w:sz w:val="28"/>
                <w:szCs w:val="28"/>
              </w:rPr>
            </w:pPr>
          </w:p>
        </w:tc>
        <w:tc>
          <w:tcPr>
            <w:tcW w:w="909" w:type="dxa"/>
            <w:vAlign w:val="top"/>
          </w:tcPr>
          <w:p w14:paraId="1CD2F2B6">
            <w:pPr>
              <w:rPr>
                <w:rFonts w:hint="eastAsia" w:ascii="仿宋" w:hAnsi="仿宋" w:eastAsia="仿宋" w:cs="仿宋"/>
                <w:color w:val="auto"/>
                <w:sz w:val="28"/>
                <w:szCs w:val="28"/>
              </w:rPr>
            </w:pPr>
          </w:p>
        </w:tc>
        <w:tc>
          <w:tcPr>
            <w:tcW w:w="884" w:type="dxa"/>
            <w:vAlign w:val="top"/>
          </w:tcPr>
          <w:p w14:paraId="69FAB0C7">
            <w:pPr>
              <w:rPr>
                <w:rFonts w:hint="eastAsia" w:ascii="仿宋" w:hAnsi="仿宋" w:eastAsia="仿宋" w:cs="仿宋"/>
                <w:color w:val="auto"/>
                <w:sz w:val="28"/>
                <w:szCs w:val="28"/>
              </w:rPr>
            </w:pPr>
          </w:p>
        </w:tc>
      </w:tr>
      <w:tr w14:paraId="3104F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24" w:type="dxa"/>
            <w:vAlign w:val="top"/>
          </w:tcPr>
          <w:p w14:paraId="4CBB5B1A">
            <w:pPr>
              <w:rPr>
                <w:rFonts w:hint="eastAsia" w:ascii="仿宋" w:hAnsi="仿宋" w:eastAsia="仿宋" w:cs="仿宋"/>
                <w:color w:val="auto"/>
                <w:sz w:val="28"/>
                <w:szCs w:val="28"/>
              </w:rPr>
            </w:pPr>
          </w:p>
        </w:tc>
        <w:tc>
          <w:tcPr>
            <w:tcW w:w="1015" w:type="dxa"/>
            <w:vAlign w:val="top"/>
          </w:tcPr>
          <w:p w14:paraId="0950E407">
            <w:pPr>
              <w:rPr>
                <w:rFonts w:hint="eastAsia" w:ascii="仿宋" w:hAnsi="仿宋" w:eastAsia="仿宋" w:cs="仿宋"/>
                <w:color w:val="auto"/>
                <w:sz w:val="28"/>
                <w:szCs w:val="28"/>
              </w:rPr>
            </w:pPr>
          </w:p>
        </w:tc>
        <w:tc>
          <w:tcPr>
            <w:tcW w:w="2160" w:type="dxa"/>
            <w:vAlign w:val="top"/>
          </w:tcPr>
          <w:p w14:paraId="69ADD7A4">
            <w:pPr>
              <w:rPr>
                <w:rFonts w:hint="eastAsia" w:ascii="仿宋" w:hAnsi="仿宋" w:eastAsia="仿宋" w:cs="仿宋"/>
                <w:color w:val="auto"/>
                <w:sz w:val="28"/>
                <w:szCs w:val="28"/>
              </w:rPr>
            </w:pPr>
          </w:p>
        </w:tc>
        <w:tc>
          <w:tcPr>
            <w:tcW w:w="1485" w:type="dxa"/>
            <w:vAlign w:val="top"/>
          </w:tcPr>
          <w:p w14:paraId="03B4D7BE">
            <w:pPr>
              <w:rPr>
                <w:rFonts w:hint="eastAsia" w:ascii="仿宋" w:hAnsi="仿宋" w:eastAsia="仿宋" w:cs="仿宋"/>
                <w:color w:val="auto"/>
                <w:sz w:val="28"/>
                <w:szCs w:val="28"/>
              </w:rPr>
            </w:pPr>
          </w:p>
        </w:tc>
        <w:tc>
          <w:tcPr>
            <w:tcW w:w="1453" w:type="dxa"/>
            <w:vAlign w:val="top"/>
          </w:tcPr>
          <w:p w14:paraId="1B65279E">
            <w:pPr>
              <w:rPr>
                <w:rFonts w:hint="eastAsia" w:ascii="仿宋" w:hAnsi="仿宋" w:eastAsia="仿宋" w:cs="仿宋"/>
                <w:color w:val="auto"/>
                <w:sz w:val="28"/>
                <w:szCs w:val="28"/>
              </w:rPr>
            </w:pPr>
          </w:p>
        </w:tc>
        <w:tc>
          <w:tcPr>
            <w:tcW w:w="909" w:type="dxa"/>
            <w:vAlign w:val="top"/>
          </w:tcPr>
          <w:p w14:paraId="6F90A6A1">
            <w:pPr>
              <w:rPr>
                <w:rFonts w:hint="eastAsia" w:ascii="仿宋" w:hAnsi="仿宋" w:eastAsia="仿宋" w:cs="仿宋"/>
                <w:color w:val="auto"/>
                <w:sz w:val="28"/>
                <w:szCs w:val="28"/>
              </w:rPr>
            </w:pPr>
          </w:p>
        </w:tc>
        <w:tc>
          <w:tcPr>
            <w:tcW w:w="884" w:type="dxa"/>
            <w:vAlign w:val="top"/>
          </w:tcPr>
          <w:p w14:paraId="480046BA">
            <w:pPr>
              <w:rPr>
                <w:rFonts w:hint="eastAsia" w:ascii="仿宋" w:hAnsi="仿宋" w:eastAsia="仿宋" w:cs="仿宋"/>
                <w:color w:val="auto"/>
                <w:sz w:val="28"/>
                <w:szCs w:val="28"/>
              </w:rPr>
            </w:pPr>
          </w:p>
        </w:tc>
      </w:tr>
      <w:tr w14:paraId="3B61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24" w:type="dxa"/>
            <w:vAlign w:val="top"/>
          </w:tcPr>
          <w:p w14:paraId="1810F199">
            <w:pPr>
              <w:rPr>
                <w:rFonts w:hint="eastAsia" w:ascii="仿宋" w:hAnsi="仿宋" w:eastAsia="仿宋" w:cs="仿宋"/>
                <w:color w:val="auto"/>
                <w:sz w:val="28"/>
                <w:szCs w:val="28"/>
              </w:rPr>
            </w:pPr>
          </w:p>
        </w:tc>
        <w:tc>
          <w:tcPr>
            <w:tcW w:w="1015" w:type="dxa"/>
            <w:vAlign w:val="top"/>
          </w:tcPr>
          <w:p w14:paraId="6BF250CB">
            <w:pPr>
              <w:rPr>
                <w:rFonts w:hint="eastAsia" w:ascii="仿宋" w:hAnsi="仿宋" w:eastAsia="仿宋" w:cs="仿宋"/>
                <w:color w:val="auto"/>
                <w:sz w:val="28"/>
                <w:szCs w:val="28"/>
              </w:rPr>
            </w:pPr>
          </w:p>
        </w:tc>
        <w:tc>
          <w:tcPr>
            <w:tcW w:w="2160" w:type="dxa"/>
            <w:vAlign w:val="top"/>
          </w:tcPr>
          <w:p w14:paraId="2CFB49A1">
            <w:pPr>
              <w:rPr>
                <w:rFonts w:hint="eastAsia" w:ascii="仿宋" w:hAnsi="仿宋" w:eastAsia="仿宋" w:cs="仿宋"/>
                <w:color w:val="auto"/>
                <w:sz w:val="28"/>
                <w:szCs w:val="28"/>
              </w:rPr>
            </w:pPr>
          </w:p>
        </w:tc>
        <w:tc>
          <w:tcPr>
            <w:tcW w:w="1485" w:type="dxa"/>
            <w:vAlign w:val="top"/>
          </w:tcPr>
          <w:p w14:paraId="0CC505F0">
            <w:pPr>
              <w:rPr>
                <w:rFonts w:hint="eastAsia" w:ascii="仿宋" w:hAnsi="仿宋" w:eastAsia="仿宋" w:cs="仿宋"/>
                <w:color w:val="auto"/>
                <w:sz w:val="28"/>
                <w:szCs w:val="28"/>
              </w:rPr>
            </w:pPr>
          </w:p>
        </w:tc>
        <w:tc>
          <w:tcPr>
            <w:tcW w:w="1453" w:type="dxa"/>
            <w:vAlign w:val="top"/>
          </w:tcPr>
          <w:p w14:paraId="221529B1">
            <w:pPr>
              <w:rPr>
                <w:rFonts w:hint="eastAsia" w:ascii="仿宋" w:hAnsi="仿宋" w:eastAsia="仿宋" w:cs="仿宋"/>
                <w:color w:val="auto"/>
                <w:sz w:val="28"/>
                <w:szCs w:val="28"/>
              </w:rPr>
            </w:pPr>
          </w:p>
        </w:tc>
        <w:tc>
          <w:tcPr>
            <w:tcW w:w="909" w:type="dxa"/>
            <w:vAlign w:val="top"/>
          </w:tcPr>
          <w:p w14:paraId="4DA249D7">
            <w:pPr>
              <w:rPr>
                <w:rFonts w:hint="eastAsia" w:ascii="仿宋" w:hAnsi="仿宋" w:eastAsia="仿宋" w:cs="仿宋"/>
                <w:color w:val="auto"/>
                <w:sz w:val="28"/>
                <w:szCs w:val="28"/>
              </w:rPr>
            </w:pPr>
          </w:p>
        </w:tc>
        <w:tc>
          <w:tcPr>
            <w:tcW w:w="884" w:type="dxa"/>
            <w:vAlign w:val="top"/>
          </w:tcPr>
          <w:p w14:paraId="3055BA53">
            <w:pPr>
              <w:rPr>
                <w:rFonts w:hint="eastAsia" w:ascii="仿宋" w:hAnsi="仿宋" w:eastAsia="仿宋" w:cs="仿宋"/>
                <w:color w:val="auto"/>
                <w:sz w:val="28"/>
                <w:szCs w:val="28"/>
              </w:rPr>
            </w:pPr>
          </w:p>
        </w:tc>
      </w:tr>
    </w:tbl>
    <w:p w14:paraId="683A5977">
      <w:pPr>
        <w:pStyle w:val="13"/>
        <w:spacing w:line="302" w:lineRule="auto"/>
        <w:rPr>
          <w:rFonts w:hint="eastAsia" w:ascii="仿宋" w:hAnsi="仿宋" w:eastAsia="仿宋" w:cs="仿宋"/>
          <w:color w:val="auto"/>
          <w:sz w:val="28"/>
          <w:szCs w:val="28"/>
        </w:rPr>
      </w:pPr>
    </w:p>
    <w:p w14:paraId="464FB8BA">
      <w:pPr>
        <w:spacing w:before="74" w:line="213" w:lineRule="auto"/>
        <w:ind w:left="724" w:right="1054" w:firstLine="20"/>
        <w:rPr>
          <w:rFonts w:hint="eastAsia" w:ascii="仿宋" w:hAnsi="仿宋" w:eastAsia="仿宋" w:cs="仿宋"/>
          <w:color w:val="auto"/>
          <w:sz w:val="28"/>
          <w:szCs w:val="28"/>
        </w:rPr>
      </w:pPr>
      <w:r>
        <w:rPr>
          <w:rFonts w:hint="eastAsia" w:ascii="仿宋" w:hAnsi="仿宋" w:eastAsia="仿宋" w:cs="仿宋"/>
          <w:color w:val="auto"/>
          <w:spacing w:val="16"/>
          <w:sz w:val="28"/>
          <w:szCs w:val="28"/>
        </w:rPr>
        <w:t>法定代表人或其委托代理人(签字或盖章):</w:t>
      </w:r>
      <w:r>
        <w:rPr>
          <w:rFonts w:hint="eastAsia" w:ascii="仿宋" w:hAnsi="仿宋" w:eastAsia="仿宋" w:cs="仿宋"/>
          <w:color w:val="auto"/>
          <w:spacing w:val="16"/>
          <w:sz w:val="28"/>
          <w:szCs w:val="28"/>
          <w:u w:val="single" w:color="auto"/>
        </w:rPr>
        <w:t xml:space="preserve">                  </w:t>
      </w:r>
      <w:r>
        <w:rPr>
          <w:rFonts w:hint="eastAsia" w:ascii="仿宋" w:hAnsi="仿宋" w:eastAsia="仿宋" w:cs="仿宋"/>
          <w:color w:val="auto"/>
          <w:spacing w:val="6"/>
          <w:sz w:val="28"/>
          <w:szCs w:val="28"/>
        </w:rPr>
        <w:t xml:space="preserve"> </w:t>
      </w:r>
      <w:r>
        <w:rPr>
          <w:rFonts w:hint="eastAsia" w:ascii="仿宋" w:hAnsi="仿宋" w:eastAsia="仿宋" w:cs="仿宋"/>
          <w:color w:val="auto"/>
          <w:spacing w:val="7"/>
          <w:sz w:val="28"/>
          <w:szCs w:val="28"/>
        </w:rPr>
        <w:t>供应商(公章);</w:t>
      </w:r>
      <w:r>
        <w:rPr>
          <w:rFonts w:hint="eastAsia" w:ascii="仿宋" w:hAnsi="仿宋" w:eastAsia="仿宋" w:cs="仿宋"/>
          <w:color w:val="auto"/>
          <w:sz w:val="28"/>
          <w:szCs w:val="28"/>
          <w:u w:val="single" w:color="auto"/>
        </w:rPr>
        <w:t xml:space="preserve">                             </w:t>
      </w:r>
    </w:p>
    <w:p w14:paraId="609383BC">
      <w:pPr>
        <w:spacing w:line="213" w:lineRule="auto"/>
        <w:rPr>
          <w:rFonts w:hint="eastAsia" w:ascii="仿宋" w:hAnsi="仿宋" w:eastAsia="仿宋" w:cs="仿宋"/>
          <w:color w:val="auto"/>
          <w:sz w:val="28"/>
          <w:szCs w:val="28"/>
        </w:rPr>
        <w:sectPr>
          <w:type w:val="continuous"/>
          <w:pgSz w:w="11910" w:h="16840"/>
          <w:pgMar w:top="1429" w:right="1134" w:bottom="1140" w:left="1701" w:header="0" w:footer="999" w:gutter="0"/>
          <w:pgNumType w:fmt="decimal"/>
          <w:cols w:equalWidth="0" w:num="1">
            <w:col w:w="8741"/>
          </w:cols>
          <w:rtlGutter w:val="0"/>
          <w:docGrid w:linePitch="0" w:charSpace="0"/>
        </w:sectPr>
      </w:pPr>
    </w:p>
    <w:p w14:paraId="48B4BA1C">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《监狱企业适用》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非</w:t>
      </w:r>
      <w:r>
        <w:rPr>
          <w:rFonts w:hint="eastAsia" w:ascii="仿宋" w:hAnsi="仿宋" w:eastAsia="仿宋" w:cs="仿宋"/>
          <w:color w:val="auto"/>
          <w:sz w:val="28"/>
          <w:szCs w:val="28"/>
        </w:rPr>
        <w:t>监狱企业</w:t>
      </w:r>
      <w:r>
        <w:rPr>
          <w:rFonts w:hint="eastAsia" w:ascii="仿宋" w:hAnsi="仿宋" w:eastAsia="仿宋" w:cs="仿宋"/>
          <w:color w:val="auto"/>
          <w:sz w:val="28"/>
          <w:szCs w:val="28"/>
          <w:lang w:val="en-US" w:eastAsia="zh-CN"/>
        </w:rPr>
        <w:t>无需填写</w:t>
      </w:r>
      <w:r>
        <w:rPr>
          <w:rFonts w:hint="eastAsia" w:ascii="仿宋" w:hAnsi="仿宋" w:eastAsia="仿宋" w:cs="仿宋"/>
          <w:color w:val="auto"/>
          <w:sz w:val="28"/>
          <w:szCs w:val="28"/>
          <w:lang w:eastAsia="zh-CN"/>
        </w:rPr>
        <w:t>）</w:t>
      </w:r>
    </w:p>
    <w:p w14:paraId="151E2CC2">
      <w:pPr>
        <w:pStyle w:val="16"/>
        <w:ind w:left="311" w:leftChars="148" w:firstLine="228"/>
        <w:rPr>
          <w:rFonts w:hint="eastAsia" w:ascii="仿宋" w:hAnsi="仿宋" w:eastAsia="仿宋" w:cs="仿宋"/>
          <w:color w:val="auto"/>
          <w:sz w:val="28"/>
          <w:szCs w:val="28"/>
        </w:rPr>
      </w:pPr>
    </w:p>
    <w:p w14:paraId="3F608848">
      <w:pPr>
        <w:spacing w:line="240" w:lineRule="atLeast"/>
        <w:ind w:firstLine="567"/>
        <w:rPr>
          <w:rFonts w:hint="eastAsia" w:ascii="仿宋" w:hAnsi="仿宋" w:eastAsia="仿宋" w:cs="仿宋"/>
          <w:color w:val="auto"/>
          <w:sz w:val="28"/>
          <w:szCs w:val="28"/>
        </w:rPr>
      </w:pPr>
      <w:r>
        <w:rPr>
          <w:rFonts w:hint="eastAsia" w:ascii="仿宋" w:hAnsi="仿宋" w:eastAsia="仿宋" w:cs="仿宋"/>
          <w:color w:val="auto"/>
          <w:sz w:val="28"/>
          <w:szCs w:val="28"/>
        </w:rPr>
        <w:t>本公司郑重声明，根据《关于政府采购支持监狱企业发展有关问题的通知》（财库[2014]68号）的规定，本公司为监狱企业。</w:t>
      </w:r>
    </w:p>
    <w:p w14:paraId="61AF67E9">
      <w:pPr>
        <w:spacing w:line="240" w:lineRule="atLeast"/>
        <w:ind w:firstLine="567"/>
        <w:rPr>
          <w:rFonts w:hint="eastAsia" w:ascii="仿宋" w:hAnsi="仿宋" w:eastAsia="仿宋" w:cs="仿宋"/>
          <w:color w:val="auto"/>
          <w:sz w:val="28"/>
          <w:szCs w:val="28"/>
        </w:rPr>
      </w:pPr>
      <w:r>
        <w:rPr>
          <w:rFonts w:hint="eastAsia" w:ascii="仿宋" w:hAnsi="仿宋" w:eastAsia="仿宋" w:cs="仿宋"/>
          <w:color w:val="auto"/>
          <w:sz w:val="28"/>
          <w:szCs w:val="28"/>
        </w:rPr>
        <w:t>本公司参加______单位的______项目采购活动，采购活动提供本企业（填写制造的货物，由本企业承担工程、提供服务）。</w:t>
      </w:r>
    </w:p>
    <w:p w14:paraId="4854A376">
      <w:pPr>
        <w:spacing w:line="240" w:lineRule="atLeast"/>
        <w:ind w:firstLine="567"/>
        <w:rPr>
          <w:rFonts w:hint="eastAsia" w:ascii="仿宋" w:hAnsi="仿宋" w:eastAsia="仿宋" w:cs="仿宋"/>
          <w:color w:val="auto"/>
          <w:sz w:val="28"/>
          <w:szCs w:val="28"/>
        </w:rPr>
      </w:pPr>
      <w:r>
        <w:rPr>
          <w:rFonts w:hint="eastAsia" w:ascii="仿宋" w:hAnsi="仿宋" w:eastAsia="仿宋" w:cs="仿宋"/>
          <w:color w:val="auto"/>
          <w:sz w:val="28"/>
          <w:szCs w:val="28"/>
        </w:rPr>
        <w:t>本条所称货物不包括使用大型企业注册商标的货物和服务。</w:t>
      </w:r>
    </w:p>
    <w:p w14:paraId="301242E1">
      <w:pPr>
        <w:spacing w:line="240" w:lineRule="atLeast"/>
        <w:ind w:firstLine="567"/>
        <w:rPr>
          <w:rFonts w:hint="eastAsia" w:ascii="仿宋" w:hAnsi="仿宋" w:eastAsia="仿宋" w:cs="仿宋"/>
          <w:color w:val="auto"/>
          <w:sz w:val="28"/>
          <w:szCs w:val="28"/>
        </w:rPr>
      </w:pPr>
      <w:r>
        <w:rPr>
          <w:rFonts w:hint="eastAsia" w:ascii="仿宋" w:hAnsi="仿宋" w:eastAsia="仿宋" w:cs="仿宋"/>
          <w:color w:val="auto"/>
          <w:sz w:val="28"/>
          <w:szCs w:val="28"/>
        </w:rPr>
        <w:t>本公司对上述声明的真实性负责。如有虚假，将依法承担相应责任。</w:t>
      </w:r>
    </w:p>
    <w:p w14:paraId="13DF5631">
      <w:pPr>
        <w:spacing w:line="240" w:lineRule="atLeast"/>
        <w:ind w:firstLine="567"/>
        <w:rPr>
          <w:rFonts w:hint="eastAsia" w:ascii="仿宋" w:hAnsi="仿宋" w:eastAsia="仿宋" w:cs="仿宋"/>
          <w:color w:val="auto"/>
          <w:sz w:val="28"/>
          <w:szCs w:val="28"/>
        </w:rPr>
      </w:pPr>
    </w:p>
    <w:p w14:paraId="477CB485">
      <w:pPr>
        <w:spacing w:line="240" w:lineRule="atLeast"/>
        <w:ind w:firstLine="567"/>
        <w:rPr>
          <w:rFonts w:hint="eastAsia" w:ascii="仿宋" w:hAnsi="仿宋" w:eastAsia="仿宋" w:cs="仿宋"/>
          <w:color w:val="auto"/>
          <w:sz w:val="28"/>
          <w:szCs w:val="28"/>
        </w:rPr>
      </w:pPr>
      <w:r>
        <w:rPr>
          <w:rFonts w:hint="eastAsia" w:ascii="仿宋" w:hAnsi="仿宋" w:eastAsia="仿宋" w:cs="仿宋"/>
          <w:color w:val="auto"/>
          <w:sz w:val="28"/>
          <w:szCs w:val="28"/>
        </w:rPr>
        <w:t>企业名称（加盖公章）：</w:t>
      </w:r>
    </w:p>
    <w:p w14:paraId="4C84B816">
      <w:pPr>
        <w:spacing w:line="240" w:lineRule="atLeast"/>
        <w:ind w:firstLine="567"/>
        <w:rPr>
          <w:rFonts w:hint="eastAsia" w:ascii="仿宋" w:hAnsi="仿宋" w:eastAsia="仿宋" w:cs="仿宋"/>
          <w:color w:val="auto"/>
          <w:sz w:val="28"/>
          <w:szCs w:val="28"/>
        </w:rPr>
      </w:pPr>
      <w:r>
        <w:rPr>
          <w:rFonts w:hint="eastAsia" w:ascii="仿宋" w:hAnsi="仿宋" w:eastAsia="仿宋" w:cs="仿宋"/>
          <w:color w:val="auto"/>
          <w:sz w:val="28"/>
          <w:szCs w:val="28"/>
        </w:rPr>
        <w:t>法定代表人（负责人）或其授权代表(签字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rPr>
        <w:t>)：</w:t>
      </w:r>
    </w:p>
    <w:p w14:paraId="31783099">
      <w:pPr>
        <w:spacing w:line="240" w:lineRule="atLeast"/>
        <w:ind w:firstLine="567"/>
        <w:rPr>
          <w:rFonts w:hint="eastAsia" w:ascii="仿宋" w:hAnsi="仿宋" w:eastAsia="仿宋" w:cs="仿宋"/>
          <w:color w:val="auto"/>
          <w:sz w:val="28"/>
          <w:szCs w:val="28"/>
        </w:rPr>
      </w:pPr>
      <w:r>
        <w:rPr>
          <w:rFonts w:hint="eastAsia" w:ascii="仿宋" w:hAnsi="仿宋" w:eastAsia="仿宋" w:cs="仿宋"/>
          <w:color w:val="auto"/>
          <w:sz w:val="28"/>
          <w:szCs w:val="28"/>
        </w:rPr>
        <w:t>日期：</w:t>
      </w:r>
    </w:p>
    <w:p w14:paraId="1611C95D">
      <w:pPr>
        <w:spacing w:line="240" w:lineRule="atLeast"/>
        <w:ind w:firstLine="567"/>
        <w:rPr>
          <w:rFonts w:hint="eastAsia" w:ascii="仿宋" w:hAnsi="仿宋" w:eastAsia="仿宋" w:cs="仿宋"/>
          <w:color w:val="auto"/>
          <w:sz w:val="28"/>
          <w:szCs w:val="28"/>
        </w:rPr>
      </w:pPr>
    </w:p>
    <w:p w14:paraId="2D90F9AC">
      <w:pPr>
        <w:spacing w:line="240" w:lineRule="atLeast"/>
        <w:ind w:firstLine="567"/>
        <w:rPr>
          <w:rFonts w:hint="eastAsia" w:ascii="仿宋" w:hAnsi="仿宋" w:eastAsia="仿宋" w:cs="仿宋"/>
          <w:color w:val="auto"/>
          <w:sz w:val="28"/>
          <w:szCs w:val="28"/>
        </w:rPr>
      </w:pPr>
      <w:r>
        <w:rPr>
          <w:rFonts w:hint="eastAsia" w:ascii="仿宋" w:hAnsi="仿宋" w:eastAsia="仿宋" w:cs="仿宋"/>
          <w:color w:val="auto"/>
          <w:sz w:val="28"/>
          <w:szCs w:val="28"/>
        </w:rPr>
        <w:t>注：后附监狱企业资格证明文件</w:t>
      </w:r>
    </w:p>
    <w:p w14:paraId="426ADFE4">
      <w:pPr>
        <w:spacing w:line="240" w:lineRule="atLeast"/>
        <w:ind w:firstLine="567"/>
        <w:rPr>
          <w:rFonts w:hint="eastAsia" w:ascii="仿宋" w:hAnsi="仿宋" w:eastAsia="仿宋" w:cs="仿宋"/>
          <w:color w:val="auto"/>
          <w:sz w:val="28"/>
          <w:szCs w:val="28"/>
        </w:rPr>
      </w:pPr>
      <w:r>
        <w:rPr>
          <w:rFonts w:hint="eastAsia" w:ascii="仿宋" w:hAnsi="仿宋" w:eastAsia="仿宋" w:cs="仿宋"/>
          <w:color w:val="auto"/>
          <w:sz w:val="28"/>
          <w:szCs w:val="28"/>
        </w:rPr>
        <w:t>1. 省级以上监狱管理局、戒毒管理局（含新疆生产建设兵团）出具的属于监狱企业的证明文件；</w:t>
      </w:r>
    </w:p>
    <w:p w14:paraId="64B5F723">
      <w:pPr>
        <w:spacing w:line="240" w:lineRule="atLeast"/>
        <w:ind w:firstLine="567"/>
        <w:rPr>
          <w:rFonts w:hint="eastAsia" w:ascii="仿宋" w:hAnsi="仿宋" w:eastAsia="仿宋" w:cs="仿宋"/>
          <w:color w:val="auto"/>
          <w:sz w:val="28"/>
          <w:szCs w:val="28"/>
        </w:rPr>
      </w:pPr>
      <w:r>
        <w:rPr>
          <w:rFonts w:hint="eastAsia" w:ascii="仿宋" w:hAnsi="仿宋" w:eastAsia="仿宋" w:cs="仿宋"/>
          <w:color w:val="auto"/>
          <w:sz w:val="28"/>
          <w:szCs w:val="28"/>
        </w:rPr>
        <w:t>2.证明材料加盖供应商公章。</w:t>
      </w:r>
    </w:p>
    <w:p w14:paraId="2F0859AB">
      <w:pPr>
        <w:spacing w:line="240" w:lineRule="atLeast"/>
        <w:ind w:firstLine="567"/>
        <w:rPr>
          <w:rFonts w:hint="eastAsia" w:ascii="仿宋" w:hAnsi="仿宋" w:eastAsia="仿宋" w:cs="仿宋"/>
          <w:color w:val="auto"/>
          <w:sz w:val="28"/>
          <w:szCs w:val="28"/>
        </w:rPr>
      </w:pPr>
      <w:r>
        <w:rPr>
          <w:rFonts w:hint="eastAsia" w:ascii="仿宋" w:hAnsi="仿宋" w:eastAsia="仿宋" w:cs="仿宋"/>
          <w:color w:val="auto"/>
          <w:sz w:val="28"/>
          <w:szCs w:val="28"/>
        </w:rPr>
        <w:t xml:space="preserve">（若投标文件中无上述证明文件，不视为中小微型企业，则在评审时不考虑对该监狱企业的相关优惠。） </w:t>
      </w:r>
    </w:p>
    <w:p w14:paraId="10CF5AA7">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38FAD971">
      <w:pPr>
        <w:pStyle w:val="16"/>
        <w:ind w:left="311" w:leftChars="148" w:firstLine="228"/>
        <w:jc w:val="center"/>
        <w:rPr>
          <w:rFonts w:hint="eastAsia" w:ascii="仿宋" w:hAnsi="仿宋" w:eastAsia="仿宋" w:cs="仿宋"/>
          <w:color w:val="auto"/>
          <w:sz w:val="28"/>
          <w:szCs w:val="28"/>
        </w:rPr>
      </w:pPr>
    </w:p>
    <w:p w14:paraId="7FD045CE">
      <w:pPr>
        <w:pStyle w:val="5"/>
        <w:spacing w:before="0" w:line="240" w:lineRule="atLeast"/>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5</w:t>
      </w: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rPr>
        <w:t xml:space="preserve">  残疾人福利性单位声明函</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非</w:t>
      </w:r>
      <w:r>
        <w:rPr>
          <w:rFonts w:hint="eastAsia" w:ascii="仿宋" w:hAnsi="仿宋" w:eastAsia="仿宋" w:cs="仿宋"/>
          <w:color w:val="auto"/>
          <w:kern w:val="2"/>
          <w:sz w:val="28"/>
          <w:szCs w:val="28"/>
        </w:rPr>
        <w:t>残疾人福利性单位</w:t>
      </w:r>
      <w:r>
        <w:rPr>
          <w:rFonts w:hint="eastAsia" w:ascii="仿宋" w:hAnsi="仿宋" w:eastAsia="仿宋" w:cs="仿宋"/>
          <w:color w:val="auto"/>
          <w:sz w:val="28"/>
          <w:szCs w:val="28"/>
          <w:lang w:val="en-US" w:eastAsia="zh-CN"/>
        </w:rPr>
        <w:t>无需填写</w:t>
      </w:r>
      <w:r>
        <w:rPr>
          <w:rFonts w:hint="eastAsia" w:ascii="仿宋" w:hAnsi="仿宋" w:eastAsia="仿宋" w:cs="仿宋"/>
          <w:color w:val="auto"/>
          <w:sz w:val="28"/>
          <w:szCs w:val="28"/>
          <w:lang w:eastAsia="zh-CN"/>
        </w:rPr>
        <w:t>）</w:t>
      </w:r>
    </w:p>
    <w:bookmarkEnd w:id="566"/>
    <w:bookmarkEnd w:id="567"/>
    <w:p w14:paraId="6F9A5A2B">
      <w:pPr>
        <w:spacing w:line="240" w:lineRule="atLeast"/>
        <w:ind w:left="1080" w:leftChars="257" w:hanging="540"/>
        <w:jc w:val="center"/>
        <w:rPr>
          <w:rFonts w:hint="eastAsia" w:ascii="仿宋" w:hAnsi="仿宋" w:eastAsia="仿宋" w:cs="仿宋"/>
          <w:color w:val="auto"/>
          <w:sz w:val="28"/>
          <w:szCs w:val="28"/>
        </w:rPr>
      </w:pPr>
    </w:p>
    <w:p w14:paraId="73AF84BE">
      <w:pPr>
        <w:spacing w:line="240" w:lineRule="atLeast"/>
        <w:ind w:firstLine="567"/>
        <w:rPr>
          <w:rFonts w:hint="eastAsia" w:ascii="仿宋" w:hAnsi="仿宋" w:eastAsia="仿宋" w:cs="仿宋"/>
          <w:color w:val="auto"/>
          <w:sz w:val="28"/>
          <w:szCs w:val="28"/>
        </w:rPr>
      </w:pPr>
      <w:r>
        <w:rPr>
          <w:rFonts w:hint="eastAsia" w:ascii="仿宋" w:hAnsi="仿宋" w:eastAsia="仿宋" w:cs="仿宋"/>
          <w:color w:val="auto"/>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8F10C3D">
      <w:pPr>
        <w:spacing w:line="240" w:lineRule="atLeast"/>
        <w:ind w:left="1080" w:leftChars="257" w:hanging="540"/>
        <w:rPr>
          <w:rFonts w:hint="eastAsia" w:ascii="仿宋" w:hAnsi="仿宋" w:eastAsia="仿宋" w:cs="仿宋"/>
          <w:color w:val="auto"/>
          <w:sz w:val="28"/>
          <w:szCs w:val="28"/>
        </w:rPr>
      </w:pPr>
      <w:r>
        <w:rPr>
          <w:rFonts w:hint="eastAsia" w:ascii="仿宋" w:hAnsi="仿宋" w:eastAsia="仿宋" w:cs="仿宋"/>
          <w:color w:val="auto"/>
          <w:sz w:val="28"/>
          <w:szCs w:val="28"/>
        </w:rPr>
        <w:t>本单位对上述声明的真实性负责。如有虚假，将依法承担相应责任。</w:t>
      </w:r>
    </w:p>
    <w:p w14:paraId="22966468">
      <w:pPr>
        <w:spacing w:line="240" w:lineRule="atLeast"/>
        <w:ind w:left="1080" w:leftChars="257" w:hanging="540"/>
        <w:jc w:val="center"/>
        <w:rPr>
          <w:rFonts w:hint="eastAsia" w:ascii="仿宋" w:hAnsi="仿宋" w:eastAsia="仿宋" w:cs="仿宋"/>
          <w:color w:val="auto"/>
          <w:sz w:val="28"/>
          <w:szCs w:val="28"/>
        </w:rPr>
      </w:pPr>
    </w:p>
    <w:p w14:paraId="757E66DC">
      <w:pPr>
        <w:spacing w:line="240" w:lineRule="atLeast"/>
        <w:ind w:left="1080" w:leftChars="257" w:hanging="540"/>
        <w:jc w:val="center"/>
        <w:rPr>
          <w:rFonts w:hint="eastAsia" w:ascii="仿宋" w:hAnsi="仿宋" w:eastAsia="仿宋" w:cs="仿宋"/>
          <w:color w:val="auto"/>
          <w:sz w:val="28"/>
          <w:szCs w:val="28"/>
        </w:rPr>
      </w:pPr>
    </w:p>
    <w:p w14:paraId="6E559932">
      <w:pPr>
        <w:spacing w:line="240" w:lineRule="atLeast"/>
        <w:ind w:left="1080" w:leftChars="257" w:hanging="540"/>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残疾人福利性单位名称（公章）：______________</w:t>
      </w:r>
    </w:p>
    <w:p w14:paraId="6BF43C8C">
      <w:pPr>
        <w:spacing w:line="240" w:lineRule="atLeast"/>
        <w:ind w:left="1080" w:leftChars="257" w:hanging="540"/>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日  期：_____________________________________________</w:t>
      </w:r>
    </w:p>
    <w:p w14:paraId="0A985E2A">
      <w:pPr>
        <w:spacing w:line="240" w:lineRule="atLeast"/>
        <w:ind w:left="1080" w:leftChars="257" w:hanging="540"/>
        <w:jc w:val="center"/>
        <w:rPr>
          <w:rFonts w:hint="eastAsia" w:ascii="仿宋" w:hAnsi="仿宋" w:eastAsia="仿宋" w:cs="仿宋"/>
          <w:color w:val="auto"/>
          <w:sz w:val="28"/>
          <w:szCs w:val="28"/>
        </w:rPr>
      </w:pPr>
    </w:p>
    <w:p w14:paraId="720FB7CF">
      <w:pPr>
        <w:rPr>
          <w:rFonts w:hint="eastAsia" w:ascii="仿宋" w:hAnsi="仿宋" w:eastAsia="仿宋" w:cs="仿宋"/>
          <w:color w:val="auto"/>
          <w:sz w:val="28"/>
          <w:szCs w:val="28"/>
        </w:rPr>
      </w:pPr>
    </w:p>
    <w:p w14:paraId="743053DC">
      <w:pPr>
        <w:pStyle w:val="5"/>
        <w:spacing w:before="0" w:line="240" w:lineRule="atLeast"/>
        <w:outlineLvl w:val="9"/>
        <w:rPr>
          <w:rFonts w:hint="eastAsia" w:ascii="仿宋" w:hAnsi="仿宋" w:eastAsia="仿宋" w:cs="仿宋"/>
          <w:color w:val="auto"/>
          <w:sz w:val="28"/>
          <w:szCs w:val="28"/>
          <w:lang w:val="en-US" w:eastAsia="zh-CN"/>
        </w:rPr>
      </w:pPr>
      <w:bookmarkStart w:id="568" w:name="_Toc21029"/>
      <w:bookmarkStart w:id="569" w:name="_Toc5001"/>
      <w:bookmarkStart w:id="570" w:name="_Toc28099"/>
      <w:bookmarkStart w:id="571" w:name="_Toc30795"/>
      <w:bookmarkStart w:id="572" w:name="_Toc515647827"/>
    </w:p>
    <w:p w14:paraId="58EF840C">
      <w:pPr>
        <w:pStyle w:val="5"/>
        <w:spacing w:before="0" w:line="240" w:lineRule="atLeast"/>
        <w:outlineLvl w:val="9"/>
        <w:rPr>
          <w:rFonts w:hint="eastAsia" w:ascii="仿宋" w:hAnsi="仿宋" w:eastAsia="仿宋" w:cs="仿宋"/>
          <w:color w:val="auto"/>
          <w:sz w:val="28"/>
          <w:szCs w:val="28"/>
          <w:lang w:val="en-US" w:eastAsia="zh-CN"/>
        </w:rPr>
      </w:pPr>
    </w:p>
    <w:p w14:paraId="3588DB03">
      <w:pPr>
        <w:pStyle w:val="5"/>
        <w:spacing w:before="0" w:line="240" w:lineRule="atLeast"/>
        <w:outlineLvl w:val="9"/>
        <w:rPr>
          <w:rFonts w:hint="eastAsia" w:ascii="仿宋" w:hAnsi="仿宋" w:eastAsia="仿宋" w:cs="仿宋"/>
          <w:color w:val="auto"/>
          <w:sz w:val="28"/>
          <w:szCs w:val="28"/>
          <w:lang w:val="en-US" w:eastAsia="zh-CN"/>
        </w:rPr>
      </w:pPr>
    </w:p>
    <w:p w14:paraId="4ECFE02A">
      <w:pPr>
        <w:pStyle w:val="5"/>
        <w:spacing w:before="0" w:line="240" w:lineRule="atLeast"/>
        <w:outlineLvl w:val="9"/>
        <w:rPr>
          <w:rFonts w:hint="eastAsia" w:ascii="仿宋" w:hAnsi="仿宋" w:eastAsia="仿宋" w:cs="仿宋"/>
          <w:color w:val="auto"/>
          <w:sz w:val="28"/>
          <w:szCs w:val="28"/>
          <w:lang w:val="en-US" w:eastAsia="zh-CN"/>
        </w:rPr>
      </w:pPr>
    </w:p>
    <w:p w14:paraId="7402E75E">
      <w:pPr>
        <w:pStyle w:val="5"/>
        <w:spacing w:before="0" w:line="240" w:lineRule="atLeast"/>
        <w:outlineLvl w:val="9"/>
        <w:rPr>
          <w:rFonts w:hint="eastAsia" w:ascii="仿宋" w:hAnsi="仿宋" w:eastAsia="仿宋" w:cs="仿宋"/>
          <w:color w:val="auto"/>
          <w:sz w:val="28"/>
          <w:szCs w:val="28"/>
          <w:lang w:val="en-US" w:eastAsia="zh-CN"/>
        </w:rPr>
      </w:pPr>
    </w:p>
    <w:p w14:paraId="1E67233A">
      <w:pPr>
        <w:pStyle w:val="5"/>
        <w:spacing w:before="0" w:line="240" w:lineRule="atLeast"/>
        <w:outlineLvl w:val="9"/>
        <w:rPr>
          <w:rFonts w:hint="eastAsia" w:ascii="仿宋" w:hAnsi="仿宋" w:eastAsia="仿宋" w:cs="仿宋"/>
          <w:color w:val="auto"/>
          <w:sz w:val="28"/>
          <w:szCs w:val="28"/>
          <w:lang w:val="en-US" w:eastAsia="zh-CN"/>
        </w:rPr>
      </w:pPr>
    </w:p>
    <w:p w14:paraId="0788151B">
      <w:pPr>
        <w:pStyle w:val="5"/>
        <w:spacing w:before="0" w:line="240" w:lineRule="atLeast"/>
        <w:outlineLvl w:val="9"/>
        <w:rPr>
          <w:rFonts w:hint="eastAsia" w:ascii="仿宋" w:hAnsi="仿宋" w:eastAsia="仿宋" w:cs="仿宋"/>
          <w:color w:val="auto"/>
          <w:sz w:val="28"/>
          <w:szCs w:val="28"/>
          <w:lang w:val="en-US" w:eastAsia="zh-CN"/>
        </w:rPr>
      </w:pPr>
    </w:p>
    <w:p w14:paraId="4AE66A0B">
      <w:pPr>
        <w:pStyle w:val="5"/>
        <w:spacing w:before="0" w:line="240" w:lineRule="atLeast"/>
        <w:outlineLvl w:val="9"/>
        <w:rPr>
          <w:rFonts w:hint="eastAsia" w:ascii="仿宋" w:hAnsi="仿宋" w:eastAsia="仿宋" w:cs="仿宋"/>
          <w:color w:val="auto"/>
          <w:sz w:val="28"/>
          <w:szCs w:val="28"/>
          <w:lang w:val="en-US" w:eastAsia="zh-CN"/>
        </w:rPr>
      </w:pPr>
    </w:p>
    <w:p w14:paraId="66911AA4">
      <w:pPr>
        <w:pStyle w:val="5"/>
        <w:spacing w:before="0" w:line="240" w:lineRule="atLeast"/>
        <w:outlineLvl w:val="9"/>
        <w:rPr>
          <w:rFonts w:hint="eastAsia" w:ascii="仿宋" w:hAnsi="仿宋" w:eastAsia="仿宋" w:cs="仿宋"/>
          <w:color w:val="auto"/>
          <w:sz w:val="28"/>
          <w:szCs w:val="28"/>
          <w:lang w:val="en-US" w:eastAsia="zh-CN"/>
        </w:rPr>
      </w:pPr>
    </w:p>
    <w:p w14:paraId="7D2ADEA3">
      <w:pPr>
        <w:pStyle w:val="5"/>
        <w:spacing w:before="0" w:line="240" w:lineRule="atLeast"/>
        <w:outlineLvl w:val="9"/>
        <w:rPr>
          <w:rFonts w:hint="eastAsia" w:ascii="仿宋" w:hAnsi="仿宋" w:eastAsia="仿宋" w:cs="仿宋"/>
          <w:color w:val="auto"/>
          <w:sz w:val="28"/>
          <w:szCs w:val="28"/>
          <w:lang w:val="en-US" w:eastAsia="zh-CN"/>
        </w:rPr>
      </w:pPr>
    </w:p>
    <w:p w14:paraId="3308FED3">
      <w:pPr>
        <w:pStyle w:val="5"/>
        <w:spacing w:before="0" w:line="240" w:lineRule="atLeast"/>
        <w:outlineLvl w:val="9"/>
        <w:rPr>
          <w:rFonts w:hint="eastAsia" w:ascii="仿宋" w:hAnsi="仿宋" w:eastAsia="仿宋" w:cs="仿宋"/>
          <w:color w:val="auto"/>
          <w:sz w:val="28"/>
          <w:szCs w:val="28"/>
          <w:lang w:val="en-US" w:eastAsia="zh-CN"/>
        </w:rPr>
      </w:pPr>
    </w:p>
    <w:p w14:paraId="293CE5F8">
      <w:pPr>
        <w:pStyle w:val="5"/>
        <w:spacing w:before="0" w:line="240" w:lineRule="atLeast"/>
        <w:outlineLvl w:val="9"/>
        <w:rPr>
          <w:rFonts w:hint="eastAsia" w:ascii="仿宋" w:hAnsi="仿宋" w:eastAsia="仿宋" w:cs="仿宋"/>
          <w:color w:val="auto"/>
          <w:sz w:val="28"/>
          <w:szCs w:val="28"/>
          <w:lang w:val="en-US" w:eastAsia="zh-CN"/>
        </w:rPr>
      </w:pPr>
    </w:p>
    <w:p w14:paraId="79B43ECC">
      <w:pPr>
        <w:pStyle w:val="5"/>
        <w:spacing w:before="0" w:line="240" w:lineRule="atLeast"/>
        <w:outlineLvl w:val="9"/>
        <w:rPr>
          <w:rFonts w:hint="eastAsia" w:ascii="仿宋" w:hAnsi="仿宋" w:eastAsia="仿宋" w:cs="仿宋"/>
          <w:color w:val="auto"/>
          <w:sz w:val="28"/>
          <w:szCs w:val="28"/>
          <w:lang w:val="en-US" w:eastAsia="zh-CN"/>
        </w:rPr>
      </w:pPr>
    </w:p>
    <w:p w14:paraId="54948AFB">
      <w:pPr>
        <w:pStyle w:val="5"/>
        <w:spacing w:before="0" w:line="240" w:lineRule="atLeast"/>
        <w:outlineLvl w:val="9"/>
        <w:rPr>
          <w:rFonts w:hint="eastAsia" w:ascii="仿宋" w:hAnsi="仿宋" w:eastAsia="仿宋" w:cs="仿宋"/>
          <w:color w:val="auto"/>
          <w:sz w:val="28"/>
          <w:szCs w:val="28"/>
          <w:lang w:val="en-US" w:eastAsia="zh-CN"/>
        </w:rPr>
      </w:pPr>
    </w:p>
    <w:p w14:paraId="67B3FDD8">
      <w:pPr>
        <w:pStyle w:val="5"/>
        <w:spacing w:before="0" w:line="240" w:lineRule="atLeast"/>
        <w:outlineLvl w:val="9"/>
        <w:rPr>
          <w:rFonts w:hint="eastAsia" w:ascii="仿宋" w:hAnsi="仿宋" w:eastAsia="仿宋" w:cs="仿宋"/>
          <w:color w:val="auto"/>
          <w:sz w:val="28"/>
          <w:szCs w:val="28"/>
          <w:lang w:val="en-US" w:eastAsia="zh-CN"/>
        </w:rPr>
      </w:pPr>
    </w:p>
    <w:p w14:paraId="22336C0E">
      <w:pPr>
        <w:pStyle w:val="5"/>
        <w:spacing w:before="0" w:line="240" w:lineRule="atLeast"/>
        <w:outlineLvl w:val="9"/>
        <w:rPr>
          <w:rFonts w:hint="eastAsia" w:ascii="仿宋" w:hAnsi="仿宋" w:eastAsia="仿宋" w:cs="仿宋"/>
          <w:color w:val="auto"/>
          <w:sz w:val="28"/>
          <w:szCs w:val="28"/>
          <w:lang w:val="en-US" w:eastAsia="zh-CN"/>
        </w:rPr>
      </w:pPr>
    </w:p>
    <w:p w14:paraId="06B72588">
      <w:pPr>
        <w:pStyle w:val="5"/>
        <w:spacing w:before="0" w:line="240" w:lineRule="atLeast"/>
        <w:outlineLvl w:val="9"/>
        <w:rPr>
          <w:rFonts w:hint="eastAsia" w:ascii="仿宋" w:hAnsi="仿宋" w:eastAsia="仿宋" w:cs="仿宋"/>
          <w:color w:val="auto"/>
          <w:sz w:val="28"/>
          <w:szCs w:val="28"/>
          <w:lang w:val="en-US" w:eastAsia="zh-CN"/>
        </w:rPr>
      </w:pPr>
    </w:p>
    <w:p w14:paraId="13303117">
      <w:pPr>
        <w:pStyle w:val="5"/>
        <w:spacing w:before="0" w:line="240" w:lineRule="atLeast"/>
        <w:outlineLvl w:val="9"/>
        <w:rPr>
          <w:rFonts w:hint="eastAsia" w:ascii="仿宋" w:hAnsi="仿宋" w:eastAsia="仿宋" w:cs="仿宋"/>
          <w:color w:val="auto"/>
          <w:sz w:val="28"/>
          <w:szCs w:val="28"/>
          <w:lang w:val="en-US" w:eastAsia="zh-CN"/>
        </w:rPr>
      </w:pPr>
    </w:p>
    <w:p w14:paraId="0F29D967">
      <w:pPr>
        <w:pStyle w:val="5"/>
        <w:spacing w:before="0" w:line="240" w:lineRule="atLeast"/>
        <w:outlineLvl w:val="9"/>
        <w:rPr>
          <w:rFonts w:hint="eastAsia" w:ascii="仿宋" w:hAnsi="仿宋" w:eastAsia="仿宋" w:cs="仿宋"/>
          <w:color w:val="auto"/>
          <w:sz w:val="28"/>
          <w:szCs w:val="28"/>
          <w:lang w:val="en-US" w:eastAsia="zh-CN"/>
        </w:rPr>
      </w:pPr>
    </w:p>
    <w:p w14:paraId="100C0338">
      <w:pPr>
        <w:pStyle w:val="5"/>
        <w:spacing w:before="0" w:line="240" w:lineRule="atLeast"/>
        <w:outlineLvl w:val="9"/>
        <w:rPr>
          <w:rFonts w:hint="eastAsia" w:ascii="仿宋" w:hAnsi="仿宋" w:eastAsia="仿宋" w:cs="仿宋"/>
          <w:color w:val="auto"/>
          <w:sz w:val="28"/>
          <w:szCs w:val="28"/>
          <w:lang w:val="en-US" w:eastAsia="zh-CN"/>
        </w:rPr>
      </w:pPr>
    </w:p>
    <w:p w14:paraId="5610B8F1">
      <w:pPr>
        <w:pStyle w:val="5"/>
        <w:spacing w:before="0" w:line="240" w:lineRule="atLeast"/>
        <w:outlineLvl w:val="9"/>
        <w:rPr>
          <w:rFonts w:hint="eastAsia" w:ascii="仿宋" w:hAnsi="仿宋" w:eastAsia="仿宋" w:cs="仿宋"/>
          <w:color w:val="auto"/>
          <w:sz w:val="28"/>
          <w:szCs w:val="28"/>
          <w:lang w:val="en-US" w:eastAsia="zh-CN"/>
        </w:rPr>
      </w:pPr>
    </w:p>
    <w:p w14:paraId="3DAC815A">
      <w:pPr>
        <w:pStyle w:val="5"/>
        <w:spacing w:before="0" w:line="240" w:lineRule="atLeast"/>
        <w:outlineLvl w:val="9"/>
        <w:rPr>
          <w:rFonts w:hint="eastAsia" w:ascii="仿宋" w:hAnsi="仿宋" w:eastAsia="仿宋" w:cs="仿宋"/>
          <w:color w:val="auto"/>
          <w:sz w:val="28"/>
          <w:szCs w:val="28"/>
          <w:lang w:val="en-US" w:eastAsia="zh-CN"/>
        </w:rPr>
      </w:pPr>
    </w:p>
    <w:p w14:paraId="6865D88B">
      <w:pPr>
        <w:pStyle w:val="5"/>
        <w:spacing w:before="0" w:line="240" w:lineRule="atLeast"/>
        <w:outlineLvl w:val="9"/>
        <w:rPr>
          <w:rFonts w:hint="eastAsia" w:ascii="仿宋" w:hAnsi="仿宋" w:eastAsia="仿宋" w:cs="仿宋"/>
          <w:color w:val="auto"/>
          <w:sz w:val="28"/>
          <w:szCs w:val="28"/>
          <w:lang w:val="en-US" w:eastAsia="zh-CN"/>
        </w:rPr>
      </w:pPr>
    </w:p>
    <w:p w14:paraId="7DBCC38D">
      <w:pPr>
        <w:pStyle w:val="5"/>
        <w:spacing w:before="0" w:line="240" w:lineRule="atLeas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投标人关联单位的说明</w:t>
      </w:r>
      <w:bookmarkEnd w:id="568"/>
      <w:bookmarkEnd w:id="569"/>
      <w:bookmarkEnd w:id="570"/>
      <w:bookmarkEnd w:id="571"/>
      <w:bookmarkEnd w:id="572"/>
    </w:p>
    <w:p w14:paraId="23336EDE">
      <w:pPr>
        <w:pStyle w:val="9"/>
        <w:jc w:val="center"/>
        <w:rPr>
          <w:rFonts w:hint="eastAsia" w:ascii="仿宋" w:hAnsi="仿宋" w:eastAsia="仿宋" w:cs="仿宋"/>
          <w:color w:val="auto"/>
          <w:sz w:val="28"/>
          <w:szCs w:val="28"/>
        </w:rPr>
      </w:pPr>
    </w:p>
    <w:p w14:paraId="0AE05B13">
      <w:pPr>
        <w:pStyle w:val="9"/>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说明：投标人应当如实披露与本单位存在关联关系的单位名称：</w:t>
      </w:r>
    </w:p>
    <w:p w14:paraId="4B207F3F">
      <w:pPr>
        <w:pStyle w:val="9"/>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（1）与投标人单位负责人为同一人的其他单位；</w:t>
      </w:r>
    </w:p>
    <w:p w14:paraId="5C17116C">
      <w:pPr>
        <w:pStyle w:val="9"/>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（2）与投标人存在直接控股、管理关系的其他单位。</w:t>
      </w:r>
    </w:p>
    <w:p w14:paraId="5D4A1F13">
      <w:pPr>
        <w:pStyle w:val="9"/>
        <w:ind w:firstLine="0"/>
        <w:rPr>
          <w:rFonts w:hint="eastAsia" w:ascii="仿宋" w:hAnsi="仿宋" w:eastAsia="仿宋" w:cs="仿宋"/>
          <w:color w:val="auto"/>
          <w:sz w:val="28"/>
          <w:szCs w:val="28"/>
        </w:rPr>
      </w:pPr>
      <w:bookmarkStart w:id="573" w:name="_Toc7414"/>
      <w:bookmarkStart w:id="574" w:name="_Toc17333"/>
      <w:bookmarkStart w:id="575" w:name="_Toc515647828"/>
    </w:p>
    <w:p w14:paraId="5CA430E0">
      <w:pPr>
        <w:pStyle w:val="10"/>
        <w:rPr>
          <w:rFonts w:hint="eastAsia" w:ascii="仿宋" w:hAnsi="仿宋" w:eastAsia="仿宋" w:cs="仿宋"/>
          <w:color w:val="auto"/>
          <w:sz w:val="28"/>
          <w:szCs w:val="28"/>
        </w:rPr>
      </w:pPr>
    </w:p>
    <w:p w14:paraId="350B633A">
      <w:pPr>
        <w:rPr>
          <w:rFonts w:hint="eastAsia" w:ascii="仿宋" w:hAnsi="仿宋" w:eastAsia="仿宋" w:cs="仿宋"/>
          <w:color w:val="auto"/>
          <w:sz w:val="28"/>
          <w:szCs w:val="28"/>
        </w:rPr>
      </w:pPr>
    </w:p>
    <w:bookmarkEnd w:id="573"/>
    <w:bookmarkEnd w:id="574"/>
    <w:bookmarkEnd w:id="575"/>
    <w:p w14:paraId="5C834D6C">
      <w:pPr>
        <w:numPr>
          <w:ilvl w:val="0"/>
          <w:numId w:val="0"/>
        </w:numPr>
        <w:spacing w:line="300" w:lineRule="auto"/>
        <w:rPr>
          <w:rFonts w:hint="eastAsia" w:ascii="仿宋" w:hAnsi="仿宋" w:eastAsia="仿宋" w:cs="仿宋"/>
          <w:color w:val="auto"/>
          <w:kern w:val="2"/>
          <w:sz w:val="28"/>
          <w:szCs w:val="28"/>
          <w:lang w:val="en-US" w:eastAsia="zh-CN" w:bidi="ar-SA"/>
        </w:rPr>
      </w:pPr>
    </w:p>
    <w:p w14:paraId="6F1C6783">
      <w:pPr>
        <w:numPr>
          <w:ilvl w:val="0"/>
          <w:numId w:val="0"/>
        </w:numPr>
        <w:spacing w:line="300" w:lineRule="auto"/>
        <w:rPr>
          <w:rFonts w:hint="eastAsia" w:ascii="仿宋" w:hAnsi="仿宋" w:eastAsia="仿宋" w:cs="仿宋"/>
          <w:color w:val="auto"/>
          <w:kern w:val="2"/>
          <w:sz w:val="28"/>
          <w:szCs w:val="28"/>
          <w:lang w:val="en-US" w:eastAsia="zh-CN" w:bidi="ar-SA"/>
        </w:rPr>
      </w:pPr>
    </w:p>
    <w:p w14:paraId="27B3262E">
      <w:pPr>
        <w:numPr>
          <w:ilvl w:val="0"/>
          <w:numId w:val="0"/>
        </w:numPr>
        <w:spacing w:line="300" w:lineRule="auto"/>
        <w:rPr>
          <w:rFonts w:hint="eastAsia" w:ascii="仿宋" w:hAnsi="仿宋" w:eastAsia="仿宋" w:cs="仿宋"/>
          <w:color w:val="auto"/>
          <w:kern w:val="2"/>
          <w:sz w:val="28"/>
          <w:szCs w:val="28"/>
          <w:lang w:val="en-US" w:eastAsia="zh-CN" w:bidi="ar-SA"/>
        </w:rPr>
      </w:pPr>
    </w:p>
    <w:p w14:paraId="6240862C">
      <w:pPr>
        <w:numPr>
          <w:ilvl w:val="0"/>
          <w:numId w:val="0"/>
        </w:numPr>
        <w:spacing w:line="300" w:lineRule="auto"/>
        <w:rPr>
          <w:rFonts w:hint="eastAsia" w:ascii="仿宋" w:hAnsi="仿宋" w:eastAsia="仿宋" w:cs="仿宋"/>
          <w:color w:val="auto"/>
          <w:kern w:val="2"/>
          <w:sz w:val="28"/>
          <w:szCs w:val="28"/>
          <w:lang w:val="en-US" w:eastAsia="zh-CN" w:bidi="ar-SA"/>
        </w:rPr>
      </w:pPr>
    </w:p>
    <w:p w14:paraId="1FFF8CEB">
      <w:pPr>
        <w:numPr>
          <w:ilvl w:val="0"/>
          <w:numId w:val="0"/>
        </w:numPr>
        <w:spacing w:line="300" w:lineRule="auto"/>
        <w:rPr>
          <w:rFonts w:hint="eastAsia" w:ascii="仿宋" w:hAnsi="仿宋" w:eastAsia="仿宋" w:cs="仿宋"/>
          <w:color w:val="auto"/>
          <w:kern w:val="2"/>
          <w:sz w:val="28"/>
          <w:szCs w:val="28"/>
          <w:lang w:val="en-US" w:eastAsia="zh-CN" w:bidi="ar-SA"/>
        </w:rPr>
      </w:pPr>
    </w:p>
    <w:p w14:paraId="4E8B8ACA">
      <w:pPr>
        <w:numPr>
          <w:ilvl w:val="0"/>
          <w:numId w:val="0"/>
        </w:numPr>
        <w:spacing w:line="30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7.项目拟投入的主要人员一览表（格式自拟）</w:t>
      </w:r>
    </w:p>
    <w:p w14:paraId="7AA6C1EA">
      <w:pPr>
        <w:spacing w:line="300" w:lineRule="auto"/>
        <w:rPr>
          <w:rFonts w:hint="eastAsia" w:ascii="仿宋" w:hAnsi="仿宋" w:eastAsia="仿宋" w:cs="仿宋"/>
          <w:color w:val="auto"/>
          <w:kern w:val="2"/>
          <w:sz w:val="28"/>
          <w:szCs w:val="28"/>
          <w:lang w:val="en-US" w:eastAsia="zh-CN" w:bidi="ar-SA"/>
        </w:rPr>
      </w:pPr>
    </w:p>
    <w:p w14:paraId="25FA6692">
      <w:pPr>
        <w:spacing w:line="300" w:lineRule="auto"/>
        <w:rPr>
          <w:rFonts w:hint="eastAsia" w:ascii="仿宋" w:hAnsi="仿宋" w:eastAsia="仿宋" w:cs="仿宋"/>
          <w:color w:val="auto"/>
          <w:kern w:val="2"/>
          <w:sz w:val="28"/>
          <w:szCs w:val="28"/>
          <w:lang w:val="en-US" w:eastAsia="zh-CN" w:bidi="ar-SA"/>
        </w:rPr>
      </w:pPr>
    </w:p>
    <w:p w14:paraId="7706155A">
      <w:pPr>
        <w:spacing w:line="300" w:lineRule="auto"/>
        <w:rPr>
          <w:rFonts w:hint="eastAsia" w:ascii="仿宋" w:hAnsi="仿宋" w:eastAsia="仿宋" w:cs="仿宋"/>
          <w:color w:val="auto"/>
          <w:kern w:val="2"/>
          <w:sz w:val="28"/>
          <w:szCs w:val="28"/>
          <w:lang w:val="en-US" w:eastAsia="zh-CN" w:bidi="ar-SA"/>
        </w:rPr>
      </w:pPr>
    </w:p>
    <w:p w14:paraId="18E7514A">
      <w:pPr>
        <w:spacing w:line="300" w:lineRule="auto"/>
        <w:rPr>
          <w:rFonts w:hint="eastAsia" w:ascii="仿宋" w:hAnsi="仿宋" w:eastAsia="仿宋" w:cs="仿宋"/>
          <w:color w:val="auto"/>
          <w:kern w:val="2"/>
          <w:sz w:val="28"/>
          <w:szCs w:val="28"/>
          <w:lang w:val="en-US" w:eastAsia="zh-CN" w:bidi="ar-SA"/>
        </w:rPr>
      </w:pPr>
    </w:p>
    <w:p w14:paraId="0AC0CC9D">
      <w:pPr>
        <w:spacing w:line="300" w:lineRule="auto"/>
        <w:rPr>
          <w:rFonts w:hint="eastAsia" w:ascii="仿宋" w:hAnsi="仿宋" w:eastAsia="仿宋" w:cs="仿宋"/>
          <w:color w:val="auto"/>
          <w:kern w:val="2"/>
          <w:sz w:val="28"/>
          <w:szCs w:val="28"/>
          <w:lang w:val="en-US" w:eastAsia="zh-CN" w:bidi="ar-SA"/>
        </w:rPr>
      </w:pPr>
    </w:p>
    <w:p w14:paraId="463BB444">
      <w:pPr>
        <w:spacing w:line="300" w:lineRule="auto"/>
        <w:rPr>
          <w:rFonts w:hint="eastAsia" w:ascii="仿宋" w:hAnsi="仿宋" w:eastAsia="仿宋" w:cs="仿宋"/>
          <w:color w:val="auto"/>
          <w:kern w:val="2"/>
          <w:sz w:val="28"/>
          <w:szCs w:val="28"/>
          <w:lang w:val="en-US" w:eastAsia="zh-CN" w:bidi="ar-SA"/>
        </w:rPr>
      </w:pPr>
    </w:p>
    <w:p w14:paraId="70ACD0A6">
      <w:pPr>
        <w:spacing w:line="300" w:lineRule="auto"/>
        <w:rPr>
          <w:rFonts w:hint="eastAsia" w:ascii="仿宋" w:hAnsi="仿宋" w:eastAsia="仿宋" w:cs="仿宋"/>
          <w:color w:val="auto"/>
          <w:kern w:val="2"/>
          <w:sz w:val="28"/>
          <w:szCs w:val="28"/>
          <w:lang w:val="en-US" w:eastAsia="zh-CN" w:bidi="ar-SA"/>
        </w:rPr>
      </w:pPr>
    </w:p>
    <w:p w14:paraId="1F3FB329">
      <w:pPr>
        <w:spacing w:line="30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8.对本次投标项目的技术方案(投标人根据技术标要求编写)；</w:t>
      </w:r>
    </w:p>
    <w:p w14:paraId="622DB773">
      <w:pPr>
        <w:pStyle w:val="5"/>
        <w:numPr>
          <w:ilvl w:val="0"/>
          <w:numId w:val="0"/>
        </w:numPr>
        <w:outlineLvl w:val="9"/>
        <w:rPr>
          <w:rFonts w:hint="eastAsia" w:ascii="仿宋" w:hAnsi="仿宋" w:eastAsia="仿宋" w:cs="仿宋"/>
          <w:color w:val="auto"/>
          <w:sz w:val="28"/>
          <w:szCs w:val="28"/>
          <w:lang w:val="en-US" w:eastAsia="zh-CN"/>
        </w:rPr>
      </w:pPr>
    </w:p>
    <w:p w14:paraId="16B79ED3">
      <w:pPr>
        <w:spacing w:line="300" w:lineRule="auto"/>
        <w:rPr>
          <w:rFonts w:hint="eastAsia" w:ascii="仿宋" w:hAnsi="仿宋" w:eastAsia="仿宋" w:cs="仿宋"/>
          <w:color w:val="auto"/>
          <w:kern w:val="2"/>
          <w:sz w:val="28"/>
          <w:szCs w:val="28"/>
          <w:lang w:val="en-US" w:eastAsia="zh-CN" w:bidi="ar-SA"/>
        </w:rPr>
      </w:pPr>
    </w:p>
    <w:p w14:paraId="236A445B">
      <w:pPr>
        <w:spacing w:line="300" w:lineRule="auto"/>
        <w:rPr>
          <w:rFonts w:hint="eastAsia" w:ascii="仿宋" w:hAnsi="仿宋" w:eastAsia="仿宋" w:cs="仿宋"/>
          <w:color w:val="auto"/>
          <w:kern w:val="2"/>
          <w:sz w:val="28"/>
          <w:szCs w:val="28"/>
          <w:lang w:val="en-US" w:eastAsia="zh-CN" w:bidi="ar-SA"/>
        </w:rPr>
      </w:pPr>
    </w:p>
    <w:p w14:paraId="5B77C16E">
      <w:pPr>
        <w:spacing w:line="300" w:lineRule="auto"/>
        <w:rPr>
          <w:rFonts w:hint="eastAsia" w:ascii="仿宋" w:hAnsi="仿宋" w:eastAsia="仿宋" w:cs="仿宋"/>
          <w:color w:val="auto"/>
          <w:kern w:val="2"/>
          <w:sz w:val="28"/>
          <w:szCs w:val="28"/>
          <w:lang w:val="en-US" w:eastAsia="zh-CN" w:bidi="ar-SA"/>
        </w:rPr>
      </w:pPr>
    </w:p>
    <w:p w14:paraId="1DCA86EC">
      <w:pPr>
        <w:spacing w:line="300" w:lineRule="auto"/>
        <w:rPr>
          <w:rFonts w:hint="eastAsia" w:ascii="仿宋" w:hAnsi="仿宋" w:eastAsia="仿宋" w:cs="仿宋"/>
          <w:color w:val="auto"/>
          <w:kern w:val="2"/>
          <w:sz w:val="28"/>
          <w:szCs w:val="28"/>
          <w:lang w:val="en-US" w:eastAsia="zh-CN" w:bidi="ar-SA"/>
        </w:rPr>
      </w:pPr>
    </w:p>
    <w:p w14:paraId="3E842182">
      <w:pPr>
        <w:spacing w:line="300" w:lineRule="auto"/>
        <w:rPr>
          <w:rFonts w:hint="eastAsia" w:ascii="仿宋" w:hAnsi="仿宋" w:eastAsia="仿宋" w:cs="仿宋"/>
          <w:color w:val="auto"/>
          <w:kern w:val="2"/>
          <w:sz w:val="28"/>
          <w:szCs w:val="28"/>
          <w:lang w:val="en-US" w:eastAsia="zh-CN" w:bidi="ar-SA"/>
        </w:rPr>
      </w:pPr>
    </w:p>
    <w:p w14:paraId="2040E87B">
      <w:pPr>
        <w:spacing w:line="300" w:lineRule="auto"/>
        <w:rPr>
          <w:rFonts w:hint="eastAsia" w:ascii="仿宋" w:hAnsi="仿宋" w:eastAsia="仿宋" w:cs="仿宋"/>
          <w:color w:val="auto"/>
          <w:kern w:val="2"/>
          <w:sz w:val="28"/>
          <w:szCs w:val="28"/>
          <w:lang w:val="en-US" w:eastAsia="zh-CN" w:bidi="ar-SA"/>
        </w:rPr>
      </w:pPr>
    </w:p>
    <w:p w14:paraId="292450E6">
      <w:pPr>
        <w:spacing w:line="30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9.其他有利于投标人的资料（如有）</w:t>
      </w:r>
    </w:p>
    <w:p w14:paraId="6290DC14">
      <w:pPr>
        <w:spacing w:line="30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注：①投标文件必须制作有目录和页码</w:t>
      </w:r>
    </w:p>
    <w:p w14:paraId="10DA32E3">
      <w:pPr>
        <w:spacing w:line="300" w:lineRule="auto"/>
        <w:outlineLvl w:val="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②只接受A4纸张大小的投标文件</w:t>
      </w:r>
    </w:p>
    <w:p w14:paraId="7DE662E8">
      <w:pPr>
        <w:pStyle w:val="9"/>
        <w:jc w:val="center"/>
        <w:rPr>
          <w:rFonts w:hint="eastAsia" w:ascii="仿宋" w:hAnsi="仿宋" w:eastAsia="仿宋" w:cs="仿宋"/>
          <w:color w:val="auto"/>
        </w:rPr>
      </w:pPr>
    </w:p>
    <w:p w14:paraId="27B6BD1A">
      <w:pPr>
        <w:pStyle w:val="4"/>
        <w:numPr>
          <w:ilvl w:val="0"/>
          <w:numId w:val="0"/>
        </w:numPr>
        <w:spacing w:before="0" w:after="0" w:line="240" w:lineRule="atLeast"/>
        <w:ind w:leftChars="0"/>
        <w:jc w:val="center"/>
        <w:rPr>
          <w:rFonts w:hint="eastAsia" w:ascii="仿宋" w:hAnsi="仿宋" w:eastAsia="仿宋" w:cs="仿宋"/>
          <w:color w:val="auto"/>
          <w:highlight w:val="none"/>
        </w:rPr>
      </w:pPr>
      <w:bookmarkStart w:id="576" w:name="_Toc20678"/>
      <w:r>
        <w:rPr>
          <w:rFonts w:hint="eastAsia" w:ascii="仿宋" w:hAnsi="仿宋" w:eastAsia="仿宋" w:cs="仿宋"/>
          <w:color w:val="auto"/>
          <w:highlight w:val="none"/>
          <w:lang w:val="en-US" w:eastAsia="zh-CN"/>
        </w:rPr>
        <w:t>第三章 招标公告</w:t>
      </w:r>
      <w:bookmarkEnd w:id="576"/>
    </w:p>
    <w:p w14:paraId="7F1ED8F0">
      <w:pPr>
        <w:jc w:val="center"/>
        <w:rPr>
          <w:rFonts w:hint="eastAsia" w:ascii="仿宋" w:hAnsi="仿宋" w:eastAsia="仿宋" w:cs="仿宋"/>
          <w:b/>
          <w:bCs/>
          <w:color w:val="auto"/>
          <w:sz w:val="28"/>
          <w:szCs w:val="28"/>
          <w:highlight w:val="none"/>
          <w:lang w:val="en-US" w:eastAsia="zh-CN"/>
        </w:rPr>
      </w:pPr>
      <w:bookmarkStart w:id="577" w:name="_Toc216582823"/>
      <w:bookmarkStart w:id="578" w:name="_Toc31583"/>
      <w:bookmarkStart w:id="579" w:name="_Toc515647830"/>
      <w:bookmarkStart w:id="580" w:name="_Toc10488"/>
      <w:bookmarkStart w:id="581" w:name="_Toc507399903"/>
      <w:bookmarkStart w:id="582" w:name="_Toc512937850"/>
      <w:r>
        <w:rPr>
          <w:rFonts w:hint="eastAsia" w:ascii="仿宋" w:hAnsi="仿宋" w:eastAsia="仿宋" w:cs="仿宋"/>
          <w:b/>
          <w:bCs/>
          <w:color w:val="auto"/>
          <w:sz w:val="28"/>
          <w:szCs w:val="28"/>
          <w:highlight w:val="none"/>
          <w:lang w:val="en-US" w:eastAsia="zh-CN"/>
        </w:rPr>
        <w:t>叶城县2025年依提木孔镇核桃蛀果害虫绿色防控项目</w:t>
      </w:r>
    </w:p>
    <w:p w14:paraId="44033A29">
      <w:p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招标</w:t>
      </w:r>
      <w:r>
        <w:rPr>
          <w:rFonts w:hint="eastAsia" w:ascii="仿宋" w:hAnsi="仿宋" w:eastAsia="仿宋" w:cs="仿宋"/>
          <w:b/>
          <w:bCs/>
          <w:color w:val="auto"/>
          <w:sz w:val="28"/>
          <w:szCs w:val="28"/>
          <w:highlight w:val="none"/>
          <w:lang w:val="en-US" w:eastAsia="zh-CN"/>
        </w:rPr>
        <w:t>公告</w:t>
      </w:r>
    </w:p>
    <w:p w14:paraId="45AE422F">
      <w:pPr>
        <w:jc w:val="center"/>
        <w:rPr>
          <w:rFonts w:hint="eastAsia" w:ascii="仿宋" w:hAnsi="仿宋" w:eastAsia="仿宋" w:cs="仿宋"/>
          <w:b/>
          <w:bCs/>
          <w:color w:val="auto"/>
          <w:sz w:val="28"/>
          <w:szCs w:val="28"/>
          <w:highlight w:val="none"/>
        </w:rPr>
      </w:pPr>
    </w:p>
    <w:p w14:paraId="173144FF">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项目概况:</w:t>
      </w:r>
    </w:p>
    <w:p w14:paraId="28A41E56">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eastAsia="zh-CN"/>
        </w:rPr>
        <w:t>“叶城县2025年依提木孔镇核桃蛀果害虫绿色防控项目”</w:t>
      </w:r>
      <w:r>
        <w:rPr>
          <w:rFonts w:hint="eastAsia" w:ascii="仿宋" w:hAnsi="仿宋" w:eastAsia="仿宋" w:cs="仿宋"/>
          <w:color w:val="auto"/>
          <w:sz w:val="28"/>
          <w:szCs w:val="28"/>
          <w:shd w:val="clear" w:color="auto" w:fill="FFFFFF"/>
        </w:rPr>
        <w:t>的潜在投标人应在政采云线上下载（供应商</w:t>
      </w:r>
      <w:r>
        <w:rPr>
          <w:rFonts w:hint="eastAsia" w:ascii="仿宋" w:hAnsi="仿宋" w:eastAsia="仿宋" w:cs="仿宋"/>
          <w:color w:val="auto"/>
          <w:sz w:val="28"/>
          <w:szCs w:val="28"/>
          <w:shd w:val="clear" w:color="auto" w:fill="FFFFFF"/>
          <w:lang w:val="en-US" w:eastAsia="zh-CN"/>
        </w:rPr>
        <w:t>登陆</w:t>
      </w:r>
      <w:r>
        <w:rPr>
          <w:rFonts w:hint="eastAsia" w:ascii="仿宋" w:hAnsi="仿宋" w:eastAsia="仿宋" w:cs="仿宋"/>
          <w:color w:val="auto"/>
          <w:sz w:val="28"/>
          <w:szCs w:val="28"/>
          <w:shd w:val="clear" w:color="auto" w:fill="FFFFFF"/>
        </w:rPr>
        <w:t>政采云平台</w:t>
      </w:r>
    </w:p>
    <w:p w14:paraId="6C711C0C">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http://www.zcygov.cn/，在线申请获取采购文件（登录政府采购云平台 → 项目采购 → 获取采购文件 → 申请，审核通过后可下载文件，如有操作性问题，可与政采云在线客服进行咨询，咨询电话：</w:t>
      </w:r>
      <w:r>
        <w:rPr>
          <w:rFonts w:hint="eastAsia" w:ascii="仿宋" w:hAnsi="仿宋" w:eastAsia="仿宋" w:cs="仿宋"/>
          <w:color w:val="auto"/>
          <w:sz w:val="28"/>
          <w:szCs w:val="28"/>
          <w:shd w:val="clear" w:color="auto" w:fill="FFFFFF"/>
          <w:lang w:val="en-US" w:eastAsia="zh-CN"/>
        </w:rPr>
        <w:t>95763</w:t>
      </w:r>
      <w:r>
        <w:rPr>
          <w:rFonts w:hint="eastAsia" w:ascii="仿宋" w:hAnsi="仿宋" w:eastAsia="仿宋" w:cs="仿宋"/>
          <w:color w:val="auto"/>
          <w:sz w:val="28"/>
          <w:szCs w:val="28"/>
          <w:shd w:val="clear" w:color="auto" w:fill="FFFFFF"/>
        </w:rPr>
        <w:t>）获取招标文件，并于</w:t>
      </w:r>
      <w:r>
        <w:rPr>
          <w:rFonts w:hint="eastAsia" w:ascii="仿宋" w:hAnsi="仿宋" w:eastAsia="仿宋" w:cs="仿宋"/>
          <w:color w:val="auto"/>
          <w:sz w:val="28"/>
          <w:szCs w:val="28"/>
          <w:shd w:val="clear" w:color="auto" w:fill="FFFFFF"/>
          <w:lang w:eastAsia="zh-CN"/>
        </w:rPr>
        <w:t>202</w:t>
      </w:r>
      <w:r>
        <w:rPr>
          <w:rFonts w:hint="eastAsia" w:ascii="仿宋" w:hAnsi="仿宋" w:eastAsia="仿宋" w:cs="仿宋"/>
          <w:color w:val="auto"/>
          <w:sz w:val="28"/>
          <w:szCs w:val="28"/>
          <w:shd w:val="clear" w:color="auto" w:fill="FFFFFF"/>
          <w:lang w:val="en-US" w:eastAsia="zh-CN"/>
        </w:rPr>
        <w:t>5</w:t>
      </w:r>
      <w:r>
        <w:rPr>
          <w:rFonts w:hint="eastAsia" w:ascii="仿宋" w:hAnsi="仿宋" w:eastAsia="仿宋" w:cs="仿宋"/>
          <w:color w:val="auto"/>
          <w:sz w:val="28"/>
          <w:szCs w:val="28"/>
          <w:shd w:val="clear" w:color="auto" w:fill="FFFFFF"/>
          <w:lang w:eastAsia="zh-CN"/>
        </w:rPr>
        <w:t>年</w:t>
      </w:r>
      <w:r>
        <w:rPr>
          <w:rFonts w:hint="eastAsia" w:ascii="仿宋" w:hAnsi="仿宋" w:eastAsia="仿宋" w:cs="仿宋"/>
          <w:color w:val="auto"/>
          <w:sz w:val="28"/>
          <w:szCs w:val="28"/>
          <w:shd w:val="clear" w:color="auto" w:fill="FFFFFF"/>
          <w:lang w:val="en-US" w:eastAsia="zh-CN"/>
        </w:rPr>
        <w:t>3</w:t>
      </w:r>
      <w:r>
        <w:rPr>
          <w:rFonts w:hint="eastAsia" w:ascii="仿宋" w:hAnsi="仿宋" w:eastAsia="仿宋" w:cs="仿宋"/>
          <w:color w:val="auto"/>
          <w:sz w:val="28"/>
          <w:szCs w:val="28"/>
          <w:shd w:val="clear" w:color="auto" w:fill="FFFFFF"/>
          <w:lang w:eastAsia="zh-CN"/>
        </w:rPr>
        <w:t>月</w:t>
      </w:r>
      <w:r>
        <w:rPr>
          <w:rFonts w:hint="eastAsia" w:ascii="仿宋" w:hAnsi="仿宋" w:eastAsia="仿宋" w:cs="仿宋"/>
          <w:color w:val="auto"/>
          <w:sz w:val="28"/>
          <w:szCs w:val="28"/>
          <w:shd w:val="clear" w:color="auto" w:fill="FFFFFF"/>
          <w:lang w:val="en-US" w:eastAsia="zh-CN"/>
        </w:rPr>
        <w:t>14</w:t>
      </w:r>
      <w:r>
        <w:rPr>
          <w:rFonts w:hint="eastAsia" w:ascii="仿宋" w:hAnsi="仿宋" w:eastAsia="仿宋" w:cs="仿宋"/>
          <w:color w:val="auto"/>
          <w:sz w:val="28"/>
          <w:szCs w:val="28"/>
          <w:shd w:val="clear" w:color="auto" w:fill="FFFFFF"/>
          <w:lang w:eastAsia="zh-CN"/>
        </w:rPr>
        <w:t>日</w:t>
      </w:r>
      <w:r>
        <w:rPr>
          <w:rFonts w:hint="eastAsia" w:ascii="仿宋" w:hAnsi="仿宋" w:eastAsia="仿宋" w:cs="仿宋"/>
          <w:color w:val="auto"/>
          <w:sz w:val="28"/>
          <w:szCs w:val="28"/>
          <w:shd w:val="clear" w:color="auto" w:fill="FFFFFF"/>
          <w:lang w:val="en-US" w:eastAsia="zh-CN"/>
        </w:rPr>
        <w:t>11</w:t>
      </w:r>
      <w:r>
        <w:rPr>
          <w:rFonts w:hint="eastAsia" w:ascii="仿宋" w:hAnsi="仿宋" w:eastAsia="仿宋" w:cs="仿宋"/>
          <w:color w:val="auto"/>
          <w:sz w:val="28"/>
          <w:szCs w:val="28"/>
          <w:shd w:val="clear" w:color="auto" w:fill="FFFFFF"/>
          <w:lang w:eastAsia="zh-CN"/>
        </w:rPr>
        <w:t>时</w:t>
      </w:r>
      <w:r>
        <w:rPr>
          <w:rFonts w:hint="eastAsia" w:ascii="仿宋" w:hAnsi="仿宋" w:eastAsia="仿宋" w:cs="仿宋"/>
          <w:color w:val="auto"/>
          <w:sz w:val="28"/>
          <w:szCs w:val="28"/>
          <w:shd w:val="clear" w:color="auto" w:fill="FFFFFF"/>
          <w:lang w:val="en-US" w:eastAsia="zh-CN"/>
        </w:rPr>
        <w:t>0</w:t>
      </w:r>
      <w:r>
        <w:rPr>
          <w:rFonts w:hint="eastAsia" w:ascii="仿宋" w:hAnsi="仿宋" w:eastAsia="仿宋" w:cs="仿宋"/>
          <w:color w:val="auto"/>
          <w:sz w:val="28"/>
          <w:szCs w:val="28"/>
          <w:shd w:val="clear" w:color="auto" w:fill="FFFFFF"/>
          <w:lang w:eastAsia="zh-CN"/>
        </w:rPr>
        <w:t>0分</w:t>
      </w:r>
      <w:r>
        <w:rPr>
          <w:rFonts w:hint="eastAsia" w:ascii="仿宋" w:hAnsi="仿宋" w:eastAsia="仿宋" w:cs="仿宋"/>
          <w:color w:val="auto"/>
          <w:sz w:val="28"/>
          <w:szCs w:val="28"/>
          <w:shd w:val="clear" w:color="auto" w:fill="FFFFFF"/>
        </w:rPr>
        <w:t>（北京</w:t>
      </w:r>
      <w:r>
        <w:rPr>
          <w:rFonts w:hint="eastAsia" w:ascii="仿宋" w:hAnsi="仿宋" w:eastAsia="仿宋" w:cs="仿宋"/>
          <w:color w:val="auto"/>
          <w:sz w:val="28"/>
          <w:szCs w:val="28"/>
          <w:highlight w:val="none"/>
          <w:shd w:val="clear" w:color="auto" w:fill="FFFFFF"/>
        </w:rPr>
        <w:t>时间）前递交投标文件。</w:t>
      </w:r>
    </w:p>
    <w:p w14:paraId="211265E6">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b/>
          <w:bCs/>
          <w:color w:val="auto"/>
          <w:sz w:val="28"/>
          <w:szCs w:val="28"/>
          <w:shd w:val="clear" w:color="auto" w:fill="FFFFFF"/>
        </w:rPr>
      </w:pPr>
      <w:bookmarkStart w:id="583" w:name="_Toc28359079"/>
      <w:bookmarkStart w:id="584" w:name="_Toc28359002"/>
      <w:bookmarkStart w:id="585" w:name="_Toc35393621"/>
      <w:bookmarkStart w:id="586" w:name="_Toc35393790"/>
      <w:bookmarkStart w:id="587" w:name="_Hlk24379207"/>
      <w:r>
        <w:rPr>
          <w:rFonts w:hint="eastAsia" w:ascii="仿宋" w:hAnsi="仿宋" w:eastAsia="仿宋" w:cs="仿宋"/>
          <w:b/>
          <w:bCs/>
          <w:color w:val="auto"/>
          <w:sz w:val="28"/>
          <w:szCs w:val="28"/>
          <w:shd w:val="clear" w:color="auto" w:fill="FFFFFF"/>
        </w:rPr>
        <w:t>一、项目基本情况</w:t>
      </w:r>
      <w:bookmarkEnd w:id="583"/>
      <w:bookmarkEnd w:id="584"/>
      <w:bookmarkEnd w:id="585"/>
      <w:bookmarkEnd w:id="586"/>
    </w:p>
    <w:bookmarkEnd w:id="587"/>
    <w:p w14:paraId="768758E0">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bookmarkStart w:id="588" w:name="_Toc35393791"/>
      <w:bookmarkStart w:id="589" w:name="_Toc35393622"/>
      <w:bookmarkStart w:id="590" w:name="_Toc28359003"/>
      <w:bookmarkStart w:id="591" w:name="_Toc28359080"/>
      <w:r>
        <w:rPr>
          <w:rFonts w:hint="eastAsia" w:ascii="仿宋" w:hAnsi="仿宋" w:eastAsia="仿宋" w:cs="仿宋"/>
          <w:color w:val="auto"/>
          <w:sz w:val="28"/>
          <w:szCs w:val="28"/>
          <w:shd w:val="clear" w:color="auto" w:fill="FFFFFF"/>
          <w:lang w:val="en-US" w:eastAsia="zh-CN"/>
        </w:rPr>
        <w:t>项目编号：XRT-YC（GK）-2025-009</w:t>
      </w:r>
    </w:p>
    <w:p w14:paraId="116FB6F5">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项目名称：</w:t>
      </w:r>
      <w:r>
        <w:rPr>
          <w:rFonts w:hint="eastAsia" w:ascii="仿宋" w:hAnsi="仿宋" w:eastAsia="仿宋" w:cs="仿宋"/>
          <w:color w:val="auto"/>
          <w:sz w:val="28"/>
          <w:szCs w:val="28"/>
          <w:shd w:val="clear" w:color="auto" w:fill="FFFFFF"/>
          <w:lang w:eastAsia="zh-CN"/>
        </w:rPr>
        <w:t>叶城县2025年依提木孔镇核桃蛀果害虫绿色防控项目</w:t>
      </w:r>
    </w:p>
    <w:p w14:paraId="1B4B095E">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采购方式：公开招标</w:t>
      </w:r>
    </w:p>
    <w:p w14:paraId="483805D3">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预算金额（元）：标项一：360000元；标项二：40000元；标项三：4800000元；标项四：1600000元。</w:t>
      </w:r>
    </w:p>
    <w:p w14:paraId="240FCD79">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最高限价（元）：标项一：360000元；标项二：40000元；标项三：4800000元；标项四：1600000元。</w:t>
      </w:r>
    </w:p>
    <w:p w14:paraId="6EF15ED0">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采购需求：详见招标文件</w:t>
      </w:r>
    </w:p>
    <w:p w14:paraId="542DCDA7">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合同履约期限：（标项一、二签订合同后甲方规定时间，规定地点进行服务；标项三、四签订合同后5天内完成供货）（实际以采购合同签订为准）。</w:t>
      </w:r>
    </w:p>
    <w:p w14:paraId="6600A166">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本项目</w:t>
      </w:r>
      <w:r>
        <w:rPr>
          <w:rFonts w:hint="eastAsia" w:ascii="仿宋" w:hAnsi="仿宋" w:eastAsia="仿宋" w:cs="仿宋"/>
          <w:b/>
          <w:bCs/>
          <w:color w:val="auto"/>
          <w:sz w:val="28"/>
          <w:szCs w:val="28"/>
          <w:shd w:val="clear" w:color="auto" w:fill="FFFFFF"/>
          <w:lang w:val="en-US" w:eastAsia="zh-CN"/>
        </w:rPr>
        <w:t>不接受</w:t>
      </w:r>
      <w:r>
        <w:rPr>
          <w:rFonts w:hint="eastAsia" w:ascii="仿宋" w:hAnsi="仿宋" w:eastAsia="仿宋" w:cs="仿宋"/>
          <w:color w:val="auto"/>
          <w:sz w:val="28"/>
          <w:szCs w:val="28"/>
          <w:shd w:val="clear" w:color="auto" w:fill="FFFFFF"/>
          <w:lang w:val="en-US" w:eastAsia="zh-CN"/>
        </w:rPr>
        <w:t>联合体投标。</w:t>
      </w:r>
    </w:p>
    <w:p w14:paraId="64F8F552">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b/>
          <w:bCs w:val="0"/>
          <w:color w:val="auto"/>
          <w:kern w:val="2"/>
          <w:sz w:val="28"/>
          <w:szCs w:val="28"/>
          <w:lang w:val="en-US" w:eastAsia="zh-CN" w:bidi="ar-SA"/>
        </w:rPr>
      </w:pPr>
      <w:r>
        <w:rPr>
          <w:rFonts w:hint="eastAsia" w:ascii="仿宋" w:hAnsi="仿宋" w:eastAsia="仿宋" w:cs="仿宋"/>
          <w:b/>
          <w:bCs w:val="0"/>
          <w:color w:val="auto"/>
          <w:kern w:val="2"/>
          <w:sz w:val="28"/>
          <w:szCs w:val="28"/>
          <w:lang w:val="en-US" w:eastAsia="zh-CN" w:bidi="ar-SA"/>
        </w:rPr>
        <w:t>标项一</w:t>
      </w:r>
      <w:r>
        <w:rPr>
          <w:rFonts w:hint="eastAsia" w:ascii="仿宋" w:hAnsi="仿宋" w:eastAsia="仿宋" w:cs="仿宋"/>
          <w:bCs/>
          <w:color w:val="auto"/>
          <w:kern w:val="2"/>
          <w:sz w:val="28"/>
          <w:szCs w:val="28"/>
          <w:lang w:val="en-US" w:eastAsia="zh-CN" w:bidi="ar-SA"/>
        </w:rPr>
        <w:br w:type="textWrapping"/>
      </w:r>
      <w:r>
        <w:rPr>
          <w:rFonts w:hint="eastAsia" w:ascii="仿宋" w:hAnsi="仿宋" w:eastAsia="仿宋" w:cs="仿宋"/>
          <w:bCs/>
          <w:color w:val="auto"/>
          <w:kern w:val="2"/>
          <w:sz w:val="28"/>
          <w:szCs w:val="28"/>
          <w:lang w:val="en-US" w:eastAsia="zh-CN" w:bidi="ar-SA"/>
        </w:rPr>
        <w:t>   标项名称:</w:t>
      </w:r>
      <w:r>
        <w:rPr>
          <w:rFonts w:hint="eastAsia" w:ascii="仿宋" w:hAnsi="仿宋" w:eastAsia="仿宋" w:cs="仿宋"/>
          <w:color w:val="auto"/>
          <w:sz w:val="28"/>
          <w:szCs w:val="28"/>
          <w:shd w:val="clear" w:color="auto" w:fill="FFFFFF"/>
          <w:lang w:eastAsia="zh-CN"/>
        </w:rPr>
        <w:t>叶城县2025年依提木孔镇核桃蛀果害虫绿色防控项目</w:t>
      </w:r>
      <w:r>
        <w:rPr>
          <w:rFonts w:hint="eastAsia" w:ascii="仿宋" w:hAnsi="仿宋" w:eastAsia="仿宋" w:cs="仿宋"/>
          <w:bCs/>
          <w:color w:val="auto"/>
          <w:kern w:val="2"/>
          <w:sz w:val="28"/>
          <w:szCs w:val="28"/>
          <w:lang w:val="en-US" w:eastAsia="zh-CN" w:bidi="ar-SA"/>
        </w:rPr>
        <w:t>（飞机防治服务采购）</w:t>
      </w:r>
      <w:r>
        <w:rPr>
          <w:rFonts w:hint="eastAsia" w:ascii="仿宋" w:hAnsi="仿宋" w:eastAsia="仿宋" w:cs="仿宋"/>
          <w:bCs/>
          <w:color w:val="auto"/>
          <w:kern w:val="2"/>
          <w:sz w:val="28"/>
          <w:szCs w:val="28"/>
          <w:lang w:val="en-US" w:eastAsia="zh-CN" w:bidi="ar-SA"/>
        </w:rPr>
        <w:br w:type="textWrapping"/>
      </w:r>
      <w:r>
        <w:rPr>
          <w:rFonts w:hint="eastAsia" w:ascii="仿宋" w:hAnsi="仿宋" w:eastAsia="仿宋" w:cs="仿宋"/>
          <w:bCs/>
          <w:color w:val="auto"/>
          <w:kern w:val="2"/>
          <w:sz w:val="28"/>
          <w:szCs w:val="28"/>
          <w:lang w:val="en-US" w:eastAsia="zh-CN" w:bidi="ar-SA"/>
        </w:rPr>
        <w:t>  预算金额（元）:360000元</w:t>
      </w:r>
      <w:r>
        <w:rPr>
          <w:rFonts w:hint="eastAsia" w:ascii="仿宋" w:hAnsi="仿宋" w:eastAsia="仿宋" w:cs="仿宋"/>
          <w:bCs/>
          <w:color w:val="auto"/>
          <w:kern w:val="2"/>
          <w:sz w:val="28"/>
          <w:szCs w:val="28"/>
          <w:lang w:val="en-US" w:eastAsia="zh-CN" w:bidi="ar-SA"/>
        </w:rPr>
        <w:br w:type="textWrapping"/>
      </w:r>
      <w:r>
        <w:rPr>
          <w:rFonts w:hint="eastAsia" w:ascii="仿宋" w:hAnsi="仿宋" w:eastAsia="仿宋" w:cs="仿宋"/>
          <w:bCs/>
          <w:color w:val="auto"/>
          <w:kern w:val="2"/>
          <w:sz w:val="28"/>
          <w:szCs w:val="28"/>
          <w:lang w:val="en-US" w:eastAsia="zh-CN" w:bidi="ar-SA"/>
        </w:rPr>
        <w:t>   采购需求：飞机防治服务采购；详见招标文件。</w:t>
      </w:r>
      <w:r>
        <w:rPr>
          <w:rFonts w:hint="eastAsia" w:ascii="仿宋" w:hAnsi="仿宋" w:eastAsia="仿宋" w:cs="仿宋"/>
          <w:bCs/>
          <w:color w:val="auto"/>
          <w:kern w:val="2"/>
          <w:sz w:val="28"/>
          <w:szCs w:val="28"/>
          <w:lang w:val="en-US" w:eastAsia="zh-CN" w:bidi="ar-SA"/>
        </w:rPr>
        <w:br w:type="textWrapping"/>
      </w:r>
    </w:p>
    <w:p w14:paraId="070AA10D">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b/>
          <w:bCs w:val="0"/>
          <w:color w:val="auto"/>
          <w:kern w:val="2"/>
          <w:sz w:val="28"/>
          <w:szCs w:val="28"/>
          <w:lang w:val="en-US" w:eastAsia="zh-CN" w:bidi="ar-SA"/>
        </w:rPr>
        <w:t>标项二</w:t>
      </w:r>
      <w:r>
        <w:rPr>
          <w:rFonts w:hint="eastAsia" w:ascii="仿宋" w:hAnsi="仿宋" w:eastAsia="仿宋" w:cs="仿宋"/>
          <w:bCs/>
          <w:color w:val="auto"/>
          <w:kern w:val="2"/>
          <w:sz w:val="28"/>
          <w:szCs w:val="28"/>
          <w:lang w:val="en-US" w:eastAsia="zh-CN" w:bidi="ar-SA"/>
        </w:rPr>
        <w:br w:type="textWrapping"/>
      </w:r>
      <w:r>
        <w:rPr>
          <w:rFonts w:hint="eastAsia" w:ascii="仿宋" w:hAnsi="仿宋" w:eastAsia="仿宋" w:cs="仿宋"/>
          <w:bCs/>
          <w:color w:val="auto"/>
          <w:kern w:val="2"/>
          <w:sz w:val="28"/>
          <w:szCs w:val="28"/>
          <w:lang w:val="en-US" w:eastAsia="zh-CN" w:bidi="ar-SA"/>
        </w:rPr>
        <w:t>   标项名称:</w:t>
      </w:r>
      <w:r>
        <w:rPr>
          <w:rFonts w:hint="eastAsia" w:ascii="仿宋" w:hAnsi="仿宋" w:eastAsia="仿宋" w:cs="仿宋"/>
          <w:color w:val="auto"/>
          <w:sz w:val="28"/>
          <w:szCs w:val="28"/>
          <w:shd w:val="clear" w:color="auto" w:fill="FFFFFF"/>
          <w:lang w:eastAsia="zh-CN"/>
        </w:rPr>
        <w:t>叶城县2025年依提木孔镇核桃蛀果害虫绿色防控项目</w:t>
      </w:r>
      <w:r>
        <w:rPr>
          <w:rFonts w:hint="eastAsia" w:ascii="仿宋" w:hAnsi="仿宋" w:eastAsia="仿宋" w:cs="仿宋"/>
          <w:bCs/>
          <w:color w:val="auto"/>
          <w:kern w:val="2"/>
          <w:sz w:val="28"/>
          <w:szCs w:val="28"/>
          <w:lang w:val="en-US" w:eastAsia="zh-CN" w:bidi="ar-SA"/>
        </w:rPr>
        <w:t>（飞机防治监理服务采购）</w:t>
      </w:r>
      <w:r>
        <w:rPr>
          <w:rFonts w:hint="eastAsia" w:ascii="仿宋" w:hAnsi="仿宋" w:eastAsia="仿宋" w:cs="仿宋"/>
          <w:bCs/>
          <w:color w:val="auto"/>
          <w:kern w:val="2"/>
          <w:sz w:val="28"/>
          <w:szCs w:val="28"/>
          <w:lang w:val="en-US" w:eastAsia="zh-CN" w:bidi="ar-SA"/>
        </w:rPr>
        <w:br w:type="textWrapping"/>
      </w:r>
      <w:r>
        <w:rPr>
          <w:rFonts w:hint="eastAsia" w:ascii="仿宋" w:hAnsi="仿宋" w:eastAsia="仿宋" w:cs="仿宋"/>
          <w:bCs/>
          <w:color w:val="auto"/>
          <w:kern w:val="2"/>
          <w:sz w:val="28"/>
          <w:szCs w:val="28"/>
          <w:lang w:val="en-US" w:eastAsia="zh-CN" w:bidi="ar-SA"/>
        </w:rPr>
        <w:t>  预算金额（元）:</w:t>
      </w:r>
      <w:r>
        <w:rPr>
          <w:rFonts w:hint="eastAsia" w:ascii="仿宋" w:hAnsi="仿宋" w:eastAsia="仿宋" w:cs="仿宋"/>
          <w:color w:val="auto"/>
          <w:sz w:val="28"/>
          <w:szCs w:val="28"/>
          <w:shd w:val="clear" w:color="auto" w:fill="FFFFFF"/>
          <w:lang w:val="en-US" w:eastAsia="zh-CN"/>
        </w:rPr>
        <w:t>40000</w:t>
      </w:r>
      <w:r>
        <w:rPr>
          <w:rFonts w:hint="eastAsia" w:ascii="仿宋" w:hAnsi="仿宋" w:eastAsia="仿宋" w:cs="仿宋"/>
          <w:bCs/>
          <w:color w:val="auto"/>
          <w:kern w:val="2"/>
          <w:sz w:val="28"/>
          <w:szCs w:val="28"/>
          <w:lang w:val="en-US" w:eastAsia="zh-CN" w:bidi="ar-SA"/>
        </w:rPr>
        <w:t>元</w:t>
      </w:r>
      <w:r>
        <w:rPr>
          <w:rFonts w:hint="eastAsia" w:ascii="仿宋" w:hAnsi="仿宋" w:eastAsia="仿宋" w:cs="仿宋"/>
          <w:bCs/>
          <w:color w:val="auto"/>
          <w:kern w:val="2"/>
          <w:sz w:val="28"/>
          <w:szCs w:val="28"/>
          <w:lang w:val="en-US" w:eastAsia="zh-CN" w:bidi="ar-SA"/>
        </w:rPr>
        <w:br w:type="textWrapping"/>
      </w:r>
      <w:r>
        <w:rPr>
          <w:rFonts w:hint="eastAsia" w:ascii="仿宋" w:hAnsi="仿宋" w:eastAsia="仿宋" w:cs="仿宋"/>
          <w:bCs/>
          <w:color w:val="auto"/>
          <w:kern w:val="2"/>
          <w:sz w:val="28"/>
          <w:szCs w:val="28"/>
          <w:lang w:val="en-US" w:eastAsia="zh-CN" w:bidi="ar-SA"/>
        </w:rPr>
        <w:t>   采购需求：飞机防治监理服务采购；详见招标文件。</w:t>
      </w:r>
    </w:p>
    <w:p w14:paraId="67A5D56D">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b/>
          <w:bCs w:val="0"/>
          <w:color w:val="auto"/>
          <w:kern w:val="2"/>
          <w:sz w:val="28"/>
          <w:szCs w:val="28"/>
          <w:lang w:val="en-US" w:eastAsia="zh-CN" w:bidi="ar-SA"/>
        </w:rPr>
      </w:pPr>
      <w:r>
        <w:rPr>
          <w:rFonts w:hint="eastAsia" w:ascii="仿宋" w:hAnsi="仿宋" w:eastAsia="仿宋" w:cs="仿宋"/>
          <w:b/>
          <w:bCs w:val="0"/>
          <w:color w:val="auto"/>
          <w:kern w:val="2"/>
          <w:sz w:val="28"/>
          <w:szCs w:val="28"/>
          <w:lang w:val="en-US" w:eastAsia="zh-CN" w:bidi="ar-SA"/>
        </w:rPr>
        <w:t>标项三</w:t>
      </w:r>
      <w:r>
        <w:rPr>
          <w:rFonts w:hint="eastAsia" w:ascii="仿宋" w:hAnsi="仿宋" w:eastAsia="仿宋" w:cs="仿宋"/>
          <w:bCs/>
          <w:color w:val="auto"/>
          <w:kern w:val="2"/>
          <w:sz w:val="28"/>
          <w:szCs w:val="28"/>
          <w:lang w:val="en-US" w:eastAsia="zh-CN" w:bidi="ar-SA"/>
        </w:rPr>
        <w:br w:type="textWrapping"/>
      </w:r>
      <w:r>
        <w:rPr>
          <w:rFonts w:hint="eastAsia" w:ascii="仿宋" w:hAnsi="仿宋" w:eastAsia="仿宋" w:cs="仿宋"/>
          <w:bCs/>
          <w:color w:val="auto"/>
          <w:kern w:val="2"/>
          <w:sz w:val="28"/>
          <w:szCs w:val="28"/>
          <w:lang w:val="en-US" w:eastAsia="zh-CN" w:bidi="ar-SA"/>
        </w:rPr>
        <w:t>   标项名称:</w:t>
      </w:r>
      <w:r>
        <w:rPr>
          <w:rFonts w:hint="eastAsia" w:ascii="仿宋" w:hAnsi="仿宋" w:eastAsia="仿宋" w:cs="仿宋"/>
          <w:color w:val="auto"/>
          <w:sz w:val="28"/>
          <w:szCs w:val="28"/>
          <w:shd w:val="clear" w:color="auto" w:fill="FFFFFF"/>
          <w:lang w:eastAsia="zh-CN"/>
        </w:rPr>
        <w:t>叶城县2025年依提木孔镇核桃蛀果害虫绿色防控项目</w:t>
      </w:r>
      <w:r>
        <w:rPr>
          <w:rFonts w:hint="eastAsia" w:ascii="仿宋" w:hAnsi="仿宋" w:eastAsia="仿宋" w:cs="仿宋"/>
          <w:color w:val="auto"/>
          <w:sz w:val="28"/>
          <w:szCs w:val="28"/>
          <w:shd w:val="clear" w:color="auto" w:fill="FFFFFF"/>
          <w:lang w:val="en-US" w:eastAsia="zh-CN"/>
        </w:rPr>
        <w:t>（</w:t>
      </w:r>
      <w:r>
        <w:rPr>
          <w:rFonts w:hint="eastAsia" w:ascii="仿宋" w:hAnsi="仿宋" w:eastAsia="仿宋" w:cs="仿宋"/>
          <w:color w:val="auto"/>
          <w:sz w:val="28"/>
          <w:szCs w:val="28"/>
          <w:shd w:val="clear" w:color="auto" w:fill="FFFFFF"/>
          <w:lang w:eastAsia="zh-CN"/>
        </w:rPr>
        <w:t>苹果蠹蛾和梨李小食心虫迷向散发器（高效）</w:t>
      </w:r>
      <w:r>
        <w:rPr>
          <w:rFonts w:hint="eastAsia" w:ascii="仿宋" w:hAnsi="仿宋" w:eastAsia="仿宋" w:cs="仿宋"/>
          <w:color w:val="auto"/>
          <w:sz w:val="28"/>
          <w:szCs w:val="28"/>
          <w:shd w:val="clear" w:color="auto" w:fill="FFFFFF"/>
          <w:lang w:val="en-US" w:eastAsia="zh-CN"/>
        </w:rPr>
        <w:t>）</w:t>
      </w:r>
      <w:r>
        <w:rPr>
          <w:rFonts w:hint="eastAsia" w:ascii="仿宋" w:hAnsi="仿宋" w:eastAsia="仿宋" w:cs="仿宋"/>
          <w:bCs/>
          <w:color w:val="auto"/>
          <w:kern w:val="2"/>
          <w:sz w:val="28"/>
          <w:szCs w:val="28"/>
          <w:lang w:val="en-US" w:eastAsia="zh-CN" w:bidi="ar-SA"/>
        </w:rPr>
        <w:br w:type="textWrapping"/>
      </w:r>
      <w:r>
        <w:rPr>
          <w:rFonts w:hint="eastAsia" w:ascii="仿宋" w:hAnsi="仿宋" w:eastAsia="仿宋" w:cs="仿宋"/>
          <w:bCs/>
          <w:color w:val="auto"/>
          <w:kern w:val="2"/>
          <w:sz w:val="28"/>
          <w:szCs w:val="28"/>
          <w:lang w:val="en-US" w:eastAsia="zh-CN" w:bidi="ar-SA"/>
        </w:rPr>
        <w:t>  预算金额（元）:</w:t>
      </w:r>
      <w:r>
        <w:rPr>
          <w:rFonts w:hint="eastAsia" w:ascii="仿宋" w:hAnsi="仿宋" w:eastAsia="仿宋" w:cs="仿宋"/>
          <w:color w:val="auto"/>
          <w:sz w:val="28"/>
          <w:szCs w:val="28"/>
          <w:shd w:val="clear" w:color="auto" w:fill="FFFFFF"/>
          <w:lang w:val="en-US" w:eastAsia="zh-CN"/>
        </w:rPr>
        <w:t>4800000</w:t>
      </w:r>
      <w:r>
        <w:rPr>
          <w:rFonts w:hint="eastAsia" w:ascii="仿宋" w:hAnsi="仿宋" w:eastAsia="仿宋" w:cs="仿宋"/>
          <w:bCs/>
          <w:color w:val="auto"/>
          <w:kern w:val="2"/>
          <w:sz w:val="28"/>
          <w:szCs w:val="28"/>
          <w:lang w:val="en-US" w:eastAsia="zh-CN" w:bidi="ar-SA"/>
        </w:rPr>
        <w:t>元</w:t>
      </w:r>
      <w:r>
        <w:rPr>
          <w:rFonts w:hint="eastAsia" w:ascii="仿宋" w:hAnsi="仿宋" w:eastAsia="仿宋" w:cs="仿宋"/>
          <w:bCs/>
          <w:color w:val="auto"/>
          <w:kern w:val="2"/>
          <w:sz w:val="28"/>
          <w:szCs w:val="28"/>
          <w:lang w:val="en-US" w:eastAsia="zh-CN" w:bidi="ar-SA"/>
        </w:rPr>
        <w:br w:type="textWrapping"/>
      </w:r>
      <w:r>
        <w:rPr>
          <w:rFonts w:hint="eastAsia" w:ascii="仿宋" w:hAnsi="仿宋" w:eastAsia="仿宋" w:cs="仿宋"/>
          <w:bCs/>
          <w:color w:val="auto"/>
          <w:kern w:val="2"/>
          <w:sz w:val="28"/>
          <w:szCs w:val="28"/>
          <w:lang w:val="en-US" w:eastAsia="zh-CN" w:bidi="ar-SA"/>
        </w:rPr>
        <w:t>   采购需求：苹果蠹蛾和梨李小食心虫迷向散发器（高效），详见招标文件。</w:t>
      </w:r>
    </w:p>
    <w:p w14:paraId="199FC768">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
          <w:bCs w:val="0"/>
          <w:color w:val="auto"/>
          <w:kern w:val="2"/>
          <w:sz w:val="28"/>
          <w:szCs w:val="28"/>
          <w:lang w:val="en-US" w:eastAsia="zh-CN" w:bidi="ar-SA"/>
        </w:rPr>
        <w:t>标项四</w:t>
      </w:r>
      <w:r>
        <w:rPr>
          <w:rFonts w:hint="eastAsia" w:ascii="仿宋" w:hAnsi="仿宋" w:eastAsia="仿宋" w:cs="仿宋"/>
          <w:bCs/>
          <w:color w:val="auto"/>
          <w:kern w:val="2"/>
          <w:sz w:val="28"/>
          <w:szCs w:val="28"/>
          <w:lang w:val="en-US" w:eastAsia="zh-CN" w:bidi="ar-SA"/>
        </w:rPr>
        <w:br w:type="textWrapping"/>
      </w:r>
      <w:r>
        <w:rPr>
          <w:rFonts w:hint="eastAsia" w:ascii="仿宋" w:hAnsi="仿宋" w:eastAsia="仿宋" w:cs="仿宋"/>
          <w:bCs/>
          <w:color w:val="auto"/>
          <w:kern w:val="2"/>
          <w:sz w:val="28"/>
          <w:szCs w:val="28"/>
          <w:lang w:val="en-US" w:eastAsia="zh-CN" w:bidi="ar-SA"/>
        </w:rPr>
        <w:t>   标项名称:</w:t>
      </w:r>
      <w:r>
        <w:rPr>
          <w:rFonts w:hint="eastAsia" w:ascii="仿宋" w:hAnsi="仿宋" w:eastAsia="仿宋" w:cs="仿宋"/>
          <w:color w:val="auto"/>
          <w:sz w:val="28"/>
          <w:szCs w:val="28"/>
          <w:shd w:val="clear" w:color="auto" w:fill="FFFFFF"/>
          <w:lang w:eastAsia="zh-CN"/>
        </w:rPr>
        <w:t>叶城县2025年依提木孔镇核桃蛀果害虫绿色防控项目</w:t>
      </w:r>
      <w:r>
        <w:rPr>
          <w:rFonts w:hint="eastAsia" w:ascii="仿宋" w:hAnsi="仿宋" w:eastAsia="仿宋" w:cs="仿宋"/>
          <w:color w:val="auto"/>
          <w:sz w:val="28"/>
          <w:szCs w:val="28"/>
          <w:shd w:val="clear" w:color="auto" w:fill="FFFFFF"/>
          <w:lang w:val="en-US" w:eastAsia="zh-CN"/>
        </w:rPr>
        <w:t>（</w:t>
      </w:r>
      <w:r>
        <w:rPr>
          <w:rFonts w:hint="eastAsia" w:ascii="仿宋" w:hAnsi="仿宋" w:eastAsia="仿宋" w:cs="仿宋"/>
          <w:color w:val="auto"/>
          <w:sz w:val="28"/>
          <w:szCs w:val="28"/>
          <w:shd w:val="clear" w:color="auto" w:fill="FFFFFF"/>
          <w:lang w:eastAsia="zh-CN"/>
        </w:rPr>
        <w:t>农用药剂采购</w:t>
      </w:r>
      <w:r>
        <w:rPr>
          <w:rFonts w:hint="eastAsia" w:ascii="仿宋" w:hAnsi="仿宋" w:eastAsia="仿宋" w:cs="仿宋"/>
          <w:color w:val="auto"/>
          <w:sz w:val="28"/>
          <w:szCs w:val="28"/>
          <w:shd w:val="clear" w:color="auto" w:fill="FFFFFF"/>
          <w:lang w:val="en-US" w:eastAsia="zh-CN"/>
        </w:rPr>
        <w:t>）</w:t>
      </w:r>
      <w:r>
        <w:rPr>
          <w:rFonts w:hint="eastAsia" w:ascii="仿宋" w:hAnsi="仿宋" w:eastAsia="仿宋" w:cs="仿宋"/>
          <w:bCs/>
          <w:color w:val="auto"/>
          <w:kern w:val="2"/>
          <w:sz w:val="28"/>
          <w:szCs w:val="28"/>
          <w:lang w:val="en-US" w:eastAsia="zh-CN" w:bidi="ar-SA"/>
        </w:rPr>
        <w:br w:type="textWrapping"/>
      </w:r>
      <w:r>
        <w:rPr>
          <w:rFonts w:hint="eastAsia" w:ascii="仿宋" w:hAnsi="仿宋" w:eastAsia="仿宋" w:cs="仿宋"/>
          <w:bCs/>
          <w:color w:val="auto"/>
          <w:kern w:val="2"/>
          <w:sz w:val="28"/>
          <w:szCs w:val="28"/>
          <w:lang w:val="en-US" w:eastAsia="zh-CN" w:bidi="ar-SA"/>
        </w:rPr>
        <w:t>  预算金额（元）:</w:t>
      </w:r>
      <w:r>
        <w:rPr>
          <w:rFonts w:hint="eastAsia" w:ascii="仿宋" w:hAnsi="仿宋" w:eastAsia="仿宋" w:cs="仿宋"/>
          <w:color w:val="auto"/>
          <w:sz w:val="28"/>
          <w:szCs w:val="28"/>
          <w:shd w:val="clear" w:color="auto" w:fill="FFFFFF"/>
          <w:lang w:val="en-US" w:eastAsia="zh-CN"/>
        </w:rPr>
        <w:t>1600000</w:t>
      </w:r>
      <w:r>
        <w:rPr>
          <w:rFonts w:hint="eastAsia" w:ascii="仿宋" w:hAnsi="仿宋" w:eastAsia="仿宋" w:cs="仿宋"/>
          <w:bCs/>
          <w:color w:val="auto"/>
          <w:kern w:val="2"/>
          <w:sz w:val="28"/>
          <w:szCs w:val="28"/>
          <w:lang w:val="en-US" w:eastAsia="zh-CN" w:bidi="ar-SA"/>
        </w:rPr>
        <w:t>元</w:t>
      </w:r>
      <w:r>
        <w:rPr>
          <w:rFonts w:hint="eastAsia" w:ascii="仿宋" w:hAnsi="仿宋" w:eastAsia="仿宋" w:cs="仿宋"/>
          <w:bCs/>
          <w:color w:val="auto"/>
          <w:kern w:val="2"/>
          <w:sz w:val="28"/>
          <w:szCs w:val="28"/>
          <w:lang w:val="en-US" w:eastAsia="zh-CN" w:bidi="ar-SA"/>
        </w:rPr>
        <w:br w:type="textWrapping"/>
      </w:r>
      <w:r>
        <w:rPr>
          <w:rFonts w:hint="eastAsia" w:ascii="仿宋" w:hAnsi="仿宋" w:eastAsia="仿宋" w:cs="仿宋"/>
          <w:bCs/>
          <w:color w:val="auto"/>
          <w:kern w:val="2"/>
          <w:sz w:val="28"/>
          <w:szCs w:val="28"/>
          <w:lang w:val="en-US" w:eastAsia="zh-CN" w:bidi="ar-SA"/>
        </w:rPr>
        <w:t>   采购需求：农用药剂采购，详见招标文件。</w:t>
      </w:r>
    </w:p>
    <w:p w14:paraId="7968F2E4">
      <w:pPr>
        <w:pStyle w:val="9"/>
        <w:keepNext w:val="0"/>
        <w:keepLines w:val="0"/>
        <w:pageBreakBefore w:val="0"/>
        <w:numPr>
          <w:ilvl w:val="0"/>
          <w:numId w:val="9"/>
        </w:numPr>
        <w:kinsoku/>
        <w:wordWrap/>
        <w:overflowPunct/>
        <w:topLinePunct w:val="0"/>
        <w:bidi w:val="0"/>
        <w:snapToGrid/>
        <w:spacing w:line="460" w:lineRule="atLeast"/>
        <w:ind w:left="0" w:leftChars="0" w:firstLine="0" w:firstLineChars="0"/>
        <w:textAlignment w:val="auto"/>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申请人的资格要求：</w:t>
      </w:r>
      <w:bookmarkEnd w:id="588"/>
      <w:bookmarkEnd w:id="589"/>
      <w:bookmarkEnd w:id="590"/>
      <w:bookmarkEnd w:id="591"/>
    </w:p>
    <w:p w14:paraId="6D890D65">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1.满足《中华人民共和国政府采购法》第二十二条规定；</w:t>
      </w:r>
    </w:p>
    <w:p w14:paraId="0F946076">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2.落实政府采购政策需满足的资格要求：本项目专门面向中小微企业   </w:t>
      </w:r>
    </w:p>
    <w:p w14:paraId="5474A0ED">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eastAsia="zh-CN"/>
        </w:rPr>
        <w:t>3.本项目的特定资格要求：</w:t>
      </w:r>
      <w:r>
        <w:rPr>
          <w:rFonts w:hint="eastAsia" w:ascii="仿宋" w:hAnsi="仿宋" w:eastAsia="仿宋" w:cs="仿宋"/>
          <w:b/>
          <w:bCs/>
          <w:color w:val="auto"/>
          <w:sz w:val="28"/>
          <w:szCs w:val="28"/>
          <w:shd w:val="clear" w:color="auto" w:fill="FFFFFF"/>
          <w:lang w:val="en-US" w:eastAsia="zh-CN"/>
        </w:rPr>
        <w:t>标项一：</w:t>
      </w:r>
      <w:r>
        <w:rPr>
          <w:rFonts w:hint="eastAsia" w:ascii="仿宋" w:hAnsi="仿宋" w:eastAsia="仿宋" w:cs="仿宋"/>
          <w:color w:val="auto"/>
          <w:sz w:val="28"/>
          <w:szCs w:val="28"/>
          <w:shd w:val="clear" w:color="auto" w:fill="FFFFFF"/>
          <w:lang w:eastAsia="zh-CN"/>
        </w:rPr>
        <w:t>具备有效的《飞防经营许可证、商业运行合格证》</w:t>
      </w:r>
      <w:r>
        <w:rPr>
          <w:rFonts w:hint="eastAsia" w:ascii="仿宋" w:hAnsi="仿宋" w:eastAsia="仿宋" w:cs="仿宋"/>
          <w:color w:val="auto"/>
          <w:sz w:val="28"/>
          <w:szCs w:val="28"/>
          <w:shd w:val="clear" w:color="auto" w:fill="FFFFFF"/>
          <w:lang w:val="en-US" w:eastAsia="zh-CN"/>
        </w:rPr>
        <w:t>或通航公司应具备《中华人民共和国航空法》及《一般运行和飞行规则》规定的资质。提供通航公司经营许可证、商业（非运输）运行合格证。</w:t>
      </w:r>
    </w:p>
    <w:p w14:paraId="3EA69E7B">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default" w:ascii="仿宋" w:hAnsi="仿宋" w:eastAsia="仿宋" w:cs="仿宋"/>
          <w:color w:val="auto"/>
          <w:sz w:val="28"/>
          <w:szCs w:val="28"/>
          <w:shd w:val="clear" w:color="auto" w:fill="FFFFFF"/>
          <w:lang w:val="en-US" w:eastAsia="zh-CN"/>
        </w:rPr>
      </w:pPr>
      <w:r>
        <w:rPr>
          <w:rFonts w:hint="eastAsia" w:ascii="仿宋" w:hAnsi="仿宋" w:eastAsia="仿宋" w:cs="仿宋"/>
          <w:b/>
          <w:bCs/>
          <w:color w:val="auto"/>
          <w:sz w:val="28"/>
          <w:szCs w:val="28"/>
          <w:shd w:val="clear" w:color="auto" w:fill="FFFFFF"/>
          <w:lang w:val="en-US" w:eastAsia="zh-CN"/>
        </w:rPr>
        <w:t>标项三、四：</w:t>
      </w:r>
      <w:r>
        <w:rPr>
          <w:rFonts w:hint="eastAsia" w:ascii="仿宋" w:hAnsi="仿宋" w:eastAsia="仿宋" w:cs="仿宋"/>
          <w:color w:val="auto"/>
          <w:sz w:val="28"/>
          <w:szCs w:val="28"/>
          <w:shd w:val="clear" w:color="auto" w:fill="FFFFFF"/>
          <w:lang w:val="en-US" w:eastAsia="zh-CN"/>
        </w:rPr>
        <w:t>（1）投标人为生产厂家的需提供在有效期内的农药登记证、农药生产许可证；</w:t>
      </w:r>
      <w:r>
        <w:rPr>
          <w:rFonts w:hint="eastAsia" w:ascii="仿宋" w:hAnsi="仿宋" w:eastAsia="仿宋" w:cs="仿宋"/>
          <w:color w:val="auto"/>
          <w:sz w:val="28"/>
          <w:szCs w:val="28"/>
          <w:shd w:val="clear" w:color="auto" w:fill="FFFFFF"/>
          <w:lang w:val="en-US" w:eastAsia="zh-CN"/>
        </w:rPr>
        <w:br w:type="textWrapping"/>
      </w:r>
      <w:r>
        <w:rPr>
          <w:rFonts w:hint="eastAsia" w:ascii="仿宋" w:hAnsi="仿宋" w:eastAsia="仿宋" w:cs="仿宋"/>
          <w:color w:val="auto"/>
          <w:sz w:val="28"/>
          <w:szCs w:val="28"/>
          <w:shd w:val="clear" w:color="auto" w:fill="FFFFFF"/>
          <w:lang w:val="en-US" w:eastAsia="zh-CN"/>
        </w:rPr>
        <w:t>（2）投标人为经销商的需提供农药经营许可证和生产厂家的农药农药生产许可证及农药登记证的复印件</w:t>
      </w:r>
      <w:r>
        <w:rPr>
          <w:rFonts w:hint="eastAsia" w:ascii="仿宋" w:hAnsi="仿宋" w:eastAsia="仿宋" w:cs="仿宋"/>
          <w:color w:val="auto"/>
          <w:sz w:val="28"/>
          <w:szCs w:val="28"/>
          <w:shd w:val="clear" w:color="auto" w:fill="FFFFFF"/>
          <w:lang w:eastAsia="zh-CN"/>
        </w:rPr>
        <w:t>。</w:t>
      </w:r>
    </w:p>
    <w:p w14:paraId="3FC3A279">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b/>
          <w:bCs/>
          <w:color w:val="auto"/>
          <w:kern w:val="0"/>
          <w:sz w:val="28"/>
          <w:szCs w:val="28"/>
          <w:shd w:val="clear" w:color="auto" w:fill="FFFFFF"/>
          <w:lang w:val="en-US" w:eastAsia="zh-CN" w:bidi="ar-SA"/>
        </w:rPr>
      </w:pPr>
      <w:bookmarkStart w:id="592" w:name="_Toc28359081"/>
      <w:bookmarkStart w:id="593" w:name="_Toc28359004"/>
      <w:bookmarkStart w:id="594" w:name="_Toc35393792"/>
      <w:bookmarkStart w:id="595" w:name="_Toc35393623"/>
      <w:r>
        <w:rPr>
          <w:rFonts w:hint="eastAsia" w:ascii="仿宋" w:hAnsi="仿宋" w:eastAsia="仿宋" w:cs="仿宋"/>
          <w:b/>
          <w:bCs/>
          <w:color w:val="auto"/>
          <w:kern w:val="0"/>
          <w:sz w:val="28"/>
          <w:szCs w:val="28"/>
          <w:shd w:val="clear" w:color="auto" w:fill="FFFFFF"/>
          <w:lang w:val="en-US" w:eastAsia="zh-CN" w:bidi="ar-SA"/>
        </w:rPr>
        <w:t>三、获取招标文件</w:t>
      </w:r>
      <w:bookmarkEnd w:id="592"/>
      <w:bookmarkEnd w:id="593"/>
      <w:bookmarkEnd w:id="594"/>
      <w:bookmarkEnd w:id="595"/>
    </w:p>
    <w:p w14:paraId="7FD516F5">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highlight w:val="none"/>
          <w:shd w:val="clear" w:color="auto" w:fill="FFFFFF"/>
        </w:rPr>
        <w:t>时间</w:t>
      </w:r>
      <w:r>
        <w:rPr>
          <w:rFonts w:hint="eastAsia"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lang w:eastAsia="zh-CN"/>
        </w:rPr>
        <w:t>202</w:t>
      </w:r>
      <w:r>
        <w:rPr>
          <w:rFonts w:hint="eastAsia" w:ascii="仿宋" w:hAnsi="仿宋" w:eastAsia="仿宋" w:cs="仿宋"/>
          <w:color w:val="auto"/>
          <w:sz w:val="28"/>
          <w:szCs w:val="28"/>
          <w:shd w:val="clear" w:color="auto" w:fill="FFFFFF"/>
          <w:lang w:val="en-US" w:eastAsia="zh-CN"/>
        </w:rPr>
        <w:t>5</w:t>
      </w:r>
      <w:r>
        <w:rPr>
          <w:rFonts w:hint="eastAsia" w:ascii="仿宋" w:hAnsi="仿宋" w:eastAsia="仿宋" w:cs="仿宋"/>
          <w:color w:val="auto"/>
          <w:sz w:val="28"/>
          <w:szCs w:val="28"/>
          <w:shd w:val="clear" w:color="auto" w:fill="FFFFFF"/>
          <w:lang w:eastAsia="zh-CN"/>
        </w:rPr>
        <w:t>年</w:t>
      </w:r>
      <w:r>
        <w:rPr>
          <w:rFonts w:hint="eastAsia" w:ascii="仿宋" w:hAnsi="仿宋" w:eastAsia="仿宋" w:cs="仿宋"/>
          <w:color w:val="auto"/>
          <w:sz w:val="28"/>
          <w:szCs w:val="28"/>
          <w:shd w:val="clear" w:color="auto" w:fill="FFFFFF"/>
          <w:lang w:val="en-US" w:eastAsia="zh-CN"/>
        </w:rPr>
        <w:t>2</w:t>
      </w:r>
      <w:r>
        <w:rPr>
          <w:rFonts w:hint="eastAsia" w:ascii="仿宋" w:hAnsi="仿宋" w:eastAsia="仿宋" w:cs="仿宋"/>
          <w:color w:val="auto"/>
          <w:sz w:val="28"/>
          <w:szCs w:val="28"/>
          <w:shd w:val="clear" w:color="auto" w:fill="FFFFFF"/>
          <w:lang w:eastAsia="zh-CN"/>
        </w:rPr>
        <w:t>月</w:t>
      </w:r>
      <w:r>
        <w:rPr>
          <w:rFonts w:hint="eastAsia" w:ascii="仿宋" w:hAnsi="仿宋" w:eastAsia="仿宋" w:cs="仿宋"/>
          <w:color w:val="auto"/>
          <w:sz w:val="28"/>
          <w:szCs w:val="28"/>
          <w:shd w:val="clear" w:color="auto" w:fill="FFFFFF"/>
          <w:lang w:val="en-US" w:eastAsia="zh-CN"/>
        </w:rPr>
        <w:t>22</w:t>
      </w:r>
      <w:r>
        <w:rPr>
          <w:rFonts w:hint="eastAsia" w:ascii="仿宋" w:hAnsi="仿宋" w:eastAsia="仿宋" w:cs="仿宋"/>
          <w:color w:val="auto"/>
          <w:sz w:val="28"/>
          <w:szCs w:val="28"/>
          <w:shd w:val="clear" w:color="auto" w:fill="FFFFFF"/>
          <w:lang w:eastAsia="zh-CN"/>
        </w:rPr>
        <w:t>日至 202</w:t>
      </w:r>
      <w:r>
        <w:rPr>
          <w:rFonts w:hint="eastAsia" w:ascii="仿宋" w:hAnsi="仿宋" w:eastAsia="仿宋" w:cs="仿宋"/>
          <w:color w:val="auto"/>
          <w:sz w:val="28"/>
          <w:szCs w:val="28"/>
          <w:shd w:val="clear" w:color="auto" w:fill="FFFFFF"/>
          <w:lang w:val="en-US" w:eastAsia="zh-CN"/>
        </w:rPr>
        <w:t>5</w:t>
      </w:r>
      <w:r>
        <w:rPr>
          <w:rFonts w:hint="eastAsia" w:ascii="仿宋" w:hAnsi="仿宋" w:eastAsia="仿宋" w:cs="仿宋"/>
          <w:color w:val="auto"/>
          <w:sz w:val="28"/>
          <w:szCs w:val="28"/>
          <w:shd w:val="clear" w:color="auto" w:fill="FFFFFF"/>
          <w:lang w:eastAsia="zh-CN"/>
        </w:rPr>
        <w:t>年</w:t>
      </w:r>
      <w:r>
        <w:rPr>
          <w:rFonts w:hint="eastAsia" w:ascii="仿宋" w:hAnsi="仿宋" w:eastAsia="仿宋" w:cs="仿宋"/>
          <w:color w:val="auto"/>
          <w:sz w:val="28"/>
          <w:szCs w:val="28"/>
          <w:shd w:val="clear" w:color="auto" w:fill="FFFFFF"/>
          <w:lang w:val="en-US" w:eastAsia="zh-CN"/>
        </w:rPr>
        <w:t>2</w:t>
      </w:r>
      <w:r>
        <w:rPr>
          <w:rFonts w:hint="eastAsia" w:ascii="仿宋" w:hAnsi="仿宋" w:eastAsia="仿宋" w:cs="仿宋"/>
          <w:color w:val="auto"/>
          <w:sz w:val="28"/>
          <w:szCs w:val="28"/>
          <w:shd w:val="clear" w:color="auto" w:fill="FFFFFF"/>
          <w:lang w:eastAsia="zh-CN"/>
        </w:rPr>
        <w:t>月</w:t>
      </w:r>
      <w:r>
        <w:rPr>
          <w:rFonts w:hint="eastAsia" w:ascii="仿宋" w:hAnsi="仿宋" w:eastAsia="仿宋" w:cs="仿宋"/>
          <w:color w:val="auto"/>
          <w:sz w:val="28"/>
          <w:szCs w:val="28"/>
          <w:shd w:val="clear" w:color="auto" w:fill="FFFFFF"/>
          <w:lang w:val="en-US" w:eastAsia="zh-CN"/>
        </w:rPr>
        <w:t>28</w:t>
      </w:r>
      <w:r>
        <w:rPr>
          <w:rFonts w:hint="eastAsia" w:ascii="仿宋" w:hAnsi="仿宋" w:eastAsia="仿宋" w:cs="仿宋"/>
          <w:color w:val="auto"/>
          <w:sz w:val="28"/>
          <w:szCs w:val="28"/>
          <w:shd w:val="clear" w:color="auto" w:fill="FFFFFF"/>
          <w:lang w:eastAsia="zh-CN"/>
        </w:rPr>
        <w:t>日（提供期</w:t>
      </w:r>
      <w:r>
        <w:rPr>
          <w:rFonts w:hint="eastAsia" w:ascii="仿宋" w:hAnsi="仿宋" w:eastAsia="仿宋" w:cs="仿宋"/>
          <w:color w:val="auto"/>
          <w:sz w:val="28"/>
          <w:szCs w:val="28"/>
          <w:shd w:val="clear" w:color="auto" w:fill="FFFFFF"/>
        </w:rPr>
        <w:t>限自本公告发布之日起不得少于5个工作日），</w:t>
      </w:r>
      <w:r>
        <w:rPr>
          <w:rFonts w:hint="eastAsia" w:ascii="仿宋" w:hAnsi="仿宋" w:eastAsia="仿宋" w:cs="仿宋"/>
          <w:color w:val="auto"/>
          <w:sz w:val="28"/>
          <w:szCs w:val="28"/>
          <w:shd w:val="clear" w:color="auto" w:fill="FFFFFF"/>
          <w:lang w:val="en-US" w:eastAsia="zh-CN"/>
        </w:rPr>
        <w:t>全天可领取招标文件。</w:t>
      </w:r>
    </w:p>
    <w:p w14:paraId="06A78F36">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地点：政采云线上下载（供应商</w:t>
      </w:r>
      <w:r>
        <w:rPr>
          <w:rFonts w:hint="eastAsia" w:ascii="仿宋" w:hAnsi="仿宋" w:eastAsia="仿宋" w:cs="仿宋"/>
          <w:color w:val="auto"/>
          <w:sz w:val="28"/>
          <w:szCs w:val="28"/>
          <w:shd w:val="clear" w:color="auto" w:fill="FFFFFF"/>
          <w:lang w:val="en-US" w:eastAsia="zh-CN"/>
        </w:rPr>
        <w:t>登陆</w:t>
      </w:r>
      <w:r>
        <w:rPr>
          <w:rFonts w:hint="eastAsia" w:ascii="仿宋" w:hAnsi="仿宋" w:eastAsia="仿宋" w:cs="仿宋"/>
          <w:color w:val="auto"/>
          <w:sz w:val="28"/>
          <w:szCs w:val="28"/>
          <w:shd w:val="clear" w:color="auto" w:fill="FFFFFF"/>
        </w:rPr>
        <w:t>政采云平台http://www.zcygov.cn/，在线申请获取采购文件（登录政府采购云平台 → 项目采购 → 获取采购文件 → 申请，审核通过后可下载文件，如有操作性问题，可与政采云在线客服进行咨询，咨询电话：</w:t>
      </w:r>
      <w:r>
        <w:rPr>
          <w:rFonts w:hint="eastAsia" w:ascii="仿宋" w:hAnsi="仿宋" w:eastAsia="仿宋" w:cs="仿宋"/>
          <w:color w:val="auto"/>
          <w:sz w:val="28"/>
          <w:szCs w:val="28"/>
          <w:shd w:val="clear" w:color="auto" w:fill="FFFFFF"/>
          <w:lang w:val="en-US" w:eastAsia="zh-CN"/>
        </w:rPr>
        <w:t>95763</w:t>
      </w:r>
    </w:p>
    <w:p w14:paraId="64785F2C">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方式：网上报名，文件自行下载</w:t>
      </w:r>
    </w:p>
    <w:p w14:paraId="68680CB7">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售价（元）：0</w:t>
      </w:r>
      <w:bookmarkStart w:id="596" w:name="_Toc28359082"/>
      <w:bookmarkStart w:id="597" w:name="_Toc28359005"/>
      <w:bookmarkStart w:id="598" w:name="_Toc35393624"/>
      <w:bookmarkStart w:id="599" w:name="_Toc35393793"/>
    </w:p>
    <w:p w14:paraId="5C98C3DE">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四、提交投标文件</w:t>
      </w:r>
      <w:bookmarkEnd w:id="596"/>
      <w:bookmarkEnd w:id="597"/>
      <w:r>
        <w:rPr>
          <w:rFonts w:hint="eastAsia" w:ascii="仿宋" w:hAnsi="仿宋" w:eastAsia="仿宋" w:cs="仿宋"/>
          <w:color w:val="auto"/>
          <w:sz w:val="28"/>
          <w:szCs w:val="28"/>
          <w:shd w:val="clear" w:color="auto" w:fill="FFFFFF"/>
        </w:rPr>
        <w:t>截止时间、开标时间和地点</w:t>
      </w:r>
      <w:bookmarkEnd w:id="598"/>
      <w:bookmarkEnd w:id="599"/>
    </w:p>
    <w:p w14:paraId="404B499B">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提交投标文件截止时间 202</w:t>
      </w:r>
      <w:r>
        <w:rPr>
          <w:rFonts w:hint="eastAsia" w:ascii="仿宋" w:hAnsi="仿宋" w:eastAsia="仿宋" w:cs="仿宋"/>
          <w:color w:val="auto"/>
          <w:sz w:val="28"/>
          <w:szCs w:val="28"/>
          <w:highlight w:val="none"/>
          <w:shd w:val="clear" w:color="auto" w:fill="FFFFFF"/>
          <w:lang w:val="en-US" w:eastAsia="zh-CN"/>
        </w:rPr>
        <w:t>5</w:t>
      </w:r>
      <w:r>
        <w:rPr>
          <w:rFonts w:hint="eastAsia" w:ascii="仿宋" w:hAnsi="仿宋" w:eastAsia="仿宋" w:cs="仿宋"/>
          <w:color w:val="auto"/>
          <w:sz w:val="28"/>
          <w:szCs w:val="28"/>
          <w:highlight w:val="none"/>
          <w:shd w:val="clear" w:color="auto" w:fill="FFFFFF"/>
        </w:rPr>
        <w:t>年</w:t>
      </w:r>
      <w:r>
        <w:rPr>
          <w:rFonts w:hint="eastAsia" w:ascii="仿宋" w:hAnsi="仿宋" w:eastAsia="仿宋" w:cs="仿宋"/>
          <w:color w:val="auto"/>
          <w:sz w:val="28"/>
          <w:szCs w:val="28"/>
          <w:highlight w:val="none"/>
          <w:shd w:val="clear" w:color="auto" w:fill="FFFFFF"/>
          <w:lang w:val="en-US" w:eastAsia="zh-CN"/>
        </w:rPr>
        <w:t>3月14日11时00分</w:t>
      </w:r>
      <w:r>
        <w:rPr>
          <w:rFonts w:hint="eastAsia" w:ascii="仿宋" w:hAnsi="仿宋" w:eastAsia="仿宋" w:cs="仿宋"/>
          <w:color w:val="auto"/>
          <w:sz w:val="28"/>
          <w:szCs w:val="28"/>
          <w:highlight w:val="none"/>
          <w:shd w:val="clear" w:color="auto" w:fill="FFFFFF"/>
        </w:rPr>
        <w:t>（北京时间）</w:t>
      </w:r>
    </w:p>
    <w:p w14:paraId="69A35437">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地点：政采云平（https://login.zcygov.cn/user-login/#/login）</w:t>
      </w:r>
    </w:p>
    <w:p w14:paraId="2F1557B9">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开标时间：202</w:t>
      </w:r>
      <w:r>
        <w:rPr>
          <w:rFonts w:hint="eastAsia" w:ascii="仿宋" w:hAnsi="仿宋" w:eastAsia="仿宋" w:cs="仿宋"/>
          <w:color w:val="auto"/>
          <w:sz w:val="28"/>
          <w:szCs w:val="28"/>
          <w:highlight w:val="none"/>
          <w:shd w:val="clear" w:color="auto" w:fill="FFFFFF"/>
          <w:lang w:val="en-US" w:eastAsia="zh-CN"/>
        </w:rPr>
        <w:t>5</w:t>
      </w:r>
      <w:r>
        <w:rPr>
          <w:rFonts w:hint="eastAsia" w:ascii="仿宋" w:hAnsi="仿宋" w:eastAsia="仿宋" w:cs="仿宋"/>
          <w:color w:val="auto"/>
          <w:sz w:val="28"/>
          <w:szCs w:val="28"/>
          <w:highlight w:val="none"/>
          <w:shd w:val="clear" w:color="auto" w:fill="FFFFFF"/>
        </w:rPr>
        <w:t>年</w:t>
      </w:r>
      <w:r>
        <w:rPr>
          <w:rFonts w:hint="eastAsia" w:ascii="仿宋" w:hAnsi="仿宋" w:eastAsia="仿宋" w:cs="仿宋"/>
          <w:color w:val="auto"/>
          <w:sz w:val="28"/>
          <w:szCs w:val="28"/>
          <w:highlight w:val="none"/>
          <w:shd w:val="clear" w:color="auto" w:fill="FFFFFF"/>
          <w:lang w:val="en-US" w:eastAsia="zh-CN"/>
        </w:rPr>
        <w:t>3月14日11时00分</w:t>
      </w:r>
      <w:r>
        <w:rPr>
          <w:rFonts w:hint="eastAsia" w:ascii="仿宋" w:hAnsi="仿宋" w:eastAsia="仿宋" w:cs="仿宋"/>
          <w:color w:val="auto"/>
          <w:sz w:val="28"/>
          <w:szCs w:val="28"/>
          <w:highlight w:val="none"/>
          <w:shd w:val="clear" w:color="auto" w:fill="FFFFFF"/>
        </w:rPr>
        <w:t>（北京时间）</w:t>
      </w:r>
    </w:p>
    <w:p w14:paraId="7654AFBF">
      <w:pPr>
        <w:pStyle w:val="9"/>
        <w:keepNext w:val="0"/>
        <w:keepLines w:val="0"/>
        <w:pageBreakBefore w:val="0"/>
        <w:kinsoku/>
        <w:wordWrap/>
        <w:overflowPunct/>
        <w:topLinePunct w:val="0"/>
        <w:bidi w:val="0"/>
        <w:snapToGrid/>
        <w:spacing w:line="500" w:lineRule="atLeast"/>
        <w:ind w:left="0" w:leftChars="0" w:firstLine="560" w:firstLineChars="200"/>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开标地点：政采云（https://login.zcygov.cn/user-login/#/login）</w:t>
      </w:r>
    </w:p>
    <w:p w14:paraId="418E0712">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b/>
          <w:bCs/>
          <w:color w:val="auto"/>
          <w:sz w:val="28"/>
          <w:szCs w:val="28"/>
          <w:shd w:val="clear" w:color="auto" w:fill="FFFFFF"/>
        </w:rPr>
      </w:pPr>
      <w:bookmarkStart w:id="600" w:name="_Toc28359084"/>
      <w:bookmarkStart w:id="601" w:name="_Toc35393794"/>
      <w:bookmarkStart w:id="602" w:name="_Toc28359007"/>
      <w:bookmarkStart w:id="603" w:name="_Toc35393625"/>
      <w:r>
        <w:rPr>
          <w:rFonts w:hint="eastAsia" w:ascii="仿宋" w:hAnsi="仿宋" w:eastAsia="仿宋" w:cs="仿宋"/>
          <w:b/>
          <w:bCs/>
          <w:color w:val="auto"/>
          <w:sz w:val="28"/>
          <w:szCs w:val="28"/>
          <w:shd w:val="clear" w:color="auto" w:fill="FFFFFF"/>
        </w:rPr>
        <w:t>五、公告期限</w:t>
      </w:r>
      <w:bookmarkEnd w:id="600"/>
      <w:bookmarkEnd w:id="601"/>
      <w:bookmarkEnd w:id="602"/>
      <w:bookmarkEnd w:id="603"/>
    </w:p>
    <w:p w14:paraId="2818B718">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自本公告发布之日起5个工作日。</w:t>
      </w:r>
    </w:p>
    <w:p w14:paraId="54657BAF">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b/>
          <w:bCs/>
          <w:color w:val="auto"/>
          <w:sz w:val="28"/>
          <w:szCs w:val="28"/>
          <w:shd w:val="clear" w:color="auto" w:fill="FFFFFF"/>
        </w:rPr>
      </w:pPr>
      <w:bookmarkStart w:id="604" w:name="_Toc35393626"/>
      <w:bookmarkStart w:id="605" w:name="_Toc35393795"/>
      <w:r>
        <w:rPr>
          <w:rFonts w:hint="eastAsia" w:ascii="仿宋" w:hAnsi="仿宋" w:eastAsia="仿宋" w:cs="仿宋"/>
          <w:b/>
          <w:bCs/>
          <w:color w:val="auto"/>
          <w:sz w:val="28"/>
          <w:szCs w:val="28"/>
          <w:shd w:val="clear" w:color="auto" w:fill="FFFFFF"/>
        </w:rPr>
        <w:t>六、其他补充事宜</w:t>
      </w:r>
      <w:bookmarkEnd w:id="604"/>
      <w:bookmarkEnd w:id="605"/>
    </w:p>
    <w:p w14:paraId="45864E2F">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bookmarkStart w:id="606" w:name="_Toc35393627"/>
      <w:bookmarkStart w:id="607" w:name="_Toc28359085"/>
      <w:bookmarkStart w:id="608" w:name="_Toc35393796"/>
      <w:bookmarkStart w:id="609" w:name="_Toc28359008"/>
      <w:r>
        <w:rPr>
          <w:rFonts w:hint="eastAsia" w:ascii="仿宋" w:hAnsi="仿宋" w:eastAsia="仿宋" w:cs="仿宋"/>
          <w:color w:val="auto"/>
          <w:sz w:val="28"/>
          <w:szCs w:val="28"/>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F6F2621">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2.本项目实行网上投标，采用电子投标文件(供应商须使用CA加密设备通过政采云电子投标客户端制作投标文件)。若供应商参与投标，自行承担投标一切费用。</w:t>
      </w:r>
    </w:p>
    <w:p w14:paraId="30C6CC9B">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3.各供应商应在开标前应确保成为新疆政府采购网正式注册入库供应商，并完成CA数字证书申领。因未注册入库、未办理CA数字证书等原因造成无法投标或投标失败等后果由供应商自行承担。</w:t>
      </w:r>
    </w:p>
    <w:p w14:paraId="052F2D56">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sz w:val="28"/>
          <w:szCs w:val="28"/>
          <w:lang w:val="en-US" w:eastAsia="zh-CN"/>
        </w:rPr>
        <w:t>95763</w:t>
      </w:r>
      <w:r>
        <w:rPr>
          <w:rFonts w:hint="eastAsia" w:ascii="仿宋" w:hAnsi="仿宋" w:eastAsia="仿宋" w:cs="仿宋"/>
          <w:color w:val="auto"/>
          <w:sz w:val="28"/>
          <w:szCs w:val="28"/>
        </w:rPr>
        <w:t>进行咨询。</w:t>
      </w:r>
    </w:p>
    <w:p w14:paraId="2CEFD7DC">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5.供应商在开标时须使用制作加密电子投标文件所使用的CA锁及电脑，电脑须提前配置好浏览器（建议使用谷歌浏览器），以便开标时解锁。</w:t>
      </w:r>
    </w:p>
    <w:p w14:paraId="3CF5581A">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6.投标保证金缴纳及确认时间：凡拟参加本次招标项目的供应商，必须在开标前将投标保证金汇入指定账户。投标保证金汇款凭证上用途栏应注明:</w:t>
      </w:r>
      <w:r>
        <w:rPr>
          <w:rFonts w:hint="eastAsia" w:ascii="仿宋" w:hAnsi="仿宋" w:eastAsia="仿宋" w:cs="仿宋"/>
          <w:color w:val="auto"/>
          <w:sz w:val="28"/>
          <w:szCs w:val="28"/>
          <w:lang w:val="en-US" w:eastAsia="zh-CN"/>
        </w:rPr>
        <w:t>标项名称</w:t>
      </w:r>
      <w:r>
        <w:rPr>
          <w:rFonts w:hint="eastAsia" w:ascii="仿宋" w:hAnsi="仿宋" w:eastAsia="仿宋" w:cs="仿宋"/>
          <w:color w:val="auto"/>
          <w:sz w:val="28"/>
          <w:szCs w:val="28"/>
        </w:rPr>
        <w:t>+投标保证金。否则，届时其投标将被拒绝。</w:t>
      </w:r>
    </w:p>
    <w:p w14:paraId="1F751102">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831E1B6">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七、对本次招标提出询问，请按以下方式联系。</w:t>
      </w:r>
      <w:bookmarkEnd w:id="606"/>
      <w:bookmarkEnd w:id="607"/>
      <w:bookmarkEnd w:id="608"/>
      <w:bookmarkEnd w:id="609"/>
    </w:p>
    <w:p w14:paraId="36AD9F4B">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bookmarkStart w:id="610" w:name="_Toc12123"/>
      <w:r>
        <w:rPr>
          <w:rFonts w:hint="eastAsia" w:ascii="仿宋" w:hAnsi="仿宋" w:eastAsia="仿宋" w:cs="仿宋"/>
          <w:color w:val="auto"/>
          <w:sz w:val="28"/>
          <w:szCs w:val="28"/>
          <w:shd w:val="clear" w:color="auto" w:fill="FFFFFF"/>
          <w:lang w:val="en-US" w:eastAsia="zh-CN"/>
        </w:rPr>
        <w:t>采购人信息</w:t>
      </w:r>
      <w:bookmarkEnd w:id="610"/>
    </w:p>
    <w:p w14:paraId="7462549D">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名  称：叶城县依提木孔镇人民政府</w:t>
      </w:r>
    </w:p>
    <w:p w14:paraId="5D0BB6EB">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bookmarkStart w:id="611" w:name="_Toc23265"/>
      <w:r>
        <w:rPr>
          <w:rFonts w:hint="eastAsia" w:ascii="仿宋" w:hAnsi="仿宋" w:eastAsia="仿宋" w:cs="仿宋"/>
          <w:color w:val="auto"/>
          <w:sz w:val="28"/>
          <w:szCs w:val="28"/>
          <w:shd w:val="clear" w:color="auto" w:fill="FFFFFF"/>
          <w:lang w:val="en-US" w:eastAsia="zh-CN"/>
        </w:rPr>
        <w:t>联 系 人：冯亚军</w:t>
      </w:r>
    </w:p>
    <w:p w14:paraId="605ED4F1">
      <w:pPr>
        <w:pStyle w:val="9"/>
        <w:keepNext w:val="0"/>
        <w:keepLines w:val="0"/>
        <w:pageBreakBefore w:val="0"/>
        <w:kinsoku/>
        <w:wordWrap/>
        <w:overflowPunct/>
        <w:topLinePunct w:val="0"/>
        <w:bidi w:val="0"/>
        <w:snapToGrid/>
        <w:spacing w:line="500" w:lineRule="atLeast"/>
        <w:textAlignment w:val="auto"/>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联系方式：17899274569</w:t>
      </w:r>
    </w:p>
    <w:p w14:paraId="4C714F9A">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2.采购代理机构信息</w:t>
      </w:r>
      <w:bookmarkEnd w:id="611"/>
    </w:p>
    <w:p w14:paraId="00F1BA50">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bookmarkStart w:id="612" w:name="_Toc24331"/>
      <w:r>
        <w:rPr>
          <w:rFonts w:hint="eastAsia" w:ascii="仿宋" w:hAnsi="仿宋" w:eastAsia="仿宋" w:cs="仿宋"/>
          <w:color w:val="auto"/>
          <w:sz w:val="28"/>
          <w:szCs w:val="28"/>
          <w:shd w:val="clear" w:color="auto" w:fill="FFFFFF"/>
          <w:lang w:val="en-US" w:eastAsia="zh-CN"/>
        </w:rPr>
        <w:t>名    称：新疆新睿泰咨询有限公司</w:t>
      </w:r>
    </w:p>
    <w:p w14:paraId="2A87E0A7">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 xml:space="preserve">地    址：新疆喀什地区喀什市深喀大道陕西大厦23楼2307室 </w:t>
      </w:r>
    </w:p>
    <w:p w14:paraId="270C2E5C">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联 系 人：赵瑞丽</w:t>
      </w:r>
    </w:p>
    <w:p w14:paraId="0F3E9A3A">
      <w:pPr>
        <w:pStyle w:val="9"/>
        <w:keepNext w:val="0"/>
        <w:keepLines w:val="0"/>
        <w:pageBreakBefore w:val="0"/>
        <w:kinsoku/>
        <w:wordWrap/>
        <w:overflowPunct/>
        <w:topLinePunct w:val="0"/>
        <w:bidi w:val="0"/>
        <w:snapToGrid/>
        <w:spacing w:line="500" w:lineRule="atLeast"/>
        <w:textAlignment w:val="auto"/>
        <w:rPr>
          <w:rFonts w:hint="default" w:ascii="仿宋" w:hAnsi="仿宋" w:eastAsia="仿宋" w:cs="仿宋"/>
          <w:color w:val="auto"/>
          <w:sz w:val="28"/>
          <w:szCs w:val="28"/>
          <w:shd w:val="clear" w:color="auto" w:fill="FFFFFF"/>
          <w:lang w:val="en-US" w:eastAsia="zh-CN"/>
        </w:rPr>
        <w:sectPr>
          <w:footerReference r:id="rId13" w:type="default"/>
          <w:pgSz w:w="11900" w:h="16840"/>
          <w:pgMar w:top="1429" w:right="1134" w:bottom="1140" w:left="1701" w:header="0" w:footer="1009" w:gutter="0"/>
          <w:pgNumType w:fmt="decimal"/>
          <w:cols w:space="720" w:num="1"/>
          <w:rtlGutter w:val="0"/>
          <w:docGrid w:linePitch="0" w:charSpace="0"/>
        </w:sectPr>
      </w:pPr>
      <w:r>
        <w:rPr>
          <w:rFonts w:hint="eastAsia" w:ascii="仿宋" w:hAnsi="仿宋" w:eastAsia="仿宋" w:cs="仿宋"/>
          <w:color w:val="auto"/>
          <w:sz w:val="28"/>
          <w:szCs w:val="28"/>
          <w:shd w:val="clear" w:color="auto" w:fill="FFFFFF"/>
          <w:lang w:val="en-US" w:eastAsia="zh-CN"/>
        </w:rPr>
        <w:t>联系电话：</w:t>
      </w:r>
      <w:bookmarkEnd w:id="612"/>
      <w:r>
        <w:rPr>
          <w:rFonts w:hint="eastAsia" w:ascii="仿宋" w:hAnsi="仿宋" w:eastAsia="仿宋" w:cs="仿宋"/>
          <w:color w:val="auto"/>
          <w:sz w:val="28"/>
          <w:szCs w:val="28"/>
          <w:shd w:val="clear" w:color="auto" w:fill="FFFFFF"/>
          <w:lang w:val="en-US" w:eastAsia="zh-CN"/>
        </w:rPr>
        <w:t>19039902669</w:t>
      </w:r>
    </w:p>
    <w:p w14:paraId="59E6659D">
      <w:pPr>
        <w:pStyle w:val="4"/>
        <w:tabs>
          <w:tab w:val="left" w:pos="0"/>
        </w:tabs>
        <w:spacing w:before="0" w:after="0" w:line="240" w:lineRule="atLeast"/>
        <w:ind w:firstLine="1928" w:firstLineChars="600"/>
        <w:jc w:val="both"/>
        <w:rPr>
          <w:rFonts w:hint="eastAsia" w:ascii="仿宋" w:hAnsi="仿宋" w:eastAsia="仿宋" w:cs="仿宋"/>
          <w:b w:val="0"/>
          <w:color w:val="auto"/>
          <w:szCs w:val="32"/>
        </w:rPr>
      </w:pPr>
      <w:bookmarkStart w:id="613" w:name="_Toc15389"/>
      <w:bookmarkStart w:id="614" w:name="_Toc21772"/>
      <w:r>
        <w:rPr>
          <w:rFonts w:hint="eastAsia" w:ascii="仿宋" w:hAnsi="仿宋" w:eastAsia="仿宋" w:cs="仿宋"/>
          <w:color w:val="auto"/>
        </w:rPr>
        <w:t>第</w:t>
      </w:r>
      <w:r>
        <w:rPr>
          <w:rFonts w:hint="eastAsia" w:ascii="仿宋" w:hAnsi="仿宋" w:eastAsia="仿宋" w:cs="仿宋"/>
          <w:color w:val="auto"/>
          <w:lang w:val="en-US" w:eastAsia="zh-CN"/>
        </w:rPr>
        <w:t>四</w:t>
      </w:r>
      <w:r>
        <w:rPr>
          <w:rFonts w:hint="eastAsia" w:ascii="仿宋" w:hAnsi="仿宋" w:eastAsia="仿宋" w:cs="仿宋"/>
          <w:color w:val="auto"/>
        </w:rPr>
        <w:t>章 投标人须知资料表</w:t>
      </w:r>
      <w:bookmarkEnd w:id="577"/>
      <w:bookmarkEnd w:id="578"/>
      <w:bookmarkEnd w:id="579"/>
      <w:bookmarkEnd w:id="580"/>
      <w:bookmarkEnd w:id="581"/>
      <w:bookmarkEnd w:id="613"/>
      <w:bookmarkEnd w:id="614"/>
    </w:p>
    <w:bookmarkEnd w:id="582"/>
    <w:p w14:paraId="288FF966">
      <w:pPr>
        <w:spacing w:line="240" w:lineRule="atLeast"/>
        <w:rPr>
          <w:rFonts w:hint="eastAsia" w:ascii="仿宋" w:hAnsi="仿宋" w:eastAsia="仿宋" w:cs="仿宋"/>
          <w:color w:val="auto"/>
          <w:sz w:val="24"/>
        </w:rPr>
      </w:pPr>
      <w:r>
        <w:rPr>
          <w:rFonts w:hint="eastAsia" w:ascii="仿宋" w:hAnsi="仿宋" w:eastAsia="仿宋" w:cs="仿宋"/>
          <w:color w:val="auto"/>
          <w:sz w:val="24"/>
        </w:rPr>
        <w:t xml:space="preserve"> 本表是本招标项目的具体资料，是对投标人须知的具体补充和修改，如有矛盾，应以本资料表为准。</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14:paraId="19193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1468" w:type="dxa"/>
            <w:noWrap w:val="0"/>
            <w:vAlign w:val="center"/>
          </w:tcPr>
          <w:p w14:paraId="26164CC6">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条款号</w:t>
            </w:r>
          </w:p>
        </w:tc>
        <w:tc>
          <w:tcPr>
            <w:tcW w:w="6840" w:type="dxa"/>
            <w:noWrap w:val="0"/>
            <w:vAlign w:val="center"/>
          </w:tcPr>
          <w:p w14:paraId="0DE39CE1">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内      容</w:t>
            </w:r>
          </w:p>
        </w:tc>
      </w:tr>
      <w:tr w14:paraId="2C0F0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noWrap w:val="0"/>
            <w:vAlign w:val="center"/>
          </w:tcPr>
          <w:p w14:paraId="06689646">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6840" w:type="dxa"/>
            <w:noWrap w:val="0"/>
            <w:vAlign w:val="center"/>
          </w:tcPr>
          <w:p w14:paraId="62ED395B">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u w:val="none" w:color="auto"/>
              </w:rPr>
            </w:pPr>
            <w:r>
              <w:rPr>
                <w:rFonts w:hint="eastAsia" w:ascii="仿宋" w:hAnsi="仿宋" w:eastAsia="仿宋" w:cs="仿宋"/>
                <w:color w:val="auto"/>
                <w:sz w:val="28"/>
                <w:szCs w:val="28"/>
                <w:u w:val="none" w:color="auto"/>
              </w:rPr>
              <w:t>采 购 人：</w:t>
            </w:r>
            <w:r>
              <w:rPr>
                <w:rFonts w:hint="eastAsia" w:ascii="仿宋" w:hAnsi="仿宋" w:eastAsia="仿宋" w:cs="仿宋"/>
                <w:color w:val="auto"/>
                <w:sz w:val="28"/>
                <w:szCs w:val="28"/>
                <w:u w:val="none" w:color="auto"/>
                <w:lang w:eastAsia="zh-CN"/>
              </w:rPr>
              <w:t>叶城县依提木孔镇人民政府</w:t>
            </w:r>
            <w:r>
              <w:rPr>
                <w:rFonts w:hint="eastAsia" w:ascii="仿宋" w:hAnsi="仿宋" w:eastAsia="仿宋" w:cs="仿宋"/>
                <w:color w:val="auto"/>
                <w:sz w:val="28"/>
                <w:szCs w:val="28"/>
                <w:u w:val="none" w:color="auto"/>
              </w:rPr>
              <w:t>　　</w:t>
            </w:r>
          </w:p>
          <w:p w14:paraId="7BBFC117">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u w:val="none" w:color="auto"/>
                <w:lang w:val="en-US" w:eastAsia="zh-CN"/>
              </w:rPr>
            </w:pPr>
            <w:r>
              <w:rPr>
                <w:rFonts w:hint="eastAsia" w:ascii="仿宋" w:hAnsi="仿宋" w:eastAsia="仿宋" w:cs="仿宋"/>
                <w:color w:val="auto"/>
                <w:sz w:val="28"/>
                <w:szCs w:val="28"/>
                <w:u w:val="none" w:color="auto"/>
                <w:lang w:val="en-US" w:eastAsia="zh-CN"/>
              </w:rPr>
              <w:t>联 系 人：冯亚军</w:t>
            </w:r>
          </w:p>
          <w:p w14:paraId="49249A48">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u w:val="none" w:color="auto"/>
                <w:lang w:eastAsia="zh-CN"/>
              </w:rPr>
            </w:pPr>
            <w:r>
              <w:rPr>
                <w:rFonts w:hint="eastAsia" w:ascii="仿宋" w:hAnsi="仿宋" w:eastAsia="仿宋" w:cs="仿宋"/>
                <w:color w:val="auto"/>
                <w:sz w:val="28"/>
                <w:szCs w:val="28"/>
                <w:u w:val="none" w:color="auto"/>
                <w:lang w:val="en-US" w:eastAsia="zh-CN"/>
              </w:rPr>
              <w:t>联系方式：17899274569</w:t>
            </w:r>
          </w:p>
        </w:tc>
      </w:tr>
      <w:tr w14:paraId="6B9C8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20A3DC1A">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6840" w:type="dxa"/>
            <w:noWrap w:val="0"/>
            <w:vAlign w:val="center"/>
          </w:tcPr>
          <w:p w14:paraId="3C569911">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u w:val="none" w:color="auto"/>
                <w:lang w:eastAsia="zh-CN"/>
              </w:rPr>
            </w:pPr>
            <w:r>
              <w:rPr>
                <w:rFonts w:hint="eastAsia" w:ascii="仿宋" w:hAnsi="仿宋" w:eastAsia="仿宋" w:cs="仿宋"/>
                <w:color w:val="auto"/>
                <w:sz w:val="28"/>
                <w:szCs w:val="28"/>
                <w:u w:val="none" w:color="auto"/>
              </w:rPr>
              <w:t>采购代理机构：</w:t>
            </w:r>
            <w:r>
              <w:rPr>
                <w:rFonts w:hint="eastAsia" w:ascii="仿宋" w:hAnsi="仿宋" w:eastAsia="仿宋" w:cs="仿宋"/>
                <w:color w:val="auto"/>
                <w:sz w:val="28"/>
                <w:szCs w:val="28"/>
                <w:u w:val="none" w:color="auto"/>
                <w:lang w:eastAsia="zh-CN"/>
              </w:rPr>
              <w:t>新疆新睿泰咨询有限公司</w:t>
            </w:r>
          </w:p>
          <w:p w14:paraId="5CE34BD5">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u w:val="none" w:color="auto"/>
                <w:lang w:eastAsia="zh-CN"/>
              </w:rPr>
            </w:pPr>
            <w:r>
              <w:rPr>
                <w:rFonts w:hint="eastAsia" w:ascii="仿宋" w:hAnsi="仿宋" w:eastAsia="仿宋" w:cs="仿宋"/>
                <w:color w:val="auto"/>
                <w:sz w:val="28"/>
                <w:szCs w:val="28"/>
                <w:u w:val="none" w:color="auto"/>
              </w:rPr>
              <w:t>地址：</w:t>
            </w:r>
            <w:r>
              <w:rPr>
                <w:rFonts w:hint="eastAsia" w:ascii="仿宋" w:hAnsi="仿宋" w:eastAsia="仿宋" w:cs="仿宋"/>
                <w:color w:val="auto"/>
                <w:sz w:val="28"/>
                <w:szCs w:val="28"/>
                <w:shd w:val="clear" w:color="auto" w:fill="FFFFFF"/>
                <w:lang w:val="en-US" w:eastAsia="zh-CN"/>
              </w:rPr>
              <w:t>新疆喀什地区喀什市深喀大道陕西大厦23楼2307室</w:t>
            </w:r>
          </w:p>
          <w:p w14:paraId="7D96267B">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u w:val="none" w:color="auto"/>
                <w:lang w:eastAsia="zh-CN"/>
              </w:rPr>
            </w:pPr>
            <w:r>
              <w:rPr>
                <w:rFonts w:hint="eastAsia" w:ascii="仿宋" w:hAnsi="仿宋" w:eastAsia="仿宋" w:cs="仿宋"/>
                <w:color w:val="auto"/>
                <w:sz w:val="28"/>
                <w:szCs w:val="28"/>
                <w:u w:val="none" w:color="auto"/>
              </w:rPr>
              <w:t>业务联系人：</w:t>
            </w:r>
            <w:r>
              <w:rPr>
                <w:rFonts w:hint="eastAsia" w:ascii="仿宋" w:hAnsi="仿宋" w:eastAsia="仿宋" w:cs="仿宋"/>
                <w:color w:val="auto"/>
                <w:sz w:val="28"/>
                <w:szCs w:val="28"/>
                <w:u w:val="none" w:color="auto"/>
                <w:lang w:eastAsia="zh-CN"/>
              </w:rPr>
              <w:t>赵瑞丽</w:t>
            </w:r>
          </w:p>
          <w:p w14:paraId="398AE392">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u w:val="none" w:color="auto"/>
                <w:lang w:eastAsia="zh-CN"/>
              </w:rPr>
            </w:pPr>
            <w:r>
              <w:rPr>
                <w:rFonts w:hint="eastAsia" w:ascii="仿宋" w:hAnsi="仿宋" w:eastAsia="仿宋" w:cs="仿宋"/>
                <w:color w:val="auto"/>
                <w:sz w:val="28"/>
                <w:szCs w:val="28"/>
                <w:u w:val="none" w:color="auto"/>
              </w:rPr>
              <w:t>电话：</w:t>
            </w:r>
            <w:r>
              <w:rPr>
                <w:rFonts w:hint="eastAsia" w:ascii="仿宋" w:hAnsi="仿宋" w:eastAsia="仿宋" w:cs="仿宋"/>
                <w:color w:val="auto"/>
                <w:sz w:val="28"/>
                <w:szCs w:val="28"/>
                <w:u w:val="none" w:color="auto"/>
                <w:lang w:eastAsia="zh-CN"/>
              </w:rPr>
              <w:t>19039902669</w:t>
            </w:r>
          </w:p>
        </w:tc>
      </w:tr>
      <w:tr w14:paraId="6C2EF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6" w:hRule="atLeast"/>
        </w:trPr>
        <w:tc>
          <w:tcPr>
            <w:tcW w:w="1468" w:type="dxa"/>
            <w:noWrap w:val="0"/>
            <w:vAlign w:val="center"/>
          </w:tcPr>
          <w:p w14:paraId="3D6D868B">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p>
        </w:tc>
        <w:tc>
          <w:tcPr>
            <w:tcW w:w="6840" w:type="dxa"/>
            <w:noWrap w:val="0"/>
            <w:vAlign w:val="center"/>
          </w:tcPr>
          <w:p w14:paraId="162C5E5B">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rPr>
            </w:pPr>
            <w:r>
              <w:rPr>
                <w:rFonts w:hint="eastAsia" w:ascii="仿宋" w:hAnsi="仿宋" w:eastAsia="仿宋" w:cs="仿宋"/>
                <w:b/>
                <w:bCs/>
                <w:i w:val="0"/>
                <w:caps w:val="0"/>
                <w:color w:val="auto"/>
                <w:spacing w:val="0"/>
                <w:w w:val="100"/>
                <w:sz w:val="28"/>
                <w:szCs w:val="28"/>
                <w:highlight w:val="none"/>
              </w:rPr>
              <w:t>合格投标人的其他资格要求：</w:t>
            </w:r>
          </w:p>
          <w:p w14:paraId="1CC4E614">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1.满足《中华人民共和国政府采购法》第二十二条规定；</w:t>
            </w:r>
          </w:p>
          <w:p w14:paraId="381E2B08">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2.有效的企业营业执照、《银行开户许可证》或《基本存款账户信息》</w:t>
            </w:r>
          </w:p>
          <w:p w14:paraId="49A0EF79">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3.特定资格要求：</w:t>
            </w:r>
          </w:p>
          <w:p w14:paraId="5BD5B851">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b/>
                <w:bCs/>
                <w:color w:val="auto"/>
                <w:sz w:val="28"/>
                <w:szCs w:val="28"/>
                <w:shd w:val="clear" w:color="auto" w:fill="FFFFFF"/>
                <w:lang w:val="en-US" w:eastAsia="zh-CN"/>
              </w:rPr>
              <w:t>标项一：</w:t>
            </w:r>
            <w:r>
              <w:rPr>
                <w:rFonts w:hint="eastAsia" w:ascii="仿宋" w:hAnsi="仿宋" w:eastAsia="仿宋" w:cs="仿宋"/>
                <w:color w:val="auto"/>
                <w:sz w:val="28"/>
                <w:szCs w:val="28"/>
                <w:shd w:val="clear" w:color="auto" w:fill="FFFFFF"/>
                <w:lang w:eastAsia="zh-CN"/>
              </w:rPr>
              <w:t>具备有效的《飞防经营许可证、商业运行合格证》</w:t>
            </w:r>
            <w:r>
              <w:rPr>
                <w:rFonts w:hint="eastAsia" w:ascii="仿宋" w:hAnsi="仿宋" w:eastAsia="仿宋" w:cs="仿宋"/>
                <w:color w:val="auto"/>
                <w:sz w:val="28"/>
                <w:szCs w:val="28"/>
                <w:shd w:val="clear" w:color="auto" w:fill="FFFFFF"/>
                <w:lang w:val="en-US" w:eastAsia="zh-CN"/>
              </w:rPr>
              <w:t>或通航公司应具备《中华人民共和国航空法》及《一般运行和飞行规则》规定的资质。提供通航公司经营许可证、商业（非运输）运行合格证。</w:t>
            </w:r>
          </w:p>
          <w:p w14:paraId="4930518D">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default" w:ascii="仿宋" w:hAnsi="仿宋" w:eastAsia="仿宋" w:cs="仿宋"/>
                <w:color w:val="auto"/>
                <w:sz w:val="28"/>
                <w:szCs w:val="28"/>
                <w:shd w:val="clear" w:color="auto" w:fill="FFFFFF"/>
                <w:lang w:val="en-US" w:eastAsia="zh-CN"/>
              </w:rPr>
            </w:pPr>
            <w:r>
              <w:rPr>
                <w:rFonts w:hint="eastAsia" w:ascii="仿宋" w:hAnsi="仿宋" w:eastAsia="仿宋" w:cs="仿宋"/>
                <w:b/>
                <w:bCs/>
                <w:color w:val="auto"/>
                <w:sz w:val="28"/>
                <w:szCs w:val="28"/>
                <w:shd w:val="clear" w:color="auto" w:fill="FFFFFF"/>
                <w:lang w:val="en-US" w:eastAsia="zh-CN"/>
              </w:rPr>
              <w:t>标项三、四：</w:t>
            </w:r>
            <w:r>
              <w:rPr>
                <w:rFonts w:hint="eastAsia" w:ascii="仿宋" w:hAnsi="仿宋" w:eastAsia="仿宋" w:cs="仿宋"/>
                <w:color w:val="auto"/>
                <w:sz w:val="28"/>
                <w:szCs w:val="28"/>
                <w:shd w:val="clear" w:color="auto" w:fill="FFFFFF"/>
                <w:lang w:val="en-US" w:eastAsia="zh-CN"/>
              </w:rPr>
              <w:t>（1）投标人为生产厂家的需提供在有效期内的农药登记证、农药生产许可证；</w:t>
            </w:r>
            <w:r>
              <w:rPr>
                <w:rFonts w:hint="eastAsia" w:ascii="仿宋" w:hAnsi="仿宋" w:eastAsia="仿宋" w:cs="仿宋"/>
                <w:color w:val="auto"/>
                <w:sz w:val="28"/>
                <w:szCs w:val="28"/>
                <w:shd w:val="clear" w:color="auto" w:fill="FFFFFF"/>
                <w:lang w:val="en-US" w:eastAsia="zh-CN"/>
              </w:rPr>
              <w:br w:type="textWrapping"/>
            </w:r>
            <w:r>
              <w:rPr>
                <w:rFonts w:hint="eastAsia" w:ascii="仿宋" w:hAnsi="仿宋" w:eastAsia="仿宋" w:cs="仿宋"/>
                <w:color w:val="auto"/>
                <w:sz w:val="28"/>
                <w:szCs w:val="28"/>
                <w:shd w:val="clear" w:color="auto" w:fill="FFFFFF"/>
                <w:lang w:val="en-US" w:eastAsia="zh-CN"/>
              </w:rPr>
              <w:t>（2）投标人为经销商的需提供农药经营许可证和生产厂家的农药农药生产许可证及农药登记证的复印件</w:t>
            </w:r>
            <w:r>
              <w:rPr>
                <w:rFonts w:hint="eastAsia" w:ascii="仿宋" w:hAnsi="仿宋" w:eastAsia="仿宋" w:cs="仿宋"/>
                <w:color w:val="auto"/>
                <w:sz w:val="28"/>
                <w:szCs w:val="28"/>
                <w:shd w:val="clear" w:color="auto" w:fill="FFFFFF"/>
                <w:lang w:eastAsia="zh-CN"/>
              </w:rPr>
              <w:t>。</w:t>
            </w:r>
          </w:p>
          <w:p w14:paraId="1D174C39">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4.法人本人投标需提供法人身份证及法定代表人资格证明书；授权委托人投标需提供法人授权委托书、法人身份证复印件及被授权委托人身份证；</w:t>
            </w:r>
          </w:p>
          <w:p w14:paraId="5A901300">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5.</w:t>
            </w:r>
            <w:r>
              <w:rPr>
                <w:rFonts w:hint="eastAsia" w:ascii="仿宋" w:hAnsi="仿宋" w:eastAsia="仿宋" w:cs="仿宋"/>
                <w:b/>
                <w:bCs/>
                <w:color w:val="auto"/>
                <w:kern w:val="0"/>
                <w:sz w:val="28"/>
                <w:szCs w:val="28"/>
                <w:highlight w:val="none"/>
                <w:lang w:val="en-US" w:eastAsia="zh-CN" w:bidi="ar-SA"/>
              </w:rPr>
              <w:t>具有健全的财务会计制度和提供2023或2024年度财务审计报告；（2024年成立的公司可提供公司成立至今的银行资信证明）；</w:t>
            </w:r>
          </w:p>
          <w:p w14:paraId="6705A838">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6.提供本</w:t>
            </w:r>
            <w:r>
              <w:rPr>
                <w:rFonts w:hint="eastAsia" w:ascii="仿宋" w:hAnsi="仿宋" w:eastAsia="仿宋" w:cs="仿宋"/>
                <w:b/>
                <w:bCs/>
                <w:color w:val="auto"/>
                <w:kern w:val="0"/>
                <w:sz w:val="28"/>
                <w:szCs w:val="28"/>
                <w:highlight w:val="none"/>
                <w:lang w:val="en-US" w:eastAsia="zh-CN" w:bidi="ar-SA"/>
              </w:rPr>
              <w:t>单位缴纳的近三个月（连续三个月）的社保缴纳证明（公司缴费证明和社保缴费个人明细单）</w:t>
            </w:r>
            <w:r>
              <w:rPr>
                <w:rFonts w:hint="eastAsia" w:ascii="仿宋" w:hAnsi="仿宋" w:eastAsia="仿宋" w:cs="仿宋"/>
                <w:b/>
                <w:bCs/>
                <w:i w:val="0"/>
                <w:caps w:val="0"/>
                <w:color w:val="auto"/>
                <w:spacing w:val="0"/>
                <w:w w:val="100"/>
                <w:sz w:val="28"/>
                <w:szCs w:val="28"/>
                <w:highlight w:val="none"/>
                <w:lang w:val="en-US" w:eastAsia="zh-CN"/>
              </w:rPr>
              <w:t>、具有税务局开具依法缴纳近三个月（连续三个月）的完税证明；注：</w:t>
            </w:r>
            <w:r>
              <w:rPr>
                <w:rFonts w:hint="eastAsia" w:ascii="仿宋" w:hAnsi="仿宋" w:eastAsia="仿宋" w:cs="仿宋"/>
                <w:b/>
                <w:bCs/>
                <w:i w:val="0"/>
                <w:caps w:val="0"/>
                <w:color w:val="auto"/>
                <w:spacing w:val="0"/>
                <w:w w:val="100"/>
                <w:sz w:val="28"/>
                <w:szCs w:val="28"/>
                <w:highlight w:val="none"/>
              </w:rPr>
              <w:t>若供应商某月税收为零申报，须提供当月加盖税务局公章的无欠税证明或“国家税务总局电子税务局（12366.chinatax.gov.cn/bsfw/onlinetaxation/main）”的申报结果查询截图。完税证明中“税种”非养老保险、医疗保险、失业保险、工伤保险和生育保险。</w:t>
            </w:r>
          </w:p>
          <w:p w14:paraId="70DA15BC">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将拒绝其参加本次招标活动；</w:t>
            </w:r>
          </w:p>
          <w:p w14:paraId="08872737">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8.提供针对本次项目《反商业贿赂承诺书》；</w:t>
            </w:r>
          </w:p>
          <w:p w14:paraId="3AEBF31A">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9.参加政府采购活动前三年内在经营活动中没有重大违法记录的书面声明</w:t>
            </w:r>
          </w:p>
          <w:p w14:paraId="58E9F2B5">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10.投标人可提供有利于投标的其他资格证明材料。</w:t>
            </w:r>
          </w:p>
          <w:p w14:paraId="4164ADCA">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 xml:space="preserve">11.投标保证金缴纳的有效证明（打款凭证或保函）； </w:t>
            </w:r>
          </w:p>
          <w:p w14:paraId="48568CB7">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 xml:space="preserve">12.本项目不接受联合体投标。   </w:t>
            </w:r>
          </w:p>
          <w:p w14:paraId="6049C9E9">
            <w:pPr>
              <w:pStyle w:val="13"/>
              <w:keepNext w:val="0"/>
              <w:keepLines w:val="0"/>
              <w:pageBreakBefore w:val="0"/>
              <w:widowControl w:val="0"/>
              <w:kinsoku/>
              <w:wordWrap/>
              <w:overflowPunct/>
              <w:topLinePunct w:val="0"/>
              <w:bidi w:val="0"/>
              <w:adjustRightInd/>
              <w:snapToGrid/>
              <w:spacing w:line="460" w:lineRule="exact"/>
              <w:textAlignment w:val="auto"/>
              <w:rPr>
                <w:rFonts w:hint="eastAsia"/>
                <w:color w:val="auto"/>
                <w:sz w:val="28"/>
                <w:szCs w:val="28"/>
              </w:rPr>
            </w:pPr>
            <w:r>
              <w:rPr>
                <w:rFonts w:hint="eastAsia" w:ascii="仿宋" w:hAnsi="仿宋" w:eastAsia="仿宋" w:cs="仿宋"/>
                <w:b/>
                <w:bCs/>
                <w:i w:val="0"/>
                <w:caps w:val="0"/>
                <w:color w:val="auto"/>
                <w:spacing w:val="0"/>
                <w:w w:val="100"/>
                <w:sz w:val="28"/>
                <w:szCs w:val="28"/>
                <w:highlight w:val="none"/>
              </w:rPr>
              <w:t>提示：上述</w:t>
            </w:r>
            <w:r>
              <w:rPr>
                <w:rFonts w:hint="eastAsia" w:ascii="仿宋" w:hAnsi="仿宋" w:eastAsia="仿宋" w:cs="仿宋"/>
                <w:b/>
                <w:bCs/>
                <w:i w:val="0"/>
                <w:caps w:val="0"/>
                <w:color w:val="auto"/>
                <w:spacing w:val="0"/>
                <w:w w:val="100"/>
                <w:sz w:val="28"/>
                <w:szCs w:val="28"/>
                <w:highlight w:val="none"/>
                <w:lang w:val="en-US" w:eastAsia="zh-CN"/>
              </w:rPr>
              <w:t>资格要求</w:t>
            </w:r>
            <w:r>
              <w:rPr>
                <w:rFonts w:hint="eastAsia" w:ascii="仿宋" w:hAnsi="仿宋" w:eastAsia="仿宋" w:cs="仿宋"/>
                <w:b/>
                <w:bCs/>
                <w:i w:val="0"/>
                <w:caps w:val="0"/>
                <w:color w:val="auto"/>
                <w:spacing w:val="0"/>
                <w:w w:val="100"/>
                <w:sz w:val="28"/>
                <w:szCs w:val="28"/>
                <w:highlight w:val="none"/>
              </w:rPr>
              <w:t>开标现场能够通过官方网络查证的，均视为合格供应商。</w:t>
            </w:r>
          </w:p>
        </w:tc>
      </w:tr>
      <w:tr w14:paraId="666C6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468" w:type="dxa"/>
            <w:noWrap w:val="0"/>
            <w:vAlign w:val="center"/>
          </w:tcPr>
          <w:p w14:paraId="5C90EB95">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6840" w:type="dxa"/>
            <w:noWrap w:val="0"/>
            <w:vAlign w:val="center"/>
          </w:tcPr>
          <w:p w14:paraId="77E13152">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是否允许采购进口产品：</w:t>
            </w:r>
            <w:r>
              <w:rPr>
                <w:rFonts w:hint="eastAsia" w:ascii="仿宋" w:hAnsi="仿宋" w:eastAsia="仿宋" w:cs="仿宋"/>
                <w:color w:val="auto"/>
                <w:sz w:val="28"/>
                <w:szCs w:val="28"/>
                <w:u w:val="single"/>
                <w:lang w:eastAsia="zh-CN"/>
              </w:rPr>
              <w:t>否</w:t>
            </w:r>
          </w:p>
        </w:tc>
      </w:tr>
      <w:tr w14:paraId="78236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468" w:type="dxa"/>
            <w:noWrap w:val="0"/>
            <w:vAlign w:val="center"/>
          </w:tcPr>
          <w:p w14:paraId="0B226E46">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p>
        </w:tc>
        <w:tc>
          <w:tcPr>
            <w:tcW w:w="6840" w:type="dxa"/>
            <w:noWrap w:val="0"/>
            <w:vAlign w:val="center"/>
          </w:tcPr>
          <w:p w14:paraId="6863BBA5">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lang w:val="en-US" w:eastAsia="zh-CN"/>
              </w:rPr>
              <w:t>合同履约期限</w:t>
            </w:r>
            <w:r>
              <w:rPr>
                <w:rFonts w:hint="eastAsia" w:ascii="仿宋" w:hAnsi="仿宋" w:eastAsia="仿宋" w:cs="仿宋"/>
                <w:color w:val="auto"/>
                <w:sz w:val="28"/>
                <w:szCs w:val="28"/>
                <w:shd w:val="clear" w:color="auto" w:fill="FFFFFF"/>
                <w:lang w:val="en-US" w:eastAsia="zh-CN"/>
              </w:rPr>
              <w:t>限（标项一、二签订合同后甲方规定时间，规定地点进行服务；标项三、四签订合同后5天内完成供货）（实际以采购合同签订为准）。</w:t>
            </w:r>
          </w:p>
          <w:p w14:paraId="625E8C25">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供货</w:t>
            </w:r>
            <w:r>
              <w:rPr>
                <w:rFonts w:hint="eastAsia" w:ascii="仿宋" w:hAnsi="仿宋" w:eastAsia="仿宋" w:cs="仿宋"/>
                <w:color w:val="auto"/>
                <w:sz w:val="28"/>
                <w:szCs w:val="28"/>
                <w:shd w:val="clear" w:color="auto" w:fill="FFFFFF"/>
                <w:lang w:val="en-US" w:eastAsia="zh-CN"/>
              </w:rPr>
              <w:t>地点：甲方指定地点</w:t>
            </w:r>
            <w:r>
              <w:rPr>
                <w:rFonts w:hint="default" w:ascii="仿宋" w:hAnsi="仿宋" w:eastAsia="仿宋" w:cs="仿宋"/>
                <w:color w:val="auto"/>
                <w:sz w:val="28"/>
                <w:szCs w:val="28"/>
                <w:shd w:val="clear" w:color="auto" w:fill="FFFFFF"/>
                <w:lang w:val="en-US" w:eastAsia="zh-CN"/>
              </w:rPr>
              <w:t>。</w:t>
            </w:r>
          </w:p>
          <w:p w14:paraId="3182C269">
            <w:pPr>
              <w:pStyle w:val="9"/>
              <w:ind w:left="0" w:leftChars="0" w:firstLine="0" w:firstLineChars="0"/>
              <w:rPr>
                <w:rFonts w:hint="default"/>
                <w:color w:val="auto"/>
                <w:lang w:val="en-US"/>
              </w:rPr>
            </w:pPr>
            <w:r>
              <w:rPr>
                <w:rFonts w:hint="eastAsia" w:ascii="仿宋" w:hAnsi="仿宋" w:eastAsia="仿宋" w:cs="仿宋"/>
                <w:color w:val="auto"/>
                <w:sz w:val="28"/>
                <w:szCs w:val="28"/>
                <w:lang w:val="en-US" w:eastAsia="zh-CN"/>
              </w:rPr>
              <w:t>供货方式：以合同签订为准</w:t>
            </w:r>
          </w:p>
        </w:tc>
      </w:tr>
      <w:tr w14:paraId="4010D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468" w:type="dxa"/>
            <w:noWrap w:val="0"/>
            <w:vAlign w:val="center"/>
          </w:tcPr>
          <w:p w14:paraId="5C179308">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6840" w:type="dxa"/>
            <w:noWrap w:val="0"/>
            <w:vAlign w:val="center"/>
          </w:tcPr>
          <w:p w14:paraId="771469A2">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lang w:eastAsia="zh-CN"/>
              </w:rPr>
            </w:pPr>
            <w:r>
              <w:rPr>
                <w:rFonts w:hint="eastAsia" w:ascii="仿宋" w:hAnsi="仿宋" w:eastAsia="仿宋" w:cs="仿宋"/>
                <w:b w:val="0"/>
                <w:bCs w:val="0"/>
                <w:color w:val="auto"/>
                <w:spacing w:val="-3"/>
                <w:sz w:val="28"/>
                <w:szCs w:val="28"/>
              </w:rPr>
              <w:t>付款方式：</w:t>
            </w:r>
            <w:r>
              <w:rPr>
                <w:rFonts w:hint="eastAsia" w:ascii="仿宋" w:hAnsi="仿宋" w:eastAsia="仿宋" w:cs="仿宋"/>
                <w:color w:val="auto"/>
                <w:sz w:val="28"/>
                <w:szCs w:val="28"/>
                <w:shd w:val="clear" w:color="auto" w:fill="FFFFFF"/>
                <w:lang w:val="en-US" w:eastAsia="zh-CN"/>
              </w:rPr>
              <w:t>签订合同后</w:t>
            </w:r>
            <w:r>
              <w:rPr>
                <w:rFonts w:hint="eastAsia" w:ascii="仿宋" w:hAnsi="仿宋" w:eastAsia="仿宋" w:cs="仿宋"/>
                <w:color w:val="auto"/>
                <w:sz w:val="28"/>
                <w:szCs w:val="28"/>
                <w:shd w:val="clear" w:color="auto" w:fill="FFFFFF"/>
                <w:lang w:val="en-US" w:eastAsia="zh-Hans"/>
              </w:rPr>
              <w:t>甲方向乙方</w:t>
            </w:r>
            <w:r>
              <w:rPr>
                <w:rFonts w:hint="eastAsia" w:ascii="仿宋" w:hAnsi="仿宋" w:eastAsia="仿宋" w:cs="仿宋"/>
                <w:color w:val="auto"/>
                <w:sz w:val="28"/>
                <w:szCs w:val="28"/>
                <w:shd w:val="clear" w:color="auto" w:fill="FFFFFF"/>
                <w:lang w:val="en-US" w:eastAsia="zh-CN"/>
              </w:rPr>
              <w:t>支付合同总额</w:t>
            </w:r>
            <w:r>
              <w:rPr>
                <w:rFonts w:hint="eastAsia" w:ascii="仿宋" w:hAnsi="仿宋" w:eastAsia="仿宋" w:cs="仿宋"/>
                <w:color w:val="auto"/>
                <w:sz w:val="28"/>
                <w:szCs w:val="28"/>
                <w:shd w:val="clear" w:color="auto" w:fill="FFFFFF"/>
                <w:lang w:val="en-US" w:eastAsia="zh-Hans"/>
              </w:rPr>
              <w:t>30</w:t>
            </w:r>
            <w:r>
              <w:rPr>
                <w:rFonts w:hint="eastAsia" w:ascii="仿宋" w:hAnsi="仿宋" w:eastAsia="仿宋" w:cs="仿宋"/>
                <w:color w:val="auto"/>
                <w:sz w:val="28"/>
                <w:szCs w:val="28"/>
                <w:shd w:val="clear" w:color="auto" w:fill="FFFFFF"/>
                <w:lang w:val="en-US" w:eastAsia="zh-CN"/>
              </w:rPr>
              <w:t>%的预付款</w:t>
            </w:r>
            <w:r>
              <w:rPr>
                <w:rFonts w:hint="eastAsia" w:ascii="仿宋" w:hAnsi="仿宋" w:eastAsia="仿宋" w:cs="仿宋"/>
                <w:color w:val="auto"/>
                <w:sz w:val="28"/>
                <w:szCs w:val="28"/>
                <w:shd w:val="clear" w:color="auto" w:fill="FFFFFF"/>
                <w:lang w:val="en-US" w:eastAsia="zh-Hans"/>
              </w:rPr>
              <w:t>，乙方完成</w:t>
            </w:r>
            <w:r>
              <w:rPr>
                <w:rFonts w:hint="eastAsia" w:ascii="仿宋" w:hAnsi="仿宋" w:eastAsia="仿宋" w:cs="仿宋"/>
                <w:color w:val="auto"/>
                <w:sz w:val="28"/>
                <w:szCs w:val="28"/>
                <w:shd w:val="clear" w:color="auto" w:fill="FFFFFF"/>
                <w:lang w:val="en-US" w:eastAsia="zh-CN"/>
              </w:rPr>
              <w:t>供货后</w:t>
            </w:r>
            <w:r>
              <w:rPr>
                <w:rFonts w:hint="eastAsia" w:ascii="仿宋" w:hAnsi="仿宋" w:eastAsia="仿宋" w:cs="仿宋"/>
                <w:color w:val="auto"/>
                <w:sz w:val="28"/>
                <w:szCs w:val="28"/>
                <w:shd w:val="clear" w:color="auto" w:fill="FFFFFF"/>
                <w:lang w:val="en-US" w:eastAsia="zh-Hans"/>
              </w:rPr>
              <w:t>甲</w:t>
            </w:r>
            <w:r>
              <w:rPr>
                <w:rFonts w:hint="eastAsia" w:ascii="仿宋" w:hAnsi="仿宋" w:eastAsia="仿宋" w:cs="仿宋"/>
                <w:color w:val="auto"/>
                <w:sz w:val="28"/>
                <w:szCs w:val="28"/>
                <w:shd w:val="clear" w:color="auto" w:fill="FFFFFF"/>
                <w:lang w:val="en-US" w:eastAsia="zh-CN"/>
              </w:rPr>
              <w:t>支付合同总价款的40%</w:t>
            </w:r>
            <w:r>
              <w:rPr>
                <w:rFonts w:hint="eastAsia" w:ascii="仿宋" w:hAnsi="仿宋" w:eastAsia="仿宋" w:cs="仿宋"/>
                <w:color w:val="auto"/>
                <w:sz w:val="28"/>
                <w:szCs w:val="28"/>
                <w:shd w:val="clear" w:color="auto" w:fill="FFFFFF"/>
                <w:lang w:val="en-US" w:eastAsia="zh-Hans"/>
              </w:rPr>
              <w:t>，剩余</w:t>
            </w:r>
            <w:r>
              <w:rPr>
                <w:rFonts w:hint="eastAsia" w:ascii="仿宋" w:hAnsi="仿宋" w:eastAsia="仿宋" w:cs="仿宋"/>
                <w:color w:val="auto"/>
                <w:sz w:val="28"/>
                <w:szCs w:val="28"/>
                <w:shd w:val="clear" w:color="auto" w:fill="FFFFFF"/>
                <w:lang w:val="en-US" w:eastAsia="zh-CN"/>
              </w:rPr>
              <w:t>30%由甲方验收完成并</w:t>
            </w:r>
            <w:r>
              <w:rPr>
                <w:rFonts w:hint="eastAsia" w:ascii="仿宋" w:hAnsi="仿宋" w:eastAsia="仿宋" w:cs="仿宋"/>
                <w:color w:val="auto"/>
                <w:sz w:val="28"/>
                <w:szCs w:val="28"/>
                <w:shd w:val="clear" w:color="auto" w:fill="FFFFFF"/>
                <w:lang w:val="en-US" w:eastAsia="zh-Hans"/>
              </w:rPr>
              <w:t>审计</w:t>
            </w:r>
            <w:r>
              <w:rPr>
                <w:rFonts w:hint="eastAsia" w:ascii="仿宋" w:hAnsi="仿宋" w:eastAsia="仿宋" w:cs="仿宋"/>
                <w:color w:val="auto"/>
                <w:sz w:val="28"/>
                <w:szCs w:val="28"/>
                <w:shd w:val="clear" w:color="auto" w:fill="FFFFFF"/>
                <w:lang w:val="en-US" w:eastAsia="zh-CN"/>
              </w:rPr>
              <w:t>完成后</w:t>
            </w:r>
            <w:r>
              <w:rPr>
                <w:rFonts w:hint="eastAsia" w:ascii="仿宋" w:hAnsi="仿宋" w:eastAsia="仿宋" w:cs="仿宋"/>
                <w:color w:val="auto"/>
                <w:sz w:val="28"/>
                <w:szCs w:val="28"/>
                <w:shd w:val="clear" w:color="auto" w:fill="FFFFFF"/>
                <w:lang w:val="en-US" w:eastAsia="zh-Hans"/>
              </w:rPr>
              <w:t>支付。</w:t>
            </w:r>
          </w:p>
        </w:tc>
      </w:tr>
      <w:tr w14:paraId="0EF7B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468" w:type="dxa"/>
            <w:noWrap w:val="0"/>
            <w:vAlign w:val="center"/>
          </w:tcPr>
          <w:p w14:paraId="4EA67F65">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6840" w:type="dxa"/>
            <w:noWrap w:val="0"/>
            <w:vAlign w:val="center"/>
          </w:tcPr>
          <w:p w14:paraId="7E513D05">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 w:hAnsi="仿宋" w:eastAsia="仿宋" w:cs="仿宋"/>
                <w:b w:val="0"/>
                <w:bCs w:val="0"/>
                <w:color w:val="auto"/>
                <w:spacing w:val="-3"/>
                <w:sz w:val="28"/>
                <w:szCs w:val="28"/>
              </w:rPr>
            </w:pPr>
            <w:r>
              <w:rPr>
                <w:rFonts w:hint="eastAsia" w:ascii="仿宋" w:hAnsi="仿宋" w:eastAsia="仿宋" w:cs="仿宋"/>
                <w:color w:val="auto"/>
                <w:sz w:val="28"/>
                <w:szCs w:val="28"/>
                <w:highlight w:val="none"/>
              </w:rPr>
              <w:t>验收要求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采购合同履行完毕后3日内采购单位组织履约验收</w:t>
            </w:r>
          </w:p>
        </w:tc>
      </w:tr>
      <w:tr w14:paraId="583FE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468" w:type="dxa"/>
            <w:noWrap w:val="0"/>
            <w:vAlign w:val="center"/>
          </w:tcPr>
          <w:p w14:paraId="5C098615">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6840" w:type="dxa"/>
            <w:noWrap w:val="0"/>
            <w:vAlign w:val="center"/>
          </w:tcPr>
          <w:p w14:paraId="7A7491CF">
            <w:pPr>
              <w:keepNext w:val="0"/>
              <w:keepLines w:val="0"/>
              <w:pageBreakBefore w:val="0"/>
              <w:kinsoku/>
              <w:wordWrap/>
              <w:overflowPunct/>
              <w:topLinePunct w:val="0"/>
              <w:autoSpaceDE/>
              <w:autoSpaceDN/>
              <w:bidi w:val="0"/>
              <w:adjustRightInd/>
              <w:snapToGrid/>
              <w:spacing w:beforeLines="10" w:afterLines="10" w:line="500" w:lineRule="exact"/>
              <w:ind w:left="0" w:right="0"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文件提出质疑</w:t>
            </w:r>
            <w:r>
              <w:rPr>
                <w:rFonts w:hint="eastAsia" w:ascii="仿宋" w:hAnsi="仿宋" w:eastAsia="仿宋" w:cs="仿宋"/>
                <w:color w:val="auto"/>
                <w:sz w:val="28"/>
                <w:szCs w:val="28"/>
                <w:highlight w:val="none"/>
                <w:lang w:val="en-US" w:eastAsia="zh-CN"/>
              </w:rPr>
              <w:t>的方式：将PDF格式电子版质疑文件加盖公章扫描发送至130292113@qq.com邮箱。</w:t>
            </w:r>
          </w:p>
          <w:p w14:paraId="14D7DD47">
            <w:pPr>
              <w:keepNext w:val="0"/>
              <w:keepLines w:val="0"/>
              <w:pageBreakBefore w:val="0"/>
              <w:kinsoku/>
              <w:wordWrap/>
              <w:overflowPunct/>
              <w:topLinePunct w:val="0"/>
              <w:autoSpaceDE/>
              <w:autoSpaceDN/>
              <w:bidi w:val="0"/>
              <w:adjustRightInd/>
              <w:snapToGrid/>
              <w:spacing w:beforeLines="10" w:afterLines="10" w:line="500" w:lineRule="exact"/>
              <w:ind w:left="0" w:right="0"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接受质疑的单位：</w:t>
            </w:r>
            <w:r>
              <w:rPr>
                <w:rFonts w:hint="eastAsia" w:ascii="仿宋" w:hAnsi="仿宋" w:eastAsia="仿宋" w:cs="仿宋"/>
                <w:b w:val="0"/>
                <w:bCs w:val="0"/>
                <w:color w:val="auto"/>
                <w:spacing w:val="-5"/>
                <w:sz w:val="28"/>
                <w:szCs w:val="28"/>
                <w:lang w:val="en-US" w:eastAsia="zh-CN"/>
              </w:rPr>
              <w:t>新疆新睿泰咨询有限公司</w:t>
            </w:r>
          </w:p>
          <w:p w14:paraId="760CCBF3">
            <w:pPr>
              <w:keepNext w:val="0"/>
              <w:keepLines w:val="0"/>
              <w:pageBreakBefore w:val="0"/>
              <w:kinsoku/>
              <w:wordWrap/>
              <w:overflowPunct/>
              <w:topLinePunct w:val="0"/>
              <w:autoSpaceDE/>
              <w:autoSpaceDN/>
              <w:bidi w:val="0"/>
              <w:adjustRightInd/>
              <w:snapToGrid/>
              <w:spacing w:beforeLines="10" w:afterLines="10" w:line="500" w:lineRule="exact"/>
              <w:ind w:left="0" w:leftChars="0" w:right="0" w:rightChars="0" w:firstLine="0" w:firstLineChars="0"/>
              <w:jc w:val="both"/>
              <w:textAlignment w:val="auto"/>
              <w:rPr>
                <w:rFonts w:hint="eastAsia" w:ascii="仿宋" w:hAnsi="仿宋" w:eastAsia="仿宋" w:cs="仿宋"/>
                <w:b w:val="0"/>
                <w:bCs w:val="0"/>
                <w:color w:val="auto"/>
                <w:spacing w:val="-3"/>
                <w:sz w:val="28"/>
                <w:szCs w:val="28"/>
              </w:rPr>
            </w:pPr>
            <w:r>
              <w:rPr>
                <w:rFonts w:hint="eastAsia" w:ascii="仿宋" w:hAnsi="仿宋" w:eastAsia="仿宋" w:cs="仿宋"/>
                <w:color w:val="auto"/>
                <w:sz w:val="28"/>
                <w:szCs w:val="28"/>
                <w:highlight w:val="none"/>
                <w:lang w:val="en-US" w:eastAsia="zh-CN"/>
              </w:rPr>
              <w:t>联系电话：19039902669</w:t>
            </w:r>
          </w:p>
        </w:tc>
      </w:tr>
      <w:tr w14:paraId="37447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6AFE40F5">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p>
        </w:tc>
        <w:tc>
          <w:tcPr>
            <w:tcW w:w="6840" w:type="dxa"/>
            <w:noWrap w:val="0"/>
            <w:vAlign w:val="center"/>
          </w:tcPr>
          <w:p w14:paraId="40BA83E6">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是否为专门面向中小企业采购：是</w:t>
            </w:r>
          </w:p>
          <w:p w14:paraId="7A25EDC2">
            <w:pPr>
              <w:pStyle w:val="9"/>
              <w:keepNext w:val="0"/>
              <w:keepLines w:val="0"/>
              <w:pageBreakBefore w:val="0"/>
              <w:kinsoku/>
              <w:wordWrap/>
              <w:overflowPunct/>
              <w:topLinePunct w:val="0"/>
              <w:bidi w:val="0"/>
              <w:adjustRightInd/>
              <w:snapToGrid/>
              <w:spacing w:line="500" w:lineRule="exact"/>
              <w:ind w:firstLine="0"/>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rPr>
              <w:t>（注：潜在投标企业属于中小微企业的，请在投标文件中提供“中小企业声明函”，如果未提供或提供虚假的“中小企业声明函”，投标企业将承担由此造成的一切不利后果。）</w:t>
            </w:r>
          </w:p>
        </w:tc>
      </w:tr>
      <w:tr w14:paraId="583BB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1180445C">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p>
        </w:tc>
        <w:tc>
          <w:tcPr>
            <w:tcW w:w="6840" w:type="dxa"/>
            <w:noWrap w:val="0"/>
            <w:vAlign w:val="center"/>
          </w:tcPr>
          <w:p w14:paraId="4059F8BA">
            <w:pPr>
              <w:pStyle w:val="9"/>
              <w:keepNext w:val="0"/>
              <w:keepLines w:val="0"/>
              <w:pageBreakBefore w:val="0"/>
              <w:kinsoku/>
              <w:wordWrap/>
              <w:overflowPunct/>
              <w:topLinePunct w:val="0"/>
              <w:bidi w:val="0"/>
              <w:adjustRightInd/>
              <w:snapToGrid/>
              <w:spacing w:line="500" w:lineRule="exact"/>
              <w:ind w:firstLine="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lang w:val="en-US" w:eastAsia="zh-CN"/>
              </w:rPr>
              <w:t>所属行业</w:t>
            </w:r>
            <w:r>
              <w:rPr>
                <w:rFonts w:hint="eastAsia" w:ascii="仿宋" w:hAnsi="仿宋" w:eastAsia="仿宋" w:cs="仿宋"/>
                <w:color w:val="auto"/>
                <w:kern w:val="2"/>
                <w:sz w:val="28"/>
                <w:szCs w:val="28"/>
                <w:highlight w:val="none"/>
                <w:lang w:val="en-US" w:eastAsia="zh-CN"/>
              </w:rPr>
              <w:t>：</w:t>
            </w:r>
          </w:p>
          <w:p w14:paraId="58A0CFD0">
            <w:pPr>
              <w:pStyle w:val="9"/>
              <w:keepNext w:val="0"/>
              <w:keepLines w:val="0"/>
              <w:pageBreakBefore w:val="0"/>
              <w:kinsoku/>
              <w:wordWrap/>
              <w:overflowPunct/>
              <w:topLinePunct w:val="0"/>
              <w:bidi w:val="0"/>
              <w:adjustRightInd/>
              <w:snapToGrid/>
              <w:spacing w:line="500" w:lineRule="exact"/>
              <w:ind w:firstLine="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标项一：农业植保</w:t>
            </w:r>
          </w:p>
          <w:p w14:paraId="5D40D15B">
            <w:pPr>
              <w:pStyle w:val="9"/>
              <w:keepNext w:val="0"/>
              <w:keepLines w:val="0"/>
              <w:pageBreakBefore w:val="0"/>
              <w:kinsoku/>
              <w:wordWrap/>
              <w:overflowPunct/>
              <w:topLinePunct w:val="0"/>
              <w:bidi w:val="0"/>
              <w:adjustRightInd/>
              <w:snapToGrid/>
              <w:spacing w:line="500" w:lineRule="exact"/>
              <w:ind w:firstLine="0"/>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标项二：技术服务</w:t>
            </w:r>
          </w:p>
          <w:p w14:paraId="0F612C27">
            <w:pPr>
              <w:pStyle w:val="9"/>
              <w:keepNext w:val="0"/>
              <w:keepLines w:val="0"/>
              <w:pageBreakBefore w:val="0"/>
              <w:kinsoku/>
              <w:wordWrap/>
              <w:overflowPunct/>
              <w:topLinePunct w:val="0"/>
              <w:bidi w:val="0"/>
              <w:adjustRightInd/>
              <w:snapToGrid/>
              <w:spacing w:line="500" w:lineRule="exact"/>
              <w:ind w:firstLine="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标项三：工业</w:t>
            </w:r>
          </w:p>
          <w:p w14:paraId="467DD40E">
            <w:pPr>
              <w:pStyle w:val="9"/>
              <w:keepNext w:val="0"/>
              <w:keepLines w:val="0"/>
              <w:pageBreakBefore w:val="0"/>
              <w:kinsoku/>
              <w:wordWrap/>
              <w:overflowPunct/>
              <w:topLinePunct w:val="0"/>
              <w:bidi w:val="0"/>
              <w:adjustRightInd/>
              <w:snapToGrid/>
              <w:spacing w:line="500" w:lineRule="exact"/>
              <w:ind w:firstLine="0"/>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标项四：工业</w:t>
            </w:r>
          </w:p>
        </w:tc>
      </w:tr>
      <w:tr w14:paraId="1ABFB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8" w:hRule="atLeast"/>
        </w:trPr>
        <w:tc>
          <w:tcPr>
            <w:tcW w:w="1468" w:type="dxa"/>
            <w:noWrap w:val="0"/>
            <w:vAlign w:val="center"/>
          </w:tcPr>
          <w:p w14:paraId="3BF12C24">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w:t>
            </w:r>
          </w:p>
        </w:tc>
        <w:tc>
          <w:tcPr>
            <w:tcW w:w="6840" w:type="dxa"/>
            <w:noWrap w:val="0"/>
            <w:vAlign w:val="center"/>
          </w:tcPr>
          <w:p w14:paraId="5720E76B">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是否允许联合体投标：</w:t>
            </w:r>
            <w:r>
              <w:rPr>
                <w:rFonts w:hint="eastAsia" w:ascii="仿宋" w:hAnsi="仿宋" w:eastAsia="仿宋" w:cs="仿宋"/>
                <w:color w:val="auto"/>
                <w:sz w:val="28"/>
                <w:szCs w:val="28"/>
                <w:u w:val="single"/>
              </w:rPr>
              <w:t>否</w:t>
            </w:r>
          </w:p>
        </w:tc>
      </w:tr>
      <w:tr w14:paraId="5FFA2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39D182AC">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w:t>
            </w:r>
          </w:p>
        </w:tc>
        <w:tc>
          <w:tcPr>
            <w:tcW w:w="6840" w:type="dxa"/>
            <w:noWrap w:val="0"/>
            <w:vAlign w:val="center"/>
          </w:tcPr>
          <w:p w14:paraId="7F39BBF4">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联合体的其他资格要求：不接受联合体投标</w:t>
            </w:r>
          </w:p>
        </w:tc>
      </w:tr>
      <w:tr w14:paraId="7C536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1468" w:type="dxa"/>
            <w:noWrap w:val="0"/>
            <w:vAlign w:val="center"/>
          </w:tcPr>
          <w:p w14:paraId="734A270B">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w:t>
            </w:r>
          </w:p>
        </w:tc>
        <w:tc>
          <w:tcPr>
            <w:tcW w:w="6840" w:type="dxa"/>
            <w:noWrap w:val="0"/>
            <w:vAlign w:val="center"/>
          </w:tcPr>
          <w:p w14:paraId="7B204D65">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最高限价： </w:t>
            </w:r>
          </w:p>
          <w:p w14:paraId="4E7BB4E1">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shd w:val="clear" w:color="auto" w:fill="FFFFFF"/>
                <w:lang w:val="en-US" w:eastAsia="zh-CN"/>
              </w:rPr>
              <w:t>标项一：360000元；标项二：40000元；标项三：4800000元；标项四：1600000元。</w:t>
            </w:r>
            <w:r>
              <w:rPr>
                <w:rFonts w:hint="eastAsia" w:ascii="仿宋" w:hAnsi="仿宋" w:eastAsia="仿宋" w:cs="仿宋"/>
                <w:color w:val="auto"/>
                <w:sz w:val="28"/>
                <w:szCs w:val="28"/>
                <w:lang w:val="en-US" w:eastAsia="zh-CN"/>
              </w:rPr>
              <w:t>注：投标报价高于最高限价将做无效投标处理！</w:t>
            </w:r>
          </w:p>
        </w:tc>
      </w:tr>
      <w:tr w14:paraId="4D6CB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2" w:hRule="atLeast"/>
        </w:trPr>
        <w:tc>
          <w:tcPr>
            <w:tcW w:w="1468" w:type="dxa"/>
            <w:noWrap w:val="0"/>
            <w:vAlign w:val="center"/>
          </w:tcPr>
          <w:p w14:paraId="64AAB639">
            <w:pPr>
              <w:keepNext w:val="0"/>
              <w:keepLines w:val="0"/>
              <w:pageBreakBefore w:val="0"/>
              <w:kinsoku/>
              <w:wordWrap/>
              <w:overflowPunct/>
              <w:topLinePunct w:val="0"/>
              <w:bidi w:val="0"/>
              <w:adjustRightInd/>
              <w:snapToGrid/>
              <w:spacing w:line="500" w:lineRule="exact"/>
              <w:ind w:left="1080" w:leftChars="257" w:hanging="540"/>
              <w:jc w:val="center"/>
              <w:textAlignment w:val="auto"/>
              <w:rPr>
                <w:rFonts w:hint="default" w:ascii="仿宋" w:hAnsi="仿宋" w:eastAsia="仿宋" w:cs="仿宋"/>
                <w:color w:val="auto"/>
                <w:sz w:val="28"/>
                <w:szCs w:val="28"/>
                <w:lang w:val="en-US" w:eastAsia="zh-CN"/>
              </w:rPr>
            </w:pPr>
          </w:p>
        </w:tc>
        <w:tc>
          <w:tcPr>
            <w:tcW w:w="6840" w:type="dxa"/>
            <w:noWrap w:val="0"/>
            <w:vAlign w:val="center"/>
          </w:tcPr>
          <w:p w14:paraId="466FC744">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保证金形式：</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保函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电汇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网银 ☑对公转账</w:t>
            </w:r>
          </w:p>
          <w:p w14:paraId="2E068694">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保证金数额：</w:t>
            </w:r>
          </w:p>
          <w:p w14:paraId="06DF09AC">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28"/>
                <w:szCs w:val="28"/>
                <w:highlight w:val="none"/>
                <w:u w:val="single"/>
              </w:rPr>
            </w:pPr>
            <w:r>
              <w:rPr>
                <w:rFonts w:hint="eastAsia" w:ascii="仿宋" w:hAnsi="仿宋" w:eastAsia="仿宋" w:cs="仿宋"/>
                <w:b w:val="0"/>
                <w:bCs w:val="0"/>
                <w:color w:val="auto"/>
                <w:sz w:val="28"/>
                <w:szCs w:val="28"/>
                <w:highlight w:val="none"/>
                <w:lang w:val="en-US" w:eastAsia="zh-CN"/>
              </w:rPr>
              <w:t>标项一：</w:t>
            </w:r>
            <w:r>
              <w:rPr>
                <w:rFonts w:hint="eastAsia" w:ascii="仿宋" w:hAnsi="仿宋" w:eastAsia="仿宋" w:cs="仿宋"/>
                <w:b w:val="0"/>
                <w:bCs w:val="0"/>
                <w:color w:val="auto"/>
                <w:sz w:val="28"/>
                <w:szCs w:val="28"/>
                <w:highlight w:val="none"/>
                <w:u w:val="single"/>
                <w:lang w:val="en-US" w:eastAsia="zh-CN"/>
              </w:rPr>
              <w:t>7000.00</w:t>
            </w:r>
            <w:r>
              <w:rPr>
                <w:rFonts w:hint="eastAsia" w:ascii="仿宋" w:hAnsi="仿宋" w:eastAsia="仿宋" w:cs="仿宋"/>
                <w:b w:val="0"/>
                <w:bCs w:val="0"/>
                <w:color w:val="auto"/>
                <w:sz w:val="28"/>
                <w:szCs w:val="28"/>
                <w:highlight w:val="none"/>
                <w:u w:val="single"/>
              </w:rPr>
              <w:t>元（人民币：</w:t>
            </w:r>
            <w:r>
              <w:rPr>
                <w:rFonts w:hint="eastAsia" w:ascii="仿宋" w:hAnsi="仿宋" w:eastAsia="仿宋" w:cs="仿宋"/>
                <w:b w:val="0"/>
                <w:bCs w:val="0"/>
                <w:color w:val="auto"/>
                <w:sz w:val="28"/>
                <w:szCs w:val="28"/>
                <w:highlight w:val="none"/>
                <w:u w:val="single"/>
                <w:lang w:val="en-US" w:eastAsia="zh-CN"/>
              </w:rPr>
              <w:t>柒仟元整</w:t>
            </w:r>
            <w:r>
              <w:rPr>
                <w:rFonts w:hint="eastAsia" w:ascii="仿宋" w:hAnsi="仿宋" w:eastAsia="仿宋" w:cs="仿宋"/>
                <w:b w:val="0"/>
                <w:bCs w:val="0"/>
                <w:color w:val="auto"/>
                <w:sz w:val="28"/>
                <w:szCs w:val="28"/>
                <w:highlight w:val="none"/>
                <w:u w:val="single"/>
              </w:rPr>
              <w:t>）</w:t>
            </w:r>
          </w:p>
          <w:p w14:paraId="1913C48A">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标项二：</w:t>
            </w:r>
            <w:r>
              <w:rPr>
                <w:rFonts w:hint="eastAsia" w:ascii="仿宋" w:hAnsi="仿宋" w:eastAsia="仿宋" w:cs="仿宋"/>
                <w:b w:val="0"/>
                <w:bCs w:val="0"/>
                <w:color w:val="auto"/>
                <w:sz w:val="28"/>
                <w:szCs w:val="28"/>
                <w:highlight w:val="none"/>
                <w:u w:val="single"/>
                <w:lang w:val="en-US" w:eastAsia="zh-CN"/>
              </w:rPr>
              <w:t>800.00</w:t>
            </w:r>
            <w:r>
              <w:rPr>
                <w:rFonts w:hint="eastAsia" w:ascii="仿宋" w:hAnsi="仿宋" w:eastAsia="仿宋" w:cs="仿宋"/>
                <w:b w:val="0"/>
                <w:bCs w:val="0"/>
                <w:color w:val="auto"/>
                <w:sz w:val="28"/>
                <w:szCs w:val="28"/>
                <w:highlight w:val="none"/>
                <w:u w:val="single"/>
              </w:rPr>
              <w:t>元（人民币：</w:t>
            </w:r>
            <w:r>
              <w:rPr>
                <w:rFonts w:hint="eastAsia" w:ascii="仿宋" w:hAnsi="仿宋" w:eastAsia="仿宋" w:cs="仿宋"/>
                <w:b w:val="0"/>
                <w:bCs w:val="0"/>
                <w:color w:val="auto"/>
                <w:sz w:val="28"/>
                <w:szCs w:val="28"/>
                <w:highlight w:val="none"/>
                <w:u w:val="single"/>
                <w:lang w:val="en-US" w:eastAsia="zh-CN"/>
              </w:rPr>
              <w:t>捌佰元整</w:t>
            </w:r>
            <w:r>
              <w:rPr>
                <w:rFonts w:hint="eastAsia" w:ascii="仿宋" w:hAnsi="仿宋" w:eastAsia="仿宋" w:cs="仿宋"/>
                <w:b w:val="0"/>
                <w:bCs w:val="0"/>
                <w:color w:val="auto"/>
                <w:sz w:val="28"/>
                <w:szCs w:val="28"/>
                <w:highlight w:val="none"/>
                <w:u w:val="single"/>
              </w:rPr>
              <w:t>）</w:t>
            </w:r>
          </w:p>
          <w:p w14:paraId="2C4AC7E8">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28"/>
                <w:szCs w:val="28"/>
                <w:highlight w:val="none"/>
                <w:u w:val="single"/>
              </w:rPr>
            </w:pPr>
            <w:r>
              <w:rPr>
                <w:rFonts w:hint="eastAsia" w:ascii="仿宋" w:hAnsi="仿宋" w:eastAsia="仿宋" w:cs="仿宋"/>
                <w:b w:val="0"/>
                <w:bCs w:val="0"/>
                <w:color w:val="auto"/>
                <w:sz w:val="28"/>
                <w:szCs w:val="28"/>
                <w:highlight w:val="none"/>
                <w:lang w:val="en-US" w:eastAsia="zh-CN"/>
              </w:rPr>
              <w:t>标项三：</w:t>
            </w:r>
            <w:r>
              <w:rPr>
                <w:rFonts w:hint="eastAsia" w:ascii="仿宋" w:hAnsi="仿宋" w:eastAsia="仿宋" w:cs="仿宋"/>
                <w:b w:val="0"/>
                <w:bCs w:val="0"/>
                <w:color w:val="auto"/>
                <w:sz w:val="28"/>
                <w:szCs w:val="28"/>
                <w:highlight w:val="none"/>
                <w:u w:val="single"/>
                <w:lang w:val="en-US" w:eastAsia="zh-CN"/>
              </w:rPr>
              <w:t>90000.00</w:t>
            </w:r>
            <w:r>
              <w:rPr>
                <w:rFonts w:hint="eastAsia" w:ascii="仿宋" w:hAnsi="仿宋" w:eastAsia="仿宋" w:cs="仿宋"/>
                <w:b w:val="0"/>
                <w:bCs w:val="0"/>
                <w:color w:val="auto"/>
                <w:sz w:val="28"/>
                <w:szCs w:val="28"/>
                <w:highlight w:val="none"/>
                <w:u w:val="single"/>
              </w:rPr>
              <w:t>元（人民币：</w:t>
            </w:r>
            <w:r>
              <w:rPr>
                <w:rFonts w:hint="eastAsia" w:ascii="仿宋" w:hAnsi="仿宋" w:eastAsia="仿宋" w:cs="仿宋"/>
                <w:b w:val="0"/>
                <w:bCs w:val="0"/>
                <w:color w:val="auto"/>
                <w:sz w:val="28"/>
                <w:szCs w:val="28"/>
                <w:highlight w:val="none"/>
                <w:u w:val="single"/>
                <w:lang w:val="en-US" w:eastAsia="zh-CN"/>
              </w:rPr>
              <w:t>玖万元整</w:t>
            </w:r>
            <w:r>
              <w:rPr>
                <w:rFonts w:hint="eastAsia" w:ascii="仿宋" w:hAnsi="仿宋" w:eastAsia="仿宋" w:cs="仿宋"/>
                <w:b w:val="0"/>
                <w:bCs w:val="0"/>
                <w:color w:val="auto"/>
                <w:sz w:val="28"/>
                <w:szCs w:val="28"/>
                <w:highlight w:val="none"/>
                <w:u w:val="single"/>
              </w:rPr>
              <w:t>）</w:t>
            </w:r>
          </w:p>
          <w:p w14:paraId="5552179E">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标项四：</w:t>
            </w:r>
            <w:r>
              <w:rPr>
                <w:rFonts w:hint="eastAsia" w:ascii="仿宋" w:hAnsi="仿宋" w:eastAsia="仿宋" w:cs="仿宋"/>
                <w:b w:val="0"/>
                <w:bCs w:val="0"/>
                <w:color w:val="auto"/>
                <w:sz w:val="28"/>
                <w:szCs w:val="28"/>
                <w:highlight w:val="none"/>
                <w:u w:val="single"/>
                <w:lang w:val="en-US" w:eastAsia="zh-CN"/>
              </w:rPr>
              <w:t>30000.00</w:t>
            </w:r>
            <w:r>
              <w:rPr>
                <w:rFonts w:hint="eastAsia" w:ascii="仿宋" w:hAnsi="仿宋" w:eastAsia="仿宋" w:cs="仿宋"/>
                <w:b w:val="0"/>
                <w:bCs w:val="0"/>
                <w:color w:val="auto"/>
                <w:sz w:val="28"/>
                <w:szCs w:val="28"/>
                <w:highlight w:val="none"/>
                <w:u w:val="single"/>
              </w:rPr>
              <w:t>元（人民币：</w:t>
            </w:r>
            <w:r>
              <w:rPr>
                <w:rFonts w:hint="eastAsia" w:ascii="仿宋" w:hAnsi="仿宋" w:eastAsia="仿宋" w:cs="仿宋"/>
                <w:b w:val="0"/>
                <w:bCs w:val="0"/>
                <w:color w:val="auto"/>
                <w:sz w:val="28"/>
                <w:szCs w:val="28"/>
                <w:highlight w:val="none"/>
                <w:u w:val="single"/>
                <w:lang w:val="en-US" w:eastAsia="zh-CN"/>
              </w:rPr>
              <w:t>叁万元整</w:t>
            </w:r>
            <w:r>
              <w:rPr>
                <w:rFonts w:hint="eastAsia" w:ascii="仿宋" w:hAnsi="仿宋" w:eastAsia="仿宋" w:cs="仿宋"/>
                <w:b w:val="0"/>
                <w:bCs w:val="0"/>
                <w:color w:val="auto"/>
                <w:sz w:val="28"/>
                <w:szCs w:val="28"/>
                <w:highlight w:val="none"/>
                <w:u w:val="single"/>
              </w:rPr>
              <w:t>）</w:t>
            </w:r>
          </w:p>
          <w:p w14:paraId="68041E54">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保证金收款人：</w:t>
            </w:r>
          </w:p>
          <w:p w14:paraId="531961BE">
            <w:pPr>
              <w:pStyle w:val="124"/>
              <w:keepNext w:val="0"/>
              <w:keepLines w:val="0"/>
              <w:pageBreakBefore w:val="0"/>
              <w:widowControl/>
              <w:kinsoku/>
              <w:wordWrap/>
              <w:overflowPunct/>
              <w:topLinePunct w:val="0"/>
              <w:autoSpaceDE w:val="0"/>
              <w:autoSpaceDN w:val="0"/>
              <w:bidi w:val="0"/>
              <w:adjustRightInd/>
              <w:snapToGrid/>
              <w:spacing w:before="2" w:line="460" w:lineRule="exact"/>
              <w:ind w:left="34" w:right="11" w:firstLine="19"/>
              <w:textAlignment w:val="auto"/>
              <w:rPr>
                <w:rFonts w:hint="eastAsia" w:ascii="仿宋" w:hAnsi="仿宋" w:eastAsia="仿宋" w:cs="仿宋"/>
                <w:b w:val="0"/>
                <w:bCs w:val="0"/>
                <w:color w:val="auto"/>
                <w:spacing w:val="-5"/>
                <w:sz w:val="28"/>
                <w:szCs w:val="28"/>
                <w:lang w:val="en-US" w:eastAsia="zh-CN"/>
              </w:rPr>
            </w:pPr>
            <w:r>
              <w:rPr>
                <w:rFonts w:hint="eastAsia" w:ascii="仿宋" w:hAnsi="仿宋" w:eastAsia="仿宋" w:cs="仿宋"/>
                <w:b w:val="0"/>
                <w:bCs w:val="0"/>
                <w:color w:val="auto"/>
                <w:spacing w:val="-5"/>
                <w:sz w:val="28"/>
                <w:szCs w:val="28"/>
                <w:lang w:val="en-US" w:eastAsia="zh-CN"/>
              </w:rPr>
              <w:t>开户名称：新疆新睿泰咨询有限公司喀什分公司</w:t>
            </w:r>
          </w:p>
          <w:p w14:paraId="56ED1EE4">
            <w:pPr>
              <w:pStyle w:val="124"/>
              <w:keepNext w:val="0"/>
              <w:keepLines w:val="0"/>
              <w:pageBreakBefore w:val="0"/>
              <w:widowControl/>
              <w:kinsoku/>
              <w:wordWrap/>
              <w:overflowPunct/>
              <w:topLinePunct w:val="0"/>
              <w:autoSpaceDE w:val="0"/>
              <w:autoSpaceDN w:val="0"/>
              <w:bidi w:val="0"/>
              <w:adjustRightInd/>
              <w:snapToGrid/>
              <w:spacing w:before="2" w:line="460" w:lineRule="exact"/>
              <w:ind w:left="34" w:right="11" w:firstLine="19"/>
              <w:textAlignment w:val="auto"/>
              <w:rPr>
                <w:rFonts w:hint="eastAsia" w:ascii="仿宋" w:hAnsi="仿宋" w:eastAsia="仿宋" w:cs="仿宋"/>
                <w:b w:val="0"/>
                <w:bCs w:val="0"/>
                <w:color w:val="auto"/>
                <w:spacing w:val="-5"/>
                <w:sz w:val="28"/>
                <w:szCs w:val="28"/>
                <w:lang w:val="en-US" w:eastAsia="zh-CN"/>
              </w:rPr>
            </w:pPr>
            <w:r>
              <w:rPr>
                <w:rFonts w:hint="eastAsia" w:ascii="仿宋" w:hAnsi="仿宋" w:eastAsia="仿宋" w:cs="仿宋"/>
                <w:b w:val="0"/>
                <w:bCs w:val="0"/>
                <w:color w:val="auto"/>
                <w:spacing w:val="-5"/>
                <w:sz w:val="28"/>
                <w:szCs w:val="28"/>
                <w:lang w:val="en-US" w:eastAsia="zh-CN"/>
              </w:rPr>
              <w:t>开户银行：中国农业银行股份有限公司喀什经济开发区支行</w:t>
            </w:r>
          </w:p>
          <w:p w14:paraId="6AD54615">
            <w:pPr>
              <w:pStyle w:val="124"/>
              <w:keepNext w:val="0"/>
              <w:keepLines w:val="0"/>
              <w:pageBreakBefore w:val="0"/>
              <w:widowControl/>
              <w:kinsoku/>
              <w:wordWrap/>
              <w:overflowPunct/>
              <w:topLinePunct w:val="0"/>
              <w:autoSpaceDE w:val="0"/>
              <w:autoSpaceDN w:val="0"/>
              <w:bidi w:val="0"/>
              <w:adjustRightInd/>
              <w:snapToGrid/>
              <w:spacing w:before="2" w:line="460" w:lineRule="exact"/>
              <w:ind w:left="34" w:right="11" w:firstLine="19"/>
              <w:textAlignment w:val="auto"/>
              <w:rPr>
                <w:rFonts w:hint="eastAsia" w:ascii="仿宋" w:hAnsi="仿宋" w:eastAsia="仿宋" w:cs="仿宋"/>
                <w:b w:val="0"/>
                <w:bCs w:val="0"/>
                <w:color w:val="auto"/>
                <w:spacing w:val="-5"/>
                <w:sz w:val="28"/>
                <w:szCs w:val="28"/>
                <w:lang w:val="en-US" w:eastAsia="zh-CN"/>
              </w:rPr>
            </w:pPr>
            <w:r>
              <w:rPr>
                <w:rFonts w:hint="eastAsia" w:ascii="仿宋" w:hAnsi="仿宋" w:eastAsia="仿宋" w:cs="仿宋"/>
                <w:b w:val="0"/>
                <w:bCs w:val="0"/>
                <w:color w:val="auto"/>
                <w:spacing w:val="-5"/>
                <w:sz w:val="28"/>
                <w:szCs w:val="28"/>
                <w:lang w:val="en-US" w:eastAsia="zh-CN"/>
              </w:rPr>
              <w:t>帐号：30476101040010879</w:t>
            </w:r>
          </w:p>
          <w:p w14:paraId="78E9A864">
            <w:pPr>
              <w:pStyle w:val="124"/>
              <w:keepNext w:val="0"/>
              <w:keepLines w:val="0"/>
              <w:pageBreakBefore w:val="0"/>
              <w:widowControl/>
              <w:kinsoku/>
              <w:wordWrap/>
              <w:overflowPunct/>
              <w:topLinePunct w:val="0"/>
              <w:autoSpaceDE w:val="0"/>
              <w:autoSpaceDN w:val="0"/>
              <w:bidi w:val="0"/>
              <w:adjustRightInd/>
              <w:snapToGrid/>
              <w:spacing w:before="2" w:line="460" w:lineRule="exact"/>
              <w:ind w:left="34" w:right="11" w:firstLine="19"/>
              <w:textAlignment w:val="auto"/>
              <w:rPr>
                <w:rFonts w:hint="eastAsia" w:ascii="仿宋" w:hAnsi="仿宋" w:eastAsia="仿宋" w:cs="仿宋"/>
                <w:b w:val="0"/>
                <w:bCs w:val="0"/>
                <w:color w:val="auto"/>
                <w:spacing w:val="-5"/>
                <w:sz w:val="28"/>
                <w:szCs w:val="28"/>
              </w:rPr>
            </w:pPr>
            <w:r>
              <w:rPr>
                <w:rFonts w:hint="eastAsia" w:ascii="仿宋" w:hAnsi="仿宋" w:eastAsia="仿宋" w:cs="仿宋"/>
                <w:b w:val="0"/>
                <w:bCs w:val="0"/>
                <w:color w:val="auto"/>
                <w:spacing w:val="-5"/>
                <w:sz w:val="28"/>
                <w:szCs w:val="28"/>
              </w:rPr>
              <w:t>1.打款时须注明投标保证金</w:t>
            </w:r>
            <w:r>
              <w:rPr>
                <w:rFonts w:hint="eastAsia" w:ascii="仿宋" w:hAnsi="仿宋" w:eastAsia="仿宋" w:cs="仿宋"/>
                <w:b w:val="0"/>
                <w:bCs w:val="0"/>
                <w:color w:val="auto"/>
                <w:spacing w:val="-5"/>
                <w:sz w:val="28"/>
                <w:szCs w:val="28"/>
                <w:lang w:val="en-US" w:eastAsia="zh-CN"/>
              </w:rPr>
              <w:t>标项名称</w:t>
            </w:r>
            <w:r>
              <w:rPr>
                <w:rFonts w:hint="eastAsia" w:ascii="仿宋" w:hAnsi="仿宋" w:eastAsia="仿宋" w:cs="仿宋"/>
                <w:b w:val="0"/>
                <w:bCs w:val="0"/>
                <w:color w:val="auto"/>
                <w:spacing w:val="-5"/>
                <w:sz w:val="28"/>
                <w:szCs w:val="28"/>
              </w:rPr>
              <w:t>。到账截止时间：提交响应文件截止时间(即响应文件开启时间)之前(以到账时间为准，节假日除外)。</w:t>
            </w:r>
          </w:p>
          <w:p w14:paraId="7E64581A">
            <w:pPr>
              <w:pStyle w:val="124"/>
              <w:keepNext w:val="0"/>
              <w:keepLines w:val="0"/>
              <w:pageBreakBefore w:val="0"/>
              <w:widowControl/>
              <w:kinsoku/>
              <w:wordWrap/>
              <w:overflowPunct/>
              <w:topLinePunct w:val="0"/>
              <w:autoSpaceDE w:val="0"/>
              <w:autoSpaceDN w:val="0"/>
              <w:bidi w:val="0"/>
              <w:adjustRightInd/>
              <w:snapToGrid/>
              <w:spacing w:before="8" w:line="460" w:lineRule="exact"/>
              <w:ind w:left="34" w:right="99" w:firstLine="19"/>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pacing w:val="-2"/>
                <w:sz w:val="28"/>
                <w:szCs w:val="28"/>
              </w:rPr>
              <w:t>2.打款后请联系是否到账，汇款凭证用</w:t>
            </w:r>
            <w:r>
              <w:rPr>
                <w:rFonts w:hint="eastAsia" w:ascii="仿宋" w:hAnsi="仿宋" w:eastAsia="仿宋" w:cs="仿宋"/>
                <w:b w:val="0"/>
                <w:bCs w:val="0"/>
                <w:color w:val="auto"/>
                <w:spacing w:val="-3"/>
                <w:sz w:val="28"/>
                <w:szCs w:val="28"/>
              </w:rPr>
              <w:t>于投标保证金证明。因投标人自身原因打款不成功的，代理公司不承担任何责任。若使用投标保函需在保函中明确保函有效期限与投标有效期限一致。</w:t>
            </w:r>
          </w:p>
          <w:p w14:paraId="75FF7A90">
            <w:pPr>
              <w:pStyle w:val="124"/>
              <w:keepNext w:val="0"/>
              <w:keepLines w:val="0"/>
              <w:pageBreakBefore w:val="0"/>
              <w:widowControl/>
              <w:kinsoku/>
              <w:wordWrap/>
              <w:overflowPunct/>
              <w:topLinePunct w:val="0"/>
              <w:autoSpaceDE w:val="0"/>
              <w:autoSpaceDN w:val="0"/>
              <w:bidi w:val="0"/>
              <w:adjustRightInd/>
              <w:snapToGrid/>
              <w:spacing w:before="11" w:line="460" w:lineRule="exact"/>
              <w:ind w:left="34" w:right="155"/>
              <w:textAlignment w:val="auto"/>
              <w:rPr>
                <w:rFonts w:hint="eastAsia" w:ascii="仿宋" w:hAnsi="仿宋" w:eastAsia="仿宋" w:cs="仿宋"/>
                <w:color w:val="auto"/>
                <w:sz w:val="28"/>
                <w:szCs w:val="28"/>
              </w:rPr>
            </w:pPr>
            <w:r>
              <w:rPr>
                <w:rFonts w:hint="eastAsia" w:ascii="仿宋" w:hAnsi="仿宋" w:eastAsia="仿宋" w:cs="仿宋"/>
                <w:b w:val="0"/>
                <w:bCs w:val="0"/>
                <w:color w:val="auto"/>
                <w:spacing w:val="-3"/>
                <w:sz w:val="28"/>
                <w:szCs w:val="28"/>
              </w:rPr>
              <w:t>3.根据中华人民共和国财政部令第87号《政府采购货物和服务招标投标管理办法》第38条：投标保证金应当自中标通知书发出之日起5个</w:t>
            </w:r>
            <w:r>
              <w:rPr>
                <w:rFonts w:hint="eastAsia" w:ascii="仿宋" w:hAnsi="仿宋" w:eastAsia="仿宋" w:cs="仿宋"/>
                <w:b w:val="0"/>
                <w:bCs w:val="0"/>
                <w:color w:val="auto"/>
                <w:spacing w:val="-2"/>
                <w:sz w:val="28"/>
                <w:szCs w:val="28"/>
              </w:rPr>
              <w:t>工作日内退还未中标人的投标保证金，采购人自采</w:t>
            </w:r>
            <w:r>
              <w:rPr>
                <w:rFonts w:hint="eastAsia" w:ascii="仿宋" w:hAnsi="仿宋" w:eastAsia="仿宋" w:cs="仿宋"/>
                <w:b w:val="0"/>
                <w:bCs w:val="0"/>
                <w:color w:val="auto"/>
                <w:spacing w:val="-3"/>
                <w:sz w:val="28"/>
                <w:szCs w:val="28"/>
              </w:rPr>
              <w:t>购合同签订之日起5个工作日内退还中标人的投标保证金。</w:t>
            </w:r>
          </w:p>
        </w:tc>
      </w:tr>
      <w:tr w14:paraId="7E3EC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1468" w:type="dxa"/>
            <w:noWrap w:val="0"/>
            <w:vAlign w:val="center"/>
          </w:tcPr>
          <w:p w14:paraId="5590D31D">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w:t>
            </w:r>
          </w:p>
        </w:tc>
        <w:tc>
          <w:tcPr>
            <w:tcW w:w="6840" w:type="dxa"/>
            <w:noWrap w:val="0"/>
            <w:vAlign w:val="center"/>
          </w:tcPr>
          <w:p w14:paraId="388D2918">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投标有效期：90</w:t>
            </w:r>
            <w:r>
              <w:rPr>
                <w:rFonts w:hint="eastAsia" w:ascii="仿宋" w:hAnsi="仿宋" w:eastAsia="仿宋" w:cs="仿宋"/>
                <w:color w:val="auto"/>
                <w:sz w:val="28"/>
                <w:szCs w:val="28"/>
                <w:lang w:val="en-US" w:eastAsia="zh-CN"/>
              </w:rPr>
              <w:t>天</w:t>
            </w:r>
          </w:p>
        </w:tc>
      </w:tr>
      <w:tr w14:paraId="20D6B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14:paraId="62AA20C9">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w:t>
            </w:r>
          </w:p>
        </w:tc>
        <w:tc>
          <w:tcPr>
            <w:tcW w:w="6840" w:type="dxa"/>
            <w:noWrap w:val="0"/>
            <w:vAlign w:val="center"/>
          </w:tcPr>
          <w:p w14:paraId="28194878">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1DB1EEF9">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29F45EE0">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37BD6E22">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07DD235">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（5）供应商在开标时须使用制作加密电子投标文件所使用的CA锁及电脑，电脑须提前配置好浏览器（建议使用谷歌浏览器），以便开标时解锁。</w:t>
            </w:r>
          </w:p>
          <w:p w14:paraId="5C642EF8">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（6）投标保证金缴纳及确认时间：凡拟参加本次招标项目的供应商，必须在开标前将投标保证金汇入指定账户。投标保证金汇款凭证上用途栏应注明:招标标项名称+投标保证金。否则，届时其投标将被拒绝。</w:t>
            </w:r>
          </w:p>
          <w:p w14:paraId="5CFE55FD">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5A389F8F">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250F38F5">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9）各供应商在投标截止时间前将“投标文件”上传至政采云平台。投标文件包括“开标一览表表及资格证明文件”与“商务及技术文件”两部分合并成一册。投标文件应按照招标文件规定的格式填写、签署和盖章，并以PDF格式上传至政采云开评标平台（投标文件为扫描件）。</w:t>
            </w:r>
          </w:p>
          <w:p w14:paraId="2F988AC0">
            <w:pPr>
              <w:keepNext w:val="0"/>
              <w:keepLines w:val="0"/>
              <w:pageBreakBefore w:val="0"/>
              <w:kinsoku/>
              <w:wordWrap/>
              <w:overflowPunct/>
              <w:topLinePunct w:val="0"/>
              <w:bidi w:val="0"/>
              <w:adjustRightInd/>
              <w:snapToGrid/>
              <w:spacing w:line="500" w:lineRule="exact"/>
              <w:jc w:val="left"/>
              <w:textAlignment w:val="auto"/>
              <w:rPr>
                <w:rFonts w:hint="eastAsia"/>
                <w:color w:val="auto"/>
                <w:sz w:val="28"/>
                <w:szCs w:val="28"/>
              </w:rPr>
            </w:pPr>
            <w:r>
              <w:rPr>
                <w:rFonts w:hint="eastAsia" w:ascii="仿宋" w:hAnsi="仿宋" w:eastAsia="仿宋" w:cs="仿宋"/>
                <w:color w:val="auto"/>
                <w:kern w:val="2"/>
                <w:sz w:val="28"/>
                <w:szCs w:val="28"/>
                <w:highlight w:val="none"/>
                <w:lang w:val="en-US" w:eastAsia="zh-CN" w:bidi="ar-SA"/>
              </w:rPr>
              <w:t>（10）解密时长为30分钟。</w:t>
            </w:r>
          </w:p>
        </w:tc>
      </w:tr>
      <w:tr w14:paraId="1D826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14:paraId="1C59D17C">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w:t>
            </w:r>
          </w:p>
        </w:tc>
        <w:tc>
          <w:tcPr>
            <w:tcW w:w="6840" w:type="dxa"/>
            <w:noWrap w:val="0"/>
            <w:vAlign w:val="center"/>
          </w:tcPr>
          <w:p w14:paraId="3E858EB4">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投标截止时间：2025年3月14日11时00分（北京时间）</w:t>
            </w:r>
          </w:p>
        </w:tc>
      </w:tr>
      <w:tr w14:paraId="2F5DE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atLeast"/>
        </w:trPr>
        <w:tc>
          <w:tcPr>
            <w:tcW w:w="1468" w:type="dxa"/>
            <w:noWrap w:val="0"/>
            <w:vAlign w:val="center"/>
          </w:tcPr>
          <w:p w14:paraId="1ACE3677">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w:t>
            </w:r>
          </w:p>
        </w:tc>
        <w:tc>
          <w:tcPr>
            <w:tcW w:w="6840" w:type="dxa"/>
            <w:noWrap w:val="0"/>
            <w:vAlign w:val="center"/>
          </w:tcPr>
          <w:p w14:paraId="729A048A">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开标时间：2025年3月14日11时00分（北京时间）</w:t>
            </w:r>
          </w:p>
          <w:p w14:paraId="16E8D267">
            <w:pPr>
              <w:pStyle w:val="9"/>
              <w:keepNext w:val="0"/>
              <w:keepLines w:val="0"/>
              <w:pageBreakBefore w:val="0"/>
              <w:kinsoku/>
              <w:wordWrap/>
              <w:overflowPunct/>
              <w:topLinePunct w:val="0"/>
              <w:bidi w:val="0"/>
              <w:adjustRightInd/>
              <w:snapToGrid/>
              <w:spacing w:line="500" w:lineRule="exact"/>
              <w:ind w:firstLine="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开标地点：政采云平台（https://login.zcygov.cn/user-login/#/login）</w:t>
            </w:r>
          </w:p>
        </w:tc>
      </w:tr>
      <w:tr w14:paraId="0DBF8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 w:hRule="atLeast"/>
        </w:trPr>
        <w:tc>
          <w:tcPr>
            <w:tcW w:w="1468" w:type="dxa"/>
            <w:noWrap w:val="0"/>
            <w:vAlign w:val="center"/>
          </w:tcPr>
          <w:p w14:paraId="6BF8B734">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w:t>
            </w:r>
          </w:p>
        </w:tc>
        <w:tc>
          <w:tcPr>
            <w:tcW w:w="6840" w:type="dxa"/>
            <w:noWrap w:val="0"/>
            <w:vAlign w:val="center"/>
          </w:tcPr>
          <w:p w14:paraId="66ACB57F">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i/>
                <w:color w:val="auto"/>
                <w:sz w:val="28"/>
                <w:szCs w:val="28"/>
              </w:rPr>
            </w:pPr>
            <w:r>
              <w:rPr>
                <w:rFonts w:hint="eastAsia" w:ascii="仿宋" w:hAnsi="仿宋" w:eastAsia="仿宋" w:cs="仿宋"/>
                <w:color w:val="auto"/>
                <w:sz w:val="28"/>
                <w:szCs w:val="28"/>
              </w:rPr>
              <w:t>评标方法：</w:t>
            </w:r>
            <w:r>
              <w:rPr>
                <w:rFonts w:hint="eastAsia" w:ascii="仿宋" w:hAnsi="仿宋" w:eastAsia="仿宋" w:cs="仿宋"/>
                <w:color w:val="auto"/>
                <w:sz w:val="28"/>
                <w:szCs w:val="28"/>
                <w:u w:val="single"/>
              </w:rPr>
              <w:t>综合评分法</w:t>
            </w:r>
            <w:r>
              <w:rPr>
                <w:rFonts w:hint="eastAsia" w:ascii="仿宋" w:hAnsi="仿宋" w:eastAsia="仿宋" w:cs="仿宋"/>
                <w:color w:val="auto"/>
                <w:sz w:val="28"/>
                <w:szCs w:val="28"/>
              </w:rPr>
              <w:t>　　　　　　</w:t>
            </w:r>
          </w:p>
        </w:tc>
      </w:tr>
      <w:tr w14:paraId="2B755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7" w:hRule="atLeast"/>
        </w:trPr>
        <w:tc>
          <w:tcPr>
            <w:tcW w:w="1468" w:type="dxa"/>
            <w:noWrap w:val="0"/>
            <w:vAlign w:val="center"/>
          </w:tcPr>
          <w:p w14:paraId="607C493F">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19</w:t>
            </w:r>
          </w:p>
        </w:tc>
        <w:tc>
          <w:tcPr>
            <w:tcW w:w="6840" w:type="dxa"/>
            <w:noWrap w:val="0"/>
            <w:vAlign w:val="center"/>
          </w:tcPr>
          <w:p w14:paraId="6D01E986">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中标候选供应商的数量：3</w:t>
            </w:r>
            <w:r>
              <w:rPr>
                <w:rFonts w:hint="eastAsia" w:ascii="仿宋" w:hAnsi="仿宋" w:eastAsia="仿宋" w:cs="仿宋"/>
                <w:color w:val="auto"/>
                <w:sz w:val="28"/>
                <w:szCs w:val="28"/>
                <w:u w:val="single"/>
              </w:rPr>
              <w:t>个</w:t>
            </w:r>
          </w:p>
        </w:tc>
      </w:tr>
      <w:tr w14:paraId="6EA84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644BFE46">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w:t>
            </w:r>
          </w:p>
        </w:tc>
        <w:tc>
          <w:tcPr>
            <w:tcW w:w="6840" w:type="dxa"/>
            <w:noWrap w:val="0"/>
            <w:vAlign w:val="center"/>
          </w:tcPr>
          <w:p w14:paraId="4B62E55A">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招标人是否委托评标委员会直接确定中标人：</w:t>
            </w:r>
            <w:r>
              <w:rPr>
                <w:rFonts w:hint="eastAsia" w:ascii="仿宋" w:hAnsi="仿宋" w:eastAsia="仿宋" w:cs="仿宋"/>
                <w:color w:val="auto"/>
                <w:sz w:val="28"/>
                <w:szCs w:val="28"/>
                <w:u w:val="single"/>
                <w:lang w:val="en-US" w:eastAsia="zh-CN"/>
              </w:rPr>
              <w:t>否</w:t>
            </w:r>
            <w:r>
              <w:rPr>
                <w:rFonts w:hint="eastAsia" w:ascii="仿宋" w:hAnsi="仿宋" w:eastAsia="仿宋" w:cs="仿宋"/>
                <w:color w:val="auto"/>
                <w:sz w:val="28"/>
                <w:szCs w:val="28"/>
              </w:rPr>
              <w:t xml:space="preserve"> </w:t>
            </w:r>
          </w:p>
        </w:tc>
      </w:tr>
      <w:tr w14:paraId="0F61B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3169D6D0">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w:t>
            </w:r>
          </w:p>
        </w:tc>
        <w:tc>
          <w:tcPr>
            <w:tcW w:w="6840" w:type="dxa"/>
            <w:noWrap w:val="0"/>
            <w:vAlign w:val="center"/>
          </w:tcPr>
          <w:p w14:paraId="476F60C6">
            <w:pPr>
              <w:keepNext w:val="0"/>
              <w:keepLines w:val="0"/>
              <w:pageBreakBefore w:val="0"/>
              <w:kinsoku/>
              <w:wordWrap/>
              <w:overflowPunct/>
              <w:topLinePunct w:val="0"/>
              <w:autoSpaceDE/>
              <w:autoSpaceDN/>
              <w:bidi w:val="0"/>
              <w:adjustRightInd/>
              <w:snapToGrid/>
              <w:spacing w:line="500" w:lineRule="exact"/>
              <w:ind w:left="0" w:right="0" w:firstLine="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评标委员会构成：评标专家5人。</w:t>
            </w:r>
          </w:p>
          <w:p w14:paraId="25D34FDE">
            <w:pPr>
              <w:keepNext w:val="0"/>
              <w:keepLines w:val="0"/>
              <w:pageBreakBefore w:val="0"/>
              <w:kinsoku/>
              <w:wordWrap/>
              <w:overflowPunct/>
              <w:topLinePunct w:val="0"/>
              <w:autoSpaceDE/>
              <w:autoSpaceDN/>
              <w:bidi w:val="0"/>
              <w:adjustRightInd/>
              <w:snapToGrid/>
              <w:spacing w:line="500" w:lineRule="exact"/>
              <w:ind w:left="0" w:right="0" w:firstLine="0" w:firstLineChars="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评标专家确定方式：由招标代理在开标前48小时在新疆政府采购专家库中随机抽取此次评标专家。</w:t>
            </w:r>
          </w:p>
        </w:tc>
      </w:tr>
      <w:tr w14:paraId="55874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657956B1">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w:t>
            </w:r>
          </w:p>
        </w:tc>
        <w:tc>
          <w:tcPr>
            <w:tcW w:w="6840" w:type="dxa"/>
            <w:noWrap w:val="0"/>
            <w:vAlign w:val="center"/>
          </w:tcPr>
          <w:p w14:paraId="08168B57">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履约保证金金额：合同总价的</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rPr>
              <w:t>%（不得超过政府采购合同金额的10%）</w:t>
            </w:r>
          </w:p>
          <w:p w14:paraId="6724D9F5">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履约保</w:t>
            </w:r>
            <w:r>
              <w:rPr>
                <w:rFonts w:hint="eastAsia" w:ascii="仿宋" w:hAnsi="仿宋" w:eastAsia="仿宋" w:cs="仿宋"/>
                <w:color w:val="auto"/>
                <w:sz w:val="28"/>
                <w:szCs w:val="28"/>
                <w:u w:val="single"/>
                <w:lang w:val="en-US" w:eastAsia="zh-CN"/>
              </w:rPr>
              <w:t>担保</w:t>
            </w:r>
            <w:r>
              <w:rPr>
                <w:rFonts w:hint="eastAsia" w:ascii="仿宋" w:hAnsi="仿宋" w:eastAsia="仿宋" w:cs="仿宋"/>
                <w:color w:val="auto"/>
                <w:sz w:val="28"/>
                <w:szCs w:val="28"/>
                <w:u w:val="single"/>
              </w:rPr>
              <w:t>形式：电汇、网银、</w:t>
            </w:r>
            <w:r>
              <w:rPr>
                <w:rFonts w:hint="eastAsia" w:ascii="仿宋" w:hAnsi="仿宋" w:eastAsia="仿宋" w:cs="仿宋"/>
                <w:color w:val="auto"/>
                <w:sz w:val="28"/>
                <w:szCs w:val="28"/>
                <w:u w:val="single"/>
                <w:lang w:val="en-US" w:eastAsia="zh-CN"/>
              </w:rPr>
              <w:t>转账</w:t>
            </w:r>
            <w:r>
              <w:rPr>
                <w:rFonts w:hint="eastAsia" w:ascii="仿宋" w:hAnsi="仿宋" w:eastAsia="仿宋" w:cs="仿宋"/>
                <w:color w:val="auto"/>
                <w:sz w:val="28"/>
                <w:szCs w:val="28"/>
                <w:u w:val="single"/>
              </w:rPr>
              <w:t xml:space="preserve"> </w:t>
            </w:r>
          </w:p>
          <w:p w14:paraId="4919B006">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履约</w:t>
            </w:r>
            <w:r>
              <w:rPr>
                <w:rFonts w:hint="eastAsia" w:ascii="仿宋" w:hAnsi="仿宋" w:eastAsia="仿宋" w:cs="仿宋"/>
                <w:color w:val="auto"/>
                <w:sz w:val="28"/>
                <w:szCs w:val="28"/>
                <w:u w:val="single"/>
                <w:lang w:val="en-US" w:eastAsia="zh-CN"/>
              </w:rPr>
              <w:t>担保</w:t>
            </w:r>
            <w:r>
              <w:rPr>
                <w:rFonts w:hint="eastAsia" w:ascii="仿宋" w:hAnsi="仿宋" w:eastAsia="仿宋" w:cs="仿宋"/>
                <w:color w:val="auto"/>
                <w:sz w:val="28"/>
                <w:szCs w:val="28"/>
                <w:u w:val="single"/>
              </w:rPr>
              <w:t>的时间：签订合同前</w:t>
            </w:r>
            <w:r>
              <w:rPr>
                <w:rFonts w:hint="eastAsia" w:ascii="仿宋" w:hAnsi="仿宋" w:eastAsia="仿宋" w:cs="仿宋"/>
                <w:color w:val="auto"/>
                <w:sz w:val="28"/>
                <w:szCs w:val="28"/>
                <w:u w:val="single"/>
                <w:lang w:val="en-US" w:eastAsia="zh-CN"/>
              </w:rPr>
              <w:t>办理</w:t>
            </w:r>
            <w:r>
              <w:rPr>
                <w:rFonts w:hint="eastAsia" w:ascii="仿宋" w:hAnsi="仿宋" w:eastAsia="仿宋" w:cs="仿宋"/>
                <w:color w:val="auto"/>
                <w:sz w:val="28"/>
                <w:szCs w:val="28"/>
                <w:u w:val="single"/>
              </w:rPr>
              <w:t>，货物供应并验收合格后无息退还（双方也可通过协商另行约定其他退还时间和方式及用途）。</w:t>
            </w:r>
          </w:p>
        </w:tc>
      </w:tr>
      <w:tr w14:paraId="7EBB9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46D17C28">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w:t>
            </w:r>
          </w:p>
        </w:tc>
        <w:tc>
          <w:tcPr>
            <w:tcW w:w="6840" w:type="dxa"/>
            <w:noWrap w:val="0"/>
            <w:vAlign w:val="center"/>
          </w:tcPr>
          <w:p w14:paraId="7F4473B0">
            <w:pPr>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b w:val="0"/>
                <w:bCs w:val="0"/>
                <w:snapToGrid w:val="0"/>
                <w:color w:val="auto"/>
                <w:spacing w:val="-4"/>
                <w:kern w:val="0"/>
                <w:sz w:val="28"/>
                <w:szCs w:val="28"/>
                <w:lang w:val="en-US" w:eastAsia="zh-CN" w:bidi="ar-SA"/>
              </w:rPr>
            </w:pPr>
            <w:r>
              <w:rPr>
                <w:rFonts w:hint="eastAsia" w:ascii="仿宋" w:hAnsi="仿宋" w:eastAsia="仿宋" w:cs="仿宋"/>
                <w:color w:val="auto"/>
                <w:sz w:val="28"/>
                <w:szCs w:val="28"/>
                <w:highlight w:val="none"/>
              </w:rPr>
              <w:t>代理服务费：根据发改价格[2015]299号文</w:t>
            </w:r>
            <w:r>
              <w:rPr>
                <w:rFonts w:hint="eastAsia" w:ascii="仿宋" w:hAnsi="仿宋" w:eastAsia="仿宋" w:cs="仿宋"/>
                <w:b w:val="0"/>
                <w:bCs w:val="0"/>
                <w:snapToGrid w:val="0"/>
                <w:color w:val="auto"/>
                <w:spacing w:val="-4"/>
                <w:kern w:val="0"/>
                <w:sz w:val="28"/>
                <w:szCs w:val="28"/>
                <w:lang w:val="en-US" w:eastAsia="zh-CN" w:bidi="ar-SA"/>
              </w:rPr>
              <w:t>标项一、二按照服务标准收取。</w:t>
            </w:r>
          </w:p>
          <w:p w14:paraId="4B58FD54">
            <w:pPr>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b w:val="0"/>
                <w:bCs w:val="0"/>
                <w:snapToGrid w:val="0"/>
                <w:color w:val="auto"/>
                <w:spacing w:val="-4"/>
                <w:kern w:val="0"/>
                <w:sz w:val="28"/>
                <w:szCs w:val="28"/>
                <w:lang w:val="en-US" w:eastAsia="zh-CN" w:bidi="ar-SA"/>
              </w:rPr>
            </w:pPr>
            <w:r>
              <w:rPr>
                <w:rFonts w:hint="eastAsia" w:ascii="仿宋" w:hAnsi="仿宋" w:eastAsia="仿宋" w:cs="仿宋"/>
                <w:b w:val="0"/>
                <w:bCs w:val="0"/>
                <w:snapToGrid w:val="0"/>
                <w:color w:val="auto"/>
                <w:spacing w:val="-4"/>
                <w:kern w:val="0"/>
                <w:sz w:val="28"/>
                <w:szCs w:val="28"/>
                <w:lang w:val="en-US" w:eastAsia="zh-CN" w:bidi="ar-SA"/>
              </w:rPr>
              <w:t>标项三、四按照货物</w:t>
            </w:r>
            <w:r>
              <w:rPr>
                <w:rFonts w:hint="eastAsia" w:ascii="仿宋" w:hAnsi="仿宋" w:eastAsia="仿宋" w:cs="仿宋"/>
                <w:b w:val="0"/>
                <w:bCs w:val="0"/>
                <w:snapToGrid w:val="0"/>
                <w:color w:val="auto"/>
                <w:spacing w:val="-4"/>
                <w:kern w:val="0"/>
                <w:sz w:val="28"/>
                <w:szCs w:val="28"/>
                <w:lang w:val="en-US" w:eastAsia="en-US" w:bidi="ar-SA"/>
              </w:rPr>
              <w:t>采购收费标准</w:t>
            </w:r>
            <w:r>
              <w:rPr>
                <w:rFonts w:hint="eastAsia" w:ascii="仿宋" w:hAnsi="仿宋" w:eastAsia="仿宋" w:cs="仿宋"/>
                <w:b w:val="0"/>
                <w:bCs w:val="0"/>
                <w:snapToGrid w:val="0"/>
                <w:color w:val="auto"/>
                <w:spacing w:val="-4"/>
                <w:kern w:val="0"/>
                <w:sz w:val="28"/>
                <w:szCs w:val="28"/>
                <w:lang w:val="en-US" w:eastAsia="zh-CN" w:bidi="ar-SA"/>
              </w:rPr>
              <w:t>收取，由中标单位支付。</w:t>
            </w:r>
          </w:p>
          <w:p w14:paraId="4BD0578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支付形式：</w:t>
            </w:r>
            <w:r>
              <w:rPr>
                <w:rFonts w:hint="eastAsia" w:ascii="仿宋" w:hAnsi="仿宋" w:eastAsia="仿宋" w:cs="仿宋"/>
                <w:color w:val="auto"/>
                <w:sz w:val="28"/>
                <w:szCs w:val="28"/>
                <w:highlight w:val="none"/>
                <w:lang w:val="en-US" w:eastAsia="zh-CN"/>
              </w:rPr>
              <w:t>对公</w:t>
            </w:r>
            <w:r>
              <w:rPr>
                <w:rFonts w:hint="eastAsia" w:ascii="仿宋" w:hAnsi="仿宋" w:eastAsia="仿宋" w:cs="仿宋"/>
                <w:color w:val="auto"/>
                <w:sz w:val="28"/>
                <w:szCs w:val="28"/>
                <w:highlight w:val="none"/>
                <w:lang w:eastAsia="zh-CN"/>
              </w:rPr>
              <w:t>转账</w:t>
            </w:r>
          </w:p>
          <w:p w14:paraId="20276E42">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lang w:eastAsia="zh-CN"/>
              </w:rPr>
              <w:t>支付时间：中标公示后3个工作日内</w:t>
            </w:r>
          </w:p>
        </w:tc>
      </w:tr>
      <w:tr w14:paraId="10022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0B932A89">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24</w:t>
            </w:r>
          </w:p>
        </w:tc>
        <w:tc>
          <w:tcPr>
            <w:tcW w:w="6840" w:type="dxa"/>
            <w:noWrap w:val="0"/>
            <w:vAlign w:val="center"/>
          </w:tcPr>
          <w:p w14:paraId="56196DAA">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本项目是否属于信用担保试点范围：</w:t>
            </w:r>
            <w:r>
              <w:rPr>
                <w:rFonts w:hint="eastAsia" w:ascii="仿宋" w:hAnsi="仿宋" w:eastAsia="仿宋" w:cs="仿宋"/>
                <w:color w:val="auto"/>
                <w:sz w:val="28"/>
                <w:szCs w:val="28"/>
                <w:u w:val="single"/>
                <w:lang w:val="en-US" w:eastAsia="zh-CN"/>
              </w:rPr>
              <w:t>否</w:t>
            </w:r>
          </w:p>
        </w:tc>
      </w:tr>
      <w:tr w14:paraId="31948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43C3C158">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25</w:t>
            </w:r>
          </w:p>
        </w:tc>
        <w:tc>
          <w:tcPr>
            <w:tcW w:w="6840" w:type="dxa"/>
            <w:noWrap w:val="0"/>
            <w:vAlign w:val="center"/>
          </w:tcPr>
          <w:p w14:paraId="32FD3A03">
            <w:pPr>
              <w:keepNext w:val="0"/>
              <w:keepLines w:val="0"/>
              <w:pageBreakBefore w:val="0"/>
              <w:kinsoku/>
              <w:wordWrap/>
              <w:overflowPunct/>
              <w:topLinePunct w:val="0"/>
              <w:bidi w:val="0"/>
              <w:adjustRightInd/>
              <w:snapToGrid/>
              <w:spacing w:line="500" w:lineRule="exact"/>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重要提示：投标人在制作投标文件时须注意在投不同标项时本招标文件中格式模板中的所有“项目名称”均为各投标供应商所投项目标项的名称；如填错项目名称按无效投标处理！</w:t>
            </w:r>
          </w:p>
        </w:tc>
      </w:tr>
      <w:tr w14:paraId="0395A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37E8911C">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26</w:t>
            </w:r>
          </w:p>
        </w:tc>
        <w:tc>
          <w:tcPr>
            <w:tcW w:w="6840" w:type="dxa"/>
            <w:noWrap w:val="0"/>
            <w:vAlign w:val="center"/>
          </w:tcPr>
          <w:p w14:paraId="3DB1A427">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b/>
                <w:bCs/>
                <w:color w:val="auto"/>
                <w:sz w:val="28"/>
                <w:szCs w:val="28"/>
                <w:lang w:val="en-US" w:eastAsia="zh-CN"/>
              </w:rPr>
            </w:pPr>
            <w:bookmarkStart w:id="615" w:name="_Toc14647"/>
            <w:r>
              <w:rPr>
                <w:rFonts w:hint="eastAsia" w:ascii="仿宋" w:hAnsi="仿宋" w:eastAsia="仿宋" w:cs="仿宋"/>
                <w:b/>
                <w:bCs/>
                <w:color w:val="auto"/>
                <w:kern w:val="2"/>
                <w:sz w:val="28"/>
                <w:szCs w:val="28"/>
                <w:highlight w:val="none"/>
                <w:lang w:val="en-US" w:eastAsia="zh-CN" w:bidi="ar-SA"/>
              </w:rPr>
              <w:t>注：中标结果公示后3个工作日内前三中标候选人需提供纸质投标文件</w:t>
            </w:r>
            <w:bookmarkEnd w:id="615"/>
            <w:r>
              <w:rPr>
                <w:rFonts w:hint="eastAsia" w:ascii="仿宋" w:hAnsi="仿宋" w:eastAsia="仿宋" w:cs="仿宋"/>
                <w:b/>
                <w:bCs/>
                <w:color w:val="auto"/>
                <w:kern w:val="2"/>
                <w:sz w:val="28"/>
                <w:szCs w:val="28"/>
                <w:highlight w:val="none"/>
                <w:lang w:val="en-US" w:eastAsia="zh-CN" w:bidi="ar-SA"/>
              </w:rPr>
              <w:t>3份，电子版一份。邮寄或送至喀什地区喀什市深喀大道陕西大厦2307室。</w:t>
            </w:r>
          </w:p>
        </w:tc>
      </w:tr>
    </w:tbl>
    <w:p w14:paraId="68E49E41">
      <w:pPr>
        <w:spacing w:line="240" w:lineRule="atLeast"/>
        <w:ind w:left="1080" w:leftChars="257" w:hanging="540"/>
        <w:rPr>
          <w:rFonts w:hint="eastAsia" w:ascii="仿宋" w:hAnsi="仿宋" w:eastAsia="仿宋" w:cs="仿宋"/>
          <w:color w:val="auto"/>
          <w:sz w:val="24"/>
        </w:rPr>
        <w:sectPr>
          <w:headerReference r:id="rId14" w:type="default"/>
          <w:footerReference r:id="rId16" w:type="default"/>
          <w:headerReference r:id="rId15" w:type="even"/>
          <w:footerReference r:id="rId17" w:type="even"/>
          <w:pgSz w:w="11906" w:h="16838"/>
          <w:pgMar w:top="1474" w:right="1814" w:bottom="1474" w:left="1814" w:header="851" w:footer="992" w:gutter="0"/>
          <w:pgNumType w:fmt="decimal"/>
          <w:cols w:space="720" w:num="1"/>
          <w:docGrid w:linePitch="312" w:charSpace="0"/>
        </w:sectPr>
      </w:pPr>
    </w:p>
    <w:p w14:paraId="5E2BF3DA">
      <w:pPr>
        <w:pStyle w:val="4"/>
        <w:numPr>
          <w:ilvl w:val="0"/>
          <w:numId w:val="0"/>
        </w:numPr>
        <w:tabs>
          <w:tab w:val="left" w:pos="0"/>
        </w:tabs>
        <w:spacing w:before="0" w:after="0" w:line="240" w:lineRule="atLeast"/>
        <w:jc w:val="center"/>
        <w:rPr>
          <w:rFonts w:hint="eastAsia" w:ascii="仿宋" w:hAnsi="仿宋" w:eastAsia="仿宋" w:cs="仿宋"/>
          <w:color w:val="auto"/>
          <w:sz w:val="28"/>
          <w:szCs w:val="24"/>
          <w:lang w:val="en-US" w:eastAsia="zh-CN"/>
        </w:rPr>
      </w:pPr>
      <w:bookmarkStart w:id="616" w:name="_Toc216582825"/>
      <w:bookmarkStart w:id="617" w:name="_Toc216513787"/>
      <w:bookmarkStart w:id="618" w:name="_Toc13387"/>
      <w:bookmarkStart w:id="619" w:name="_Toc9887"/>
      <w:bookmarkStart w:id="620" w:name="_Toc216582811"/>
      <w:bookmarkStart w:id="621" w:name="_Toc512937852"/>
      <w:bookmarkStart w:id="622" w:name="_Toc219175635"/>
      <w:bookmarkStart w:id="623" w:name="_Toc218935351"/>
      <w:bookmarkStart w:id="624" w:name="_Toc507399906"/>
      <w:bookmarkStart w:id="625" w:name="_Toc218935354"/>
      <w:bookmarkStart w:id="626" w:name="_Toc219175638"/>
      <w:bookmarkStart w:id="627" w:name="_Toc9032"/>
      <w:bookmarkStart w:id="628" w:name="_Toc14920"/>
      <w:bookmarkStart w:id="629" w:name="_Toc515647831"/>
      <w:r>
        <w:rPr>
          <w:rFonts w:hint="eastAsia" w:ascii="仿宋" w:hAnsi="仿宋" w:eastAsia="仿宋" w:cs="仿宋"/>
          <w:color w:val="auto"/>
          <w:lang w:val="en-US" w:eastAsia="zh-CN"/>
        </w:rPr>
        <w:t>第五章 货物</w:t>
      </w:r>
      <w:r>
        <w:rPr>
          <w:rFonts w:hint="eastAsia" w:ascii="仿宋" w:hAnsi="仿宋" w:eastAsia="仿宋" w:cs="仿宋"/>
          <w:color w:val="auto"/>
        </w:rPr>
        <w:t>需求一览表</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Start w:id="630" w:name="_Toc3872"/>
    </w:p>
    <w:p w14:paraId="5471EDB6">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标项一：叶城县2025年依提木孔镇核桃蛀果害虫绿色防控项目（飞机防治服务采购）</w:t>
      </w:r>
    </w:p>
    <w:tbl>
      <w:tblPr>
        <w:tblStyle w:val="107"/>
        <w:tblpPr w:leftFromText="180" w:rightFromText="180" w:vertAnchor="text" w:horzAnchor="page" w:tblpXSpec="center" w:tblpY="90"/>
        <w:tblOverlap w:val="never"/>
        <w:tblW w:w="8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8"/>
        <w:gridCol w:w="3060"/>
        <w:gridCol w:w="931"/>
        <w:gridCol w:w="2758"/>
      </w:tblGrid>
      <w:tr w14:paraId="25148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jc w:val="center"/>
        </w:trPr>
        <w:tc>
          <w:tcPr>
            <w:tcW w:w="1578" w:type="dxa"/>
            <w:vAlign w:val="center"/>
          </w:tcPr>
          <w:p w14:paraId="482483BC">
            <w:pPr>
              <w:pStyle w:val="124"/>
              <w:spacing w:before="166" w:line="229" w:lineRule="auto"/>
              <w:ind w:left="0" w:leftChars="0" w:firstLine="0" w:firstLineChars="0"/>
              <w:jc w:val="center"/>
              <w:outlineLvl w:val="1"/>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序号</w:t>
            </w:r>
          </w:p>
        </w:tc>
        <w:tc>
          <w:tcPr>
            <w:tcW w:w="3060" w:type="dxa"/>
            <w:vAlign w:val="center"/>
          </w:tcPr>
          <w:p w14:paraId="3D0BDBBD">
            <w:pPr>
              <w:pStyle w:val="124"/>
              <w:spacing w:before="165" w:line="230" w:lineRule="auto"/>
              <w:ind w:left="0" w:leftChars="0" w:firstLine="0" w:firstLineChars="0"/>
              <w:jc w:val="center"/>
              <w:outlineLvl w:val="1"/>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名称</w:t>
            </w:r>
          </w:p>
        </w:tc>
        <w:tc>
          <w:tcPr>
            <w:tcW w:w="931" w:type="dxa"/>
            <w:vAlign w:val="center"/>
          </w:tcPr>
          <w:p w14:paraId="471F693E">
            <w:pPr>
              <w:pStyle w:val="124"/>
              <w:spacing w:before="166" w:line="227" w:lineRule="auto"/>
              <w:ind w:left="220" w:leftChars="0" w:firstLine="0" w:firstLineChars="0"/>
              <w:jc w:val="center"/>
              <w:outlineLvl w:val="1"/>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数量</w:t>
            </w:r>
          </w:p>
        </w:tc>
        <w:tc>
          <w:tcPr>
            <w:tcW w:w="2758" w:type="dxa"/>
            <w:vAlign w:val="center"/>
          </w:tcPr>
          <w:p w14:paraId="57E11E8D">
            <w:pPr>
              <w:pStyle w:val="124"/>
              <w:spacing w:before="166" w:line="228" w:lineRule="auto"/>
              <w:ind w:left="0" w:leftChars="0" w:firstLine="0" w:firstLineChars="0"/>
              <w:jc w:val="center"/>
              <w:outlineLvl w:val="1"/>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单位</w:t>
            </w:r>
          </w:p>
        </w:tc>
      </w:tr>
      <w:tr w14:paraId="31AB1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jc w:val="center"/>
        </w:trPr>
        <w:tc>
          <w:tcPr>
            <w:tcW w:w="1578" w:type="dxa"/>
            <w:vAlign w:val="center"/>
          </w:tcPr>
          <w:p w14:paraId="45D4A4DA">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p>
        </w:tc>
        <w:tc>
          <w:tcPr>
            <w:tcW w:w="3060" w:type="dxa"/>
            <w:vAlign w:val="center"/>
          </w:tcPr>
          <w:p w14:paraId="4BB3D8C9">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飞机防治服务采购</w:t>
            </w:r>
          </w:p>
        </w:tc>
        <w:tc>
          <w:tcPr>
            <w:tcW w:w="931" w:type="dxa"/>
            <w:vAlign w:val="center"/>
          </w:tcPr>
          <w:p w14:paraId="29FD748B">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80000</w:t>
            </w:r>
          </w:p>
        </w:tc>
        <w:tc>
          <w:tcPr>
            <w:tcW w:w="2758" w:type="dxa"/>
            <w:vAlign w:val="center"/>
          </w:tcPr>
          <w:p w14:paraId="23F133E7">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亩</w:t>
            </w:r>
          </w:p>
        </w:tc>
      </w:tr>
    </w:tbl>
    <w:p w14:paraId="46F7935F">
      <w:pPr>
        <w:keepNext w:val="0"/>
        <w:keepLines w:val="0"/>
        <w:pageBreakBefore w:val="0"/>
        <w:kinsoku/>
        <w:wordWrap/>
        <w:overflowPunct/>
        <w:topLinePunct w:val="0"/>
        <w:bidi w:val="0"/>
        <w:adjustRightInd/>
        <w:snapToGrid/>
        <w:spacing w:line="500" w:lineRule="exact"/>
        <w:jc w:val="both"/>
        <w:textAlignment w:val="auto"/>
        <w:rPr>
          <w:rFonts w:hint="eastAsia" w:ascii="仿宋" w:hAnsi="仿宋" w:eastAsia="仿宋" w:cs="仿宋"/>
          <w:b/>
          <w:bCs/>
          <w:color w:val="auto"/>
          <w:sz w:val="28"/>
          <w:szCs w:val="28"/>
          <w:lang w:val="en-US" w:eastAsia="zh-CN"/>
        </w:rPr>
      </w:pPr>
      <w:bookmarkStart w:id="631" w:name="_Toc4743"/>
      <w:bookmarkStart w:id="632" w:name="_Toc1158"/>
    </w:p>
    <w:p w14:paraId="06DFA814">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p w14:paraId="7DCECE67">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p w14:paraId="5FEBDFD9">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p w14:paraId="76E48A9E">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p w14:paraId="265B7EDC">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投标人需拥有飞机所有权3-5架及以上且载药量为500公斤以上的直升机（以适航证、国籍登记证、电台执照原件为准）；具备履行合同所必需的设备和专业技术能力以及作业业绩的证明材料；</w:t>
      </w:r>
    </w:p>
    <w:p w14:paraId="73B497C2">
      <w:pPr>
        <w:pStyle w:val="4"/>
        <w:keepNext w:val="0"/>
        <w:keepLines w:val="0"/>
        <w:rPr>
          <w:rFonts w:hint="eastAsia" w:ascii="仿宋" w:hAnsi="仿宋" w:eastAsia="仿宋" w:cs="仿宋"/>
          <w:b/>
          <w:bCs/>
          <w:color w:val="auto"/>
          <w:sz w:val="28"/>
          <w:szCs w:val="24"/>
          <w:lang w:val="en-US" w:eastAsia="zh-CN"/>
        </w:rPr>
      </w:pPr>
    </w:p>
    <w:p w14:paraId="3BB8D80C">
      <w:pPr>
        <w:pStyle w:val="4"/>
        <w:keepNext w:val="0"/>
        <w:keepLines w:val="0"/>
        <w:rPr>
          <w:rFonts w:hint="eastAsia" w:ascii="仿宋" w:hAnsi="仿宋" w:eastAsia="仿宋" w:cs="仿宋"/>
          <w:b/>
          <w:bCs/>
          <w:color w:val="auto"/>
          <w:sz w:val="28"/>
          <w:szCs w:val="24"/>
          <w:lang w:val="en-US" w:eastAsia="zh-CN"/>
        </w:rPr>
      </w:pPr>
      <w:r>
        <w:rPr>
          <w:rFonts w:hint="eastAsia" w:ascii="仿宋" w:hAnsi="仿宋" w:eastAsia="仿宋" w:cs="仿宋"/>
          <w:b/>
          <w:bCs/>
          <w:color w:val="auto"/>
          <w:sz w:val="28"/>
          <w:szCs w:val="24"/>
          <w:lang w:val="en-US" w:eastAsia="zh-CN"/>
        </w:rPr>
        <w:t>标项</w:t>
      </w:r>
      <w:bookmarkEnd w:id="631"/>
      <w:bookmarkEnd w:id="632"/>
      <w:r>
        <w:rPr>
          <w:rFonts w:hint="eastAsia" w:ascii="仿宋" w:hAnsi="仿宋" w:eastAsia="仿宋" w:cs="仿宋"/>
          <w:b/>
          <w:bCs/>
          <w:color w:val="auto"/>
          <w:sz w:val="28"/>
          <w:szCs w:val="24"/>
          <w:lang w:val="en-US" w:eastAsia="zh-CN"/>
        </w:rPr>
        <w:t>二：叶城县2025年依提木孔镇核桃蛀果害虫绿色防控项目（飞机防治监理服务采购）</w:t>
      </w:r>
    </w:p>
    <w:tbl>
      <w:tblPr>
        <w:tblStyle w:val="107"/>
        <w:tblpPr w:leftFromText="180" w:rightFromText="180" w:vertAnchor="text" w:horzAnchor="page" w:tblpXSpec="center" w:tblpY="90"/>
        <w:tblOverlap w:val="never"/>
        <w:tblW w:w="8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8"/>
        <w:gridCol w:w="3060"/>
        <w:gridCol w:w="931"/>
        <w:gridCol w:w="2758"/>
      </w:tblGrid>
      <w:tr w14:paraId="0CF94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jc w:val="center"/>
        </w:trPr>
        <w:tc>
          <w:tcPr>
            <w:tcW w:w="1578" w:type="dxa"/>
            <w:vAlign w:val="center"/>
          </w:tcPr>
          <w:p w14:paraId="5A1B0C4B">
            <w:pPr>
              <w:pStyle w:val="124"/>
              <w:spacing w:before="166" w:line="229" w:lineRule="auto"/>
              <w:ind w:left="0" w:leftChars="0" w:firstLine="0" w:firstLineChars="0"/>
              <w:jc w:val="center"/>
              <w:outlineLvl w:val="1"/>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序号</w:t>
            </w:r>
          </w:p>
        </w:tc>
        <w:tc>
          <w:tcPr>
            <w:tcW w:w="3060" w:type="dxa"/>
            <w:vAlign w:val="center"/>
          </w:tcPr>
          <w:p w14:paraId="1D081BB3">
            <w:pPr>
              <w:pStyle w:val="124"/>
              <w:spacing w:before="165" w:line="230" w:lineRule="auto"/>
              <w:ind w:left="0" w:leftChars="0" w:firstLine="0" w:firstLineChars="0"/>
              <w:jc w:val="center"/>
              <w:outlineLvl w:val="1"/>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名称</w:t>
            </w:r>
          </w:p>
        </w:tc>
        <w:tc>
          <w:tcPr>
            <w:tcW w:w="931" w:type="dxa"/>
            <w:vAlign w:val="center"/>
          </w:tcPr>
          <w:p w14:paraId="51DB6517">
            <w:pPr>
              <w:pStyle w:val="124"/>
              <w:spacing w:before="166" w:line="227" w:lineRule="auto"/>
              <w:ind w:left="220" w:leftChars="0" w:firstLine="0" w:firstLineChars="0"/>
              <w:jc w:val="center"/>
              <w:outlineLvl w:val="1"/>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数量</w:t>
            </w:r>
          </w:p>
        </w:tc>
        <w:tc>
          <w:tcPr>
            <w:tcW w:w="2758" w:type="dxa"/>
            <w:vAlign w:val="center"/>
          </w:tcPr>
          <w:p w14:paraId="25577278">
            <w:pPr>
              <w:pStyle w:val="124"/>
              <w:spacing w:before="166" w:line="228" w:lineRule="auto"/>
              <w:ind w:left="0" w:leftChars="0" w:firstLine="0" w:firstLineChars="0"/>
              <w:jc w:val="center"/>
              <w:outlineLvl w:val="1"/>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单位</w:t>
            </w:r>
          </w:p>
        </w:tc>
      </w:tr>
      <w:tr w14:paraId="49341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jc w:val="center"/>
        </w:trPr>
        <w:tc>
          <w:tcPr>
            <w:tcW w:w="1578" w:type="dxa"/>
            <w:vAlign w:val="center"/>
          </w:tcPr>
          <w:p w14:paraId="459A18DA">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p>
        </w:tc>
        <w:tc>
          <w:tcPr>
            <w:tcW w:w="3060" w:type="dxa"/>
            <w:vAlign w:val="center"/>
          </w:tcPr>
          <w:p w14:paraId="10ACC0C0">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飞机防治监理服务采购</w:t>
            </w:r>
          </w:p>
        </w:tc>
        <w:tc>
          <w:tcPr>
            <w:tcW w:w="931" w:type="dxa"/>
            <w:vAlign w:val="center"/>
          </w:tcPr>
          <w:p w14:paraId="0E0C0D24">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80000</w:t>
            </w:r>
          </w:p>
        </w:tc>
        <w:tc>
          <w:tcPr>
            <w:tcW w:w="2758" w:type="dxa"/>
            <w:vAlign w:val="center"/>
          </w:tcPr>
          <w:p w14:paraId="02149DBB">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亩</w:t>
            </w:r>
          </w:p>
        </w:tc>
      </w:tr>
    </w:tbl>
    <w:p w14:paraId="6D18C279">
      <w:pPr>
        <w:pStyle w:val="4"/>
        <w:keepNext w:val="0"/>
        <w:keepLines w:val="0"/>
        <w:rPr>
          <w:rFonts w:hint="eastAsia" w:ascii="仿宋" w:hAnsi="仿宋" w:eastAsia="仿宋" w:cs="仿宋"/>
          <w:color w:val="auto"/>
          <w:sz w:val="28"/>
          <w:szCs w:val="24"/>
          <w:lang w:val="en-US" w:eastAsia="zh-CN"/>
        </w:rPr>
      </w:pPr>
    </w:p>
    <w:p w14:paraId="26375A26">
      <w:pPr>
        <w:pStyle w:val="4"/>
        <w:keepNext w:val="0"/>
        <w:keepLines w:val="0"/>
        <w:rPr>
          <w:rFonts w:hint="eastAsia" w:ascii="仿宋" w:hAnsi="仿宋" w:eastAsia="仿宋" w:cs="仿宋"/>
          <w:color w:val="auto"/>
          <w:sz w:val="28"/>
          <w:szCs w:val="24"/>
          <w:lang w:val="en-US" w:eastAsia="zh-CN"/>
        </w:rPr>
      </w:pPr>
    </w:p>
    <w:p w14:paraId="34FE7EEF">
      <w:pPr>
        <w:pStyle w:val="4"/>
        <w:keepNext w:val="0"/>
        <w:keepLines w:val="0"/>
        <w:rPr>
          <w:rFonts w:hint="eastAsia" w:ascii="仿宋" w:hAnsi="仿宋" w:eastAsia="仿宋" w:cs="仿宋"/>
          <w:color w:val="auto"/>
          <w:sz w:val="28"/>
          <w:szCs w:val="24"/>
          <w:lang w:val="en-US" w:eastAsia="zh-CN"/>
        </w:rPr>
      </w:pPr>
    </w:p>
    <w:p w14:paraId="0C51C677">
      <w:pPr>
        <w:pStyle w:val="4"/>
        <w:keepNext w:val="0"/>
        <w:keepLines w:val="0"/>
        <w:rPr>
          <w:rFonts w:hint="eastAsia" w:ascii="仿宋" w:hAnsi="仿宋" w:eastAsia="仿宋" w:cs="仿宋"/>
          <w:color w:val="auto"/>
          <w:sz w:val="28"/>
          <w:szCs w:val="24"/>
          <w:lang w:val="en-US" w:eastAsia="zh-CN"/>
        </w:rPr>
      </w:pPr>
    </w:p>
    <w:p w14:paraId="2A8C3578">
      <w:pPr>
        <w:rPr>
          <w:rFonts w:hint="eastAsia" w:ascii="仿宋" w:hAnsi="仿宋" w:eastAsia="仿宋" w:cs="仿宋"/>
          <w:color w:val="auto"/>
          <w:sz w:val="28"/>
          <w:szCs w:val="24"/>
          <w:lang w:val="en-US" w:eastAsia="zh-CN"/>
        </w:rPr>
      </w:pPr>
      <w:r>
        <w:rPr>
          <w:rFonts w:hint="eastAsia" w:ascii="仿宋" w:hAnsi="仿宋" w:eastAsia="仿宋" w:cs="仿宋"/>
          <w:color w:val="auto"/>
          <w:sz w:val="28"/>
          <w:szCs w:val="24"/>
          <w:lang w:val="en-US" w:eastAsia="zh-CN"/>
        </w:rPr>
        <w:br w:type="page"/>
      </w:r>
    </w:p>
    <w:p w14:paraId="779D69C7">
      <w:pPr>
        <w:pStyle w:val="4"/>
        <w:keepNext w:val="0"/>
        <w:keepLines w:val="0"/>
        <w:rPr>
          <w:rFonts w:hint="eastAsia" w:ascii="仿宋" w:hAnsi="仿宋" w:eastAsia="仿宋" w:cs="仿宋"/>
          <w:color w:val="auto"/>
          <w:sz w:val="28"/>
          <w:szCs w:val="24"/>
          <w:lang w:val="en-US" w:eastAsia="zh-CN"/>
        </w:rPr>
      </w:pPr>
      <w:r>
        <w:rPr>
          <w:rFonts w:hint="eastAsia" w:ascii="仿宋" w:hAnsi="仿宋" w:eastAsia="仿宋" w:cs="仿宋"/>
          <w:color w:val="auto"/>
          <w:sz w:val="28"/>
          <w:szCs w:val="24"/>
          <w:lang w:val="en-US" w:eastAsia="zh-CN"/>
        </w:rPr>
        <w:t>标项三：叶城县2025年依提木孔镇核桃蛀果害虫绿色防控项目（苹果蠹蛾和梨李小食心虫迷向散发器（高效））</w:t>
      </w:r>
    </w:p>
    <w:tbl>
      <w:tblPr>
        <w:tblStyle w:val="107"/>
        <w:tblpPr w:leftFromText="180" w:rightFromText="180" w:vertAnchor="text" w:horzAnchor="page" w:tblpXSpec="center" w:tblpY="90"/>
        <w:tblOverlap w:val="never"/>
        <w:tblW w:w="7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1335"/>
        <w:gridCol w:w="3500"/>
        <w:gridCol w:w="1068"/>
        <w:gridCol w:w="654"/>
      </w:tblGrid>
      <w:tr w14:paraId="2D0AF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776" w:type="dxa"/>
            <w:vAlign w:val="center"/>
          </w:tcPr>
          <w:p w14:paraId="4CAA88A6">
            <w:pPr>
              <w:pStyle w:val="124"/>
              <w:spacing w:before="166" w:line="229" w:lineRule="auto"/>
              <w:ind w:left="0" w:leftChars="0" w:firstLine="0" w:firstLineChars="0"/>
              <w:jc w:val="center"/>
              <w:outlineLvl w:val="1"/>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序号</w:t>
            </w:r>
          </w:p>
        </w:tc>
        <w:tc>
          <w:tcPr>
            <w:tcW w:w="1335" w:type="dxa"/>
            <w:vAlign w:val="center"/>
          </w:tcPr>
          <w:p w14:paraId="6FC61C5E">
            <w:pPr>
              <w:pStyle w:val="124"/>
              <w:spacing w:before="165" w:line="230" w:lineRule="auto"/>
              <w:ind w:left="0" w:leftChars="0" w:firstLine="0" w:firstLineChars="0"/>
              <w:jc w:val="center"/>
              <w:outlineLvl w:val="1"/>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名称</w:t>
            </w:r>
          </w:p>
        </w:tc>
        <w:tc>
          <w:tcPr>
            <w:tcW w:w="3500" w:type="dxa"/>
            <w:vAlign w:val="center"/>
          </w:tcPr>
          <w:p w14:paraId="150E191C">
            <w:pPr>
              <w:pStyle w:val="124"/>
              <w:spacing w:before="166" w:line="227" w:lineRule="auto"/>
              <w:ind w:left="0" w:leftChars="0" w:firstLine="0" w:firstLineChars="0"/>
              <w:jc w:val="center"/>
              <w:outlineLvl w:val="1"/>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规格、型号</w:t>
            </w:r>
          </w:p>
        </w:tc>
        <w:tc>
          <w:tcPr>
            <w:tcW w:w="1068" w:type="dxa"/>
            <w:vAlign w:val="center"/>
          </w:tcPr>
          <w:p w14:paraId="1888AE9C">
            <w:pPr>
              <w:pStyle w:val="124"/>
              <w:spacing w:before="166" w:line="227" w:lineRule="auto"/>
              <w:ind w:left="0" w:leftChars="0" w:firstLine="0" w:firstLineChars="0"/>
              <w:jc w:val="center"/>
              <w:outlineLvl w:val="1"/>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数量</w:t>
            </w:r>
          </w:p>
        </w:tc>
        <w:tc>
          <w:tcPr>
            <w:tcW w:w="654" w:type="dxa"/>
            <w:vAlign w:val="center"/>
          </w:tcPr>
          <w:p w14:paraId="0DD6B7DB">
            <w:pPr>
              <w:pStyle w:val="124"/>
              <w:spacing w:before="166" w:line="228" w:lineRule="auto"/>
              <w:ind w:left="0" w:leftChars="0" w:firstLine="0" w:firstLineChars="0"/>
              <w:jc w:val="center"/>
              <w:outlineLvl w:val="1"/>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单位</w:t>
            </w:r>
          </w:p>
        </w:tc>
      </w:tr>
      <w:tr w14:paraId="74193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776" w:type="dxa"/>
            <w:vMerge w:val="restart"/>
            <w:vAlign w:val="center"/>
          </w:tcPr>
          <w:p w14:paraId="635CB862">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w:t>
            </w:r>
          </w:p>
        </w:tc>
        <w:tc>
          <w:tcPr>
            <w:tcW w:w="1335" w:type="dxa"/>
            <w:vMerge w:val="restart"/>
            <w:vAlign w:val="center"/>
          </w:tcPr>
          <w:p w14:paraId="70705F45">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苹果蠹蛾和梨李小食心虫迷向散发器（高效）</w:t>
            </w:r>
          </w:p>
        </w:tc>
        <w:tc>
          <w:tcPr>
            <w:tcW w:w="3500" w:type="dxa"/>
            <w:vMerge w:val="restart"/>
            <w:vAlign w:val="center"/>
          </w:tcPr>
          <w:p w14:paraId="41EC3912">
            <w:pPr>
              <w:keepNext w:val="0"/>
              <w:keepLines w:val="0"/>
              <w:pageBreakBefore w:val="0"/>
              <w:kinsoku/>
              <w:wordWrap/>
              <w:overflowPunct/>
              <w:topLinePunct w:val="0"/>
              <w:bidi w:val="0"/>
              <w:adjustRightInd/>
              <w:snapToGrid/>
              <w:spacing w:line="500" w:lineRule="exact"/>
              <w:jc w:val="left"/>
              <w:textAlignment w:val="auto"/>
              <w:rPr>
                <w:rFonts w:hint="eastAsia"/>
                <w:b/>
                <w:bCs/>
                <w:color w:val="auto"/>
              </w:rPr>
            </w:pPr>
            <w:r>
              <w:rPr>
                <w:rFonts w:hint="eastAsia"/>
                <w:b/>
                <w:bCs/>
                <w:color w:val="auto"/>
              </w:rPr>
              <w:t>1、活性组分：反-8,反-10-十二碳烯醇、顺-8-十二碳烯乙酸酯、反-8-十二碳烯乙酸酯、顺-8-十二碳醇；</w:t>
            </w:r>
          </w:p>
          <w:p w14:paraId="0FFD5AC1">
            <w:pPr>
              <w:keepNext w:val="0"/>
              <w:keepLines w:val="0"/>
              <w:pageBreakBefore w:val="0"/>
              <w:kinsoku/>
              <w:wordWrap/>
              <w:overflowPunct/>
              <w:topLinePunct w:val="0"/>
              <w:bidi w:val="0"/>
              <w:adjustRightInd/>
              <w:snapToGrid/>
              <w:spacing w:line="500" w:lineRule="exact"/>
              <w:jc w:val="left"/>
              <w:textAlignment w:val="auto"/>
              <w:rPr>
                <w:rFonts w:hint="eastAsia"/>
                <w:b/>
                <w:bCs/>
                <w:color w:val="auto"/>
              </w:rPr>
            </w:pPr>
            <w:r>
              <w:rPr>
                <w:rFonts w:hint="eastAsia"/>
                <w:b/>
                <w:bCs/>
                <w:color w:val="auto"/>
              </w:rPr>
              <w:t>2、含量：活性组分含量440-460mg/根；</w:t>
            </w:r>
          </w:p>
          <w:p w14:paraId="6628E3A2">
            <w:pPr>
              <w:keepNext w:val="0"/>
              <w:keepLines w:val="0"/>
              <w:pageBreakBefore w:val="0"/>
              <w:kinsoku/>
              <w:wordWrap/>
              <w:overflowPunct/>
              <w:topLinePunct w:val="0"/>
              <w:bidi w:val="0"/>
              <w:adjustRightInd/>
              <w:snapToGrid/>
              <w:spacing w:line="500" w:lineRule="exact"/>
              <w:jc w:val="left"/>
              <w:textAlignment w:val="auto"/>
              <w:rPr>
                <w:rFonts w:hint="eastAsia"/>
                <w:b/>
                <w:bCs/>
                <w:color w:val="auto"/>
              </w:rPr>
            </w:pPr>
            <w:r>
              <w:rPr>
                <w:rFonts w:hint="eastAsia"/>
                <w:b/>
                <w:bCs/>
                <w:color w:val="auto"/>
              </w:rPr>
              <w:t>3、缓释载体：聚乙烯双管；</w:t>
            </w:r>
          </w:p>
          <w:p w14:paraId="500E7826">
            <w:pPr>
              <w:keepNext w:val="0"/>
              <w:keepLines w:val="0"/>
              <w:pageBreakBefore w:val="0"/>
              <w:kinsoku/>
              <w:wordWrap/>
              <w:overflowPunct/>
              <w:topLinePunct w:val="0"/>
              <w:bidi w:val="0"/>
              <w:adjustRightInd/>
              <w:snapToGrid/>
              <w:spacing w:line="500" w:lineRule="exact"/>
              <w:jc w:val="left"/>
              <w:textAlignment w:val="auto"/>
              <w:rPr>
                <w:rFonts w:hint="eastAsia"/>
                <w:b/>
                <w:bCs/>
                <w:color w:val="auto"/>
              </w:rPr>
            </w:pPr>
            <w:r>
              <w:rPr>
                <w:rFonts w:hint="eastAsia"/>
                <w:b/>
                <w:bCs/>
                <w:color w:val="auto"/>
              </w:rPr>
              <w:t>4、载体长度为200±5mm；</w:t>
            </w:r>
          </w:p>
          <w:p w14:paraId="26848181">
            <w:pPr>
              <w:keepNext w:val="0"/>
              <w:keepLines w:val="0"/>
              <w:pageBreakBefore w:val="0"/>
              <w:kinsoku/>
              <w:wordWrap/>
              <w:overflowPunct/>
              <w:topLinePunct w:val="0"/>
              <w:bidi w:val="0"/>
              <w:adjustRightInd/>
              <w:snapToGrid/>
              <w:spacing w:line="500" w:lineRule="exact"/>
              <w:jc w:val="left"/>
              <w:textAlignment w:val="auto"/>
              <w:rPr>
                <w:rFonts w:hint="eastAsia"/>
                <w:b/>
                <w:bCs/>
                <w:color w:val="auto"/>
              </w:rPr>
            </w:pPr>
            <w:r>
              <w:rPr>
                <w:rFonts w:hint="eastAsia"/>
                <w:b/>
                <w:bCs/>
                <w:color w:val="auto"/>
              </w:rPr>
              <w:t>5、持效期：6个月。</w:t>
            </w:r>
          </w:p>
          <w:p w14:paraId="106F7F44">
            <w:pPr>
              <w:keepNext w:val="0"/>
              <w:keepLines w:val="0"/>
              <w:pageBreakBefore w:val="0"/>
              <w:kinsoku/>
              <w:wordWrap/>
              <w:overflowPunct/>
              <w:topLinePunct w:val="0"/>
              <w:bidi w:val="0"/>
              <w:adjustRightInd/>
              <w:snapToGrid/>
              <w:spacing w:line="500" w:lineRule="exact"/>
              <w:jc w:val="left"/>
              <w:textAlignment w:val="auto"/>
              <w:rPr>
                <w:rFonts w:hint="default" w:ascii="仿宋" w:hAnsi="仿宋" w:eastAsia="仿宋" w:cs="仿宋"/>
                <w:b/>
                <w:bCs/>
                <w:color w:val="auto"/>
                <w:sz w:val="28"/>
                <w:szCs w:val="28"/>
                <w:lang w:val="en-US" w:eastAsia="zh-CN"/>
              </w:rPr>
            </w:pPr>
            <w:r>
              <w:rPr>
                <w:rFonts w:hint="eastAsia"/>
                <w:b/>
                <w:bCs/>
                <w:color w:val="auto"/>
              </w:rPr>
              <w:t>6、每根配套一个易挂钩。</w:t>
            </w:r>
          </w:p>
        </w:tc>
        <w:tc>
          <w:tcPr>
            <w:tcW w:w="1068" w:type="dxa"/>
            <w:vMerge w:val="restart"/>
            <w:vAlign w:val="center"/>
          </w:tcPr>
          <w:p w14:paraId="35AA11AC">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1920000</w:t>
            </w:r>
          </w:p>
        </w:tc>
        <w:tc>
          <w:tcPr>
            <w:tcW w:w="654" w:type="dxa"/>
            <w:vMerge w:val="restart"/>
            <w:vAlign w:val="center"/>
          </w:tcPr>
          <w:p w14:paraId="0BA75D29">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根</w:t>
            </w:r>
          </w:p>
        </w:tc>
      </w:tr>
      <w:tr w14:paraId="2AB26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776" w:type="dxa"/>
            <w:vMerge w:val="continue"/>
            <w:vAlign w:val="center"/>
          </w:tcPr>
          <w:p w14:paraId="1BEE51AB">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tc>
        <w:tc>
          <w:tcPr>
            <w:tcW w:w="1335" w:type="dxa"/>
            <w:vMerge w:val="continue"/>
            <w:vAlign w:val="center"/>
          </w:tcPr>
          <w:p w14:paraId="0077E4EE">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tc>
        <w:tc>
          <w:tcPr>
            <w:tcW w:w="3500" w:type="dxa"/>
            <w:vMerge w:val="continue"/>
            <w:vAlign w:val="center"/>
          </w:tcPr>
          <w:p w14:paraId="233E96A6">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p>
        </w:tc>
        <w:tc>
          <w:tcPr>
            <w:tcW w:w="1068" w:type="dxa"/>
            <w:vMerge w:val="continue"/>
            <w:vAlign w:val="center"/>
          </w:tcPr>
          <w:p w14:paraId="3A4B1095">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p>
        </w:tc>
        <w:tc>
          <w:tcPr>
            <w:tcW w:w="654" w:type="dxa"/>
            <w:vMerge w:val="continue"/>
            <w:vAlign w:val="center"/>
          </w:tcPr>
          <w:p w14:paraId="7E2B04B9">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tc>
      </w:tr>
    </w:tbl>
    <w:p w14:paraId="25278459">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p w14:paraId="2EBDBDDE">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p w14:paraId="72DD3643">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p w14:paraId="1FE88DBB">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p w14:paraId="69BFB3EF">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p w14:paraId="690B874E">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p w14:paraId="2C00795D">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p w14:paraId="306BB4FE">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p w14:paraId="070FCBE9">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p w14:paraId="2DA7937C">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sz w:val="28"/>
          <w:szCs w:val="28"/>
          <w:lang w:val="en-US" w:eastAsia="zh-CN"/>
        </w:rPr>
      </w:pPr>
    </w:p>
    <w:p w14:paraId="4BDEE850">
      <w:pPr>
        <w:spacing w:line="360" w:lineRule="auto"/>
        <w:ind w:firstLine="482" w:firstLineChars="200"/>
        <w:jc w:val="left"/>
        <w:rPr>
          <w:rFonts w:hint="eastAsia" w:ascii="仿宋" w:hAnsi="仿宋" w:eastAsia="仿宋" w:cs="仿宋"/>
          <w:b/>
          <w:bCs/>
          <w:color w:val="auto"/>
          <w:sz w:val="28"/>
          <w:szCs w:val="28"/>
          <w:lang w:val="en-US" w:eastAsia="zh-CN"/>
        </w:rPr>
      </w:pPr>
      <w:r>
        <w:rPr>
          <w:rFonts w:hint="eastAsia" w:ascii="宋体" w:hAnsi="宋体" w:eastAsia="宋体" w:cs="宋体"/>
          <w:b/>
          <w:bCs/>
          <w:color w:val="auto"/>
          <w:sz w:val="24"/>
          <w:szCs w:val="24"/>
          <w:highlight w:val="none"/>
        </w:rPr>
        <w:t>提供国家认可机构出具的该批次投标产品质量检验报告。</w:t>
      </w:r>
    </w:p>
    <w:p w14:paraId="38227CC5">
      <w:pPr>
        <w:keepNext w:val="0"/>
        <w:keepLines w:val="0"/>
        <w:pageBreakBefore w:val="0"/>
        <w:kinsoku/>
        <w:wordWrap/>
        <w:overflowPunct/>
        <w:topLinePunct w:val="0"/>
        <w:bidi w:val="0"/>
        <w:adjustRightInd/>
        <w:snapToGrid/>
        <w:spacing w:line="500" w:lineRule="exact"/>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标项四：叶城县2025年依提木孔镇核桃蛀果害虫绿色防控项目（农用药剂采购）</w:t>
      </w:r>
    </w:p>
    <w:p w14:paraId="352FB86C">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p>
    <w:tbl>
      <w:tblPr>
        <w:tblStyle w:val="38"/>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920"/>
        <w:gridCol w:w="3135"/>
        <w:gridCol w:w="1185"/>
        <w:gridCol w:w="1935"/>
      </w:tblGrid>
      <w:tr w14:paraId="2B86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6723">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color w:val="auto"/>
                <w:kern w:val="2"/>
                <w:sz w:val="28"/>
                <w:szCs w:val="28"/>
                <w:lang w:val="en-US" w:eastAsia="zh-CN" w:bidi="ar-SA"/>
              </w:rPr>
            </w:pPr>
            <w:r>
              <w:rPr>
                <w:rFonts w:hint="default" w:ascii="仿宋" w:hAnsi="仿宋" w:eastAsia="仿宋" w:cs="仿宋"/>
                <w:b/>
                <w:bCs/>
                <w:color w:val="auto"/>
                <w:kern w:val="2"/>
                <w:sz w:val="28"/>
                <w:szCs w:val="28"/>
                <w:lang w:val="en-US" w:eastAsia="zh-CN" w:bidi="ar-SA"/>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F992">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kern w:val="2"/>
                <w:sz w:val="28"/>
                <w:szCs w:val="28"/>
                <w:lang w:val="en-US" w:eastAsia="zh-CN" w:bidi="ar-SA"/>
              </w:rPr>
            </w:pPr>
            <w:r>
              <w:rPr>
                <w:rFonts w:hint="default" w:ascii="仿宋" w:hAnsi="仿宋" w:eastAsia="仿宋" w:cs="仿宋"/>
                <w:b/>
                <w:bCs/>
                <w:color w:val="auto"/>
                <w:kern w:val="2"/>
                <w:sz w:val="28"/>
                <w:szCs w:val="28"/>
                <w:lang w:val="en-US" w:eastAsia="zh-CN" w:bidi="ar-SA"/>
              </w:rPr>
              <w:t>名称</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5737">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kern w:val="2"/>
                <w:sz w:val="28"/>
                <w:szCs w:val="28"/>
                <w:lang w:val="en-US" w:eastAsia="zh-CN" w:bidi="ar-SA"/>
              </w:rPr>
            </w:pPr>
            <w:r>
              <w:rPr>
                <w:rFonts w:hint="default" w:ascii="仿宋" w:hAnsi="仿宋" w:eastAsia="仿宋" w:cs="仿宋"/>
                <w:b/>
                <w:bCs/>
                <w:color w:val="auto"/>
                <w:kern w:val="2"/>
                <w:sz w:val="28"/>
                <w:szCs w:val="28"/>
                <w:lang w:val="en-US" w:eastAsia="zh-CN" w:bidi="ar-SA"/>
              </w:rPr>
              <w:t>规格型号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1DA4">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数量</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D7EF">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单位</w:t>
            </w:r>
          </w:p>
        </w:tc>
      </w:tr>
      <w:tr w14:paraId="14F3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8581">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default" w:ascii="仿宋" w:hAnsi="仿宋" w:eastAsia="仿宋" w:cs="仿宋"/>
                <w:b/>
                <w:bCs/>
                <w:color w:val="auto"/>
                <w:sz w:val="28"/>
                <w:szCs w:val="28"/>
                <w:lang w:val="en-US" w:eastAsia="zh-CN"/>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9ACE">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default" w:ascii="仿宋" w:hAnsi="仿宋" w:eastAsia="仿宋" w:cs="仿宋"/>
                <w:b/>
                <w:bCs/>
                <w:color w:val="auto"/>
                <w:sz w:val="28"/>
                <w:szCs w:val="28"/>
                <w:lang w:val="en-US" w:eastAsia="zh-CN"/>
              </w:rPr>
              <w:t>药剂（茚虫威）</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3D62">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总有效成分含量30%，剂型：悬浮剂</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77A2">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DD8A">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公斤</w:t>
            </w:r>
          </w:p>
        </w:tc>
      </w:tr>
      <w:tr w14:paraId="727E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5823">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default" w:ascii="仿宋" w:hAnsi="仿宋" w:eastAsia="仿宋" w:cs="仿宋"/>
                <w:b/>
                <w:bCs/>
                <w:color w:val="auto"/>
                <w:sz w:val="28"/>
                <w:szCs w:val="28"/>
                <w:lang w:val="en-US" w:eastAsia="zh-CN"/>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3905">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default" w:ascii="仿宋" w:hAnsi="仿宋" w:eastAsia="仿宋" w:cs="仿宋"/>
                <w:b/>
                <w:bCs/>
                <w:color w:val="auto"/>
                <w:sz w:val="28"/>
                <w:szCs w:val="28"/>
                <w:lang w:val="en-US" w:eastAsia="zh-CN"/>
              </w:rPr>
              <w:t>药剂（氯虫苯甲酰胺）</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A67F">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总有效成分含量35%，剂型：水分散粒剂</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8FE9">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A2A3">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公斤</w:t>
            </w:r>
          </w:p>
        </w:tc>
      </w:tr>
      <w:tr w14:paraId="214F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D1BF">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default" w:ascii="仿宋" w:hAnsi="仿宋" w:eastAsia="仿宋" w:cs="仿宋"/>
                <w:b/>
                <w:bCs/>
                <w:color w:val="auto"/>
                <w:sz w:val="28"/>
                <w:szCs w:val="28"/>
                <w:lang w:val="en-US" w:eastAsia="zh-CN"/>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8FC6">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default" w:ascii="仿宋" w:hAnsi="仿宋" w:eastAsia="仿宋" w:cs="仿宋"/>
                <w:b/>
                <w:bCs/>
                <w:color w:val="auto"/>
                <w:sz w:val="28"/>
                <w:szCs w:val="28"/>
                <w:lang w:val="en-US" w:eastAsia="zh-CN"/>
              </w:rPr>
              <w:t>沉降剂（尿素）</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916C">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易于融化的小颗粒，总含氮量≥46%，粒径范围：0.85mm-2.80mm，规格：40千克/袋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F178">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32000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5594">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公斤</w:t>
            </w:r>
          </w:p>
        </w:tc>
      </w:tr>
    </w:tbl>
    <w:p w14:paraId="36282D77">
      <w:pPr>
        <w:spacing w:line="360" w:lineRule="auto"/>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注：在中国农药信息网登记注册且所有药剂配比需大于1：</w:t>
      </w:r>
      <w:r>
        <w:rPr>
          <w:rFonts w:hint="eastAsia" w:ascii="宋体" w:hAnsi="宋体" w:eastAsia="宋体" w:cs="宋体"/>
          <w:b/>
          <w:bCs/>
          <w:color w:val="auto"/>
          <w:sz w:val="24"/>
          <w:szCs w:val="24"/>
          <w:highlight w:val="none"/>
        </w:rPr>
        <w:t>5000倍液</w:t>
      </w:r>
    </w:p>
    <w:p w14:paraId="20970F08">
      <w:pPr>
        <w:pStyle w:val="6"/>
        <w:rPr>
          <w:rFonts w:hint="eastAsia" w:eastAsia="宋体"/>
          <w:color w:val="auto"/>
          <w:lang w:val="en-US" w:eastAsia="zh-CN"/>
        </w:rPr>
      </w:pPr>
    </w:p>
    <w:p w14:paraId="0F6F4860">
      <w:pPr>
        <w:spacing w:line="360" w:lineRule="auto"/>
        <w:jc w:val="left"/>
        <w:rPr>
          <w:rFonts w:hint="eastAsia" w:ascii="仿宋" w:hAnsi="仿宋" w:eastAsia="仿宋" w:cs="仿宋"/>
          <w:b/>
          <w:bCs w:val="0"/>
          <w:color w:val="auto"/>
          <w:kern w:val="44"/>
          <w:sz w:val="32"/>
          <w:szCs w:val="20"/>
          <w:lang w:val="en-US" w:eastAsia="zh-CN" w:bidi="ar-SA"/>
        </w:rPr>
      </w:pPr>
      <w:r>
        <w:rPr>
          <w:rFonts w:hint="eastAsia" w:ascii="宋体" w:hAnsi="宋体" w:eastAsia="宋体" w:cs="宋体"/>
          <w:b/>
          <w:bCs/>
          <w:color w:val="auto"/>
          <w:sz w:val="24"/>
          <w:szCs w:val="24"/>
          <w:highlight w:val="none"/>
        </w:rPr>
        <w:t>提供国家认可机构出具的该批次投标产品质量检验报告。</w:t>
      </w:r>
    </w:p>
    <w:p w14:paraId="1155BEF2">
      <w:pPr>
        <w:pStyle w:val="4"/>
        <w:keepNext w:val="0"/>
        <w:keepLines w:val="0"/>
        <w:rPr>
          <w:rFonts w:hint="eastAsia" w:ascii="仿宋" w:hAnsi="仿宋" w:eastAsia="仿宋" w:cs="仿宋"/>
          <w:color w:val="auto"/>
          <w:sz w:val="32"/>
          <w:szCs w:val="28"/>
          <w:lang w:val="en-US" w:eastAsia="zh-CN"/>
        </w:rPr>
      </w:pPr>
      <w:bookmarkStart w:id="633" w:name="_Toc856"/>
      <w:bookmarkStart w:id="634" w:name="_Toc8257"/>
    </w:p>
    <w:p w14:paraId="3A8093E0">
      <w:pPr>
        <w:pStyle w:val="4"/>
        <w:keepNext w:val="0"/>
        <w:keepLines w:val="0"/>
        <w:rPr>
          <w:rFonts w:hint="eastAsia" w:ascii="仿宋" w:hAnsi="仿宋" w:eastAsia="仿宋" w:cs="仿宋"/>
          <w:color w:val="auto"/>
          <w:sz w:val="32"/>
          <w:szCs w:val="28"/>
          <w:lang w:val="zh-CN"/>
        </w:rPr>
      </w:pPr>
      <w:r>
        <w:rPr>
          <w:rFonts w:hint="eastAsia" w:ascii="仿宋" w:hAnsi="仿宋" w:eastAsia="仿宋" w:cs="仿宋"/>
          <w:color w:val="auto"/>
          <w:sz w:val="32"/>
          <w:szCs w:val="28"/>
          <w:lang w:val="en-US" w:eastAsia="zh-CN"/>
        </w:rPr>
        <w:t>技术</w:t>
      </w:r>
      <w:r>
        <w:rPr>
          <w:rFonts w:hint="eastAsia" w:ascii="仿宋" w:hAnsi="仿宋" w:eastAsia="仿宋" w:cs="仿宋"/>
          <w:color w:val="auto"/>
          <w:sz w:val="32"/>
          <w:szCs w:val="28"/>
          <w:lang w:val="zh-CN"/>
        </w:rPr>
        <w:t>要求</w:t>
      </w:r>
      <w:bookmarkEnd w:id="633"/>
      <w:bookmarkEnd w:id="634"/>
    </w:p>
    <w:p w14:paraId="7336AD1E">
      <w:pPr>
        <w:jc w:val="left"/>
        <w:outlineLvl w:val="9"/>
        <w:rPr>
          <w:rFonts w:hint="eastAsia" w:ascii="仿宋" w:hAnsi="仿宋" w:eastAsia="仿宋" w:cs="仿宋"/>
          <w:b/>
          <w:bCs w:val="0"/>
          <w:color w:val="auto"/>
          <w:kern w:val="44"/>
          <w:sz w:val="32"/>
          <w:szCs w:val="20"/>
          <w:lang w:val="en-US" w:eastAsia="zh-CN" w:bidi="ar-SA"/>
        </w:rPr>
      </w:pPr>
      <w:r>
        <w:rPr>
          <w:rFonts w:hint="eastAsia" w:ascii="仿宋" w:hAnsi="仿宋" w:eastAsia="仿宋" w:cs="仿宋"/>
          <w:b/>
          <w:bCs w:val="0"/>
          <w:color w:val="auto"/>
          <w:kern w:val="44"/>
          <w:sz w:val="32"/>
          <w:szCs w:val="20"/>
          <w:lang w:val="en-US" w:eastAsia="zh-CN" w:bidi="ar-SA"/>
        </w:rPr>
        <w:t>标项一：</w:t>
      </w:r>
    </w:p>
    <w:p w14:paraId="59CDE88D">
      <w:pPr>
        <w:jc w:val="left"/>
        <w:outlineLvl w:val="9"/>
        <w:rPr>
          <w:rFonts w:hint="eastAsia" w:ascii="仿宋" w:hAnsi="仿宋" w:eastAsia="仿宋" w:cs="仿宋"/>
          <w:b/>
          <w:bCs w:val="0"/>
          <w:color w:val="auto"/>
          <w:kern w:val="44"/>
          <w:sz w:val="32"/>
          <w:szCs w:val="20"/>
          <w:lang w:val="en-US" w:eastAsia="zh-CN" w:bidi="ar-SA"/>
        </w:rPr>
      </w:pPr>
      <w:r>
        <w:rPr>
          <w:rFonts w:hint="eastAsia" w:ascii="仿宋" w:hAnsi="仿宋" w:eastAsia="仿宋" w:cs="仿宋"/>
          <w:b/>
          <w:bCs w:val="0"/>
          <w:color w:val="auto"/>
          <w:kern w:val="44"/>
          <w:sz w:val="32"/>
          <w:szCs w:val="20"/>
          <w:lang w:val="en-US" w:eastAsia="zh-CN" w:bidi="ar-SA"/>
        </w:rPr>
        <w:t>1、机型设备要求，飞机性能必须完好、安全，喷药设备先进、喷洒设备的药泵、控制阀、喷杆等关键部件宜选用不锈钢且耐磨损的材料，并确保喷洒设备的连续不间断使用；喷洒设备的控制阀与药泵应形成独立控制体系，不受航空器飞行速度影响。带有静电技术、采用低容量喷雾，每亩300克-500克药液，飞防过程中喷洒均匀。8万亩分两次飞防，每次作业面积为4万亩，具体飞防时间甲方指定时间地点。</w:t>
      </w:r>
    </w:p>
    <w:p w14:paraId="0798970A">
      <w:pPr>
        <w:jc w:val="left"/>
        <w:outlineLvl w:val="9"/>
        <w:rPr>
          <w:rFonts w:hint="eastAsia" w:ascii="仿宋" w:hAnsi="仿宋" w:eastAsia="仿宋" w:cs="仿宋"/>
          <w:b/>
          <w:bCs w:val="0"/>
          <w:color w:val="auto"/>
          <w:kern w:val="44"/>
          <w:sz w:val="32"/>
          <w:szCs w:val="20"/>
          <w:lang w:val="en-US" w:eastAsia="zh-CN" w:bidi="ar-SA"/>
        </w:rPr>
      </w:pPr>
      <w:r>
        <w:rPr>
          <w:rFonts w:hint="eastAsia" w:ascii="仿宋" w:hAnsi="仿宋" w:eastAsia="仿宋" w:cs="仿宋"/>
          <w:b/>
          <w:bCs w:val="0"/>
          <w:color w:val="auto"/>
          <w:kern w:val="44"/>
          <w:sz w:val="32"/>
          <w:szCs w:val="20"/>
          <w:lang w:val="en-US" w:eastAsia="zh-CN" w:bidi="ar-SA"/>
        </w:rPr>
        <w:t>2、机型的选择要求依据《新疆维吾尔自治区通用航空器喷雾施药防治林业有害生物技术规程》执行。</w:t>
      </w:r>
    </w:p>
    <w:p w14:paraId="209F3910">
      <w:pPr>
        <w:jc w:val="left"/>
        <w:outlineLvl w:val="9"/>
        <w:rPr>
          <w:rFonts w:hint="eastAsia" w:ascii="仿宋" w:hAnsi="仿宋" w:eastAsia="仿宋" w:cs="仿宋"/>
          <w:b/>
          <w:bCs w:val="0"/>
          <w:color w:val="auto"/>
          <w:kern w:val="44"/>
          <w:sz w:val="32"/>
          <w:szCs w:val="20"/>
          <w:lang w:val="en-US" w:eastAsia="zh-CN" w:bidi="ar-SA"/>
        </w:rPr>
      </w:pPr>
      <w:r>
        <w:rPr>
          <w:rFonts w:hint="eastAsia" w:ascii="仿宋" w:hAnsi="仿宋" w:eastAsia="仿宋" w:cs="仿宋"/>
          <w:b/>
          <w:bCs w:val="0"/>
          <w:color w:val="auto"/>
          <w:kern w:val="44"/>
          <w:sz w:val="32"/>
          <w:szCs w:val="20"/>
          <w:lang w:val="en-US" w:eastAsia="zh-CN" w:bidi="ar-SA"/>
        </w:rPr>
        <w:t>3、中标方依据《新疆维吾尔自治</w:t>
      </w:r>
    </w:p>
    <w:p w14:paraId="6027BE8F">
      <w:pPr>
        <w:jc w:val="left"/>
        <w:outlineLvl w:val="9"/>
        <w:rPr>
          <w:rFonts w:hint="eastAsia" w:ascii="仿宋" w:hAnsi="仿宋" w:eastAsia="仿宋" w:cs="仿宋"/>
          <w:b/>
          <w:bCs w:val="0"/>
          <w:color w:val="auto"/>
          <w:kern w:val="44"/>
          <w:sz w:val="32"/>
          <w:szCs w:val="20"/>
          <w:lang w:val="en-US" w:eastAsia="zh-CN" w:bidi="ar-SA"/>
        </w:rPr>
      </w:pPr>
      <w:r>
        <w:rPr>
          <w:rFonts w:hint="eastAsia" w:ascii="仿宋" w:hAnsi="仿宋" w:eastAsia="仿宋" w:cs="仿宋"/>
          <w:b/>
          <w:bCs w:val="0"/>
          <w:color w:val="auto"/>
          <w:kern w:val="44"/>
          <w:sz w:val="32"/>
          <w:szCs w:val="20"/>
          <w:lang w:val="en-US" w:eastAsia="zh-CN" w:bidi="ar-SA"/>
        </w:rPr>
        <w:t>区通用航空器喷雾施药防治林业有害生物技术规程》的相关要求在中标后7天内及时选定机场。</w:t>
      </w:r>
    </w:p>
    <w:p w14:paraId="6CF07280">
      <w:pPr>
        <w:jc w:val="left"/>
        <w:outlineLvl w:val="9"/>
        <w:rPr>
          <w:rFonts w:hint="eastAsia" w:ascii="仿宋" w:hAnsi="仿宋" w:eastAsia="仿宋" w:cs="仿宋"/>
          <w:b/>
          <w:bCs w:val="0"/>
          <w:color w:val="auto"/>
          <w:kern w:val="44"/>
          <w:sz w:val="32"/>
          <w:szCs w:val="20"/>
          <w:lang w:val="en-US" w:eastAsia="zh-CN" w:bidi="ar-SA"/>
        </w:rPr>
      </w:pPr>
      <w:r>
        <w:rPr>
          <w:rFonts w:hint="eastAsia" w:ascii="仿宋" w:hAnsi="仿宋" w:eastAsia="仿宋" w:cs="仿宋"/>
          <w:b/>
          <w:bCs w:val="0"/>
          <w:color w:val="auto"/>
          <w:kern w:val="44"/>
          <w:sz w:val="32"/>
          <w:szCs w:val="20"/>
          <w:lang w:val="en-US" w:eastAsia="zh-CN" w:bidi="ar-SA"/>
        </w:rPr>
        <w:t>4、中标方需承担前期飞防周期内的停机费、安保费以及飞行期间加药、监测等相关人员产生的费用。</w:t>
      </w:r>
    </w:p>
    <w:p w14:paraId="5429EA70">
      <w:pPr>
        <w:jc w:val="left"/>
        <w:outlineLvl w:val="9"/>
        <w:rPr>
          <w:rFonts w:hint="eastAsia" w:ascii="仿宋" w:hAnsi="仿宋" w:eastAsia="仿宋" w:cs="仿宋"/>
          <w:b/>
          <w:bCs w:val="0"/>
          <w:color w:val="auto"/>
          <w:kern w:val="44"/>
          <w:sz w:val="32"/>
          <w:szCs w:val="20"/>
          <w:lang w:val="en-US" w:eastAsia="zh-CN" w:bidi="ar-SA"/>
        </w:rPr>
      </w:pPr>
      <w:r>
        <w:rPr>
          <w:rFonts w:hint="eastAsia" w:ascii="仿宋" w:hAnsi="仿宋" w:eastAsia="仿宋" w:cs="仿宋"/>
          <w:b/>
          <w:bCs w:val="0"/>
          <w:color w:val="auto"/>
          <w:kern w:val="44"/>
          <w:sz w:val="32"/>
          <w:szCs w:val="20"/>
          <w:lang w:val="en-US" w:eastAsia="zh-CN" w:bidi="ar-SA"/>
        </w:rPr>
        <w:t>5、中标方需承诺在飞防周期内，按照招标方要求保证飞机随调随到，飞防主要以黄翅蛾为主，具体以测报为准。</w:t>
      </w:r>
    </w:p>
    <w:p w14:paraId="2C5FFF49">
      <w:pPr>
        <w:jc w:val="both"/>
        <w:outlineLvl w:val="9"/>
        <w:rPr>
          <w:rFonts w:hint="default" w:ascii="仿宋" w:hAnsi="仿宋" w:eastAsia="仿宋" w:cs="仿宋"/>
          <w:b/>
          <w:color w:val="auto"/>
          <w:kern w:val="44"/>
          <w:sz w:val="32"/>
          <w:szCs w:val="20"/>
          <w:lang w:val="en-US" w:eastAsia="zh-CN" w:bidi="ar-SA"/>
        </w:rPr>
      </w:pPr>
      <w:r>
        <w:rPr>
          <w:rFonts w:hint="eastAsia" w:ascii="仿宋" w:hAnsi="仿宋" w:eastAsia="仿宋" w:cs="仿宋"/>
          <w:b/>
          <w:color w:val="auto"/>
          <w:kern w:val="44"/>
          <w:sz w:val="32"/>
          <w:szCs w:val="20"/>
          <w:lang w:val="en-US" w:eastAsia="zh-CN" w:bidi="ar-SA"/>
        </w:rPr>
        <w:t>6、</w:t>
      </w:r>
      <w:r>
        <w:rPr>
          <w:rFonts w:hint="default" w:ascii="仿宋" w:hAnsi="仿宋" w:eastAsia="仿宋" w:cs="仿宋"/>
          <w:b/>
          <w:color w:val="auto"/>
          <w:kern w:val="44"/>
          <w:sz w:val="32"/>
          <w:szCs w:val="20"/>
          <w:lang w:val="en-US" w:eastAsia="zh-CN" w:bidi="ar-SA"/>
        </w:rPr>
        <w:t>投标人</w:t>
      </w:r>
      <w:r>
        <w:rPr>
          <w:rFonts w:hint="eastAsia" w:ascii="仿宋" w:hAnsi="仿宋" w:eastAsia="仿宋" w:cs="仿宋"/>
          <w:b/>
          <w:color w:val="auto"/>
          <w:kern w:val="44"/>
          <w:sz w:val="32"/>
          <w:szCs w:val="20"/>
          <w:lang w:val="en-US" w:eastAsia="zh-CN" w:bidi="ar-SA"/>
        </w:rPr>
        <w:t>中标后</w:t>
      </w:r>
      <w:r>
        <w:rPr>
          <w:rFonts w:hint="default" w:ascii="仿宋" w:hAnsi="仿宋" w:eastAsia="仿宋" w:cs="仿宋"/>
          <w:b/>
          <w:color w:val="auto"/>
          <w:kern w:val="44"/>
          <w:sz w:val="32"/>
          <w:szCs w:val="20"/>
          <w:lang w:val="en-US" w:eastAsia="zh-CN" w:bidi="ar-SA"/>
        </w:rPr>
        <w:t>须</w:t>
      </w:r>
      <w:r>
        <w:rPr>
          <w:rFonts w:hint="eastAsia" w:ascii="仿宋" w:hAnsi="仿宋" w:eastAsia="仿宋" w:cs="仿宋"/>
          <w:b/>
          <w:color w:val="auto"/>
          <w:kern w:val="44"/>
          <w:sz w:val="32"/>
          <w:szCs w:val="20"/>
          <w:lang w:val="en-US" w:eastAsia="zh-CN" w:bidi="ar-SA"/>
        </w:rPr>
        <w:t>办理提供</w:t>
      </w:r>
      <w:r>
        <w:rPr>
          <w:rFonts w:hint="default" w:ascii="仿宋" w:hAnsi="仿宋" w:eastAsia="仿宋" w:cs="仿宋"/>
          <w:b/>
          <w:color w:val="auto"/>
          <w:kern w:val="44"/>
          <w:sz w:val="32"/>
          <w:szCs w:val="20"/>
          <w:lang w:val="en-US" w:eastAsia="zh-CN" w:bidi="ar-SA"/>
        </w:rPr>
        <w:t>喀什所在区域军、地航空管制部门许可文件；</w:t>
      </w:r>
    </w:p>
    <w:p w14:paraId="361A582A">
      <w:pPr>
        <w:jc w:val="left"/>
        <w:outlineLvl w:val="9"/>
        <w:rPr>
          <w:rFonts w:hint="eastAsia" w:ascii="仿宋" w:hAnsi="仿宋" w:eastAsia="仿宋" w:cs="仿宋"/>
          <w:b/>
          <w:bCs w:val="0"/>
          <w:color w:val="auto"/>
          <w:kern w:val="44"/>
          <w:sz w:val="32"/>
          <w:szCs w:val="20"/>
          <w:lang w:val="en-US" w:eastAsia="zh-CN" w:bidi="ar-SA"/>
        </w:rPr>
      </w:pPr>
      <w:r>
        <w:rPr>
          <w:rFonts w:hint="eastAsia" w:ascii="仿宋" w:hAnsi="仿宋" w:eastAsia="仿宋" w:cs="仿宋"/>
          <w:b/>
          <w:bCs w:val="0"/>
          <w:color w:val="auto"/>
          <w:kern w:val="44"/>
          <w:sz w:val="32"/>
          <w:szCs w:val="20"/>
          <w:lang w:val="en-US" w:eastAsia="zh-CN" w:bidi="ar-SA"/>
        </w:rPr>
        <w:t xml:space="preserve">7、飞防作业每个航带必须重叠5%。 </w:t>
      </w:r>
    </w:p>
    <w:p w14:paraId="4B2AA2B9">
      <w:pPr>
        <w:jc w:val="center"/>
        <w:outlineLvl w:val="9"/>
        <w:rPr>
          <w:rFonts w:hint="eastAsia" w:ascii="仿宋" w:hAnsi="仿宋" w:eastAsia="仿宋" w:cs="仿宋"/>
          <w:b/>
          <w:color w:val="auto"/>
          <w:kern w:val="44"/>
          <w:sz w:val="32"/>
          <w:szCs w:val="20"/>
          <w:lang w:val="en-US" w:eastAsia="zh-CN" w:bidi="ar-SA"/>
        </w:rPr>
      </w:pPr>
    </w:p>
    <w:p w14:paraId="442F0921">
      <w:pPr>
        <w:jc w:val="both"/>
        <w:outlineLvl w:val="9"/>
        <w:rPr>
          <w:rFonts w:hint="eastAsia" w:ascii="仿宋" w:hAnsi="仿宋" w:eastAsia="仿宋" w:cs="仿宋"/>
          <w:b/>
          <w:color w:val="auto"/>
          <w:kern w:val="44"/>
          <w:sz w:val="32"/>
          <w:szCs w:val="20"/>
          <w:lang w:val="en-US" w:eastAsia="zh-CN" w:bidi="ar-SA"/>
        </w:rPr>
      </w:pPr>
    </w:p>
    <w:p w14:paraId="3AA772B1">
      <w:pPr>
        <w:jc w:val="both"/>
        <w:outlineLvl w:val="9"/>
        <w:rPr>
          <w:rFonts w:hint="eastAsia" w:ascii="仿宋" w:hAnsi="仿宋" w:eastAsia="仿宋" w:cs="仿宋"/>
          <w:b/>
          <w:color w:val="auto"/>
          <w:kern w:val="44"/>
          <w:sz w:val="32"/>
          <w:szCs w:val="20"/>
          <w:lang w:val="en-US" w:eastAsia="zh-CN" w:bidi="ar-SA"/>
        </w:rPr>
      </w:pPr>
      <w:r>
        <w:rPr>
          <w:rFonts w:hint="eastAsia" w:ascii="仿宋" w:hAnsi="仿宋" w:eastAsia="仿宋" w:cs="仿宋"/>
          <w:b/>
          <w:color w:val="auto"/>
          <w:kern w:val="44"/>
          <w:sz w:val="32"/>
          <w:szCs w:val="20"/>
          <w:lang w:val="en-US" w:eastAsia="zh-CN" w:bidi="ar-SA"/>
        </w:rPr>
        <w:t>标项二：</w:t>
      </w:r>
    </w:p>
    <w:p w14:paraId="09C2549E">
      <w:pPr>
        <w:jc w:val="both"/>
        <w:outlineLvl w:val="9"/>
        <w:rPr>
          <w:rFonts w:hint="eastAsia" w:ascii="仿宋" w:hAnsi="仿宋" w:eastAsia="仿宋" w:cs="仿宋"/>
          <w:b/>
          <w:color w:val="auto"/>
          <w:kern w:val="44"/>
          <w:sz w:val="32"/>
          <w:szCs w:val="20"/>
          <w:lang w:val="en-US" w:eastAsia="zh-CN" w:bidi="ar-SA"/>
        </w:rPr>
      </w:pPr>
      <w:bookmarkStart w:id="1215" w:name="_GoBack"/>
      <w:bookmarkEnd w:id="1215"/>
      <w:r>
        <w:rPr>
          <w:rFonts w:hint="eastAsia" w:ascii="仿宋" w:hAnsi="仿宋" w:eastAsia="仿宋" w:cs="仿宋"/>
          <w:b/>
          <w:color w:val="auto"/>
          <w:kern w:val="44"/>
          <w:sz w:val="32"/>
          <w:szCs w:val="20"/>
          <w:lang w:val="en-US" w:eastAsia="zh-CN" w:bidi="ar-SA"/>
        </w:rPr>
        <w:t>根据航空安全需要，服务平台须能够支撑飞防项目完整监理流程，主要包括实时作业实时监测、历史作业随时回溯、作业架次即期计量评估、实时作业督导、作业监理报告等；作业监测的架次数据应包含起降点坐标、起飞时间、降落时间、喷施时长、喷施里程、平均喷施航速、平均喷施航高、平均喷施压强、平均瞬时气温、平均瞬时流量、总喷施药量、总喷施面积、单亩施药量等；飞机施药架次航带覆盖图须包括架次飞行航迹、实测喷洒幅宽的清晰喷施航带、起降点、避让点等数据信息；支持每秒次频率的飞机空中作业数据采集监测，该实时作业数据须包括瞬时作业时间（精确到秒）、瞬时喷施流量、瞬时喷施压强、瞬时喷施环境气温与湿度、瞬时喷施覆盖位置、作业飞机信息等；具备飞行员驾驶舱专用且与机载监测设备配套的无延迟实时同步无线监测仪，供飞行员按做作业规范实时调整喷施作业操作；支持在沙漠地带等无移动网络区域内长期持续脱机工作模式。</w:t>
      </w:r>
    </w:p>
    <w:p w14:paraId="6D2C4BBC">
      <w:pPr>
        <w:pStyle w:val="2"/>
        <w:ind w:left="0" w:leftChars="0" w:firstLine="0" w:firstLineChars="0"/>
        <w:rPr>
          <w:rFonts w:hint="eastAsia"/>
          <w:color w:val="auto"/>
          <w:lang w:val="en-US" w:eastAsia="zh-CN"/>
        </w:rPr>
      </w:pPr>
    </w:p>
    <w:p w14:paraId="1308367F">
      <w:pPr>
        <w:rPr>
          <w:rFonts w:hint="eastAsia" w:ascii="仿宋" w:hAnsi="仿宋" w:eastAsia="仿宋" w:cs="仿宋"/>
          <w:b/>
          <w:bCs w:val="0"/>
          <w:color w:val="auto"/>
          <w:kern w:val="44"/>
          <w:sz w:val="32"/>
          <w:szCs w:val="20"/>
          <w:lang w:val="en-US" w:eastAsia="zh-CN" w:bidi="ar-SA"/>
        </w:rPr>
      </w:pPr>
      <w:r>
        <w:rPr>
          <w:rFonts w:hint="eastAsia" w:ascii="仿宋" w:hAnsi="仿宋" w:eastAsia="仿宋" w:cs="仿宋"/>
          <w:b/>
          <w:bCs w:val="0"/>
          <w:color w:val="auto"/>
          <w:kern w:val="44"/>
          <w:sz w:val="32"/>
          <w:szCs w:val="20"/>
          <w:lang w:val="en-US" w:eastAsia="zh-CN" w:bidi="ar-SA"/>
        </w:rPr>
        <w:br w:type="page"/>
      </w:r>
    </w:p>
    <w:p w14:paraId="1861EBCA">
      <w:pPr>
        <w:jc w:val="center"/>
        <w:outlineLvl w:val="9"/>
        <w:rPr>
          <w:rFonts w:hint="default" w:ascii="仿宋" w:hAnsi="仿宋" w:eastAsia="仿宋" w:cs="仿宋"/>
          <w:b/>
          <w:bCs w:val="0"/>
          <w:color w:val="auto"/>
          <w:kern w:val="44"/>
          <w:sz w:val="32"/>
          <w:szCs w:val="20"/>
          <w:lang w:val="en-US" w:eastAsia="zh-CN" w:bidi="ar-SA"/>
        </w:rPr>
      </w:pPr>
      <w:r>
        <w:rPr>
          <w:rFonts w:hint="eastAsia" w:ascii="仿宋" w:hAnsi="仿宋" w:eastAsia="仿宋" w:cs="仿宋"/>
          <w:b/>
          <w:bCs w:val="0"/>
          <w:color w:val="auto"/>
          <w:kern w:val="44"/>
          <w:sz w:val="32"/>
          <w:szCs w:val="20"/>
          <w:lang w:val="en-US" w:eastAsia="zh-CN" w:bidi="ar-SA"/>
        </w:rPr>
        <w:t>商务要求</w:t>
      </w:r>
    </w:p>
    <w:p w14:paraId="1D61B76C">
      <w:pPr>
        <w:jc w:val="left"/>
        <w:outlineLvl w:val="9"/>
        <w:rPr>
          <w:rFonts w:hint="eastAsia" w:ascii="仿宋" w:hAnsi="仿宋" w:eastAsia="仿宋" w:cs="仿宋"/>
          <w:b/>
          <w:bCs w:val="0"/>
          <w:color w:val="auto"/>
          <w:kern w:val="44"/>
          <w:sz w:val="32"/>
          <w:szCs w:val="20"/>
          <w:lang w:val="en-US" w:eastAsia="zh-CN" w:bidi="ar-SA"/>
        </w:rPr>
      </w:pPr>
      <w:r>
        <w:rPr>
          <w:rFonts w:hint="eastAsia" w:ascii="仿宋" w:hAnsi="仿宋" w:eastAsia="仿宋" w:cs="仿宋"/>
          <w:b/>
          <w:bCs w:val="0"/>
          <w:color w:val="auto"/>
          <w:kern w:val="44"/>
          <w:sz w:val="32"/>
          <w:szCs w:val="20"/>
          <w:lang w:val="en-US" w:eastAsia="zh-CN" w:bidi="ar-SA"/>
        </w:rPr>
        <w:t>1.投标人所报价格应为含税全包价，包括本项目的包装、保险、运输、装卸、安装、检测、税费、验收、保修等一切费用。</w:t>
      </w:r>
    </w:p>
    <w:p w14:paraId="6A037DBE">
      <w:pPr>
        <w:pStyle w:val="5"/>
        <w:outlineLvl w:val="9"/>
        <w:rPr>
          <w:rFonts w:hint="eastAsia" w:ascii="仿宋" w:hAnsi="仿宋" w:eastAsia="仿宋" w:cs="仿宋"/>
          <w:b/>
          <w:bCs w:val="0"/>
          <w:color w:val="auto"/>
          <w:kern w:val="44"/>
          <w:sz w:val="32"/>
          <w:szCs w:val="20"/>
          <w:lang w:val="en-US" w:eastAsia="zh-CN" w:bidi="ar-SA"/>
        </w:rPr>
      </w:pPr>
      <w:r>
        <w:rPr>
          <w:rFonts w:hint="eastAsia" w:ascii="仿宋" w:hAnsi="仿宋" w:eastAsia="仿宋" w:cs="仿宋"/>
          <w:b/>
          <w:color w:val="auto"/>
          <w:kern w:val="44"/>
          <w:sz w:val="32"/>
          <w:szCs w:val="20"/>
          <w:lang w:val="en-US" w:eastAsia="zh-CN" w:bidi="ar-SA"/>
        </w:rPr>
        <w:t>2.</w:t>
      </w:r>
      <w:r>
        <w:rPr>
          <w:rFonts w:hint="eastAsia" w:ascii="仿宋" w:hAnsi="仿宋" w:eastAsia="仿宋" w:cs="仿宋"/>
          <w:b/>
          <w:bCs w:val="0"/>
          <w:color w:val="auto"/>
          <w:kern w:val="44"/>
          <w:sz w:val="32"/>
          <w:szCs w:val="20"/>
          <w:lang w:val="en-US" w:eastAsia="zh-CN" w:bidi="ar-SA"/>
        </w:rPr>
        <w:t>中标方需缴纳10%的履约保证金方可签订合同。</w:t>
      </w:r>
    </w:p>
    <w:p w14:paraId="6403CC39">
      <w:pPr>
        <w:rPr>
          <w:rFonts w:hint="default"/>
          <w:color w:val="auto"/>
          <w:lang w:val="en-US" w:eastAsia="zh-CN"/>
        </w:rPr>
      </w:pPr>
    </w:p>
    <w:p w14:paraId="5FDFB388">
      <w:pPr>
        <w:numPr>
          <w:ilvl w:val="0"/>
          <w:numId w:val="0"/>
        </w:numPr>
        <w:ind w:leftChars="0"/>
        <w:rPr>
          <w:rFonts w:hint="eastAsia" w:ascii="仿宋" w:hAnsi="仿宋" w:eastAsia="仿宋" w:cs="仿宋"/>
          <w:b/>
          <w:color w:val="auto"/>
          <w:kern w:val="44"/>
          <w:sz w:val="32"/>
          <w:szCs w:val="20"/>
          <w:lang w:val="en-US" w:eastAsia="zh-CN" w:bidi="ar-SA"/>
        </w:rPr>
      </w:pPr>
      <w:r>
        <w:rPr>
          <w:rFonts w:hint="eastAsia" w:ascii="仿宋" w:hAnsi="仿宋" w:eastAsia="仿宋" w:cs="仿宋"/>
          <w:b/>
          <w:color w:val="auto"/>
          <w:kern w:val="44"/>
          <w:sz w:val="32"/>
          <w:szCs w:val="20"/>
          <w:lang w:val="en-US" w:eastAsia="zh-CN" w:bidi="ar-SA"/>
        </w:rPr>
        <w:t>3.售后服务要求：投标单位必须严格按照招标文件参数要求供货，如产品质量存在问题，不得验收合格，并</w:t>
      </w:r>
      <w:r>
        <w:rPr>
          <w:rFonts w:hint="eastAsia" w:ascii="仿宋" w:hAnsi="仿宋" w:eastAsia="仿宋" w:cs="仿宋"/>
          <w:b/>
          <w:bCs w:val="0"/>
          <w:color w:val="auto"/>
          <w:kern w:val="44"/>
          <w:sz w:val="32"/>
          <w:szCs w:val="20"/>
          <w:lang w:val="en-US" w:eastAsia="zh-CN" w:bidi="ar-SA"/>
        </w:rPr>
        <w:t>承担相应的法律后果并赔偿甲方的损失且</w:t>
      </w:r>
      <w:r>
        <w:rPr>
          <w:rFonts w:hint="eastAsia" w:ascii="仿宋" w:hAnsi="仿宋" w:eastAsia="仿宋" w:cs="仿宋"/>
          <w:b/>
          <w:color w:val="auto"/>
          <w:kern w:val="44"/>
          <w:sz w:val="32"/>
          <w:szCs w:val="20"/>
          <w:lang w:val="en-US" w:eastAsia="zh-CN" w:bidi="ar-SA"/>
        </w:rPr>
        <w:t>中标单位需及时处理，并更换货物，送至甲方指定地点（所产生的一切费用由中标单位承担）；</w:t>
      </w:r>
    </w:p>
    <w:p w14:paraId="41300CB7">
      <w:pPr>
        <w:rPr>
          <w:rFonts w:hint="eastAsia" w:ascii="仿宋" w:hAnsi="仿宋" w:eastAsia="仿宋" w:cs="仿宋"/>
          <w:b/>
          <w:color w:val="auto"/>
          <w:kern w:val="44"/>
          <w:sz w:val="32"/>
          <w:szCs w:val="20"/>
          <w:lang w:val="en-US" w:eastAsia="zh-CN" w:bidi="ar-SA"/>
        </w:rPr>
      </w:pPr>
      <w:r>
        <w:rPr>
          <w:rFonts w:hint="eastAsia" w:ascii="仿宋" w:hAnsi="仿宋" w:eastAsia="仿宋" w:cs="仿宋"/>
          <w:b/>
          <w:color w:val="auto"/>
          <w:kern w:val="44"/>
          <w:sz w:val="32"/>
          <w:szCs w:val="20"/>
          <w:lang w:val="en-US" w:eastAsia="zh-CN" w:bidi="ar-SA"/>
        </w:rPr>
        <w:t>4.验收标准：所投产品需执行财库[2016]205 号，甲方应当依法组织履约验收工作，完整细化验收方案，明确验收方式、时间、程序等内容。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并报送本级财政部。</w:t>
      </w:r>
    </w:p>
    <w:p w14:paraId="0DF0BEF8">
      <w:pPr>
        <w:rPr>
          <w:rFonts w:hint="default" w:ascii="仿宋" w:hAnsi="仿宋" w:eastAsia="仿宋" w:cs="仿宋"/>
          <w:b/>
          <w:color w:val="auto"/>
          <w:kern w:val="44"/>
          <w:sz w:val="32"/>
          <w:szCs w:val="20"/>
          <w:lang w:val="en-US" w:eastAsia="zh-CN" w:bidi="ar-SA"/>
        </w:rPr>
      </w:pPr>
    </w:p>
    <w:p w14:paraId="54D98B11">
      <w:pPr>
        <w:pStyle w:val="5"/>
        <w:outlineLvl w:val="9"/>
        <w:rPr>
          <w:rFonts w:hint="eastAsia"/>
          <w:color w:val="auto"/>
          <w:lang w:val="en-US" w:eastAsia="zh-CN"/>
        </w:rPr>
      </w:pPr>
    </w:p>
    <w:p w14:paraId="2E79E55A">
      <w:pPr>
        <w:rPr>
          <w:rFonts w:hint="eastAsia"/>
          <w:color w:val="auto"/>
          <w:lang w:val="en-US" w:eastAsia="zh-CN"/>
        </w:rPr>
      </w:pPr>
    </w:p>
    <w:p w14:paraId="79A671C8">
      <w:pPr>
        <w:rPr>
          <w:rFonts w:hint="eastAsia"/>
          <w:color w:val="auto"/>
          <w:lang w:val="en-US" w:eastAsia="zh-CN"/>
        </w:rPr>
      </w:pPr>
    </w:p>
    <w:p w14:paraId="781F2491">
      <w:pPr>
        <w:rPr>
          <w:rFonts w:hint="eastAsia" w:ascii="仿宋" w:hAnsi="仿宋" w:eastAsia="仿宋" w:cs="仿宋"/>
          <w:b/>
          <w:color w:val="auto"/>
          <w:kern w:val="44"/>
          <w:sz w:val="32"/>
          <w:szCs w:val="20"/>
          <w:lang w:val="en-US" w:eastAsia="zh-CN" w:bidi="ar-SA"/>
        </w:rPr>
      </w:pPr>
    </w:p>
    <w:p w14:paraId="6EC724A0">
      <w:pPr>
        <w:rPr>
          <w:rFonts w:hint="eastAsia" w:ascii="仿宋" w:hAnsi="仿宋" w:eastAsia="仿宋" w:cs="仿宋"/>
          <w:b/>
          <w:color w:val="auto"/>
          <w:kern w:val="44"/>
          <w:sz w:val="32"/>
          <w:szCs w:val="20"/>
          <w:lang w:val="en-US" w:eastAsia="zh-CN" w:bidi="ar-SA"/>
        </w:rPr>
      </w:pPr>
      <w:bookmarkStart w:id="635" w:name="_Toc20487"/>
    </w:p>
    <w:p w14:paraId="3F376B65">
      <w:pPr>
        <w:rPr>
          <w:rFonts w:hint="eastAsia" w:ascii="仿宋" w:hAnsi="仿宋" w:eastAsia="仿宋" w:cs="仿宋"/>
          <w:b/>
          <w:color w:val="auto"/>
          <w:kern w:val="44"/>
          <w:sz w:val="32"/>
          <w:szCs w:val="20"/>
          <w:lang w:val="en-US" w:eastAsia="zh-CN" w:bidi="ar-SA"/>
        </w:rPr>
      </w:pPr>
      <w:r>
        <w:rPr>
          <w:rFonts w:hint="eastAsia" w:ascii="仿宋" w:hAnsi="仿宋" w:eastAsia="仿宋" w:cs="仿宋"/>
          <w:b/>
          <w:color w:val="auto"/>
          <w:kern w:val="44"/>
          <w:sz w:val="32"/>
          <w:szCs w:val="20"/>
          <w:lang w:val="en-US" w:eastAsia="zh-CN" w:bidi="ar-SA"/>
        </w:rPr>
        <w:br w:type="page"/>
      </w:r>
    </w:p>
    <w:p w14:paraId="3DBD5CEE">
      <w:pPr>
        <w:jc w:val="center"/>
        <w:outlineLvl w:val="0"/>
        <w:rPr>
          <w:rFonts w:hint="eastAsia" w:ascii="仿宋" w:hAnsi="仿宋" w:eastAsia="仿宋" w:cs="仿宋"/>
          <w:b/>
          <w:color w:val="auto"/>
          <w:kern w:val="44"/>
          <w:sz w:val="32"/>
          <w:szCs w:val="20"/>
        </w:rPr>
      </w:pPr>
      <w:r>
        <w:rPr>
          <w:rFonts w:hint="eastAsia" w:ascii="仿宋" w:hAnsi="仿宋" w:eastAsia="仿宋" w:cs="仿宋"/>
          <w:b/>
          <w:color w:val="auto"/>
          <w:kern w:val="44"/>
          <w:sz w:val="32"/>
          <w:szCs w:val="20"/>
          <w:lang w:val="en-US" w:eastAsia="zh-CN" w:bidi="ar-SA"/>
        </w:rPr>
        <w:t>第六章</w:t>
      </w:r>
      <w:r>
        <w:rPr>
          <w:rFonts w:hint="eastAsia" w:ascii="仿宋" w:hAnsi="仿宋" w:eastAsia="仿宋" w:cs="仿宋"/>
          <w:b/>
          <w:color w:val="auto"/>
          <w:kern w:val="44"/>
          <w:sz w:val="32"/>
          <w:szCs w:val="20"/>
        </w:rPr>
        <w:t xml:space="preserve"> </w:t>
      </w:r>
      <w:r>
        <w:rPr>
          <w:rFonts w:hint="eastAsia" w:ascii="仿宋" w:hAnsi="仿宋" w:eastAsia="仿宋" w:cs="仿宋"/>
          <w:b/>
          <w:color w:val="auto"/>
          <w:kern w:val="44"/>
          <w:sz w:val="32"/>
          <w:szCs w:val="20"/>
          <w:lang w:val="en-US" w:eastAsia="zh-CN" w:bidi="ar-SA"/>
        </w:rPr>
        <w:t>评标方法和标准</w:t>
      </w:r>
      <w:bookmarkEnd w:id="630"/>
      <w:bookmarkEnd w:id="635"/>
    </w:p>
    <w:p w14:paraId="3D637F06">
      <w:pPr>
        <w:rPr>
          <w:rFonts w:hint="eastAsia" w:ascii="仿宋" w:hAnsi="仿宋" w:eastAsia="仿宋" w:cs="仿宋"/>
          <w:color w:val="auto"/>
          <w:sz w:val="24"/>
        </w:rPr>
      </w:pPr>
    </w:p>
    <w:p w14:paraId="0047FC39">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1、开标程序：本次招标按招标文件的投标须知中规定的时间和地点进行公开开标，允许投标人的法人代表或其授权人参加开标会。</w:t>
      </w:r>
    </w:p>
    <w:p w14:paraId="425E575D">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1.1投标文件的递交时间及密封：供应商应完整地按招标文件提供的投标文件格式及要求编写投标文件，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系统上递交电子投标文件。供应商的电子投标文件是经过CA证书加密后上传提交的，任何单位或个人均无法在投标截止时间(即</w:t>
      </w:r>
      <w:r>
        <w:rPr>
          <w:rFonts w:hint="eastAsia" w:ascii="仿宋" w:hAnsi="仿宋" w:eastAsia="仿宋" w:cs="仿宋"/>
          <w:color w:val="auto"/>
          <w:sz w:val="28"/>
          <w:szCs w:val="28"/>
          <w:lang w:val="en-US" w:eastAsia="zh-CN"/>
        </w:rPr>
        <w:t>开标</w:t>
      </w:r>
      <w:r>
        <w:rPr>
          <w:rFonts w:hint="eastAsia" w:ascii="仿宋" w:hAnsi="仿宋" w:eastAsia="仿宋" w:cs="仿宋"/>
          <w:color w:val="auto"/>
          <w:sz w:val="28"/>
          <w:szCs w:val="28"/>
        </w:rPr>
        <w:t>时间)之前查看或篡改，不存在泄密风险。（严格按照政采云电子投标流程制作并上传电子响应文件）并由采购代理机构出具接收函。</w:t>
      </w:r>
    </w:p>
    <w:p w14:paraId="418A39F0">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唱标：由招标代理机构对通过资格审查的各投标人进行唱标。唱标以投标人提交的“开标一览表”的内容为准，并对唱标内容作以记录，未宣读投标价格、价格折扣等实质内容，评标时不予承认，开标和唱标的顺序，按照递交投标文件的先后顺序依次进行。评标原则以招标文件的规定为准，并在开标会议上予以宣布。由各供应商代表和相关工作人员在政采云不见面开标大厅平台进行网上签字确认，并存档备查。供应商代表对开标过程和开标记录有疑义，以及认为采购人、采购代理机构相关工作人员有需要回避的情形的，应当场提出询问或者回避申请。</w:t>
      </w:r>
    </w:p>
    <w:p w14:paraId="4E4BBA64">
      <w:pPr>
        <w:spacing w:line="360" w:lineRule="auto"/>
        <w:ind w:firstLine="560" w:firstLineChars="200"/>
        <w:outlineLvl w:val="1"/>
        <w:rPr>
          <w:rFonts w:hint="eastAsia" w:ascii="仿宋" w:hAnsi="仿宋" w:eastAsia="仿宋" w:cs="仿宋"/>
          <w:color w:val="auto"/>
          <w:sz w:val="28"/>
          <w:szCs w:val="28"/>
        </w:rPr>
      </w:pPr>
      <w:bookmarkStart w:id="636" w:name="_Toc26585"/>
      <w:r>
        <w:rPr>
          <w:rFonts w:hint="eastAsia" w:ascii="仿宋" w:hAnsi="仿宋" w:eastAsia="仿宋" w:cs="仿宋"/>
          <w:color w:val="auto"/>
          <w:sz w:val="28"/>
          <w:szCs w:val="28"/>
        </w:rPr>
        <w:t>2、评标步骤和要求</w:t>
      </w:r>
      <w:bookmarkEnd w:id="636"/>
    </w:p>
    <w:p w14:paraId="20521632">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2.1、组建评标委员会：采购代理机构按照《中国人民共和国政府采购法》、中华人民共和国财政部令第87号《政府采购货物和服务招标投标管理办法》及有关规定并在招标小组领导的领导下组建评标委员会，对投标文件进行评估和比较。本项目评标委员会由五人组成，</w:t>
      </w:r>
      <w:r>
        <w:rPr>
          <w:rFonts w:hint="eastAsia" w:ascii="仿宋" w:hAnsi="仿宋" w:eastAsia="仿宋" w:cs="仿宋"/>
          <w:color w:val="auto"/>
          <w:sz w:val="28"/>
          <w:szCs w:val="28"/>
          <w:lang w:val="en-US" w:eastAsia="zh-CN"/>
        </w:rPr>
        <w:t>政府采购网</w:t>
      </w:r>
      <w:r>
        <w:rPr>
          <w:rFonts w:hint="eastAsia" w:ascii="仿宋" w:hAnsi="仿宋" w:eastAsia="仿宋" w:cs="仿宋"/>
          <w:color w:val="auto"/>
          <w:sz w:val="28"/>
          <w:szCs w:val="28"/>
        </w:rPr>
        <w:t>随机抽取</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名。 评审专家应当严格遵守评审工作纪律,按照客观、公正、审慎的原则,根据采购文件规定的评审程序、评审方法和评审标准进行独立评审。</w:t>
      </w:r>
    </w:p>
    <w:p w14:paraId="75303C37">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参与过本项目的论证专家不得作为评标专家参加评标，</w:t>
      </w:r>
      <w:r>
        <w:rPr>
          <w:rFonts w:hint="eastAsia" w:ascii="仿宋" w:hAnsi="仿宋" w:eastAsia="仿宋" w:cs="仿宋"/>
          <w:color w:val="auto"/>
          <w:sz w:val="28"/>
          <w:szCs w:val="28"/>
          <w:lang w:val="en-US" w:eastAsia="zh-CN"/>
        </w:rPr>
        <w:t>采购人专家不得担任评标委员会组长。</w:t>
      </w:r>
    </w:p>
    <w:p w14:paraId="792ADF55">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代理机构宣布评审纪律及要求：</w:t>
      </w:r>
    </w:p>
    <w:p w14:paraId="1C049997">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评标现场所有人员的手机调到关闭或静音状态，交工作人员统一保存，评审结束后退还，2、评标现场所有人员在评审过程中不得随意走动、大声喧哗，非评审人员不得干扰评审，不得对评审项目发表意见，3、评审人员必须认真细致的对待评审工作，客观公正的履行职责，遵守职业道德，对所提出的评审意见承担个人责任，4、采购人代表应当独立打分，不得对评审项目发表倾向性意见，不得暗示、诱导专家评审5、评标现场所有人员不得向外界泄露审批情况、中标候选人的推荐情况以及供应商的商业秘密6、代理机构人员不得参与评审评标。</w:t>
      </w:r>
    </w:p>
    <w:p w14:paraId="529D684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在政府采购活动中，采购人员及相关人员与供应商有下列利害关系之一的，应当回避：（一）参加采购活动前3年内与供应商存在劳动关系；（二）参加采购活动前3年内担任供应商的董事、监事；（三）参加采购活动前3年内是供应商的控股股东或者实际控制人；（四）与供应商的法定代表人或者负责人有夫妻、直系血亲、三代以内旁系血亲或者近姻亲关系；（五）与供应商有其他可能影响政府采购活动公平、公正进行的关系。</w:t>
      </w:r>
    </w:p>
    <w:p w14:paraId="55B16FFC">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2.2符合性审查：由评标委员会对各投标人投标文件的有效性和完整性对招标文件的响应程度进行审查，以确定是否对招标文件的实质性要求做出响应合格投标人不足3家的，不得进行下一阶段评标。</w:t>
      </w:r>
    </w:p>
    <w:p w14:paraId="65F2077C">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2.3、经符合性审查确定符合采购需求的供应商后，由评审小组采用综合评分法对供应商的响应文件进行综合评分。综合评分法，是指响应文件满足招标文件全部实质性要求且按评审因素的量化指标评审得分最高的供应商为成交候选供应商的评审方法。</w:t>
      </w:r>
    </w:p>
    <w:p w14:paraId="380D2DA1">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2.4、评审小组应当根据综合评分情况，按照评审得分由高到低顺序确定成交候选供应商，并编写评审报告。评审得分相同的，按照技术指标优劣顺序推荐。</w:t>
      </w:r>
    </w:p>
    <w:p w14:paraId="0259E4CC">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2.5、评分标准：（1）价格评分，完全满足招标文件参数的投标报价中的最低价为评标基准价，按照下列公式计算每个投标人的投标价格得分。投标报价得分＝（基准价/投标报价）×价格权重×100。（2）商务评分、技术评分</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总得分=价格评分+商务</w:t>
      </w:r>
      <w:r>
        <w:rPr>
          <w:rFonts w:hint="eastAsia" w:ascii="仿宋" w:hAnsi="仿宋" w:eastAsia="仿宋" w:cs="仿宋"/>
          <w:color w:val="auto"/>
          <w:sz w:val="28"/>
          <w:szCs w:val="28"/>
          <w:lang w:val="en-US" w:eastAsia="zh-CN"/>
        </w:rPr>
        <w:t>评分+</w:t>
      </w:r>
      <w:r>
        <w:rPr>
          <w:rFonts w:hint="eastAsia" w:ascii="仿宋" w:hAnsi="仿宋" w:eastAsia="仿宋" w:cs="仿宋"/>
          <w:color w:val="auto"/>
          <w:sz w:val="28"/>
          <w:szCs w:val="28"/>
        </w:rPr>
        <w:t>技术评分。</w:t>
      </w:r>
    </w:p>
    <w:p w14:paraId="54867F11">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3、澄清：评审小组对于投标文件中个别地方含义不明确、同类问题表述不一致或者有明显文字和计算错误的内容，可以</w:t>
      </w:r>
      <w:r>
        <w:rPr>
          <w:rFonts w:hint="eastAsia" w:ascii="仿宋" w:hAnsi="仿宋" w:eastAsia="仿宋" w:cs="仿宋"/>
          <w:color w:val="auto"/>
          <w:sz w:val="28"/>
          <w:szCs w:val="28"/>
          <w:lang w:val="en-US" w:eastAsia="zh-CN"/>
        </w:rPr>
        <w:t>以</w:t>
      </w:r>
      <w:r>
        <w:rPr>
          <w:rFonts w:hint="eastAsia" w:ascii="仿宋" w:hAnsi="仿宋" w:eastAsia="仿宋" w:cs="仿宋"/>
          <w:color w:val="auto"/>
          <w:sz w:val="28"/>
          <w:szCs w:val="28"/>
        </w:rPr>
        <w:t>书面形式（由评审小组专家签字）要求供应商在规定的时间内（评审结束前）作出必要的澄清、说明或者补正。供应商的澄清、说明或者补正应当采用书面形式，由其法定代表人或授权代理人签字，并不得超出投标文件的范围或者改变投标文件的实质性内容。供应商拒不进行澄清、说明、补正的，或者不能在规定时间内做出书面澄清、说明、补正的，评审小组将取消其继续参加评审的资格。</w:t>
      </w:r>
    </w:p>
    <w:p w14:paraId="0AE33CB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投标无效：在比较与评价之前，根据本须知的规定，评审小组要审查每份投标文件是否实质上响应了招标文件的要求。实质上响应的投标应该是与招标文件要求的全部条款、条件和规格相符，没有重大偏离的投标。对关键条款的偏离，将被认定为投标无效。投标人不得通过修正或撤销不符合要求的偏离，从而使其投标成为实质上响应的投标。</w:t>
      </w:r>
    </w:p>
    <w:p w14:paraId="23B2329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评审小组决定投标的响应性只根据招标文件要求、投标文件内容及财政主管部门指定相关信息发布媒体。</w:t>
      </w:r>
    </w:p>
    <w:p w14:paraId="78B25C29">
      <w:pPr>
        <w:spacing w:line="360" w:lineRule="auto"/>
        <w:ind w:firstLine="560" w:firstLineChars="200"/>
        <w:outlineLvl w:val="2"/>
        <w:rPr>
          <w:rFonts w:hint="eastAsia" w:ascii="仿宋" w:hAnsi="仿宋" w:eastAsia="仿宋" w:cs="仿宋"/>
          <w:color w:val="auto"/>
          <w:sz w:val="28"/>
          <w:szCs w:val="28"/>
        </w:rPr>
      </w:pPr>
      <w:bookmarkStart w:id="637" w:name="_Toc31846"/>
      <w:r>
        <w:rPr>
          <w:rFonts w:hint="eastAsia" w:ascii="仿宋" w:hAnsi="仿宋" w:eastAsia="仿宋" w:cs="仿宋"/>
          <w:color w:val="auto"/>
          <w:sz w:val="28"/>
          <w:szCs w:val="28"/>
        </w:rPr>
        <w:t>4.1、如发现下列情况之一的，其投标将被认定为投标无效：</w:t>
      </w:r>
      <w:bookmarkEnd w:id="637"/>
    </w:p>
    <w:p w14:paraId="57ED23CA">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（1）未按招标文件规定的形式和金额提交投标保证金</w:t>
      </w:r>
      <w:r>
        <w:rPr>
          <w:rFonts w:hint="eastAsia" w:ascii="仿宋" w:hAnsi="仿宋" w:eastAsia="仿宋" w:cs="仿宋"/>
          <w:color w:val="auto"/>
          <w:sz w:val="28"/>
          <w:szCs w:val="28"/>
          <w:lang w:val="en-US" w:eastAsia="zh-CN"/>
        </w:rPr>
        <w:t>或保函</w:t>
      </w:r>
      <w:r>
        <w:rPr>
          <w:rFonts w:hint="eastAsia" w:ascii="仿宋" w:hAnsi="仿宋" w:eastAsia="仿宋" w:cs="仿宋"/>
          <w:color w:val="auto"/>
          <w:sz w:val="28"/>
          <w:szCs w:val="28"/>
        </w:rPr>
        <w:t>的；</w:t>
      </w:r>
    </w:p>
    <w:p w14:paraId="5EBCBC46">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（2）未按照招标文件规定要求签署、盖章的；</w:t>
      </w:r>
    </w:p>
    <w:p w14:paraId="1640E6F3">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（3）未满足招标文件中技术条款的实质性要求；</w:t>
      </w:r>
    </w:p>
    <w:p w14:paraId="4AE96536">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（4）与其他投标人串通投标，或者与采购人串通投标；</w:t>
      </w:r>
    </w:p>
    <w:p w14:paraId="66669CFA">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（5）属于招标文件规定的其他投标无效情形；</w:t>
      </w:r>
    </w:p>
    <w:p w14:paraId="3ECFD64D">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（6）招标小组认为投标人的报价明显低于其他通过符合性检查投标人的报价，有可能影响履约的，且投标人未按照规定证明其报价合理性的；</w:t>
      </w:r>
    </w:p>
    <w:p w14:paraId="65F781A9">
      <w:pPr>
        <w:spacing w:line="360" w:lineRule="auto"/>
        <w:ind w:firstLine="560" w:firstLineChars="200"/>
        <w:outlineLvl w:val="3"/>
        <w:rPr>
          <w:rFonts w:hint="eastAsia" w:ascii="仿宋" w:hAnsi="仿宋" w:eastAsia="仿宋" w:cs="仿宋"/>
          <w:color w:val="auto"/>
          <w:sz w:val="28"/>
          <w:szCs w:val="28"/>
        </w:rPr>
      </w:pPr>
      <w:r>
        <w:rPr>
          <w:rFonts w:hint="eastAsia" w:ascii="仿宋" w:hAnsi="仿宋" w:eastAsia="仿宋" w:cs="仿宋"/>
          <w:color w:val="auto"/>
          <w:sz w:val="28"/>
          <w:szCs w:val="28"/>
        </w:rPr>
        <w:t>（7）投标文件含有采购人不能接受的附加条件的；</w:t>
      </w:r>
    </w:p>
    <w:p w14:paraId="5F9A3D2F">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5、推荐中标人：使用综合评分法的采购项目，评标结果按评审后得分由高到低顺序排列。得分相同的，按投标报价由低到高顺序排列。</w:t>
      </w:r>
      <w:r>
        <w:rPr>
          <w:rFonts w:hint="eastAsia" w:ascii="仿宋" w:hAnsi="仿宋" w:eastAsia="仿宋" w:cs="仿宋"/>
          <w:i w:val="0"/>
          <w:iCs w:val="0"/>
          <w:caps w:val="0"/>
          <w:color w:val="auto"/>
          <w:spacing w:val="15"/>
          <w:sz w:val="28"/>
          <w:szCs w:val="28"/>
        </w:rPr>
        <w:t>得分且投标报价相同的并列</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sz w:val="28"/>
          <w:szCs w:val="28"/>
        </w:rPr>
        <w:t>投标文件满足招标文件全部实质性要求，且按照评审因素的量化指标评审得分最高的投标人为排名第一的中标候选人。</w:t>
      </w:r>
    </w:p>
    <w:p w14:paraId="1DB82C13">
      <w:pPr>
        <w:pStyle w:val="9"/>
        <w:spacing w:line="480" w:lineRule="exact"/>
        <w:outlineLvl w:val="2"/>
        <w:rPr>
          <w:rFonts w:hint="eastAsia" w:ascii="仿宋" w:hAnsi="仿宋" w:eastAsia="仿宋" w:cs="仿宋"/>
          <w:color w:val="auto"/>
          <w:sz w:val="28"/>
          <w:szCs w:val="28"/>
        </w:rPr>
      </w:pPr>
      <w:r>
        <w:rPr>
          <w:rFonts w:hint="eastAsia" w:ascii="仿宋" w:hAnsi="仿宋" w:eastAsia="仿宋" w:cs="仿宋"/>
          <w:color w:val="auto"/>
          <w:sz w:val="28"/>
          <w:szCs w:val="28"/>
        </w:rPr>
        <w:t>中标候选人确定方式：采购代理机构应当自评审结束之日起2个工作日内将评审报告送交采购人。采购人应当自收到评审报告之日起5个工作日内确定中标人。</w:t>
      </w:r>
    </w:p>
    <w:p w14:paraId="4B1E500A">
      <w:pPr>
        <w:pStyle w:val="9"/>
        <w:spacing w:line="480" w:lineRule="exact"/>
        <w:outlineLvl w:val="2"/>
        <w:rPr>
          <w:rFonts w:hint="eastAsia" w:ascii="仿宋" w:hAnsi="仿宋" w:eastAsia="仿宋" w:cs="仿宋"/>
          <w:color w:val="auto"/>
          <w:sz w:val="28"/>
          <w:szCs w:val="28"/>
        </w:rPr>
      </w:pPr>
      <w:r>
        <w:rPr>
          <w:rFonts w:hint="eastAsia" w:ascii="仿宋" w:hAnsi="仿宋" w:eastAsia="仿宋" w:cs="仿宋"/>
          <w:color w:val="auto"/>
          <w:sz w:val="28"/>
          <w:szCs w:val="28"/>
        </w:rPr>
        <w:t>6、采购项目需要落实的政府采购政策</w:t>
      </w:r>
    </w:p>
    <w:p w14:paraId="045E65F8">
      <w:pPr>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本项目（</w:t>
      </w:r>
      <w:r>
        <w:rPr>
          <w:rFonts w:hint="eastAsia" w:ascii="仿宋" w:hAnsi="仿宋" w:eastAsia="仿宋" w:cs="仿宋"/>
          <w:b/>
          <w:bCs/>
          <w:color w:val="auto"/>
          <w:sz w:val="28"/>
          <w:szCs w:val="28"/>
          <w:lang w:val="en-US" w:eastAsia="zh-CN"/>
        </w:rPr>
        <w:t>是</w:t>
      </w:r>
      <w:r>
        <w:rPr>
          <w:rFonts w:hint="eastAsia" w:ascii="仿宋" w:hAnsi="仿宋" w:eastAsia="仿宋" w:cs="仿宋"/>
          <w:b/>
          <w:bCs/>
          <w:color w:val="auto"/>
          <w:sz w:val="28"/>
          <w:szCs w:val="28"/>
          <w:lang w:eastAsia="zh-CN"/>
        </w:rPr>
        <w:t>）面向中小企业采购。采购超过200万元的货物和服务采购项目、超过400万元的工程采购项目中适宜由中小企业提供的，预留该部分采购项目预算总额的40%以上专门面向中小企业采购，其中预留给小微企业的比例不低于60%。</w:t>
      </w:r>
      <w:r>
        <w:rPr>
          <w:rFonts w:hint="eastAsia" w:ascii="仿宋" w:hAnsi="仿宋" w:eastAsia="仿宋" w:cs="仿宋"/>
          <w:b/>
          <w:bCs/>
          <w:color w:val="auto"/>
          <w:sz w:val="28"/>
          <w:szCs w:val="28"/>
        </w:rPr>
        <w:t>根据《政府采购促进中小企业发展管理办法》（财库[2020]46号）、《财政部司法部关于政府采购支持监狱企业发展有关问题的通知》（财库〔2014〕68号）、《三部门联合发布关于促进残疾人就业政府采购政策的通知》（财库〔2017〕141号）和财政部关于进一步加大政府采购支持中小企业力度的通知》财库〔2022〕19号的规定，其中小型、微型及小微企业在投标文件中提交了《中小企业声明函》、《残疾人福利性单位声明函》或省级以上监狱管理局、戒毒管理局（含新疆生产建设兵团）出具的属于监狱企业的证明文件的供应商，其报价扣除  10  %后参与评审。对于同时属于小型、微型及小微企业、监狱企业或残疾人福利性单位的，不重复进行报价扣除。</w:t>
      </w:r>
    </w:p>
    <w:p w14:paraId="0DC96690">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本项目采用招标方式：公开招标，评分方法：综合评分法</w:t>
      </w:r>
    </w:p>
    <w:p w14:paraId="1637624F">
      <w:pPr>
        <w:pStyle w:val="13"/>
        <w:tabs>
          <w:tab w:val="clear" w:pos="567"/>
        </w:tabs>
        <w:spacing w:before="0" w:line="400" w:lineRule="exact"/>
        <w:ind w:firstLine="630" w:firstLineChars="225"/>
        <w:rPr>
          <w:rFonts w:hint="eastAsia" w:ascii="仿宋" w:hAnsi="仿宋" w:eastAsia="仿宋" w:cs="仿宋"/>
          <w:color w:val="auto"/>
          <w:sz w:val="28"/>
          <w:szCs w:val="28"/>
        </w:rPr>
      </w:pPr>
      <w:r>
        <w:rPr>
          <w:rFonts w:hint="eastAsia" w:ascii="仿宋" w:hAnsi="仿宋" w:eastAsia="仿宋" w:cs="仿宋"/>
          <w:color w:val="auto"/>
          <w:sz w:val="28"/>
          <w:szCs w:val="28"/>
        </w:rPr>
        <w:t>对投标文件的评估和比较分为两步进行，评标委员会按照采购文件要求对投标文件中的投标商资格、投标商资格证明文件、重要技术指标以及技术和商务上要求的其他重要内容进行审核，审核合格后即视为实质性响应的投标文件，进行第二个步骤：对实质性响应的投标文件进行评估和比较采用综合评分法进行打分评比，打分方法：详见打分表</w:t>
      </w:r>
    </w:p>
    <w:p w14:paraId="5E3B80EB">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1BF3764A">
      <w:pPr>
        <w:spacing w:line="440" w:lineRule="exact"/>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val="en-US" w:eastAsia="zh-CN"/>
        </w:rPr>
        <w:t>资格审查</w:t>
      </w:r>
    </w:p>
    <w:p w14:paraId="240A3743">
      <w:pPr>
        <w:spacing w:line="440" w:lineRule="exact"/>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投标文件的初审分为资格性检查和符合性检查。</w:t>
      </w:r>
    </w:p>
    <w:p w14:paraId="55F87F8C">
      <w:pPr>
        <w:spacing w:line="440" w:lineRule="exact"/>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（一）、资格性检查是指</w:t>
      </w:r>
      <w:r>
        <w:rPr>
          <w:rFonts w:hint="eastAsia" w:ascii="仿宋" w:hAnsi="仿宋" w:eastAsia="仿宋" w:cs="仿宋"/>
          <w:bCs/>
          <w:color w:val="auto"/>
          <w:sz w:val="28"/>
          <w:szCs w:val="28"/>
          <w:lang w:eastAsia="zh-CN"/>
        </w:rPr>
        <w:t>招标代理机构</w:t>
      </w:r>
      <w:r>
        <w:rPr>
          <w:rFonts w:hint="eastAsia" w:ascii="仿宋" w:hAnsi="仿宋" w:eastAsia="仿宋" w:cs="仿宋"/>
          <w:bCs/>
          <w:color w:val="auto"/>
          <w:sz w:val="28"/>
          <w:szCs w:val="28"/>
        </w:rPr>
        <w:t>依据法律法规和招标文件的规定，对投标文件中的资格证明、投标保证金等进行审查，以确定投标投标人是否具备投标资格。</w:t>
      </w:r>
    </w:p>
    <w:p w14:paraId="766EBEC0">
      <w:pPr>
        <w:spacing w:line="440" w:lineRule="exact"/>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资格性检查包含如下内容：</w:t>
      </w:r>
    </w:p>
    <w:tbl>
      <w:tblPr>
        <w:tblStyle w:val="38"/>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768"/>
        <w:gridCol w:w="6015"/>
        <w:gridCol w:w="780"/>
        <w:gridCol w:w="699"/>
      </w:tblGrid>
      <w:tr w14:paraId="0179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78" w:type="dxa"/>
            <w:vMerge w:val="restart"/>
            <w:noWrap w:val="0"/>
            <w:vAlign w:val="center"/>
          </w:tcPr>
          <w:p w14:paraId="34D5F27D">
            <w:pPr>
              <w:spacing w:line="440" w:lineRule="exact"/>
              <w:jc w:val="center"/>
              <w:outlineLvl w:val="0"/>
              <w:rPr>
                <w:rFonts w:hint="eastAsia" w:ascii="仿宋" w:hAnsi="仿宋" w:eastAsia="仿宋" w:cs="仿宋"/>
                <w:b/>
                <w:color w:val="auto"/>
                <w:sz w:val="28"/>
                <w:szCs w:val="28"/>
              </w:rPr>
            </w:pPr>
            <w:bookmarkStart w:id="638" w:name="_Toc1924"/>
            <w:bookmarkStart w:id="639" w:name="_Toc21260"/>
            <w:bookmarkStart w:id="640" w:name="_Toc7428"/>
            <w:bookmarkStart w:id="641" w:name="_Toc1448"/>
            <w:bookmarkStart w:id="642" w:name="_Toc3104"/>
            <w:bookmarkStart w:id="643" w:name="_Toc1283"/>
            <w:r>
              <w:rPr>
                <w:rFonts w:hint="eastAsia" w:ascii="仿宋" w:hAnsi="仿宋" w:eastAsia="仿宋" w:cs="仿宋"/>
                <w:b/>
                <w:color w:val="auto"/>
                <w:sz w:val="28"/>
                <w:szCs w:val="28"/>
              </w:rPr>
              <w:t>项目</w:t>
            </w:r>
            <w:bookmarkEnd w:id="638"/>
            <w:bookmarkEnd w:id="639"/>
            <w:bookmarkEnd w:id="640"/>
            <w:bookmarkEnd w:id="641"/>
            <w:bookmarkEnd w:id="642"/>
            <w:bookmarkEnd w:id="643"/>
          </w:p>
        </w:tc>
        <w:tc>
          <w:tcPr>
            <w:tcW w:w="6783" w:type="dxa"/>
            <w:gridSpan w:val="2"/>
            <w:vMerge w:val="restart"/>
            <w:noWrap w:val="0"/>
            <w:vAlign w:val="center"/>
          </w:tcPr>
          <w:p w14:paraId="7061EB45">
            <w:pPr>
              <w:spacing w:line="440" w:lineRule="exact"/>
              <w:jc w:val="center"/>
              <w:outlineLvl w:val="0"/>
              <w:rPr>
                <w:rFonts w:hint="eastAsia" w:ascii="仿宋" w:hAnsi="仿宋" w:eastAsia="仿宋" w:cs="仿宋"/>
                <w:bCs/>
                <w:color w:val="auto"/>
                <w:sz w:val="28"/>
                <w:szCs w:val="28"/>
              </w:rPr>
            </w:pPr>
            <w:bookmarkStart w:id="644" w:name="_Toc25469"/>
            <w:bookmarkStart w:id="645" w:name="_Toc3472"/>
            <w:bookmarkStart w:id="646" w:name="_Toc22430"/>
            <w:bookmarkStart w:id="647" w:name="_Toc29940"/>
            <w:bookmarkStart w:id="648" w:name="_Toc10173"/>
            <w:bookmarkStart w:id="649" w:name="_Toc31559"/>
            <w:r>
              <w:rPr>
                <w:rFonts w:hint="eastAsia" w:ascii="仿宋" w:hAnsi="仿宋" w:eastAsia="仿宋" w:cs="仿宋"/>
                <w:b/>
                <w:color w:val="auto"/>
                <w:sz w:val="28"/>
                <w:szCs w:val="28"/>
              </w:rPr>
              <w:t>评审内容</w:t>
            </w:r>
            <w:bookmarkEnd w:id="644"/>
            <w:bookmarkEnd w:id="645"/>
            <w:bookmarkEnd w:id="646"/>
            <w:bookmarkEnd w:id="647"/>
            <w:bookmarkEnd w:id="648"/>
            <w:bookmarkEnd w:id="649"/>
          </w:p>
        </w:tc>
        <w:tc>
          <w:tcPr>
            <w:tcW w:w="1479" w:type="dxa"/>
            <w:gridSpan w:val="2"/>
            <w:noWrap w:val="0"/>
            <w:vAlign w:val="center"/>
          </w:tcPr>
          <w:p w14:paraId="1EE805BD">
            <w:pPr>
              <w:spacing w:line="440" w:lineRule="exact"/>
              <w:jc w:val="center"/>
              <w:outlineLvl w:val="0"/>
              <w:rPr>
                <w:rFonts w:hint="eastAsia" w:ascii="仿宋" w:hAnsi="仿宋" w:eastAsia="仿宋" w:cs="仿宋"/>
                <w:b/>
                <w:color w:val="auto"/>
                <w:sz w:val="28"/>
                <w:szCs w:val="28"/>
              </w:rPr>
            </w:pPr>
            <w:bookmarkStart w:id="650" w:name="_Toc13743"/>
            <w:bookmarkStart w:id="651" w:name="_Toc12578"/>
            <w:bookmarkStart w:id="652" w:name="_Toc22027"/>
            <w:bookmarkStart w:id="653" w:name="_Toc9835"/>
            <w:bookmarkStart w:id="654" w:name="_Toc27934"/>
            <w:bookmarkStart w:id="655" w:name="_Toc25107"/>
            <w:r>
              <w:rPr>
                <w:rFonts w:hint="eastAsia" w:ascii="仿宋" w:hAnsi="仿宋" w:eastAsia="仿宋" w:cs="仿宋"/>
                <w:b/>
                <w:color w:val="auto"/>
                <w:sz w:val="28"/>
                <w:szCs w:val="28"/>
              </w:rPr>
              <w:t>评审</w:t>
            </w:r>
            <w:bookmarkEnd w:id="650"/>
            <w:bookmarkEnd w:id="651"/>
            <w:bookmarkEnd w:id="652"/>
            <w:bookmarkEnd w:id="653"/>
            <w:bookmarkEnd w:id="654"/>
            <w:bookmarkEnd w:id="655"/>
          </w:p>
          <w:p w14:paraId="61453BD6">
            <w:pPr>
              <w:spacing w:line="440" w:lineRule="exact"/>
              <w:jc w:val="center"/>
              <w:outlineLvl w:val="0"/>
              <w:rPr>
                <w:rFonts w:hint="eastAsia" w:ascii="仿宋" w:hAnsi="仿宋" w:eastAsia="仿宋" w:cs="仿宋"/>
                <w:bCs/>
                <w:color w:val="auto"/>
                <w:sz w:val="28"/>
                <w:szCs w:val="28"/>
              </w:rPr>
            </w:pPr>
            <w:bookmarkStart w:id="656" w:name="_Toc19179"/>
            <w:bookmarkStart w:id="657" w:name="_Toc9289"/>
            <w:bookmarkStart w:id="658" w:name="_Toc22340"/>
            <w:bookmarkStart w:id="659" w:name="_Toc13189"/>
            <w:bookmarkStart w:id="660" w:name="_Toc26109"/>
            <w:bookmarkStart w:id="661" w:name="_Toc30765"/>
            <w:r>
              <w:rPr>
                <w:rFonts w:hint="eastAsia" w:ascii="仿宋" w:hAnsi="仿宋" w:eastAsia="仿宋" w:cs="仿宋"/>
                <w:b/>
                <w:color w:val="auto"/>
                <w:sz w:val="28"/>
                <w:szCs w:val="28"/>
              </w:rPr>
              <w:t>意见</w:t>
            </w:r>
            <w:bookmarkEnd w:id="656"/>
            <w:bookmarkEnd w:id="657"/>
            <w:bookmarkEnd w:id="658"/>
            <w:bookmarkEnd w:id="659"/>
            <w:bookmarkEnd w:id="660"/>
            <w:bookmarkEnd w:id="661"/>
          </w:p>
        </w:tc>
      </w:tr>
      <w:tr w14:paraId="2AAA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178" w:type="dxa"/>
            <w:vMerge w:val="continue"/>
            <w:noWrap w:val="0"/>
            <w:vAlign w:val="center"/>
          </w:tcPr>
          <w:p w14:paraId="188CF477">
            <w:pPr>
              <w:spacing w:line="440" w:lineRule="exact"/>
              <w:jc w:val="left"/>
              <w:outlineLvl w:val="9"/>
              <w:rPr>
                <w:rFonts w:hint="eastAsia" w:ascii="仿宋" w:hAnsi="仿宋" w:eastAsia="仿宋" w:cs="仿宋"/>
                <w:bCs/>
                <w:color w:val="auto"/>
                <w:sz w:val="28"/>
                <w:szCs w:val="28"/>
              </w:rPr>
            </w:pPr>
          </w:p>
        </w:tc>
        <w:tc>
          <w:tcPr>
            <w:tcW w:w="6783" w:type="dxa"/>
            <w:gridSpan w:val="2"/>
            <w:vMerge w:val="continue"/>
            <w:noWrap w:val="0"/>
            <w:vAlign w:val="top"/>
          </w:tcPr>
          <w:p w14:paraId="20D601EC">
            <w:pPr>
              <w:spacing w:line="440" w:lineRule="exact"/>
              <w:jc w:val="left"/>
              <w:outlineLvl w:val="9"/>
              <w:rPr>
                <w:rFonts w:hint="eastAsia" w:ascii="仿宋" w:hAnsi="仿宋" w:eastAsia="仿宋" w:cs="仿宋"/>
                <w:bCs/>
                <w:color w:val="auto"/>
                <w:sz w:val="28"/>
                <w:szCs w:val="28"/>
              </w:rPr>
            </w:pPr>
          </w:p>
        </w:tc>
        <w:tc>
          <w:tcPr>
            <w:tcW w:w="780" w:type="dxa"/>
            <w:noWrap w:val="0"/>
            <w:vAlign w:val="center"/>
          </w:tcPr>
          <w:p w14:paraId="4363B7E1">
            <w:pPr>
              <w:spacing w:line="440" w:lineRule="exact"/>
              <w:jc w:val="center"/>
              <w:outlineLvl w:val="0"/>
              <w:rPr>
                <w:rFonts w:hint="eastAsia" w:ascii="仿宋" w:hAnsi="仿宋" w:eastAsia="仿宋" w:cs="仿宋"/>
                <w:b/>
                <w:color w:val="auto"/>
                <w:sz w:val="28"/>
                <w:szCs w:val="28"/>
              </w:rPr>
            </w:pPr>
            <w:bookmarkStart w:id="662" w:name="_Toc27054"/>
            <w:bookmarkStart w:id="663" w:name="_Toc24204"/>
            <w:bookmarkStart w:id="664" w:name="_Toc5325"/>
            <w:bookmarkStart w:id="665" w:name="_Toc17416"/>
            <w:bookmarkStart w:id="666" w:name="_Toc12443"/>
            <w:bookmarkStart w:id="667" w:name="_Toc14894"/>
            <w:r>
              <w:rPr>
                <w:rFonts w:hint="eastAsia" w:ascii="仿宋" w:hAnsi="仿宋" w:eastAsia="仿宋" w:cs="仿宋"/>
                <w:b/>
                <w:color w:val="auto"/>
                <w:sz w:val="28"/>
                <w:szCs w:val="28"/>
              </w:rPr>
              <w:t>是</w:t>
            </w:r>
            <w:bookmarkEnd w:id="662"/>
            <w:bookmarkEnd w:id="663"/>
            <w:bookmarkEnd w:id="664"/>
            <w:bookmarkEnd w:id="665"/>
            <w:bookmarkEnd w:id="666"/>
            <w:bookmarkEnd w:id="667"/>
          </w:p>
        </w:tc>
        <w:tc>
          <w:tcPr>
            <w:tcW w:w="699" w:type="dxa"/>
            <w:noWrap w:val="0"/>
            <w:vAlign w:val="center"/>
          </w:tcPr>
          <w:p w14:paraId="3C4E5DAB">
            <w:pPr>
              <w:spacing w:line="440" w:lineRule="exact"/>
              <w:jc w:val="center"/>
              <w:outlineLvl w:val="0"/>
              <w:rPr>
                <w:rFonts w:hint="eastAsia" w:ascii="仿宋" w:hAnsi="仿宋" w:eastAsia="仿宋" w:cs="仿宋"/>
                <w:b/>
                <w:color w:val="auto"/>
                <w:sz w:val="28"/>
                <w:szCs w:val="28"/>
              </w:rPr>
            </w:pPr>
            <w:bookmarkStart w:id="668" w:name="_Toc11905"/>
            <w:bookmarkStart w:id="669" w:name="_Toc5929"/>
            <w:bookmarkStart w:id="670" w:name="_Toc15012"/>
            <w:bookmarkStart w:id="671" w:name="_Toc16639"/>
            <w:bookmarkStart w:id="672" w:name="_Toc31796"/>
            <w:bookmarkStart w:id="673" w:name="_Toc24305"/>
            <w:r>
              <w:rPr>
                <w:rFonts w:hint="eastAsia" w:ascii="仿宋" w:hAnsi="仿宋" w:eastAsia="仿宋" w:cs="仿宋"/>
                <w:b/>
                <w:color w:val="auto"/>
                <w:sz w:val="28"/>
                <w:szCs w:val="28"/>
              </w:rPr>
              <w:t>否</w:t>
            </w:r>
            <w:bookmarkEnd w:id="668"/>
            <w:bookmarkEnd w:id="669"/>
            <w:bookmarkEnd w:id="670"/>
            <w:bookmarkEnd w:id="671"/>
            <w:bookmarkEnd w:id="672"/>
            <w:bookmarkEnd w:id="673"/>
          </w:p>
        </w:tc>
      </w:tr>
      <w:tr w14:paraId="7998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78" w:type="dxa"/>
            <w:vMerge w:val="restart"/>
            <w:noWrap w:val="0"/>
            <w:vAlign w:val="center"/>
          </w:tcPr>
          <w:p w14:paraId="3BC52436">
            <w:pPr>
              <w:spacing w:line="440" w:lineRule="exact"/>
              <w:jc w:val="center"/>
              <w:outlineLvl w:val="0"/>
              <w:rPr>
                <w:rFonts w:hint="eastAsia" w:ascii="仿宋" w:hAnsi="仿宋" w:eastAsia="仿宋" w:cs="仿宋"/>
                <w:bCs/>
                <w:color w:val="auto"/>
                <w:sz w:val="28"/>
                <w:szCs w:val="28"/>
              </w:rPr>
            </w:pPr>
            <w:bookmarkStart w:id="674" w:name="_Toc28200"/>
            <w:bookmarkStart w:id="675" w:name="_Toc13707"/>
            <w:bookmarkStart w:id="676" w:name="_Toc4016"/>
            <w:bookmarkStart w:id="677" w:name="_Toc945"/>
            <w:bookmarkStart w:id="678" w:name="_Toc30930"/>
            <w:bookmarkStart w:id="679" w:name="_Toc27164"/>
            <w:r>
              <w:rPr>
                <w:rFonts w:hint="eastAsia" w:ascii="仿宋" w:hAnsi="仿宋" w:eastAsia="仿宋" w:cs="仿宋"/>
                <w:bCs/>
                <w:color w:val="auto"/>
                <w:sz w:val="28"/>
                <w:szCs w:val="28"/>
              </w:rPr>
              <w:t>审查</w:t>
            </w:r>
            <w:bookmarkEnd w:id="674"/>
            <w:bookmarkEnd w:id="675"/>
          </w:p>
          <w:p w14:paraId="27574130">
            <w:pPr>
              <w:spacing w:line="440" w:lineRule="exact"/>
              <w:jc w:val="center"/>
              <w:outlineLvl w:val="0"/>
              <w:rPr>
                <w:rFonts w:hint="eastAsia" w:ascii="仿宋" w:hAnsi="仿宋" w:eastAsia="仿宋" w:cs="仿宋"/>
                <w:bCs/>
                <w:color w:val="auto"/>
                <w:sz w:val="28"/>
                <w:szCs w:val="28"/>
              </w:rPr>
            </w:pPr>
            <w:bookmarkStart w:id="680" w:name="_Toc10321"/>
            <w:bookmarkStart w:id="681" w:name="_Toc7382"/>
            <w:r>
              <w:rPr>
                <w:rFonts w:hint="eastAsia" w:ascii="仿宋" w:hAnsi="仿宋" w:eastAsia="仿宋" w:cs="仿宋"/>
                <w:bCs/>
                <w:color w:val="auto"/>
                <w:sz w:val="28"/>
                <w:szCs w:val="28"/>
              </w:rPr>
              <w:t>标准</w:t>
            </w:r>
            <w:bookmarkEnd w:id="676"/>
            <w:bookmarkEnd w:id="677"/>
            <w:bookmarkEnd w:id="678"/>
            <w:bookmarkEnd w:id="679"/>
            <w:bookmarkEnd w:id="680"/>
            <w:bookmarkEnd w:id="681"/>
          </w:p>
        </w:tc>
        <w:tc>
          <w:tcPr>
            <w:tcW w:w="768" w:type="dxa"/>
            <w:noWrap w:val="0"/>
            <w:vAlign w:val="center"/>
          </w:tcPr>
          <w:p w14:paraId="721AF411">
            <w:pPr>
              <w:spacing w:line="440" w:lineRule="exact"/>
              <w:jc w:val="center"/>
              <w:outlineLvl w:val="0"/>
              <w:rPr>
                <w:rFonts w:hint="eastAsia" w:ascii="仿宋" w:hAnsi="仿宋" w:eastAsia="仿宋" w:cs="仿宋"/>
                <w:bCs/>
                <w:color w:val="auto"/>
                <w:sz w:val="28"/>
                <w:szCs w:val="28"/>
              </w:rPr>
            </w:pPr>
            <w:bookmarkStart w:id="682" w:name="_Toc26238"/>
            <w:bookmarkStart w:id="683" w:name="_Toc20781"/>
            <w:bookmarkStart w:id="684" w:name="_Toc10548"/>
            <w:bookmarkStart w:id="685" w:name="_Toc23619"/>
            <w:bookmarkStart w:id="686" w:name="_Toc4930"/>
            <w:bookmarkStart w:id="687" w:name="_Toc24635"/>
            <w:r>
              <w:rPr>
                <w:rFonts w:hint="eastAsia" w:ascii="仿宋" w:hAnsi="仿宋" w:eastAsia="仿宋" w:cs="仿宋"/>
                <w:bCs/>
                <w:color w:val="auto"/>
                <w:sz w:val="28"/>
                <w:szCs w:val="28"/>
              </w:rPr>
              <w:t>1</w:t>
            </w:r>
            <w:bookmarkEnd w:id="682"/>
            <w:bookmarkEnd w:id="683"/>
            <w:bookmarkEnd w:id="684"/>
            <w:bookmarkEnd w:id="685"/>
            <w:bookmarkEnd w:id="686"/>
            <w:bookmarkEnd w:id="687"/>
          </w:p>
        </w:tc>
        <w:tc>
          <w:tcPr>
            <w:tcW w:w="6015" w:type="dxa"/>
            <w:noWrap w:val="0"/>
            <w:vAlign w:val="center"/>
          </w:tcPr>
          <w:p w14:paraId="18E999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有效的企业营业执照、《银行开户许可证》或《基本存款账户信息》</w:t>
            </w:r>
          </w:p>
        </w:tc>
        <w:tc>
          <w:tcPr>
            <w:tcW w:w="780" w:type="dxa"/>
            <w:noWrap w:val="0"/>
            <w:vAlign w:val="top"/>
          </w:tcPr>
          <w:p w14:paraId="7153CB86">
            <w:pPr>
              <w:spacing w:line="440" w:lineRule="exact"/>
              <w:jc w:val="left"/>
              <w:outlineLvl w:val="9"/>
              <w:rPr>
                <w:rFonts w:hint="eastAsia" w:ascii="仿宋" w:hAnsi="仿宋" w:eastAsia="仿宋" w:cs="仿宋"/>
                <w:bCs/>
                <w:color w:val="auto"/>
                <w:sz w:val="28"/>
                <w:szCs w:val="28"/>
              </w:rPr>
            </w:pPr>
          </w:p>
        </w:tc>
        <w:tc>
          <w:tcPr>
            <w:tcW w:w="699" w:type="dxa"/>
            <w:noWrap w:val="0"/>
            <w:vAlign w:val="top"/>
          </w:tcPr>
          <w:p w14:paraId="0DB7597B">
            <w:pPr>
              <w:spacing w:line="440" w:lineRule="exact"/>
              <w:jc w:val="left"/>
              <w:outlineLvl w:val="9"/>
              <w:rPr>
                <w:rFonts w:hint="eastAsia" w:ascii="仿宋" w:hAnsi="仿宋" w:eastAsia="仿宋" w:cs="仿宋"/>
                <w:bCs/>
                <w:color w:val="auto"/>
                <w:sz w:val="28"/>
                <w:szCs w:val="28"/>
              </w:rPr>
            </w:pPr>
          </w:p>
        </w:tc>
      </w:tr>
      <w:tr w14:paraId="08E2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8" w:type="dxa"/>
            <w:vMerge w:val="continue"/>
            <w:noWrap w:val="0"/>
            <w:vAlign w:val="center"/>
          </w:tcPr>
          <w:p w14:paraId="72A18B3E">
            <w:pPr>
              <w:spacing w:line="440" w:lineRule="exact"/>
              <w:jc w:val="center"/>
              <w:outlineLvl w:val="9"/>
              <w:rPr>
                <w:rFonts w:hint="eastAsia" w:ascii="仿宋" w:hAnsi="仿宋" w:eastAsia="仿宋" w:cs="仿宋"/>
                <w:bCs/>
                <w:color w:val="auto"/>
                <w:sz w:val="28"/>
                <w:szCs w:val="28"/>
              </w:rPr>
            </w:pPr>
          </w:p>
        </w:tc>
        <w:tc>
          <w:tcPr>
            <w:tcW w:w="768" w:type="dxa"/>
            <w:noWrap w:val="0"/>
            <w:vAlign w:val="center"/>
          </w:tcPr>
          <w:p w14:paraId="1594B273">
            <w:pPr>
              <w:spacing w:line="440" w:lineRule="exact"/>
              <w:jc w:val="center"/>
              <w:outlineLvl w:val="0"/>
              <w:rPr>
                <w:rFonts w:hint="eastAsia" w:ascii="仿宋" w:hAnsi="仿宋" w:eastAsia="仿宋" w:cs="仿宋"/>
                <w:bCs/>
                <w:color w:val="auto"/>
                <w:sz w:val="28"/>
                <w:szCs w:val="28"/>
              </w:rPr>
            </w:pPr>
            <w:bookmarkStart w:id="688" w:name="_Toc25031"/>
            <w:bookmarkStart w:id="689" w:name="_Toc16490"/>
            <w:bookmarkStart w:id="690" w:name="_Toc18204"/>
            <w:bookmarkStart w:id="691" w:name="_Toc26030"/>
            <w:bookmarkStart w:id="692" w:name="_Toc4170"/>
            <w:bookmarkStart w:id="693" w:name="_Toc3646"/>
            <w:r>
              <w:rPr>
                <w:rFonts w:hint="eastAsia" w:ascii="仿宋" w:hAnsi="仿宋" w:eastAsia="仿宋" w:cs="仿宋"/>
                <w:bCs/>
                <w:color w:val="auto"/>
                <w:sz w:val="28"/>
                <w:szCs w:val="28"/>
              </w:rPr>
              <w:t>2</w:t>
            </w:r>
            <w:bookmarkEnd w:id="688"/>
            <w:bookmarkEnd w:id="689"/>
            <w:bookmarkEnd w:id="690"/>
            <w:bookmarkEnd w:id="691"/>
            <w:bookmarkEnd w:id="692"/>
            <w:bookmarkEnd w:id="693"/>
          </w:p>
        </w:tc>
        <w:tc>
          <w:tcPr>
            <w:tcW w:w="6015" w:type="dxa"/>
            <w:noWrap w:val="0"/>
            <w:vAlign w:val="center"/>
          </w:tcPr>
          <w:p w14:paraId="38EF1A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法人本人投标需提供法人身份证及法定代表人资格证明书；授权委托人投标需提供法人授权委托书、法人身份证复印件及被授权委托人身份证；</w:t>
            </w:r>
          </w:p>
        </w:tc>
        <w:tc>
          <w:tcPr>
            <w:tcW w:w="780" w:type="dxa"/>
            <w:noWrap w:val="0"/>
            <w:vAlign w:val="top"/>
          </w:tcPr>
          <w:p w14:paraId="7E031824">
            <w:pPr>
              <w:spacing w:line="440" w:lineRule="exact"/>
              <w:jc w:val="left"/>
              <w:outlineLvl w:val="9"/>
              <w:rPr>
                <w:rFonts w:hint="eastAsia" w:ascii="仿宋" w:hAnsi="仿宋" w:eastAsia="仿宋" w:cs="仿宋"/>
                <w:bCs/>
                <w:color w:val="auto"/>
                <w:sz w:val="28"/>
                <w:szCs w:val="28"/>
              </w:rPr>
            </w:pPr>
          </w:p>
        </w:tc>
        <w:tc>
          <w:tcPr>
            <w:tcW w:w="699" w:type="dxa"/>
            <w:noWrap w:val="0"/>
            <w:vAlign w:val="top"/>
          </w:tcPr>
          <w:p w14:paraId="0F5E6815">
            <w:pPr>
              <w:spacing w:line="440" w:lineRule="exact"/>
              <w:jc w:val="left"/>
              <w:outlineLvl w:val="9"/>
              <w:rPr>
                <w:rFonts w:hint="eastAsia" w:ascii="仿宋" w:hAnsi="仿宋" w:eastAsia="仿宋" w:cs="仿宋"/>
                <w:bCs/>
                <w:color w:val="auto"/>
                <w:sz w:val="28"/>
                <w:szCs w:val="28"/>
              </w:rPr>
            </w:pPr>
          </w:p>
        </w:tc>
      </w:tr>
      <w:tr w14:paraId="5977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78" w:type="dxa"/>
            <w:vMerge w:val="continue"/>
            <w:noWrap w:val="0"/>
            <w:vAlign w:val="center"/>
          </w:tcPr>
          <w:p w14:paraId="3591F88F">
            <w:pPr>
              <w:spacing w:line="440" w:lineRule="exact"/>
              <w:jc w:val="center"/>
              <w:outlineLvl w:val="9"/>
              <w:rPr>
                <w:rFonts w:hint="eastAsia" w:ascii="仿宋" w:hAnsi="仿宋" w:eastAsia="仿宋" w:cs="仿宋"/>
                <w:bCs/>
                <w:color w:val="auto"/>
                <w:sz w:val="28"/>
                <w:szCs w:val="28"/>
              </w:rPr>
            </w:pPr>
          </w:p>
        </w:tc>
        <w:tc>
          <w:tcPr>
            <w:tcW w:w="768" w:type="dxa"/>
            <w:noWrap w:val="0"/>
            <w:vAlign w:val="center"/>
          </w:tcPr>
          <w:p w14:paraId="1F13E84D">
            <w:pPr>
              <w:spacing w:line="440" w:lineRule="exact"/>
              <w:jc w:val="center"/>
              <w:outlineLvl w:val="0"/>
              <w:rPr>
                <w:rFonts w:hint="eastAsia" w:ascii="仿宋" w:hAnsi="仿宋" w:eastAsia="仿宋" w:cs="仿宋"/>
                <w:bCs/>
                <w:color w:val="auto"/>
                <w:sz w:val="28"/>
                <w:szCs w:val="28"/>
              </w:rPr>
            </w:pPr>
            <w:bookmarkStart w:id="694" w:name="_Toc25016"/>
            <w:bookmarkStart w:id="695" w:name="_Toc313"/>
            <w:bookmarkStart w:id="696" w:name="_Toc25328"/>
            <w:bookmarkStart w:id="697" w:name="_Toc11640"/>
            <w:bookmarkStart w:id="698" w:name="_Toc870"/>
            <w:bookmarkStart w:id="699" w:name="_Toc9524"/>
            <w:r>
              <w:rPr>
                <w:rFonts w:hint="eastAsia" w:ascii="仿宋" w:hAnsi="仿宋" w:eastAsia="仿宋" w:cs="仿宋"/>
                <w:bCs/>
                <w:color w:val="auto"/>
                <w:sz w:val="28"/>
                <w:szCs w:val="28"/>
              </w:rPr>
              <w:t>3</w:t>
            </w:r>
            <w:bookmarkEnd w:id="694"/>
            <w:bookmarkEnd w:id="695"/>
            <w:bookmarkEnd w:id="696"/>
            <w:bookmarkEnd w:id="697"/>
            <w:bookmarkEnd w:id="698"/>
            <w:bookmarkEnd w:id="699"/>
          </w:p>
        </w:tc>
        <w:tc>
          <w:tcPr>
            <w:tcW w:w="6015" w:type="dxa"/>
            <w:noWrap w:val="0"/>
            <w:vAlign w:val="center"/>
          </w:tcPr>
          <w:p w14:paraId="0CE902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具有健全的财务会计制度和提供2023或2024年度财务审计报告；（2024年成立的公司可提供公司成立至今的银行资信证明）；</w:t>
            </w:r>
          </w:p>
        </w:tc>
        <w:tc>
          <w:tcPr>
            <w:tcW w:w="780" w:type="dxa"/>
            <w:noWrap w:val="0"/>
            <w:vAlign w:val="top"/>
          </w:tcPr>
          <w:p w14:paraId="767C73A2">
            <w:pPr>
              <w:spacing w:line="440" w:lineRule="exact"/>
              <w:jc w:val="left"/>
              <w:outlineLvl w:val="9"/>
              <w:rPr>
                <w:rFonts w:hint="eastAsia" w:ascii="仿宋" w:hAnsi="仿宋" w:eastAsia="仿宋" w:cs="仿宋"/>
                <w:bCs/>
                <w:color w:val="auto"/>
                <w:sz w:val="28"/>
                <w:szCs w:val="28"/>
              </w:rPr>
            </w:pPr>
          </w:p>
        </w:tc>
        <w:tc>
          <w:tcPr>
            <w:tcW w:w="699" w:type="dxa"/>
            <w:noWrap w:val="0"/>
            <w:vAlign w:val="top"/>
          </w:tcPr>
          <w:p w14:paraId="32DDAD1E">
            <w:pPr>
              <w:spacing w:line="440" w:lineRule="exact"/>
              <w:jc w:val="left"/>
              <w:outlineLvl w:val="9"/>
              <w:rPr>
                <w:rFonts w:hint="eastAsia" w:ascii="仿宋" w:hAnsi="仿宋" w:eastAsia="仿宋" w:cs="仿宋"/>
                <w:bCs/>
                <w:color w:val="auto"/>
                <w:sz w:val="28"/>
                <w:szCs w:val="28"/>
              </w:rPr>
            </w:pPr>
          </w:p>
        </w:tc>
      </w:tr>
      <w:tr w14:paraId="27E5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78" w:type="dxa"/>
            <w:vMerge w:val="continue"/>
            <w:noWrap w:val="0"/>
            <w:vAlign w:val="center"/>
          </w:tcPr>
          <w:p w14:paraId="6BDF5F13">
            <w:pPr>
              <w:spacing w:line="440" w:lineRule="exact"/>
              <w:jc w:val="center"/>
              <w:outlineLvl w:val="9"/>
              <w:rPr>
                <w:rFonts w:hint="eastAsia" w:ascii="仿宋" w:hAnsi="仿宋" w:eastAsia="仿宋" w:cs="仿宋"/>
                <w:bCs/>
                <w:color w:val="auto"/>
                <w:sz w:val="28"/>
                <w:szCs w:val="28"/>
              </w:rPr>
            </w:pPr>
          </w:p>
        </w:tc>
        <w:tc>
          <w:tcPr>
            <w:tcW w:w="768" w:type="dxa"/>
            <w:noWrap w:val="0"/>
            <w:vAlign w:val="center"/>
          </w:tcPr>
          <w:p w14:paraId="14CECC87">
            <w:pPr>
              <w:spacing w:line="440" w:lineRule="exact"/>
              <w:jc w:val="center"/>
              <w:outlineLvl w:val="0"/>
              <w:rPr>
                <w:rFonts w:hint="eastAsia" w:ascii="仿宋" w:hAnsi="仿宋" w:eastAsia="仿宋" w:cs="仿宋"/>
                <w:bCs/>
                <w:color w:val="auto"/>
                <w:sz w:val="28"/>
                <w:szCs w:val="28"/>
              </w:rPr>
            </w:pPr>
            <w:bookmarkStart w:id="700" w:name="_Toc16144"/>
            <w:bookmarkStart w:id="701" w:name="_Toc15803"/>
            <w:bookmarkStart w:id="702" w:name="_Toc7047"/>
            <w:bookmarkStart w:id="703" w:name="_Toc16918"/>
            <w:bookmarkStart w:id="704" w:name="_Toc20212"/>
            <w:bookmarkStart w:id="705" w:name="_Toc21091"/>
            <w:r>
              <w:rPr>
                <w:rFonts w:hint="eastAsia" w:ascii="仿宋" w:hAnsi="仿宋" w:eastAsia="仿宋" w:cs="仿宋"/>
                <w:bCs/>
                <w:color w:val="auto"/>
                <w:sz w:val="28"/>
                <w:szCs w:val="28"/>
              </w:rPr>
              <w:t>4</w:t>
            </w:r>
            <w:bookmarkEnd w:id="700"/>
            <w:bookmarkEnd w:id="701"/>
            <w:bookmarkEnd w:id="702"/>
            <w:bookmarkEnd w:id="703"/>
            <w:bookmarkEnd w:id="704"/>
            <w:bookmarkEnd w:id="705"/>
          </w:p>
        </w:tc>
        <w:tc>
          <w:tcPr>
            <w:tcW w:w="6015" w:type="dxa"/>
            <w:noWrap w:val="0"/>
            <w:vAlign w:val="center"/>
          </w:tcPr>
          <w:p w14:paraId="556B45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yellow"/>
              </w:rPr>
            </w:pPr>
            <w:r>
              <w:rPr>
                <w:rFonts w:hint="eastAsia" w:ascii="仿宋" w:hAnsi="仿宋" w:eastAsia="仿宋" w:cs="仿宋"/>
                <w:color w:val="auto"/>
                <w:sz w:val="28"/>
                <w:szCs w:val="28"/>
                <w:lang w:val="en-US" w:eastAsia="zh-CN"/>
              </w:rPr>
              <w:t>提供本单位缴纳的近三个月（连续三个月）的社保缴纳证明（公司缴费证明和社保缴费个人明细单）、具有税务局开具依法缴纳近三个月（连续三个月）的完税证明；注：若供应商某月税收为零申报，须提供当月加盖税务局公章的无欠税证明或“国家税务总局电子税务局（12366.chinatax.gov.cn/bsfw/onlinetaxation/main）”的申报结果查询截图。完税证明中“税种”非养老保险、医疗保险、失业保险、工伤保险和生育保险。</w:t>
            </w:r>
          </w:p>
        </w:tc>
        <w:tc>
          <w:tcPr>
            <w:tcW w:w="780" w:type="dxa"/>
            <w:noWrap w:val="0"/>
            <w:vAlign w:val="top"/>
          </w:tcPr>
          <w:p w14:paraId="43D500BF">
            <w:pPr>
              <w:spacing w:line="440" w:lineRule="exact"/>
              <w:jc w:val="left"/>
              <w:outlineLvl w:val="9"/>
              <w:rPr>
                <w:rFonts w:hint="eastAsia" w:ascii="仿宋" w:hAnsi="仿宋" w:eastAsia="仿宋" w:cs="仿宋"/>
                <w:bCs/>
                <w:color w:val="auto"/>
                <w:sz w:val="28"/>
                <w:szCs w:val="28"/>
              </w:rPr>
            </w:pPr>
          </w:p>
        </w:tc>
        <w:tc>
          <w:tcPr>
            <w:tcW w:w="699" w:type="dxa"/>
            <w:noWrap w:val="0"/>
            <w:vAlign w:val="top"/>
          </w:tcPr>
          <w:p w14:paraId="194418B6">
            <w:pPr>
              <w:spacing w:line="440" w:lineRule="exact"/>
              <w:jc w:val="left"/>
              <w:outlineLvl w:val="9"/>
              <w:rPr>
                <w:rFonts w:hint="eastAsia" w:ascii="仿宋" w:hAnsi="仿宋" w:eastAsia="仿宋" w:cs="仿宋"/>
                <w:bCs/>
                <w:color w:val="auto"/>
                <w:sz w:val="28"/>
                <w:szCs w:val="28"/>
              </w:rPr>
            </w:pPr>
          </w:p>
        </w:tc>
      </w:tr>
      <w:tr w14:paraId="050D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78" w:type="dxa"/>
            <w:vMerge w:val="continue"/>
            <w:noWrap w:val="0"/>
            <w:vAlign w:val="center"/>
          </w:tcPr>
          <w:p w14:paraId="54B52085">
            <w:pPr>
              <w:spacing w:line="440" w:lineRule="exact"/>
              <w:jc w:val="center"/>
              <w:outlineLvl w:val="9"/>
              <w:rPr>
                <w:rFonts w:hint="eastAsia" w:ascii="仿宋" w:hAnsi="仿宋" w:eastAsia="仿宋" w:cs="仿宋"/>
                <w:bCs/>
                <w:color w:val="auto"/>
                <w:sz w:val="28"/>
                <w:szCs w:val="28"/>
              </w:rPr>
            </w:pPr>
          </w:p>
        </w:tc>
        <w:tc>
          <w:tcPr>
            <w:tcW w:w="768" w:type="dxa"/>
            <w:noWrap w:val="0"/>
            <w:vAlign w:val="center"/>
          </w:tcPr>
          <w:p w14:paraId="0A79177C">
            <w:pPr>
              <w:spacing w:line="440" w:lineRule="exact"/>
              <w:jc w:val="center"/>
              <w:outlineLvl w:val="0"/>
              <w:rPr>
                <w:rFonts w:hint="eastAsia" w:ascii="仿宋" w:hAnsi="仿宋" w:eastAsia="仿宋" w:cs="仿宋"/>
                <w:bCs/>
                <w:color w:val="auto"/>
                <w:sz w:val="28"/>
                <w:szCs w:val="28"/>
              </w:rPr>
            </w:pPr>
            <w:bookmarkStart w:id="706" w:name="_Toc22925"/>
            <w:bookmarkStart w:id="707" w:name="_Toc13675"/>
            <w:bookmarkStart w:id="708" w:name="_Toc21952"/>
            <w:bookmarkStart w:id="709" w:name="_Toc29919"/>
            <w:bookmarkStart w:id="710" w:name="_Toc688"/>
            <w:bookmarkStart w:id="711" w:name="_Toc6181"/>
            <w:r>
              <w:rPr>
                <w:rFonts w:hint="eastAsia" w:ascii="仿宋" w:hAnsi="仿宋" w:eastAsia="仿宋" w:cs="仿宋"/>
                <w:bCs/>
                <w:color w:val="auto"/>
                <w:sz w:val="28"/>
                <w:szCs w:val="28"/>
              </w:rPr>
              <w:t>5</w:t>
            </w:r>
            <w:bookmarkEnd w:id="706"/>
            <w:bookmarkEnd w:id="707"/>
            <w:bookmarkEnd w:id="708"/>
            <w:bookmarkEnd w:id="709"/>
            <w:bookmarkEnd w:id="710"/>
            <w:bookmarkEnd w:id="711"/>
          </w:p>
        </w:tc>
        <w:tc>
          <w:tcPr>
            <w:tcW w:w="6015" w:type="dxa"/>
            <w:noWrap w:val="0"/>
            <w:vAlign w:val="center"/>
          </w:tcPr>
          <w:p w14:paraId="02B697E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yellow"/>
              </w:rPr>
            </w:pPr>
            <w:r>
              <w:rPr>
                <w:rFonts w:hint="eastAsia" w:ascii="仿宋" w:hAnsi="仿宋" w:eastAsia="仿宋" w:cs="仿宋"/>
                <w:color w:val="auto"/>
                <w:sz w:val="28"/>
                <w:szCs w:val="28"/>
                <w:lang w:val="en-US" w:eastAsia="zh-CN"/>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单（黑名单）；将拒绝其参加本次招标活动；</w:t>
            </w:r>
          </w:p>
        </w:tc>
        <w:tc>
          <w:tcPr>
            <w:tcW w:w="780" w:type="dxa"/>
            <w:noWrap w:val="0"/>
            <w:vAlign w:val="top"/>
          </w:tcPr>
          <w:p w14:paraId="59E7F0DB">
            <w:pPr>
              <w:spacing w:line="440" w:lineRule="exact"/>
              <w:jc w:val="left"/>
              <w:outlineLvl w:val="9"/>
              <w:rPr>
                <w:rFonts w:hint="eastAsia" w:ascii="仿宋" w:hAnsi="仿宋" w:eastAsia="仿宋" w:cs="仿宋"/>
                <w:bCs/>
                <w:color w:val="auto"/>
                <w:sz w:val="28"/>
                <w:szCs w:val="28"/>
              </w:rPr>
            </w:pPr>
          </w:p>
        </w:tc>
        <w:tc>
          <w:tcPr>
            <w:tcW w:w="699" w:type="dxa"/>
            <w:noWrap w:val="0"/>
            <w:vAlign w:val="top"/>
          </w:tcPr>
          <w:p w14:paraId="72F55FEF">
            <w:pPr>
              <w:spacing w:line="440" w:lineRule="exact"/>
              <w:jc w:val="left"/>
              <w:outlineLvl w:val="9"/>
              <w:rPr>
                <w:rFonts w:hint="eastAsia" w:ascii="仿宋" w:hAnsi="仿宋" w:eastAsia="仿宋" w:cs="仿宋"/>
                <w:bCs/>
                <w:color w:val="auto"/>
                <w:sz w:val="28"/>
                <w:szCs w:val="28"/>
              </w:rPr>
            </w:pPr>
          </w:p>
        </w:tc>
      </w:tr>
      <w:tr w14:paraId="1231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78" w:type="dxa"/>
            <w:vMerge w:val="continue"/>
            <w:noWrap w:val="0"/>
            <w:vAlign w:val="center"/>
          </w:tcPr>
          <w:p w14:paraId="01F70F32">
            <w:pPr>
              <w:spacing w:line="440" w:lineRule="exact"/>
              <w:jc w:val="center"/>
              <w:outlineLvl w:val="9"/>
              <w:rPr>
                <w:rFonts w:hint="eastAsia" w:ascii="仿宋" w:hAnsi="仿宋" w:eastAsia="仿宋" w:cs="仿宋"/>
                <w:bCs/>
                <w:color w:val="auto"/>
                <w:sz w:val="28"/>
                <w:szCs w:val="28"/>
              </w:rPr>
            </w:pPr>
          </w:p>
        </w:tc>
        <w:tc>
          <w:tcPr>
            <w:tcW w:w="768" w:type="dxa"/>
            <w:noWrap w:val="0"/>
            <w:vAlign w:val="center"/>
          </w:tcPr>
          <w:p w14:paraId="76ED330E">
            <w:pPr>
              <w:spacing w:line="440" w:lineRule="exact"/>
              <w:jc w:val="center"/>
              <w:outlineLvl w:val="0"/>
              <w:rPr>
                <w:rFonts w:hint="eastAsia" w:ascii="仿宋" w:hAnsi="仿宋" w:eastAsia="仿宋" w:cs="仿宋"/>
                <w:bCs/>
                <w:color w:val="auto"/>
                <w:sz w:val="28"/>
                <w:szCs w:val="28"/>
              </w:rPr>
            </w:pPr>
            <w:bookmarkStart w:id="712" w:name="_Toc21336"/>
            <w:bookmarkStart w:id="713" w:name="_Toc23129"/>
            <w:bookmarkStart w:id="714" w:name="_Toc7982"/>
            <w:bookmarkStart w:id="715" w:name="_Toc15835"/>
            <w:r>
              <w:rPr>
                <w:rFonts w:hint="eastAsia" w:ascii="仿宋" w:hAnsi="仿宋" w:eastAsia="仿宋" w:cs="仿宋"/>
                <w:bCs/>
                <w:color w:val="auto"/>
                <w:sz w:val="28"/>
                <w:szCs w:val="28"/>
              </w:rPr>
              <w:t>6</w:t>
            </w:r>
            <w:bookmarkEnd w:id="712"/>
            <w:bookmarkEnd w:id="713"/>
            <w:bookmarkEnd w:id="714"/>
            <w:bookmarkEnd w:id="715"/>
          </w:p>
        </w:tc>
        <w:tc>
          <w:tcPr>
            <w:tcW w:w="6015" w:type="dxa"/>
            <w:noWrap w:val="0"/>
            <w:vAlign w:val="center"/>
          </w:tcPr>
          <w:p w14:paraId="676C69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提供针对本次项目《反商业贿赂承诺书》</w:t>
            </w:r>
          </w:p>
        </w:tc>
        <w:tc>
          <w:tcPr>
            <w:tcW w:w="780" w:type="dxa"/>
            <w:noWrap w:val="0"/>
            <w:vAlign w:val="top"/>
          </w:tcPr>
          <w:p w14:paraId="5BC14252">
            <w:pPr>
              <w:spacing w:line="440" w:lineRule="exact"/>
              <w:jc w:val="left"/>
              <w:outlineLvl w:val="9"/>
              <w:rPr>
                <w:rFonts w:hint="eastAsia" w:ascii="仿宋" w:hAnsi="仿宋" w:eastAsia="仿宋" w:cs="仿宋"/>
                <w:bCs/>
                <w:color w:val="auto"/>
                <w:sz w:val="28"/>
                <w:szCs w:val="28"/>
              </w:rPr>
            </w:pPr>
          </w:p>
        </w:tc>
        <w:tc>
          <w:tcPr>
            <w:tcW w:w="699" w:type="dxa"/>
            <w:noWrap w:val="0"/>
            <w:vAlign w:val="top"/>
          </w:tcPr>
          <w:p w14:paraId="4025ED96">
            <w:pPr>
              <w:spacing w:line="440" w:lineRule="exact"/>
              <w:jc w:val="left"/>
              <w:outlineLvl w:val="9"/>
              <w:rPr>
                <w:rFonts w:hint="eastAsia" w:ascii="仿宋" w:hAnsi="仿宋" w:eastAsia="仿宋" w:cs="仿宋"/>
                <w:bCs/>
                <w:color w:val="auto"/>
                <w:sz w:val="28"/>
                <w:szCs w:val="28"/>
              </w:rPr>
            </w:pPr>
          </w:p>
        </w:tc>
      </w:tr>
      <w:tr w14:paraId="649E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78" w:type="dxa"/>
            <w:vMerge w:val="continue"/>
            <w:noWrap w:val="0"/>
            <w:vAlign w:val="center"/>
          </w:tcPr>
          <w:p w14:paraId="19C67269">
            <w:pPr>
              <w:spacing w:line="440" w:lineRule="exact"/>
              <w:jc w:val="center"/>
              <w:outlineLvl w:val="9"/>
              <w:rPr>
                <w:rFonts w:hint="eastAsia" w:ascii="仿宋" w:hAnsi="仿宋" w:eastAsia="仿宋" w:cs="仿宋"/>
                <w:bCs/>
                <w:color w:val="auto"/>
                <w:sz w:val="28"/>
                <w:szCs w:val="28"/>
              </w:rPr>
            </w:pPr>
          </w:p>
        </w:tc>
        <w:tc>
          <w:tcPr>
            <w:tcW w:w="768" w:type="dxa"/>
            <w:noWrap w:val="0"/>
            <w:vAlign w:val="center"/>
          </w:tcPr>
          <w:p w14:paraId="0F6982E3">
            <w:pPr>
              <w:spacing w:line="440" w:lineRule="exact"/>
              <w:jc w:val="center"/>
              <w:outlineLvl w:val="0"/>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7</w:t>
            </w:r>
          </w:p>
        </w:tc>
        <w:tc>
          <w:tcPr>
            <w:tcW w:w="6015" w:type="dxa"/>
            <w:noWrap w:val="0"/>
            <w:vAlign w:val="center"/>
          </w:tcPr>
          <w:p w14:paraId="2746B9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参加政府采购活动前三年内在经营活动中没有重大违法记录的书面声明</w:t>
            </w:r>
          </w:p>
        </w:tc>
        <w:tc>
          <w:tcPr>
            <w:tcW w:w="780" w:type="dxa"/>
            <w:noWrap w:val="0"/>
            <w:vAlign w:val="top"/>
          </w:tcPr>
          <w:p w14:paraId="0BAE1167">
            <w:pPr>
              <w:spacing w:line="440" w:lineRule="exact"/>
              <w:jc w:val="left"/>
              <w:outlineLvl w:val="9"/>
              <w:rPr>
                <w:rFonts w:hint="eastAsia" w:ascii="仿宋" w:hAnsi="仿宋" w:eastAsia="仿宋" w:cs="仿宋"/>
                <w:bCs/>
                <w:color w:val="auto"/>
                <w:sz w:val="28"/>
                <w:szCs w:val="28"/>
              </w:rPr>
            </w:pPr>
          </w:p>
        </w:tc>
        <w:tc>
          <w:tcPr>
            <w:tcW w:w="699" w:type="dxa"/>
            <w:noWrap w:val="0"/>
            <w:vAlign w:val="top"/>
          </w:tcPr>
          <w:p w14:paraId="0C8B6F35">
            <w:pPr>
              <w:spacing w:line="440" w:lineRule="exact"/>
              <w:jc w:val="left"/>
              <w:outlineLvl w:val="9"/>
              <w:rPr>
                <w:rFonts w:hint="eastAsia" w:ascii="仿宋" w:hAnsi="仿宋" w:eastAsia="仿宋" w:cs="仿宋"/>
                <w:bCs/>
                <w:color w:val="auto"/>
                <w:sz w:val="28"/>
                <w:szCs w:val="28"/>
              </w:rPr>
            </w:pPr>
          </w:p>
        </w:tc>
      </w:tr>
      <w:tr w14:paraId="345F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78" w:type="dxa"/>
            <w:vMerge w:val="continue"/>
            <w:noWrap w:val="0"/>
            <w:vAlign w:val="center"/>
          </w:tcPr>
          <w:p w14:paraId="1B701D5E">
            <w:pPr>
              <w:spacing w:line="440" w:lineRule="exact"/>
              <w:jc w:val="center"/>
              <w:outlineLvl w:val="9"/>
              <w:rPr>
                <w:rFonts w:hint="eastAsia" w:ascii="仿宋" w:hAnsi="仿宋" w:eastAsia="仿宋" w:cs="仿宋"/>
                <w:bCs/>
                <w:color w:val="auto"/>
                <w:sz w:val="28"/>
                <w:szCs w:val="28"/>
              </w:rPr>
            </w:pPr>
          </w:p>
        </w:tc>
        <w:tc>
          <w:tcPr>
            <w:tcW w:w="768" w:type="dxa"/>
            <w:noWrap w:val="0"/>
            <w:vAlign w:val="center"/>
          </w:tcPr>
          <w:p w14:paraId="25F21C3D">
            <w:pPr>
              <w:spacing w:line="440" w:lineRule="exact"/>
              <w:jc w:val="center"/>
              <w:outlineLvl w:val="0"/>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8</w:t>
            </w:r>
          </w:p>
        </w:tc>
        <w:tc>
          <w:tcPr>
            <w:tcW w:w="6015" w:type="dxa"/>
            <w:noWrap w:val="0"/>
            <w:vAlign w:val="center"/>
          </w:tcPr>
          <w:p w14:paraId="3339C30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供应商应为中小企业</w:t>
            </w:r>
          </w:p>
        </w:tc>
        <w:tc>
          <w:tcPr>
            <w:tcW w:w="780" w:type="dxa"/>
            <w:noWrap w:val="0"/>
            <w:vAlign w:val="top"/>
          </w:tcPr>
          <w:p w14:paraId="5DA5C8B2">
            <w:pPr>
              <w:spacing w:line="440" w:lineRule="exact"/>
              <w:jc w:val="left"/>
              <w:outlineLvl w:val="9"/>
              <w:rPr>
                <w:rFonts w:hint="eastAsia" w:ascii="仿宋" w:hAnsi="仿宋" w:eastAsia="仿宋" w:cs="仿宋"/>
                <w:bCs/>
                <w:color w:val="auto"/>
                <w:sz w:val="28"/>
                <w:szCs w:val="28"/>
              </w:rPr>
            </w:pPr>
          </w:p>
        </w:tc>
        <w:tc>
          <w:tcPr>
            <w:tcW w:w="699" w:type="dxa"/>
            <w:noWrap w:val="0"/>
            <w:vAlign w:val="top"/>
          </w:tcPr>
          <w:p w14:paraId="0A455325">
            <w:pPr>
              <w:spacing w:line="440" w:lineRule="exact"/>
              <w:jc w:val="left"/>
              <w:outlineLvl w:val="9"/>
              <w:rPr>
                <w:rFonts w:hint="eastAsia" w:ascii="仿宋" w:hAnsi="仿宋" w:eastAsia="仿宋" w:cs="仿宋"/>
                <w:bCs/>
                <w:color w:val="auto"/>
                <w:sz w:val="28"/>
                <w:szCs w:val="28"/>
              </w:rPr>
            </w:pPr>
          </w:p>
        </w:tc>
      </w:tr>
      <w:tr w14:paraId="45E5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78" w:type="dxa"/>
            <w:vMerge w:val="continue"/>
            <w:noWrap w:val="0"/>
            <w:vAlign w:val="center"/>
          </w:tcPr>
          <w:p w14:paraId="55305DDB">
            <w:pPr>
              <w:spacing w:line="440" w:lineRule="exact"/>
              <w:jc w:val="center"/>
              <w:outlineLvl w:val="9"/>
              <w:rPr>
                <w:rFonts w:hint="eastAsia" w:ascii="仿宋" w:hAnsi="仿宋" w:eastAsia="仿宋" w:cs="仿宋"/>
                <w:color w:val="auto"/>
                <w:sz w:val="28"/>
                <w:szCs w:val="28"/>
              </w:rPr>
            </w:pPr>
          </w:p>
        </w:tc>
        <w:tc>
          <w:tcPr>
            <w:tcW w:w="768" w:type="dxa"/>
            <w:noWrap w:val="0"/>
            <w:vAlign w:val="center"/>
          </w:tcPr>
          <w:p w14:paraId="6E2AF348">
            <w:pPr>
              <w:spacing w:line="440" w:lineRule="exact"/>
              <w:jc w:val="center"/>
              <w:outlineLvl w:val="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9</w:t>
            </w:r>
          </w:p>
        </w:tc>
        <w:tc>
          <w:tcPr>
            <w:tcW w:w="6015" w:type="dxa"/>
            <w:noWrap w:val="0"/>
            <w:vAlign w:val="center"/>
          </w:tcPr>
          <w:p w14:paraId="537463D8">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lang w:val="en-US" w:eastAsia="zh-CN"/>
              </w:rPr>
              <w:t>特定资格要求：</w:t>
            </w:r>
            <w:r>
              <w:rPr>
                <w:rFonts w:hint="eastAsia" w:ascii="仿宋" w:hAnsi="仿宋" w:eastAsia="仿宋" w:cs="仿宋"/>
                <w:b/>
                <w:bCs/>
                <w:color w:val="auto"/>
                <w:sz w:val="28"/>
                <w:szCs w:val="28"/>
                <w:shd w:val="clear" w:color="auto" w:fill="FFFFFF"/>
                <w:lang w:val="en-US" w:eastAsia="zh-CN"/>
              </w:rPr>
              <w:t>标项一：</w:t>
            </w:r>
            <w:r>
              <w:rPr>
                <w:rFonts w:hint="eastAsia" w:ascii="仿宋" w:hAnsi="仿宋" w:eastAsia="仿宋" w:cs="仿宋"/>
                <w:color w:val="auto"/>
                <w:sz w:val="28"/>
                <w:szCs w:val="28"/>
                <w:shd w:val="clear" w:color="auto" w:fill="FFFFFF"/>
                <w:lang w:eastAsia="zh-CN"/>
              </w:rPr>
              <w:t>具备有效的《飞防经营许可证、商业运行合格证》</w:t>
            </w:r>
            <w:r>
              <w:rPr>
                <w:rFonts w:hint="eastAsia" w:ascii="仿宋" w:hAnsi="仿宋" w:eastAsia="仿宋" w:cs="仿宋"/>
                <w:color w:val="auto"/>
                <w:sz w:val="28"/>
                <w:szCs w:val="28"/>
                <w:shd w:val="clear" w:color="auto" w:fill="FFFFFF"/>
                <w:lang w:val="en-US" w:eastAsia="zh-CN"/>
              </w:rPr>
              <w:t>或通航公司应具备《中华人民共和国航空法》及《一般运行和飞行规则》规定的资质。提供通航公司经营许可证、商业（非运输）运行合格证。</w:t>
            </w:r>
          </w:p>
          <w:p w14:paraId="3A65009C">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shd w:val="clear" w:color="auto" w:fill="FFFFFF"/>
                <w:lang w:val="en-US" w:eastAsia="zh-CN"/>
              </w:rPr>
              <w:t>标项三、四：</w:t>
            </w:r>
            <w:r>
              <w:rPr>
                <w:rFonts w:hint="eastAsia" w:ascii="仿宋" w:hAnsi="仿宋" w:eastAsia="仿宋" w:cs="仿宋"/>
                <w:color w:val="auto"/>
                <w:sz w:val="28"/>
                <w:szCs w:val="28"/>
                <w:shd w:val="clear" w:color="auto" w:fill="FFFFFF"/>
                <w:lang w:val="en-US" w:eastAsia="zh-CN"/>
              </w:rPr>
              <w:t>（1）投标人为生产厂家的需提供在有效期内的农药登记证、农药生产许可证；</w:t>
            </w:r>
            <w:r>
              <w:rPr>
                <w:rFonts w:hint="eastAsia" w:ascii="仿宋" w:hAnsi="仿宋" w:eastAsia="仿宋" w:cs="仿宋"/>
                <w:color w:val="auto"/>
                <w:sz w:val="28"/>
                <w:szCs w:val="28"/>
                <w:shd w:val="clear" w:color="auto" w:fill="FFFFFF"/>
                <w:lang w:val="en-US" w:eastAsia="zh-CN"/>
              </w:rPr>
              <w:br w:type="textWrapping"/>
            </w:r>
            <w:r>
              <w:rPr>
                <w:rFonts w:hint="eastAsia" w:ascii="仿宋" w:hAnsi="仿宋" w:eastAsia="仿宋" w:cs="仿宋"/>
                <w:color w:val="auto"/>
                <w:sz w:val="28"/>
                <w:szCs w:val="28"/>
                <w:shd w:val="clear" w:color="auto" w:fill="FFFFFF"/>
                <w:lang w:val="en-US" w:eastAsia="zh-CN"/>
              </w:rPr>
              <w:t>（2）投标人为经销商的需提供农药经营许可证和生产厂家的农药农药生产许可证及农药登记证的复印件</w:t>
            </w:r>
            <w:r>
              <w:rPr>
                <w:rFonts w:hint="eastAsia" w:ascii="仿宋" w:hAnsi="仿宋" w:eastAsia="仿宋" w:cs="仿宋"/>
                <w:color w:val="auto"/>
                <w:sz w:val="28"/>
                <w:szCs w:val="28"/>
                <w:shd w:val="clear" w:color="auto" w:fill="FFFFFF"/>
                <w:lang w:eastAsia="zh-CN"/>
              </w:rPr>
              <w:t>。</w:t>
            </w:r>
          </w:p>
        </w:tc>
        <w:tc>
          <w:tcPr>
            <w:tcW w:w="780" w:type="dxa"/>
            <w:noWrap w:val="0"/>
            <w:vAlign w:val="top"/>
          </w:tcPr>
          <w:p w14:paraId="7834298F">
            <w:pPr>
              <w:spacing w:line="440" w:lineRule="exact"/>
              <w:jc w:val="left"/>
              <w:outlineLvl w:val="9"/>
              <w:rPr>
                <w:rFonts w:hint="eastAsia" w:ascii="仿宋" w:hAnsi="仿宋" w:eastAsia="仿宋" w:cs="仿宋"/>
                <w:bCs/>
                <w:color w:val="auto"/>
                <w:sz w:val="28"/>
                <w:szCs w:val="28"/>
              </w:rPr>
            </w:pPr>
          </w:p>
        </w:tc>
        <w:tc>
          <w:tcPr>
            <w:tcW w:w="699" w:type="dxa"/>
            <w:noWrap w:val="0"/>
            <w:vAlign w:val="top"/>
          </w:tcPr>
          <w:p w14:paraId="049B2FAA">
            <w:pPr>
              <w:spacing w:line="440" w:lineRule="exact"/>
              <w:jc w:val="left"/>
              <w:outlineLvl w:val="9"/>
              <w:rPr>
                <w:rFonts w:hint="eastAsia" w:ascii="仿宋" w:hAnsi="仿宋" w:eastAsia="仿宋" w:cs="仿宋"/>
                <w:bCs/>
                <w:color w:val="auto"/>
                <w:sz w:val="28"/>
                <w:szCs w:val="28"/>
              </w:rPr>
            </w:pPr>
          </w:p>
        </w:tc>
      </w:tr>
      <w:tr w14:paraId="72DE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78" w:type="dxa"/>
            <w:vMerge w:val="continue"/>
            <w:noWrap w:val="0"/>
            <w:vAlign w:val="center"/>
          </w:tcPr>
          <w:p w14:paraId="64D07C9B">
            <w:pPr>
              <w:spacing w:line="440" w:lineRule="exact"/>
              <w:jc w:val="left"/>
              <w:outlineLvl w:val="9"/>
              <w:rPr>
                <w:rFonts w:hint="eastAsia" w:ascii="仿宋" w:hAnsi="仿宋" w:eastAsia="仿宋" w:cs="仿宋"/>
                <w:bCs/>
                <w:color w:val="auto"/>
                <w:sz w:val="28"/>
                <w:szCs w:val="28"/>
              </w:rPr>
            </w:pPr>
          </w:p>
        </w:tc>
        <w:tc>
          <w:tcPr>
            <w:tcW w:w="6783" w:type="dxa"/>
            <w:gridSpan w:val="2"/>
            <w:noWrap w:val="0"/>
            <w:vAlign w:val="top"/>
          </w:tcPr>
          <w:p w14:paraId="7444F241">
            <w:pPr>
              <w:spacing w:line="440" w:lineRule="exact"/>
              <w:jc w:val="left"/>
              <w:outlineLvl w:val="0"/>
              <w:rPr>
                <w:rFonts w:hint="eastAsia" w:ascii="仿宋" w:hAnsi="仿宋" w:eastAsia="仿宋" w:cs="仿宋"/>
                <w:bCs/>
                <w:color w:val="auto"/>
                <w:sz w:val="28"/>
                <w:szCs w:val="28"/>
              </w:rPr>
            </w:pPr>
            <w:bookmarkStart w:id="716" w:name="_Toc19470"/>
            <w:bookmarkStart w:id="717" w:name="_Toc30941"/>
            <w:bookmarkStart w:id="718" w:name="_Toc7654"/>
            <w:bookmarkStart w:id="719" w:name="_Toc17053"/>
            <w:bookmarkStart w:id="720" w:name="_Toc5997"/>
            <w:bookmarkStart w:id="721" w:name="_Toc1200"/>
            <w:r>
              <w:rPr>
                <w:rFonts w:hint="eastAsia" w:ascii="仿宋" w:hAnsi="仿宋" w:eastAsia="仿宋" w:cs="仿宋"/>
                <w:bCs/>
                <w:color w:val="auto"/>
                <w:sz w:val="28"/>
                <w:szCs w:val="28"/>
              </w:rPr>
              <w:t>结论：是否通过评审（须填写通过或不通过）</w:t>
            </w:r>
            <w:bookmarkEnd w:id="716"/>
            <w:bookmarkEnd w:id="717"/>
            <w:bookmarkEnd w:id="718"/>
            <w:bookmarkEnd w:id="719"/>
            <w:bookmarkEnd w:id="720"/>
            <w:bookmarkEnd w:id="721"/>
          </w:p>
          <w:p w14:paraId="44EC55EB">
            <w:pPr>
              <w:spacing w:line="440" w:lineRule="exact"/>
              <w:jc w:val="left"/>
              <w:outlineLvl w:val="0"/>
              <w:rPr>
                <w:rFonts w:hint="eastAsia" w:ascii="仿宋" w:hAnsi="仿宋" w:eastAsia="仿宋" w:cs="仿宋"/>
                <w:bCs/>
                <w:color w:val="auto"/>
                <w:sz w:val="28"/>
                <w:szCs w:val="28"/>
              </w:rPr>
            </w:pPr>
            <w:bookmarkStart w:id="722" w:name="_Toc28904"/>
            <w:bookmarkStart w:id="723" w:name="_Toc14588"/>
            <w:bookmarkStart w:id="724" w:name="_Toc5978"/>
            <w:bookmarkStart w:id="725" w:name="_Toc20242"/>
            <w:bookmarkStart w:id="726" w:name="_Toc15064"/>
            <w:bookmarkStart w:id="727" w:name="_Toc25684"/>
            <w:r>
              <w:rPr>
                <w:rFonts w:hint="eastAsia" w:ascii="仿宋" w:hAnsi="仿宋" w:eastAsia="仿宋" w:cs="仿宋"/>
                <w:bCs/>
                <w:color w:val="auto"/>
                <w:sz w:val="28"/>
                <w:szCs w:val="28"/>
              </w:rPr>
              <w:t>注：如有一项不合格，作废标处理。</w:t>
            </w:r>
            <w:bookmarkEnd w:id="722"/>
            <w:bookmarkEnd w:id="723"/>
            <w:bookmarkEnd w:id="724"/>
            <w:bookmarkEnd w:id="725"/>
            <w:bookmarkEnd w:id="726"/>
            <w:bookmarkEnd w:id="727"/>
          </w:p>
        </w:tc>
        <w:tc>
          <w:tcPr>
            <w:tcW w:w="1479" w:type="dxa"/>
            <w:gridSpan w:val="2"/>
            <w:noWrap w:val="0"/>
            <w:vAlign w:val="top"/>
          </w:tcPr>
          <w:p w14:paraId="50E6CE7B">
            <w:pPr>
              <w:spacing w:line="440" w:lineRule="exact"/>
              <w:jc w:val="left"/>
              <w:outlineLvl w:val="9"/>
              <w:rPr>
                <w:rFonts w:hint="eastAsia" w:ascii="仿宋" w:hAnsi="仿宋" w:eastAsia="仿宋" w:cs="仿宋"/>
                <w:bCs/>
                <w:color w:val="auto"/>
                <w:sz w:val="28"/>
                <w:szCs w:val="28"/>
              </w:rPr>
            </w:pPr>
          </w:p>
        </w:tc>
      </w:tr>
    </w:tbl>
    <w:p w14:paraId="5BCC041F">
      <w:pPr>
        <w:spacing w:line="440" w:lineRule="exact"/>
        <w:jc w:val="left"/>
        <w:rPr>
          <w:rFonts w:hint="eastAsia" w:ascii="仿宋" w:hAnsi="仿宋" w:eastAsia="仿宋" w:cs="仿宋"/>
          <w:b/>
          <w:color w:val="auto"/>
          <w:sz w:val="28"/>
          <w:szCs w:val="28"/>
        </w:rPr>
      </w:pPr>
      <w:r>
        <w:rPr>
          <w:rFonts w:hint="eastAsia" w:ascii="仿宋" w:hAnsi="仿宋" w:eastAsia="仿宋" w:cs="仿宋"/>
          <w:bCs/>
          <w:color w:val="auto"/>
          <w:sz w:val="28"/>
          <w:szCs w:val="28"/>
        </w:rPr>
        <w:t>通过上述资格性检查，可初步判定投标人的投标文件是否符合招标文件的要求。对于上述审查内容，投标人必须响应，否则其投标文件作废标处理。</w:t>
      </w:r>
    </w:p>
    <w:p w14:paraId="6DDEC51E">
      <w:pPr>
        <w:spacing w:line="440" w:lineRule="exact"/>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br w:type="page"/>
      </w:r>
      <w:r>
        <w:rPr>
          <w:rFonts w:hint="eastAsia" w:ascii="仿宋" w:hAnsi="仿宋" w:eastAsia="仿宋" w:cs="仿宋"/>
          <w:b/>
          <w:color w:val="auto"/>
          <w:sz w:val="32"/>
          <w:szCs w:val="32"/>
        </w:rPr>
        <w:t>符合性</w:t>
      </w:r>
      <w:r>
        <w:rPr>
          <w:rFonts w:hint="eastAsia" w:ascii="仿宋" w:hAnsi="仿宋" w:eastAsia="仿宋" w:cs="仿宋"/>
          <w:b/>
          <w:color w:val="auto"/>
          <w:sz w:val="32"/>
          <w:szCs w:val="32"/>
          <w:lang w:val="en-US" w:eastAsia="zh-CN"/>
        </w:rPr>
        <w:t>审查</w:t>
      </w:r>
    </w:p>
    <w:tbl>
      <w:tblPr>
        <w:tblStyle w:val="38"/>
        <w:tblpPr w:leftFromText="180" w:rightFromText="180" w:vertAnchor="text" w:horzAnchor="margin" w:tblpXSpec="center" w:tblpY="781"/>
        <w:tblW w:w="97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598"/>
        <w:gridCol w:w="6090"/>
        <w:gridCol w:w="814"/>
        <w:gridCol w:w="709"/>
        <w:gridCol w:w="709"/>
      </w:tblGrid>
      <w:tr w14:paraId="5D3F5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28" w:type="dxa"/>
            <w:tcBorders>
              <w:top w:val="single" w:color="auto" w:sz="4" w:space="0"/>
              <w:left w:val="single" w:color="auto" w:sz="4" w:space="0"/>
            </w:tcBorders>
            <w:noWrap w:val="0"/>
            <w:vAlign w:val="center"/>
          </w:tcPr>
          <w:p w14:paraId="065BDA0A">
            <w:pPr>
              <w:spacing w:line="440" w:lineRule="exact"/>
              <w:jc w:val="left"/>
              <w:outlineLvl w:val="0"/>
              <w:rPr>
                <w:rFonts w:hint="eastAsia" w:ascii="仿宋" w:hAnsi="仿宋" w:eastAsia="仿宋" w:cs="仿宋"/>
                <w:b/>
                <w:color w:val="auto"/>
                <w:sz w:val="30"/>
                <w:szCs w:val="30"/>
              </w:rPr>
            </w:pPr>
            <w:bookmarkStart w:id="728" w:name="_Toc32732"/>
            <w:bookmarkStart w:id="729" w:name="_Toc26344"/>
            <w:bookmarkStart w:id="730" w:name="_Toc14848"/>
            <w:bookmarkStart w:id="731" w:name="_Toc10847"/>
            <w:bookmarkStart w:id="732" w:name="_Toc10725"/>
            <w:bookmarkStart w:id="733" w:name="_Toc12388"/>
            <w:r>
              <w:rPr>
                <w:rFonts w:hint="eastAsia" w:ascii="仿宋" w:hAnsi="仿宋" w:eastAsia="仿宋" w:cs="仿宋"/>
                <w:b/>
                <w:color w:val="auto"/>
                <w:sz w:val="30"/>
                <w:szCs w:val="30"/>
              </w:rPr>
              <w:t>项目</w:t>
            </w:r>
            <w:bookmarkEnd w:id="728"/>
            <w:bookmarkEnd w:id="729"/>
            <w:bookmarkEnd w:id="730"/>
            <w:bookmarkEnd w:id="731"/>
            <w:bookmarkEnd w:id="732"/>
            <w:bookmarkEnd w:id="733"/>
          </w:p>
        </w:tc>
        <w:tc>
          <w:tcPr>
            <w:tcW w:w="6688" w:type="dxa"/>
            <w:gridSpan w:val="2"/>
            <w:tcBorders>
              <w:top w:val="single" w:color="auto" w:sz="4" w:space="0"/>
            </w:tcBorders>
            <w:noWrap w:val="0"/>
            <w:vAlign w:val="center"/>
          </w:tcPr>
          <w:p w14:paraId="221135C1">
            <w:pPr>
              <w:spacing w:line="440" w:lineRule="exact"/>
              <w:jc w:val="center"/>
              <w:outlineLvl w:val="0"/>
              <w:rPr>
                <w:rFonts w:hint="eastAsia" w:ascii="仿宋" w:hAnsi="仿宋" w:eastAsia="仿宋" w:cs="仿宋"/>
                <w:b/>
                <w:color w:val="auto"/>
                <w:sz w:val="30"/>
                <w:szCs w:val="30"/>
              </w:rPr>
            </w:pPr>
            <w:bookmarkStart w:id="734" w:name="_Toc11315"/>
            <w:bookmarkStart w:id="735" w:name="_Toc6441"/>
            <w:bookmarkStart w:id="736" w:name="_Toc14199"/>
            <w:bookmarkStart w:id="737" w:name="_Toc20849"/>
            <w:bookmarkStart w:id="738" w:name="_Toc19595"/>
            <w:bookmarkStart w:id="739" w:name="_Toc3738"/>
            <w:r>
              <w:rPr>
                <w:rFonts w:hint="eastAsia" w:ascii="仿宋" w:hAnsi="仿宋" w:eastAsia="仿宋" w:cs="仿宋"/>
                <w:b/>
                <w:color w:val="auto"/>
                <w:sz w:val="30"/>
                <w:szCs w:val="30"/>
              </w:rPr>
              <w:t>评审内容</w:t>
            </w:r>
            <w:bookmarkEnd w:id="734"/>
            <w:bookmarkEnd w:id="735"/>
            <w:bookmarkEnd w:id="736"/>
            <w:bookmarkEnd w:id="737"/>
            <w:bookmarkEnd w:id="738"/>
            <w:bookmarkEnd w:id="739"/>
          </w:p>
        </w:tc>
        <w:tc>
          <w:tcPr>
            <w:tcW w:w="2232" w:type="dxa"/>
            <w:gridSpan w:val="3"/>
            <w:tcBorders>
              <w:top w:val="single" w:color="auto" w:sz="4" w:space="0"/>
              <w:right w:val="single" w:color="auto" w:sz="4" w:space="0"/>
            </w:tcBorders>
            <w:noWrap w:val="0"/>
            <w:vAlign w:val="center"/>
          </w:tcPr>
          <w:p w14:paraId="3B8AB819">
            <w:pPr>
              <w:spacing w:line="440" w:lineRule="exact"/>
              <w:jc w:val="center"/>
              <w:outlineLvl w:val="0"/>
              <w:rPr>
                <w:rFonts w:hint="eastAsia" w:ascii="仿宋" w:hAnsi="仿宋" w:eastAsia="仿宋" w:cs="仿宋"/>
                <w:b/>
                <w:color w:val="auto"/>
                <w:sz w:val="32"/>
                <w:szCs w:val="30"/>
              </w:rPr>
            </w:pPr>
            <w:bookmarkStart w:id="740" w:name="_Toc30281"/>
            <w:bookmarkStart w:id="741" w:name="_Toc28388"/>
            <w:bookmarkStart w:id="742" w:name="_Toc9162"/>
            <w:bookmarkStart w:id="743" w:name="_Toc20503"/>
            <w:bookmarkStart w:id="744" w:name="_Toc22020"/>
            <w:bookmarkStart w:id="745" w:name="_Toc13015"/>
            <w:r>
              <w:rPr>
                <w:rFonts w:hint="eastAsia" w:ascii="仿宋" w:hAnsi="仿宋" w:eastAsia="仿宋" w:cs="仿宋"/>
                <w:b/>
                <w:color w:val="auto"/>
                <w:sz w:val="32"/>
                <w:szCs w:val="30"/>
              </w:rPr>
              <w:t>投标单位</w:t>
            </w:r>
            <w:bookmarkEnd w:id="740"/>
            <w:bookmarkEnd w:id="741"/>
            <w:bookmarkEnd w:id="742"/>
            <w:bookmarkEnd w:id="743"/>
            <w:bookmarkEnd w:id="744"/>
            <w:bookmarkEnd w:id="745"/>
          </w:p>
        </w:tc>
      </w:tr>
      <w:tr w14:paraId="394BE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28" w:type="dxa"/>
            <w:tcBorders>
              <w:left w:val="single" w:color="auto" w:sz="4" w:space="0"/>
              <w:bottom w:val="single" w:color="auto" w:sz="4" w:space="0"/>
            </w:tcBorders>
            <w:noWrap w:val="0"/>
            <w:vAlign w:val="center"/>
          </w:tcPr>
          <w:p w14:paraId="03A2767A">
            <w:pPr>
              <w:spacing w:line="440" w:lineRule="exact"/>
              <w:jc w:val="left"/>
              <w:outlineLvl w:val="9"/>
              <w:rPr>
                <w:rFonts w:hint="eastAsia" w:ascii="仿宋" w:hAnsi="仿宋" w:eastAsia="仿宋" w:cs="仿宋"/>
                <w:bCs/>
                <w:color w:val="auto"/>
                <w:sz w:val="28"/>
                <w:szCs w:val="28"/>
              </w:rPr>
            </w:pPr>
          </w:p>
        </w:tc>
        <w:tc>
          <w:tcPr>
            <w:tcW w:w="6688" w:type="dxa"/>
            <w:gridSpan w:val="2"/>
            <w:tcBorders>
              <w:bottom w:val="single" w:color="auto" w:sz="4" w:space="0"/>
            </w:tcBorders>
            <w:noWrap w:val="0"/>
            <w:vAlign w:val="top"/>
          </w:tcPr>
          <w:p w14:paraId="50B6223D">
            <w:pPr>
              <w:spacing w:line="440" w:lineRule="exact"/>
              <w:jc w:val="left"/>
              <w:outlineLvl w:val="9"/>
              <w:rPr>
                <w:rFonts w:hint="eastAsia" w:ascii="仿宋" w:hAnsi="仿宋" w:eastAsia="仿宋" w:cs="仿宋"/>
                <w:bCs/>
                <w:color w:val="auto"/>
                <w:sz w:val="28"/>
                <w:szCs w:val="28"/>
              </w:rPr>
            </w:pPr>
          </w:p>
        </w:tc>
        <w:tc>
          <w:tcPr>
            <w:tcW w:w="814" w:type="dxa"/>
            <w:noWrap w:val="0"/>
            <w:vAlign w:val="center"/>
          </w:tcPr>
          <w:p w14:paraId="3B7ED2E2">
            <w:pPr>
              <w:spacing w:line="440" w:lineRule="exact"/>
              <w:jc w:val="center"/>
              <w:outlineLvl w:val="0"/>
              <w:rPr>
                <w:rFonts w:hint="eastAsia" w:ascii="仿宋" w:hAnsi="仿宋" w:eastAsia="仿宋" w:cs="仿宋"/>
                <w:b/>
                <w:color w:val="auto"/>
                <w:szCs w:val="21"/>
              </w:rPr>
            </w:pPr>
            <w:bookmarkStart w:id="746" w:name="_Toc20381"/>
            <w:bookmarkStart w:id="747" w:name="_Toc10920"/>
            <w:bookmarkStart w:id="748" w:name="_Toc23280"/>
            <w:bookmarkStart w:id="749" w:name="_Toc9973"/>
            <w:bookmarkStart w:id="750" w:name="_Toc7650"/>
            <w:bookmarkStart w:id="751" w:name="_Toc28698"/>
            <w:r>
              <w:rPr>
                <w:rFonts w:hint="eastAsia" w:ascii="仿宋" w:hAnsi="仿宋" w:eastAsia="仿宋" w:cs="仿宋"/>
                <w:b/>
                <w:color w:val="auto"/>
                <w:szCs w:val="21"/>
              </w:rPr>
              <w:t>A</w:t>
            </w:r>
            <w:bookmarkEnd w:id="746"/>
            <w:bookmarkEnd w:id="747"/>
            <w:bookmarkEnd w:id="748"/>
            <w:bookmarkEnd w:id="749"/>
            <w:bookmarkEnd w:id="750"/>
            <w:bookmarkEnd w:id="751"/>
          </w:p>
        </w:tc>
        <w:tc>
          <w:tcPr>
            <w:tcW w:w="709" w:type="dxa"/>
            <w:tcBorders>
              <w:right w:val="single" w:color="auto" w:sz="4" w:space="0"/>
            </w:tcBorders>
            <w:noWrap w:val="0"/>
            <w:vAlign w:val="center"/>
          </w:tcPr>
          <w:p w14:paraId="7744B1CA">
            <w:pPr>
              <w:spacing w:line="440" w:lineRule="exact"/>
              <w:jc w:val="center"/>
              <w:outlineLvl w:val="0"/>
              <w:rPr>
                <w:rFonts w:hint="eastAsia" w:ascii="仿宋" w:hAnsi="仿宋" w:eastAsia="仿宋" w:cs="仿宋"/>
                <w:b/>
                <w:color w:val="auto"/>
                <w:szCs w:val="21"/>
              </w:rPr>
            </w:pPr>
            <w:bookmarkStart w:id="752" w:name="_Toc5573"/>
            <w:bookmarkStart w:id="753" w:name="_Toc4118"/>
            <w:bookmarkStart w:id="754" w:name="_Toc12267"/>
            <w:bookmarkStart w:id="755" w:name="_Toc15523"/>
            <w:bookmarkStart w:id="756" w:name="_Toc21885"/>
            <w:bookmarkStart w:id="757" w:name="_Toc5401"/>
            <w:r>
              <w:rPr>
                <w:rFonts w:hint="eastAsia" w:ascii="仿宋" w:hAnsi="仿宋" w:eastAsia="仿宋" w:cs="仿宋"/>
                <w:b/>
                <w:color w:val="auto"/>
                <w:szCs w:val="21"/>
              </w:rPr>
              <w:t>B</w:t>
            </w:r>
            <w:bookmarkEnd w:id="752"/>
            <w:bookmarkEnd w:id="753"/>
            <w:bookmarkEnd w:id="754"/>
            <w:bookmarkEnd w:id="755"/>
            <w:bookmarkEnd w:id="756"/>
            <w:bookmarkEnd w:id="757"/>
          </w:p>
        </w:tc>
        <w:tc>
          <w:tcPr>
            <w:tcW w:w="709" w:type="dxa"/>
            <w:tcBorders>
              <w:right w:val="single" w:color="auto" w:sz="4" w:space="0"/>
            </w:tcBorders>
            <w:noWrap w:val="0"/>
            <w:vAlign w:val="top"/>
          </w:tcPr>
          <w:p w14:paraId="06B87BCC">
            <w:pPr>
              <w:spacing w:line="440" w:lineRule="exact"/>
              <w:jc w:val="center"/>
              <w:outlineLvl w:val="0"/>
              <w:rPr>
                <w:rFonts w:hint="eastAsia" w:ascii="仿宋" w:hAnsi="仿宋" w:eastAsia="仿宋" w:cs="仿宋"/>
                <w:b/>
                <w:color w:val="auto"/>
                <w:szCs w:val="21"/>
              </w:rPr>
            </w:pPr>
            <w:bookmarkStart w:id="758" w:name="_Toc19265"/>
            <w:bookmarkStart w:id="759" w:name="_Toc791"/>
            <w:bookmarkStart w:id="760" w:name="_Toc3020"/>
            <w:bookmarkStart w:id="761" w:name="_Toc18225"/>
            <w:bookmarkStart w:id="762" w:name="_Toc4318"/>
            <w:bookmarkStart w:id="763" w:name="_Toc10481"/>
            <w:r>
              <w:rPr>
                <w:rFonts w:hint="eastAsia" w:ascii="仿宋" w:hAnsi="仿宋" w:eastAsia="仿宋" w:cs="仿宋"/>
                <w:b/>
                <w:color w:val="auto"/>
                <w:szCs w:val="21"/>
              </w:rPr>
              <w:t>…</w:t>
            </w:r>
            <w:bookmarkEnd w:id="758"/>
            <w:bookmarkEnd w:id="759"/>
            <w:bookmarkEnd w:id="760"/>
            <w:bookmarkEnd w:id="761"/>
            <w:bookmarkEnd w:id="762"/>
            <w:bookmarkEnd w:id="763"/>
          </w:p>
        </w:tc>
      </w:tr>
      <w:tr w14:paraId="5E7E6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1" w:hRule="atLeast"/>
        </w:trPr>
        <w:tc>
          <w:tcPr>
            <w:tcW w:w="828" w:type="dxa"/>
            <w:vMerge w:val="restart"/>
            <w:tcBorders>
              <w:top w:val="single" w:color="auto" w:sz="4" w:space="0"/>
              <w:left w:val="single" w:color="auto" w:sz="4" w:space="0"/>
              <w:right w:val="single" w:color="auto" w:sz="4" w:space="0"/>
            </w:tcBorders>
            <w:noWrap w:val="0"/>
            <w:vAlign w:val="center"/>
          </w:tcPr>
          <w:p w14:paraId="6DCBE0D8">
            <w:pPr>
              <w:spacing w:line="440" w:lineRule="exact"/>
              <w:jc w:val="center"/>
              <w:outlineLvl w:val="0"/>
              <w:rPr>
                <w:rFonts w:hint="eastAsia" w:ascii="仿宋" w:hAnsi="仿宋" w:eastAsia="仿宋" w:cs="仿宋"/>
                <w:bCs/>
                <w:color w:val="auto"/>
                <w:sz w:val="28"/>
                <w:szCs w:val="28"/>
              </w:rPr>
            </w:pPr>
            <w:bookmarkStart w:id="764" w:name="_Toc28495"/>
            <w:bookmarkStart w:id="765" w:name="_Toc9511"/>
            <w:bookmarkStart w:id="766" w:name="_Toc9574"/>
            <w:bookmarkStart w:id="767" w:name="_Toc13560"/>
            <w:bookmarkStart w:id="768" w:name="_Toc22357"/>
            <w:bookmarkStart w:id="769" w:name="_Toc27219"/>
            <w:r>
              <w:rPr>
                <w:rFonts w:hint="eastAsia" w:ascii="仿宋" w:hAnsi="仿宋" w:eastAsia="仿宋" w:cs="仿宋"/>
                <w:bCs/>
                <w:color w:val="auto"/>
                <w:sz w:val="28"/>
                <w:szCs w:val="28"/>
              </w:rPr>
              <w:t>审</w:t>
            </w:r>
            <w:bookmarkEnd w:id="764"/>
            <w:bookmarkEnd w:id="765"/>
            <w:bookmarkEnd w:id="766"/>
            <w:bookmarkEnd w:id="767"/>
            <w:bookmarkEnd w:id="768"/>
            <w:bookmarkEnd w:id="769"/>
          </w:p>
          <w:p w14:paraId="1BFA7BE1">
            <w:pPr>
              <w:spacing w:line="440" w:lineRule="exact"/>
              <w:jc w:val="center"/>
              <w:outlineLvl w:val="0"/>
              <w:rPr>
                <w:rFonts w:hint="eastAsia" w:ascii="仿宋" w:hAnsi="仿宋" w:eastAsia="仿宋" w:cs="仿宋"/>
                <w:bCs/>
                <w:color w:val="auto"/>
                <w:sz w:val="28"/>
                <w:szCs w:val="28"/>
              </w:rPr>
            </w:pPr>
            <w:bookmarkStart w:id="770" w:name="_Toc29807"/>
            <w:bookmarkStart w:id="771" w:name="_Toc29839"/>
            <w:bookmarkStart w:id="772" w:name="_Toc5425"/>
            <w:bookmarkStart w:id="773" w:name="_Toc8124"/>
            <w:bookmarkStart w:id="774" w:name="_Toc31597"/>
            <w:bookmarkStart w:id="775" w:name="_Toc3114"/>
            <w:r>
              <w:rPr>
                <w:rFonts w:hint="eastAsia" w:ascii="仿宋" w:hAnsi="仿宋" w:eastAsia="仿宋" w:cs="仿宋"/>
                <w:bCs/>
                <w:color w:val="auto"/>
                <w:sz w:val="28"/>
                <w:szCs w:val="28"/>
              </w:rPr>
              <w:t>查</w:t>
            </w:r>
            <w:bookmarkEnd w:id="770"/>
            <w:bookmarkEnd w:id="771"/>
            <w:bookmarkEnd w:id="772"/>
            <w:bookmarkEnd w:id="773"/>
            <w:bookmarkEnd w:id="774"/>
            <w:bookmarkEnd w:id="775"/>
          </w:p>
          <w:p w14:paraId="23593726">
            <w:pPr>
              <w:spacing w:line="440" w:lineRule="exact"/>
              <w:jc w:val="center"/>
              <w:outlineLvl w:val="0"/>
              <w:rPr>
                <w:rFonts w:hint="eastAsia" w:ascii="仿宋" w:hAnsi="仿宋" w:eastAsia="仿宋" w:cs="仿宋"/>
                <w:bCs/>
                <w:color w:val="auto"/>
                <w:sz w:val="28"/>
                <w:szCs w:val="28"/>
              </w:rPr>
            </w:pPr>
            <w:bookmarkStart w:id="776" w:name="_Toc18241"/>
            <w:bookmarkStart w:id="777" w:name="_Toc19119"/>
            <w:bookmarkStart w:id="778" w:name="_Toc20609"/>
            <w:bookmarkStart w:id="779" w:name="_Toc12444"/>
            <w:bookmarkStart w:id="780" w:name="_Toc2341"/>
            <w:bookmarkStart w:id="781" w:name="_Toc32244"/>
            <w:r>
              <w:rPr>
                <w:rFonts w:hint="eastAsia" w:ascii="仿宋" w:hAnsi="仿宋" w:eastAsia="仿宋" w:cs="仿宋"/>
                <w:bCs/>
                <w:color w:val="auto"/>
                <w:sz w:val="28"/>
                <w:szCs w:val="28"/>
              </w:rPr>
              <w:t>标</w:t>
            </w:r>
            <w:bookmarkEnd w:id="776"/>
            <w:bookmarkEnd w:id="777"/>
            <w:bookmarkEnd w:id="778"/>
            <w:bookmarkEnd w:id="779"/>
            <w:bookmarkEnd w:id="780"/>
            <w:bookmarkEnd w:id="781"/>
          </w:p>
          <w:p w14:paraId="1296E1AA">
            <w:pPr>
              <w:spacing w:line="440" w:lineRule="exact"/>
              <w:jc w:val="center"/>
              <w:outlineLvl w:val="0"/>
              <w:rPr>
                <w:rFonts w:hint="eastAsia" w:ascii="仿宋" w:hAnsi="仿宋" w:eastAsia="仿宋" w:cs="仿宋"/>
                <w:bCs/>
                <w:color w:val="auto"/>
                <w:sz w:val="28"/>
                <w:szCs w:val="28"/>
              </w:rPr>
            </w:pPr>
            <w:bookmarkStart w:id="782" w:name="_Toc1097"/>
            <w:bookmarkStart w:id="783" w:name="_Toc758"/>
            <w:bookmarkStart w:id="784" w:name="_Toc4465"/>
            <w:bookmarkStart w:id="785" w:name="_Toc6786"/>
            <w:bookmarkStart w:id="786" w:name="_Toc12695"/>
            <w:bookmarkStart w:id="787" w:name="_Toc17339"/>
            <w:r>
              <w:rPr>
                <w:rFonts w:hint="eastAsia" w:ascii="仿宋" w:hAnsi="仿宋" w:eastAsia="仿宋" w:cs="仿宋"/>
                <w:bCs/>
                <w:color w:val="auto"/>
                <w:sz w:val="28"/>
                <w:szCs w:val="28"/>
              </w:rPr>
              <w:t>准</w:t>
            </w:r>
            <w:bookmarkEnd w:id="782"/>
            <w:bookmarkEnd w:id="783"/>
            <w:bookmarkEnd w:id="784"/>
            <w:bookmarkEnd w:id="785"/>
            <w:bookmarkEnd w:id="786"/>
            <w:bookmarkEnd w:id="787"/>
          </w:p>
        </w:tc>
        <w:tc>
          <w:tcPr>
            <w:tcW w:w="598" w:type="dxa"/>
            <w:tcBorders>
              <w:top w:val="single" w:color="auto" w:sz="4" w:space="0"/>
              <w:left w:val="single" w:color="auto" w:sz="4" w:space="0"/>
              <w:right w:val="single" w:color="auto" w:sz="4" w:space="0"/>
            </w:tcBorders>
            <w:noWrap w:val="0"/>
            <w:vAlign w:val="center"/>
          </w:tcPr>
          <w:p w14:paraId="288F1826">
            <w:pPr>
              <w:spacing w:line="440" w:lineRule="exact"/>
              <w:jc w:val="center"/>
              <w:outlineLvl w:val="0"/>
              <w:rPr>
                <w:rFonts w:hint="eastAsia" w:ascii="仿宋" w:hAnsi="仿宋" w:eastAsia="仿宋" w:cs="仿宋"/>
                <w:bCs/>
                <w:color w:val="auto"/>
                <w:sz w:val="28"/>
                <w:szCs w:val="28"/>
              </w:rPr>
            </w:pPr>
            <w:bookmarkStart w:id="788" w:name="_Toc13775"/>
            <w:bookmarkStart w:id="789" w:name="_Toc17497"/>
            <w:bookmarkStart w:id="790" w:name="_Toc6859"/>
            <w:bookmarkStart w:id="791" w:name="_Toc13625"/>
            <w:bookmarkStart w:id="792" w:name="_Toc14623"/>
            <w:bookmarkStart w:id="793" w:name="_Toc32550"/>
            <w:r>
              <w:rPr>
                <w:rFonts w:hint="eastAsia" w:ascii="仿宋" w:hAnsi="仿宋" w:eastAsia="仿宋" w:cs="仿宋"/>
                <w:bCs/>
                <w:color w:val="auto"/>
                <w:sz w:val="28"/>
                <w:szCs w:val="28"/>
              </w:rPr>
              <w:t>1</w:t>
            </w:r>
            <w:bookmarkEnd w:id="788"/>
            <w:bookmarkEnd w:id="789"/>
            <w:bookmarkEnd w:id="790"/>
            <w:bookmarkEnd w:id="791"/>
            <w:bookmarkEnd w:id="792"/>
            <w:bookmarkEnd w:id="793"/>
          </w:p>
        </w:tc>
        <w:tc>
          <w:tcPr>
            <w:tcW w:w="6090" w:type="dxa"/>
            <w:tcBorders>
              <w:top w:val="single" w:color="auto" w:sz="4" w:space="0"/>
              <w:left w:val="single" w:color="auto" w:sz="4" w:space="0"/>
              <w:right w:val="single" w:color="auto" w:sz="4" w:space="0"/>
            </w:tcBorders>
            <w:noWrap w:val="0"/>
            <w:vAlign w:val="center"/>
          </w:tcPr>
          <w:p w14:paraId="1A714AEC">
            <w:pPr>
              <w:spacing w:line="440" w:lineRule="exact"/>
              <w:jc w:val="both"/>
              <w:outlineLvl w:val="0"/>
              <w:rPr>
                <w:rFonts w:hint="eastAsia" w:ascii="仿宋" w:hAnsi="仿宋" w:eastAsia="仿宋" w:cs="仿宋"/>
                <w:bCs/>
                <w:color w:val="auto"/>
                <w:sz w:val="28"/>
                <w:szCs w:val="28"/>
              </w:rPr>
            </w:pPr>
            <w:bookmarkStart w:id="794" w:name="_Toc8450"/>
            <w:bookmarkStart w:id="795" w:name="_Toc24986"/>
            <w:bookmarkStart w:id="796" w:name="_Toc6527"/>
            <w:bookmarkStart w:id="797" w:name="_Toc8056"/>
            <w:bookmarkStart w:id="798" w:name="_Toc14783"/>
            <w:bookmarkStart w:id="799" w:name="_Toc4778"/>
            <w:r>
              <w:rPr>
                <w:rFonts w:hint="eastAsia" w:ascii="仿宋" w:hAnsi="仿宋" w:eastAsia="仿宋" w:cs="仿宋"/>
                <w:bCs/>
                <w:color w:val="auto"/>
                <w:sz w:val="28"/>
                <w:szCs w:val="28"/>
              </w:rPr>
              <w:t>投标报价高于设定的采购的</w:t>
            </w:r>
            <w:r>
              <w:rPr>
                <w:rFonts w:hint="eastAsia" w:ascii="仿宋" w:hAnsi="仿宋" w:eastAsia="仿宋" w:cs="仿宋"/>
                <w:bCs/>
                <w:color w:val="auto"/>
                <w:sz w:val="28"/>
                <w:szCs w:val="28"/>
                <w:lang w:val="en-US" w:eastAsia="zh-CN"/>
              </w:rPr>
              <w:t>最高限价</w:t>
            </w:r>
            <w:r>
              <w:rPr>
                <w:rFonts w:hint="eastAsia" w:ascii="仿宋" w:hAnsi="仿宋" w:eastAsia="仿宋" w:cs="仿宋"/>
                <w:bCs/>
                <w:color w:val="auto"/>
                <w:sz w:val="28"/>
                <w:szCs w:val="28"/>
              </w:rPr>
              <w:t>；</w:t>
            </w:r>
            <w:bookmarkEnd w:id="794"/>
            <w:bookmarkEnd w:id="795"/>
            <w:bookmarkEnd w:id="796"/>
            <w:bookmarkEnd w:id="797"/>
            <w:bookmarkEnd w:id="798"/>
            <w:bookmarkEnd w:id="799"/>
          </w:p>
        </w:tc>
        <w:tc>
          <w:tcPr>
            <w:tcW w:w="814" w:type="dxa"/>
            <w:tcBorders>
              <w:left w:val="single" w:color="auto" w:sz="4" w:space="0"/>
              <w:right w:val="single" w:color="auto" w:sz="4" w:space="0"/>
            </w:tcBorders>
            <w:noWrap w:val="0"/>
            <w:vAlign w:val="center"/>
          </w:tcPr>
          <w:p w14:paraId="7686B954">
            <w:pPr>
              <w:spacing w:line="440" w:lineRule="exact"/>
              <w:jc w:val="both"/>
              <w:outlineLvl w:val="9"/>
              <w:rPr>
                <w:rFonts w:hint="eastAsia" w:ascii="仿宋" w:hAnsi="仿宋" w:eastAsia="仿宋" w:cs="仿宋"/>
                <w:bCs/>
                <w:color w:val="auto"/>
                <w:szCs w:val="21"/>
              </w:rPr>
            </w:pPr>
          </w:p>
        </w:tc>
        <w:tc>
          <w:tcPr>
            <w:tcW w:w="709" w:type="dxa"/>
            <w:tcBorders>
              <w:left w:val="single" w:color="auto" w:sz="4" w:space="0"/>
              <w:right w:val="single" w:color="auto" w:sz="4" w:space="0"/>
            </w:tcBorders>
            <w:noWrap w:val="0"/>
            <w:vAlign w:val="top"/>
          </w:tcPr>
          <w:p w14:paraId="785CDEA4">
            <w:pPr>
              <w:spacing w:line="440" w:lineRule="exact"/>
              <w:jc w:val="left"/>
              <w:outlineLvl w:val="9"/>
              <w:rPr>
                <w:rFonts w:hint="eastAsia" w:ascii="仿宋" w:hAnsi="仿宋" w:eastAsia="仿宋" w:cs="仿宋"/>
                <w:bCs/>
                <w:color w:val="auto"/>
                <w:szCs w:val="21"/>
              </w:rPr>
            </w:pPr>
          </w:p>
        </w:tc>
        <w:tc>
          <w:tcPr>
            <w:tcW w:w="709" w:type="dxa"/>
            <w:tcBorders>
              <w:left w:val="single" w:color="auto" w:sz="4" w:space="0"/>
              <w:right w:val="single" w:color="auto" w:sz="4" w:space="0"/>
            </w:tcBorders>
            <w:noWrap w:val="0"/>
            <w:vAlign w:val="top"/>
          </w:tcPr>
          <w:p w14:paraId="52141EC5">
            <w:pPr>
              <w:spacing w:line="440" w:lineRule="exact"/>
              <w:jc w:val="left"/>
              <w:outlineLvl w:val="9"/>
              <w:rPr>
                <w:rFonts w:hint="eastAsia" w:ascii="仿宋" w:hAnsi="仿宋" w:eastAsia="仿宋" w:cs="仿宋"/>
                <w:bCs/>
                <w:color w:val="auto"/>
                <w:szCs w:val="21"/>
              </w:rPr>
            </w:pPr>
          </w:p>
        </w:tc>
      </w:tr>
      <w:tr w14:paraId="25399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828" w:type="dxa"/>
            <w:vMerge w:val="continue"/>
            <w:tcBorders>
              <w:left w:val="single" w:color="auto" w:sz="4" w:space="0"/>
              <w:right w:val="single" w:color="auto" w:sz="4" w:space="0"/>
            </w:tcBorders>
            <w:noWrap w:val="0"/>
            <w:vAlign w:val="center"/>
          </w:tcPr>
          <w:p w14:paraId="3A77AE9E">
            <w:pPr>
              <w:spacing w:line="440" w:lineRule="exact"/>
              <w:jc w:val="left"/>
              <w:outlineLvl w:val="9"/>
              <w:rPr>
                <w:rFonts w:hint="eastAsia" w:ascii="仿宋" w:hAnsi="仿宋" w:eastAsia="仿宋" w:cs="仿宋"/>
                <w:bCs/>
                <w:color w:val="auto"/>
                <w:sz w:val="28"/>
                <w:szCs w:val="28"/>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4B5A503F">
            <w:pPr>
              <w:spacing w:line="440" w:lineRule="exact"/>
              <w:jc w:val="center"/>
              <w:outlineLvl w:val="0"/>
              <w:rPr>
                <w:rFonts w:hint="eastAsia" w:ascii="仿宋" w:hAnsi="仿宋" w:eastAsia="仿宋" w:cs="仿宋"/>
                <w:bCs/>
                <w:color w:val="auto"/>
                <w:sz w:val="28"/>
                <w:szCs w:val="28"/>
              </w:rPr>
            </w:pPr>
            <w:bookmarkStart w:id="800" w:name="_Toc23163"/>
            <w:bookmarkStart w:id="801" w:name="_Toc13848"/>
            <w:bookmarkStart w:id="802" w:name="_Toc9696"/>
            <w:bookmarkStart w:id="803" w:name="_Toc12122"/>
            <w:bookmarkStart w:id="804" w:name="_Toc12719"/>
            <w:bookmarkStart w:id="805" w:name="_Toc16075"/>
            <w:r>
              <w:rPr>
                <w:rFonts w:hint="eastAsia" w:ascii="仿宋" w:hAnsi="仿宋" w:eastAsia="仿宋" w:cs="仿宋"/>
                <w:bCs/>
                <w:color w:val="auto"/>
                <w:sz w:val="28"/>
                <w:szCs w:val="28"/>
              </w:rPr>
              <w:t>2</w:t>
            </w:r>
            <w:bookmarkEnd w:id="800"/>
            <w:bookmarkEnd w:id="801"/>
            <w:bookmarkEnd w:id="802"/>
            <w:bookmarkEnd w:id="803"/>
            <w:bookmarkEnd w:id="804"/>
            <w:bookmarkEnd w:id="805"/>
          </w:p>
        </w:tc>
        <w:tc>
          <w:tcPr>
            <w:tcW w:w="6090" w:type="dxa"/>
            <w:tcBorders>
              <w:left w:val="single" w:color="auto" w:sz="4" w:space="0"/>
              <w:bottom w:val="single" w:color="auto" w:sz="4" w:space="0"/>
              <w:right w:val="single" w:color="auto" w:sz="4" w:space="0"/>
            </w:tcBorders>
            <w:noWrap w:val="0"/>
            <w:vAlign w:val="top"/>
          </w:tcPr>
          <w:p w14:paraId="144FD850">
            <w:pPr>
              <w:spacing w:line="440" w:lineRule="exact"/>
              <w:jc w:val="left"/>
              <w:outlineLvl w:val="0"/>
              <w:rPr>
                <w:rFonts w:hint="eastAsia" w:ascii="仿宋" w:hAnsi="仿宋" w:eastAsia="仿宋" w:cs="仿宋"/>
                <w:bCs/>
                <w:color w:val="auto"/>
                <w:sz w:val="28"/>
                <w:szCs w:val="28"/>
              </w:rPr>
            </w:pPr>
            <w:bookmarkStart w:id="806" w:name="_Toc32729"/>
            <w:bookmarkStart w:id="807" w:name="_Toc22304"/>
            <w:bookmarkStart w:id="808" w:name="_Toc29447"/>
            <w:bookmarkStart w:id="809" w:name="_Toc27184"/>
            <w:bookmarkStart w:id="810" w:name="_Toc7925"/>
            <w:bookmarkStart w:id="811" w:name="_Toc12501"/>
            <w:r>
              <w:rPr>
                <w:rFonts w:hint="eastAsia" w:ascii="仿宋" w:hAnsi="仿宋" w:eastAsia="仿宋" w:cs="仿宋"/>
                <w:bCs/>
                <w:color w:val="auto"/>
                <w:sz w:val="28"/>
                <w:szCs w:val="28"/>
              </w:rPr>
              <w:t>投标人对同一招标项目作出两个以上报价未明确效力的；</w:t>
            </w:r>
            <w:bookmarkEnd w:id="806"/>
            <w:bookmarkEnd w:id="807"/>
            <w:bookmarkEnd w:id="808"/>
            <w:bookmarkEnd w:id="809"/>
            <w:bookmarkEnd w:id="810"/>
            <w:bookmarkEnd w:id="811"/>
          </w:p>
        </w:tc>
        <w:tc>
          <w:tcPr>
            <w:tcW w:w="814" w:type="dxa"/>
            <w:tcBorders>
              <w:left w:val="single" w:color="auto" w:sz="4" w:space="0"/>
              <w:right w:val="single" w:color="auto" w:sz="4" w:space="0"/>
            </w:tcBorders>
            <w:noWrap w:val="0"/>
            <w:vAlign w:val="top"/>
          </w:tcPr>
          <w:p w14:paraId="77B795F5">
            <w:pPr>
              <w:spacing w:line="440" w:lineRule="exact"/>
              <w:jc w:val="left"/>
              <w:outlineLvl w:val="9"/>
              <w:rPr>
                <w:rFonts w:hint="eastAsia" w:ascii="仿宋" w:hAnsi="仿宋" w:eastAsia="仿宋" w:cs="仿宋"/>
                <w:bCs/>
                <w:color w:val="auto"/>
                <w:szCs w:val="21"/>
              </w:rPr>
            </w:pPr>
          </w:p>
        </w:tc>
        <w:tc>
          <w:tcPr>
            <w:tcW w:w="709" w:type="dxa"/>
            <w:tcBorders>
              <w:left w:val="single" w:color="auto" w:sz="4" w:space="0"/>
              <w:right w:val="single" w:color="auto" w:sz="4" w:space="0"/>
            </w:tcBorders>
            <w:noWrap w:val="0"/>
            <w:vAlign w:val="top"/>
          </w:tcPr>
          <w:p w14:paraId="4F9A54ED">
            <w:pPr>
              <w:spacing w:line="440" w:lineRule="exact"/>
              <w:jc w:val="left"/>
              <w:outlineLvl w:val="9"/>
              <w:rPr>
                <w:rFonts w:hint="eastAsia" w:ascii="仿宋" w:hAnsi="仿宋" w:eastAsia="仿宋" w:cs="仿宋"/>
                <w:bCs/>
                <w:color w:val="auto"/>
                <w:szCs w:val="21"/>
              </w:rPr>
            </w:pPr>
          </w:p>
        </w:tc>
        <w:tc>
          <w:tcPr>
            <w:tcW w:w="709" w:type="dxa"/>
            <w:tcBorders>
              <w:left w:val="single" w:color="auto" w:sz="4" w:space="0"/>
              <w:right w:val="single" w:color="auto" w:sz="4" w:space="0"/>
            </w:tcBorders>
            <w:noWrap w:val="0"/>
            <w:vAlign w:val="top"/>
          </w:tcPr>
          <w:p w14:paraId="15B0D8A8">
            <w:pPr>
              <w:spacing w:line="440" w:lineRule="exact"/>
              <w:jc w:val="left"/>
              <w:outlineLvl w:val="9"/>
              <w:rPr>
                <w:rFonts w:hint="eastAsia" w:ascii="仿宋" w:hAnsi="仿宋" w:eastAsia="仿宋" w:cs="仿宋"/>
                <w:bCs/>
                <w:color w:val="auto"/>
                <w:szCs w:val="21"/>
              </w:rPr>
            </w:pPr>
          </w:p>
        </w:tc>
      </w:tr>
      <w:tr w14:paraId="29832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noWrap w:val="0"/>
            <w:vAlign w:val="center"/>
          </w:tcPr>
          <w:p w14:paraId="7F3D6B30">
            <w:pPr>
              <w:spacing w:line="440" w:lineRule="exact"/>
              <w:jc w:val="left"/>
              <w:outlineLvl w:val="9"/>
              <w:rPr>
                <w:rFonts w:hint="eastAsia" w:ascii="仿宋" w:hAnsi="仿宋" w:eastAsia="仿宋" w:cs="仿宋"/>
                <w:bCs/>
                <w:color w:val="auto"/>
                <w:sz w:val="28"/>
                <w:szCs w:val="28"/>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613C0E03">
            <w:pPr>
              <w:spacing w:line="440" w:lineRule="exact"/>
              <w:jc w:val="center"/>
              <w:outlineLvl w:val="0"/>
              <w:rPr>
                <w:rFonts w:hint="eastAsia" w:ascii="仿宋" w:hAnsi="仿宋" w:eastAsia="仿宋" w:cs="仿宋"/>
                <w:bCs/>
                <w:color w:val="auto"/>
                <w:sz w:val="28"/>
                <w:szCs w:val="28"/>
              </w:rPr>
            </w:pPr>
            <w:bookmarkStart w:id="812" w:name="_Toc8403"/>
            <w:bookmarkStart w:id="813" w:name="_Toc16141"/>
            <w:bookmarkStart w:id="814" w:name="_Toc4949"/>
            <w:bookmarkStart w:id="815" w:name="_Toc7615"/>
            <w:bookmarkStart w:id="816" w:name="_Toc18038"/>
            <w:bookmarkStart w:id="817" w:name="_Toc14738"/>
            <w:r>
              <w:rPr>
                <w:rFonts w:hint="eastAsia" w:ascii="仿宋" w:hAnsi="仿宋" w:eastAsia="仿宋" w:cs="仿宋"/>
                <w:bCs/>
                <w:color w:val="auto"/>
                <w:sz w:val="28"/>
                <w:szCs w:val="28"/>
              </w:rPr>
              <w:t>3</w:t>
            </w:r>
            <w:bookmarkEnd w:id="812"/>
            <w:bookmarkEnd w:id="813"/>
            <w:bookmarkEnd w:id="814"/>
            <w:bookmarkEnd w:id="815"/>
            <w:bookmarkEnd w:id="816"/>
            <w:bookmarkEnd w:id="817"/>
          </w:p>
        </w:tc>
        <w:tc>
          <w:tcPr>
            <w:tcW w:w="6090" w:type="dxa"/>
            <w:tcBorders>
              <w:top w:val="single" w:color="auto" w:sz="4" w:space="0"/>
              <w:left w:val="single" w:color="auto" w:sz="4" w:space="0"/>
              <w:bottom w:val="single" w:color="auto" w:sz="4" w:space="0"/>
              <w:right w:val="single" w:color="auto" w:sz="4" w:space="0"/>
            </w:tcBorders>
            <w:noWrap w:val="0"/>
            <w:vAlign w:val="top"/>
          </w:tcPr>
          <w:p w14:paraId="42E9117F">
            <w:pPr>
              <w:spacing w:line="440" w:lineRule="exact"/>
              <w:jc w:val="left"/>
              <w:outlineLvl w:val="0"/>
              <w:rPr>
                <w:rFonts w:hint="eastAsia" w:ascii="仿宋" w:hAnsi="仿宋" w:eastAsia="仿宋" w:cs="仿宋"/>
                <w:bCs/>
                <w:color w:val="auto"/>
                <w:sz w:val="28"/>
                <w:szCs w:val="28"/>
              </w:rPr>
            </w:pPr>
            <w:bookmarkStart w:id="818" w:name="_Toc31991"/>
            <w:bookmarkStart w:id="819" w:name="_Toc3314"/>
            <w:bookmarkStart w:id="820" w:name="_Toc8203"/>
            <w:bookmarkStart w:id="821" w:name="_Toc21449"/>
            <w:bookmarkStart w:id="822" w:name="_Toc19880"/>
            <w:bookmarkStart w:id="823" w:name="_Toc15519"/>
            <w:r>
              <w:rPr>
                <w:rFonts w:hint="eastAsia" w:ascii="仿宋" w:hAnsi="仿宋" w:eastAsia="仿宋" w:cs="仿宋"/>
                <w:bCs/>
                <w:color w:val="auto"/>
                <w:sz w:val="28"/>
                <w:szCs w:val="28"/>
              </w:rPr>
              <w:t>未按招标文件规定的格式填写，内容不全或</w:t>
            </w:r>
            <w:r>
              <w:rPr>
                <w:rFonts w:hint="eastAsia" w:ascii="仿宋" w:hAnsi="仿宋" w:eastAsia="仿宋" w:cs="仿宋"/>
                <w:bCs/>
                <w:color w:val="auto"/>
                <w:sz w:val="28"/>
                <w:szCs w:val="28"/>
                <w:lang w:eastAsia="zh-CN"/>
              </w:rPr>
              <w:t>扫描件</w:t>
            </w:r>
            <w:r>
              <w:rPr>
                <w:rFonts w:hint="eastAsia" w:ascii="仿宋" w:hAnsi="仿宋" w:eastAsia="仿宋" w:cs="仿宋"/>
                <w:bCs/>
                <w:color w:val="auto"/>
                <w:sz w:val="28"/>
                <w:szCs w:val="28"/>
              </w:rPr>
              <w:t>关键字迹模糊、无法辨认的；</w:t>
            </w:r>
            <w:bookmarkEnd w:id="818"/>
            <w:bookmarkEnd w:id="819"/>
            <w:bookmarkEnd w:id="820"/>
            <w:bookmarkEnd w:id="821"/>
            <w:bookmarkEnd w:id="822"/>
            <w:bookmarkEnd w:id="823"/>
          </w:p>
        </w:tc>
        <w:tc>
          <w:tcPr>
            <w:tcW w:w="814" w:type="dxa"/>
            <w:tcBorders>
              <w:left w:val="single" w:color="auto" w:sz="4" w:space="0"/>
            </w:tcBorders>
            <w:noWrap w:val="0"/>
            <w:vAlign w:val="top"/>
          </w:tcPr>
          <w:p w14:paraId="010A8062">
            <w:pPr>
              <w:spacing w:line="440" w:lineRule="exact"/>
              <w:jc w:val="left"/>
              <w:outlineLvl w:val="9"/>
              <w:rPr>
                <w:rFonts w:hint="eastAsia" w:ascii="仿宋" w:hAnsi="仿宋" w:eastAsia="仿宋" w:cs="仿宋"/>
                <w:bCs/>
                <w:color w:val="auto"/>
                <w:szCs w:val="21"/>
              </w:rPr>
            </w:pPr>
          </w:p>
        </w:tc>
        <w:tc>
          <w:tcPr>
            <w:tcW w:w="709" w:type="dxa"/>
            <w:tcBorders>
              <w:right w:val="single" w:color="auto" w:sz="4" w:space="0"/>
            </w:tcBorders>
            <w:noWrap w:val="0"/>
            <w:vAlign w:val="top"/>
          </w:tcPr>
          <w:p w14:paraId="15EDC271">
            <w:pPr>
              <w:spacing w:line="440" w:lineRule="exact"/>
              <w:jc w:val="left"/>
              <w:outlineLvl w:val="9"/>
              <w:rPr>
                <w:rFonts w:hint="eastAsia" w:ascii="仿宋" w:hAnsi="仿宋" w:eastAsia="仿宋" w:cs="仿宋"/>
                <w:bCs/>
                <w:color w:val="auto"/>
                <w:szCs w:val="21"/>
              </w:rPr>
            </w:pPr>
          </w:p>
        </w:tc>
        <w:tc>
          <w:tcPr>
            <w:tcW w:w="709" w:type="dxa"/>
            <w:tcBorders>
              <w:right w:val="single" w:color="auto" w:sz="4" w:space="0"/>
            </w:tcBorders>
            <w:noWrap w:val="0"/>
            <w:vAlign w:val="top"/>
          </w:tcPr>
          <w:p w14:paraId="7050E4BD">
            <w:pPr>
              <w:spacing w:line="440" w:lineRule="exact"/>
              <w:jc w:val="left"/>
              <w:outlineLvl w:val="9"/>
              <w:rPr>
                <w:rFonts w:hint="eastAsia" w:ascii="仿宋" w:hAnsi="仿宋" w:eastAsia="仿宋" w:cs="仿宋"/>
                <w:bCs/>
                <w:color w:val="auto"/>
                <w:szCs w:val="21"/>
              </w:rPr>
            </w:pPr>
          </w:p>
        </w:tc>
      </w:tr>
      <w:tr w14:paraId="5AA49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noWrap w:val="0"/>
            <w:vAlign w:val="center"/>
          </w:tcPr>
          <w:p w14:paraId="4DBE8211">
            <w:pPr>
              <w:spacing w:line="440" w:lineRule="exact"/>
              <w:jc w:val="left"/>
              <w:outlineLvl w:val="9"/>
              <w:rPr>
                <w:rFonts w:hint="eastAsia" w:ascii="仿宋" w:hAnsi="仿宋" w:eastAsia="仿宋" w:cs="仿宋"/>
                <w:bCs/>
                <w:color w:val="auto"/>
                <w:sz w:val="28"/>
                <w:szCs w:val="28"/>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162544FD">
            <w:pPr>
              <w:spacing w:line="440" w:lineRule="exact"/>
              <w:jc w:val="center"/>
              <w:outlineLvl w:val="0"/>
              <w:rPr>
                <w:rFonts w:hint="eastAsia" w:ascii="仿宋" w:hAnsi="仿宋" w:eastAsia="仿宋" w:cs="仿宋"/>
                <w:bCs/>
                <w:color w:val="auto"/>
                <w:sz w:val="28"/>
                <w:szCs w:val="28"/>
              </w:rPr>
            </w:pPr>
            <w:bookmarkStart w:id="824" w:name="_Toc26459"/>
            <w:bookmarkStart w:id="825" w:name="_Toc26080"/>
            <w:bookmarkStart w:id="826" w:name="_Toc2746"/>
            <w:bookmarkStart w:id="827" w:name="_Toc8597"/>
            <w:bookmarkStart w:id="828" w:name="_Toc9953"/>
            <w:bookmarkStart w:id="829" w:name="_Toc1859"/>
            <w:r>
              <w:rPr>
                <w:rFonts w:hint="eastAsia" w:ascii="仿宋" w:hAnsi="仿宋" w:eastAsia="仿宋" w:cs="仿宋"/>
                <w:bCs/>
                <w:color w:val="auto"/>
                <w:sz w:val="28"/>
                <w:szCs w:val="28"/>
              </w:rPr>
              <w:t>4</w:t>
            </w:r>
            <w:bookmarkEnd w:id="824"/>
            <w:bookmarkEnd w:id="825"/>
            <w:bookmarkEnd w:id="826"/>
            <w:bookmarkEnd w:id="827"/>
            <w:bookmarkEnd w:id="828"/>
            <w:bookmarkEnd w:id="829"/>
          </w:p>
        </w:tc>
        <w:tc>
          <w:tcPr>
            <w:tcW w:w="6090" w:type="dxa"/>
            <w:tcBorders>
              <w:top w:val="single" w:color="auto" w:sz="4" w:space="0"/>
              <w:left w:val="single" w:color="auto" w:sz="4" w:space="0"/>
              <w:bottom w:val="single" w:color="auto" w:sz="4" w:space="0"/>
              <w:right w:val="single" w:color="auto" w:sz="4" w:space="0"/>
            </w:tcBorders>
            <w:noWrap w:val="0"/>
            <w:vAlign w:val="top"/>
          </w:tcPr>
          <w:p w14:paraId="2BA97523">
            <w:pPr>
              <w:spacing w:line="440" w:lineRule="exact"/>
              <w:jc w:val="left"/>
              <w:outlineLvl w:val="0"/>
              <w:rPr>
                <w:rFonts w:hint="eastAsia" w:ascii="仿宋" w:hAnsi="仿宋" w:eastAsia="仿宋" w:cs="仿宋"/>
                <w:bCs/>
                <w:color w:val="auto"/>
                <w:sz w:val="28"/>
                <w:szCs w:val="28"/>
              </w:rPr>
            </w:pPr>
            <w:bookmarkStart w:id="830" w:name="_Toc27900"/>
            <w:bookmarkStart w:id="831" w:name="_Toc20030"/>
            <w:bookmarkStart w:id="832" w:name="_Toc17440"/>
            <w:bookmarkStart w:id="833" w:name="_Toc18307"/>
            <w:bookmarkStart w:id="834" w:name="_Toc27667"/>
            <w:bookmarkStart w:id="835" w:name="_Toc27355"/>
            <w:r>
              <w:rPr>
                <w:rFonts w:hint="eastAsia" w:ascii="仿宋" w:hAnsi="仿宋" w:eastAsia="仿宋" w:cs="仿宋"/>
                <w:bCs/>
                <w:color w:val="auto"/>
                <w:sz w:val="28"/>
                <w:szCs w:val="28"/>
              </w:rPr>
              <w:t>投标人名称、组织机构与资格</w:t>
            </w:r>
            <w:r>
              <w:rPr>
                <w:rFonts w:hint="eastAsia" w:ascii="仿宋" w:hAnsi="仿宋" w:eastAsia="仿宋" w:cs="仿宋"/>
                <w:bCs/>
                <w:color w:val="auto"/>
                <w:sz w:val="28"/>
                <w:szCs w:val="28"/>
                <w:lang w:val="en-US" w:eastAsia="zh-CN"/>
              </w:rPr>
              <w:t>审查</w:t>
            </w:r>
            <w:r>
              <w:rPr>
                <w:rFonts w:hint="eastAsia" w:ascii="仿宋" w:hAnsi="仿宋" w:eastAsia="仿宋" w:cs="仿宋"/>
                <w:bCs/>
                <w:color w:val="auto"/>
                <w:sz w:val="28"/>
                <w:szCs w:val="28"/>
              </w:rPr>
              <w:t>时不符，涉嫌以他人名义投标的；</w:t>
            </w:r>
            <w:bookmarkEnd w:id="830"/>
            <w:bookmarkEnd w:id="831"/>
            <w:bookmarkEnd w:id="832"/>
            <w:bookmarkEnd w:id="833"/>
            <w:bookmarkEnd w:id="834"/>
            <w:bookmarkEnd w:id="835"/>
          </w:p>
        </w:tc>
        <w:tc>
          <w:tcPr>
            <w:tcW w:w="814" w:type="dxa"/>
            <w:tcBorders>
              <w:left w:val="single" w:color="auto" w:sz="4" w:space="0"/>
            </w:tcBorders>
            <w:noWrap w:val="0"/>
            <w:vAlign w:val="top"/>
          </w:tcPr>
          <w:p w14:paraId="061C519E">
            <w:pPr>
              <w:spacing w:line="440" w:lineRule="exact"/>
              <w:jc w:val="left"/>
              <w:outlineLvl w:val="9"/>
              <w:rPr>
                <w:rFonts w:hint="eastAsia" w:ascii="仿宋" w:hAnsi="仿宋" w:eastAsia="仿宋" w:cs="仿宋"/>
                <w:bCs/>
                <w:color w:val="auto"/>
                <w:szCs w:val="21"/>
              </w:rPr>
            </w:pPr>
          </w:p>
        </w:tc>
        <w:tc>
          <w:tcPr>
            <w:tcW w:w="709" w:type="dxa"/>
            <w:tcBorders>
              <w:right w:val="single" w:color="auto" w:sz="4" w:space="0"/>
            </w:tcBorders>
            <w:noWrap w:val="0"/>
            <w:vAlign w:val="top"/>
          </w:tcPr>
          <w:p w14:paraId="21FA16B9">
            <w:pPr>
              <w:spacing w:line="440" w:lineRule="exact"/>
              <w:jc w:val="left"/>
              <w:outlineLvl w:val="9"/>
              <w:rPr>
                <w:rFonts w:hint="eastAsia" w:ascii="仿宋" w:hAnsi="仿宋" w:eastAsia="仿宋" w:cs="仿宋"/>
                <w:bCs/>
                <w:color w:val="auto"/>
                <w:szCs w:val="21"/>
              </w:rPr>
            </w:pPr>
          </w:p>
        </w:tc>
        <w:tc>
          <w:tcPr>
            <w:tcW w:w="709" w:type="dxa"/>
            <w:tcBorders>
              <w:right w:val="single" w:color="auto" w:sz="4" w:space="0"/>
            </w:tcBorders>
            <w:noWrap w:val="0"/>
            <w:vAlign w:val="top"/>
          </w:tcPr>
          <w:p w14:paraId="1DED008F">
            <w:pPr>
              <w:spacing w:line="440" w:lineRule="exact"/>
              <w:jc w:val="left"/>
              <w:outlineLvl w:val="9"/>
              <w:rPr>
                <w:rFonts w:hint="eastAsia" w:ascii="仿宋" w:hAnsi="仿宋" w:eastAsia="仿宋" w:cs="仿宋"/>
                <w:bCs/>
                <w:color w:val="auto"/>
                <w:szCs w:val="21"/>
              </w:rPr>
            </w:pPr>
          </w:p>
        </w:tc>
      </w:tr>
      <w:tr w14:paraId="61A9E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noWrap w:val="0"/>
            <w:vAlign w:val="center"/>
          </w:tcPr>
          <w:p w14:paraId="0E725DE8">
            <w:pPr>
              <w:spacing w:line="440" w:lineRule="exact"/>
              <w:jc w:val="left"/>
              <w:outlineLvl w:val="9"/>
              <w:rPr>
                <w:rFonts w:hint="eastAsia" w:ascii="仿宋" w:hAnsi="仿宋" w:eastAsia="仿宋" w:cs="仿宋"/>
                <w:bCs/>
                <w:color w:val="auto"/>
                <w:sz w:val="28"/>
                <w:szCs w:val="28"/>
              </w:rPr>
            </w:pPr>
          </w:p>
        </w:tc>
        <w:tc>
          <w:tcPr>
            <w:tcW w:w="598" w:type="dxa"/>
            <w:tcBorders>
              <w:left w:val="single" w:color="auto" w:sz="4" w:space="0"/>
            </w:tcBorders>
            <w:noWrap w:val="0"/>
            <w:vAlign w:val="center"/>
          </w:tcPr>
          <w:p w14:paraId="2E001DE1">
            <w:pPr>
              <w:spacing w:line="440" w:lineRule="exact"/>
              <w:jc w:val="center"/>
              <w:outlineLvl w:val="0"/>
              <w:rPr>
                <w:rFonts w:hint="eastAsia" w:ascii="仿宋" w:hAnsi="仿宋" w:eastAsia="仿宋" w:cs="仿宋"/>
                <w:bCs/>
                <w:color w:val="auto"/>
                <w:sz w:val="28"/>
                <w:szCs w:val="28"/>
              </w:rPr>
            </w:pPr>
            <w:bookmarkStart w:id="836" w:name="_Toc26082"/>
            <w:bookmarkStart w:id="837" w:name="_Toc7757"/>
            <w:bookmarkStart w:id="838" w:name="_Toc14020"/>
            <w:bookmarkStart w:id="839" w:name="_Toc24422"/>
            <w:bookmarkStart w:id="840" w:name="_Toc1614"/>
            <w:bookmarkStart w:id="841" w:name="_Toc29014"/>
            <w:r>
              <w:rPr>
                <w:rFonts w:hint="eastAsia" w:ascii="仿宋" w:hAnsi="仿宋" w:eastAsia="仿宋" w:cs="仿宋"/>
                <w:bCs/>
                <w:color w:val="auto"/>
                <w:sz w:val="28"/>
                <w:szCs w:val="28"/>
              </w:rPr>
              <w:t>5</w:t>
            </w:r>
            <w:bookmarkEnd w:id="836"/>
            <w:bookmarkEnd w:id="837"/>
            <w:bookmarkEnd w:id="838"/>
            <w:bookmarkEnd w:id="839"/>
            <w:bookmarkEnd w:id="840"/>
            <w:bookmarkEnd w:id="841"/>
          </w:p>
        </w:tc>
        <w:tc>
          <w:tcPr>
            <w:tcW w:w="6090" w:type="dxa"/>
            <w:tcBorders>
              <w:right w:val="single" w:color="auto" w:sz="4" w:space="0"/>
            </w:tcBorders>
            <w:noWrap w:val="0"/>
            <w:vAlign w:val="top"/>
          </w:tcPr>
          <w:p w14:paraId="3F2D517D">
            <w:pPr>
              <w:spacing w:line="440" w:lineRule="exact"/>
              <w:jc w:val="left"/>
              <w:outlineLvl w:val="0"/>
              <w:rPr>
                <w:rFonts w:hint="eastAsia" w:ascii="仿宋" w:hAnsi="仿宋" w:eastAsia="仿宋" w:cs="仿宋"/>
                <w:bCs/>
                <w:color w:val="auto"/>
                <w:sz w:val="28"/>
                <w:szCs w:val="28"/>
              </w:rPr>
            </w:pPr>
            <w:bookmarkStart w:id="842" w:name="_Toc24556"/>
            <w:bookmarkStart w:id="843" w:name="_Toc12005"/>
            <w:bookmarkStart w:id="844" w:name="_Toc9332"/>
            <w:bookmarkStart w:id="845" w:name="_Toc31113"/>
            <w:bookmarkStart w:id="846" w:name="_Toc14916"/>
            <w:bookmarkStart w:id="847" w:name="_Toc18707"/>
            <w:r>
              <w:rPr>
                <w:rFonts w:hint="eastAsia" w:ascii="仿宋" w:hAnsi="仿宋" w:eastAsia="仿宋" w:cs="仿宋"/>
                <w:bCs/>
                <w:color w:val="auto"/>
                <w:sz w:val="28"/>
                <w:szCs w:val="28"/>
              </w:rPr>
              <w:t>评标委员会共同确定有实质上不响应招标文件要求的；</w:t>
            </w:r>
            <w:bookmarkEnd w:id="842"/>
            <w:bookmarkEnd w:id="843"/>
            <w:bookmarkEnd w:id="844"/>
            <w:bookmarkEnd w:id="845"/>
            <w:bookmarkEnd w:id="846"/>
            <w:bookmarkEnd w:id="847"/>
          </w:p>
        </w:tc>
        <w:tc>
          <w:tcPr>
            <w:tcW w:w="814" w:type="dxa"/>
            <w:tcBorders>
              <w:left w:val="single" w:color="auto" w:sz="4" w:space="0"/>
            </w:tcBorders>
            <w:noWrap w:val="0"/>
            <w:vAlign w:val="top"/>
          </w:tcPr>
          <w:p w14:paraId="6B484AD5">
            <w:pPr>
              <w:spacing w:line="440" w:lineRule="exact"/>
              <w:jc w:val="left"/>
              <w:outlineLvl w:val="9"/>
              <w:rPr>
                <w:rFonts w:hint="eastAsia" w:ascii="仿宋" w:hAnsi="仿宋" w:eastAsia="仿宋" w:cs="仿宋"/>
                <w:bCs/>
                <w:color w:val="auto"/>
                <w:szCs w:val="21"/>
              </w:rPr>
            </w:pPr>
          </w:p>
        </w:tc>
        <w:tc>
          <w:tcPr>
            <w:tcW w:w="709" w:type="dxa"/>
            <w:tcBorders>
              <w:right w:val="single" w:color="auto" w:sz="4" w:space="0"/>
            </w:tcBorders>
            <w:noWrap w:val="0"/>
            <w:vAlign w:val="top"/>
          </w:tcPr>
          <w:p w14:paraId="2C95A18F">
            <w:pPr>
              <w:spacing w:line="440" w:lineRule="exact"/>
              <w:jc w:val="left"/>
              <w:outlineLvl w:val="9"/>
              <w:rPr>
                <w:rFonts w:hint="eastAsia" w:ascii="仿宋" w:hAnsi="仿宋" w:eastAsia="仿宋" w:cs="仿宋"/>
                <w:bCs/>
                <w:color w:val="auto"/>
                <w:szCs w:val="21"/>
              </w:rPr>
            </w:pPr>
          </w:p>
        </w:tc>
        <w:tc>
          <w:tcPr>
            <w:tcW w:w="709" w:type="dxa"/>
            <w:tcBorders>
              <w:right w:val="single" w:color="auto" w:sz="4" w:space="0"/>
            </w:tcBorders>
            <w:noWrap w:val="0"/>
            <w:vAlign w:val="top"/>
          </w:tcPr>
          <w:p w14:paraId="3AF52A3E">
            <w:pPr>
              <w:spacing w:line="440" w:lineRule="exact"/>
              <w:jc w:val="left"/>
              <w:outlineLvl w:val="9"/>
              <w:rPr>
                <w:rFonts w:hint="eastAsia" w:ascii="仿宋" w:hAnsi="仿宋" w:eastAsia="仿宋" w:cs="仿宋"/>
                <w:bCs/>
                <w:color w:val="auto"/>
                <w:szCs w:val="21"/>
              </w:rPr>
            </w:pPr>
          </w:p>
        </w:tc>
      </w:tr>
      <w:tr w14:paraId="19BAD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828" w:type="dxa"/>
            <w:vMerge w:val="continue"/>
            <w:tcBorders>
              <w:left w:val="single" w:color="auto" w:sz="4" w:space="0"/>
              <w:right w:val="single" w:color="auto" w:sz="4" w:space="0"/>
            </w:tcBorders>
            <w:noWrap w:val="0"/>
            <w:vAlign w:val="center"/>
          </w:tcPr>
          <w:p w14:paraId="2F24AC05">
            <w:pPr>
              <w:spacing w:line="440" w:lineRule="exact"/>
              <w:jc w:val="left"/>
              <w:outlineLvl w:val="9"/>
              <w:rPr>
                <w:rFonts w:hint="eastAsia" w:ascii="仿宋" w:hAnsi="仿宋" w:eastAsia="仿宋" w:cs="仿宋"/>
                <w:bCs/>
                <w:color w:val="auto"/>
                <w:sz w:val="28"/>
                <w:szCs w:val="28"/>
              </w:rPr>
            </w:pPr>
          </w:p>
        </w:tc>
        <w:tc>
          <w:tcPr>
            <w:tcW w:w="598" w:type="dxa"/>
            <w:tcBorders>
              <w:left w:val="single" w:color="auto" w:sz="4" w:space="0"/>
              <w:bottom w:val="single" w:color="auto" w:sz="4" w:space="0"/>
            </w:tcBorders>
            <w:noWrap w:val="0"/>
            <w:vAlign w:val="center"/>
          </w:tcPr>
          <w:p w14:paraId="4F8AFC27">
            <w:pPr>
              <w:spacing w:line="440" w:lineRule="exact"/>
              <w:jc w:val="center"/>
              <w:outlineLvl w:val="0"/>
              <w:rPr>
                <w:rFonts w:hint="eastAsia" w:ascii="仿宋" w:hAnsi="仿宋" w:eastAsia="仿宋" w:cs="仿宋"/>
                <w:bCs/>
                <w:color w:val="auto"/>
                <w:sz w:val="28"/>
                <w:szCs w:val="28"/>
              </w:rPr>
            </w:pPr>
            <w:bookmarkStart w:id="848" w:name="_Toc17563"/>
            <w:bookmarkStart w:id="849" w:name="_Toc1597"/>
            <w:bookmarkStart w:id="850" w:name="_Toc21185"/>
            <w:bookmarkStart w:id="851" w:name="_Toc32077"/>
            <w:bookmarkStart w:id="852" w:name="_Toc18698"/>
            <w:bookmarkStart w:id="853" w:name="_Toc1643"/>
            <w:r>
              <w:rPr>
                <w:rFonts w:hint="eastAsia" w:ascii="仿宋" w:hAnsi="仿宋" w:eastAsia="仿宋" w:cs="仿宋"/>
                <w:bCs/>
                <w:color w:val="auto"/>
                <w:sz w:val="28"/>
                <w:szCs w:val="28"/>
              </w:rPr>
              <w:t>6</w:t>
            </w:r>
            <w:bookmarkEnd w:id="848"/>
            <w:bookmarkEnd w:id="849"/>
            <w:bookmarkEnd w:id="850"/>
            <w:bookmarkEnd w:id="851"/>
            <w:bookmarkEnd w:id="852"/>
            <w:bookmarkEnd w:id="853"/>
          </w:p>
        </w:tc>
        <w:tc>
          <w:tcPr>
            <w:tcW w:w="6090" w:type="dxa"/>
            <w:tcBorders>
              <w:bottom w:val="single" w:color="auto" w:sz="4" w:space="0"/>
              <w:right w:val="single" w:color="auto" w:sz="4" w:space="0"/>
            </w:tcBorders>
            <w:noWrap w:val="0"/>
            <w:vAlign w:val="top"/>
          </w:tcPr>
          <w:p w14:paraId="610BA3E6">
            <w:pPr>
              <w:spacing w:line="440" w:lineRule="exact"/>
              <w:jc w:val="left"/>
              <w:outlineLvl w:val="0"/>
              <w:rPr>
                <w:rFonts w:hint="eastAsia" w:ascii="仿宋" w:hAnsi="仿宋" w:eastAsia="仿宋" w:cs="仿宋"/>
                <w:bCs/>
                <w:color w:val="auto"/>
                <w:sz w:val="28"/>
                <w:szCs w:val="28"/>
              </w:rPr>
            </w:pPr>
            <w:bookmarkStart w:id="854" w:name="_Toc26973"/>
            <w:bookmarkStart w:id="855" w:name="_Toc28866"/>
            <w:bookmarkStart w:id="856" w:name="_Toc8673"/>
            <w:bookmarkStart w:id="857" w:name="_Toc14924"/>
            <w:bookmarkStart w:id="858" w:name="_Toc20928"/>
            <w:bookmarkStart w:id="859" w:name="_Toc26375"/>
            <w:r>
              <w:rPr>
                <w:rFonts w:hint="eastAsia" w:ascii="仿宋" w:hAnsi="仿宋" w:eastAsia="仿宋" w:cs="仿宋"/>
                <w:bCs/>
                <w:color w:val="auto"/>
                <w:sz w:val="28"/>
                <w:szCs w:val="28"/>
              </w:rPr>
              <w:t>投标文件没有投标单位法定代表人或其授权代表签字（</w:t>
            </w:r>
            <w:r>
              <w:rPr>
                <w:rFonts w:hint="eastAsia" w:ascii="仿宋" w:hAnsi="仿宋" w:eastAsia="仿宋" w:cs="仿宋"/>
                <w:bCs/>
                <w:color w:val="auto"/>
                <w:sz w:val="28"/>
                <w:szCs w:val="28"/>
                <w:lang w:val="en-US" w:eastAsia="zh-CN"/>
              </w:rPr>
              <w:t>签字或盖章</w:t>
            </w:r>
            <w:r>
              <w:rPr>
                <w:rFonts w:hint="eastAsia" w:ascii="仿宋" w:hAnsi="仿宋" w:eastAsia="仿宋" w:cs="仿宋"/>
                <w:bCs/>
                <w:color w:val="auto"/>
                <w:sz w:val="28"/>
                <w:szCs w:val="28"/>
              </w:rPr>
              <w:t>）和加盖投标单位公章的；</w:t>
            </w:r>
            <w:bookmarkEnd w:id="854"/>
            <w:bookmarkEnd w:id="855"/>
            <w:bookmarkEnd w:id="856"/>
            <w:bookmarkEnd w:id="857"/>
            <w:bookmarkEnd w:id="858"/>
            <w:bookmarkEnd w:id="859"/>
          </w:p>
        </w:tc>
        <w:tc>
          <w:tcPr>
            <w:tcW w:w="814" w:type="dxa"/>
            <w:tcBorders>
              <w:left w:val="single" w:color="auto" w:sz="4" w:space="0"/>
              <w:bottom w:val="single" w:color="auto" w:sz="4" w:space="0"/>
            </w:tcBorders>
            <w:noWrap w:val="0"/>
            <w:vAlign w:val="top"/>
          </w:tcPr>
          <w:p w14:paraId="31047A62">
            <w:pPr>
              <w:spacing w:line="440" w:lineRule="exact"/>
              <w:jc w:val="left"/>
              <w:outlineLvl w:val="9"/>
              <w:rPr>
                <w:rFonts w:hint="eastAsia" w:ascii="仿宋" w:hAnsi="仿宋" w:eastAsia="仿宋" w:cs="仿宋"/>
                <w:bCs/>
                <w:color w:val="auto"/>
                <w:szCs w:val="21"/>
              </w:rPr>
            </w:pPr>
          </w:p>
        </w:tc>
        <w:tc>
          <w:tcPr>
            <w:tcW w:w="709" w:type="dxa"/>
            <w:tcBorders>
              <w:bottom w:val="single" w:color="auto" w:sz="4" w:space="0"/>
              <w:right w:val="single" w:color="auto" w:sz="4" w:space="0"/>
            </w:tcBorders>
            <w:noWrap w:val="0"/>
            <w:vAlign w:val="top"/>
          </w:tcPr>
          <w:p w14:paraId="7AE28534">
            <w:pPr>
              <w:spacing w:line="440" w:lineRule="exact"/>
              <w:jc w:val="left"/>
              <w:outlineLvl w:val="9"/>
              <w:rPr>
                <w:rFonts w:hint="eastAsia" w:ascii="仿宋" w:hAnsi="仿宋" w:eastAsia="仿宋" w:cs="仿宋"/>
                <w:bCs/>
                <w:color w:val="auto"/>
                <w:szCs w:val="21"/>
              </w:rPr>
            </w:pPr>
          </w:p>
        </w:tc>
        <w:tc>
          <w:tcPr>
            <w:tcW w:w="709" w:type="dxa"/>
            <w:tcBorders>
              <w:bottom w:val="single" w:color="auto" w:sz="4" w:space="0"/>
              <w:right w:val="single" w:color="auto" w:sz="4" w:space="0"/>
            </w:tcBorders>
            <w:noWrap w:val="0"/>
            <w:vAlign w:val="top"/>
          </w:tcPr>
          <w:p w14:paraId="3CCD3DBC">
            <w:pPr>
              <w:spacing w:line="440" w:lineRule="exact"/>
              <w:jc w:val="left"/>
              <w:outlineLvl w:val="9"/>
              <w:rPr>
                <w:rFonts w:hint="eastAsia" w:ascii="仿宋" w:hAnsi="仿宋" w:eastAsia="仿宋" w:cs="仿宋"/>
                <w:bCs/>
                <w:color w:val="auto"/>
                <w:szCs w:val="21"/>
              </w:rPr>
            </w:pPr>
          </w:p>
        </w:tc>
      </w:tr>
      <w:tr w14:paraId="46A34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828" w:type="dxa"/>
            <w:vMerge w:val="continue"/>
            <w:tcBorders>
              <w:left w:val="single" w:color="auto" w:sz="4" w:space="0"/>
              <w:right w:val="single" w:color="auto" w:sz="4" w:space="0"/>
            </w:tcBorders>
            <w:noWrap w:val="0"/>
            <w:vAlign w:val="center"/>
          </w:tcPr>
          <w:p w14:paraId="7EFA771A">
            <w:pPr>
              <w:spacing w:line="440" w:lineRule="exact"/>
              <w:jc w:val="left"/>
              <w:outlineLvl w:val="9"/>
              <w:rPr>
                <w:rFonts w:hint="eastAsia" w:ascii="仿宋" w:hAnsi="仿宋" w:eastAsia="仿宋" w:cs="仿宋"/>
                <w:bCs/>
                <w:color w:val="auto"/>
                <w:sz w:val="28"/>
                <w:szCs w:val="28"/>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7E1086F2">
            <w:pPr>
              <w:spacing w:line="440" w:lineRule="exact"/>
              <w:jc w:val="center"/>
              <w:outlineLvl w:val="0"/>
              <w:rPr>
                <w:rFonts w:hint="eastAsia" w:ascii="仿宋" w:hAnsi="仿宋" w:eastAsia="仿宋" w:cs="仿宋"/>
                <w:bCs/>
                <w:color w:val="auto"/>
                <w:sz w:val="28"/>
                <w:szCs w:val="28"/>
              </w:rPr>
            </w:pPr>
            <w:bookmarkStart w:id="860" w:name="_Toc2140"/>
            <w:bookmarkStart w:id="861" w:name="_Toc17655"/>
            <w:bookmarkStart w:id="862" w:name="_Toc5265"/>
            <w:bookmarkStart w:id="863" w:name="_Toc8307"/>
            <w:bookmarkStart w:id="864" w:name="_Toc9998"/>
            <w:bookmarkStart w:id="865" w:name="_Toc18773"/>
            <w:r>
              <w:rPr>
                <w:rFonts w:hint="eastAsia" w:ascii="仿宋" w:hAnsi="仿宋" w:eastAsia="仿宋" w:cs="仿宋"/>
                <w:bCs/>
                <w:color w:val="auto"/>
                <w:sz w:val="28"/>
                <w:szCs w:val="28"/>
              </w:rPr>
              <w:t>7</w:t>
            </w:r>
            <w:bookmarkEnd w:id="860"/>
            <w:bookmarkEnd w:id="861"/>
            <w:bookmarkEnd w:id="862"/>
            <w:bookmarkEnd w:id="863"/>
            <w:bookmarkEnd w:id="864"/>
            <w:bookmarkEnd w:id="865"/>
          </w:p>
        </w:tc>
        <w:tc>
          <w:tcPr>
            <w:tcW w:w="6090" w:type="dxa"/>
            <w:tcBorders>
              <w:top w:val="single" w:color="auto" w:sz="4" w:space="0"/>
              <w:left w:val="single" w:color="auto" w:sz="4" w:space="0"/>
              <w:bottom w:val="single" w:color="auto" w:sz="4" w:space="0"/>
              <w:right w:val="single" w:color="auto" w:sz="4" w:space="0"/>
            </w:tcBorders>
            <w:noWrap w:val="0"/>
            <w:vAlign w:val="top"/>
          </w:tcPr>
          <w:p w14:paraId="117C72C4">
            <w:pPr>
              <w:spacing w:line="440" w:lineRule="exact"/>
              <w:jc w:val="left"/>
              <w:outlineLvl w:val="0"/>
              <w:rPr>
                <w:rFonts w:hint="eastAsia" w:ascii="仿宋" w:hAnsi="仿宋" w:eastAsia="仿宋" w:cs="仿宋"/>
                <w:bCs/>
                <w:color w:val="auto"/>
                <w:sz w:val="28"/>
                <w:szCs w:val="28"/>
              </w:rPr>
            </w:pPr>
            <w:bookmarkStart w:id="866" w:name="_Toc26599"/>
            <w:bookmarkStart w:id="867" w:name="_Toc4107"/>
            <w:bookmarkStart w:id="868" w:name="_Toc31193"/>
            <w:bookmarkStart w:id="869" w:name="_Toc27956"/>
            <w:bookmarkStart w:id="870" w:name="_Toc22315"/>
            <w:bookmarkStart w:id="871" w:name="_Toc27385"/>
            <w:r>
              <w:rPr>
                <w:rFonts w:hint="eastAsia" w:ascii="仿宋" w:hAnsi="仿宋" w:eastAsia="仿宋" w:cs="仿宋"/>
                <w:bCs/>
                <w:color w:val="auto"/>
                <w:sz w:val="28"/>
                <w:szCs w:val="28"/>
              </w:rPr>
              <w:t>投标的政府采购项目完成期限超过招标文件规定期限的；</w:t>
            </w:r>
            <w:bookmarkEnd w:id="866"/>
            <w:bookmarkEnd w:id="867"/>
            <w:bookmarkEnd w:id="868"/>
            <w:bookmarkEnd w:id="869"/>
            <w:bookmarkEnd w:id="870"/>
            <w:bookmarkEnd w:id="871"/>
          </w:p>
        </w:tc>
        <w:tc>
          <w:tcPr>
            <w:tcW w:w="814" w:type="dxa"/>
            <w:tcBorders>
              <w:top w:val="single" w:color="auto" w:sz="4" w:space="0"/>
              <w:left w:val="single" w:color="auto" w:sz="4" w:space="0"/>
              <w:bottom w:val="single" w:color="auto" w:sz="4" w:space="0"/>
              <w:right w:val="single" w:color="auto" w:sz="4" w:space="0"/>
            </w:tcBorders>
            <w:noWrap w:val="0"/>
            <w:vAlign w:val="top"/>
          </w:tcPr>
          <w:p w14:paraId="2BD70551">
            <w:pPr>
              <w:spacing w:line="440" w:lineRule="exact"/>
              <w:jc w:val="left"/>
              <w:outlineLvl w:val="9"/>
              <w:rPr>
                <w:rFonts w:hint="eastAsia" w:ascii="仿宋" w:hAnsi="仿宋" w:eastAsia="仿宋" w:cs="仿宋"/>
                <w:bCs/>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47EB40D">
            <w:pPr>
              <w:spacing w:line="440" w:lineRule="exact"/>
              <w:jc w:val="left"/>
              <w:outlineLvl w:val="9"/>
              <w:rPr>
                <w:rFonts w:hint="eastAsia" w:ascii="仿宋" w:hAnsi="仿宋" w:eastAsia="仿宋" w:cs="仿宋"/>
                <w:bCs/>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6E4B74D0">
            <w:pPr>
              <w:spacing w:line="440" w:lineRule="exact"/>
              <w:jc w:val="left"/>
              <w:outlineLvl w:val="9"/>
              <w:rPr>
                <w:rFonts w:hint="eastAsia" w:ascii="仿宋" w:hAnsi="仿宋" w:eastAsia="仿宋" w:cs="仿宋"/>
                <w:bCs/>
                <w:color w:val="auto"/>
                <w:szCs w:val="21"/>
              </w:rPr>
            </w:pPr>
          </w:p>
        </w:tc>
      </w:tr>
      <w:tr w14:paraId="02AEC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28" w:type="dxa"/>
            <w:vMerge w:val="continue"/>
            <w:tcBorders>
              <w:left w:val="single" w:color="auto" w:sz="4" w:space="0"/>
              <w:right w:val="single" w:color="auto" w:sz="4" w:space="0"/>
            </w:tcBorders>
            <w:noWrap w:val="0"/>
            <w:vAlign w:val="center"/>
          </w:tcPr>
          <w:p w14:paraId="7A4E24C9">
            <w:pPr>
              <w:spacing w:line="440" w:lineRule="exact"/>
              <w:jc w:val="left"/>
              <w:outlineLvl w:val="9"/>
              <w:rPr>
                <w:rFonts w:hint="eastAsia" w:ascii="仿宋" w:hAnsi="仿宋" w:eastAsia="仿宋" w:cs="仿宋"/>
                <w:bCs/>
                <w:color w:val="auto"/>
                <w:sz w:val="28"/>
                <w:szCs w:val="28"/>
              </w:rPr>
            </w:pPr>
          </w:p>
        </w:tc>
        <w:tc>
          <w:tcPr>
            <w:tcW w:w="598" w:type="dxa"/>
            <w:tcBorders>
              <w:left w:val="single" w:color="auto" w:sz="4" w:space="0"/>
            </w:tcBorders>
            <w:noWrap w:val="0"/>
            <w:vAlign w:val="center"/>
          </w:tcPr>
          <w:p w14:paraId="0B27C9AF">
            <w:pPr>
              <w:spacing w:line="440" w:lineRule="exact"/>
              <w:jc w:val="center"/>
              <w:outlineLvl w:val="0"/>
              <w:rPr>
                <w:rFonts w:hint="eastAsia" w:ascii="仿宋" w:hAnsi="仿宋" w:eastAsia="仿宋" w:cs="仿宋"/>
                <w:bCs/>
                <w:color w:val="auto"/>
                <w:sz w:val="28"/>
                <w:szCs w:val="28"/>
              </w:rPr>
            </w:pPr>
            <w:bookmarkStart w:id="872" w:name="_Toc27043"/>
            <w:bookmarkStart w:id="873" w:name="_Toc14081"/>
            <w:bookmarkStart w:id="874" w:name="_Toc22119"/>
            <w:bookmarkStart w:id="875" w:name="_Toc32070"/>
            <w:bookmarkStart w:id="876" w:name="_Toc20929"/>
            <w:bookmarkStart w:id="877" w:name="_Toc474"/>
            <w:r>
              <w:rPr>
                <w:rFonts w:hint="eastAsia" w:ascii="仿宋" w:hAnsi="仿宋" w:eastAsia="仿宋" w:cs="仿宋"/>
                <w:bCs/>
                <w:color w:val="auto"/>
                <w:sz w:val="28"/>
                <w:szCs w:val="28"/>
              </w:rPr>
              <w:t>8</w:t>
            </w:r>
            <w:bookmarkEnd w:id="872"/>
            <w:bookmarkEnd w:id="873"/>
            <w:bookmarkEnd w:id="874"/>
            <w:bookmarkEnd w:id="875"/>
            <w:bookmarkEnd w:id="876"/>
            <w:bookmarkEnd w:id="877"/>
          </w:p>
        </w:tc>
        <w:tc>
          <w:tcPr>
            <w:tcW w:w="6090" w:type="dxa"/>
            <w:tcBorders>
              <w:right w:val="single" w:color="auto" w:sz="4" w:space="0"/>
            </w:tcBorders>
            <w:noWrap w:val="0"/>
            <w:vAlign w:val="top"/>
          </w:tcPr>
          <w:p w14:paraId="4B26DE23">
            <w:pPr>
              <w:spacing w:line="440" w:lineRule="exact"/>
              <w:jc w:val="left"/>
              <w:outlineLvl w:val="0"/>
              <w:rPr>
                <w:rFonts w:hint="eastAsia" w:ascii="仿宋" w:hAnsi="仿宋" w:eastAsia="仿宋" w:cs="仿宋"/>
                <w:bCs/>
                <w:color w:val="auto"/>
                <w:sz w:val="28"/>
                <w:szCs w:val="28"/>
              </w:rPr>
            </w:pPr>
            <w:bookmarkStart w:id="878" w:name="_Toc30705"/>
            <w:bookmarkStart w:id="879" w:name="_Toc6087"/>
            <w:bookmarkStart w:id="880" w:name="_Toc18890"/>
            <w:bookmarkStart w:id="881" w:name="_Toc22159"/>
            <w:bookmarkStart w:id="882" w:name="_Toc9101"/>
            <w:bookmarkStart w:id="883" w:name="_Toc10499"/>
            <w:r>
              <w:rPr>
                <w:rFonts w:hint="eastAsia" w:ascii="仿宋" w:hAnsi="仿宋" w:eastAsia="仿宋" w:cs="仿宋"/>
                <w:bCs/>
                <w:color w:val="auto"/>
                <w:sz w:val="28"/>
                <w:szCs w:val="28"/>
              </w:rPr>
              <w:t>投标文件附有采购人不能接受条件的；</w:t>
            </w:r>
            <w:bookmarkEnd w:id="878"/>
            <w:bookmarkEnd w:id="879"/>
            <w:bookmarkEnd w:id="880"/>
            <w:bookmarkEnd w:id="881"/>
            <w:bookmarkEnd w:id="882"/>
            <w:bookmarkEnd w:id="883"/>
          </w:p>
        </w:tc>
        <w:tc>
          <w:tcPr>
            <w:tcW w:w="814" w:type="dxa"/>
            <w:tcBorders>
              <w:left w:val="single" w:color="auto" w:sz="4" w:space="0"/>
            </w:tcBorders>
            <w:noWrap w:val="0"/>
            <w:vAlign w:val="top"/>
          </w:tcPr>
          <w:p w14:paraId="17355CB7">
            <w:pPr>
              <w:spacing w:line="440" w:lineRule="exact"/>
              <w:jc w:val="left"/>
              <w:outlineLvl w:val="9"/>
              <w:rPr>
                <w:rFonts w:hint="eastAsia" w:ascii="仿宋" w:hAnsi="仿宋" w:eastAsia="仿宋" w:cs="仿宋"/>
                <w:bCs/>
                <w:color w:val="auto"/>
                <w:szCs w:val="21"/>
              </w:rPr>
            </w:pPr>
          </w:p>
        </w:tc>
        <w:tc>
          <w:tcPr>
            <w:tcW w:w="709" w:type="dxa"/>
            <w:tcBorders>
              <w:right w:val="single" w:color="auto" w:sz="4" w:space="0"/>
            </w:tcBorders>
            <w:noWrap w:val="0"/>
            <w:vAlign w:val="top"/>
          </w:tcPr>
          <w:p w14:paraId="42519108">
            <w:pPr>
              <w:spacing w:line="440" w:lineRule="exact"/>
              <w:jc w:val="left"/>
              <w:outlineLvl w:val="9"/>
              <w:rPr>
                <w:rFonts w:hint="eastAsia" w:ascii="仿宋" w:hAnsi="仿宋" w:eastAsia="仿宋" w:cs="仿宋"/>
                <w:bCs/>
                <w:color w:val="auto"/>
                <w:szCs w:val="21"/>
              </w:rPr>
            </w:pPr>
          </w:p>
        </w:tc>
        <w:tc>
          <w:tcPr>
            <w:tcW w:w="709" w:type="dxa"/>
            <w:tcBorders>
              <w:right w:val="single" w:color="auto" w:sz="4" w:space="0"/>
            </w:tcBorders>
            <w:noWrap w:val="0"/>
            <w:vAlign w:val="top"/>
          </w:tcPr>
          <w:p w14:paraId="19B05FAB">
            <w:pPr>
              <w:spacing w:line="440" w:lineRule="exact"/>
              <w:jc w:val="left"/>
              <w:outlineLvl w:val="9"/>
              <w:rPr>
                <w:rFonts w:hint="eastAsia" w:ascii="仿宋" w:hAnsi="仿宋" w:eastAsia="仿宋" w:cs="仿宋"/>
                <w:bCs/>
                <w:color w:val="auto"/>
                <w:szCs w:val="21"/>
              </w:rPr>
            </w:pPr>
          </w:p>
        </w:tc>
      </w:tr>
      <w:tr w14:paraId="72624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828" w:type="dxa"/>
            <w:vMerge w:val="continue"/>
            <w:tcBorders>
              <w:left w:val="single" w:color="auto" w:sz="4" w:space="0"/>
              <w:right w:val="single" w:color="auto" w:sz="4" w:space="0"/>
            </w:tcBorders>
            <w:noWrap w:val="0"/>
            <w:vAlign w:val="center"/>
          </w:tcPr>
          <w:p w14:paraId="0CBDB5A6">
            <w:pPr>
              <w:spacing w:line="440" w:lineRule="exact"/>
              <w:jc w:val="left"/>
              <w:outlineLvl w:val="9"/>
              <w:rPr>
                <w:rFonts w:hint="eastAsia" w:ascii="仿宋" w:hAnsi="仿宋" w:eastAsia="仿宋" w:cs="仿宋"/>
                <w:bCs/>
                <w:color w:val="auto"/>
                <w:sz w:val="28"/>
                <w:szCs w:val="28"/>
              </w:rPr>
            </w:pPr>
          </w:p>
        </w:tc>
        <w:tc>
          <w:tcPr>
            <w:tcW w:w="598" w:type="dxa"/>
            <w:tcBorders>
              <w:left w:val="single" w:color="auto" w:sz="4" w:space="0"/>
            </w:tcBorders>
            <w:noWrap w:val="0"/>
            <w:vAlign w:val="center"/>
          </w:tcPr>
          <w:p w14:paraId="144CC920">
            <w:pPr>
              <w:spacing w:line="440" w:lineRule="exact"/>
              <w:jc w:val="center"/>
              <w:outlineLvl w:val="0"/>
              <w:rPr>
                <w:rFonts w:hint="eastAsia" w:ascii="仿宋" w:hAnsi="仿宋" w:eastAsia="仿宋" w:cs="仿宋"/>
                <w:bCs/>
                <w:color w:val="auto"/>
                <w:sz w:val="28"/>
                <w:szCs w:val="28"/>
              </w:rPr>
            </w:pPr>
            <w:bookmarkStart w:id="884" w:name="_Toc16425"/>
            <w:bookmarkStart w:id="885" w:name="_Toc5633"/>
            <w:bookmarkStart w:id="886" w:name="_Toc635"/>
            <w:bookmarkStart w:id="887" w:name="_Toc22725"/>
            <w:bookmarkStart w:id="888" w:name="_Toc25833"/>
            <w:bookmarkStart w:id="889" w:name="_Toc22807"/>
            <w:r>
              <w:rPr>
                <w:rFonts w:hint="eastAsia" w:ascii="仿宋" w:hAnsi="仿宋" w:eastAsia="仿宋" w:cs="仿宋"/>
                <w:bCs/>
                <w:color w:val="auto"/>
                <w:sz w:val="28"/>
                <w:szCs w:val="28"/>
              </w:rPr>
              <w:t>9</w:t>
            </w:r>
            <w:bookmarkEnd w:id="884"/>
            <w:bookmarkEnd w:id="885"/>
            <w:bookmarkEnd w:id="886"/>
            <w:bookmarkEnd w:id="887"/>
            <w:bookmarkEnd w:id="888"/>
            <w:bookmarkEnd w:id="889"/>
          </w:p>
        </w:tc>
        <w:tc>
          <w:tcPr>
            <w:tcW w:w="6090" w:type="dxa"/>
            <w:tcBorders>
              <w:right w:val="single" w:color="auto" w:sz="4" w:space="0"/>
            </w:tcBorders>
            <w:noWrap w:val="0"/>
            <w:vAlign w:val="top"/>
          </w:tcPr>
          <w:p w14:paraId="38211B2F">
            <w:pPr>
              <w:spacing w:line="440" w:lineRule="exact"/>
              <w:jc w:val="left"/>
              <w:outlineLvl w:val="0"/>
              <w:rPr>
                <w:rFonts w:hint="eastAsia" w:ascii="仿宋" w:hAnsi="仿宋" w:eastAsia="仿宋" w:cs="仿宋"/>
                <w:bCs/>
                <w:color w:val="auto"/>
                <w:sz w:val="28"/>
                <w:szCs w:val="28"/>
              </w:rPr>
            </w:pPr>
            <w:bookmarkStart w:id="890" w:name="_Toc11333"/>
            <w:bookmarkStart w:id="891" w:name="_Toc22838"/>
            <w:bookmarkStart w:id="892" w:name="_Toc14822"/>
            <w:bookmarkStart w:id="893" w:name="_Toc16296"/>
            <w:bookmarkStart w:id="894" w:name="_Toc12463"/>
            <w:bookmarkStart w:id="895" w:name="_Toc4180"/>
            <w:r>
              <w:rPr>
                <w:rFonts w:hint="eastAsia" w:ascii="仿宋" w:hAnsi="仿宋" w:eastAsia="仿宋" w:cs="仿宋"/>
                <w:bCs/>
                <w:color w:val="auto"/>
                <w:sz w:val="28"/>
                <w:szCs w:val="28"/>
              </w:rPr>
              <w:t>投标人未提供详细地址、联系人、电话、</w:t>
            </w:r>
            <w:bookmarkEnd w:id="890"/>
            <w:bookmarkEnd w:id="891"/>
            <w:bookmarkEnd w:id="892"/>
            <w:bookmarkEnd w:id="893"/>
            <w:bookmarkEnd w:id="894"/>
            <w:bookmarkEnd w:id="895"/>
          </w:p>
        </w:tc>
        <w:tc>
          <w:tcPr>
            <w:tcW w:w="814" w:type="dxa"/>
            <w:tcBorders>
              <w:left w:val="single" w:color="auto" w:sz="4" w:space="0"/>
            </w:tcBorders>
            <w:noWrap w:val="0"/>
            <w:vAlign w:val="top"/>
          </w:tcPr>
          <w:p w14:paraId="09F9CED1">
            <w:pPr>
              <w:spacing w:line="440" w:lineRule="exact"/>
              <w:jc w:val="left"/>
              <w:outlineLvl w:val="9"/>
              <w:rPr>
                <w:rFonts w:hint="eastAsia" w:ascii="仿宋" w:hAnsi="仿宋" w:eastAsia="仿宋" w:cs="仿宋"/>
                <w:bCs/>
                <w:color w:val="auto"/>
                <w:szCs w:val="21"/>
              </w:rPr>
            </w:pPr>
          </w:p>
        </w:tc>
        <w:tc>
          <w:tcPr>
            <w:tcW w:w="709" w:type="dxa"/>
            <w:tcBorders>
              <w:right w:val="single" w:color="auto" w:sz="4" w:space="0"/>
            </w:tcBorders>
            <w:noWrap w:val="0"/>
            <w:vAlign w:val="top"/>
          </w:tcPr>
          <w:p w14:paraId="72764686">
            <w:pPr>
              <w:spacing w:line="440" w:lineRule="exact"/>
              <w:jc w:val="left"/>
              <w:outlineLvl w:val="9"/>
              <w:rPr>
                <w:rFonts w:hint="eastAsia" w:ascii="仿宋" w:hAnsi="仿宋" w:eastAsia="仿宋" w:cs="仿宋"/>
                <w:bCs/>
                <w:color w:val="auto"/>
                <w:szCs w:val="21"/>
              </w:rPr>
            </w:pPr>
          </w:p>
        </w:tc>
        <w:tc>
          <w:tcPr>
            <w:tcW w:w="709" w:type="dxa"/>
            <w:tcBorders>
              <w:right w:val="single" w:color="auto" w:sz="4" w:space="0"/>
            </w:tcBorders>
            <w:noWrap w:val="0"/>
            <w:vAlign w:val="top"/>
          </w:tcPr>
          <w:p w14:paraId="3B378B92">
            <w:pPr>
              <w:spacing w:line="440" w:lineRule="exact"/>
              <w:jc w:val="left"/>
              <w:outlineLvl w:val="9"/>
              <w:rPr>
                <w:rFonts w:hint="eastAsia" w:ascii="仿宋" w:hAnsi="仿宋" w:eastAsia="仿宋" w:cs="仿宋"/>
                <w:bCs/>
                <w:color w:val="auto"/>
                <w:szCs w:val="21"/>
              </w:rPr>
            </w:pPr>
          </w:p>
        </w:tc>
      </w:tr>
      <w:tr w14:paraId="696EA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noWrap w:val="0"/>
            <w:vAlign w:val="center"/>
          </w:tcPr>
          <w:p w14:paraId="1F0E58BC">
            <w:pPr>
              <w:spacing w:line="440" w:lineRule="exact"/>
              <w:jc w:val="left"/>
              <w:outlineLvl w:val="9"/>
              <w:rPr>
                <w:rFonts w:hint="eastAsia" w:ascii="仿宋" w:hAnsi="仿宋" w:eastAsia="仿宋" w:cs="仿宋"/>
                <w:bCs/>
                <w:color w:val="auto"/>
                <w:sz w:val="28"/>
                <w:szCs w:val="28"/>
              </w:rPr>
            </w:pPr>
          </w:p>
        </w:tc>
        <w:tc>
          <w:tcPr>
            <w:tcW w:w="598" w:type="dxa"/>
            <w:tcBorders>
              <w:left w:val="single" w:color="auto" w:sz="4" w:space="0"/>
            </w:tcBorders>
            <w:noWrap w:val="0"/>
            <w:vAlign w:val="center"/>
          </w:tcPr>
          <w:p w14:paraId="1B870BC8">
            <w:pPr>
              <w:spacing w:line="440" w:lineRule="exact"/>
              <w:jc w:val="center"/>
              <w:outlineLvl w:val="0"/>
              <w:rPr>
                <w:rFonts w:hint="eastAsia" w:ascii="仿宋" w:hAnsi="仿宋" w:eastAsia="仿宋" w:cs="仿宋"/>
                <w:bCs/>
                <w:color w:val="auto"/>
                <w:sz w:val="28"/>
                <w:szCs w:val="28"/>
              </w:rPr>
            </w:pPr>
            <w:bookmarkStart w:id="896" w:name="_Toc23410"/>
            <w:bookmarkStart w:id="897" w:name="_Toc11596"/>
            <w:bookmarkStart w:id="898" w:name="_Toc1431"/>
            <w:bookmarkStart w:id="899" w:name="_Toc978"/>
            <w:bookmarkStart w:id="900" w:name="_Toc23756"/>
            <w:bookmarkStart w:id="901" w:name="_Toc20836"/>
            <w:r>
              <w:rPr>
                <w:rFonts w:hint="eastAsia" w:ascii="仿宋" w:hAnsi="仿宋" w:eastAsia="仿宋" w:cs="仿宋"/>
                <w:bCs/>
                <w:color w:val="auto"/>
                <w:sz w:val="28"/>
                <w:szCs w:val="28"/>
              </w:rPr>
              <w:t>10</w:t>
            </w:r>
            <w:bookmarkEnd w:id="896"/>
            <w:bookmarkEnd w:id="897"/>
            <w:bookmarkEnd w:id="898"/>
            <w:bookmarkEnd w:id="899"/>
            <w:bookmarkEnd w:id="900"/>
            <w:bookmarkEnd w:id="901"/>
          </w:p>
        </w:tc>
        <w:tc>
          <w:tcPr>
            <w:tcW w:w="6090" w:type="dxa"/>
            <w:tcBorders>
              <w:right w:val="single" w:color="auto" w:sz="4" w:space="0"/>
            </w:tcBorders>
            <w:noWrap w:val="0"/>
            <w:vAlign w:val="top"/>
          </w:tcPr>
          <w:p w14:paraId="1E469332">
            <w:pPr>
              <w:spacing w:line="440" w:lineRule="exact"/>
              <w:jc w:val="left"/>
              <w:outlineLvl w:val="0"/>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投标文件未提供投标保证金缴纳有效证明的</w:t>
            </w:r>
          </w:p>
        </w:tc>
        <w:tc>
          <w:tcPr>
            <w:tcW w:w="814" w:type="dxa"/>
            <w:tcBorders>
              <w:left w:val="single" w:color="auto" w:sz="4" w:space="0"/>
            </w:tcBorders>
            <w:noWrap w:val="0"/>
            <w:vAlign w:val="top"/>
          </w:tcPr>
          <w:p w14:paraId="322B3FB8">
            <w:pPr>
              <w:spacing w:line="440" w:lineRule="exact"/>
              <w:jc w:val="left"/>
              <w:outlineLvl w:val="9"/>
              <w:rPr>
                <w:rFonts w:hint="eastAsia" w:ascii="仿宋" w:hAnsi="仿宋" w:eastAsia="仿宋" w:cs="仿宋"/>
                <w:bCs/>
                <w:color w:val="auto"/>
                <w:szCs w:val="21"/>
              </w:rPr>
            </w:pPr>
          </w:p>
        </w:tc>
        <w:tc>
          <w:tcPr>
            <w:tcW w:w="709" w:type="dxa"/>
            <w:tcBorders>
              <w:right w:val="single" w:color="auto" w:sz="4" w:space="0"/>
            </w:tcBorders>
            <w:noWrap w:val="0"/>
            <w:vAlign w:val="top"/>
          </w:tcPr>
          <w:p w14:paraId="5DEBD69A">
            <w:pPr>
              <w:spacing w:line="440" w:lineRule="exact"/>
              <w:jc w:val="left"/>
              <w:outlineLvl w:val="9"/>
              <w:rPr>
                <w:rFonts w:hint="eastAsia" w:ascii="仿宋" w:hAnsi="仿宋" w:eastAsia="仿宋" w:cs="仿宋"/>
                <w:bCs/>
                <w:color w:val="auto"/>
                <w:szCs w:val="21"/>
              </w:rPr>
            </w:pPr>
          </w:p>
        </w:tc>
        <w:tc>
          <w:tcPr>
            <w:tcW w:w="709" w:type="dxa"/>
            <w:tcBorders>
              <w:right w:val="single" w:color="auto" w:sz="4" w:space="0"/>
            </w:tcBorders>
            <w:noWrap w:val="0"/>
            <w:vAlign w:val="top"/>
          </w:tcPr>
          <w:p w14:paraId="0756A13D">
            <w:pPr>
              <w:spacing w:line="440" w:lineRule="exact"/>
              <w:jc w:val="left"/>
              <w:outlineLvl w:val="9"/>
              <w:rPr>
                <w:rFonts w:hint="eastAsia" w:ascii="仿宋" w:hAnsi="仿宋" w:eastAsia="仿宋" w:cs="仿宋"/>
                <w:bCs/>
                <w:color w:val="auto"/>
                <w:szCs w:val="21"/>
              </w:rPr>
            </w:pPr>
          </w:p>
        </w:tc>
      </w:tr>
      <w:tr w14:paraId="04D96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noWrap w:val="0"/>
            <w:vAlign w:val="center"/>
          </w:tcPr>
          <w:p w14:paraId="2143E6F0">
            <w:pPr>
              <w:spacing w:line="440" w:lineRule="exact"/>
              <w:jc w:val="left"/>
              <w:outlineLvl w:val="9"/>
              <w:rPr>
                <w:rFonts w:hint="eastAsia" w:ascii="仿宋" w:hAnsi="仿宋" w:eastAsia="仿宋" w:cs="仿宋"/>
                <w:bCs/>
                <w:color w:val="auto"/>
                <w:sz w:val="28"/>
                <w:szCs w:val="28"/>
              </w:rPr>
            </w:pPr>
          </w:p>
        </w:tc>
        <w:tc>
          <w:tcPr>
            <w:tcW w:w="598" w:type="dxa"/>
            <w:tcBorders>
              <w:left w:val="single" w:color="auto" w:sz="4" w:space="0"/>
            </w:tcBorders>
            <w:noWrap w:val="0"/>
            <w:vAlign w:val="center"/>
          </w:tcPr>
          <w:p w14:paraId="77FB22D5">
            <w:pPr>
              <w:spacing w:line="440" w:lineRule="exact"/>
              <w:jc w:val="center"/>
              <w:outlineLvl w:val="0"/>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11</w:t>
            </w:r>
          </w:p>
        </w:tc>
        <w:tc>
          <w:tcPr>
            <w:tcW w:w="6090" w:type="dxa"/>
            <w:tcBorders>
              <w:right w:val="single" w:color="auto" w:sz="4" w:space="0"/>
            </w:tcBorders>
            <w:noWrap w:val="0"/>
            <w:vAlign w:val="top"/>
          </w:tcPr>
          <w:p w14:paraId="6849D06C">
            <w:pPr>
              <w:spacing w:line="440" w:lineRule="exact"/>
              <w:jc w:val="left"/>
              <w:outlineLvl w:val="0"/>
              <w:rPr>
                <w:rFonts w:hint="eastAsia" w:ascii="仿宋" w:hAnsi="仿宋" w:eastAsia="仿宋" w:cs="仿宋"/>
                <w:bCs/>
                <w:color w:val="auto"/>
                <w:sz w:val="28"/>
                <w:szCs w:val="28"/>
              </w:rPr>
            </w:pPr>
            <w:bookmarkStart w:id="902" w:name="_Toc10550"/>
            <w:bookmarkStart w:id="903" w:name="_Toc18714"/>
            <w:bookmarkStart w:id="904" w:name="_Toc10283"/>
            <w:bookmarkStart w:id="905" w:name="_Toc28295"/>
            <w:bookmarkStart w:id="906" w:name="_Toc1673"/>
            <w:bookmarkStart w:id="907" w:name="_Toc4585"/>
            <w:r>
              <w:rPr>
                <w:rFonts w:hint="eastAsia" w:ascii="仿宋" w:hAnsi="仿宋" w:eastAsia="仿宋" w:cs="仿宋"/>
                <w:bCs/>
                <w:color w:val="auto"/>
                <w:sz w:val="28"/>
                <w:szCs w:val="28"/>
              </w:rPr>
              <w:t>不满足招标文件实质性要求的</w:t>
            </w:r>
            <w:r>
              <w:rPr>
                <w:rFonts w:hint="eastAsia" w:ascii="仿宋" w:hAnsi="仿宋" w:eastAsia="仿宋" w:cs="仿宋"/>
                <w:bCs/>
                <w:color w:val="auto"/>
                <w:sz w:val="28"/>
                <w:szCs w:val="28"/>
                <w:lang w:eastAsia="zh-CN"/>
              </w:rPr>
              <w:t>核心参数以及</w:t>
            </w:r>
            <w:r>
              <w:rPr>
                <w:rFonts w:hint="eastAsia" w:ascii="仿宋" w:hAnsi="仿宋" w:eastAsia="仿宋" w:cs="仿宋"/>
                <w:bCs/>
                <w:color w:val="auto"/>
                <w:sz w:val="28"/>
                <w:szCs w:val="28"/>
              </w:rPr>
              <w:t>其他情形.....</w:t>
            </w:r>
            <w:bookmarkEnd w:id="902"/>
            <w:bookmarkEnd w:id="903"/>
            <w:bookmarkEnd w:id="904"/>
            <w:bookmarkEnd w:id="905"/>
            <w:bookmarkEnd w:id="906"/>
            <w:bookmarkEnd w:id="907"/>
          </w:p>
        </w:tc>
        <w:tc>
          <w:tcPr>
            <w:tcW w:w="814" w:type="dxa"/>
            <w:tcBorders>
              <w:left w:val="single" w:color="auto" w:sz="4" w:space="0"/>
            </w:tcBorders>
            <w:noWrap w:val="0"/>
            <w:vAlign w:val="top"/>
          </w:tcPr>
          <w:p w14:paraId="31BB32FE">
            <w:pPr>
              <w:spacing w:line="440" w:lineRule="exact"/>
              <w:jc w:val="left"/>
              <w:outlineLvl w:val="9"/>
              <w:rPr>
                <w:rFonts w:hint="eastAsia" w:ascii="仿宋" w:hAnsi="仿宋" w:eastAsia="仿宋" w:cs="仿宋"/>
                <w:bCs/>
                <w:color w:val="auto"/>
                <w:szCs w:val="21"/>
              </w:rPr>
            </w:pPr>
          </w:p>
        </w:tc>
        <w:tc>
          <w:tcPr>
            <w:tcW w:w="709" w:type="dxa"/>
            <w:tcBorders>
              <w:right w:val="single" w:color="auto" w:sz="4" w:space="0"/>
            </w:tcBorders>
            <w:noWrap w:val="0"/>
            <w:vAlign w:val="top"/>
          </w:tcPr>
          <w:p w14:paraId="7125368E">
            <w:pPr>
              <w:spacing w:line="440" w:lineRule="exact"/>
              <w:jc w:val="left"/>
              <w:outlineLvl w:val="9"/>
              <w:rPr>
                <w:rFonts w:hint="eastAsia" w:ascii="仿宋" w:hAnsi="仿宋" w:eastAsia="仿宋" w:cs="仿宋"/>
                <w:bCs/>
                <w:color w:val="auto"/>
                <w:szCs w:val="21"/>
              </w:rPr>
            </w:pPr>
          </w:p>
        </w:tc>
        <w:tc>
          <w:tcPr>
            <w:tcW w:w="709" w:type="dxa"/>
            <w:tcBorders>
              <w:right w:val="single" w:color="auto" w:sz="4" w:space="0"/>
            </w:tcBorders>
            <w:noWrap w:val="0"/>
            <w:vAlign w:val="top"/>
          </w:tcPr>
          <w:p w14:paraId="6D59CA06">
            <w:pPr>
              <w:spacing w:line="440" w:lineRule="exact"/>
              <w:jc w:val="left"/>
              <w:outlineLvl w:val="9"/>
              <w:rPr>
                <w:rFonts w:hint="eastAsia" w:ascii="仿宋" w:hAnsi="仿宋" w:eastAsia="仿宋" w:cs="仿宋"/>
                <w:bCs/>
                <w:color w:val="auto"/>
                <w:szCs w:val="21"/>
              </w:rPr>
            </w:pPr>
          </w:p>
        </w:tc>
      </w:tr>
      <w:tr w14:paraId="17611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828" w:type="dxa"/>
            <w:tcBorders>
              <w:left w:val="single" w:color="auto" w:sz="4" w:space="0"/>
              <w:bottom w:val="single" w:color="auto" w:sz="4" w:space="0"/>
              <w:right w:val="single" w:color="auto" w:sz="4" w:space="0"/>
            </w:tcBorders>
            <w:noWrap w:val="0"/>
            <w:vAlign w:val="center"/>
          </w:tcPr>
          <w:p w14:paraId="691F8B58">
            <w:pPr>
              <w:spacing w:line="440" w:lineRule="exact"/>
              <w:jc w:val="left"/>
              <w:outlineLvl w:val="9"/>
              <w:rPr>
                <w:rFonts w:hint="eastAsia" w:ascii="仿宋" w:hAnsi="仿宋" w:eastAsia="仿宋" w:cs="仿宋"/>
                <w:bCs/>
                <w:color w:val="auto"/>
                <w:sz w:val="28"/>
                <w:szCs w:val="28"/>
              </w:rPr>
            </w:pPr>
          </w:p>
        </w:tc>
        <w:tc>
          <w:tcPr>
            <w:tcW w:w="6688" w:type="dxa"/>
            <w:gridSpan w:val="2"/>
            <w:tcBorders>
              <w:left w:val="single" w:color="auto" w:sz="4" w:space="0"/>
              <w:bottom w:val="single" w:color="auto" w:sz="4" w:space="0"/>
              <w:right w:val="single" w:color="auto" w:sz="4" w:space="0"/>
            </w:tcBorders>
            <w:noWrap w:val="0"/>
            <w:vAlign w:val="top"/>
          </w:tcPr>
          <w:p w14:paraId="7D793192">
            <w:pPr>
              <w:spacing w:line="440" w:lineRule="exact"/>
              <w:jc w:val="left"/>
              <w:outlineLvl w:val="0"/>
              <w:rPr>
                <w:rFonts w:hint="eastAsia" w:ascii="仿宋" w:hAnsi="仿宋" w:eastAsia="仿宋" w:cs="仿宋"/>
                <w:bCs/>
                <w:color w:val="auto"/>
                <w:sz w:val="28"/>
                <w:szCs w:val="28"/>
              </w:rPr>
            </w:pPr>
            <w:bookmarkStart w:id="908" w:name="_Toc26429"/>
            <w:bookmarkStart w:id="909" w:name="_Toc15516"/>
            <w:bookmarkStart w:id="910" w:name="_Toc17388"/>
            <w:bookmarkStart w:id="911" w:name="_Toc9108"/>
            <w:bookmarkStart w:id="912" w:name="_Toc2539"/>
            <w:bookmarkStart w:id="913" w:name="_Toc6395"/>
            <w:r>
              <w:rPr>
                <w:rFonts w:hint="eastAsia" w:ascii="仿宋" w:hAnsi="仿宋" w:eastAsia="仿宋" w:cs="仿宋"/>
                <w:bCs/>
                <w:color w:val="auto"/>
                <w:sz w:val="28"/>
                <w:szCs w:val="28"/>
              </w:rPr>
              <w:t>结论：是否通过评审（须填写通过或不通过）</w:t>
            </w:r>
            <w:bookmarkEnd w:id="908"/>
            <w:bookmarkEnd w:id="909"/>
            <w:bookmarkEnd w:id="910"/>
            <w:bookmarkEnd w:id="911"/>
            <w:bookmarkEnd w:id="912"/>
            <w:bookmarkEnd w:id="913"/>
          </w:p>
          <w:p w14:paraId="0D6B9131">
            <w:pPr>
              <w:spacing w:line="440" w:lineRule="exact"/>
              <w:jc w:val="left"/>
              <w:outlineLvl w:val="0"/>
              <w:rPr>
                <w:rFonts w:hint="eastAsia" w:ascii="仿宋" w:hAnsi="仿宋" w:eastAsia="仿宋" w:cs="仿宋"/>
                <w:bCs/>
                <w:color w:val="auto"/>
                <w:sz w:val="28"/>
                <w:szCs w:val="28"/>
              </w:rPr>
            </w:pPr>
            <w:bookmarkStart w:id="914" w:name="_Toc6851"/>
            <w:bookmarkStart w:id="915" w:name="_Toc31879"/>
            <w:bookmarkStart w:id="916" w:name="_Toc11615"/>
            <w:bookmarkStart w:id="917" w:name="_Toc17360"/>
            <w:bookmarkStart w:id="918" w:name="_Toc16076"/>
            <w:bookmarkStart w:id="919" w:name="_Toc11731"/>
            <w:r>
              <w:rPr>
                <w:rFonts w:hint="eastAsia" w:ascii="仿宋" w:hAnsi="仿宋" w:eastAsia="仿宋" w:cs="仿宋"/>
                <w:bCs/>
                <w:color w:val="auto"/>
                <w:sz w:val="28"/>
                <w:szCs w:val="28"/>
              </w:rPr>
              <w:t>注：如有一项不合格，作废标处理。</w:t>
            </w:r>
            <w:bookmarkEnd w:id="914"/>
            <w:bookmarkEnd w:id="915"/>
            <w:bookmarkEnd w:id="916"/>
            <w:bookmarkEnd w:id="917"/>
            <w:bookmarkEnd w:id="918"/>
            <w:bookmarkEnd w:id="919"/>
          </w:p>
        </w:tc>
        <w:tc>
          <w:tcPr>
            <w:tcW w:w="814" w:type="dxa"/>
            <w:tcBorders>
              <w:left w:val="single" w:color="auto" w:sz="4" w:space="0"/>
              <w:bottom w:val="single" w:color="auto" w:sz="4" w:space="0"/>
              <w:right w:val="single" w:color="auto" w:sz="4" w:space="0"/>
            </w:tcBorders>
            <w:noWrap w:val="0"/>
            <w:vAlign w:val="top"/>
          </w:tcPr>
          <w:p w14:paraId="1609DC22">
            <w:pPr>
              <w:spacing w:line="440" w:lineRule="exact"/>
              <w:jc w:val="left"/>
              <w:outlineLvl w:val="9"/>
              <w:rPr>
                <w:rFonts w:hint="eastAsia" w:ascii="仿宋" w:hAnsi="仿宋" w:eastAsia="仿宋" w:cs="仿宋"/>
                <w:bCs/>
                <w:color w:val="auto"/>
                <w:szCs w:val="21"/>
              </w:rPr>
            </w:pPr>
          </w:p>
        </w:tc>
        <w:tc>
          <w:tcPr>
            <w:tcW w:w="709" w:type="dxa"/>
            <w:tcBorders>
              <w:left w:val="single" w:color="auto" w:sz="4" w:space="0"/>
              <w:bottom w:val="single" w:color="auto" w:sz="4" w:space="0"/>
              <w:right w:val="single" w:color="auto" w:sz="4" w:space="0"/>
            </w:tcBorders>
            <w:noWrap w:val="0"/>
            <w:vAlign w:val="top"/>
          </w:tcPr>
          <w:p w14:paraId="26624519">
            <w:pPr>
              <w:spacing w:line="440" w:lineRule="exact"/>
              <w:jc w:val="left"/>
              <w:outlineLvl w:val="9"/>
              <w:rPr>
                <w:rFonts w:hint="eastAsia" w:ascii="仿宋" w:hAnsi="仿宋" w:eastAsia="仿宋" w:cs="仿宋"/>
                <w:bCs/>
                <w:color w:val="auto"/>
                <w:szCs w:val="21"/>
              </w:rPr>
            </w:pPr>
          </w:p>
        </w:tc>
        <w:tc>
          <w:tcPr>
            <w:tcW w:w="709" w:type="dxa"/>
            <w:tcBorders>
              <w:left w:val="single" w:color="auto" w:sz="4" w:space="0"/>
              <w:bottom w:val="single" w:color="auto" w:sz="4" w:space="0"/>
              <w:right w:val="single" w:color="auto" w:sz="4" w:space="0"/>
            </w:tcBorders>
            <w:noWrap w:val="0"/>
            <w:vAlign w:val="top"/>
          </w:tcPr>
          <w:p w14:paraId="60EA5186">
            <w:pPr>
              <w:spacing w:line="440" w:lineRule="exact"/>
              <w:jc w:val="left"/>
              <w:outlineLvl w:val="9"/>
              <w:rPr>
                <w:rFonts w:hint="eastAsia" w:ascii="仿宋" w:hAnsi="仿宋" w:eastAsia="仿宋" w:cs="仿宋"/>
                <w:bCs/>
                <w:color w:val="auto"/>
                <w:szCs w:val="21"/>
              </w:rPr>
            </w:pPr>
          </w:p>
        </w:tc>
      </w:tr>
    </w:tbl>
    <w:p w14:paraId="2746ADCC">
      <w:pPr>
        <w:pStyle w:val="13"/>
        <w:tabs>
          <w:tab w:val="clear" w:pos="567"/>
        </w:tabs>
        <w:spacing w:before="0" w:line="360" w:lineRule="auto"/>
        <w:rPr>
          <w:rFonts w:hint="eastAsia" w:ascii="仿宋" w:hAnsi="仿宋" w:eastAsia="仿宋" w:cs="仿宋"/>
          <w:color w:val="auto"/>
        </w:rPr>
      </w:pPr>
    </w:p>
    <w:p w14:paraId="4DFFED15">
      <w:pPr>
        <w:pStyle w:val="13"/>
        <w:tabs>
          <w:tab w:val="clear" w:pos="567"/>
        </w:tabs>
        <w:spacing w:before="0" w:line="360" w:lineRule="auto"/>
        <w:rPr>
          <w:rFonts w:hint="eastAsia" w:ascii="仿宋" w:hAnsi="仿宋" w:eastAsia="仿宋" w:cs="仿宋"/>
          <w:color w:val="auto"/>
        </w:rPr>
      </w:pPr>
      <w:r>
        <w:rPr>
          <w:rFonts w:hint="eastAsia" w:ascii="仿宋" w:hAnsi="仿宋" w:eastAsia="仿宋" w:cs="仿宋"/>
          <w:color w:val="auto"/>
        </w:rPr>
        <w:t>★备注：如果投标文件中有一项未通过上述审查标准，评标委员会将认定整个投标文件未响应招标文件而予以废标处理。</w:t>
      </w:r>
    </w:p>
    <w:p w14:paraId="791C076A">
      <w:pPr>
        <w:pStyle w:val="13"/>
        <w:tabs>
          <w:tab w:val="clear" w:pos="567"/>
        </w:tabs>
        <w:spacing w:before="0" w:line="360" w:lineRule="auto"/>
        <w:rPr>
          <w:rFonts w:hint="eastAsia" w:ascii="仿宋" w:hAnsi="仿宋" w:eastAsia="仿宋" w:cs="仿宋"/>
          <w:color w:val="auto"/>
        </w:rPr>
      </w:pPr>
    </w:p>
    <w:p w14:paraId="3F044830">
      <w:pPr>
        <w:pStyle w:val="13"/>
        <w:tabs>
          <w:tab w:val="clear" w:pos="567"/>
        </w:tabs>
        <w:spacing w:before="0" w:line="360" w:lineRule="auto"/>
        <w:rPr>
          <w:rFonts w:hint="eastAsia" w:ascii="仿宋" w:hAnsi="仿宋" w:eastAsia="仿宋" w:cs="仿宋"/>
          <w:color w:val="auto"/>
        </w:rPr>
      </w:pPr>
    </w:p>
    <w:p w14:paraId="49C4E9A0">
      <w:pPr>
        <w:pStyle w:val="13"/>
        <w:tabs>
          <w:tab w:val="clear" w:pos="567"/>
        </w:tabs>
        <w:spacing w:before="0" w:line="360" w:lineRule="auto"/>
        <w:rPr>
          <w:rFonts w:hint="eastAsia" w:ascii="仿宋" w:hAnsi="仿宋" w:eastAsia="仿宋" w:cs="仿宋"/>
          <w:color w:val="auto"/>
        </w:rPr>
      </w:pPr>
    </w:p>
    <w:tbl>
      <w:tblPr>
        <w:tblStyle w:val="38"/>
        <w:tblW w:w="10120" w:type="dxa"/>
        <w:tblInd w:w="-664" w:type="dxa"/>
        <w:tblLayout w:type="fixed"/>
        <w:tblCellMar>
          <w:top w:w="0" w:type="dxa"/>
          <w:left w:w="108" w:type="dxa"/>
          <w:bottom w:w="0" w:type="dxa"/>
          <w:right w:w="108" w:type="dxa"/>
        </w:tblCellMar>
      </w:tblPr>
      <w:tblGrid>
        <w:gridCol w:w="3534"/>
        <w:gridCol w:w="5170"/>
        <w:gridCol w:w="516"/>
        <w:gridCol w:w="468"/>
        <w:gridCol w:w="432"/>
      </w:tblGrid>
      <w:tr w14:paraId="60D1045F">
        <w:tblPrEx>
          <w:tblCellMar>
            <w:top w:w="0" w:type="dxa"/>
            <w:left w:w="108" w:type="dxa"/>
            <w:bottom w:w="0" w:type="dxa"/>
            <w:right w:w="108" w:type="dxa"/>
          </w:tblCellMar>
        </w:tblPrEx>
        <w:trPr>
          <w:trHeight w:val="380" w:hRule="atLeast"/>
        </w:trPr>
        <w:tc>
          <w:tcPr>
            <w:tcW w:w="10120" w:type="dxa"/>
            <w:gridSpan w:val="5"/>
            <w:tcBorders>
              <w:top w:val="nil"/>
              <w:left w:val="nil"/>
              <w:bottom w:val="single" w:color="auto" w:sz="4" w:space="0"/>
              <w:right w:val="nil"/>
            </w:tcBorders>
            <w:noWrap/>
            <w:vAlign w:val="center"/>
          </w:tcPr>
          <w:p w14:paraId="1747F6A5">
            <w:pPr>
              <w:pStyle w:val="13"/>
              <w:jc w:val="center"/>
              <w:rPr>
                <w:rFonts w:hint="eastAsia" w:ascii="仿宋" w:hAnsi="仿宋" w:eastAsia="仿宋" w:cs="仿宋"/>
                <w:color w:val="auto"/>
              </w:rPr>
            </w:pPr>
            <w:r>
              <w:rPr>
                <w:rFonts w:hint="eastAsia" w:ascii="仿宋" w:hAnsi="仿宋" w:eastAsia="仿宋" w:cs="仿宋"/>
                <w:b/>
                <w:bCs/>
                <w:color w:val="auto"/>
                <w:sz w:val="32"/>
                <w:szCs w:val="32"/>
              </w:rPr>
              <w:t>商务符合性审查表</w:t>
            </w:r>
          </w:p>
        </w:tc>
      </w:tr>
      <w:tr w14:paraId="7161B94D">
        <w:tblPrEx>
          <w:tblCellMar>
            <w:top w:w="0" w:type="dxa"/>
            <w:left w:w="108" w:type="dxa"/>
            <w:bottom w:w="0" w:type="dxa"/>
            <w:right w:w="108" w:type="dxa"/>
          </w:tblCellMar>
        </w:tblPrEx>
        <w:trPr>
          <w:trHeight w:val="516" w:hRule="atLeast"/>
        </w:trPr>
        <w:tc>
          <w:tcPr>
            <w:tcW w:w="8704" w:type="dxa"/>
            <w:gridSpan w:val="2"/>
            <w:tcBorders>
              <w:top w:val="single" w:color="auto" w:sz="4" w:space="0"/>
              <w:left w:val="single" w:color="auto" w:sz="4" w:space="0"/>
              <w:bottom w:val="single" w:color="auto" w:sz="4" w:space="0"/>
              <w:right w:val="single" w:color="auto" w:sz="4" w:space="0"/>
            </w:tcBorders>
            <w:noWrap/>
            <w:vAlign w:val="center"/>
          </w:tcPr>
          <w:p w14:paraId="12D9FC76">
            <w:pPr>
              <w:pStyle w:val="13"/>
              <w:rPr>
                <w:rFonts w:hint="eastAsia" w:ascii="仿宋" w:hAnsi="仿宋" w:eastAsia="仿宋" w:cs="仿宋"/>
                <w:color w:val="auto"/>
              </w:rPr>
            </w:pPr>
            <w:r>
              <w:rPr>
                <w:rFonts w:hint="eastAsia" w:ascii="仿宋" w:hAnsi="仿宋" w:eastAsia="仿宋" w:cs="仿宋"/>
                <w:color w:val="auto"/>
              </w:rPr>
              <w:t>审查事项</w:t>
            </w:r>
          </w:p>
        </w:tc>
        <w:tc>
          <w:tcPr>
            <w:tcW w:w="1416" w:type="dxa"/>
            <w:gridSpan w:val="3"/>
            <w:tcBorders>
              <w:top w:val="single" w:color="auto" w:sz="4" w:space="0"/>
              <w:left w:val="single" w:color="auto" w:sz="4" w:space="0"/>
              <w:bottom w:val="single" w:color="auto" w:sz="4" w:space="0"/>
              <w:right w:val="single" w:color="auto" w:sz="4" w:space="0"/>
            </w:tcBorders>
            <w:noWrap/>
            <w:vAlign w:val="center"/>
          </w:tcPr>
          <w:p w14:paraId="36A81D30">
            <w:pPr>
              <w:pStyle w:val="13"/>
              <w:rPr>
                <w:rFonts w:hint="eastAsia" w:ascii="仿宋" w:hAnsi="仿宋" w:eastAsia="仿宋" w:cs="仿宋"/>
                <w:color w:val="auto"/>
              </w:rPr>
            </w:pPr>
            <w:r>
              <w:rPr>
                <w:rFonts w:hint="eastAsia" w:ascii="仿宋" w:hAnsi="仿宋" w:eastAsia="仿宋" w:cs="仿宋"/>
                <w:color w:val="auto"/>
              </w:rPr>
              <w:t>投标人名称及审查情况</w:t>
            </w:r>
          </w:p>
        </w:tc>
      </w:tr>
      <w:tr w14:paraId="1996F6F2">
        <w:tblPrEx>
          <w:tblCellMar>
            <w:top w:w="0" w:type="dxa"/>
            <w:left w:w="108" w:type="dxa"/>
            <w:bottom w:w="0" w:type="dxa"/>
            <w:right w:w="108" w:type="dxa"/>
          </w:tblCellMar>
        </w:tblPrEx>
        <w:trPr>
          <w:trHeight w:val="567"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2C863FD">
            <w:pPr>
              <w:pStyle w:val="13"/>
              <w:rPr>
                <w:rFonts w:hint="eastAsia" w:ascii="仿宋" w:hAnsi="仿宋" w:eastAsia="仿宋" w:cs="仿宋"/>
                <w:color w:val="auto"/>
              </w:rPr>
            </w:pPr>
            <w:r>
              <w:rPr>
                <w:rFonts w:hint="eastAsia" w:ascii="仿宋" w:hAnsi="仿宋" w:eastAsia="仿宋" w:cs="仿宋"/>
                <w:color w:val="auto"/>
              </w:rPr>
              <w:t>招标文件条款（投标人须知、投标人须知资料表条款号）</w:t>
            </w:r>
          </w:p>
        </w:tc>
        <w:tc>
          <w:tcPr>
            <w:tcW w:w="5170" w:type="dxa"/>
            <w:tcBorders>
              <w:top w:val="single" w:color="auto" w:sz="4" w:space="0"/>
              <w:left w:val="single" w:color="auto" w:sz="4" w:space="0"/>
              <w:bottom w:val="single" w:color="auto" w:sz="4" w:space="0"/>
              <w:right w:val="single" w:color="auto" w:sz="4" w:space="0"/>
            </w:tcBorders>
            <w:noWrap/>
            <w:vAlign w:val="center"/>
          </w:tcPr>
          <w:p w14:paraId="074675AB">
            <w:pPr>
              <w:pStyle w:val="13"/>
              <w:rPr>
                <w:rFonts w:hint="eastAsia" w:ascii="仿宋" w:hAnsi="仿宋" w:eastAsia="仿宋" w:cs="仿宋"/>
                <w:color w:val="auto"/>
              </w:rPr>
            </w:pPr>
            <w:r>
              <w:rPr>
                <w:rFonts w:hint="eastAsia" w:ascii="仿宋" w:hAnsi="仿宋" w:eastAsia="仿宋" w:cs="仿宋"/>
                <w:color w:val="auto"/>
              </w:rPr>
              <w:t>本项目要求</w:t>
            </w:r>
          </w:p>
        </w:tc>
        <w:tc>
          <w:tcPr>
            <w:tcW w:w="516" w:type="dxa"/>
            <w:tcBorders>
              <w:top w:val="single" w:color="auto" w:sz="4" w:space="0"/>
              <w:left w:val="single" w:color="auto" w:sz="4" w:space="0"/>
              <w:bottom w:val="single" w:color="auto" w:sz="4" w:space="0"/>
              <w:right w:val="single" w:color="auto" w:sz="4" w:space="0"/>
            </w:tcBorders>
            <w:noWrap/>
            <w:vAlign w:val="center"/>
          </w:tcPr>
          <w:p w14:paraId="46CEF0E3">
            <w:pPr>
              <w:pStyle w:val="13"/>
              <w:rPr>
                <w:rFonts w:hint="eastAsia" w:ascii="仿宋" w:hAnsi="仿宋" w:eastAsia="仿宋" w:cs="仿宋"/>
                <w:color w:val="auto"/>
              </w:rPr>
            </w:pPr>
            <w:r>
              <w:rPr>
                <w:rFonts w:hint="eastAsia" w:ascii="仿宋" w:hAnsi="仿宋" w:eastAsia="仿宋" w:cs="仿宋"/>
                <w:color w:val="auto"/>
              </w:rPr>
              <w:t>　</w:t>
            </w:r>
          </w:p>
        </w:tc>
        <w:tc>
          <w:tcPr>
            <w:tcW w:w="468" w:type="dxa"/>
            <w:tcBorders>
              <w:top w:val="single" w:color="auto" w:sz="4" w:space="0"/>
              <w:left w:val="nil"/>
              <w:bottom w:val="single" w:color="auto" w:sz="4" w:space="0"/>
              <w:right w:val="single" w:color="auto" w:sz="4" w:space="0"/>
            </w:tcBorders>
            <w:noWrap/>
            <w:vAlign w:val="center"/>
          </w:tcPr>
          <w:p w14:paraId="31EB6FC6">
            <w:pPr>
              <w:pStyle w:val="13"/>
              <w:rPr>
                <w:rFonts w:hint="eastAsia" w:ascii="仿宋" w:hAnsi="仿宋" w:eastAsia="仿宋" w:cs="仿宋"/>
                <w:color w:val="auto"/>
              </w:rPr>
            </w:pPr>
            <w:r>
              <w:rPr>
                <w:rFonts w:hint="eastAsia" w:ascii="仿宋" w:hAnsi="仿宋" w:eastAsia="仿宋" w:cs="仿宋"/>
                <w:color w:val="auto"/>
              </w:rPr>
              <w:t>　</w:t>
            </w:r>
          </w:p>
        </w:tc>
        <w:tc>
          <w:tcPr>
            <w:tcW w:w="432" w:type="dxa"/>
            <w:tcBorders>
              <w:top w:val="single" w:color="auto" w:sz="4" w:space="0"/>
              <w:left w:val="nil"/>
              <w:bottom w:val="single" w:color="auto" w:sz="4" w:space="0"/>
              <w:right w:val="single" w:color="auto" w:sz="4" w:space="0"/>
            </w:tcBorders>
            <w:noWrap/>
            <w:vAlign w:val="center"/>
          </w:tcPr>
          <w:p w14:paraId="41CE751D">
            <w:pPr>
              <w:pStyle w:val="13"/>
              <w:rPr>
                <w:rFonts w:hint="eastAsia" w:ascii="仿宋" w:hAnsi="仿宋" w:eastAsia="仿宋" w:cs="仿宋"/>
                <w:color w:val="auto"/>
              </w:rPr>
            </w:pPr>
            <w:r>
              <w:rPr>
                <w:rFonts w:hint="eastAsia" w:ascii="仿宋" w:hAnsi="仿宋" w:eastAsia="仿宋" w:cs="仿宋"/>
                <w:color w:val="auto"/>
              </w:rPr>
              <w:t>　</w:t>
            </w:r>
          </w:p>
        </w:tc>
      </w:tr>
      <w:tr w14:paraId="77582664">
        <w:tblPrEx>
          <w:tblCellMar>
            <w:top w:w="0" w:type="dxa"/>
            <w:left w:w="108" w:type="dxa"/>
            <w:bottom w:w="0" w:type="dxa"/>
            <w:right w:w="108" w:type="dxa"/>
          </w:tblCellMar>
        </w:tblPrEx>
        <w:trPr>
          <w:trHeight w:val="339"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5FB1FC08">
            <w:pPr>
              <w:pStyle w:val="13"/>
              <w:rPr>
                <w:rFonts w:hint="eastAsia" w:ascii="仿宋" w:hAnsi="仿宋" w:eastAsia="仿宋" w:cs="仿宋"/>
                <w:color w:val="auto"/>
              </w:rPr>
            </w:pPr>
            <w:r>
              <w:rPr>
                <w:rFonts w:hint="eastAsia" w:ascii="仿宋" w:hAnsi="仿宋" w:eastAsia="仿宋" w:cs="仿宋"/>
                <w:color w:val="auto"/>
              </w:rPr>
              <w:t>中小企业投标要求（1.3.6）</w:t>
            </w:r>
          </w:p>
        </w:tc>
        <w:tc>
          <w:tcPr>
            <w:tcW w:w="5170" w:type="dxa"/>
            <w:tcBorders>
              <w:top w:val="single" w:color="auto" w:sz="4" w:space="0"/>
              <w:left w:val="nil"/>
              <w:bottom w:val="single" w:color="auto" w:sz="4" w:space="0"/>
              <w:right w:val="single" w:color="auto" w:sz="4" w:space="0"/>
            </w:tcBorders>
            <w:noWrap/>
            <w:vAlign w:val="center"/>
          </w:tcPr>
          <w:p w14:paraId="70A604D7">
            <w:pPr>
              <w:pStyle w:val="13"/>
              <w:rPr>
                <w:rFonts w:hint="eastAsia" w:ascii="仿宋" w:hAnsi="仿宋" w:eastAsia="仿宋" w:cs="仿宋"/>
                <w:color w:val="auto"/>
              </w:rPr>
            </w:pPr>
            <w:r>
              <w:rPr>
                <w:rFonts w:hint="eastAsia" w:ascii="仿宋" w:hAnsi="仿宋" w:eastAsia="仿宋" w:cs="仿宋"/>
                <w:color w:val="auto"/>
                <w:highlight w:val="none"/>
              </w:rPr>
              <w:t>本项目</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是</w:t>
            </w:r>
            <w:r>
              <w:rPr>
                <w:rFonts w:hint="eastAsia" w:ascii="仿宋" w:hAnsi="仿宋" w:eastAsia="仿宋" w:cs="仿宋"/>
                <w:color w:val="auto"/>
                <w:highlight w:val="none"/>
                <w:lang w:eastAsia="zh-CN"/>
              </w:rPr>
              <w:t>）专门面向中小</w:t>
            </w:r>
            <w:r>
              <w:rPr>
                <w:rFonts w:hint="eastAsia" w:ascii="仿宋" w:hAnsi="仿宋" w:eastAsia="仿宋" w:cs="仿宋"/>
                <w:color w:val="auto"/>
                <w:highlight w:val="none"/>
                <w:lang w:val="en-US" w:eastAsia="zh-CN"/>
              </w:rPr>
              <w:t>微</w:t>
            </w:r>
            <w:r>
              <w:rPr>
                <w:rFonts w:hint="eastAsia" w:ascii="仿宋" w:hAnsi="仿宋" w:eastAsia="仿宋" w:cs="仿宋"/>
                <w:color w:val="auto"/>
                <w:highlight w:val="none"/>
                <w:lang w:eastAsia="zh-CN"/>
              </w:rPr>
              <w:t>企业</w:t>
            </w:r>
          </w:p>
        </w:tc>
        <w:tc>
          <w:tcPr>
            <w:tcW w:w="516" w:type="dxa"/>
            <w:tcBorders>
              <w:top w:val="single" w:color="auto" w:sz="4" w:space="0"/>
              <w:left w:val="nil"/>
              <w:bottom w:val="single" w:color="auto" w:sz="4" w:space="0"/>
              <w:right w:val="single" w:color="auto" w:sz="4" w:space="0"/>
            </w:tcBorders>
            <w:noWrap/>
            <w:vAlign w:val="center"/>
          </w:tcPr>
          <w:p w14:paraId="609F42CD">
            <w:pPr>
              <w:pStyle w:val="13"/>
              <w:rPr>
                <w:rFonts w:hint="eastAsia" w:ascii="仿宋" w:hAnsi="仿宋" w:eastAsia="仿宋" w:cs="仿宋"/>
                <w:color w:val="auto"/>
              </w:rPr>
            </w:pPr>
          </w:p>
        </w:tc>
        <w:tc>
          <w:tcPr>
            <w:tcW w:w="468" w:type="dxa"/>
            <w:tcBorders>
              <w:top w:val="single" w:color="auto" w:sz="4" w:space="0"/>
              <w:left w:val="nil"/>
              <w:bottom w:val="single" w:color="auto" w:sz="4" w:space="0"/>
              <w:right w:val="single" w:color="auto" w:sz="4" w:space="0"/>
            </w:tcBorders>
            <w:noWrap/>
            <w:vAlign w:val="center"/>
          </w:tcPr>
          <w:p w14:paraId="361BC76B">
            <w:pPr>
              <w:pStyle w:val="13"/>
              <w:rPr>
                <w:rFonts w:hint="eastAsia" w:ascii="仿宋" w:hAnsi="仿宋" w:eastAsia="仿宋" w:cs="仿宋"/>
                <w:color w:val="auto"/>
              </w:rPr>
            </w:pPr>
          </w:p>
        </w:tc>
        <w:tc>
          <w:tcPr>
            <w:tcW w:w="432" w:type="dxa"/>
            <w:tcBorders>
              <w:top w:val="single" w:color="auto" w:sz="4" w:space="0"/>
              <w:left w:val="nil"/>
              <w:bottom w:val="single" w:color="auto" w:sz="4" w:space="0"/>
              <w:right w:val="single" w:color="auto" w:sz="4" w:space="0"/>
            </w:tcBorders>
            <w:noWrap/>
            <w:vAlign w:val="center"/>
          </w:tcPr>
          <w:p w14:paraId="51E0C400">
            <w:pPr>
              <w:pStyle w:val="13"/>
              <w:rPr>
                <w:rFonts w:hint="eastAsia" w:ascii="仿宋" w:hAnsi="仿宋" w:eastAsia="仿宋" w:cs="仿宋"/>
                <w:color w:val="auto"/>
              </w:rPr>
            </w:pPr>
          </w:p>
        </w:tc>
      </w:tr>
      <w:tr w14:paraId="570E4004">
        <w:tblPrEx>
          <w:tblCellMar>
            <w:top w:w="0" w:type="dxa"/>
            <w:left w:w="108" w:type="dxa"/>
            <w:bottom w:w="0" w:type="dxa"/>
            <w:right w:w="108" w:type="dxa"/>
          </w:tblCellMar>
        </w:tblPrEx>
        <w:trPr>
          <w:trHeight w:val="290"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C4D2F6E">
            <w:pPr>
              <w:pStyle w:val="13"/>
              <w:rPr>
                <w:rFonts w:hint="eastAsia" w:ascii="仿宋" w:hAnsi="仿宋" w:eastAsia="仿宋" w:cs="仿宋"/>
                <w:color w:val="auto"/>
              </w:rPr>
            </w:pPr>
            <w:r>
              <w:rPr>
                <w:rFonts w:hint="eastAsia" w:ascii="仿宋" w:hAnsi="仿宋" w:eastAsia="仿宋" w:cs="仿宋"/>
                <w:color w:val="auto"/>
              </w:rPr>
              <w:t>联合体投标规定（1.4）</w:t>
            </w:r>
          </w:p>
        </w:tc>
        <w:tc>
          <w:tcPr>
            <w:tcW w:w="5170" w:type="dxa"/>
            <w:tcBorders>
              <w:top w:val="single" w:color="auto" w:sz="4" w:space="0"/>
              <w:left w:val="nil"/>
              <w:bottom w:val="single" w:color="auto" w:sz="4" w:space="0"/>
              <w:right w:val="single" w:color="auto" w:sz="4" w:space="0"/>
            </w:tcBorders>
            <w:noWrap/>
            <w:vAlign w:val="center"/>
          </w:tcPr>
          <w:p w14:paraId="682267F2">
            <w:pPr>
              <w:pStyle w:val="13"/>
              <w:rPr>
                <w:rFonts w:hint="eastAsia" w:ascii="仿宋" w:hAnsi="仿宋" w:eastAsia="仿宋" w:cs="仿宋"/>
                <w:color w:val="auto"/>
              </w:rPr>
            </w:pPr>
            <w:r>
              <w:rPr>
                <w:rFonts w:hint="eastAsia" w:ascii="仿宋" w:hAnsi="仿宋" w:eastAsia="仿宋" w:cs="仿宋"/>
                <w:color w:val="auto"/>
              </w:rPr>
              <w:t>本项目不接受联合体投标</w:t>
            </w:r>
          </w:p>
        </w:tc>
        <w:tc>
          <w:tcPr>
            <w:tcW w:w="516" w:type="dxa"/>
            <w:tcBorders>
              <w:top w:val="single" w:color="auto" w:sz="4" w:space="0"/>
              <w:left w:val="nil"/>
              <w:bottom w:val="single" w:color="auto" w:sz="4" w:space="0"/>
              <w:right w:val="single" w:color="auto" w:sz="4" w:space="0"/>
            </w:tcBorders>
            <w:noWrap/>
            <w:vAlign w:val="center"/>
          </w:tcPr>
          <w:p w14:paraId="3C47C9AC">
            <w:pPr>
              <w:pStyle w:val="13"/>
              <w:rPr>
                <w:rFonts w:hint="eastAsia" w:ascii="仿宋" w:hAnsi="仿宋" w:eastAsia="仿宋" w:cs="仿宋"/>
                <w:color w:val="auto"/>
              </w:rPr>
            </w:pPr>
            <w:r>
              <w:rPr>
                <w:rFonts w:hint="eastAsia" w:ascii="仿宋" w:hAnsi="仿宋" w:eastAsia="仿宋" w:cs="仿宋"/>
                <w:color w:val="auto"/>
              </w:rPr>
              <w:t>　</w:t>
            </w:r>
          </w:p>
        </w:tc>
        <w:tc>
          <w:tcPr>
            <w:tcW w:w="468" w:type="dxa"/>
            <w:tcBorders>
              <w:top w:val="single" w:color="auto" w:sz="4" w:space="0"/>
              <w:left w:val="nil"/>
              <w:bottom w:val="single" w:color="auto" w:sz="4" w:space="0"/>
              <w:right w:val="single" w:color="auto" w:sz="4" w:space="0"/>
            </w:tcBorders>
            <w:noWrap/>
            <w:vAlign w:val="center"/>
          </w:tcPr>
          <w:p w14:paraId="01D3FE48">
            <w:pPr>
              <w:pStyle w:val="13"/>
              <w:rPr>
                <w:rFonts w:hint="eastAsia" w:ascii="仿宋" w:hAnsi="仿宋" w:eastAsia="仿宋" w:cs="仿宋"/>
                <w:color w:val="auto"/>
              </w:rPr>
            </w:pPr>
            <w:r>
              <w:rPr>
                <w:rFonts w:hint="eastAsia" w:ascii="仿宋" w:hAnsi="仿宋" w:eastAsia="仿宋" w:cs="仿宋"/>
                <w:color w:val="auto"/>
              </w:rPr>
              <w:t>　</w:t>
            </w:r>
          </w:p>
        </w:tc>
        <w:tc>
          <w:tcPr>
            <w:tcW w:w="432" w:type="dxa"/>
            <w:tcBorders>
              <w:top w:val="single" w:color="auto" w:sz="4" w:space="0"/>
              <w:left w:val="nil"/>
              <w:bottom w:val="single" w:color="auto" w:sz="4" w:space="0"/>
              <w:right w:val="single" w:color="auto" w:sz="4" w:space="0"/>
            </w:tcBorders>
            <w:noWrap/>
            <w:vAlign w:val="center"/>
          </w:tcPr>
          <w:p w14:paraId="4FAA0BCD">
            <w:pPr>
              <w:pStyle w:val="13"/>
              <w:rPr>
                <w:rFonts w:hint="eastAsia" w:ascii="仿宋" w:hAnsi="仿宋" w:eastAsia="仿宋" w:cs="仿宋"/>
                <w:color w:val="auto"/>
              </w:rPr>
            </w:pPr>
            <w:r>
              <w:rPr>
                <w:rFonts w:hint="eastAsia" w:ascii="仿宋" w:hAnsi="仿宋" w:eastAsia="仿宋" w:cs="仿宋"/>
                <w:color w:val="auto"/>
              </w:rPr>
              <w:t>　</w:t>
            </w:r>
          </w:p>
        </w:tc>
      </w:tr>
      <w:tr w14:paraId="4CC7A8B0">
        <w:tblPrEx>
          <w:tblCellMar>
            <w:top w:w="0" w:type="dxa"/>
            <w:left w:w="108" w:type="dxa"/>
            <w:bottom w:w="0" w:type="dxa"/>
            <w:right w:w="108" w:type="dxa"/>
          </w:tblCellMar>
        </w:tblPrEx>
        <w:trPr>
          <w:trHeight w:val="717"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798CAD62">
            <w:pPr>
              <w:pStyle w:val="13"/>
              <w:rPr>
                <w:rFonts w:hint="eastAsia" w:ascii="仿宋" w:hAnsi="仿宋" w:eastAsia="仿宋" w:cs="仿宋"/>
                <w:color w:val="auto"/>
              </w:rPr>
            </w:pPr>
            <w:r>
              <w:rPr>
                <w:rFonts w:hint="eastAsia" w:ascii="仿宋" w:hAnsi="仿宋" w:eastAsia="仿宋" w:cs="仿宋"/>
                <w:color w:val="auto"/>
              </w:rPr>
              <w:t>投标人的关联性（1.5）</w:t>
            </w:r>
          </w:p>
        </w:tc>
        <w:tc>
          <w:tcPr>
            <w:tcW w:w="5170" w:type="dxa"/>
            <w:tcBorders>
              <w:top w:val="single" w:color="auto" w:sz="4" w:space="0"/>
              <w:left w:val="nil"/>
              <w:bottom w:val="single" w:color="auto" w:sz="4" w:space="0"/>
              <w:right w:val="single" w:color="auto" w:sz="4" w:space="0"/>
            </w:tcBorders>
            <w:noWrap/>
            <w:vAlign w:val="center"/>
          </w:tcPr>
          <w:p w14:paraId="7E0B39C7">
            <w:pPr>
              <w:pStyle w:val="13"/>
              <w:rPr>
                <w:rFonts w:hint="eastAsia" w:ascii="仿宋" w:hAnsi="仿宋" w:eastAsia="仿宋" w:cs="仿宋"/>
                <w:color w:val="auto"/>
              </w:rPr>
            </w:pPr>
            <w:r>
              <w:rPr>
                <w:rFonts w:hint="eastAsia" w:ascii="仿宋" w:hAnsi="仿宋" w:eastAsia="仿宋" w:cs="仿宋"/>
                <w:color w:val="auto"/>
              </w:rPr>
              <w:t>在同一标包内，单位负责人为非同一人或者不存在直接控股、管理关系的不同供应商。</w:t>
            </w:r>
          </w:p>
        </w:tc>
        <w:tc>
          <w:tcPr>
            <w:tcW w:w="516" w:type="dxa"/>
            <w:tcBorders>
              <w:top w:val="single" w:color="auto" w:sz="4" w:space="0"/>
              <w:left w:val="nil"/>
              <w:bottom w:val="single" w:color="auto" w:sz="4" w:space="0"/>
              <w:right w:val="single" w:color="auto" w:sz="4" w:space="0"/>
            </w:tcBorders>
            <w:noWrap/>
            <w:vAlign w:val="center"/>
          </w:tcPr>
          <w:p w14:paraId="2C2646C8">
            <w:pPr>
              <w:pStyle w:val="13"/>
              <w:rPr>
                <w:rFonts w:hint="eastAsia" w:ascii="仿宋" w:hAnsi="仿宋" w:eastAsia="仿宋" w:cs="仿宋"/>
                <w:color w:val="auto"/>
              </w:rPr>
            </w:pPr>
            <w:r>
              <w:rPr>
                <w:rFonts w:hint="eastAsia" w:ascii="仿宋" w:hAnsi="仿宋" w:eastAsia="仿宋" w:cs="仿宋"/>
                <w:color w:val="auto"/>
              </w:rPr>
              <w:t>　</w:t>
            </w:r>
          </w:p>
        </w:tc>
        <w:tc>
          <w:tcPr>
            <w:tcW w:w="468" w:type="dxa"/>
            <w:tcBorders>
              <w:top w:val="single" w:color="auto" w:sz="4" w:space="0"/>
              <w:left w:val="nil"/>
              <w:bottom w:val="single" w:color="auto" w:sz="4" w:space="0"/>
              <w:right w:val="single" w:color="auto" w:sz="4" w:space="0"/>
            </w:tcBorders>
            <w:noWrap/>
            <w:vAlign w:val="center"/>
          </w:tcPr>
          <w:p w14:paraId="172B6126">
            <w:pPr>
              <w:pStyle w:val="13"/>
              <w:rPr>
                <w:rFonts w:hint="eastAsia" w:ascii="仿宋" w:hAnsi="仿宋" w:eastAsia="仿宋" w:cs="仿宋"/>
                <w:color w:val="auto"/>
              </w:rPr>
            </w:pPr>
            <w:r>
              <w:rPr>
                <w:rFonts w:hint="eastAsia" w:ascii="仿宋" w:hAnsi="仿宋" w:eastAsia="仿宋" w:cs="仿宋"/>
                <w:color w:val="auto"/>
              </w:rPr>
              <w:t>　</w:t>
            </w:r>
          </w:p>
        </w:tc>
        <w:tc>
          <w:tcPr>
            <w:tcW w:w="432" w:type="dxa"/>
            <w:tcBorders>
              <w:top w:val="single" w:color="auto" w:sz="4" w:space="0"/>
              <w:left w:val="nil"/>
              <w:bottom w:val="single" w:color="auto" w:sz="4" w:space="0"/>
              <w:right w:val="single" w:color="auto" w:sz="4" w:space="0"/>
            </w:tcBorders>
            <w:noWrap/>
            <w:vAlign w:val="center"/>
          </w:tcPr>
          <w:p w14:paraId="560F2311">
            <w:pPr>
              <w:pStyle w:val="13"/>
              <w:rPr>
                <w:rFonts w:hint="eastAsia" w:ascii="仿宋" w:hAnsi="仿宋" w:eastAsia="仿宋" w:cs="仿宋"/>
                <w:color w:val="auto"/>
              </w:rPr>
            </w:pPr>
            <w:r>
              <w:rPr>
                <w:rFonts w:hint="eastAsia" w:ascii="仿宋" w:hAnsi="仿宋" w:eastAsia="仿宋" w:cs="仿宋"/>
                <w:color w:val="auto"/>
              </w:rPr>
              <w:t>　</w:t>
            </w:r>
          </w:p>
        </w:tc>
      </w:tr>
      <w:tr w14:paraId="5F5ABBEF">
        <w:tblPrEx>
          <w:tblCellMar>
            <w:top w:w="0" w:type="dxa"/>
            <w:left w:w="108" w:type="dxa"/>
            <w:bottom w:w="0" w:type="dxa"/>
            <w:right w:w="108" w:type="dxa"/>
          </w:tblCellMar>
        </w:tblPrEx>
        <w:trPr>
          <w:trHeight w:val="492"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53D7AB2F">
            <w:pPr>
              <w:pStyle w:val="13"/>
              <w:rPr>
                <w:rFonts w:hint="eastAsia" w:ascii="仿宋" w:hAnsi="仿宋" w:eastAsia="仿宋" w:cs="仿宋"/>
                <w:color w:val="auto"/>
              </w:rPr>
            </w:pPr>
            <w:r>
              <w:rPr>
                <w:rFonts w:hint="eastAsia" w:ascii="仿宋" w:hAnsi="仿宋" w:eastAsia="仿宋" w:cs="仿宋"/>
                <w:color w:val="auto"/>
              </w:rPr>
              <w:t>未发现影响采购人决策行为（1.5）</w:t>
            </w:r>
          </w:p>
        </w:tc>
        <w:tc>
          <w:tcPr>
            <w:tcW w:w="5170" w:type="dxa"/>
            <w:tcBorders>
              <w:top w:val="single" w:color="auto" w:sz="4" w:space="0"/>
              <w:left w:val="nil"/>
              <w:bottom w:val="single" w:color="auto" w:sz="4" w:space="0"/>
              <w:right w:val="single" w:color="auto" w:sz="4" w:space="0"/>
            </w:tcBorders>
            <w:noWrap/>
            <w:vAlign w:val="center"/>
          </w:tcPr>
          <w:p w14:paraId="436A69EA">
            <w:pPr>
              <w:pStyle w:val="13"/>
              <w:rPr>
                <w:rFonts w:hint="eastAsia" w:ascii="仿宋" w:hAnsi="仿宋" w:eastAsia="仿宋" w:cs="仿宋"/>
                <w:color w:val="auto"/>
              </w:rPr>
            </w:pPr>
            <w:r>
              <w:rPr>
                <w:rFonts w:hint="eastAsia" w:ascii="仿宋" w:hAnsi="仿宋" w:eastAsia="仿宋" w:cs="仿宋"/>
                <w:color w:val="auto"/>
              </w:rPr>
              <w:t>投标人在投标过程中未向采购人提供、给予任何有价值的物品，影响其正常决策行为。</w:t>
            </w:r>
          </w:p>
        </w:tc>
        <w:tc>
          <w:tcPr>
            <w:tcW w:w="516" w:type="dxa"/>
            <w:tcBorders>
              <w:top w:val="single" w:color="auto" w:sz="4" w:space="0"/>
              <w:left w:val="nil"/>
              <w:bottom w:val="single" w:color="auto" w:sz="4" w:space="0"/>
              <w:right w:val="single" w:color="auto" w:sz="4" w:space="0"/>
            </w:tcBorders>
            <w:noWrap/>
            <w:vAlign w:val="center"/>
          </w:tcPr>
          <w:p w14:paraId="1382DB5F">
            <w:pPr>
              <w:pStyle w:val="13"/>
              <w:rPr>
                <w:rFonts w:hint="eastAsia" w:ascii="仿宋" w:hAnsi="仿宋" w:eastAsia="仿宋" w:cs="仿宋"/>
                <w:color w:val="auto"/>
              </w:rPr>
            </w:pPr>
          </w:p>
        </w:tc>
        <w:tc>
          <w:tcPr>
            <w:tcW w:w="468" w:type="dxa"/>
            <w:tcBorders>
              <w:top w:val="single" w:color="auto" w:sz="4" w:space="0"/>
              <w:left w:val="nil"/>
              <w:bottom w:val="single" w:color="auto" w:sz="4" w:space="0"/>
              <w:right w:val="single" w:color="auto" w:sz="4" w:space="0"/>
            </w:tcBorders>
            <w:noWrap/>
            <w:vAlign w:val="center"/>
          </w:tcPr>
          <w:p w14:paraId="15531626">
            <w:pPr>
              <w:pStyle w:val="13"/>
              <w:rPr>
                <w:rFonts w:hint="eastAsia" w:ascii="仿宋" w:hAnsi="仿宋" w:eastAsia="仿宋" w:cs="仿宋"/>
                <w:color w:val="auto"/>
              </w:rPr>
            </w:pPr>
          </w:p>
        </w:tc>
        <w:tc>
          <w:tcPr>
            <w:tcW w:w="432" w:type="dxa"/>
            <w:tcBorders>
              <w:top w:val="single" w:color="auto" w:sz="4" w:space="0"/>
              <w:left w:val="nil"/>
              <w:bottom w:val="single" w:color="auto" w:sz="4" w:space="0"/>
              <w:right w:val="single" w:color="auto" w:sz="4" w:space="0"/>
            </w:tcBorders>
            <w:noWrap/>
            <w:vAlign w:val="center"/>
          </w:tcPr>
          <w:p w14:paraId="2E5C747A">
            <w:pPr>
              <w:pStyle w:val="13"/>
              <w:rPr>
                <w:rFonts w:hint="eastAsia" w:ascii="仿宋" w:hAnsi="仿宋" w:eastAsia="仿宋" w:cs="仿宋"/>
                <w:color w:val="auto"/>
              </w:rPr>
            </w:pPr>
          </w:p>
        </w:tc>
      </w:tr>
      <w:tr w14:paraId="786097E4">
        <w:tblPrEx>
          <w:tblCellMar>
            <w:top w:w="0" w:type="dxa"/>
            <w:left w:w="108" w:type="dxa"/>
            <w:bottom w:w="0" w:type="dxa"/>
            <w:right w:w="108" w:type="dxa"/>
          </w:tblCellMar>
        </w:tblPrEx>
        <w:trPr>
          <w:trHeight w:val="507"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D351B36">
            <w:pPr>
              <w:pStyle w:val="13"/>
              <w:rPr>
                <w:rFonts w:hint="eastAsia" w:ascii="仿宋" w:hAnsi="仿宋" w:eastAsia="仿宋" w:cs="仿宋"/>
                <w:color w:val="auto"/>
              </w:rPr>
            </w:pPr>
            <w:r>
              <w:rPr>
                <w:rFonts w:hint="eastAsia" w:ascii="仿宋" w:hAnsi="仿宋" w:eastAsia="仿宋" w:cs="仿宋"/>
                <w:color w:val="auto"/>
              </w:rPr>
              <w:t>满足投标范围的完整性要求（8.1）</w:t>
            </w:r>
          </w:p>
        </w:tc>
        <w:tc>
          <w:tcPr>
            <w:tcW w:w="5170" w:type="dxa"/>
            <w:tcBorders>
              <w:top w:val="single" w:color="auto" w:sz="4" w:space="0"/>
              <w:left w:val="nil"/>
              <w:bottom w:val="single" w:color="auto" w:sz="4" w:space="0"/>
              <w:right w:val="single" w:color="auto" w:sz="4" w:space="0"/>
            </w:tcBorders>
            <w:noWrap/>
            <w:vAlign w:val="center"/>
          </w:tcPr>
          <w:p w14:paraId="42CE7123">
            <w:pPr>
              <w:pStyle w:val="13"/>
              <w:rPr>
                <w:rFonts w:hint="eastAsia" w:ascii="仿宋" w:hAnsi="仿宋" w:eastAsia="仿宋" w:cs="仿宋"/>
                <w:color w:val="auto"/>
              </w:rPr>
            </w:pPr>
            <w:r>
              <w:rPr>
                <w:rFonts w:hint="eastAsia" w:ascii="仿宋" w:hAnsi="仿宋" w:eastAsia="仿宋" w:cs="仿宋"/>
                <w:color w:val="auto"/>
              </w:rPr>
              <w:t>投标人对所投分包招标文件中所列的所有内容进行投标。</w:t>
            </w:r>
          </w:p>
        </w:tc>
        <w:tc>
          <w:tcPr>
            <w:tcW w:w="516" w:type="dxa"/>
            <w:tcBorders>
              <w:top w:val="single" w:color="auto" w:sz="4" w:space="0"/>
              <w:left w:val="nil"/>
              <w:bottom w:val="single" w:color="auto" w:sz="4" w:space="0"/>
              <w:right w:val="single" w:color="auto" w:sz="4" w:space="0"/>
            </w:tcBorders>
            <w:noWrap/>
            <w:vAlign w:val="center"/>
          </w:tcPr>
          <w:p w14:paraId="29F526FA">
            <w:pPr>
              <w:pStyle w:val="13"/>
              <w:rPr>
                <w:rFonts w:hint="eastAsia" w:ascii="仿宋" w:hAnsi="仿宋" w:eastAsia="仿宋" w:cs="仿宋"/>
                <w:color w:val="auto"/>
              </w:rPr>
            </w:pPr>
          </w:p>
        </w:tc>
        <w:tc>
          <w:tcPr>
            <w:tcW w:w="468" w:type="dxa"/>
            <w:tcBorders>
              <w:top w:val="single" w:color="auto" w:sz="4" w:space="0"/>
              <w:left w:val="nil"/>
              <w:bottom w:val="single" w:color="auto" w:sz="4" w:space="0"/>
              <w:right w:val="single" w:color="auto" w:sz="4" w:space="0"/>
            </w:tcBorders>
            <w:noWrap/>
            <w:vAlign w:val="center"/>
          </w:tcPr>
          <w:p w14:paraId="7DEA89A4">
            <w:pPr>
              <w:pStyle w:val="13"/>
              <w:rPr>
                <w:rFonts w:hint="eastAsia" w:ascii="仿宋" w:hAnsi="仿宋" w:eastAsia="仿宋" w:cs="仿宋"/>
                <w:color w:val="auto"/>
              </w:rPr>
            </w:pPr>
          </w:p>
        </w:tc>
        <w:tc>
          <w:tcPr>
            <w:tcW w:w="432" w:type="dxa"/>
            <w:tcBorders>
              <w:top w:val="single" w:color="auto" w:sz="4" w:space="0"/>
              <w:left w:val="nil"/>
              <w:bottom w:val="single" w:color="auto" w:sz="4" w:space="0"/>
              <w:right w:val="single" w:color="auto" w:sz="4" w:space="0"/>
            </w:tcBorders>
            <w:noWrap/>
            <w:vAlign w:val="center"/>
          </w:tcPr>
          <w:p w14:paraId="1B9C3FA2">
            <w:pPr>
              <w:pStyle w:val="13"/>
              <w:rPr>
                <w:rFonts w:hint="eastAsia" w:ascii="仿宋" w:hAnsi="仿宋" w:eastAsia="仿宋" w:cs="仿宋"/>
                <w:color w:val="auto"/>
              </w:rPr>
            </w:pPr>
          </w:p>
        </w:tc>
      </w:tr>
      <w:tr w14:paraId="550BA731">
        <w:tblPrEx>
          <w:tblCellMar>
            <w:top w:w="0" w:type="dxa"/>
            <w:left w:w="108" w:type="dxa"/>
            <w:bottom w:w="0" w:type="dxa"/>
            <w:right w:w="108" w:type="dxa"/>
          </w:tblCellMar>
        </w:tblPrEx>
        <w:trPr>
          <w:trHeight w:val="818"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5708C040">
            <w:pPr>
              <w:pStyle w:val="13"/>
              <w:rPr>
                <w:rFonts w:hint="eastAsia" w:ascii="仿宋" w:hAnsi="仿宋" w:eastAsia="仿宋" w:cs="仿宋"/>
                <w:color w:val="auto"/>
              </w:rPr>
            </w:pPr>
            <w:r>
              <w:rPr>
                <w:rFonts w:hint="eastAsia" w:ascii="仿宋" w:hAnsi="仿宋" w:eastAsia="仿宋" w:cs="仿宋"/>
                <w:color w:val="auto"/>
              </w:rPr>
              <w:t>未包含价格调整要求（11.4）</w:t>
            </w:r>
          </w:p>
        </w:tc>
        <w:tc>
          <w:tcPr>
            <w:tcW w:w="5170" w:type="dxa"/>
            <w:tcBorders>
              <w:top w:val="single" w:color="auto" w:sz="4" w:space="0"/>
              <w:left w:val="nil"/>
              <w:bottom w:val="single" w:color="auto" w:sz="4" w:space="0"/>
              <w:right w:val="single" w:color="auto" w:sz="4" w:space="0"/>
            </w:tcBorders>
            <w:noWrap/>
            <w:vAlign w:val="center"/>
          </w:tcPr>
          <w:p w14:paraId="5C1F4615">
            <w:pPr>
              <w:pStyle w:val="13"/>
              <w:rPr>
                <w:rFonts w:hint="eastAsia" w:ascii="仿宋" w:hAnsi="仿宋" w:eastAsia="仿宋" w:cs="仿宋"/>
                <w:color w:val="auto"/>
              </w:rPr>
            </w:pPr>
            <w:r>
              <w:rPr>
                <w:rFonts w:hint="eastAsia" w:ascii="仿宋" w:hAnsi="仿宋" w:eastAsia="仿宋" w:cs="仿宋"/>
                <w:color w:val="auto"/>
              </w:rPr>
              <w:t>投标人所报的各分项投标报价在合同履行过程中是固定不变的，不得以任何理由予以变更。</w:t>
            </w:r>
          </w:p>
        </w:tc>
        <w:tc>
          <w:tcPr>
            <w:tcW w:w="516" w:type="dxa"/>
            <w:tcBorders>
              <w:top w:val="single" w:color="auto" w:sz="4" w:space="0"/>
              <w:left w:val="nil"/>
              <w:bottom w:val="single" w:color="auto" w:sz="4" w:space="0"/>
              <w:right w:val="single" w:color="auto" w:sz="4" w:space="0"/>
            </w:tcBorders>
            <w:noWrap/>
            <w:vAlign w:val="center"/>
          </w:tcPr>
          <w:p w14:paraId="517DE257">
            <w:pPr>
              <w:pStyle w:val="13"/>
              <w:rPr>
                <w:rFonts w:hint="eastAsia" w:ascii="仿宋" w:hAnsi="仿宋" w:eastAsia="仿宋" w:cs="仿宋"/>
                <w:color w:val="auto"/>
              </w:rPr>
            </w:pPr>
            <w:r>
              <w:rPr>
                <w:rFonts w:hint="eastAsia" w:ascii="仿宋" w:hAnsi="仿宋" w:eastAsia="仿宋" w:cs="仿宋"/>
                <w:color w:val="auto"/>
              </w:rPr>
              <w:t>　</w:t>
            </w:r>
          </w:p>
        </w:tc>
        <w:tc>
          <w:tcPr>
            <w:tcW w:w="468" w:type="dxa"/>
            <w:tcBorders>
              <w:top w:val="single" w:color="auto" w:sz="4" w:space="0"/>
              <w:left w:val="nil"/>
              <w:bottom w:val="single" w:color="auto" w:sz="4" w:space="0"/>
              <w:right w:val="single" w:color="auto" w:sz="4" w:space="0"/>
            </w:tcBorders>
            <w:noWrap/>
            <w:vAlign w:val="center"/>
          </w:tcPr>
          <w:p w14:paraId="02CFD40F">
            <w:pPr>
              <w:pStyle w:val="13"/>
              <w:rPr>
                <w:rFonts w:hint="eastAsia" w:ascii="仿宋" w:hAnsi="仿宋" w:eastAsia="仿宋" w:cs="仿宋"/>
                <w:color w:val="auto"/>
              </w:rPr>
            </w:pPr>
            <w:r>
              <w:rPr>
                <w:rFonts w:hint="eastAsia" w:ascii="仿宋" w:hAnsi="仿宋" w:eastAsia="仿宋" w:cs="仿宋"/>
                <w:color w:val="auto"/>
              </w:rPr>
              <w:t>　</w:t>
            </w:r>
          </w:p>
        </w:tc>
        <w:tc>
          <w:tcPr>
            <w:tcW w:w="432" w:type="dxa"/>
            <w:tcBorders>
              <w:top w:val="single" w:color="auto" w:sz="4" w:space="0"/>
              <w:left w:val="nil"/>
              <w:bottom w:val="single" w:color="auto" w:sz="4" w:space="0"/>
              <w:right w:val="single" w:color="auto" w:sz="4" w:space="0"/>
            </w:tcBorders>
            <w:noWrap/>
            <w:vAlign w:val="center"/>
          </w:tcPr>
          <w:p w14:paraId="64849CFC">
            <w:pPr>
              <w:pStyle w:val="13"/>
              <w:rPr>
                <w:rFonts w:hint="eastAsia" w:ascii="仿宋" w:hAnsi="仿宋" w:eastAsia="仿宋" w:cs="仿宋"/>
                <w:color w:val="auto"/>
              </w:rPr>
            </w:pPr>
            <w:r>
              <w:rPr>
                <w:rFonts w:hint="eastAsia" w:ascii="仿宋" w:hAnsi="仿宋" w:eastAsia="仿宋" w:cs="仿宋"/>
                <w:color w:val="auto"/>
              </w:rPr>
              <w:t>　</w:t>
            </w:r>
          </w:p>
        </w:tc>
      </w:tr>
      <w:tr w14:paraId="43A1C671">
        <w:tblPrEx>
          <w:tblCellMar>
            <w:top w:w="0" w:type="dxa"/>
            <w:left w:w="108" w:type="dxa"/>
            <w:bottom w:w="0" w:type="dxa"/>
            <w:right w:w="108" w:type="dxa"/>
          </w:tblCellMar>
        </w:tblPrEx>
        <w:trPr>
          <w:trHeight w:val="376"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2CDF4906">
            <w:pPr>
              <w:pStyle w:val="13"/>
              <w:rPr>
                <w:rFonts w:hint="eastAsia" w:ascii="仿宋" w:hAnsi="仿宋" w:eastAsia="仿宋" w:cs="仿宋"/>
                <w:color w:val="auto"/>
              </w:rPr>
            </w:pPr>
            <w:r>
              <w:rPr>
                <w:rFonts w:hint="eastAsia" w:ascii="仿宋" w:hAnsi="仿宋" w:eastAsia="仿宋" w:cs="仿宋"/>
                <w:color w:val="auto"/>
              </w:rPr>
              <w:t>投标保证金（12.1）</w:t>
            </w:r>
          </w:p>
        </w:tc>
        <w:tc>
          <w:tcPr>
            <w:tcW w:w="5170" w:type="dxa"/>
            <w:tcBorders>
              <w:top w:val="single" w:color="auto" w:sz="4" w:space="0"/>
              <w:left w:val="nil"/>
              <w:bottom w:val="single" w:color="auto" w:sz="4" w:space="0"/>
              <w:right w:val="single" w:color="auto" w:sz="4" w:space="0"/>
            </w:tcBorders>
            <w:noWrap/>
            <w:vAlign w:val="center"/>
          </w:tcPr>
          <w:p w14:paraId="43E3BF5B">
            <w:pPr>
              <w:pStyle w:val="13"/>
              <w:rPr>
                <w:rFonts w:hint="eastAsia" w:ascii="仿宋" w:hAnsi="仿宋" w:eastAsia="仿宋" w:cs="仿宋"/>
                <w:color w:val="auto"/>
              </w:rPr>
            </w:pPr>
            <w:r>
              <w:rPr>
                <w:rFonts w:hint="eastAsia" w:ascii="仿宋" w:hAnsi="仿宋" w:eastAsia="仿宋" w:cs="仿宋"/>
                <w:color w:val="auto"/>
              </w:rPr>
              <w:t>符合招标文件要求</w:t>
            </w:r>
          </w:p>
        </w:tc>
        <w:tc>
          <w:tcPr>
            <w:tcW w:w="516" w:type="dxa"/>
            <w:tcBorders>
              <w:top w:val="single" w:color="auto" w:sz="4" w:space="0"/>
              <w:left w:val="nil"/>
              <w:bottom w:val="single" w:color="auto" w:sz="4" w:space="0"/>
              <w:right w:val="single" w:color="auto" w:sz="4" w:space="0"/>
            </w:tcBorders>
            <w:noWrap/>
            <w:vAlign w:val="center"/>
          </w:tcPr>
          <w:p w14:paraId="2764F5E9">
            <w:pPr>
              <w:pStyle w:val="13"/>
              <w:rPr>
                <w:rFonts w:hint="eastAsia" w:ascii="仿宋" w:hAnsi="仿宋" w:eastAsia="仿宋" w:cs="仿宋"/>
                <w:color w:val="auto"/>
              </w:rPr>
            </w:pPr>
          </w:p>
        </w:tc>
        <w:tc>
          <w:tcPr>
            <w:tcW w:w="468" w:type="dxa"/>
            <w:tcBorders>
              <w:top w:val="single" w:color="auto" w:sz="4" w:space="0"/>
              <w:left w:val="nil"/>
              <w:bottom w:val="single" w:color="auto" w:sz="4" w:space="0"/>
              <w:right w:val="single" w:color="auto" w:sz="4" w:space="0"/>
            </w:tcBorders>
            <w:noWrap/>
            <w:vAlign w:val="center"/>
          </w:tcPr>
          <w:p w14:paraId="3B55C3CC">
            <w:pPr>
              <w:pStyle w:val="13"/>
              <w:rPr>
                <w:rFonts w:hint="eastAsia" w:ascii="仿宋" w:hAnsi="仿宋" w:eastAsia="仿宋" w:cs="仿宋"/>
                <w:color w:val="auto"/>
              </w:rPr>
            </w:pPr>
          </w:p>
        </w:tc>
        <w:tc>
          <w:tcPr>
            <w:tcW w:w="432" w:type="dxa"/>
            <w:tcBorders>
              <w:top w:val="single" w:color="auto" w:sz="4" w:space="0"/>
              <w:left w:val="nil"/>
              <w:bottom w:val="single" w:color="auto" w:sz="4" w:space="0"/>
              <w:right w:val="single" w:color="auto" w:sz="4" w:space="0"/>
            </w:tcBorders>
            <w:noWrap/>
            <w:vAlign w:val="center"/>
          </w:tcPr>
          <w:p w14:paraId="3780CDD0">
            <w:pPr>
              <w:pStyle w:val="13"/>
              <w:rPr>
                <w:rFonts w:hint="eastAsia" w:ascii="仿宋" w:hAnsi="仿宋" w:eastAsia="仿宋" w:cs="仿宋"/>
                <w:color w:val="auto"/>
              </w:rPr>
            </w:pPr>
          </w:p>
        </w:tc>
      </w:tr>
      <w:tr w14:paraId="66524218">
        <w:tblPrEx>
          <w:tblCellMar>
            <w:top w:w="0" w:type="dxa"/>
            <w:left w:w="108" w:type="dxa"/>
            <w:bottom w:w="0" w:type="dxa"/>
            <w:right w:w="108" w:type="dxa"/>
          </w:tblCellMar>
        </w:tblPrEx>
        <w:trPr>
          <w:trHeight w:val="335"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F4B01A5">
            <w:pPr>
              <w:pStyle w:val="13"/>
              <w:rPr>
                <w:rFonts w:hint="eastAsia" w:ascii="仿宋" w:hAnsi="仿宋" w:eastAsia="仿宋" w:cs="仿宋"/>
                <w:color w:val="auto"/>
              </w:rPr>
            </w:pPr>
            <w:r>
              <w:rPr>
                <w:rFonts w:hint="eastAsia" w:ascii="仿宋" w:hAnsi="仿宋" w:eastAsia="仿宋" w:cs="仿宋"/>
                <w:color w:val="auto"/>
              </w:rPr>
              <w:t>投标有效期满足要求（13.1）</w:t>
            </w:r>
          </w:p>
        </w:tc>
        <w:tc>
          <w:tcPr>
            <w:tcW w:w="5170" w:type="dxa"/>
            <w:tcBorders>
              <w:top w:val="single" w:color="auto" w:sz="4" w:space="0"/>
              <w:left w:val="nil"/>
              <w:bottom w:val="single" w:color="auto" w:sz="4" w:space="0"/>
              <w:right w:val="single" w:color="auto" w:sz="4" w:space="0"/>
            </w:tcBorders>
            <w:noWrap/>
            <w:vAlign w:val="center"/>
          </w:tcPr>
          <w:p w14:paraId="19F22665">
            <w:pPr>
              <w:pStyle w:val="13"/>
              <w:rPr>
                <w:rFonts w:hint="eastAsia" w:ascii="仿宋" w:hAnsi="仿宋" w:eastAsia="仿宋" w:cs="仿宋"/>
                <w:color w:val="auto"/>
              </w:rPr>
            </w:pPr>
            <w:r>
              <w:rPr>
                <w:rFonts w:hint="eastAsia" w:ascii="仿宋" w:hAnsi="仿宋" w:eastAsia="仿宋" w:cs="仿宋"/>
                <w:color w:val="auto"/>
              </w:rPr>
              <w:t>自提交投标文件截止之日起 90 日历日内</w:t>
            </w:r>
          </w:p>
        </w:tc>
        <w:tc>
          <w:tcPr>
            <w:tcW w:w="516" w:type="dxa"/>
            <w:tcBorders>
              <w:top w:val="single" w:color="auto" w:sz="4" w:space="0"/>
              <w:left w:val="nil"/>
              <w:bottom w:val="single" w:color="auto" w:sz="4" w:space="0"/>
              <w:right w:val="single" w:color="auto" w:sz="4" w:space="0"/>
            </w:tcBorders>
            <w:noWrap/>
            <w:vAlign w:val="center"/>
          </w:tcPr>
          <w:p w14:paraId="278F0A0D">
            <w:pPr>
              <w:pStyle w:val="13"/>
              <w:rPr>
                <w:rFonts w:hint="eastAsia" w:ascii="仿宋" w:hAnsi="仿宋" w:eastAsia="仿宋" w:cs="仿宋"/>
                <w:color w:val="auto"/>
              </w:rPr>
            </w:pPr>
            <w:r>
              <w:rPr>
                <w:rFonts w:hint="eastAsia" w:ascii="仿宋" w:hAnsi="仿宋" w:eastAsia="仿宋" w:cs="仿宋"/>
                <w:color w:val="auto"/>
              </w:rPr>
              <w:t>　</w:t>
            </w:r>
          </w:p>
        </w:tc>
        <w:tc>
          <w:tcPr>
            <w:tcW w:w="468" w:type="dxa"/>
            <w:tcBorders>
              <w:top w:val="single" w:color="auto" w:sz="4" w:space="0"/>
              <w:left w:val="nil"/>
              <w:bottom w:val="single" w:color="auto" w:sz="4" w:space="0"/>
              <w:right w:val="single" w:color="auto" w:sz="4" w:space="0"/>
            </w:tcBorders>
            <w:noWrap/>
            <w:vAlign w:val="center"/>
          </w:tcPr>
          <w:p w14:paraId="231D2359">
            <w:pPr>
              <w:pStyle w:val="13"/>
              <w:rPr>
                <w:rFonts w:hint="eastAsia" w:ascii="仿宋" w:hAnsi="仿宋" w:eastAsia="仿宋" w:cs="仿宋"/>
                <w:color w:val="auto"/>
              </w:rPr>
            </w:pPr>
            <w:r>
              <w:rPr>
                <w:rFonts w:hint="eastAsia" w:ascii="仿宋" w:hAnsi="仿宋" w:eastAsia="仿宋" w:cs="仿宋"/>
                <w:color w:val="auto"/>
              </w:rPr>
              <w:t>　</w:t>
            </w:r>
          </w:p>
        </w:tc>
        <w:tc>
          <w:tcPr>
            <w:tcW w:w="432" w:type="dxa"/>
            <w:tcBorders>
              <w:top w:val="single" w:color="auto" w:sz="4" w:space="0"/>
              <w:left w:val="nil"/>
              <w:bottom w:val="single" w:color="auto" w:sz="4" w:space="0"/>
              <w:right w:val="single" w:color="auto" w:sz="4" w:space="0"/>
            </w:tcBorders>
            <w:noWrap/>
            <w:vAlign w:val="center"/>
          </w:tcPr>
          <w:p w14:paraId="17B7EB17">
            <w:pPr>
              <w:pStyle w:val="13"/>
              <w:rPr>
                <w:rFonts w:hint="eastAsia" w:ascii="仿宋" w:hAnsi="仿宋" w:eastAsia="仿宋" w:cs="仿宋"/>
                <w:color w:val="auto"/>
              </w:rPr>
            </w:pPr>
            <w:r>
              <w:rPr>
                <w:rFonts w:hint="eastAsia" w:ascii="仿宋" w:hAnsi="仿宋" w:eastAsia="仿宋" w:cs="仿宋"/>
                <w:color w:val="auto"/>
              </w:rPr>
              <w:t>　</w:t>
            </w:r>
          </w:p>
        </w:tc>
      </w:tr>
      <w:tr w14:paraId="0B9AA737">
        <w:tblPrEx>
          <w:tblCellMar>
            <w:top w:w="0" w:type="dxa"/>
            <w:left w:w="108" w:type="dxa"/>
            <w:bottom w:w="0" w:type="dxa"/>
            <w:right w:w="108" w:type="dxa"/>
          </w:tblCellMar>
        </w:tblPrEx>
        <w:trPr>
          <w:trHeight w:val="570"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37CDAB00">
            <w:pPr>
              <w:pStyle w:val="13"/>
              <w:rPr>
                <w:rFonts w:hint="eastAsia" w:ascii="仿宋" w:hAnsi="仿宋" w:eastAsia="仿宋" w:cs="仿宋"/>
                <w:color w:val="auto"/>
              </w:rPr>
            </w:pPr>
            <w:r>
              <w:rPr>
                <w:rFonts w:hint="eastAsia" w:ascii="仿宋" w:hAnsi="仿宋" w:eastAsia="仿宋" w:cs="仿宋"/>
                <w:color w:val="auto"/>
              </w:rPr>
              <w:t>投标文件的签署和盖章符合要求（14.2、14.4）</w:t>
            </w:r>
          </w:p>
        </w:tc>
        <w:tc>
          <w:tcPr>
            <w:tcW w:w="5170" w:type="dxa"/>
            <w:tcBorders>
              <w:top w:val="single" w:color="auto" w:sz="4" w:space="0"/>
              <w:left w:val="nil"/>
              <w:bottom w:val="single" w:color="auto" w:sz="4" w:space="0"/>
              <w:right w:val="single" w:color="auto" w:sz="4" w:space="0"/>
            </w:tcBorders>
            <w:noWrap/>
            <w:vAlign w:val="center"/>
          </w:tcPr>
          <w:p w14:paraId="3F2326BB">
            <w:pPr>
              <w:pStyle w:val="13"/>
              <w:rPr>
                <w:rFonts w:hint="eastAsia" w:ascii="仿宋" w:hAnsi="仿宋" w:eastAsia="仿宋" w:cs="仿宋"/>
                <w:color w:val="auto"/>
              </w:rPr>
            </w:pPr>
            <w:r>
              <w:rPr>
                <w:rFonts w:hint="eastAsia" w:ascii="仿宋" w:hAnsi="仿宋" w:eastAsia="仿宋" w:cs="仿宋"/>
                <w:color w:val="auto"/>
              </w:rPr>
              <w:t>按照招标文件规定要求签署、盖章。</w:t>
            </w:r>
          </w:p>
        </w:tc>
        <w:tc>
          <w:tcPr>
            <w:tcW w:w="516" w:type="dxa"/>
            <w:tcBorders>
              <w:top w:val="single" w:color="auto" w:sz="4" w:space="0"/>
              <w:left w:val="nil"/>
              <w:bottom w:val="single" w:color="auto" w:sz="4" w:space="0"/>
              <w:right w:val="single" w:color="auto" w:sz="4" w:space="0"/>
            </w:tcBorders>
            <w:noWrap/>
            <w:vAlign w:val="center"/>
          </w:tcPr>
          <w:p w14:paraId="06B4C100">
            <w:pPr>
              <w:pStyle w:val="13"/>
              <w:rPr>
                <w:rFonts w:hint="eastAsia" w:ascii="仿宋" w:hAnsi="仿宋" w:eastAsia="仿宋" w:cs="仿宋"/>
                <w:color w:val="auto"/>
              </w:rPr>
            </w:pPr>
          </w:p>
        </w:tc>
        <w:tc>
          <w:tcPr>
            <w:tcW w:w="468" w:type="dxa"/>
            <w:tcBorders>
              <w:top w:val="single" w:color="auto" w:sz="4" w:space="0"/>
              <w:left w:val="nil"/>
              <w:bottom w:val="single" w:color="auto" w:sz="4" w:space="0"/>
              <w:right w:val="single" w:color="auto" w:sz="4" w:space="0"/>
            </w:tcBorders>
            <w:noWrap/>
            <w:vAlign w:val="center"/>
          </w:tcPr>
          <w:p w14:paraId="787D0991">
            <w:pPr>
              <w:pStyle w:val="13"/>
              <w:rPr>
                <w:rFonts w:hint="eastAsia" w:ascii="仿宋" w:hAnsi="仿宋" w:eastAsia="仿宋" w:cs="仿宋"/>
                <w:color w:val="auto"/>
              </w:rPr>
            </w:pPr>
          </w:p>
        </w:tc>
        <w:tc>
          <w:tcPr>
            <w:tcW w:w="432" w:type="dxa"/>
            <w:tcBorders>
              <w:top w:val="single" w:color="auto" w:sz="4" w:space="0"/>
              <w:left w:val="nil"/>
              <w:bottom w:val="single" w:color="auto" w:sz="4" w:space="0"/>
              <w:right w:val="single" w:color="auto" w:sz="4" w:space="0"/>
            </w:tcBorders>
            <w:noWrap/>
            <w:vAlign w:val="center"/>
          </w:tcPr>
          <w:p w14:paraId="7F6802B6">
            <w:pPr>
              <w:pStyle w:val="13"/>
              <w:rPr>
                <w:rFonts w:hint="eastAsia" w:ascii="仿宋" w:hAnsi="仿宋" w:eastAsia="仿宋" w:cs="仿宋"/>
                <w:color w:val="auto"/>
              </w:rPr>
            </w:pPr>
          </w:p>
        </w:tc>
      </w:tr>
      <w:tr w14:paraId="2080AF00">
        <w:tblPrEx>
          <w:tblCellMar>
            <w:top w:w="0" w:type="dxa"/>
            <w:left w:w="108" w:type="dxa"/>
            <w:bottom w:w="0" w:type="dxa"/>
            <w:right w:w="108" w:type="dxa"/>
          </w:tblCellMar>
        </w:tblPrEx>
        <w:trPr>
          <w:trHeight w:val="878"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6846658">
            <w:pPr>
              <w:pStyle w:val="13"/>
              <w:rPr>
                <w:rFonts w:hint="eastAsia" w:ascii="仿宋" w:hAnsi="仿宋" w:eastAsia="仿宋" w:cs="仿宋"/>
                <w:color w:val="auto"/>
              </w:rPr>
            </w:pPr>
            <w:r>
              <w:rPr>
                <w:rFonts w:hint="eastAsia" w:ascii="仿宋" w:hAnsi="仿宋" w:eastAsia="仿宋" w:cs="仿宋"/>
                <w:color w:val="auto"/>
              </w:rPr>
              <w:t>接受价格的算术修正（20.3）</w:t>
            </w:r>
          </w:p>
        </w:tc>
        <w:tc>
          <w:tcPr>
            <w:tcW w:w="5170" w:type="dxa"/>
            <w:tcBorders>
              <w:top w:val="single" w:color="auto" w:sz="4" w:space="0"/>
              <w:left w:val="nil"/>
              <w:bottom w:val="single" w:color="auto" w:sz="4" w:space="0"/>
              <w:right w:val="single" w:color="auto" w:sz="4" w:space="0"/>
            </w:tcBorders>
            <w:noWrap/>
            <w:vAlign w:val="center"/>
          </w:tcPr>
          <w:p w14:paraId="3CEE4B4E">
            <w:pPr>
              <w:pStyle w:val="13"/>
              <w:rPr>
                <w:rFonts w:hint="eastAsia" w:ascii="仿宋" w:hAnsi="仿宋" w:eastAsia="仿宋" w:cs="仿宋"/>
                <w:color w:val="auto"/>
              </w:rPr>
            </w:pPr>
            <w:r>
              <w:rPr>
                <w:rFonts w:hint="eastAsia" w:ascii="仿宋" w:hAnsi="仿宋" w:eastAsia="仿宋" w:cs="仿宋"/>
                <w:color w:val="auto"/>
              </w:rPr>
              <w:t>投标文件报价出现前后不一致的，应按照招标文件规定的顺序修正。修正后的报价经投标人确认后产生约束力。</w:t>
            </w:r>
          </w:p>
        </w:tc>
        <w:tc>
          <w:tcPr>
            <w:tcW w:w="516" w:type="dxa"/>
            <w:tcBorders>
              <w:top w:val="single" w:color="auto" w:sz="4" w:space="0"/>
              <w:left w:val="nil"/>
              <w:bottom w:val="single" w:color="auto" w:sz="4" w:space="0"/>
              <w:right w:val="single" w:color="auto" w:sz="4" w:space="0"/>
            </w:tcBorders>
            <w:noWrap/>
            <w:vAlign w:val="center"/>
          </w:tcPr>
          <w:p w14:paraId="398AEFE6">
            <w:pPr>
              <w:pStyle w:val="13"/>
              <w:rPr>
                <w:rFonts w:hint="eastAsia" w:ascii="仿宋" w:hAnsi="仿宋" w:eastAsia="仿宋" w:cs="仿宋"/>
                <w:color w:val="auto"/>
              </w:rPr>
            </w:pPr>
            <w:r>
              <w:rPr>
                <w:rFonts w:hint="eastAsia" w:ascii="仿宋" w:hAnsi="仿宋" w:eastAsia="仿宋" w:cs="仿宋"/>
                <w:color w:val="auto"/>
              </w:rPr>
              <w:t>　</w:t>
            </w:r>
          </w:p>
        </w:tc>
        <w:tc>
          <w:tcPr>
            <w:tcW w:w="468" w:type="dxa"/>
            <w:tcBorders>
              <w:top w:val="single" w:color="auto" w:sz="4" w:space="0"/>
              <w:left w:val="nil"/>
              <w:bottom w:val="single" w:color="auto" w:sz="4" w:space="0"/>
              <w:right w:val="single" w:color="auto" w:sz="4" w:space="0"/>
            </w:tcBorders>
            <w:noWrap/>
            <w:vAlign w:val="center"/>
          </w:tcPr>
          <w:p w14:paraId="5CA21051">
            <w:pPr>
              <w:pStyle w:val="13"/>
              <w:rPr>
                <w:rFonts w:hint="eastAsia" w:ascii="仿宋" w:hAnsi="仿宋" w:eastAsia="仿宋" w:cs="仿宋"/>
                <w:color w:val="auto"/>
              </w:rPr>
            </w:pPr>
            <w:r>
              <w:rPr>
                <w:rFonts w:hint="eastAsia" w:ascii="仿宋" w:hAnsi="仿宋" w:eastAsia="仿宋" w:cs="仿宋"/>
                <w:color w:val="auto"/>
              </w:rPr>
              <w:t>　</w:t>
            </w:r>
          </w:p>
        </w:tc>
        <w:tc>
          <w:tcPr>
            <w:tcW w:w="432" w:type="dxa"/>
            <w:tcBorders>
              <w:top w:val="single" w:color="auto" w:sz="4" w:space="0"/>
              <w:left w:val="nil"/>
              <w:bottom w:val="single" w:color="auto" w:sz="4" w:space="0"/>
              <w:right w:val="single" w:color="auto" w:sz="4" w:space="0"/>
            </w:tcBorders>
            <w:noWrap/>
            <w:vAlign w:val="center"/>
          </w:tcPr>
          <w:p w14:paraId="57A6089E">
            <w:pPr>
              <w:pStyle w:val="13"/>
              <w:rPr>
                <w:rFonts w:hint="eastAsia" w:ascii="仿宋" w:hAnsi="仿宋" w:eastAsia="仿宋" w:cs="仿宋"/>
                <w:color w:val="auto"/>
              </w:rPr>
            </w:pPr>
            <w:r>
              <w:rPr>
                <w:rFonts w:hint="eastAsia" w:ascii="仿宋" w:hAnsi="仿宋" w:eastAsia="仿宋" w:cs="仿宋"/>
                <w:color w:val="auto"/>
              </w:rPr>
              <w:t>　</w:t>
            </w:r>
          </w:p>
        </w:tc>
      </w:tr>
      <w:tr w14:paraId="63D405D4">
        <w:tblPrEx>
          <w:tblCellMar>
            <w:top w:w="0" w:type="dxa"/>
            <w:left w:w="108" w:type="dxa"/>
            <w:bottom w:w="0" w:type="dxa"/>
            <w:right w:w="108" w:type="dxa"/>
          </w:tblCellMar>
        </w:tblPrEx>
        <w:trPr>
          <w:trHeight w:val="447"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49CA9A55">
            <w:pPr>
              <w:pStyle w:val="13"/>
              <w:rPr>
                <w:rFonts w:hint="eastAsia" w:ascii="仿宋" w:hAnsi="仿宋" w:eastAsia="仿宋" w:cs="仿宋"/>
                <w:color w:val="auto"/>
              </w:rPr>
            </w:pPr>
            <w:r>
              <w:rPr>
                <w:rFonts w:hint="eastAsia" w:ascii="仿宋" w:hAnsi="仿宋" w:eastAsia="仿宋" w:cs="仿宋"/>
                <w:color w:val="auto"/>
              </w:rPr>
              <w:t>符合强制采购节能产品要求（20.6）</w:t>
            </w:r>
          </w:p>
        </w:tc>
        <w:tc>
          <w:tcPr>
            <w:tcW w:w="5170" w:type="dxa"/>
            <w:tcBorders>
              <w:top w:val="single" w:color="auto" w:sz="4" w:space="0"/>
              <w:left w:val="nil"/>
              <w:bottom w:val="single" w:color="auto" w:sz="4" w:space="0"/>
              <w:right w:val="single" w:color="auto" w:sz="4" w:space="0"/>
            </w:tcBorders>
            <w:noWrap/>
            <w:vAlign w:val="center"/>
          </w:tcPr>
          <w:p w14:paraId="0D180D56">
            <w:pPr>
              <w:pStyle w:val="13"/>
              <w:rPr>
                <w:rFonts w:hint="eastAsia" w:ascii="仿宋" w:hAnsi="仿宋" w:eastAsia="仿宋" w:cs="仿宋"/>
                <w:color w:val="auto"/>
              </w:rPr>
            </w:pPr>
            <w:r>
              <w:rPr>
                <w:rFonts w:hint="eastAsia" w:ascii="仿宋" w:hAnsi="仿宋" w:eastAsia="仿宋" w:cs="仿宋"/>
                <w:color w:val="auto"/>
              </w:rPr>
              <w:t>本项目</w:t>
            </w:r>
            <w:r>
              <w:rPr>
                <w:rFonts w:hint="eastAsia" w:ascii="仿宋" w:hAnsi="仿宋" w:eastAsia="仿宋" w:cs="仿宋"/>
                <w:color w:val="auto"/>
                <w:lang w:val="en-US" w:eastAsia="zh-CN"/>
              </w:rPr>
              <w:t>不</w:t>
            </w:r>
            <w:r>
              <w:rPr>
                <w:rFonts w:hint="eastAsia" w:ascii="仿宋" w:hAnsi="仿宋" w:eastAsia="仿宋" w:cs="仿宋"/>
                <w:color w:val="auto"/>
              </w:rPr>
              <w:t>适用</w:t>
            </w:r>
          </w:p>
        </w:tc>
        <w:tc>
          <w:tcPr>
            <w:tcW w:w="516" w:type="dxa"/>
            <w:tcBorders>
              <w:top w:val="single" w:color="auto" w:sz="4" w:space="0"/>
              <w:left w:val="nil"/>
              <w:bottom w:val="single" w:color="auto" w:sz="4" w:space="0"/>
              <w:right w:val="single" w:color="auto" w:sz="4" w:space="0"/>
            </w:tcBorders>
            <w:noWrap/>
            <w:vAlign w:val="center"/>
          </w:tcPr>
          <w:p w14:paraId="2BA6EE04">
            <w:pPr>
              <w:pStyle w:val="13"/>
              <w:rPr>
                <w:rFonts w:hint="eastAsia" w:ascii="仿宋" w:hAnsi="仿宋" w:eastAsia="仿宋" w:cs="仿宋"/>
                <w:color w:val="auto"/>
              </w:rPr>
            </w:pPr>
            <w:r>
              <w:rPr>
                <w:rFonts w:hint="eastAsia" w:ascii="仿宋" w:hAnsi="仿宋" w:eastAsia="仿宋" w:cs="仿宋"/>
                <w:color w:val="auto"/>
              </w:rPr>
              <w:t>　</w:t>
            </w:r>
          </w:p>
        </w:tc>
        <w:tc>
          <w:tcPr>
            <w:tcW w:w="468" w:type="dxa"/>
            <w:tcBorders>
              <w:top w:val="single" w:color="auto" w:sz="4" w:space="0"/>
              <w:left w:val="nil"/>
              <w:bottom w:val="single" w:color="auto" w:sz="4" w:space="0"/>
              <w:right w:val="single" w:color="auto" w:sz="4" w:space="0"/>
            </w:tcBorders>
            <w:noWrap/>
            <w:vAlign w:val="center"/>
          </w:tcPr>
          <w:p w14:paraId="00F84E87">
            <w:pPr>
              <w:pStyle w:val="13"/>
              <w:rPr>
                <w:rFonts w:hint="eastAsia" w:ascii="仿宋" w:hAnsi="仿宋" w:eastAsia="仿宋" w:cs="仿宋"/>
                <w:color w:val="auto"/>
              </w:rPr>
            </w:pPr>
            <w:r>
              <w:rPr>
                <w:rFonts w:hint="eastAsia" w:ascii="仿宋" w:hAnsi="仿宋" w:eastAsia="仿宋" w:cs="仿宋"/>
                <w:color w:val="auto"/>
              </w:rPr>
              <w:t>　</w:t>
            </w:r>
          </w:p>
        </w:tc>
        <w:tc>
          <w:tcPr>
            <w:tcW w:w="432" w:type="dxa"/>
            <w:tcBorders>
              <w:top w:val="single" w:color="auto" w:sz="4" w:space="0"/>
              <w:left w:val="nil"/>
              <w:bottom w:val="single" w:color="auto" w:sz="4" w:space="0"/>
              <w:right w:val="single" w:color="auto" w:sz="4" w:space="0"/>
            </w:tcBorders>
            <w:noWrap/>
            <w:vAlign w:val="center"/>
          </w:tcPr>
          <w:p w14:paraId="049A139F">
            <w:pPr>
              <w:pStyle w:val="13"/>
              <w:rPr>
                <w:rFonts w:hint="eastAsia" w:ascii="仿宋" w:hAnsi="仿宋" w:eastAsia="仿宋" w:cs="仿宋"/>
                <w:color w:val="auto"/>
              </w:rPr>
            </w:pPr>
            <w:r>
              <w:rPr>
                <w:rFonts w:hint="eastAsia" w:ascii="仿宋" w:hAnsi="仿宋" w:eastAsia="仿宋" w:cs="仿宋"/>
                <w:color w:val="auto"/>
              </w:rPr>
              <w:t>　</w:t>
            </w:r>
          </w:p>
        </w:tc>
      </w:tr>
      <w:tr w14:paraId="49DE2D1B">
        <w:tblPrEx>
          <w:tblCellMar>
            <w:top w:w="0" w:type="dxa"/>
            <w:left w:w="108" w:type="dxa"/>
            <w:bottom w:w="0" w:type="dxa"/>
            <w:right w:w="108" w:type="dxa"/>
          </w:tblCellMar>
        </w:tblPrEx>
        <w:trPr>
          <w:trHeight w:val="537"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3E4BF03D">
            <w:pPr>
              <w:pStyle w:val="13"/>
              <w:rPr>
                <w:rFonts w:hint="eastAsia" w:ascii="仿宋" w:hAnsi="仿宋" w:eastAsia="仿宋" w:cs="仿宋"/>
                <w:color w:val="auto"/>
              </w:rPr>
            </w:pPr>
            <w:r>
              <w:rPr>
                <w:rFonts w:hint="eastAsia" w:ascii="仿宋" w:hAnsi="仿宋" w:eastAsia="仿宋" w:cs="仿宋"/>
                <w:color w:val="auto"/>
              </w:rPr>
              <w:t>未发现串通投标（22.2）</w:t>
            </w:r>
          </w:p>
        </w:tc>
        <w:tc>
          <w:tcPr>
            <w:tcW w:w="5170" w:type="dxa"/>
            <w:tcBorders>
              <w:top w:val="single" w:color="auto" w:sz="4" w:space="0"/>
              <w:left w:val="nil"/>
              <w:bottom w:val="single" w:color="auto" w:sz="4" w:space="0"/>
              <w:right w:val="single" w:color="auto" w:sz="4" w:space="0"/>
            </w:tcBorders>
            <w:noWrap/>
            <w:vAlign w:val="center"/>
          </w:tcPr>
          <w:p w14:paraId="50F43D5E">
            <w:pPr>
              <w:pStyle w:val="13"/>
              <w:rPr>
                <w:rFonts w:hint="eastAsia" w:ascii="仿宋" w:hAnsi="仿宋" w:eastAsia="仿宋" w:cs="仿宋"/>
                <w:color w:val="auto"/>
              </w:rPr>
            </w:pPr>
            <w:r>
              <w:rPr>
                <w:rFonts w:hint="eastAsia" w:ascii="仿宋" w:hAnsi="仿宋" w:eastAsia="仿宋" w:cs="仿宋"/>
                <w:color w:val="auto"/>
              </w:rPr>
              <w:t>未与其他投标人串通投标，或者与招标人串通投标。</w:t>
            </w:r>
          </w:p>
        </w:tc>
        <w:tc>
          <w:tcPr>
            <w:tcW w:w="516" w:type="dxa"/>
            <w:tcBorders>
              <w:top w:val="single" w:color="auto" w:sz="4" w:space="0"/>
              <w:left w:val="nil"/>
              <w:bottom w:val="single" w:color="auto" w:sz="4" w:space="0"/>
              <w:right w:val="single" w:color="auto" w:sz="4" w:space="0"/>
            </w:tcBorders>
            <w:noWrap/>
            <w:vAlign w:val="center"/>
          </w:tcPr>
          <w:p w14:paraId="6F110201">
            <w:pPr>
              <w:pStyle w:val="13"/>
              <w:rPr>
                <w:rFonts w:hint="eastAsia" w:ascii="仿宋" w:hAnsi="仿宋" w:eastAsia="仿宋" w:cs="仿宋"/>
                <w:color w:val="auto"/>
              </w:rPr>
            </w:pPr>
            <w:r>
              <w:rPr>
                <w:rFonts w:hint="eastAsia" w:ascii="仿宋" w:hAnsi="仿宋" w:eastAsia="仿宋" w:cs="仿宋"/>
                <w:color w:val="auto"/>
              </w:rPr>
              <w:t>　</w:t>
            </w:r>
          </w:p>
        </w:tc>
        <w:tc>
          <w:tcPr>
            <w:tcW w:w="468" w:type="dxa"/>
            <w:tcBorders>
              <w:top w:val="single" w:color="auto" w:sz="4" w:space="0"/>
              <w:left w:val="nil"/>
              <w:bottom w:val="single" w:color="auto" w:sz="4" w:space="0"/>
              <w:right w:val="single" w:color="auto" w:sz="4" w:space="0"/>
            </w:tcBorders>
            <w:noWrap/>
            <w:vAlign w:val="center"/>
          </w:tcPr>
          <w:p w14:paraId="03760283">
            <w:pPr>
              <w:pStyle w:val="13"/>
              <w:rPr>
                <w:rFonts w:hint="eastAsia" w:ascii="仿宋" w:hAnsi="仿宋" w:eastAsia="仿宋" w:cs="仿宋"/>
                <w:color w:val="auto"/>
              </w:rPr>
            </w:pPr>
            <w:r>
              <w:rPr>
                <w:rFonts w:hint="eastAsia" w:ascii="仿宋" w:hAnsi="仿宋" w:eastAsia="仿宋" w:cs="仿宋"/>
                <w:color w:val="auto"/>
              </w:rPr>
              <w:t>　</w:t>
            </w:r>
          </w:p>
        </w:tc>
        <w:tc>
          <w:tcPr>
            <w:tcW w:w="432" w:type="dxa"/>
            <w:tcBorders>
              <w:top w:val="single" w:color="auto" w:sz="4" w:space="0"/>
              <w:left w:val="nil"/>
              <w:bottom w:val="single" w:color="auto" w:sz="4" w:space="0"/>
              <w:right w:val="single" w:color="auto" w:sz="4" w:space="0"/>
            </w:tcBorders>
            <w:noWrap/>
            <w:vAlign w:val="center"/>
          </w:tcPr>
          <w:p w14:paraId="5A0591C6">
            <w:pPr>
              <w:pStyle w:val="13"/>
              <w:rPr>
                <w:rFonts w:hint="eastAsia" w:ascii="仿宋" w:hAnsi="仿宋" w:eastAsia="仿宋" w:cs="仿宋"/>
                <w:color w:val="auto"/>
              </w:rPr>
            </w:pPr>
            <w:r>
              <w:rPr>
                <w:rFonts w:hint="eastAsia" w:ascii="仿宋" w:hAnsi="仿宋" w:eastAsia="仿宋" w:cs="仿宋"/>
                <w:color w:val="auto"/>
              </w:rPr>
              <w:t>　</w:t>
            </w:r>
          </w:p>
        </w:tc>
      </w:tr>
      <w:tr w14:paraId="7E46CBED">
        <w:tblPrEx>
          <w:tblCellMar>
            <w:top w:w="0" w:type="dxa"/>
            <w:left w:w="108" w:type="dxa"/>
            <w:bottom w:w="0" w:type="dxa"/>
            <w:right w:w="108" w:type="dxa"/>
          </w:tblCellMar>
        </w:tblPrEx>
        <w:trPr>
          <w:trHeight w:val="773"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26D4CEFB">
            <w:pPr>
              <w:pStyle w:val="13"/>
              <w:rPr>
                <w:rFonts w:hint="eastAsia" w:ascii="仿宋" w:hAnsi="仿宋" w:eastAsia="仿宋" w:cs="仿宋"/>
                <w:color w:val="auto"/>
              </w:rPr>
            </w:pPr>
            <w:r>
              <w:rPr>
                <w:rFonts w:hint="eastAsia" w:ascii="仿宋" w:hAnsi="仿宋" w:eastAsia="仿宋" w:cs="仿宋"/>
                <w:color w:val="auto"/>
              </w:rPr>
              <w:t>报价说明可以接受（22.2）</w:t>
            </w:r>
          </w:p>
        </w:tc>
        <w:tc>
          <w:tcPr>
            <w:tcW w:w="5170" w:type="dxa"/>
            <w:tcBorders>
              <w:top w:val="single" w:color="auto" w:sz="4" w:space="0"/>
              <w:left w:val="nil"/>
              <w:bottom w:val="single" w:color="auto" w:sz="4" w:space="0"/>
              <w:right w:val="single" w:color="auto" w:sz="4" w:space="0"/>
            </w:tcBorders>
            <w:noWrap/>
            <w:vAlign w:val="center"/>
          </w:tcPr>
          <w:p w14:paraId="20114C7E">
            <w:pPr>
              <w:pStyle w:val="13"/>
              <w:rPr>
                <w:rFonts w:hint="eastAsia" w:ascii="仿宋" w:hAnsi="仿宋" w:eastAsia="仿宋" w:cs="仿宋"/>
                <w:color w:val="auto"/>
              </w:rPr>
            </w:pPr>
            <w:r>
              <w:rPr>
                <w:rFonts w:hint="eastAsia" w:ascii="仿宋" w:hAnsi="仿宋" w:eastAsia="仿宋" w:cs="仿宋"/>
                <w:color w:val="auto"/>
              </w:rPr>
              <w:t>投标人的报价明显低于其他通过符合性检查投标人的报价，有可能影响履约的，投标人能按照规定证明其报价合理性。</w:t>
            </w:r>
          </w:p>
        </w:tc>
        <w:tc>
          <w:tcPr>
            <w:tcW w:w="516" w:type="dxa"/>
            <w:tcBorders>
              <w:top w:val="single" w:color="auto" w:sz="4" w:space="0"/>
              <w:left w:val="nil"/>
              <w:bottom w:val="single" w:color="auto" w:sz="4" w:space="0"/>
              <w:right w:val="single" w:color="auto" w:sz="4" w:space="0"/>
            </w:tcBorders>
            <w:noWrap/>
            <w:vAlign w:val="center"/>
          </w:tcPr>
          <w:p w14:paraId="08234F71">
            <w:pPr>
              <w:pStyle w:val="13"/>
              <w:rPr>
                <w:rFonts w:hint="eastAsia" w:ascii="仿宋" w:hAnsi="仿宋" w:eastAsia="仿宋" w:cs="仿宋"/>
                <w:color w:val="auto"/>
              </w:rPr>
            </w:pPr>
            <w:r>
              <w:rPr>
                <w:rFonts w:hint="eastAsia" w:ascii="仿宋" w:hAnsi="仿宋" w:eastAsia="仿宋" w:cs="仿宋"/>
                <w:color w:val="auto"/>
              </w:rPr>
              <w:t>　</w:t>
            </w:r>
          </w:p>
        </w:tc>
        <w:tc>
          <w:tcPr>
            <w:tcW w:w="468" w:type="dxa"/>
            <w:tcBorders>
              <w:top w:val="single" w:color="auto" w:sz="4" w:space="0"/>
              <w:left w:val="nil"/>
              <w:bottom w:val="single" w:color="auto" w:sz="4" w:space="0"/>
              <w:right w:val="single" w:color="auto" w:sz="4" w:space="0"/>
            </w:tcBorders>
            <w:noWrap/>
            <w:vAlign w:val="center"/>
          </w:tcPr>
          <w:p w14:paraId="27A6B963">
            <w:pPr>
              <w:pStyle w:val="13"/>
              <w:rPr>
                <w:rFonts w:hint="eastAsia" w:ascii="仿宋" w:hAnsi="仿宋" w:eastAsia="仿宋" w:cs="仿宋"/>
                <w:color w:val="auto"/>
              </w:rPr>
            </w:pPr>
            <w:r>
              <w:rPr>
                <w:rFonts w:hint="eastAsia" w:ascii="仿宋" w:hAnsi="仿宋" w:eastAsia="仿宋" w:cs="仿宋"/>
                <w:color w:val="auto"/>
              </w:rPr>
              <w:t>　</w:t>
            </w:r>
          </w:p>
        </w:tc>
        <w:tc>
          <w:tcPr>
            <w:tcW w:w="432" w:type="dxa"/>
            <w:tcBorders>
              <w:top w:val="single" w:color="auto" w:sz="4" w:space="0"/>
              <w:left w:val="nil"/>
              <w:bottom w:val="single" w:color="auto" w:sz="4" w:space="0"/>
              <w:right w:val="single" w:color="auto" w:sz="4" w:space="0"/>
            </w:tcBorders>
            <w:noWrap/>
            <w:vAlign w:val="center"/>
          </w:tcPr>
          <w:p w14:paraId="10AB06E3">
            <w:pPr>
              <w:pStyle w:val="13"/>
              <w:rPr>
                <w:rFonts w:hint="eastAsia" w:ascii="仿宋" w:hAnsi="仿宋" w:eastAsia="仿宋" w:cs="仿宋"/>
                <w:color w:val="auto"/>
              </w:rPr>
            </w:pPr>
            <w:r>
              <w:rPr>
                <w:rFonts w:hint="eastAsia" w:ascii="仿宋" w:hAnsi="仿宋" w:eastAsia="仿宋" w:cs="仿宋"/>
                <w:color w:val="auto"/>
              </w:rPr>
              <w:t>　</w:t>
            </w:r>
          </w:p>
        </w:tc>
      </w:tr>
      <w:tr w14:paraId="317C93F5">
        <w:tblPrEx>
          <w:tblCellMar>
            <w:top w:w="0" w:type="dxa"/>
            <w:left w:w="108" w:type="dxa"/>
            <w:bottom w:w="0" w:type="dxa"/>
            <w:right w:w="108" w:type="dxa"/>
          </w:tblCellMar>
        </w:tblPrEx>
        <w:trPr>
          <w:trHeight w:val="510"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65A254D">
            <w:pPr>
              <w:pStyle w:val="13"/>
              <w:rPr>
                <w:rFonts w:hint="eastAsia" w:ascii="仿宋" w:hAnsi="仿宋" w:eastAsia="仿宋" w:cs="仿宋"/>
                <w:color w:val="auto"/>
              </w:rPr>
            </w:pPr>
            <w:r>
              <w:rPr>
                <w:rFonts w:hint="eastAsia" w:ascii="仿宋" w:hAnsi="仿宋" w:eastAsia="仿宋" w:cs="仿宋"/>
                <w:color w:val="auto"/>
              </w:rPr>
              <w:t>无采购人不能接受的附加条件（22.2）</w:t>
            </w:r>
          </w:p>
        </w:tc>
        <w:tc>
          <w:tcPr>
            <w:tcW w:w="5170" w:type="dxa"/>
            <w:tcBorders>
              <w:top w:val="single" w:color="auto" w:sz="4" w:space="0"/>
              <w:left w:val="nil"/>
              <w:bottom w:val="single" w:color="auto" w:sz="4" w:space="0"/>
              <w:right w:val="single" w:color="auto" w:sz="4" w:space="0"/>
            </w:tcBorders>
            <w:noWrap/>
            <w:vAlign w:val="center"/>
          </w:tcPr>
          <w:p w14:paraId="6E09AA4F">
            <w:pPr>
              <w:pStyle w:val="13"/>
              <w:rPr>
                <w:rFonts w:hint="eastAsia" w:ascii="仿宋" w:hAnsi="仿宋" w:eastAsia="仿宋" w:cs="仿宋"/>
                <w:color w:val="auto"/>
              </w:rPr>
            </w:pPr>
            <w:r>
              <w:rPr>
                <w:rFonts w:hint="eastAsia" w:ascii="仿宋" w:hAnsi="仿宋" w:eastAsia="仿宋" w:cs="仿宋"/>
                <w:color w:val="auto"/>
              </w:rPr>
              <w:t>投标文件未含有采购人不能接受的附加条件。</w:t>
            </w:r>
          </w:p>
        </w:tc>
        <w:tc>
          <w:tcPr>
            <w:tcW w:w="516" w:type="dxa"/>
            <w:tcBorders>
              <w:top w:val="single" w:color="auto" w:sz="4" w:space="0"/>
              <w:left w:val="nil"/>
              <w:bottom w:val="single" w:color="auto" w:sz="4" w:space="0"/>
              <w:right w:val="single" w:color="auto" w:sz="4" w:space="0"/>
            </w:tcBorders>
            <w:noWrap/>
            <w:vAlign w:val="center"/>
          </w:tcPr>
          <w:p w14:paraId="2914B56C">
            <w:pPr>
              <w:pStyle w:val="13"/>
              <w:rPr>
                <w:rFonts w:hint="eastAsia" w:ascii="仿宋" w:hAnsi="仿宋" w:eastAsia="仿宋" w:cs="仿宋"/>
                <w:color w:val="auto"/>
              </w:rPr>
            </w:pPr>
          </w:p>
        </w:tc>
        <w:tc>
          <w:tcPr>
            <w:tcW w:w="468" w:type="dxa"/>
            <w:tcBorders>
              <w:top w:val="single" w:color="auto" w:sz="4" w:space="0"/>
              <w:left w:val="nil"/>
              <w:bottom w:val="single" w:color="auto" w:sz="4" w:space="0"/>
              <w:right w:val="single" w:color="auto" w:sz="4" w:space="0"/>
            </w:tcBorders>
            <w:noWrap/>
            <w:vAlign w:val="center"/>
          </w:tcPr>
          <w:p w14:paraId="119F1FF4">
            <w:pPr>
              <w:pStyle w:val="13"/>
              <w:rPr>
                <w:rFonts w:hint="eastAsia" w:ascii="仿宋" w:hAnsi="仿宋" w:eastAsia="仿宋" w:cs="仿宋"/>
                <w:color w:val="auto"/>
              </w:rPr>
            </w:pPr>
          </w:p>
        </w:tc>
        <w:tc>
          <w:tcPr>
            <w:tcW w:w="432" w:type="dxa"/>
            <w:tcBorders>
              <w:top w:val="single" w:color="auto" w:sz="4" w:space="0"/>
              <w:left w:val="nil"/>
              <w:bottom w:val="single" w:color="auto" w:sz="4" w:space="0"/>
              <w:right w:val="single" w:color="auto" w:sz="4" w:space="0"/>
            </w:tcBorders>
            <w:noWrap/>
            <w:vAlign w:val="center"/>
          </w:tcPr>
          <w:p w14:paraId="2014065D">
            <w:pPr>
              <w:pStyle w:val="13"/>
              <w:rPr>
                <w:rFonts w:hint="eastAsia" w:ascii="仿宋" w:hAnsi="仿宋" w:eastAsia="仿宋" w:cs="仿宋"/>
                <w:color w:val="auto"/>
              </w:rPr>
            </w:pPr>
          </w:p>
        </w:tc>
      </w:tr>
      <w:tr w14:paraId="4645B5EE">
        <w:tblPrEx>
          <w:tblCellMar>
            <w:top w:w="0" w:type="dxa"/>
            <w:left w:w="108" w:type="dxa"/>
            <w:bottom w:w="0" w:type="dxa"/>
            <w:right w:w="108" w:type="dxa"/>
          </w:tblCellMar>
        </w:tblPrEx>
        <w:trPr>
          <w:trHeight w:val="316" w:hRule="atLeast"/>
        </w:trPr>
        <w:tc>
          <w:tcPr>
            <w:tcW w:w="8704" w:type="dxa"/>
            <w:gridSpan w:val="2"/>
            <w:tcBorders>
              <w:top w:val="single" w:color="auto" w:sz="4" w:space="0"/>
              <w:left w:val="single" w:color="auto" w:sz="4" w:space="0"/>
              <w:bottom w:val="single" w:color="auto" w:sz="4" w:space="0"/>
              <w:right w:val="single" w:color="auto" w:sz="4" w:space="0"/>
            </w:tcBorders>
            <w:noWrap/>
            <w:vAlign w:val="center"/>
          </w:tcPr>
          <w:p w14:paraId="79EA0902">
            <w:pPr>
              <w:pStyle w:val="13"/>
              <w:rPr>
                <w:rFonts w:hint="eastAsia" w:ascii="仿宋" w:hAnsi="仿宋" w:eastAsia="仿宋" w:cs="仿宋"/>
                <w:color w:val="auto"/>
              </w:rPr>
            </w:pPr>
            <w:r>
              <w:rPr>
                <w:rFonts w:hint="eastAsia" w:ascii="仿宋" w:hAnsi="仿宋" w:eastAsia="仿宋" w:cs="仿宋"/>
                <w:color w:val="auto"/>
              </w:rPr>
              <w:t>结论：通过评审打“√”，未通过评审打“×”</w:t>
            </w:r>
          </w:p>
        </w:tc>
        <w:tc>
          <w:tcPr>
            <w:tcW w:w="516" w:type="dxa"/>
            <w:tcBorders>
              <w:top w:val="single" w:color="auto" w:sz="4" w:space="0"/>
              <w:left w:val="nil"/>
              <w:bottom w:val="single" w:color="auto" w:sz="4" w:space="0"/>
              <w:right w:val="single" w:color="auto" w:sz="4" w:space="0"/>
            </w:tcBorders>
            <w:noWrap/>
            <w:vAlign w:val="center"/>
          </w:tcPr>
          <w:p w14:paraId="0C031761">
            <w:pPr>
              <w:pStyle w:val="13"/>
              <w:rPr>
                <w:rFonts w:hint="eastAsia" w:ascii="仿宋" w:hAnsi="仿宋" w:eastAsia="仿宋" w:cs="仿宋"/>
                <w:color w:val="auto"/>
              </w:rPr>
            </w:pPr>
          </w:p>
        </w:tc>
        <w:tc>
          <w:tcPr>
            <w:tcW w:w="468" w:type="dxa"/>
            <w:tcBorders>
              <w:top w:val="single" w:color="auto" w:sz="4" w:space="0"/>
              <w:left w:val="nil"/>
              <w:bottom w:val="single" w:color="auto" w:sz="4" w:space="0"/>
              <w:right w:val="single" w:color="auto" w:sz="4" w:space="0"/>
            </w:tcBorders>
            <w:noWrap/>
            <w:vAlign w:val="center"/>
          </w:tcPr>
          <w:p w14:paraId="0F3AA37D">
            <w:pPr>
              <w:pStyle w:val="13"/>
              <w:rPr>
                <w:rFonts w:hint="eastAsia" w:ascii="仿宋" w:hAnsi="仿宋" w:eastAsia="仿宋" w:cs="仿宋"/>
                <w:color w:val="auto"/>
              </w:rPr>
            </w:pPr>
          </w:p>
        </w:tc>
        <w:tc>
          <w:tcPr>
            <w:tcW w:w="432" w:type="dxa"/>
            <w:tcBorders>
              <w:top w:val="single" w:color="auto" w:sz="4" w:space="0"/>
              <w:left w:val="nil"/>
              <w:bottom w:val="single" w:color="auto" w:sz="4" w:space="0"/>
              <w:right w:val="single" w:color="auto" w:sz="4" w:space="0"/>
            </w:tcBorders>
            <w:noWrap/>
            <w:vAlign w:val="center"/>
          </w:tcPr>
          <w:p w14:paraId="72702182">
            <w:pPr>
              <w:pStyle w:val="13"/>
              <w:rPr>
                <w:rFonts w:hint="eastAsia" w:ascii="仿宋" w:hAnsi="仿宋" w:eastAsia="仿宋" w:cs="仿宋"/>
                <w:color w:val="auto"/>
              </w:rPr>
            </w:pPr>
          </w:p>
        </w:tc>
      </w:tr>
    </w:tbl>
    <w:p w14:paraId="4441C85B">
      <w:pPr>
        <w:spacing w:line="440" w:lineRule="exact"/>
        <w:rPr>
          <w:rFonts w:hint="eastAsia" w:ascii="仿宋" w:hAnsi="仿宋" w:eastAsia="仿宋" w:cs="仿宋"/>
          <w:b/>
          <w:color w:val="auto"/>
          <w:sz w:val="28"/>
          <w:szCs w:val="28"/>
        </w:rPr>
      </w:pPr>
      <w:bookmarkStart w:id="920" w:name="_Toc507399904"/>
      <w:bookmarkStart w:id="921" w:name="_Toc523257134"/>
    </w:p>
    <w:p w14:paraId="4BDC780F">
      <w:pPr>
        <w:spacing w:line="440" w:lineRule="exact"/>
        <w:rPr>
          <w:rFonts w:hint="eastAsia" w:ascii="仿宋" w:hAnsi="仿宋" w:eastAsia="仿宋" w:cs="仿宋"/>
          <w:b/>
          <w:color w:val="auto"/>
          <w:sz w:val="28"/>
          <w:szCs w:val="28"/>
        </w:rPr>
      </w:pPr>
    </w:p>
    <w:p w14:paraId="179B22A5">
      <w:pPr>
        <w:spacing w:line="44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★备注：如果投标文件中有一项未通过上述审查标准，评标委员会将认定整个投标文件未响应招标文件而予以废标处理。</w:t>
      </w:r>
    </w:p>
    <w:p w14:paraId="01959876">
      <w:pPr>
        <w:spacing w:line="440" w:lineRule="exact"/>
        <w:jc w:val="center"/>
        <w:rPr>
          <w:rFonts w:hint="eastAsia" w:ascii="仿宋" w:hAnsi="仿宋" w:eastAsia="仿宋" w:cs="仿宋"/>
          <w:b/>
          <w:color w:val="auto"/>
          <w:sz w:val="28"/>
          <w:szCs w:val="28"/>
        </w:rPr>
      </w:pPr>
    </w:p>
    <w:tbl>
      <w:tblPr>
        <w:tblStyle w:val="38"/>
        <w:tblW w:w="8940" w:type="dxa"/>
        <w:jc w:val="center"/>
        <w:tblLayout w:type="fixed"/>
        <w:tblCellMar>
          <w:top w:w="0" w:type="dxa"/>
          <w:left w:w="108" w:type="dxa"/>
          <w:bottom w:w="0" w:type="dxa"/>
          <w:right w:w="108" w:type="dxa"/>
        </w:tblCellMar>
      </w:tblPr>
      <w:tblGrid>
        <w:gridCol w:w="2897"/>
        <w:gridCol w:w="946"/>
        <w:gridCol w:w="1546"/>
        <w:gridCol w:w="1893"/>
        <w:gridCol w:w="1658"/>
      </w:tblGrid>
      <w:tr w14:paraId="521891BF">
        <w:tblPrEx>
          <w:tblCellMar>
            <w:top w:w="0" w:type="dxa"/>
            <w:left w:w="108" w:type="dxa"/>
            <w:bottom w:w="0" w:type="dxa"/>
            <w:right w:w="108" w:type="dxa"/>
          </w:tblCellMar>
        </w:tblPrEx>
        <w:trPr>
          <w:trHeight w:val="662" w:hRule="atLeast"/>
          <w:jc w:val="center"/>
        </w:trPr>
        <w:tc>
          <w:tcPr>
            <w:tcW w:w="8940" w:type="dxa"/>
            <w:gridSpan w:val="5"/>
            <w:tcBorders>
              <w:top w:val="nil"/>
              <w:left w:val="nil"/>
              <w:bottom w:val="single" w:color="auto" w:sz="4" w:space="0"/>
              <w:right w:val="nil"/>
            </w:tcBorders>
            <w:noWrap w:val="0"/>
            <w:vAlign w:val="center"/>
          </w:tcPr>
          <w:p w14:paraId="2CB61EDD">
            <w:pPr>
              <w:widowControl/>
              <w:spacing w:line="360" w:lineRule="exact"/>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 xml:space="preserve"> </w:t>
            </w:r>
            <w:r>
              <w:rPr>
                <w:rFonts w:hint="eastAsia" w:ascii="仿宋" w:hAnsi="仿宋" w:eastAsia="仿宋" w:cs="仿宋"/>
                <w:b/>
                <w:bCs/>
                <w:color w:val="auto"/>
                <w:kern w:val="0"/>
                <w:sz w:val="32"/>
                <w:szCs w:val="32"/>
              </w:rPr>
              <w:t>技术符合性审查表</w:t>
            </w:r>
          </w:p>
        </w:tc>
      </w:tr>
      <w:tr w14:paraId="4CA6ABC0">
        <w:tblPrEx>
          <w:tblCellMar>
            <w:top w:w="0" w:type="dxa"/>
            <w:left w:w="108" w:type="dxa"/>
            <w:bottom w:w="0" w:type="dxa"/>
            <w:right w:w="108" w:type="dxa"/>
          </w:tblCellMar>
        </w:tblPrEx>
        <w:trPr>
          <w:trHeight w:val="445" w:hRule="atLeast"/>
          <w:jc w:val="center"/>
        </w:trPr>
        <w:tc>
          <w:tcPr>
            <w:tcW w:w="384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14:paraId="3E5CEB3C">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审查事项</w:t>
            </w:r>
          </w:p>
        </w:tc>
        <w:tc>
          <w:tcPr>
            <w:tcW w:w="1546" w:type="dxa"/>
            <w:tcBorders>
              <w:top w:val="nil"/>
              <w:left w:val="nil"/>
              <w:bottom w:val="single" w:color="auto" w:sz="4" w:space="0"/>
              <w:right w:val="single" w:color="auto" w:sz="4" w:space="0"/>
            </w:tcBorders>
            <w:noWrap w:val="0"/>
            <w:vAlign w:val="center"/>
          </w:tcPr>
          <w:p w14:paraId="70E758BC">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供应商</w:t>
            </w:r>
            <w:r>
              <w:rPr>
                <w:rFonts w:hint="eastAsia" w:ascii="仿宋" w:hAnsi="仿宋" w:eastAsia="仿宋" w:cs="仿宋"/>
                <w:color w:val="auto"/>
                <w:kern w:val="0"/>
                <w:sz w:val="22"/>
                <w:szCs w:val="22"/>
              </w:rPr>
              <w:t>名称</w:t>
            </w:r>
          </w:p>
        </w:tc>
        <w:tc>
          <w:tcPr>
            <w:tcW w:w="1893" w:type="dxa"/>
            <w:tcBorders>
              <w:top w:val="nil"/>
              <w:left w:val="nil"/>
              <w:bottom w:val="single" w:color="auto" w:sz="4" w:space="0"/>
              <w:right w:val="single" w:color="auto" w:sz="4" w:space="0"/>
            </w:tcBorders>
            <w:noWrap w:val="0"/>
            <w:vAlign w:val="center"/>
          </w:tcPr>
          <w:p w14:paraId="4B42D543">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供应商</w:t>
            </w:r>
            <w:r>
              <w:rPr>
                <w:rFonts w:hint="eastAsia" w:ascii="仿宋" w:hAnsi="仿宋" w:eastAsia="仿宋" w:cs="仿宋"/>
                <w:color w:val="auto"/>
                <w:kern w:val="0"/>
                <w:sz w:val="22"/>
                <w:szCs w:val="22"/>
              </w:rPr>
              <w:t>名称</w:t>
            </w:r>
          </w:p>
        </w:tc>
        <w:tc>
          <w:tcPr>
            <w:tcW w:w="1658" w:type="dxa"/>
            <w:tcBorders>
              <w:top w:val="nil"/>
              <w:left w:val="nil"/>
              <w:bottom w:val="single" w:color="auto" w:sz="4" w:space="0"/>
              <w:right w:val="single" w:color="auto" w:sz="4" w:space="0"/>
            </w:tcBorders>
            <w:noWrap w:val="0"/>
            <w:vAlign w:val="center"/>
          </w:tcPr>
          <w:p w14:paraId="3DC7683A">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供应商</w:t>
            </w:r>
            <w:r>
              <w:rPr>
                <w:rFonts w:hint="eastAsia" w:ascii="仿宋" w:hAnsi="仿宋" w:eastAsia="仿宋" w:cs="仿宋"/>
                <w:color w:val="auto"/>
                <w:kern w:val="0"/>
                <w:sz w:val="22"/>
                <w:szCs w:val="22"/>
              </w:rPr>
              <w:t>名称</w:t>
            </w:r>
          </w:p>
        </w:tc>
      </w:tr>
      <w:tr w14:paraId="07796E05">
        <w:tblPrEx>
          <w:tblCellMar>
            <w:top w:w="0" w:type="dxa"/>
            <w:left w:w="108" w:type="dxa"/>
            <w:bottom w:w="0" w:type="dxa"/>
            <w:right w:w="108" w:type="dxa"/>
          </w:tblCellMar>
        </w:tblPrEx>
        <w:trPr>
          <w:trHeight w:val="645" w:hRule="atLeast"/>
          <w:jc w:val="center"/>
        </w:trPr>
        <w:tc>
          <w:tcPr>
            <w:tcW w:w="384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4D4947BE">
            <w:pPr>
              <w:widowControl/>
              <w:spacing w:line="360" w:lineRule="exact"/>
              <w:jc w:val="left"/>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48E8988A">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3A7BBECA">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372F0CBA">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26D31024">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6EDC1601">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6E82065A">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63A9473E">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3A74E516">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370157D8">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0C1B7B11">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7EB5E618">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3A811475">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02D5EDF9">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76683AD1">
            <w:pPr>
              <w:widowControl/>
              <w:spacing w:line="360" w:lineRule="exact"/>
              <w:jc w:val="left"/>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1FDA6F6C">
            <w:pPr>
              <w:widowControl/>
              <w:spacing w:line="360" w:lineRule="exact"/>
              <w:jc w:val="left"/>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　</w:t>
            </w:r>
          </w:p>
        </w:tc>
      </w:tr>
      <w:tr w14:paraId="35D7A9F1">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6AC05776">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025CC04A">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2A2E1C08">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21B14AE6">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00EE6F4B">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3987723F">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24DE6BF0">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2F3E5BB7">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4B340465">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15AF0FF2">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1FB7A183">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4C08CE47">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nil"/>
              <w:right w:val="single" w:color="auto" w:sz="4" w:space="0"/>
            </w:tcBorders>
            <w:noWrap w:val="0"/>
            <w:vAlign w:val="center"/>
          </w:tcPr>
          <w:p w14:paraId="4E3A194D">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nil"/>
              <w:right w:val="single" w:color="auto" w:sz="4" w:space="0"/>
            </w:tcBorders>
            <w:noWrap w:val="0"/>
            <w:vAlign w:val="center"/>
          </w:tcPr>
          <w:p w14:paraId="560BF030">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nil"/>
              <w:right w:val="single" w:color="auto" w:sz="4" w:space="0"/>
            </w:tcBorders>
            <w:noWrap w:val="0"/>
            <w:vAlign w:val="center"/>
          </w:tcPr>
          <w:p w14:paraId="4CECDE59">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nil"/>
              <w:right w:val="single" w:color="auto" w:sz="4" w:space="0"/>
            </w:tcBorders>
            <w:noWrap w:val="0"/>
            <w:vAlign w:val="center"/>
          </w:tcPr>
          <w:p w14:paraId="4D8100E9">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nil"/>
              <w:right w:val="single" w:color="auto" w:sz="4" w:space="0"/>
            </w:tcBorders>
            <w:noWrap w:val="0"/>
            <w:vAlign w:val="center"/>
          </w:tcPr>
          <w:p w14:paraId="056CAB9B">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7A729F48">
        <w:tblPrEx>
          <w:tblCellMar>
            <w:top w:w="0" w:type="dxa"/>
            <w:left w:w="108" w:type="dxa"/>
            <w:bottom w:w="0" w:type="dxa"/>
            <w:right w:w="108" w:type="dxa"/>
          </w:tblCellMar>
        </w:tblPrEx>
        <w:trPr>
          <w:trHeight w:val="645" w:hRule="atLeast"/>
          <w:jc w:val="center"/>
        </w:trPr>
        <w:tc>
          <w:tcPr>
            <w:tcW w:w="2897" w:type="dxa"/>
            <w:tcBorders>
              <w:top w:val="single" w:color="auto" w:sz="4" w:space="0"/>
              <w:left w:val="single" w:color="auto" w:sz="4" w:space="0"/>
              <w:bottom w:val="single" w:color="auto" w:sz="4" w:space="0"/>
              <w:right w:val="single" w:color="auto" w:sz="4" w:space="0"/>
            </w:tcBorders>
            <w:noWrap w:val="0"/>
            <w:vAlign w:val="center"/>
          </w:tcPr>
          <w:p w14:paraId="0A480E39">
            <w:pPr>
              <w:widowControl/>
              <w:spacing w:line="360" w:lineRule="exact"/>
              <w:jc w:val="center"/>
              <w:rPr>
                <w:rFonts w:hint="eastAsia" w:ascii="仿宋" w:hAnsi="仿宋" w:eastAsia="仿宋" w:cs="仿宋"/>
                <w:color w:val="auto"/>
                <w:kern w:val="0"/>
                <w:sz w:val="22"/>
                <w:szCs w:val="22"/>
              </w:rPr>
            </w:pPr>
          </w:p>
        </w:tc>
        <w:tc>
          <w:tcPr>
            <w:tcW w:w="946" w:type="dxa"/>
            <w:tcBorders>
              <w:top w:val="single" w:color="auto" w:sz="4" w:space="0"/>
              <w:left w:val="nil"/>
              <w:bottom w:val="single" w:color="auto" w:sz="4" w:space="0"/>
              <w:right w:val="single" w:color="auto" w:sz="4" w:space="0"/>
            </w:tcBorders>
            <w:noWrap w:val="0"/>
            <w:vAlign w:val="center"/>
          </w:tcPr>
          <w:p w14:paraId="25A7594A">
            <w:pPr>
              <w:widowControl/>
              <w:spacing w:line="360" w:lineRule="exact"/>
              <w:jc w:val="center"/>
              <w:rPr>
                <w:rFonts w:hint="eastAsia" w:ascii="仿宋" w:hAnsi="仿宋" w:eastAsia="仿宋" w:cs="仿宋"/>
                <w:color w:val="auto"/>
                <w:kern w:val="0"/>
                <w:sz w:val="22"/>
                <w:szCs w:val="22"/>
              </w:rPr>
            </w:pPr>
          </w:p>
        </w:tc>
        <w:tc>
          <w:tcPr>
            <w:tcW w:w="1546" w:type="dxa"/>
            <w:tcBorders>
              <w:top w:val="single" w:color="auto" w:sz="4" w:space="0"/>
              <w:left w:val="nil"/>
              <w:bottom w:val="single" w:color="auto" w:sz="4" w:space="0"/>
              <w:right w:val="single" w:color="auto" w:sz="4" w:space="0"/>
            </w:tcBorders>
            <w:noWrap w:val="0"/>
            <w:vAlign w:val="center"/>
          </w:tcPr>
          <w:p w14:paraId="4C89F566">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single" w:color="auto" w:sz="4" w:space="0"/>
              <w:left w:val="nil"/>
              <w:bottom w:val="single" w:color="auto" w:sz="4" w:space="0"/>
              <w:right w:val="single" w:color="auto" w:sz="4" w:space="0"/>
            </w:tcBorders>
            <w:noWrap w:val="0"/>
            <w:vAlign w:val="center"/>
          </w:tcPr>
          <w:p w14:paraId="3B435EEB">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single" w:color="auto" w:sz="4" w:space="0"/>
              <w:left w:val="nil"/>
              <w:bottom w:val="single" w:color="auto" w:sz="4" w:space="0"/>
              <w:right w:val="single" w:color="auto" w:sz="4" w:space="0"/>
            </w:tcBorders>
            <w:noWrap w:val="0"/>
            <w:vAlign w:val="center"/>
          </w:tcPr>
          <w:p w14:paraId="1D0E4149">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107A5487">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7A324F92">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74934352">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5C7C3D72">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0508D90A">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7E7F408B">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3B73B0C1">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6E79F0DE">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0612AE89">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6B490DFC">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21427EF4">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64857B55">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23709A8A">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01E0B068">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404AEBFB">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0BF2D4AA">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3B96BFD1">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24DFA48C">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3038639E">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1B35FBF9">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2A908C4B">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19399CDE">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203700A6">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4AE0DACC">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422A3810">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24FBFD35">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09BA4EF8">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2D2D1F84">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3C2DE8B4">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73C51B60">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1CA8A1F2">
        <w:tblPrEx>
          <w:tblCellMar>
            <w:top w:w="0" w:type="dxa"/>
            <w:left w:w="108" w:type="dxa"/>
            <w:bottom w:w="0" w:type="dxa"/>
            <w:right w:w="108" w:type="dxa"/>
          </w:tblCellMar>
        </w:tblPrEx>
        <w:trPr>
          <w:trHeight w:val="645" w:hRule="atLeast"/>
          <w:jc w:val="center"/>
        </w:trPr>
        <w:tc>
          <w:tcPr>
            <w:tcW w:w="3843" w:type="dxa"/>
            <w:gridSpan w:val="2"/>
            <w:tcBorders>
              <w:top w:val="single" w:color="auto" w:sz="4" w:space="0"/>
              <w:left w:val="single" w:color="auto" w:sz="4" w:space="0"/>
              <w:bottom w:val="single" w:color="auto" w:sz="4" w:space="0"/>
              <w:right w:val="single" w:color="auto" w:sz="4" w:space="0"/>
            </w:tcBorders>
            <w:noWrap w:val="0"/>
            <w:vAlign w:val="center"/>
          </w:tcPr>
          <w:p w14:paraId="149B1A40">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结论</w:t>
            </w:r>
          </w:p>
        </w:tc>
        <w:tc>
          <w:tcPr>
            <w:tcW w:w="1546" w:type="dxa"/>
            <w:tcBorders>
              <w:top w:val="nil"/>
              <w:left w:val="nil"/>
              <w:bottom w:val="single" w:color="auto" w:sz="4" w:space="0"/>
              <w:right w:val="single" w:color="auto" w:sz="4" w:space="0"/>
            </w:tcBorders>
            <w:noWrap w:val="0"/>
            <w:vAlign w:val="center"/>
          </w:tcPr>
          <w:p w14:paraId="7D57A0CE">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3154DE98">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07EA4839">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52BD9AE1">
        <w:tblPrEx>
          <w:tblCellMar>
            <w:top w:w="0" w:type="dxa"/>
            <w:left w:w="108" w:type="dxa"/>
            <w:bottom w:w="0" w:type="dxa"/>
            <w:right w:w="108" w:type="dxa"/>
          </w:tblCellMar>
        </w:tblPrEx>
        <w:trPr>
          <w:trHeight w:val="528" w:hRule="atLeast"/>
          <w:jc w:val="center"/>
        </w:trPr>
        <w:tc>
          <w:tcPr>
            <w:tcW w:w="2897" w:type="dxa"/>
            <w:tcBorders>
              <w:top w:val="nil"/>
              <w:left w:val="nil"/>
              <w:bottom w:val="nil"/>
              <w:right w:val="nil"/>
            </w:tcBorders>
            <w:noWrap w:val="0"/>
            <w:vAlign w:val="center"/>
          </w:tcPr>
          <w:p w14:paraId="2CB3453C">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nil"/>
              <w:right w:val="nil"/>
            </w:tcBorders>
            <w:noWrap w:val="0"/>
            <w:vAlign w:val="center"/>
          </w:tcPr>
          <w:p w14:paraId="078B9DF0">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nil"/>
              <w:right w:val="nil"/>
            </w:tcBorders>
            <w:noWrap w:val="0"/>
            <w:vAlign w:val="center"/>
          </w:tcPr>
          <w:p w14:paraId="00DF2F1E">
            <w:pPr>
              <w:widowControl/>
              <w:spacing w:line="360" w:lineRule="exact"/>
              <w:jc w:val="center"/>
              <w:rPr>
                <w:rFonts w:hint="eastAsia" w:ascii="仿宋" w:hAnsi="仿宋" w:eastAsia="仿宋" w:cs="仿宋"/>
                <w:color w:val="auto"/>
                <w:kern w:val="0"/>
                <w:sz w:val="20"/>
                <w:szCs w:val="20"/>
              </w:rPr>
            </w:pPr>
          </w:p>
        </w:tc>
        <w:tc>
          <w:tcPr>
            <w:tcW w:w="1893" w:type="dxa"/>
            <w:tcBorders>
              <w:top w:val="nil"/>
              <w:left w:val="nil"/>
              <w:bottom w:val="nil"/>
              <w:right w:val="nil"/>
            </w:tcBorders>
            <w:noWrap w:val="0"/>
            <w:vAlign w:val="center"/>
          </w:tcPr>
          <w:p w14:paraId="42D96ACD">
            <w:pPr>
              <w:widowControl/>
              <w:spacing w:line="360" w:lineRule="exact"/>
              <w:jc w:val="left"/>
              <w:rPr>
                <w:rFonts w:hint="eastAsia" w:ascii="仿宋" w:hAnsi="仿宋" w:eastAsia="仿宋" w:cs="仿宋"/>
                <w:color w:val="auto"/>
                <w:kern w:val="0"/>
                <w:sz w:val="20"/>
                <w:szCs w:val="20"/>
              </w:rPr>
            </w:pPr>
          </w:p>
        </w:tc>
        <w:tc>
          <w:tcPr>
            <w:tcW w:w="1658" w:type="dxa"/>
            <w:tcBorders>
              <w:top w:val="nil"/>
              <w:left w:val="nil"/>
              <w:bottom w:val="nil"/>
              <w:right w:val="nil"/>
            </w:tcBorders>
            <w:noWrap w:val="0"/>
            <w:vAlign w:val="center"/>
          </w:tcPr>
          <w:p w14:paraId="702D6FF2">
            <w:pPr>
              <w:widowControl/>
              <w:spacing w:line="360" w:lineRule="exact"/>
              <w:jc w:val="left"/>
              <w:rPr>
                <w:rFonts w:hint="eastAsia" w:ascii="仿宋" w:hAnsi="仿宋" w:eastAsia="仿宋" w:cs="仿宋"/>
                <w:color w:val="auto"/>
                <w:kern w:val="0"/>
                <w:sz w:val="22"/>
                <w:szCs w:val="22"/>
              </w:rPr>
            </w:pPr>
          </w:p>
        </w:tc>
      </w:tr>
    </w:tbl>
    <w:p w14:paraId="7EE92F1A">
      <w:pPr>
        <w:spacing w:line="44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bookmarkEnd w:id="920"/>
      <w:bookmarkEnd w:id="921"/>
      <w:r>
        <w:rPr>
          <w:rFonts w:hint="eastAsia" w:ascii="仿宋" w:hAnsi="仿宋" w:eastAsia="仿宋" w:cs="仿宋"/>
          <w:b/>
          <w:color w:val="auto"/>
          <w:sz w:val="28"/>
          <w:szCs w:val="28"/>
        </w:rPr>
        <w:t>综合评分表</w:t>
      </w:r>
    </w:p>
    <w:p w14:paraId="4DAF071B">
      <w:pPr>
        <w:spacing w:line="440" w:lineRule="exact"/>
        <w:ind w:left="1124" w:hanging="1124" w:hangingChars="400"/>
        <w:jc w:val="both"/>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标项一：叶城县2025年依提木孔镇核桃蛀果害虫绿色防控项目（飞机防治服务采购）</w:t>
      </w:r>
    </w:p>
    <w:tbl>
      <w:tblPr>
        <w:tblStyle w:val="107"/>
        <w:tblW w:w="5024" w:type="pct"/>
        <w:tblInd w:w="0" w:type="dxa"/>
        <w:tblLayout w:type="autofit"/>
        <w:tblCellMar>
          <w:top w:w="0" w:type="dxa"/>
          <w:left w:w="0" w:type="dxa"/>
          <w:bottom w:w="0" w:type="dxa"/>
          <w:right w:w="0" w:type="dxa"/>
        </w:tblCellMar>
      </w:tblPr>
      <w:tblGrid>
        <w:gridCol w:w="887"/>
        <w:gridCol w:w="894"/>
        <w:gridCol w:w="760"/>
        <w:gridCol w:w="7276"/>
      </w:tblGrid>
      <w:tr w14:paraId="767014AE">
        <w:tblPrEx>
          <w:tblCellMar>
            <w:top w:w="0" w:type="dxa"/>
            <w:left w:w="0" w:type="dxa"/>
            <w:bottom w:w="0" w:type="dxa"/>
            <w:right w:w="0" w:type="dxa"/>
          </w:tblCellMar>
        </w:tblPrEx>
        <w:trPr>
          <w:trHeight w:val="792" w:hRule="exact"/>
        </w:trPr>
        <w:tc>
          <w:tcPr>
            <w:tcW w:w="907" w:type="pct"/>
            <w:gridSpan w:val="2"/>
            <w:tcBorders>
              <w:top w:val="single" w:color="000000" w:sz="4" w:space="0"/>
              <w:left w:val="single" w:color="000000" w:sz="4" w:space="0"/>
              <w:bottom w:val="single" w:color="000000" w:sz="4" w:space="0"/>
              <w:right w:val="single" w:color="000000" w:sz="4" w:space="0"/>
            </w:tcBorders>
          </w:tcPr>
          <w:p w14:paraId="77DAC534">
            <w:pPr>
              <w:jc w:val="center"/>
              <w:rPr>
                <w:rFonts w:cs="宋体" w:asciiTheme="minorEastAsia" w:hAnsiTheme="minorEastAsia" w:eastAsiaTheme="minorEastAsia"/>
                <w:color w:val="auto"/>
                <w:spacing w:val="-1"/>
                <w:szCs w:val="21"/>
                <w:highlight w:val="none"/>
                <w:lang w:eastAsia="en-US"/>
              </w:rPr>
            </w:pPr>
          </w:p>
          <w:p w14:paraId="71CBB2D6">
            <w:pPr>
              <w:jc w:val="center"/>
              <w:rPr>
                <w:rFonts w:cs="宋体" w:asciiTheme="minorEastAsia" w:hAnsiTheme="minorEastAsia" w:eastAsiaTheme="minorEastAsia"/>
                <w:color w:val="auto"/>
                <w:szCs w:val="21"/>
                <w:highlight w:val="none"/>
                <w:lang w:eastAsia="en-US"/>
              </w:rPr>
            </w:pPr>
            <w:r>
              <w:rPr>
                <w:rFonts w:cs="宋体" w:asciiTheme="minorEastAsia" w:hAnsiTheme="minorEastAsia" w:eastAsiaTheme="minorEastAsia"/>
                <w:color w:val="auto"/>
                <w:spacing w:val="-1"/>
                <w:szCs w:val="21"/>
                <w:highlight w:val="none"/>
                <w:lang w:eastAsia="en-US"/>
              </w:rPr>
              <w:t>评审项目</w:t>
            </w:r>
          </w:p>
        </w:tc>
        <w:tc>
          <w:tcPr>
            <w:tcW w:w="387" w:type="pct"/>
            <w:tcBorders>
              <w:top w:val="single" w:color="000000" w:sz="4" w:space="0"/>
              <w:left w:val="single" w:color="000000" w:sz="4" w:space="0"/>
              <w:bottom w:val="single" w:color="000000" w:sz="4" w:space="0"/>
              <w:right w:val="single" w:color="000000" w:sz="4" w:space="0"/>
            </w:tcBorders>
          </w:tcPr>
          <w:p w14:paraId="68A3D365">
            <w:pPr>
              <w:jc w:val="center"/>
              <w:rPr>
                <w:rFonts w:cs="宋体" w:asciiTheme="minorEastAsia" w:hAnsiTheme="minorEastAsia" w:eastAsiaTheme="minorEastAsia"/>
                <w:color w:val="auto"/>
                <w:szCs w:val="21"/>
                <w:highlight w:val="none"/>
                <w:lang w:eastAsia="en-US"/>
              </w:rPr>
            </w:pPr>
          </w:p>
          <w:p w14:paraId="38BD586B">
            <w:pPr>
              <w:jc w:val="center"/>
              <w:rPr>
                <w:rFonts w:cs="宋体" w:asciiTheme="minorEastAsia" w:hAnsiTheme="minorEastAsia" w:eastAsiaTheme="minorEastAsia"/>
                <w:color w:val="auto"/>
                <w:szCs w:val="21"/>
                <w:highlight w:val="none"/>
                <w:lang w:eastAsia="en-US"/>
              </w:rPr>
            </w:pPr>
            <w:r>
              <w:rPr>
                <w:rFonts w:cs="宋体" w:asciiTheme="minorEastAsia" w:hAnsiTheme="minorEastAsia" w:eastAsiaTheme="minorEastAsia"/>
                <w:color w:val="auto"/>
                <w:szCs w:val="21"/>
                <w:highlight w:val="none"/>
                <w:lang w:eastAsia="en-US"/>
              </w:rPr>
              <w:t>分数</w:t>
            </w:r>
          </w:p>
        </w:tc>
        <w:tc>
          <w:tcPr>
            <w:tcW w:w="3705" w:type="pct"/>
            <w:tcBorders>
              <w:top w:val="single" w:color="000000" w:sz="4" w:space="0"/>
              <w:left w:val="single" w:color="000000" w:sz="4" w:space="0"/>
              <w:bottom w:val="single" w:color="000000" w:sz="4" w:space="0"/>
              <w:right w:val="single" w:color="000000" w:sz="4" w:space="0"/>
            </w:tcBorders>
          </w:tcPr>
          <w:p w14:paraId="4F8AC8CD">
            <w:pPr>
              <w:jc w:val="center"/>
              <w:rPr>
                <w:rFonts w:cs="宋体" w:asciiTheme="minorEastAsia" w:hAnsiTheme="minorEastAsia" w:eastAsiaTheme="minorEastAsia"/>
                <w:color w:val="auto"/>
                <w:spacing w:val="-1"/>
                <w:szCs w:val="21"/>
                <w:highlight w:val="none"/>
                <w:lang w:eastAsia="en-US"/>
              </w:rPr>
            </w:pPr>
          </w:p>
          <w:p w14:paraId="1F46BADA">
            <w:pPr>
              <w:jc w:val="center"/>
              <w:rPr>
                <w:rFonts w:cs="宋体" w:asciiTheme="minorEastAsia" w:hAnsiTheme="minorEastAsia" w:eastAsiaTheme="minorEastAsia"/>
                <w:color w:val="auto"/>
                <w:szCs w:val="21"/>
                <w:highlight w:val="none"/>
                <w:lang w:eastAsia="en-US"/>
              </w:rPr>
            </w:pPr>
            <w:r>
              <w:rPr>
                <w:rFonts w:cs="宋体" w:asciiTheme="minorEastAsia" w:hAnsiTheme="minorEastAsia" w:eastAsiaTheme="minorEastAsia"/>
                <w:color w:val="auto"/>
                <w:spacing w:val="-1"/>
                <w:szCs w:val="21"/>
                <w:highlight w:val="none"/>
                <w:lang w:eastAsia="en-US"/>
              </w:rPr>
              <w:t>评审要素</w:t>
            </w:r>
          </w:p>
        </w:tc>
      </w:tr>
      <w:tr w14:paraId="0585977B">
        <w:tblPrEx>
          <w:tblCellMar>
            <w:top w:w="0" w:type="dxa"/>
            <w:left w:w="0" w:type="dxa"/>
            <w:bottom w:w="0" w:type="dxa"/>
            <w:right w:w="0" w:type="dxa"/>
          </w:tblCellMar>
        </w:tblPrEx>
        <w:trPr>
          <w:trHeight w:val="1540" w:hRule="atLeast"/>
        </w:trPr>
        <w:tc>
          <w:tcPr>
            <w:tcW w:w="452" w:type="pct"/>
            <w:tcBorders>
              <w:top w:val="single" w:color="000000" w:sz="4" w:space="0"/>
              <w:left w:val="single" w:color="000000" w:sz="4" w:space="0"/>
              <w:right w:val="single" w:color="000000" w:sz="4" w:space="0"/>
            </w:tcBorders>
            <w:vAlign w:val="center"/>
          </w:tcPr>
          <w:p w14:paraId="65FD9120">
            <w:pPr>
              <w:spacing w:line="400" w:lineRule="exact"/>
              <w:jc w:val="center"/>
              <w:rPr>
                <w:rFonts w:cs="宋体" w:asciiTheme="minorEastAsia" w:hAnsiTheme="minorEastAsia" w:eastAsiaTheme="minorEastAsia"/>
                <w:color w:val="auto"/>
                <w:szCs w:val="21"/>
                <w:highlight w:val="none"/>
                <w:lang w:eastAsia="en-US"/>
              </w:rPr>
            </w:pPr>
            <w:r>
              <w:rPr>
                <w:rFonts w:cs="宋体" w:asciiTheme="minorEastAsia" w:hAnsiTheme="minorEastAsia" w:eastAsiaTheme="minorEastAsia"/>
                <w:color w:val="auto"/>
                <w:spacing w:val="-1"/>
                <w:szCs w:val="21"/>
                <w:highlight w:val="none"/>
                <w:lang w:eastAsia="en-US"/>
              </w:rPr>
              <w:t>价格因素</w:t>
            </w:r>
          </w:p>
        </w:tc>
        <w:tc>
          <w:tcPr>
            <w:tcW w:w="454" w:type="pct"/>
            <w:tcBorders>
              <w:top w:val="single" w:color="000000" w:sz="4" w:space="0"/>
              <w:left w:val="single" w:color="000000" w:sz="4" w:space="0"/>
              <w:right w:val="single" w:color="000000" w:sz="4" w:space="0"/>
            </w:tcBorders>
            <w:vAlign w:val="center"/>
          </w:tcPr>
          <w:p w14:paraId="1B7C99AD">
            <w:pPr>
              <w:spacing w:line="400" w:lineRule="exact"/>
              <w:jc w:val="center"/>
              <w:rPr>
                <w:rFonts w:cs="宋体" w:asciiTheme="minorEastAsia" w:hAnsiTheme="minorEastAsia" w:eastAsiaTheme="minorEastAsia"/>
                <w:color w:val="auto"/>
                <w:spacing w:val="-82"/>
                <w:szCs w:val="21"/>
                <w:highlight w:val="none"/>
                <w:lang w:eastAsia="en-US"/>
              </w:rPr>
            </w:pPr>
            <w:r>
              <w:rPr>
                <w:rFonts w:cs="宋体" w:asciiTheme="minorEastAsia" w:hAnsiTheme="minorEastAsia" w:eastAsiaTheme="minorEastAsia"/>
                <w:color w:val="auto"/>
                <w:szCs w:val="21"/>
                <w:highlight w:val="none"/>
                <w:lang w:eastAsia="en-US"/>
              </w:rPr>
              <w:t>投</w:t>
            </w:r>
            <w:r>
              <w:rPr>
                <w:rFonts w:cs="宋体" w:asciiTheme="minorEastAsia" w:hAnsiTheme="minorEastAsia" w:eastAsiaTheme="minorEastAsia"/>
                <w:color w:val="auto"/>
                <w:spacing w:val="-82"/>
                <w:szCs w:val="21"/>
                <w:highlight w:val="none"/>
                <w:lang w:eastAsia="en-US"/>
              </w:rPr>
              <w:t xml:space="preserve"> </w:t>
            </w:r>
            <w:r>
              <w:rPr>
                <w:rFonts w:cs="宋体" w:asciiTheme="minorEastAsia" w:hAnsiTheme="minorEastAsia" w:eastAsiaTheme="minorEastAsia"/>
                <w:color w:val="auto"/>
                <w:szCs w:val="21"/>
                <w:highlight w:val="none"/>
                <w:lang w:eastAsia="en-US"/>
              </w:rPr>
              <w:t>标</w:t>
            </w:r>
          </w:p>
          <w:p w14:paraId="2C3F4D0A">
            <w:pPr>
              <w:spacing w:line="400" w:lineRule="exact"/>
              <w:ind w:left="131"/>
              <w:jc w:val="center"/>
              <w:rPr>
                <w:rFonts w:cs="宋体" w:asciiTheme="minorEastAsia" w:hAnsiTheme="minorEastAsia" w:eastAsiaTheme="minorEastAsia"/>
                <w:color w:val="auto"/>
                <w:szCs w:val="21"/>
                <w:highlight w:val="none"/>
                <w:lang w:eastAsia="en-US"/>
              </w:rPr>
            </w:pPr>
            <w:r>
              <w:rPr>
                <w:rFonts w:cs="宋体" w:asciiTheme="minorEastAsia" w:hAnsiTheme="minorEastAsia" w:eastAsiaTheme="minorEastAsia"/>
                <w:color w:val="auto"/>
                <w:spacing w:val="-1"/>
                <w:szCs w:val="21"/>
                <w:highlight w:val="none"/>
                <w:lang w:eastAsia="en-US"/>
              </w:rPr>
              <w:t>报价</w:t>
            </w:r>
          </w:p>
        </w:tc>
        <w:tc>
          <w:tcPr>
            <w:tcW w:w="387" w:type="pct"/>
            <w:tcBorders>
              <w:top w:val="single" w:color="000000" w:sz="4" w:space="0"/>
              <w:left w:val="single" w:color="000000" w:sz="4" w:space="0"/>
              <w:right w:val="single" w:color="000000" w:sz="4" w:space="0"/>
            </w:tcBorders>
            <w:vAlign w:val="center"/>
          </w:tcPr>
          <w:p w14:paraId="3A7FDA45">
            <w:pPr>
              <w:spacing w:line="400" w:lineRule="exact"/>
              <w:ind w:left="103"/>
              <w:jc w:val="center"/>
              <w:rPr>
                <w:rFonts w:cs="宋体" w:asciiTheme="minorEastAsia" w:hAnsiTheme="minorEastAsia" w:eastAsiaTheme="minorEastAsia"/>
                <w:color w:val="auto"/>
                <w:szCs w:val="21"/>
                <w:highlight w:val="none"/>
                <w:lang w:eastAsia="en-US"/>
              </w:rPr>
            </w:pPr>
            <w:r>
              <w:rPr>
                <w:rFonts w:hint="eastAsia" w:cs="宋体" w:asciiTheme="minorEastAsia" w:hAnsiTheme="minorEastAsia" w:eastAsiaTheme="minorEastAsia"/>
                <w:color w:val="auto"/>
                <w:spacing w:val="-2"/>
                <w:szCs w:val="21"/>
                <w:highlight w:val="none"/>
                <w:lang w:eastAsia="en-US"/>
              </w:rPr>
              <w:t>10</w:t>
            </w:r>
            <w:r>
              <w:rPr>
                <w:rFonts w:cs="宋体" w:asciiTheme="minorEastAsia" w:hAnsiTheme="minorEastAsia" w:eastAsiaTheme="minorEastAsia"/>
                <w:color w:val="auto"/>
                <w:szCs w:val="21"/>
                <w:highlight w:val="none"/>
                <w:lang w:eastAsia="en-US"/>
              </w:rPr>
              <w:t>分</w:t>
            </w:r>
          </w:p>
        </w:tc>
        <w:tc>
          <w:tcPr>
            <w:tcW w:w="3705" w:type="pct"/>
            <w:tcBorders>
              <w:top w:val="single" w:color="000000" w:sz="4" w:space="0"/>
              <w:left w:val="single" w:color="000000" w:sz="4" w:space="0"/>
              <w:right w:val="single" w:color="000000" w:sz="4" w:space="0"/>
            </w:tcBorders>
            <w:vAlign w:val="center"/>
          </w:tcPr>
          <w:p w14:paraId="4D3C658E">
            <w:pPr>
              <w:spacing w:line="400" w:lineRule="exact"/>
              <w:rPr>
                <w:rFonts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lang w:eastAsia="zh-CN"/>
              </w:rPr>
              <w:t>综</w:t>
            </w:r>
            <w:r>
              <w:rPr>
                <w:rFonts w:cs="宋体" w:asciiTheme="minorEastAsia" w:hAnsiTheme="minorEastAsia" w:eastAsiaTheme="minorEastAsia"/>
                <w:color w:val="auto"/>
                <w:spacing w:val="-3"/>
                <w:szCs w:val="21"/>
                <w:highlight w:val="none"/>
                <w:lang w:eastAsia="zh-CN"/>
              </w:rPr>
              <w:t>合</w:t>
            </w:r>
            <w:r>
              <w:rPr>
                <w:rFonts w:cs="宋体" w:asciiTheme="minorEastAsia" w:hAnsiTheme="minorEastAsia" w:eastAsiaTheme="minorEastAsia"/>
                <w:color w:val="auto"/>
                <w:szCs w:val="21"/>
                <w:highlight w:val="none"/>
                <w:lang w:eastAsia="zh-CN"/>
              </w:rPr>
              <w:t>评分</w:t>
            </w:r>
            <w:r>
              <w:rPr>
                <w:rFonts w:cs="宋体" w:asciiTheme="minorEastAsia" w:hAnsiTheme="minorEastAsia" w:eastAsiaTheme="minorEastAsia"/>
                <w:color w:val="auto"/>
                <w:spacing w:val="-3"/>
                <w:szCs w:val="21"/>
                <w:highlight w:val="none"/>
                <w:lang w:eastAsia="zh-CN"/>
              </w:rPr>
              <w:t>法</w:t>
            </w:r>
            <w:r>
              <w:rPr>
                <w:rFonts w:cs="宋体" w:asciiTheme="minorEastAsia" w:hAnsiTheme="minorEastAsia" w:eastAsiaTheme="minorEastAsia"/>
                <w:color w:val="auto"/>
                <w:szCs w:val="21"/>
                <w:highlight w:val="none"/>
                <w:lang w:eastAsia="zh-CN"/>
              </w:rPr>
              <w:t>中的</w:t>
            </w:r>
            <w:r>
              <w:rPr>
                <w:rFonts w:cs="宋体" w:asciiTheme="minorEastAsia" w:hAnsiTheme="minorEastAsia" w:eastAsiaTheme="minorEastAsia"/>
                <w:color w:val="auto"/>
                <w:spacing w:val="-3"/>
                <w:szCs w:val="21"/>
                <w:highlight w:val="none"/>
                <w:lang w:eastAsia="zh-CN"/>
              </w:rPr>
              <w:t>价</w:t>
            </w:r>
            <w:r>
              <w:rPr>
                <w:rFonts w:cs="宋体" w:asciiTheme="minorEastAsia" w:hAnsiTheme="minorEastAsia" w:eastAsiaTheme="minorEastAsia"/>
                <w:color w:val="auto"/>
                <w:szCs w:val="21"/>
                <w:highlight w:val="none"/>
                <w:lang w:eastAsia="zh-CN"/>
              </w:rPr>
              <w:t>格分</w:t>
            </w:r>
            <w:r>
              <w:rPr>
                <w:rFonts w:cs="宋体" w:asciiTheme="minorEastAsia" w:hAnsiTheme="minorEastAsia" w:eastAsiaTheme="minorEastAsia"/>
                <w:color w:val="auto"/>
                <w:spacing w:val="-3"/>
                <w:szCs w:val="21"/>
                <w:highlight w:val="none"/>
                <w:lang w:eastAsia="zh-CN"/>
              </w:rPr>
              <w:t>统</w:t>
            </w:r>
            <w:r>
              <w:rPr>
                <w:rFonts w:cs="宋体" w:asciiTheme="minorEastAsia" w:hAnsiTheme="minorEastAsia" w:eastAsiaTheme="minorEastAsia"/>
                <w:color w:val="auto"/>
                <w:szCs w:val="21"/>
                <w:highlight w:val="none"/>
                <w:lang w:eastAsia="zh-CN"/>
              </w:rPr>
              <w:t>一采</w:t>
            </w:r>
            <w:r>
              <w:rPr>
                <w:rFonts w:cs="宋体" w:asciiTheme="minorEastAsia" w:hAnsiTheme="minorEastAsia" w:eastAsiaTheme="minorEastAsia"/>
                <w:color w:val="auto"/>
                <w:spacing w:val="-3"/>
                <w:szCs w:val="21"/>
                <w:highlight w:val="none"/>
                <w:lang w:eastAsia="zh-CN"/>
              </w:rPr>
              <w:t>用</w:t>
            </w:r>
            <w:r>
              <w:rPr>
                <w:rFonts w:cs="宋体" w:asciiTheme="minorEastAsia" w:hAnsiTheme="minorEastAsia" w:eastAsiaTheme="minorEastAsia"/>
                <w:color w:val="auto"/>
                <w:szCs w:val="21"/>
                <w:highlight w:val="none"/>
                <w:lang w:eastAsia="zh-CN"/>
              </w:rPr>
              <w:t>低价</w:t>
            </w:r>
            <w:r>
              <w:rPr>
                <w:rFonts w:cs="宋体" w:asciiTheme="minorEastAsia" w:hAnsiTheme="minorEastAsia" w:eastAsiaTheme="minorEastAsia"/>
                <w:color w:val="auto"/>
                <w:spacing w:val="-3"/>
                <w:szCs w:val="21"/>
                <w:highlight w:val="none"/>
                <w:lang w:eastAsia="zh-CN"/>
              </w:rPr>
              <w:t>优</w:t>
            </w:r>
            <w:r>
              <w:rPr>
                <w:rFonts w:cs="宋体" w:asciiTheme="minorEastAsia" w:hAnsiTheme="minorEastAsia" w:eastAsiaTheme="minorEastAsia"/>
                <w:color w:val="auto"/>
                <w:szCs w:val="21"/>
                <w:highlight w:val="none"/>
                <w:lang w:eastAsia="zh-CN"/>
              </w:rPr>
              <w:t>先法</w:t>
            </w:r>
            <w:r>
              <w:rPr>
                <w:rFonts w:cs="宋体" w:asciiTheme="minorEastAsia" w:hAnsiTheme="minorEastAsia" w:eastAsiaTheme="minorEastAsia"/>
                <w:color w:val="auto"/>
                <w:spacing w:val="-3"/>
                <w:szCs w:val="21"/>
                <w:highlight w:val="none"/>
                <w:lang w:eastAsia="zh-CN"/>
              </w:rPr>
              <w:t>计</w:t>
            </w:r>
            <w:r>
              <w:rPr>
                <w:rFonts w:cs="宋体" w:asciiTheme="minorEastAsia" w:hAnsiTheme="minorEastAsia" w:eastAsiaTheme="minorEastAsia"/>
                <w:color w:val="auto"/>
                <w:spacing w:val="-4"/>
                <w:szCs w:val="21"/>
                <w:highlight w:val="none"/>
                <w:lang w:eastAsia="zh-CN"/>
              </w:rPr>
              <w:t>算</w:t>
            </w:r>
            <w:r>
              <w:rPr>
                <w:rFonts w:cs="宋体" w:asciiTheme="minorEastAsia" w:hAnsiTheme="minorEastAsia" w:eastAsiaTheme="minorEastAsia"/>
                <w:color w:val="auto"/>
                <w:spacing w:val="-46"/>
                <w:szCs w:val="21"/>
                <w:highlight w:val="none"/>
                <w:lang w:eastAsia="zh-CN"/>
              </w:rPr>
              <w:t>，</w:t>
            </w:r>
            <w:r>
              <w:rPr>
                <w:rFonts w:cs="宋体" w:asciiTheme="minorEastAsia" w:hAnsiTheme="minorEastAsia" w:eastAsiaTheme="minorEastAsia"/>
                <w:color w:val="auto"/>
                <w:szCs w:val="21"/>
                <w:highlight w:val="none"/>
                <w:lang w:eastAsia="zh-CN"/>
              </w:rPr>
              <w:t>即</w:t>
            </w:r>
            <w:r>
              <w:rPr>
                <w:rFonts w:cs="宋体" w:asciiTheme="minorEastAsia" w:hAnsiTheme="minorEastAsia" w:eastAsiaTheme="minorEastAsia"/>
                <w:color w:val="auto"/>
                <w:spacing w:val="-3"/>
                <w:szCs w:val="21"/>
                <w:highlight w:val="none"/>
                <w:lang w:eastAsia="zh-CN"/>
              </w:rPr>
              <w:t>满</w:t>
            </w:r>
            <w:r>
              <w:rPr>
                <w:rFonts w:cs="宋体" w:asciiTheme="minorEastAsia" w:hAnsiTheme="minorEastAsia" w:eastAsiaTheme="minorEastAsia"/>
                <w:color w:val="auto"/>
                <w:szCs w:val="21"/>
                <w:highlight w:val="none"/>
                <w:lang w:eastAsia="zh-CN"/>
              </w:rPr>
              <w:t>足招标</w:t>
            </w:r>
            <w:r>
              <w:rPr>
                <w:rFonts w:cs="宋体" w:asciiTheme="minorEastAsia" w:hAnsiTheme="minorEastAsia" w:eastAsiaTheme="minorEastAsia"/>
                <w:color w:val="auto"/>
                <w:spacing w:val="-1"/>
                <w:szCs w:val="21"/>
                <w:highlight w:val="none"/>
                <w:lang w:eastAsia="zh-CN"/>
              </w:rPr>
              <w:t>文件要求且投标价格最低的投标报价为评标基准价，其价格分为满分。其他投标人的价格分统一按照下列公式计算：</w:t>
            </w:r>
          </w:p>
          <w:p w14:paraId="55270A9C">
            <w:pPr>
              <w:spacing w:line="400" w:lineRule="exact"/>
              <w:ind w:left="104"/>
              <w:rPr>
                <w:rFonts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pacing w:val="-2"/>
                <w:szCs w:val="21"/>
                <w:highlight w:val="none"/>
                <w:lang w:eastAsia="zh-CN"/>
              </w:rPr>
              <w:t>投标报价得分</w:t>
            </w:r>
            <w:r>
              <w:rPr>
                <w:rFonts w:cs="Arial" w:asciiTheme="minorEastAsia" w:hAnsiTheme="minorEastAsia" w:eastAsiaTheme="minorEastAsia"/>
                <w:color w:val="auto"/>
                <w:spacing w:val="-2"/>
                <w:szCs w:val="21"/>
                <w:highlight w:val="none"/>
                <w:lang w:eastAsia="zh-CN"/>
              </w:rPr>
              <w:t>=(</w:t>
            </w:r>
            <w:r>
              <w:rPr>
                <w:rFonts w:cs="宋体" w:asciiTheme="minorEastAsia" w:hAnsiTheme="minorEastAsia" w:eastAsiaTheme="minorEastAsia"/>
                <w:color w:val="auto"/>
                <w:spacing w:val="-2"/>
                <w:szCs w:val="21"/>
                <w:highlight w:val="none"/>
                <w:lang w:eastAsia="zh-CN"/>
              </w:rPr>
              <w:t>评标基准价／投标报价</w:t>
            </w:r>
            <w:r>
              <w:rPr>
                <w:rFonts w:cs="Arial" w:asciiTheme="minorEastAsia" w:hAnsiTheme="minorEastAsia" w:eastAsiaTheme="minorEastAsia"/>
                <w:color w:val="auto"/>
                <w:spacing w:val="-2"/>
                <w:szCs w:val="21"/>
                <w:highlight w:val="none"/>
                <w:lang w:eastAsia="zh-CN"/>
              </w:rPr>
              <w:t>)</w:t>
            </w:r>
            <w:r>
              <w:rPr>
                <w:rFonts w:cs="宋体" w:asciiTheme="minorEastAsia" w:hAnsiTheme="minorEastAsia" w:eastAsiaTheme="minorEastAsia"/>
                <w:color w:val="auto"/>
                <w:spacing w:val="-2"/>
                <w:szCs w:val="21"/>
                <w:highlight w:val="none"/>
                <w:lang w:eastAsia="zh-CN"/>
              </w:rPr>
              <w:t>×</w:t>
            </w:r>
            <w:r>
              <w:rPr>
                <w:rFonts w:cs="Arial" w:asciiTheme="minorEastAsia" w:hAnsiTheme="minorEastAsia" w:eastAsiaTheme="minorEastAsia"/>
                <w:color w:val="auto"/>
                <w:spacing w:val="-2"/>
                <w:szCs w:val="21"/>
                <w:highlight w:val="none"/>
                <w:lang w:eastAsia="zh-CN"/>
              </w:rPr>
              <w:t>1</w:t>
            </w:r>
            <w:r>
              <w:rPr>
                <w:rFonts w:hint="eastAsia" w:cs="Arial" w:asciiTheme="minorEastAsia" w:hAnsiTheme="minorEastAsia" w:eastAsiaTheme="minorEastAsia"/>
                <w:color w:val="auto"/>
                <w:spacing w:val="-2"/>
                <w:szCs w:val="21"/>
                <w:highlight w:val="none"/>
                <w:lang w:val="en-US" w:eastAsia="zh-CN"/>
              </w:rPr>
              <w:t>0</w:t>
            </w:r>
            <w:r>
              <w:rPr>
                <w:rFonts w:cs="Arial" w:asciiTheme="minorEastAsia" w:hAnsiTheme="minorEastAsia" w:eastAsiaTheme="minorEastAsia"/>
                <w:color w:val="auto"/>
                <w:spacing w:val="-2"/>
                <w:szCs w:val="21"/>
                <w:highlight w:val="none"/>
                <w:lang w:eastAsia="zh-CN"/>
              </w:rPr>
              <w:t>%</w:t>
            </w:r>
            <w:r>
              <w:rPr>
                <w:rFonts w:cs="宋体" w:asciiTheme="minorEastAsia" w:hAnsiTheme="minorEastAsia" w:eastAsiaTheme="minorEastAsia"/>
                <w:color w:val="auto"/>
                <w:spacing w:val="-2"/>
                <w:szCs w:val="21"/>
                <w:highlight w:val="none"/>
                <w:lang w:eastAsia="zh-CN"/>
              </w:rPr>
              <w:t>×</w:t>
            </w:r>
            <w:r>
              <w:rPr>
                <w:rFonts w:cs="Arial" w:asciiTheme="minorEastAsia" w:hAnsiTheme="minorEastAsia" w:eastAsiaTheme="minorEastAsia"/>
                <w:color w:val="auto"/>
                <w:spacing w:val="-2"/>
                <w:szCs w:val="21"/>
                <w:highlight w:val="none"/>
                <w:lang w:eastAsia="zh-CN"/>
              </w:rPr>
              <w:t>100</w:t>
            </w:r>
          </w:p>
        </w:tc>
      </w:tr>
      <w:tr w14:paraId="4A6F0E12">
        <w:tblPrEx>
          <w:tblCellMar>
            <w:top w:w="0" w:type="dxa"/>
            <w:left w:w="0" w:type="dxa"/>
            <w:bottom w:w="0" w:type="dxa"/>
            <w:right w:w="0" w:type="dxa"/>
          </w:tblCellMar>
        </w:tblPrEx>
        <w:trPr>
          <w:trHeight w:val="1015" w:hRule="atLeast"/>
        </w:trPr>
        <w:tc>
          <w:tcPr>
            <w:tcW w:w="452" w:type="pct"/>
            <w:vMerge w:val="restart"/>
            <w:tcBorders>
              <w:top w:val="single" w:color="000000" w:sz="4" w:space="0"/>
              <w:left w:val="single" w:color="000000" w:sz="4" w:space="0"/>
              <w:right w:val="single" w:color="000000" w:sz="4" w:space="0"/>
            </w:tcBorders>
            <w:vAlign w:val="center"/>
          </w:tcPr>
          <w:p w14:paraId="0C044A52">
            <w:pPr>
              <w:ind w:left="102"/>
              <w:jc w:val="center"/>
              <w:rPr>
                <w:rFonts w:cs="宋体" w:asciiTheme="minorEastAsia" w:hAnsiTheme="minorEastAsia" w:eastAsiaTheme="minorEastAsia"/>
                <w:color w:val="auto"/>
                <w:szCs w:val="21"/>
                <w:highlight w:val="none"/>
                <w:lang w:eastAsia="en-US"/>
              </w:rPr>
            </w:pPr>
            <w:r>
              <w:rPr>
                <w:rFonts w:cs="宋体" w:asciiTheme="minorEastAsia" w:hAnsiTheme="minorEastAsia" w:eastAsiaTheme="minorEastAsia"/>
                <w:color w:val="auto"/>
                <w:szCs w:val="21"/>
                <w:highlight w:val="none"/>
                <w:lang w:eastAsia="en-US"/>
              </w:rPr>
              <w:t>商</w:t>
            </w:r>
            <w:r>
              <w:rPr>
                <w:rFonts w:cs="宋体" w:asciiTheme="minorEastAsia" w:hAnsiTheme="minorEastAsia" w:eastAsiaTheme="minorEastAsia"/>
                <w:color w:val="auto"/>
                <w:spacing w:val="-82"/>
                <w:szCs w:val="21"/>
                <w:highlight w:val="none"/>
                <w:lang w:eastAsia="en-US"/>
              </w:rPr>
              <w:t xml:space="preserve"> </w:t>
            </w:r>
            <w:r>
              <w:rPr>
                <w:rFonts w:cs="宋体" w:asciiTheme="minorEastAsia" w:hAnsiTheme="minorEastAsia" w:eastAsiaTheme="minorEastAsia"/>
                <w:color w:val="auto"/>
                <w:spacing w:val="26"/>
                <w:szCs w:val="21"/>
                <w:highlight w:val="none"/>
                <w:lang w:eastAsia="en-US"/>
              </w:rPr>
              <w:t>务</w:t>
            </w:r>
            <w:r>
              <w:rPr>
                <w:rFonts w:cs="宋体" w:asciiTheme="minorEastAsia" w:hAnsiTheme="minorEastAsia" w:eastAsiaTheme="minorEastAsia"/>
                <w:color w:val="auto"/>
                <w:szCs w:val="21"/>
                <w:highlight w:val="none"/>
                <w:lang w:eastAsia="en-US"/>
              </w:rPr>
              <w:t>部分</w:t>
            </w:r>
          </w:p>
        </w:tc>
        <w:tc>
          <w:tcPr>
            <w:tcW w:w="454" w:type="pct"/>
            <w:tcBorders>
              <w:top w:val="single" w:color="000000" w:sz="4" w:space="0"/>
              <w:left w:val="single" w:color="000000" w:sz="4" w:space="0"/>
              <w:right w:val="single" w:color="000000" w:sz="4" w:space="0"/>
            </w:tcBorders>
            <w:vAlign w:val="center"/>
          </w:tcPr>
          <w:p w14:paraId="003329D5">
            <w:pPr>
              <w:spacing w:before="155"/>
              <w:ind w:left="103"/>
              <w:jc w:val="center"/>
              <w:rPr>
                <w:rFonts w:cs="宋体" w:asciiTheme="minorEastAsia" w:hAnsiTheme="minorEastAsia" w:eastAsiaTheme="minorEastAsia"/>
                <w:color w:val="auto"/>
                <w:szCs w:val="21"/>
                <w:highlight w:val="none"/>
                <w:lang w:eastAsia="en-US"/>
              </w:rPr>
            </w:pPr>
            <w:r>
              <w:rPr>
                <w:rFonts w:cs="宋体" w:asciiTheme="minorEastAsia" w:hAnsiTheme="minorEastAsia" w:eastAsiaTheme="minorEastAsia"/>
                <w:color w:val="auto"/>
                <w:szCs w:val="21"/>
                <w:highlight w:val="none"/>
                <w:lang w:eastAsia="en-US"/>
              </w:rPr>
              <w:t>同类</w:t>
            </w:r>
            <w:r>
              <w:rPr>
                <w:rFonts w:cs="宋体" w:asciiTheme="minorEastAsia" w:hAnsiTheme="minorEastAsia" w:eastAsiaTheme="minorEastAsia"/>
                <w:color w:val="auto"/>
                <w:spacing w:val="-82"/>
                <w:szCs w:val="21"/>
                <w:highlight w:val="none"/>
                <w:lang w:eastAsia="en-US"/>
              </w:rPr>
              <w:t xml:space="preserve"> </w:t>
            </w:r>
            <w:r>
              <w:rPr>
                <w:rFonts w:cs="宋体" w:asciiTheme="minorEastAsia" w:hAnsiTheme="minorEastAsia" w:eastAsiaTheme="minorEastAsia"/>
                <w:color w:val="auto"/>
                <w:szCs w:val="21"/>
                <w:highlight w:val="none"/>
                <w:lang w:eastAsia="en-US"/>
              </w:rPr>
              <w:t>项</w:t>
            </w:r>
          </w:p>
          <w:p w14:paraId="6BA501A6">
            <w:pPr>
              <w:spacing w:line="400" w:lineRule="exact"/>
              <w:ind w:left="131"/>
              <w:jc w:val="center"/>
              <w:rPr>
                <w:rFonts w:cs="宋体" w:asciiTheme="minorEastAsia" w:hAnsiTheme="minorEastAsia" w:eastAsiaTheme="minorEastAsia"/>
                <w:color w:val="auto"/>
                <w:szCs w:val="21"/>
                <w:highlight w:val="none"/>
                <w:lang w:eastAsia="en-US"/>
              </w:rPr>
            </w:pPr>
            <w:r>
              <w:rPr>
                <w:rFonts w:cs="宋体" w:asciiTheme="minorEastAsia" w:hAnsiTheme="minorEastAsia" w:eastAsiaTheme="minorEastAsia"/>
                <w:color w:val="auto"/>
                <w:spacing w:val="-1"/>
                <w:szCs w:val="21"/>
                <w:highlight w:val="none"/>
                <w:lang w:eastAsia="en-US"/>
              </w:rPr>
              <w:t>目业绩</w:t>
            </w:r>
          </w:p>
        </w:tc>
        <w:tc>
          <w:tcPr>
            <w:tcW w:w="387" w:type="pct"/>
            <w:tcBorders>
              <w:top w:val="single" w:color="000000" w:sz="4" w:space="0"/>
              <w:left w:val="single" w:color="000000" w:sz="4" w:space="0"/>
              <w:bottom w:val="nil"/>
              <w:right w:val="single" w:color="000000" w:sz="4" w:space="0"/>
            </w:tcBorders>
            <w:vAlign w:val="center"/>
          </w:tcPr>
          <w:p w14:paraId="2EB33B3A">
            <w:pPr>
              <w:spacing w:line="400" w:lineRule="exact"/>
              <w:jc w:val="center"/>
              <w:rPr>
                <w:rFonts w:cs="宋体" w:asciiTheme="minorEastAsia" w:hAnsiTheme="minorEastAsia" w:eastAsiaTheme="minorEastAsia"/>
                <w:color w:val="auto"/>
                <w:szCs w:val="21"/>
                <w:highlight w:val="none"/>
                <w:lang w:eastAsia="en-US"/>
              </w:rPr>
            </w:pPr>
            <w:r>
              <w:rPr>
                <w:rFonts w:hint="eastAsia" w:cs="宋体" w:asciiTheme="minorEastAsia" w:hAnsiTheme="minorEastAsia" w:eastAsiaTheme="minorEastAsia"/>
                <w:color w:val="auto"/>
                <w:spacing w:val="-2"/>
                <w:szCs w:val="21"/>
                <w:highlight w:val="none"/>
                <w:lang w:val="en-US" w:eastAsia="zh-CN"/>
              </w:rPr>
              <w:t>5</w:t>
            </w:r>
            <w:r>
              <w:rPr>
                <w:rFonts w:cs="宋体" w:asciiTheme="minorEastAsia" w:hAnsiTheme="minorEastAsia" w:eastAsiaTheme="minorEastAsia"/>
                <w:color w:val="auto"/>
                <w:szCs w:val="21"/>
                <w:highlight w:val="none"/>
                <w:lang w:eastAsia="en-US"/>
              </w:rPr>
              <w:t>分</w:t>
            </w:r>
          </w:p>
        </w:tc>
        <w:tc>
          <w:tcPr>
            <w:tcW w:w="3705" w:type="pct"/>
            <w:tcBorders>
              <w:top w:val="single" w:color="000000" w:sz="4" w:space="0"/>
              <w:left w:val="single" w:color="000000" w:sz="4" w:space="0"/>
              <w:bottom w:val="nil"/>
              <w:right w:val="single" w:color="000000" w:sz="4" w:space="0"/>
            </w:tcBorders>
            <w:vAlign w:val="center"/>
          </w:tcPr>
          <w:p w14:paraId="624B1B0D">
            <w:pPr>
              <w:spacing w:line="400" w:lineRule="exact"/>
              <w:rPr>
                <w:rFonts w:cs="宋体" w:asciiTheme="minorEastAsia" w:hAnsiTheme="minorEastAsia" w:eastAsiaTheme="minorEastAsia"/>
                <w:color w:val="auto"/>
                <w:spacing w:val="-1"/>
                <w:szCs w:val="21"/>
                <w:highlight w:val="none"/>
                <w:lang w:eastAsia="zh-CN"/>
              </w:rPr>
            </w:pPr>
            <w:r>
              <w:rPr>
                <w:rFonts w:cs="宋体" w:asciiTheme="minorEastAsia" w:hAnsiTheme="minorEastAsia" w:eastAsiaTheme="minorEastAsia"/>
                <w:color w:val="auto"/>
                <w:spacing w:val="-1"/>
                <w:szCs w:val="21"/>
                <w:highlight w:val="none"/>
                <w:lang w:eastAsia="zh-CN"/>
              </w:rPr>
              <w:t>自202</w:t>
            </w:r>
            <w:r>
              <w:rPr>
                <w:rFonts w:hint="eastAsia" w:cs="宋体" w:asciiTheme="minorEastAsia" w:hAnsiTheme="minorEastAsia" w:eastAsiaTheme="minorEastAsia"/>
                <w:color w:val="auto"/>
                <w:spacing w:val="-1"/>
                <w:szCs w:val="21"/>
                <w:highlight w:val="none"/>
                <w:lang w:eastAsia="zh-CN"/>
              </w:rPr>
              <w:t>2</w:t>
            </w:r>
            <w:r>
              <w:rPr>
                <w:rFonts w:cs="宋体" w:asciiTheme="minorEastAsia" w:hAnsiTheme="minorEastAsia" w:eastAsiaTheme="minorEastAsia"/>
                <w:color w:val="auto"/>
                <w:spacing w:val="-1"/>
                <w:szCs w:val="21"/>
                <w:highlight w:val="none"/>
                <w:lang w:eastAsia="zh-CN"/>
              </w:rPr>
              <w:t>年1月1日至今（以合同签订日期为准）完成的飞机防治项目</w:t>
            </w:r>
            <w:r>
              <w:rPr>
                <w:rFonts w:hint="eastAsia" w:cs="宋体" w:asciiTheme="minorEastAsia" w:hAnsiTheme="minorEastAsia" w:eastAsiaTheme="minorEastAsia"/>
                <w:color w:val="auto"/>
                <w:spacing w:val="-1"/>
                <w:szCs w:val="21"/>
                <w:highlight w:val="none"/>
                <w:lang w:val="en-US" w:eastAsia="zh-CN"/>
              </w:rPr>
              <w:t>一项得2.5分</w:t>
            </w:r>
            <w:r>
              <w:rPr>
                <w:rFonts w:cs="宋体" w:asciiTheme="minorEastAsia" w:hAnsiTheme="minorEastAsia" w:eastAsiaTheme="minorEastAsia"/>
                <w:color w:val="auto"/>
                <w:spacing w:val="-1"/>
                <w:szCs w:val="21"/>
                <w:highlight w:val="none"/>
                <w:lang w:eastAsia="zh-CN"/>
              </w:rPr>
              <w:t>，</w:t>
            </w:r>
            <w:r>
              <w:rPr>
                <w:rFonts w:hint="eastAsia" w:cs="宋体" w:asciiTheme="minorEastAsia" w:hAnsiTheme="minorEastAsia" w:eastAsiaTheme="minorEastAsia"/>
                <w:color w:val="auto"/>
                <w:spacing w:val="-1"/>
                <w:szCs w:val="21"/>
                <w:highlight w:val="none"/>
                <w:lang w:val="en-US" w:eastAsia="zh-CN"/>
              </w:rPr>
              <w:t>共</w:t>
            </w:r>
            <w:r>
              <w:rPr>
                <w:rFonts w:cs="宋体" w:asciiTheme="minorEastAsia" w:hAnsiTheme="minorEastAsia" w:eastAsiaTheme="minorEastAsia"/>
                <w:color w:val="auto"/>
                <w:spacing w:val="-1"/>
                <w:szCs w:val="21"/>
                <w:highlight w:val="none"/>
                <w:lang w:eastAsia="zh-CN"/>
              </w:rPr>
              <w:t>得</w:t>
            </w:r>
            <w:r>
              <w:rPr>
                <w:rFonts w:hint="eastAsia" w:cs="宋体" w:asciiTheme="minorEastAsia" w:hAnsiTheme="minorEastAsia" w:eastAsiaTheme="minorEastAsia"/>
                <w:color w:val="auto"/>
                <w:spacing w:val="-1"/>
                <w:szCs w:val="21"/>
                <w:highlight w:val="none"/>
                <w:lang w:val="en-US" w:eastAsia="zh-CN"/>
              </w:rPr>
              <w:t>5</w:t>
            </w:r>
            <w:r>
              <w:rPr>
                <w:rFonts w:cs="宋体" w:asciiTheme="minorEastAsia" w:hAnsiTheme="minorEastAsia" w:eastAsiaTheme="minorEastAsia"/>
                <w:color w:val="auto"/>
                <w:spacing w:val="-1"/>
                <w:szCs w:val="21"/>
                <w:highlight w:val="none"/>
                <w:lang w:eastAsia="zh-CN"/>
              </w:rPr>
              <w:t>分，不提供不得分。</w:t>
            </w:r>
          </w:p>
          <w:p w14:paraId="4EC5CE42">
            <w:pPr>
              <w:spacing w:line="400" w:lineRule="exact"/>
              <w:rPr>
                <w:rFonts w:cs="宋体" w:asciiTheme="minorEastAsia" w:hAnsiTheme="minorEastAsia" w:eastAsiaTheme="minorEastAsia"/>
                <w:color w:val="auto"/>
                <w:spacing w:val="-1"/>
                <w:szCs w:val="21"/>
                <w:highlight w:val="none"/>
                <w:lang w:eastAsia="zh-CN"/>
              </w:rPr>
            </w:pPr>
            <w:r>
              <w:rPr>
                <w:rFonts w:cs="宋体" w:asciiTheme="minorEastAsia" w:hAnsiTheme="minorEastAsia" w:eastAsiaTheme="minorEastAsia"/>
                <w:color w:val="auto"/>
                <w:spacing w:val="-1"/>
                <w:szCs w:val="21"/>
                <w:highlight w:val="none"/>
                <w:lang w:eastAsia="zh-CN"/>
              </w:rPr>
              <w:t>注：提供中标通知书、合同扫描件，不提供或提供不全，不得分。</w:t>
            </w:r>
          </w:p>
        </w:tc>
      </w:tr>
      <w:tr w14:paraId="55C81671">
        <w:tblPrEx>
          <w:tblCellMar>
            <w:top w:w="0" w:type="dxa"/>
            <w:left w:w="0" w:type="dxa"/>
            <w:bottom w:w="0" w:type="dxa"/>
            <w:right w:w="0" w:type="dxa"/>
          </w:tblCellMar>
        </w:tblPrEx>
        <w:trPr>
          <w:trHeight w:val="1537" w:hRule="atLeast"/>
        </w:trPr>
        <w:tc>
          <w:tcPr>
            <w:tcW w:w="452" w:type="pct"/>
            <w:vMerge w:val="continue"/>
            <w:tcBorders>
              <w:left w:val="single" w:color="000000" w:sz="4" w:space="0"/>
              <w:bottom w:val="nil"/>
              <w:right w:val="single" w:color="000000" w:sz="4" w:space="0"/>
            </w:tcBorders>
            <w:vAlign w:val="center"/>
          </w:tcPr>
          <w:p w14:paraId="2FF485C9">
            <w:pPr>
              <w:jc w:val="center"/>
              <w:rPr>
                <w:rFonts w:asciiTheme="minorEastAsia" w:hAnsiTheme="minorEastAsia" w:eastAsiaTheme="minorEastAsia" w:cstheme="minorBidi"/>
                <w:color w:val="auto"/>
                <w:szCs w:val="21"/>
                <w:highlight w:val="none"/>
                <w:lang w:eastAsia="zh-CN"/>
              </w:rPr>
            </w:pPr>
          </w:p>
        </w:tc>
        <w:tc>
          <w:tcPr>
            <w:tcW w:w="454" w:type="pct"/>
            <w:tcBorders>
              <w:top w:val="single" w:color="000000" w:sz="4" w:space="0"/>
              <w:left w:val="single" w:color="000000" w:sz="4" w:space="0"/>
              <w:right w:val="single" w:color="000000" w:sz="4" w:space="0"/>
            </w:tcBorders>
            <w:vAlign w:val="center"/>
          </w:tcPr>
          <w:p w14:paraId="4673DD8A">
            <w:pPr>
              <w:spacing w:line="400" w:lineRule="exact"/>
              <w:ind w:left="131"/>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pacing w:val="-1"/>
                <w:szCs w:val="21"/>
                <w:highlight w:val="none"/>
                <w:lang w:val="en-US" w:eastAsia="zh-CN"/>
              </w:rPr>
              <w:t>履约能力</w:t>
            </w:r>
          </w:p>
        </w:tc>
        <w:tc>
          <w:tcPr>
            <w:tcW w:w="387" w:type="pct"/>
            <w:tcBorders>
              <w:top w:val="single" w:color="000000" w:sz="4" w:space="0"/>
              <w:left w:val="single" w:color="000000" w:sz="4" w:space="0"/>
              <w:bottom w:val="nil"/>
              <w:right w:val="single" w:color="000000" w:sz="4" w:space="0"/>
            </w:tcBorders>
            <w:vAlign w:val="center"/>
          </w:tcPr>
          <w:p w14:paraId="4613EA46">
            <w:pPr>
              <w:ind w:left="103"/>
              <w:jc w:val="center"/>
              <w:rPr>
                <w:rFonts w:cs="宋体" w:asciiTheme="minorEastAsia" w:hAnsiTheme="minorEastAsia" w:eastAsiaTheme="minorEastAsia"/>
                <w:color w:val="auto"/>
                <w:szCs w:val="21"/>
                <w:highlight w:val="none"/>
                <w:lang w:eastAsia="en-US"/>
              </w:rPr>
            </w:pPr>
            <w:r>
              <w:rPr>
                <w:rFonts w:hint="eastAsia" w:cs="宋体" w:asciiTheme="minorEastAsia" w:hAnsiTheme="minorEastAsia" w:eastAsiaTheme="minorEastAsia"/>
                <w:color w:val="auto"/>
                <w:spacing w:val="-2"/>
                <w:szCs w:val="21"/>
                <w:highlight w:val="none"/>
                <w:lang w:eastAsia="en-US"/>
              </w:rPr>
              <w:t>20</w:t>
            </w:r>
            <w:r>
              <w:rPr>
                <w:rFonts w:cs="宋体" w:asciiTheme="minorEastAsia" w:hAnsiTheme="minorEastAsia" w:eastAsiaTheme="minorEastAsia"/>
                <w:color w:val="auto"/>
                <w:szCs w:val="21"/>
                <w:highlight w:val="none"/>
                <w:lang w:eastAsia="en-US"/>
              </w:rPr>
              <w:t>分</w:t>
            </w:r>
          </w:p>
        </w:tc>
        <w:tc>
          <w:tcPr>
            <w:tcW w:w="3705" w:type="pct"/>
            <w:tcBorders>
              <w:top w:val="single" w:color="000000" w:sz="4" w:space="0"/>
              <w:left w:val="single" w:color="000000" w:sz="4" w:space="0"/>
              <w:bottom w:val="nil"/>
              <w:right w:val="single" w:color="000000" w:sz="4" w:space="0"/>
            </w:tcBorders>
            <w:vAlign w:val="center"/>
          </w:tcPr>
          <w:p w14:paraId="3F04CFAE">
            <w:pPr>
              <w:spacing w:line="400" w:lineRule="exact"/>
              <w:rPr>
                <w:rFonts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pacing w:val="-1"/>
                <w:szCs w:val="21"/>
                <w:highlight w:val="none"/>
                <w:lang w:eastAsia="zh-CN"/>
              </w:rPr>
              <w:t>通航公司须具有（以国籍登记证中航空器占有人为准）2架以上(包括2架)所属的直升机(挂载的药箱药液重量不小于600kg)，满足在作业区域内两架直升机同时开展飞防作业的能力。</w:t>
            </w:r>
            <w:r>
              <w:rPr>
                <w:rFonts w:hint="eastAsia" w:cs="宋体" w:asciiTheme="minorEastAsia" w:hAnsiTheme="minorEastAsia" w:eastAsiaTheme="minorEastAsia"/>
                <w:color w:val="auto"/>
                <w:spacing w:val="-1"/>
                <w:szCs w:val="21"/>
                <w:highlight w:val="none"/>
                <w:lang w:val="en-US" w:eastAsia="zh-CN"/>
              </w:rPr>
              <w:t>得基础分10分，</w:t>
            </w:r>
            <w:r>
              <w:rPr>
                <w:rFonts w:cs="宋体" w:asciiTheme="minorEastAsia" w:hAnsiTheme="minorEastAsia" w:eastAsiaTheme="minorEastAsia"/>
                <w:color w:val="auto"/>
                <w:szCs w:val="21"/>
                <w:highlight w:val="none"/>
                <w:lang w:eastAsia="zh-CN"/>
              </w:rPr>
              <w:t>每</w:t>
            </w:r>
            <w:r>
              <w:rPr>
                <w:rFonts w:cs="宋体" w:asciiTheme="minorEastAsia" w:hAnsiTheme="minorEastAsia" w:eastAsiaTheme="minorEastAsia"/>
                <w:color w:val="auto"/>
                <w:spacing w:val="-3"/>
                <w:szCs w:val="21"/>
                <w:highlight w:val="none"/>
                <w:lang w:eastAsia="zh-CN"/>
              </w:rPr>
              <w:t>增</w:t>
            </w:r>
            <w:r>
              <w:rPr>
                <w:rFonts w:cs="宋体" w:asciiTheme="minorEastAsia" w:hAnsiTheme="minorEastAsia" w:eastAsiaTheme="minorEastAsia"/>
                <w:color w:val="auto"/>
                <w:szCs w:val="21"/>
                <w:highlight w:val="none"/>
                <w:lang w:eastAsia="zh-CN"/>
              </w:rPr>
              <w:t>加一</w:t>
            </w:r>
            <w:r>
              <w:rPr>
                <w:rFonts w:cs="宋体" w:asciiTheme="minorEastAsia" w:hAnsiTheme="minorEastAsia" w:eastAsiaTheme="minorEastAsia"/>
                <w:color w:val="auto"/>
                <w:spacing w:val="-3"/>
                <w:szCs w:val="21"/>
                <w:highlight w:val="none"/>
                <w:lang w:eastAsia="zh-CN"/>
              </w:rPr>
              <w:t>架</w:t>
            </w:r>
            <w:r>
              <w:rPr>
                <w:rFonts w:hint="eastAsia" w:cs="宋体" w:asciiTheme="minorEastAsia" w:hAnsiTheme="minorEastAsia" w:eastAsiaTheme="minorEastAsia"/>
                <w:color w:val="auto"/>
                <w:spacing w:val="-3"/>
                <w:szCs w:val="21"/>
                <w:highlight w:val="none"/>
                <w:lang w:eastAsia="zh-CN"/>
              </w:rPr>
              <w:t>挂载的药箱药液重量不小于600kg的</w:t>
            </w:r>
            <w:r>
              <w:rPr>
                <w:rFonts w:cs="宋体" w:asciiTheme="minorEastAsia" w:hAnsiTheme="minorEastAsia" w:eastAsiaTheme="minorEastAsia"/>
                <w:color w:val="auto"/>
                <w:spacing w:val="-3"/>
                <w:szCs w:val="21"/>
                <w:highlight w:val="none"/>
                <w:lang w:eastAsia="zh-CN"/>
              </w:rPr>
              <w:t>直</w:t>
            </w:r>
            <w:r>
              <w:rPr>
                <w:rFonts w:cs="宋体" w:asciiTheme="minorEastAsia" w:hAnsiTheme="minorEastAsia" w:eastAsiaTheme="minorEastAsia"/>
                <w:color w:val="auto"/>
                <w:szCs w:val="21"/>
                <w:highlight w:val="none"/>
                <w:lang w:eastAsia="zh-CN"/>
              </w:rPr>
              <w:t>升</w:t>
            </w:r>
            <w:r>
              <w:rPr>
                <w:rFonts w:cs="宋体" w:asciiTheme="minorEastAsia" w:hAnsiTheme="minorEastAsia" w:eastAsiaTheme="minorEastAsia"/>
                <w:color w:val="auto"/>
                <w:spacing w:val="-1"/>
                <w:szCs w:val="21"/>
                <w:highlight w:val="none"/>
                <w:lang w:eastAsia="zh-CN"/>
              </w:rPr>
              <w:t>机</w:t>
            </w:r>
            <w:r>
              <w:rPr>
                <w:rFonts w:cs="宋体" w:asciiTheme="minorEastAsia" w:hAnsiTheme="minorEastAsia" w:eastAsiaTheme="minorEastAsia"/>
                <w:color w:val="auto"/>
                <w:szCs w:val="21"/>
                <w:highlight w:val="none"/>
                <w:lang w:eastAsia="zh-CN"/>
              </w:rPr>
              <w:t>得</w:t>
            </w:r>
            <w:r>
              <w:rPr>
                <w:rFonts w:hint="eastAsia" w:cs="Arial" w:asciiTheme="minorEastAsia" w:hAnsiTheme="minorEastAsia" w:eastAsiaTheme="minorEastAsia"/>
                <w:color w:val="auto"/>
                <w:szCs w:val="21"/>
                <w:highlight w:val="none"/>
                <w:lang w:val="en-US" w:eastAsia="zh-CN"/>
              </w:rPr>
              <w:t>2</w:t>
            </w:r>
            <w:r>
              <w:rPr>
                <w:rFonts w:cs="宋体" w:asciiTheme="minorEastAsia" w:hAnsiTheme="minorEastAsia" w:eastAsiaTheme="minorEastAsia"/>
                <w:color w:val="auto"/>
                <w:spacing w:val="-1"/>
                <w:szCs w:val="21"/>
                <w:highlight w:val="none"/>
                <w:lang w:eastAsia="zh-CN"/>
              </w:rPr>
              <w:t>分，满分</w:t>
            </w:r>
            <w:r>
              <w:rPr>
                <w:rFonts w:hint="eastAsia" w:cs="Arial" w:asciiTheme="minorEastAsia" w:hAnsiTheme="minorEastAsia" w:eastAsiaTheme="minorEastAsia"/>
                <w:color w:val="auto"/>
                <w:spacing w:val="-2"/>
                <w:szCs w:val="21"/>
                <w:highlight w:val="none"/>
                <w:lang w:eastAsia="zh-CN"/>
              </w:rPr>
              <w:t>20</w:t>
            </w:r>
            <w:r>
              <w:rPr>
                <w:rFonts w:cs="宋体" w:asciiTheme="minorEastAsia" w:hAnsiTheme="minorEastAsia" w:eastAsiaTheme="minorEastAsia"/>
                <w:color w:val="auto"/>
                <w:szCs w:val="21"/>
                <w:highlight w:val="none"/>
                <w:lang w:eastAsia="zh-CN"/>
              </w:rPr>
              <w:t>分。</w:t>
            </w:r>
          </w:p>
          <w:p w14:paraId="1B290C59">
            <w:pPr>
              <w:spacing w:line="400" w:lineRule="exact"/>
              <w:rPr>
                <w:rFonts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pacing w:val="1"/>
                <w:szCs w:val="21"/>
                <w:highlight w:val="none"/>
                <w:lang w:eastAsia="zh-CN"/>
              </w:rPr>
              <w:t>提供主管部门颁发的有效的直升机适航证、国籍登记证、电台执照扫描件</w:t>
            </w:r>
            <w:r>
              <w:rPr>
                <w:rFonts w:hint="eastAsia" w:cs="宋体" w:asciiTheme="minorEastAsia" w:hAnsiTheme="minorEastAsia" w:eastAsiaTheme="minorEastAsia"/>
                <w:color w:val="auto"/>
                <w:spacing w:val="1"/>
                <w:szCs w:val="21"/>
                <w:highlight w:val="none"/>
                <w:lang w:val="en-US" w:eastAsia="zh-CN"/>
              </w:rPr>
              <w:t>加盖公章</w:t>
            </w:r>
            <w:r>
              <w:rPr>
                <w:rFonts w:hint="eastAsia" w:cs="宋体" w:asciiTheme="minorEastAsia" w:hAnsiTheme="minorEastAsia" w:eastAsiaTheme="minorEastAsia"/>
                <w:color w:val="auto"/>
                <w:spacing w:val="1"/>
                <w:szCs w:val="21"/>
                <w:highlight w:val="none"/>
                <w:lang w:eastAsia="zh-CN"/>
              </w:rPr>
              <w:t>，并提供民航官网FSOP运行规范管理系统中“通用航空器的批准”页面及“附录：航空器清单”页面截图并加盖公章，否则不得分。</w:t>
            </w:r>
          </w:p>
        </w:tc>
      </w:tr>
      <w:tr w14:paraId="5ACCA4EC">
        <w:tblPrEx>
          <w:tblCellMar>
            <w:top w:w="0" w:type="dxa"/>
            <w:left w:w="0" w:type="dxa"/>
            <w:bottom w:w="0" w:type="dxa"/>
            <w:right w:w="0" w:type="dxa"/>
          </w:tblCellMar>
        </w:tblPrEx>
        <w:trPr>
          <w:trHeight w:val="1126" w:hRule="atLeast"/>
        </w:trPr>
        <w:tc>
          <w:tcPr>
            <w:tcW w:w="452" w:type="pct"/>
            <w:vMerge w:val="restart"/>
            <w:tcBorders>
              <w:top w:val="single" w:color="000000" w:sz="4" w:space="0"/>
              <w:left w:val="single" w:color="000000" w:sz="4" w:space="0"/>
              <w:right w:val="single" w:color="000000" w:sz="4" w:space="0"/>
            </w:tcBorders>
            <w:vAlign w:val="center"/>
          </w:tcPr>
          <w:p w14:paraId="68BD2F9C">
            <w:pPr>
              <w:ind w:left="102"/>
              <w:jc w:val="center"/>
              <w:rPr>
                <w:rFonts w:cs="宋体" w:asciiTheme="minorEastAsia" w:hAnsiTheme="minorEastAsia" w:eastAsiaTheme="minorEastAsia"/>
                <w:color w:val="auto"/>
                <w:szCs w:val="21"/>
                <w:highlight w:val="none"/>
                <w:lang w:eastAsia="en-US"/>
              </w:rPr>
            </w:pPr>
            <w:r>
              <w:rPr>
                <w:rFonts w:cs="宋体" w:asciiTheme="minorEastAsia" w:hAnsiTheme="minorEastAsia" w:eastAsiaTheme="minorEastAsia"/>
                <w:color w:val="auto"/>
                <w:szCs w:val="21"/>
                <w:highlight w:val="none"/>
                <w:lang w:eastAsia="en-US"/>
              </w:rPr>
              <w:t>技</w:t>
            </w:r>
            <w:r>
              <w:rPr>
                <w:rFonts w:cs="宋体" w:asciiTheme="minorEastAsia" w:hAnsiTheme="minorEastAsia" w:eastAsiaTheme="minorEastAsia"/>
                <w:color w:val="auto"/>
                <w:spacing w:val="26"/>
                <w:szCs w:val="21"/>
                <w:highlight w:val="none"/>
                <w:lang w:eastAsia="en-US"/>
              </w:rPr>
              <w:t>术</w:t>
            </w:r>
            <w:r>
              <w:rPr>
                <w:rFonts w:cs="宋体" w:asciiTheme="minorEastAsia" w:hAnsiTheme="minorEastAsia" w:eastAsiaTheme="minorEastAsia"/>
                <w:color w:val="auto"/>
                <w:szCs w:val="21"/>
                <w:highlight w:val="none"/>
                <w:lang w:eastAsia="en-US"/>
              </w:rPr>
              <w:t>部分</w:t>
            </w:r>
          </w:p>
        </w:tc>
        <w:tc>
          <w:tcPr>
            <w:tcW w:w="454" w:type="pct"/>
            <w:tcBorders>
              <w:top w:val="single" w:color="000000" w:sz="4" w:space="0"/>
              <w:left w:val="single" w:color="000000" w:sz="4" w:space="0"/>
              <w:bottom w:val="single" w:color="000000" w:sz="4" w:space="0"/>
              <w:right w:val="single" w:color="000000" w:sz="4" w:space="0"/>
            </w:tcBorders>
            <w:vAlign w:val="center"/>
          </w:tcPr>
          <w:p w14:paraId="011E8989">
            <w:pPr>
              <w:spacing w:line="400" w:lineRule="exact"/>
              <w:ind w:left="131"/>
              <w:jc w:val="center"/>
              <w:rPr>
                <w:rFonts w:cs="宋体" w:asciiTheme="minorEastAsia" w:hAnsiTheme="minorEastAsia" w:eastAsiaTheme="minorEastAsia"/>
                <w:color w:val="auto"/>
                <w:spacing w:val="-1"/>
                <w:szCs w:val="21"/>
                <w:highlight w:val="none"/>
                <w:lang w:eastAsia="en-US"/>
              </w:rPr>
            </w:pPr>
            <w:r>
              <w:rPr>
                <w:rFonts w:cs="宋体" w:asciiTheme="minorEastAsia" w:hAnsiTheme="minorEastAsia" w:eastAsiaTheme="minorEastAsia"/>
                <w:color w:val="auto"/>
                <w:spacing w:val="-1"/>
                <w:szCs w:val="21"/>
                <w:highlight w:val="none"/>
                <w:lang w:eastAsia="en-US"/>
              </w:rPr>
              <w:t>实施</w:t>
            </w:r>
          </w:p>
          <w:p w14:paraId="0B649DA5">
            <w:pPr>
              <w:spacing w:line="400" w:lineRule="exact"/>
              <w:ind w:left="131"/>
              <w:jc w:val="center"/>
              <w:rPr>
                <w:rFonts w:cs="宋体" w:asciiTheme="minorEastAsia" w:hAnsiTheme="minorEastAsia" w:eastAsiaTheme="minorEastAsia"/>
                <w:color w:val="auto"/>
                <w:spacing w:val="-1"/>
                <w:szCs w:val="21"/>
                <w:highlight w:val="none"/>
                <w:lang w:eastAsia="en-US"/>
              </w:rPr>
            </w:pPr>
            <w:r>
              <w:rPr>
                <w:rFonts w:cs="宋体" w:asciiTheme="minorEastAsia" w:hAnsiTheme="minorEastAsia" w:eastAsiaTheme="minorEastAsia"/>
                <w:color w:val="auto"/>
                <w:spacing w:val="-1"/>
                <w:szCs w:val="21"/>
                <w:highlight w:val="none"/>
                <w:lang w:eastAsia="en-US"/>
              </w:rPr>
              <w:t>方案</w:t>
            </w:r>
          </w:p>
        </w:tc>
        <w:tc>
          <w:tcPr>
            <w:tcW w:w="387" w:type="pct"/>
            <w:tcBorders>
              <w:top w:val="single" w:color="000000" w:sz="4" w:space="0"/>
              <w:left w:val="single" w:color="000000" w:sz="4" w:space="0"/>
              <w:bottom w:val="single" w:color="000000" w:sz="4" w:space="0"/>
              <w:right w:val="single" w:color="000000" w:sz="4" w:space="0"/>
            </w:tcBorders>
            <w:vAlign w:val="center"/>
          </w:tcPr>
          <w:p w14:paraId="5C87331F">
            <w:pPr>
              <w:spacing w:line="400" w:lineRule="exact"/>
              <w:jc w:val="center"/>
              <w:rPr>
                <w:rFonts w:cs="宋体" w:asciiTheme="minorEastAsia" w:hAnsiTheme="minorEastAsia" w:eastAsiaTheme="minorEastAsia"/>
                <w:color w:val="auto"/>
                <w:szCs w:val="21"/>
                <w:highlight w:val="none"/>
                <w:lang w:eastAsia="en-US"/>
              </w:rPr>
            </w:pPr>
            <w:r>
              <w:rPr>
                <w:rFonts w:cs="宋体" w:asciiTheme="minorEastAsia" w:hAnsiTheme="minorEastAsia" w:eastAsiaTheme="minorEastAsia"/>
                <w:color w:val="auto"/>
                <w:spacing w:val="-2"/>
                <w:szCs w:val="21"/>
                <w:highlight w:val="none"/>
                <w:lang w:eastAsia="en-US"/>
              </w:rPr>
              <w:t>20</w:t>
            </w:r>
            <w:r>
              <w:rPr>
                <w:rFonts w:cs="宋体" w:asciiTheme="minorEastAsia" w:hAnsiTheme="minorEastAsia" w:eastAsiaTheme="minorEastAsia"/>
                <w:color w:val="auto"/>
                <w:spacing w:val="-53"/>
                <w:szCs w:val="21"/>
                <w:highlight w:val="none"/>
                <w:lang w:eastAsia="en-US"/>
              </w:rPr>
              <w:t xml:space="preserve"> </w:t>
            </w:r>
            <w:r>
              <w:rPr>
                <w:rFonts w:cs="宋体" w:asciiTheme="minorEastAsia" w:hAnsiTheme="minorEastAsia" w:eastAsiaTheme="minorEastAsia"/>
                <w:color w:val="auto"/>
                <w:szCs w:val="21"/>
                <w:highlight w:val="none"/>
                <w:lang w:eastAsia="en-US"/>
              </w:rPr>
              <w:t>分</w:t>
            </w:r>
          </w:p>
        </w:tc>
        <w:tc>
          <w:tcPr>
            <w:tcW w:w="3705" w:type="pct"/>
            <w:tcBorders>
              <w:top w:val="single" w:color="000000" w:sz="4" w:space="0"/>
              <w:left w:val="single" w:color="000000" w:sz="4" w:space="0"/>
              <w:bottom w:val="single" w:color="000000" w:sz="4" w:space="0"/>
              <w:right w:val="single" w:color="000000" w:sz="4" w:space="0"/>
            </w:tcBorders>
            <w:vAlign w:val="center"/>
          </w:tcPr>
          <w:p w14:paraId="6807F123">
            <w:pPr>
              <w:spacing w:line="400" w:lineRule="exact"/>
              <w:rPr>
                <w:rFonts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pacing w:val="-3"/>
                <w:szCs w:val="21"/>
                <w:highlight w:val="none"/>
                <w:lang w:eastAsia="zh-CN"/>
              </w:rPr>
              <w:t>根据投标人的整体实施方案，项目理解、机型选择，飞防时间</w:t>
            </w:r>
            <w:r>
              <w:rPr>
                <w:rFonts w:cs="宋体" w:asciiTheme="minorEastAsia" w:hAnsiTheme="minorEastAsia" w:eastAsiaTheme="minorEastAsia"/>
                <w:color w:val="auto"/>
                <w:spacing w:val="-1"/>
                <w:szCs w:val="21"/>
                <w:highlight w:val="none"/>
                <w:lang w:eastAsia="zh-CN"/>
              </w:rPr>
              <w:t>安排计划、保证措施、飞防路线规划设计等，内容具体、全面、可行性很高，措施科学合理，可行性强，得</w:t>
            </w:r>
            <w:r>
              <w:rPr>
                <w:rFonts w:hint="eastAsia" w:cs="宋体" w:asciiTheme="minorEastAsia" w:hAnsiTheme="minorEastAsia" w:eastAsiaTheme="minorEastAsia"/>
                <w:color w:val="auto"/>
                <w:spacing w:val="-1"/>
                <w:szCs w:val="21"/>
                <w:highlight w:val="none"/>
                <w:lang w:val="en-US" w:eastAsia="zh-CN"/>
              </w:rPr>
              <w:t>20</w:t>
            </w:r>
            <w:r>
              <w:rPr>
                <w:rFonts w:cs="宋体" w:asciiTheme="minorEastAsia" w:hAnsiTheme="minorEastAsia" w:eastAsiaTheme="minorEastAsia"/>
                <w:color w:val="auto"/>
                <w:spacing w:val="-1"/>
                <w:szCs w:val="21"/>
                <w:highlight w:val="none"/>
                <w:lang w:eastAsia="zh-CN"/>
              </w:rPr>
              <w:t>分；措施较科学、可行性较强，得</w:t>
            </w:r>
            <w:r>
              <w:rPr>
                <w:rFonts w:hint="eastAsia" w:cs="宋体" w:asciiTheme="minorEastAsia" w:hAnsiTheme="minorEastAsia" w:eastAsiaTheme="minorEastAsia"/>
                <w:color w:val="auto"/>
                <w:spacing w:val="-2"/>
                <w:szCs w:val="21"/>
                <w:highlight w:val="none"/>
                <w:lang w:val="en-US" w:eastAsia="zh-CN"/>
              </w:rPr>
              <w:t>14</w:t>
            </w:r>
            <w:r>
              <w:rPr>
                <w:rFonts w:cs="宋体" w:asciiTheme="minorEastAsia" w:hAnsiTheme="minorEastAsia" w:eastAsiaTheme="minorEastAsia"/>
                <w:color w:val="auto"/>
                <w:spacing w:val="-1"/>
                <w:szCs w:val="21"/>
                <w:highlight w:val="none"/>
                <w:lang w:eastAsia="zh-CN"/>
              </w:rPr>
              <w:t>分；措施相对科学，可行性一般，得</w:t>
            </w:r>
            <w:r>
              <w:rPr>
                <w:rFonts w:hint="eastAsia" w:cs="宋体" w:asciiTheme="minorEastAsia" w:hAnsiTheme="minorEastAsia" w:eastAsiaTheme="minorEastAsia"/>
                <w:color w:val="auto"/>
                <w:spacing w:val="-1"/>
                <w:szCs w:val="21"/>
                <w:highlight w:val="none"/>
                <w:lang w:val="en-US" w:eastAsia="zh-CN"/>
              </w:rPr>
              <w:t>9</w:t>
            </w:r>
            <w:r>
              <w:rPr>
                <w:rFonts w:cs="宋体" w:asciiTheme="minorEastAsia" w:hAnsiTheme="minorEastAsia" w:eastAsiaTheme="minorEastAsia"/>
                <w:color w:val="auto"/>
                <w:spacing w:val="-1"/>
                <w:szCs w:val="21"/>
                <w:highlight w:val="none"/>
                <w:lang w:eastAsia="zh-CN"/>
              </w:rPr>
              <w:t>分，</w:t>
            </w:r>
            <w:r>
              <w:rPr>
                <w:rFonts w:hint="eastAsia" w:cs="宋体" w:asciiTheme="minorEastAsia" w:hAnsiTheme="minorEastAsia" w:eastAsiaTheme="minorEastAsia"/>
                <w:color w:val="auto"/>
                <w:spacing w:val="-1"/>
                <w:szCs w:val="21"/>
                <w:highlight w:val="none"/>
                <w:lang w:val="en-US" w:eastAsia="zh-CN"/>
              </w:rPr>
              <w:t>未完整提供</w:t>
            </w:r>
            <w:r>
              <w:rPr>
                <w:rFonts w:cs="宋体" w:asciiTheme="minorEastAsia" w:hAnsiTheme="minorEastAsia" w:eastAsiaTheme="minorEastAsia"/>
                <w:color w:val="auto"/>
                <w:spacing w:val="-1"/>
                <w:szCs w:val="21"/>
                <w:highlight w:val="none"/>
                <w:lang w:eastAsia="zh-CN"/>
              </w:rPr>
              <w:t>不得分。</w:t>
            </w:r>
          </w:p>
        </w:tc>
      </w:tr>
      <w:tr w14:paraId="2F699B1F">
        <w:tblPrEx>
          <w:tblCellMar>
            <w:top w:w="0" w:type="dxa"/>
            <w:left w:w="0" w:type="dxa"/>
            <w:bottom w:w="0" w:type="dxa"/>
            <w:right w:w="0" w:type="dxa"/>
          </w:tblCellMar>
        </w:tblPrEx>
        <w:trPr>
          <w:trHeight w:val="1266" w:hRule="atLeast"/>
        </w:trPr>
        <w:tc>
          <w:tcPr>
            <w:tcW w:w="452" w:type="pct"/>
            <w:vMerge w:val="continue"/>
            <w:tcBorders>
              <w:left w:val="single" w:color="000000" w:sz="4" w:space="0"/>
              <w:right w:val="single" w:color="000000" w:sz="4" w:space="0"/>
            </w:tcBorders>
            <w:vAlign w:val="center"/>
          </w:tcPr>
          <w:p w14:paraId="10992E1A">
            <w:pPr>
              <w:ind w:left="102"/>
              <w:jc w:val="center"/>
              <w:rPr>
                <w:rFonts w:cs="宋体" w:asciiTheme="minorEastAsia" w:hAnsiTheme="minorEastAsia" w:eastAsiaTheme="minorEastAsia"/>
                <w:color w:val="auto"/>
                <w:szCs w:val="21"/>
                <w:highlight w:val="none"/>
                <w:lang w:eastAsia="zh-CN"/>
              </w:rPr>
            </w:pPr>
          </w:p>
        </w:tc>
        <w:tc>
          <w:tcPr>
            <w:tcW w:w="454" w:type="pct"/>
            <w:tcBorders>
              <w:top w:val="single" w:color="000000" w:sz="4" w:space="0"/>
              <w:left w:val="single" w:color="000000" w:sz="4" w:space="0"/>
              <w:bottom w:val="single" w:color="000000" w:sz="4" w:space="0"/>
              <w:right w:val="single" w:color="000000" w:sz="4" w:space="0"/>
            </w:tcBorders>
            <w:vAlign w:val="center"/>
          </w:tcPr>
          <w:p w14:paraId="4F445A93">
            <w:pPr>
              <w:spacing w:line="400" w:lineRule="exact"/>
              <w:ind w:left="131"/>
              <w:jc w:val="center"/>
              <w:rPr>
                <w:rFonts w:cs="宋体" w:asciiTheme="minorEastAsia" w:hAnsiTheme="minorEastAsia" w:eastAsiaTheme="minorEastAsia"/>
                <w:color w:val="auto"/>
                <w:szCs w:val="21"/>
                <w:highlight w:val="none"/>
                <w:lang w:eastAsia="en-US"/>
              </w:rPr>
            </w:pPr>
            <w:r>
              <w:rPr>
                <w:rFonts w:cs="宋体" w:asciiTheme="minorEastAsia" w:hAnsiTheme="minorEastAsia" w:eastAsiaTheme="minorEastAsia"/>
                <w:color w:val="auto"/>
                <w:szCs w:val="21"/>
                <w:highlight w:val="none"/>
                <w:lang w:eastAsia="en-US"/>
              </w:rPr>
              <w:t>作业技术及装</w:t>
            </w:r>
            <w:r>
              <w:rPr>
                <w:rFonts w:cs="宋体" w:asciiTheme="minorEastAsia" w:hAnsiTheme="minorEastAsia" w:eastAsiaTheme="minorEastAsia"/>
                <w:color w:val="auto"/>
                <w:spacing w:val="-1"/>
                <w:szCs w:val="21"/>
                <w:highlight w:val="none"/>
                <w:lang w:eastAsia="en-US"/>
              </w:rPr>
              <w:t>备水平</w:t>
            </w:r>
          </w:p>
        </w:tc>
        <w:tc>
          <w:tcPr>
            <w:tcW w:w="387" w:type="pct"/>
            <w:tcBorders>
              <w:top w:val="single" w:color="000000" w:sz="4" w:space="0"/>
              <w:left w:val="single" w:color="000000" w:sz="4" w:space="0"/>
              <w:bottom w:val="single" w:color="000000" w:sz="4" w:space="0"/>
              <w:right w:val="single" w:color="000000" w:sz="4" w:space="0"/>
            </w:tcBorders>
            <w:vAlign w:val="center"/>
          </w:tcPr>
          <w:p w14:paraId="6C4047F6">
            <w:pPr>
              <w:spacing w:line="400" w:lineRule="exact"/>
              <w:jc w:val="center"/>
              <w:rPr>
                <w:rFonts w:cs="宋体" w:asciiTheme="minorEastAsia" w:hAnsiTheme="minorEastAsia" w:eastAsiaTheme="minorEastAsia"/>
                <w:color w:val="auto"/>
                <w:szCs w:val="21"/>
                <w:highlight w:val="none"/>
                <w:lang w:eastAsia="en-US"/>
              </w:rPr>
            </w:pPr>
            <w:r>
              <w:rPr>
                <w:rFonts w:cs="宋体" w:asciiTheme="minorEastAsia" w:hAnsiTheme="minorEastAsia" w:eastAsiaTheme="minorEastAsia"/>
                <w:color w:val="auto"/>
                <w:szCs w:val="21"/>
                <w:highlight w:val="none"/>
                <w:lang w:eastAsia="en-US"/>
              </w:rPr>
              <w:t>1</w:t>
            </w:r>
            <w:r>
              <w:rPr>
                <w:rFonts w:hint="eastAsia" w:cs="宋体" w:asciiTheme="minorEastAsia" w:hAnsiTheme="minorEastAsia" w:eastAsiaTheme="minorEastAsia"/>
                <w:color w:val="auto"/>
                <w:szCs w:val="21"/>
                <w:highlight w:val="none"/>
                <w:lang w:val="en-US" w:eastAsia="zh-CN"/>
              </w:rPr>
              <w:t>3</w:t>
            </w:r>
            <w:r>
              <w:rPr>
                <w:rFonts w:cs="宋体" w:asciiTheme="minorEastAsia" w:hAnsiTheme="minorEastAsia" w:eastAsiaTheme="minorEastAsia"/>
                <w:color w:val="auto"/>
                <w:spacing w:val="-55"/>
                <w:szCs w:val="21"/>
                <w:highlight w:val="none"/>
                <w:lang w:eastAsia="en-US"/>
              </w:rPr>
              <w:t xml:space="preserve"> </w:t>
            </w:r>
            <w:r>
              <w:rPr>
                <w:rFonts w:cs="宋体" w:asciiTheme="minorEastAsia" w:hAnsiTheme="minorEastAsia" w:eastAsiaTheme="minorEastAsia"/>
                <w:color w:val="auto"/>
                <w:szCs w:val="21"/>
                <w:highlight w:val="none"/>
                <w:lang w:eastAsia="en-US"/>
              </w:rPr>
              <w:t>分</w:t>
            </w:r>
          </w:p>
        </w:tc>
        <w:tc>
          <w:tcPr>
            <w:tcW w:w="3705" w:type="pct"/>
            <w:tcBorders>
              <w:top w:val="single" w:color="000000" w:sz="4" w:space="0"/>
              <w:left w:val="single" w:color="000000" w:sz="4" w:space="0"/>
              <w:bottom w:val="single" w:color="000000" w:sz="4" w:space="0"/>
              <w:right w:val="single" w:color="000000" w:sz="4" w:space="0"/>
            </w:tcBorders>
            <w:vAlign w:val="center"/>
          </w:tcPr>
          <w:p w14:paraId="1C6FC89F">
            <w:pPr>
              <w:spacing w:line="40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1、承诺采用有害生物飞机防治远程实时智能监控技术，可以实时监控作业飞机的飞行高度、飞行速度、飞行轨迹、喷洒轨迹等，得4分；（投标人提供相应技术的证明材料）；</w:t>
            </w:r>
          </w:p>
          <w:p w14:paraId="68B8ACE3">
            <w:pPr>
              <w:spacing w:line="40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2、药箱及喷洒设备先进、节能、环保，采用飞防喷洒雾滴检测技术，得3分；（投标人提供相应技术的证明材料）；</w:t>
            </w:r>
          </w:p>
          <w:p w14:paraId="1CD0496D">
            <w:pPr>
              <w:spacing w:line="40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3、拥有自动计量定量加液控制技术，可精准控制药品用量，并且自动计量飞机施药量，得2分；（投标人提供相应技术的证明材料）；</w:t>
            </w:r>
          </w:p>
          <w:p w14:paraId="7E5489D8">
            <w:pPr>
              <w:spacing w:line="40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4、拥有农林喷洒时农林航空飞防的静电喷雾技术，得2分；（投标人提供相应技术的证明材料）；</w:t>
            </w:r>
          </w:p>
          <w:p w14:paraId="109BA2D9">
            <w:pPr>
              <w:spacing w:line="400" w:lineRule="exact"/>
              <w:rPr>
                <w:rFonts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5、药箱及喷洒设备具有中国民航局颁发的补充型号合格证得2分，（提供民航相关部门认证扫描件，否则不予计分）。</w:t>
            </w:r>
          </w:p>
        </w:tc>
      </w:tr>
      <w:tr w14:paraId="2A798BF8">
        <w:tblPrEx>
          <w:tblCellMar>
            <w:top w:w="0" w:type="dxa"/>
            <w:left w:w="0" w:type="dxa"/>
            <w:bottom w:w="0" w:type="dxa"/>
            <w:right w:w="0" w:type="dxa"/>
          </w:tblCellMar>
        </w:tblPrEx>
        <w:trPr>
          <w:trHeight w:val="2158" w:hRule="atLeast"/>
        </w:trPr>
        <w:tc>
          <w:tcPr>
            <w:tcW w:w="452" w:type="pct"/>
            <w:vMerge w:val="continue"/>
            <w:tcBorders>
              <w:left w:val="single" w:color="000000" w:sz="4" w:space="0"/>
              <w:right w:val="single" w:color="000000" w:sz="4" w:space="0"/>
            </w:tcBorders>
            <w:vAlign w:val="center"/>
          </w:tcPr>
          <w:p w14:paraId="52E8D5EF">
            <w:pPr>
              <w:spacing w:line="400" w:lineRule="exact"/>
              <w:ind w:left="102"/>
              <w:jc w:val="center"/>
              <w:rPr>
                <w:rFonts w:cs="宋体" w:asciiTheme="minorEastAsia" w:hAnsiTheme="minorEastAsia" w:eastAsiaTheme="minorEastAsia"/>
                <w:color w:val="auto"/>
                <w:szCs w:val="21"/>
                <w:highlight w:val="none"/>
                <w:lang w:eastAsia="zh-CN"/>
              </w:rPr>
            </w:pPr>
          </w:p>
        </w:tc>
        <w:tc>
          <w:tcPr>
            <w:tcW w:w="454" w:type="pct"/>
            <w:tcBorders>
              <w:top w:val="single" w:color="000000" w:sz="4" w:space="0"/>
              <w:left w:val="single" w:color="000000" w:sz="4" w:space="0"/>
              <w:bottom w:val="single" w:color="000000" w:sz="4" w:space="0"/>
              <w:right w:val="single" w:color="000000" w:sz="4" w:space="0"/>
            </w:tcBorders>
            <w:vAlign w:val="center"/>
          </w:tcPr>
          <w:p w14:paraId="0536BE76">
            <w:pPr>
              <w:spacing w:line="400" w:lineRule="exact"/>
              <w:ind w:left="131"/>
              <w:jc w:val="center"/>
              <w:rPr>
                <w:rFonts w:cs="宋体" w:asciiTheme="minorEastAsia" w:hAnsiTheme="minorEastAsia" w:eastAsiaTheme="minorEastAsia"/>
                <w:color w:val="auto"/>
                <w:szCs w:val="21"/>
                <w:highlight w:val="none"/>
                <w:lang w:eastAsia="en-US"/>
              </w:rPr>
            </w:pPr>
            <w:r>
              <w:rPr>
                <w:rFonts w:cs="宋体" w:asciiTheme="minorEastAsia" w:hAnsiTheme="minorEastAsia" w:eastAsiaTheme="minorEastAsia"/>
                <w:color w:val="auto"/>
                <w:szCs w:val="21"/>
                <w:highlight w:val="none"/>
                <w:lang w:eastAsia="en-US"/>
              </w:rPr>
              <w:t>项目人员</w:t>
            </w:r>
          </w:p>
        </w:tc>
        <w:tc>
          <w:tcPr>
            <w:tcW w:w="387" w:type="pct"/>
            <w:tcBorders>
              <w:top w:val="single" w:color="000000" w:sz="4" w:space="0"/>
              <w:left w:val="single" w:color="000000" w:sz="4" w:space="0"/>
              <w:bottom w:val="single" w:color="000000" w:sz="4" w:space="0"/>
              <w:right w:val="single" w:color="000000" w:sz="4" w:space="0"/>
            </w:tcBorders>
            <w:vAlign w:val="center"/>
          </w:tcPr>
          <w:p w14:paraId="4CB7BEA1">
            <w:pPr>
              <w:spacing w:line="400" w:lineRule="exact"/>
              <w:jc w:val="center"/>
              <w:rPr>
                <w:rFonts w:cs="宋体" w:asciiTheme="minorEastAsia" w:hAnsiTheme="minorEastAsia" w:eastAsiaTheme="minorEastAsia"/>
                <w:color w:val="auto"/>
                <w:szCs w:val="21"/>
                <w:highlight w:val="none"/>
                <w:lang w:eastAsia="en-US"/>
              </w:rPr>
            </w:pPr>
            <w:r>
              <w:rPr>
                <w:rFonts w:hint="eastAsia" w:cs="宋体" w:asciiTheme="minorEastAsia" w:hAnsiTheme="minorEastAsia" w:eastAsiaTheme="minorEastAsia"/>
                <w:color w:val="auto"/>
                <w:szCs w:val="21"/>
                <w:highlight w:val="none"/>
                <w:lang w:eastAsia="en-US"/>
              </w:rPr>
              <w:t>1</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lang w:eastAsia="en-US"/>
              </w:rPr>
              <w:t>分</w:t>
            </w:r>
          </w:p>
        </w:tc>
        <w:tc>
          <w:tcPr>
            <w:tcW w:w="3705" w:type="pct"/>
            <w:tcBorders>
              <w:top w:val="single" w:color="000000" w:sz="4" w:space="0"/>
              <w:left w:val="single" w:color="000000" w:sz="4" w:space="0"/>
              <w:bottom w:val="single" w:color="000000" w:sz="4" w:space="0"/>
              <w:right w:val="single" w:color="000000" w:sz="4" w:space="0"/>
            </w:tcBorders>
            <w:vAlign w:val="center"/>
          </w:tcPr>
          <w:p w14:paraId="249F44BB">
            <w:pPr>
              <w:spacing w:line="400" w:lineRule="exact"/>
              <w:rPr>
                <w:rFonts w:cs="宋体" w:asciiTheme="minorEastAsia" w:hAnsiTheme="minorEastAsia" w:eastAsiaTheme="minorEastAsia"/>
                <w:color w:val="auto"/>
                <w:szCs w:val="21"/>
                <w:highlight w:val="none"/>
                <w:lang w:eastAsia="zh-CN"/>
              </w:rPr>
            </w:pPr>
            <w:r>
              <w:rPr>
                <w:rFonts w:cs="Arial" w:asciiTheme="minorEastAsia" w:hAnsiTheme="minorEastAsia" w:eastAsiaTheme="minorEastAsia"/>
                <w:color w:val="auto"/>
                <w:spacing w:val="1"/>
                <w:szCs w:val="21"/>
                <w:highlight w:val="none"/>
                <w:lang w:eastAsia="zh-CN"/>
              </w:rPr>
              <w:t>1</w:t>
            </w:r>
            <w:r>
              <w:rPr>
                <w:rFonts w:cs="宋体" w:asciiTheme="minorEastAsia" w:hAnsiTheme="minorEastAsia" w:eastAsiaTheme="minorEastAsia"/>
                <w:color w:val="auto"/>
                <w:spacing w:val="1"/>
                <w:szCs w:val="21"/>
                <w:highlight w:val="none"/>
                <w:lang w:eastAsia="zh-CN"/>
              </w:rPr>
              <w:t>、拟投入本项目飞行员中飞行经验≥</w:t>
            </w:r>
            <w:r>
              <w:rPr>
                <w:rFonts w:cs="Arial" w:asciiTheme="minorEastAsia" w:hAnsiTheme="minorEastAsia" w:eastAsiaTheme="minorEastAsia"/>
                <w:color w:val="auto"/>
                <w:spacing w:val="1"/>
                <w:szCs w:val="21"/>
                <w:highlight w:val="none"/>
                <w:lang w:eastAsia="zh-CN"/>
              </w:rPr>
              <w:t>10</w:t>
            </w:r>
            <w:r>
              <w:rPr>
                <w:rFonts w:cs="宋体" w:asciiTheme="minorEastAsia" w:hAnsiTheme="minorEastAsia" w:eastAsiaTheme="minorEastAsia"/>
                <w:color w:val="auto"/>
                <w:spacing w:val="1"/>
                <w:szCs w:val="21"/>
                <w:highlight w:val="none"/>
                <w:lang w:eastAsia="zh-CN"/>
              </w:rPr>
              <w:t>年且飞行时间在</w:t>
            </w:r>
            <w:r>
              <w:rPr>
                <w:rFonts w:cs="Arial" w:asciiTheme="minorEastAsia" w:hAnsiTheme="minorEastAsia" w:eastAsiaTheme="minorEastAsia"/>
                <w:color w:val="auto"/>
                <w:spacing w:val="-2"/>
                <w:szCs w:val="21"/>
                <w:highlight w:val="none"/>
                <w:lang w:eastAsia="zh-CN"/>
              </w:rPr>
              <w:t>6000</w:t>
            </w:r>
            <w:r>
              <w:rPr>
                <w:rFonts w:cs="宋体" w:asciiTheme="minorEastAsia" w:hAnsiTheme="minorEastAsia" w:eastAsiaTheme="minorEastAsia"/>
                <w:color w:val="auto"/>
                <w:szCs w:val="21"/>
                <w:highlight w:val="none"/>
                <w:lang w:eastAsia="zh-CN"/>
              </w:rPr>
              <w:t>小</w:t>
            </w:r>
            <w:r>
              <w:rPr>
                <w:rFonts w:cs="宋体" w:asciiTheme="minorEastAsia" w:hAnsiTheme="minorEastAsia" w:eastAsiaTheme="minorEastAsia"/>
                <w:color w:val="auto"/>
                <w:spacing w:val="-1"/>
                <w:szCs w:val="21"/>
                <w:highlight w:val="none"/>
                <w:lang w:eastAsia="zh-CN"/>
              </w:rPr>
              <w:t>时以上的，每有一人得</w:t>
            </w:r>
            <w:r>
              <w:rPr>
                <w:rFonts w:cs="Arial" w:asciiTheme="minorEastAsia" w:hAnsiTheme="minorEastAsia" w:eastAsiaTheme="minorEastAsia"/>
                <w:color w:val="auto"/>
                <w:szCs w:val="21"/>
                <w:highlight w:val="none"/>
                <w:lang w:eastAsia="zh-CN"/>
              </w:rPr>
              <w:t>3</w:t>
            </w:r>
            <w:r>
              <w:rPr>
                <w:rFonts w:cs="宋体" w:asciiTheme="minorEastAsia" w:hAnsiTheme="minorEastAsia" w:eastAsiaTheme="minorEastAsia"/>
                <w:color w:val="auto"/>
                <w:spacing w:val="-1"/>
                <w:szCs w:val="21"/>
                <w:highlight w:val="none"/>
                <w:lang w:eastAsia="zh-CN"/>
              </w:rPr>
              <w:t>分，最多得</w:t>
            </w:r>
            <w:r>
              <w:rPr>
                <w:rFonts w:cs="Arial" w:asciiTheme="minorEastAsia" w:hAnsiTheme="minorEastAsia" w:eastAsiaTheme="minorEastAsia"/>
                <w:color w:val="auto"/>
                <w:szCs w:val="21"/>
                <w:highlight w:val="none"/>
                <w:lang w:eastAsia="zh-CN"/>
              </w:rPr>
              <w:t>6</w:t>
            </w:r>
            <w:r>
              <w:rPr>
                <w:rFonts w:cs="宋体" w:asciiTheme="minorEastAsia" w:hAnsiTheme="minorEastAsia" w:eastAsiaTheme="minorEastAsia"/>
                <w:color w:val="auto"/>
                <w:szCs w:val="21"/>
                <w:highlight w:val="none"/>
                <w:lang w:eastAsia="zh-CN"/>
              </w:rPr>
              <w:t>分；</w:t>
            </w:r>
            <w:r>
              <w:rPr>
                <w:rFonts w:cs="宋体" w:asciiTheme="minorEastAsia" w:hAnsiTheme="minorEastAsia" w:eastAsiaTheme="minorEastAsia"/>
                <w:color w:val="auto"/>
                <w:spacing w:val="1"/>
                <w:szCs w:val="21"/>
                <w:highlight w:val="none"/>
                <w:lang w:eastAsia="zh-CN"/>
              </w:rPr>
              <w:t>（飞行经验及飞行时间以飞行员云执照时间为准，投标人须同时提</w:t>
            </w:r>
            <w:r>
              <w:rPr>
                <w:rFonts w:cs="宋体" w:asciiTheme="minorEastAsia" w:hAnsiTheme="minorEastAsia" w:eastAsiaTheme="minorEastAsia"/>
                <w:color w:val="auto"/>
                <w:spacing w:val="-1"/>
                <w:szCs w:val="21"/>
                <w:highlight w:val="none"/>
                <w:lang w:eastAsia="zh-CN"/>
              </w:rPr>
              <w:t>供飞行员飞行执照、体检合格证明、近</w:t>
            </w:r>
            <w:r>
              <w:rPr>
                <w:rFonts w:hint="eastAsia" w:cs="Arial" w:asciiTheme="minorEastAsia" w:hAnsiTheme="minorEastAsia" w:eastAsiaTheme="minorEastAsia"/>
                <w:color w:val="auto"/>
                <w:szCs w:val="21"/>
                <w:highlight w:val="none"/>
                <w:lang w:val="en-US" w:eastAsia="zh-CN"/>
              </w:rPr>
              <w:t>3</w:t>
            </w:r>
            <w:r>
              <w:rPr>
                <w:rFonts w:cs="宋体" w:asciiTheme="minorEastAsia" w:hAnsiTheme="minorEastAsia" w:eastAsiaTheme="minorEastAsia"/>
                <w:color w:val="auto"/>
                <w:spacing w:val="-1"/>
                <w:szCs w:val="21"/>
                <w:highlight w:val="none"/>
                <w:lang w:eastAsia="zh-CN"/>
              </w:rPr>
              <w:t>个月社保缴纳证明）</w:t>
            </w:r>
          </w:p>
          <w:p w14:paraId="3A83B8FE">
            <w:pPr>
              <w:spacing w:line="400" w:lineRule="exact"/>
              <w:rPr>
                <w:rFonts w:cs="宋体" w:asciiTheme="minorEastAsia" w:hAnsiTheme="minorEastAsia" w:eastAsiaTheme="minorEastAsia"/>
                <w:color w:val="auto"/>
                <w:szCs w:val="21"/>
                <w:highlight w:val="none"/>
                <w:lang w:eastAsia="zh-CN"/>
              </w:rPr>
            </w:pPr>
            <w:r>
              <w:rPr>
                <w:rFonts w:cs="Arial" w:asciiTheme="minorEastAsia" w:hAnsiTheme="minorEastAsia" w:eastAsiaTheme="minorEastAsia"/>
                <w:color w:val="auto"/>
                <w:spacing w:val="-1"/>
                <w:szCs w:val="21"/>
                <w:highlight w:val="none"/>
                <w:lang w:eastAsia="zh-CN"/>
              </w:rPr>
              <w:t>2</w:t>
            </w:r>
            <w:r>
              <w:rPr>
                <w:rFonts w:cs="宋体" w:asciiTheme="minorEastAsia" w:hAnsiTheme="minorEastAsia" w:eastAsiaTheme="minorEastAsia"/>
                <w:color w:val="auto"/>
                <w:spacing w:val="-1"/>
                <w:szCs w:val="21"/>
                <w:highlight w:val="none"/>
                <w:lang w:eastAsia="zh-CN"/>
              </w:rPr>
              <w:t>、本项目拟投入直升机维修放行人员，</w:t>
            </w:r>
            <w:r>
              <w:rPr>
                <w:rFonts w:hint="eastAsia" w:cs="宋体" w:asciiTheme="minorEastAsia" w:hAnsiTheme="minorEastAsia" w:eastAsiaTheme="minorEastAsia"/>
                <w:color w:val="auto"/>
                <w:spacing w:val="1"/>
                <w:szCs w:val="21"/>
                <w:highlight w:val="none"/>
                <w:lang w:eastAsia="zh-CN"/>
              </w:rPr>
              <w:t>具备培训机构直升机培训经历，且已获取相应的机型培训合格证书，</w:t>
            </w:r>
            <w:r>
              <w:rPr>
                <w:rFonts w:hint="eastAsia" w:cs="宋体" w:asciiTheme="minorEastAsia" w:hAnsiTheme="minorEastAsia" w:eastAsiaTheme="minorEastAsia"/>
                <w:color w:val="auto"/>
                <w:spacing w:val="-1"/>
                <w:szCs w:val="21"/>
                <w:highlight w:val="none"/>
                <w:lang w:eastAsia="zh-CN"/>
              </w:rPr>
              <w:t>相关</w:t>
            </w:r>
            <w:r>
              <w:rPr>
                <w:rFonts w:cs="宋体" w:asciiTheme="minorEastAsia" w:hAnsiTheme="minorEastAsia" w:eastAsiaTheme="minorEastAsia"/>
                <w:color w:val="auto"/>
                <w:spacing w:val="-2"/>
                <w:szCs w:val="21"/>
                <w:highlight w:val="none"/>
                <w:lang w:eastAsia="zh-CN"/>
              </w:rPr>
              <w:t>经验年限需满足＞</w:t>
            </w:r>
            <w:r>
              <w:rPr>
                <w:rFonts w:cs="Arial" w:asciiTheme="minorEastAsia" w:hAnsiTheme="minorEastAsia" w:eastAsiaTheme="minorEastAsia"/>
                <w:color w:val="auto"/>
                <w:spacing w:val="-2"/>
                <w:szCs w:val="21"/>
                <w:highlight w:val="none"/>
                <w:lang w:eastAsia="zh-CN"/>
              </w:rPr>
              <w:t>3</w:t>
            </w:r>
            <w:r>
              <w:rPr>
                <w:rFonts w:cs="Arial" w:asciiTheme="minorEastAsia" w:hAnsiTheme="minorEastAsia" w:eastAsiaTheme="minorEastAsia"/>
                <w:color w:val="auto"/>
                <w:spacing w:val="-7"/>
                <w:szCs w:val="21"/>
                <w:highlight w:val="none"/>
                <w:lang w:eastAsia="zh-CN"/>
              </w:rPr>
              <w:t xml:space="preserve"> </w:t>
            </w:r>
            <w:r>
              <w:rPr>
                <w:rFonts w:cs="宋体" w:asciiTheme="minorEastAsia" w:hAnsiTheme="minorEastAsia" w:eastAsiaTheme="minorEastAsia"/>
                <w:color w:val="auto"/>
                <w:spacing w:val="-1"/>
                <w:szCs w:val="21"/>
                <w:highlight w:val="none"/>
                <w:lang w:eastAsia="zh-CN"/>
              </w:rPr>
              <w:t>年，每提供一人得</w:t>
            </w:r>
            <w:r>
              <w:rPr>
                <w:rFonts w:hint="eastAsia" w:cs="Arial" w:asciiTheme="minorEastAsia" w:hAnsiTheme="minorEastAsia" w:eastAsiaTheme="minorEastAsia"/>
                <w:color w:val="auto"/>
                <w:szCs w:val="21"/>
                <w:highlight w:val="none"/>
                <w:lang w:val="en-US" w:eastAsia="zh-CN"/>
              </w:rPr>
              <w:t>2</w:t>
            </w:r>
            <w:r>
              <w:rPr>
                <w:rFonts w:cs="宋体" w:asciiTheme="minorEastAsia" w:hAnsiTheme="minorEastAsia" w:eastAsiaTheme="minorEastAsia"/>
                <w:color w:val="auto"/>
                <w:spacing w:val="-1"/>
                <w:szCs w:val="21"/>
                <w:highlight w:val="none"/>
                <w:lang w:eastAsia="zh-CN"/>
              </w:rPr>
              <w:t>分，满分</w:t>
            </w:r>
            <w:r>
              <w:rPr>
                <w:rFonts w:hint="eastAsia" w:cs="Arial" w:asciiTheme="minorEastAsia" w:hAnsiTheme="minorEastAsia" w:eastAsiaTheme="minorEastAsia"/>
                <w:color w:val="auto"/>
                <w:szCs w:val="21"/>
                <w:highlight w:val="none"/>
                <w:lang w:val="en-US" w:eastAsia="zh-CN"/>
              </w:rPr>
              <w:t>8</w:t>
            </w:r>
            <w:r>
              <w:rPr>
                <w:rFonts w:cs="宋体" w:asciiTheme="minorEastAsia" w:hAnsiTheme="minorEastAsia" w:eastAsiaTheme="minorEastAsia"/>
                <w:color w:val="auto"/>
                <w:spacing w:val="-1"/>
                <w:szCs w:val="21"/>
                <w:highlight w:val="none"/>
                <w:lang w:eastAsia="zh-CN"/>
              </w:rPr>
              <w:t>分，直升机维修放行人员的经验年限以取得维修执照时间为准（投标人须同时提供</w:t>
            </w:r>
            <w:r>
              <w:rPr>
                <w:rFonts w:cs="宋体" w:asciiTheme="minorEastAsia" w:hAnsiTheme="minorEastAsia" w:eastAsiaTheme="minorEastAsia"/>
                <w:color w:val="auto"/>
                <w:szCs w:val="21"/>
                <w:highlight w:val="none"/>
                <w:lang w:eastAsia="zh-CN"/>
              </w:rPr>
              <w:t>直</w:t>
            </w:r>
            <w:r>
              <w:rPr>
                <w:rFonts w:cs="宋体" w:asciiTheme="minorEastAsia" w:hAnsiTheme="minorEastAsia" w:eastAsiaTheme="minorEastAsia"/>
                <w:color w:val="auto"/>
                <w:spacing w:val="-3"/>
                <w:szCs w:val="21"/>
                <w:highlight w:val="none"/>
                <w:lang w:eastAsia="zh-CN"/>
              </w:rPr>
              <w:t>升</w:t>
            </w:r>
            <w:r>
              <w:rPr>
                <w:rFonts w:cs="宋体" w:asciiTheme="minorEastAsia" w:hAnsiTheme="minorEastAsia" w:eastAsiaTheme="minorEastAsia"/>
                <w:color w:val="auto"/>
                <w:szCs w:val="21"/>
                <w:highlight w:val="none"/>
                <w:lang w:eastAsia="zh-CN"/>
              </w:rPr>
              <w:t>机维</w:t>
            </w:r>
            <w:r>
              <w:rPr>
                <w:rFonts w:cs="宋体" w:asciiTheme="minorEastAsia" w:hAnsiTheme="minorEastAsia" w:eastAsiaTheme="minorEastAsia"/>
                <w:color w:val="auto"/>
                <w:spacing w:val="-3"/>
                <w:szCs w:val="21"/>
                <w:highlight w:val="none"/>
                <w:lang w:eastAsia="zh-CN"/>
              </w:rPr>
              <w:t>修</w:t>
            </w:r>
            <w:r>
              <w:rPr>
                <w:rFonts w:cs="宋体" w:asciiTheme="minorEastAsia" w:hAnsiTheme="minorEastAsia" w:eastAsiaTheme="minorEastAsia"/>
                <w:color w:val="auto"/>
                <w:szCs w:val="21"/>
                <w:highlight w:val="none"/>
                <w:lang w:eastAsia="zh-CN"/>
              </w:rPr>
              <w:t>放行</w:t>
            </w:r>
            <w:r>
              <w:rPr>
                <w:rFonts w:cs="宋体" w:asciiTheme="minorEastAsia" w:hAnsiTheme="minorEastAsia" w:eastAsiaTheme="minorEastAsia"/>
                <w:color w:val="auto"/>
                <w:spacing w:val="-3"/>
                <w:szCs w:val="21"/>
                <w:highlight w:val="none"/>
                <w:lang w:eastAsia="zh-CN"/>
              </w:rPr>
              <w:t>人</w:t>
            </w:r>
            <w:r>
              <w:rPr>
                <w:rFonts w:cs="宋体" w:asciiTheme="minorEastAsia" w:hAnsiTheme="minorEastAsia" w:eastAsiaTheme="minorEastAsia"/>
                <w:color w:val="auto"/>
                <w:spacing w:val="-2"/>
                <w:szCs w:val="21"/>
                <w:highlight w:val="none"/>
                <w:lang w:eastAsia="zh-CN"/>
              </w:rPr>
              <w:t>员</w:t>
            </w:r>
            <w:r>
              <w:rPr>
                <w:rFonts w:cs="宋体" w:asciiTheme="minorEastAsia" w:hAnsiTheme="minorEastAsia" w:eastAsiaTheme="minorEastAsia"/>
                <w:color w:val="auto"/>
                <w:szCs w:val="21"/>
                <w:highlight w:val="none"/>
                <w:lang w:eastAsia="zh-CN"/>
              </w:rPr>
              <w:t>近</w:t>
            </w:r>
            <w:r>
              <w:rPr>
                <w:rFonts w:hint="eastAsia" w:cs="Arial" w:asciiTheme="minorEastAsia" w:hAnsiTheme="minorEastAsia" w:eastAsiaTheme="minorEastAsia"/>
                <w:color w:val="auto"/>
                <w:szCs w:val="21"/>
                <w:highlight w:val="none"/>
                <w:lang w:val="en-US" w:eastAsia="zh-CN"/>
              </w:rPr>
              <w:t>3</w:t>
            </w:r>
            <w:r>
              <w:rPr>
                <w:rFonts w:cs="宋体" w:asciiTheme="minorEastAsia" w:hAnsiTheme="minorEastAsia" w:eastAsiaTheme="minorEastAsia"/>
                <w:color w:val="auto"/>
                <w:szCs w:val="21"/>
                <w:highlight w:val="none"/>
                <w:lang w:eastAsia="zh-CN"/>
              </w:rPr>
              <w:t>个</w:t>
            </w:r>
            <w:r>
              <w:rPr>
                <w:rFonts w:cs="宋体" w:asciiTheme="minorEastAsia" w:hAnsiTheme="minorEastAsia" w:eastAsiaTheme="minorEastAsia"/>
                <w:color w:val="auto"/>
                <w:spacing w:val="-3"/>
                <w:szCs w:val="21"/>
                <w:highlight w:val="none"/>
                <w:lang w:eastAsia="zh-CN"/>
              </w:rPr>
              <w:t>月</w:t>
            </w:r>
            <w:r>
              <w:rPr>
                <w:rFonts w:cs="宋体" w:asciiTheme="minorEastAsia" w:hAnsiTheme="minorEastAsia" w:eastAsiaTheme="minorEastAsia"/>
                <w:color w:val="auto"/>
                <w:szCs w:val="21"/>
                <w:highlight w:val="none"/>
                <w:lang w:eastAsia="zh-CN"/>
              </w:rPr>
              <w:t>以上</w:t>
            </w:r>
            <w:r>
              <w:rPr>
                <w:rFonts w:cs="宋体" w:asciiTheme="minorEastAsia" w:hAnsiTheme="minorEastAsia" w:eastAsiaTheme="minorEastAsia"/>
                <w:color w:val="auto"/>
                <w:spacing w:val="-3"/>
                <w:szCs w:val="21"/>
                <w:highlight w:val="none"/>
                <w:lang w:eastAsia="zh-CN"/>
              </w:rPr>
              <w:t>的</w:t>
            </w:r>
            <w:r>
              <w:rPr>
                <w:rFonts w:cs="宋体" w:asciiTheme="minorEastAsia" w:hAnsiTheme="minorEastAsia" w:eastAsiaTheme="minorEastAsia"/>
                <w:color w:val="auto"/>
                <w:szCs w:val="21"/>
                <w:highlight w:val="none"/>
                <w:lang w:eastAsia="zh-CN"/>
              </w:rPr>
              <w:t>社保</w:t>
            </w:r>
            <w:r>
              <w:rPr>
                <w:rFonts w:cs="宋体" w:asciiTheme="minorEastAsia" w:hAnsiTheme="minorEastAsia" w:eastAsiaTheme="minorEastAsia"/>
                <w:color w:val="auto"/>
                <w:spacing w:val="-3"/>
                <w:szCs w:val="21"/>
                <w:highlight w:val="none"/>
                <w:lang w:eastAsia="zh-CN"/>
              </w:rPr>
              <w:t>缴</w:t>
            </w:r>
            <w:r>
              <w:rPr>
                <w:rFonts w:cs="宋体" w:asciiTheme="minorEastAsia" w:hAnsiTheme="minorEastAsia" w:eastAsiaTheme="minorEastAsia"/>
                <w:color w:val="auto"/>
                <w:szCs w:val="21"/>
                <w:highlight w:val="none"/>
                <w:lang w:eastAsia="zh-CN"/>
              </w:rPr>
              <w:t>纳证</w:t>
            </w:r>
            <w:r>
              <w:rPr>
                <w:rFonts w:cs="宋体" w:asciiTheme="minorEastAsia" w:hAnsiTheme="minorEastAsia" w:eastAsiaTheme="minorEastAsia"/>
                <w:color w:val="auto"/>
                <w:spacing w:val="-5"/>
                <w:szCs w:val="21"/>
                <w:highlight w:val="none"/>
                <w:lang w:eastAsia="zh-CN"/>
              </w:rPr>
              <w:t>明</w:t>
            </w:r>
            <w:r>
              <w:rPr>
                <w:rFonts w:cs="宋体" w:asciiTheme="minorEastAsia" w:hAnsiTheme="minorEastAsia" w:eastAsiaTheme="minorEastAsia"/>
                <w:color w:val="auto"/>
                <w:spacing w:val="-111"/>
                <w:szCs w:val="21"/>
                <w:highlight w:val="none"/>
                <w:lang w:eastAsia="zh-CN"/>
              </w:rPr>
              <w:t>，</w:t>
            </w:r>
            <w:r>
              <w:rPr>
                <w:rFonts w:cs="宋体" w:asciiTheme="minorEastAsia" w:hAnsiTheme="minorEastAsia" w:eastAsiaTheme="minorEastAsia"/>
                <w:color w:val="auto"/>
                <w:szCs w:val="21"/>
                <w:highlight w:val="none"/>
                <w:lang w:eastAsia="zh-CN"/>
              </w:rPr>
              <w:t>否</w:t>
            </w:r>
            <w:r>
              <w:rPr>
                <w:rFonts w:cs="宋体" w:asciiTheme="minorEastAsia" w:hAnsiTheme="minorEastAsia" w:eastAsiaTheme="minorEastAsia"/>
                <w:color w:val="auto"/>
                <w:spacing w:val="-3"/>
                <w:szCs w:val="21"/>
                <w:highlight w:val="none"/>
                <w:lang w:eastAsia="zh-CN"/>
              </w:rPr>
              <w:t>则</w:t>
            </w:r>
            <w:r>
              <w:rPr>
                <w:rFonts w:cs="宋体" w:asciiTheme="minorEastAsia" w:hAnsiTheme="minorEastAsia" w:eastAsiaTheme="minorEastAsia"/>
                <w:color w:val="auto"/>
                <w:szCs w:val="21"/>
                <w:highlight w:val="none"/>
                <w:lang w:eastAsia="zh-CN"/>
              </w:rPr>
              <w:t>不予</w:t>
            </w:r>
            <w:r>
              <w:rPr>
                <w:rFonts w:cs="宋体" w:asciiTheme="minorEastAsia" w:hAnsiTheme="minorEastAsia" w:eastAsiaTheme="minorEastAsia"/>
                <w:color w:val="auto"/>
                <w:spacing w:val="-3"/>
                <w:szCs w:val="21"/>
                <w:highlight w:val="none"/>
                <w:lang w:eastAsia="zh-CN"/>
              </w:rPr>
              <w:t>计</w:t>
            </w:r>
            <w:r>
              <w:rPr>
                <w:rFonts w:cs="宋体" w:asciiTheme="minorEastAsia" w:hAnsiTheme="minorEastAsia" w:eastAsiaTheme="minorEastAsia"/>
                <w:color w:val="auto"/>
                <w:spacing w:val="-2"/>
                <w:szCs w:val="21"/>
                <w:highlight w:val="none"/>
                <w:lang w:eastAsia="zh-CN"/>
              </w:rPr>
              <w:t>分</w:t>
            </w:r>
            <w:r>
              <w:rPr>
                <w:rFonts w:cs="宋体" w:asciiTheme="minorEastAsia" w:hAnsiTheme="minorEastAsia" w:eastAsiaTheme="minorEastAsia"/>
                <w:color w:val="auto"/>
                <w:spacing w:val="-111"/>
                <w:szCs w:val="21"/>
                <w:highlight w:val="none"/>
                <w:lang w:eastAsia="zh-CN"/>
              </w:rPr>
              <w:t>）</w:t>
            </w:r>
            <w:r>
              <w:rPr>
                <w:rFonts w:cs="宋体" w:asciiTheme="minorEastAsia" w:hAnsiTheme="minorEastAsia" w:eastAsiaTheme="minorEastAsia"/>
                <w:color w:val="auto"/>
                <w:szCs w:val="21"/>
                <w:highlight w:val="none"/>
                <w:lang w:eastAsia="zh-CN"/>
              </w:rPr>
              <w:t>。</w:t>
            </w:r>
          </w:p>
        </w:tc>
      </w:tr>
      <w:tr w14:paraId="2E5DA167">
        <w:tblPrEx>
          <w:tblCellMar>
            <w:top w:w="0" w:type="dxa"/>
            <w:left w:w="0" w:type="dxa"/>
            <w:bottom w:w="0" w:type="dxa"/>
            <w:right w:w="0" w:type="dxa"/>
          </w:tblCellMar>
        </w:tblPrEx>
        <w:trPr>
          <w:trHeight w:val="1306" w:hRule="atLeast"/>
        </w:trPr>
        <w:tc>
          <w:tcPr>
            <w:tcW w:w="452" w:type="pct"/>
            <w:vMerge w:val="continue"/>
            <w:tcBorders>
              <w:left w:val="single" w:color="000000" w:sz="4" w:space="0"/>
              <w:right w:val="single" w:color="000000" w:sz="4" w:space="0"/>
            </w:tcBorders>
            <w:vAlign w:val="center"/>
          </w:tcPr>
          <w:p w14:paraId="3EB71693">
            <w:pPr>
              <w:spacing w:line="400" w:lineRule="exact"/>
              <w:ind w:left="102"/>
              <w:jc w:val="center"/>
              <w:rPr>
                <w:rFonts w:cs="宋体" w:asciiTheme="minorEastAsia" w:hAnsiTheme="minorEastAsia" w:eastAsiaTheme="minorEastAsia"/>
                <w:color w:val="auto"/>
                <w:szCs w:val="21"/>
                <w:highlight w:val="none"/>
                <w:lang w:eastAsia="zh-CN"/>
              </w:rPr>
            </w:pPr>
          </w:p>
        </w:tc>
        <w:tc>
          <w:tcPr>
            <w:tcW w:w="454" w:type="pct"/>
            <w:tcBorders>
              <w:top w:val="single" w:color="000000" w:sz="4" w:space="0"/>
              <w:left w:val="single" w:color="000000" w:sz="4" w:space="0"/>
              <w:bottom w:val="single" w:color="000000" w:sz="4" w:space="0"/>
              <w:right w:val="single" w:color="000000" w:sz="4" w:space="0"/>
            </w:tcBorders>
            <w:vAlign w:val="center"/>
          </w:tcPr>
          <w:p w14:paraId="2A2361B4">
            <w:pPr>
              <w:spacing w:line="400" w:lineRule="exact"/>
              <w:jc w:val="center"/>
              <w:rPr>
                <w:rFonts w:cs="宋体" w:asciiTheme="minorEastAsia" w:hAnsiTheme="minorEastAsia" w:eastAsiaTheme="minorEastAsia"/>
                <w:color w:val="auto"/>
                <w:szCs w:val="21"/>
                <w:highlight w:val="none"/>
                <w:lang w:eastAsia="en-US"/>
              </w:rPr>
            </w:pPr>
            <w:r>
              <w:rPr>
                <w:rFonts w:cs="宋体" w:asciiTheme="minorEastAsia" w:hAnsiTheme="minorEastAsia" w:eastAsiaTheme="minorEastAsia"/>
                <w:color w:val="auto"/>
                <w:szCs w:val="21"/>
                <w:highlight w:val="none"/>
                <w:lang w:eastAsia="en-US"/>
              </w:rPr>
              <w:t>售后服务</w:t>
            </w:r>
          </w:p>
        </w:tc>
        <w:tc>
          <w:tcPr>
            <w:tcW w:w="387" w:type="pct"/>
            <w:tcBorders>
              <w:top w:val="single" w:color="000000" w:sz="4" w:space="0"/>
              <w:left w:val="single" w:color="000000" w:sz="4" w:space="0"/>
              <w:bottom w:val="single" w:color="000000" w:sz="4" w:space="0"/>
              <w:right w:val="single" w:color="000000" w:sz="4" w:space="0"/>
            </w:tcBorders>
            <w:vAlign w:val="center"/>
          </w:tcPr>
          <w:p w14:paraId="451F2F7C">
            <w:pPr>
              <w:spacing w:line="400" w:lineRule="exact"/>
              <w:jc w:val="center"/>
              <w:rPr>
                <w:rFonts w:cs="宋体" w:asciiTheme="minorEastAsia" w:hAnsiTheme="minorEastAsia" w:eastAsiaTheme="minorEastAsia"/>
                <w:color w:val="auto"/>
                <w:szCs w:val="21"/>
                <w:highlight w:val="none"/>
                <w:lang w:eastAsia="en-US"/>
              </w:rPr>
            </w:pPr>
            <w:r>
              <w:rPr>
                <w:rFonts w:hint="eastAsia" w:cs="宋体" w:asciiTheme="minorEastAsia" w:hAnsiTheme="minorEastAsia" w:eastAsiaTheme="minorEastAsia"/>
                <w:color w:val="auto"/>
                <w:szCs w:val="21"/>
                <w:highlight w:val="none"/>
                <w:lang w:eastAsia="en-US"/>
              </w:rPr>
              <w:t>2</w:t>
            </w:r>
            <w:r>
              <w:rPr>
                <w:rFonts w:cs="宋体" w:asciiTheme="minorEastAsia" w:hAnsiTheme="minorEastAsia" w:eastAsiaTheme="minorEastAsia"/>
                <w:color w:val="auto"/>
                <w:szCs w:val="21"/>
                <w:highlight w:val="none"/>
                <w:lang w:eastAsia="en-US"/>
              </w:rPr>
              <w:t>分</w:t>
            </w:r>
          </w:p>
        </w:tc>
        <w:tc>
          <w:tcPr>
            <w:tcW w:w="3705" w:type="pct"/>
            <w:tcBorders>
              <w:top w:val="single" w:color="000000" w:sz="4" w:space="0"/>
              <w:left w:val="single" w:color="000000" w:sz="4" w:space="0"/>
              <w:bottom w:val="single" w:color="000000" w:sz="4" w:space="0"/>
              <w:right w:val="single" w:color="000000" w:sz="4" w:space="0"/>
            </w:tcBorders>
            <w:vAlign w:val="center"/>
          </w:tcPr>
          <w:p w14:paraId="426CB1E2">
            <w:pPr>
              <w:spacing w:line="400" w:lineRule="exact"/>
              <w:rPr>
                <w:rFonts w:cs="宋体" w:asciiTheme="minorEastAsia" w:hAnsiTheme="minorEastAsia" w:eastAsiaTheme="minorEastAsia"/>
                <w:color w:val="auto"/>
                <w:szCs w:val="21"/>
                <w:highlight w:val="none"/>
                <w:lang w:eastAsia="en-US"/>
              </w:rPr>
            </w:pPr>
            <w:r>
              <w:rPr>
                <w:rFonts w:hint="eastAsia" w:cs="宋体" w:asciiTheme="minorEastAsia" w:hAnsiTheme="minorEastAsia" w:eastAsiaTheme="minorEastAsia"/>
                <w:color w:val="auto"/>
                <w:szCs w:val="21"/>
                <w:highlight w:val="none"/>
                <w:lang w:val="en-US" w:eastAsia="en-US"/>
              </w:rPr>
              <w:t>针对该项目，投标单位作出承诺，承诺按照业主方要求推进项目，不私自更改飞防服务期，没有承诺的不得分，承诺不全的酌情扣分，分值</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val="en-US" w:eastAsia="en-US"/>
              </w:rPr>
              <w:t>分。</w:t>
            </w:r>
          </w:p>
        </w:tc>
      </w:tr>
      <w:tr w14:paraId="4DA56588">
        <w:tblPrEx>
          <w:tblCellMar>
            <w:top w:w="0" w:type="dxa"/>
            <w:left w:w="0" w:type="dxa"/>
            <w:bottom w:w="0" w:type="dxa"/>
            <w:right w:w="0" w:type="dxa"/>
          </w:tblCellMar>
        </w:tblPrEx>
        <w:trPr>
          <w:trHeight w:val="1683" w:hRule="atLeast"/>
        </w:trPr>
        <w:tc>
          <w:tcPr>
            <w:tcW w:w="452" w:type="pct"/>
            <w:vMerge w:val="continue"/>
            <w:tcBorders>
              <w:left w:val="single" w:color="000000" w:sz="4" w:space="0"/>
              <w:bottom w:val="single" w:color="000000" w:sz="4" w:space="0"/>
              <w:right w:val="single" w:color="000000" w:sz="4" w:space="0"/>
            </w:tcBorders>
            <w:vAlign w:val="center"/>
          </w:tcPr>
          <w:p w14:paraId="2791E2CF">
            <w:pPr>
              <w:spacing w:line="400" w:lineRule="exact"/>
              <w:ind w:left="102"/>
              <w:jc w:val="center"/>
              <w:rPr>
                <w:rFonts w:cs="宋体" w:asciiTheme="minorEastAsia" w:hAnsiTheme="minorEastAsia" w:eastAsiaTheme="minorEastAsia"/>
                <w:color w:val="auto"/>
                <w:szCs w:val="21"/>
                <w:highlight w:val="none"/>
                <w:lang w:eastAsia="en-US"/>
              </w:rPr>
            </w:pPr>
          </w:p>
        </w:tc>
        <w:tc>
          <w:tcPr>
            <w:tcW w:w="454" w:type="pct"/>
            <w:tcBorders>
              <w:top w:val="single" w:color="000000" w:sz="4" w:space="0"/>
              <w:left w:val="single" w:color="000000" w:sz="4" w:space="0"/>
              <w:bottom w:val="single" w:color="000000" w:sz="4" w:space="0"/>
              <w:right w:val="single" w:color="000000" w:sz="4" w:space="0"/>
            </w:tcBorders>
          </w:tcPr>
          <w:p w14:paraId="253A6070">
            <w:pPr>
              <w:spacing w:line="400" w:lineRule="exact"/>
              <w:ind w:left="131"/>
              <w:jc w:val="center"/>
              <w:rPr>
                <w:rFonts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lang w:eastAsia="zh-CN"/>
              </w:rPr>
              <w:t>应急及突发事件的处</w:t>
            </w:r>
            <w:r>
              <w:rPr>
                <w:rFonts w:cs="宋体" w:asciiTheme="minorEastAsia" w:hAnsiTheme="minorEastAsia" w:eastAsiaTheme="minorEastAsia"/>
                <w:color w:val="auto"/>
                <w:spacing w:val="-1"/>
                <w:szCs w:val="21"/>
                <w:highlight w:val="none"/>
                <w:lang w:eastAsia="zh-CN"/>
              </w:rPr>
              <w:t>理措施</w:t>
            </w:r>
          </w:p>
        </w:tc>
        <w:tc>
          <w:tcPr>
            <w:tcW w:w="387" w:type="pct"/>
            <w:tcBorders>
              <w:top w:val="single" w:color="000000" w:sz="4" w:space="0"/>
              <w:left w:val="single" w:color="000000" w:sz="4" w:space="0"/>
              <w:bottom w:val="single" w:color="000000" w:sz="4" w:space="0"/>
              <w:right w:val="single" w:color="000000" w:sz="4" w:space="0"/>
            </w:tcBorders>
            <w:vAlign w:val="center"/>
          </w:tcPr>
          <w:p w14:paraId="592B1301">
            <w:pPr>
              <w:spacing w:line="400" w:lineRule="exact"/>
              <w:ind w:left="103"/>
              <w:jc w:val="center"/>
              <w:rPr>
                <w:rFonts w:cs="宋体" w:asciiTheme="minorEastAsia" w:hAnsiTheme="minorEastAsia" w:eastAsiaTheme="minorEastAsia"/>
                <w:color w:val="auto"/>
                <w:szCs w:val="21"/>
                <w:highlight w:val="none"/>
                <w:lang w:eastAsia="en-US"/>
              </w:rPr>
            </w:pPr>
            <w:r>
              <w:rPr>
                <w:rFonts w:cs="宋体" w:asciiTheme="minorEastAsia" w:hAnsiTheme="minorEastAsia" w:eastAsiaTheme="minorEastAsia"/>
                <w:color w:val="auto"/>
                <w:spacing w:val="-2"/>
                <w:szCs w:val="21"/>
                <w:highlight w:val="none"/>
                <w:lang w:eastAsia="en-US"/>
              </w:rPr>
              <w:t>1</w:t>
            </w:r>
            <w:r>
              <w:rPr>
                <w:rFonts w:hint="eastAsia" w:cs="宋体" w:asciiTheme="minorEastAsia" w:hAnsiTheme="minorEastAsia" w:eastAsiaTheme="minorEastAsia"/>
                <w:color w:val="auto"/>
                <w:spacing w:val="-2"/>
                <w:szCs w:val="21"/>
                <w:highlight w:val="none"/>
                <w:lang w:val="en-US" w:eastAsia="zh-CN"/>
              </w:rPr>
              <w:t>6</w:t>
            </w:r>
            <w:r>
              <w:rPr>
                <w:rFonts w:cs="宋体" w:asciiTheme="minorEastAsia" w:hAnsiTheme="minorEastAsia" w:eastAsiaTheme="minorEastAsia"/>
                <w:color w:val="auto"/>
                <w:szCs w:val="21"/>
                <w:highlight w:val="none"/>
                <w:lang w:eastAsia="en-US"/>
              </w:rPr>
              <w:t>分</w:t>
            </w:r>
          </w:p>
        </w:tc>
        <w:tc>
          <w:tcPr>
            <w:tcW w:w="3705" w:type="pct"/>
            <w:tcBorders>
              <w:top w:val="single" w:color="000000" w:sz="4" w:space="0"/>
              <w:left w:val="single" w:color="000000" w:sz="4" w:space="0"/>
              <w:bottom w:val="single" w:color="000000" w:sz="4" w:space="0"/>
              <w:right w:val="single" w:color="000000" w:sz="4" w:space="0"/>
            </w:tcBorders>
          </w:tcPr>
          <w:p w14:paraId="03517F45">
            <w:pPr>
              <w:spacing w:line="400" w:lineRule="exact"/>
              <w:rPr>
                <w:rFonts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lang w:eastAsia="zh-CN"/>
              </w:rPr>
              <w:t>制</w:t>
            </w:r>
            <w:r>
              <w:rPr>
                <w:rFonts w:cs="宋体" w:asciiTheme="minorEastAsia" w:hAnsiTheme="minorEastAsia" w:eastAsiaTheme="minorEastAsia"/>
                <w:color w:val="auto"/>
                <w:spacing w:val="-3"/>
                <w:szCs w:val="21"/>
                <w:highlight w:val="none"/>
                <w:lang w:eastAsia="zh-CN"/>
              </w:rPr>
              <w:t>定</w:t>
            </w:r>
            <w:r>
              <w:rPr>
                <w:rFonts w:cs="宋体" w:asciiTheme="minorEastAsia" w:hAnsiTheme="minorEastAsia" w:eastAsiaTheme="minorEastAsia"/>
                <w:color w:val="auto"/>
                <w:szCs w:val="21"/>
                <w:highlight w:val="none"/>
                <w:lang w:eastAsia="zh-CN"/>
              </w:rPr>
              <w:t>详细</w:t>
            </w:r>
            <w:r>
              <w:rPr>
                <w:rFonts w:cs="宋体" w:asciiTheme="minorEastAsia" w:hAnsiTheme="minorEastAsia" w:eastAsiaTheme="minorEastAsia"/>
                <w:color w:val="auto"/>
                <w:spacing w:val="-3"/>
                <w:szCs w:val="21"/>
                <w:highlight w:val="none"/>
                <w:lang w:eastAsia="zh-CN"/>
              </w:rPr>
              <w:t>的</w:t>
            </w:r>
            <w:r>
              <w:rPr>
                <w:rFonts w:cs="宋体" w:asciiTheme="minorEastAsia" w:hAnsiTheme="minorEastAsia" w:eastAsiaTheme="minorEastAsia"/>
                <w:color w:val="auto"/>
                <w:szCs w:val="21"/>
                <w:highlight w:val="none"/>
                <w:lang w:eastAsia="zh-CN"/>
              </w:rPr>
              <w:t>应急</w:t>
            </w:r>
            <w:r>
              <w:rPr>
                <w:rFonts w:cs="宋体" w:asciiTheme="minorEastAsia" w:hAnsiTheme="minorEastAsia" w:eastAsiaTheme="minorEastAsia"/>
                <w:color w:val="auto"/>
                <w:spacing w:val="-3"/>
                <w:szCs w:val="21"/>
                <w:highlight w:val="none"/>
                <w:lang w:eastAsia="zh-CN"/>
              </w:rPr>
              <w:t>预</w:t>
            </w:r>
            <w:r>
              <w:rPr>
                <w:rFonts w:cs="宋体" w:asciiTheme="minorEastAsia" w:hAnsiTheme="minorEastAsia" w:eastAsiaTheme="minorEastAsia"/>
                <w:color w:val="auto"/>
                <w:spacing w:val="-2"/>
                <w:szCs w:val="21"/>
                <w:highlight w:val="none"/>
                <w:lang w:eastAsia="zh-CN"/>
              </w:rPr>
              <w:t>案</w:t>
            </w:r>
            <w:r>
              <w:rPr>
                <w:rFonts w:cs="宋体" w:asciiTheme="minorEastAsia" w:hAnsiTheme="minorEastAsia" w:eastAsiaTheme="minorEastAsia"/>
                <w:color w:val="auto"/>
                <w:spacing w:val="-22"/>
                <w:szCs w:val="21"/>
                <w:highlight w:val="none"/>
                <w:lang w:eastAsia="zh-CN"/>
              </w:rPr>
              <w:t>，</w:t>
            </w:r>
            <w:r>
              <w:rPr>
                <w:rFonts w:cs="宋体" w:asciiTheme="minorEastAsia" w:hAnsiTheme="minorEastAsia" w:eastAsiaTheme="minorEastAsia"/>
                <w:color w:val="auto"/>
                <w:szCs w:val="21"/>
                <w:highlight w:val="none"/>
                <w:lang w:eastAsia="zh-CN"/>
              </w:rPr>
              <w:t>应</w:t>
            </w:r>
            <w:r>
              <w:rPr>
                <w:rFonts w:cs="宋体" w:asciiTheme="minorEastAsia" w:hAnsiTheme="minorEastAsia" w:eastAsiaTheme="minorEastAsia"/>
                <w:color w:val="auto"/>
                <w:spacing w:val="-3"/>
                <w:szCs w:val="21"/>
                <w:highlight w:val="none"/>
                <w:lang w:eastAsia="zh-CN"/>
              </w:rPr>
              <w:t>急</w:t>
            </w:r>
            <w:r>
              <w:rPr>
                <w:rFonts w:cs="宋体" w:asciiTheme="minorEastAsia" w:hAnsiTheme="minorEastAsia" w:eastAsiaTheme="minorEastAsia"/>
                <w:color w:val="auto"/>
                <w:szCs w:val="21"/>
                <w:highlight w:val="none"/>
                <w:lang w:eastAsia="zh-CN"/>
              </w:rPr>
              <w:t>和保</w:t>
            </w:r>
            <w:r>
              <w:rPr>
                <w:rFonts w:cs="宋体" w:asciiTheme="minorEastAsia" w:hAnsiTheme="minorEastAsia" w:eastAsiaTheme="minorEastAsia"/>
                <w:color w:val="auto"/>
                <w:spacing w:val="-3"/>
                <w:szCs w:val="21"/>
                <w:highlight w:val="none"/>
                <w:lang w:eastAsia="zh-CN"/>
              </w:rPr>
              <w:t>障</w:t>
            </w:r>
            <w:r>
              <w:rPr>
                <w:rFonts w:cs="宋体" w:asciiTheme="minorEastAsia" w:hAnsiTheme="minorEastAsia" w:eastAsiaTheme="minorEastAsia"/>
                <w:color w:val="auto"/>
                <w:szCs w:val="21"/>
                <w:highlight w:val="none"/>
                <w:lang w:eastAsia="zh-CN"/>
              </w:rPr>
              <w:t>机制</w:t>
            </w:r>
            <w:r>
              <w:rPr>
                <w:rFonts w:cs="宋体" w:asciiTheme="minorEastAsia" w:hAnsiTheme="minorEastAsia" w:eastAsiaTheme="minorEastAsia"/>
                <w:color w:val="auto"/>
                <w:spacing w:val="-3"/>
                <w:szCs w:val="21"/>
                <w:highlight w:val="none"/>
                <w:lang w:eastAsia="zh-CN"/>
              </w:rPr>
              <w:t>健</w:t>
            </w:r>
            <w:r>
              <w:rPr>
                <w:rFonts w:cs="宋体" w:asciiTheme="minorEastAsia" w:hAnsiTheme="minorEastAsia" w:eastAsiaTheme="minorEastAsia"/>
                <w:color w:val="auto"/>
                <w:spacing w:val="-2"/>
                <w:szCs w:val="21"/>
                <w:highlight w:val="none"/>
                <w:lang w:eastAsia="zh-CN"/>
              </w:rPr>
              <w:t>全</w:t>
            </w:r>
            <w:r>
              <w:rPr>
                <w:rFonts w:cs="宋体" w:asciiTheme="minorEastAsia" w:hAnsiTheme="minorEastAsia" w:eastAsiaTheme="minorEastAsia"/>
                <w:color w:val="auto"/>
                <w:spacing w:val="-25"/>
                <w:szCs w:val="21"/>
                <w:highlight w:val="none"/>
                <w:lang w:eastAsia="zh-CN"/>
              </w:rPr>
              <w:t>，</w:t>
            </w:r>
            <w:r>
              <w:rPr>
                <w:rFonts w:cs="宋体" w:asciiTheme="minorEastAsia" w:hAnsiTheme="minorEastAsia" w:eastAsiaTheme="minorEastAsia"/>
                <w:color w:val="auto"/>
                <w:szCs w:val="21"/>
                <w:highlight w:val="none"/>
                <w:lang w:eastAsia="zh-CN"/>
              </w:rPr>
              <w:t>能</w:t>
            </w:r>
            <w:r>
              <w:rPr>
                <w:rFonts w:cs="宋体" w:asciiTheme="minorEastAsia" w:hAnsiTheme="minorEastAsia" w:eastAsiaTheme="minorEastAsia"/>
                <w:color w:val="auto"/>
                <w:spacing w:val="-3"/>
                <w:szCs w:val="21"/>
                <w:highlight w:val="none"/>
                <w:lang w:eastAsia="zh-CN"/>
              </w:rPr>
              <w:t>够</w:t>
            </w:r>
            <w:r>
              <w:rPr>
                <w:rFonts w:cs="宋体" w:asciiTheme="minorEastAsia" w:hAnsiTheme="minorEastAsia" w:eastAsiaTheme="minorEastAsia"/>
                <w:color w:val="auto"/>
                <w:szCs w:val="21"/>
                <w:highlight w:val="none"/>
                <w:lang w:eastAsia="zh-CN"/>
              </w:rPr>
              <w:t>预见</w:t>
            </w:r>
            <w:r>
              <w:rPr>
                <w:rFonts w:cs="宋体" w:asciiTheme="minorEastAsia" w:hAnsiTheme="minorEastAsia" w:eastAsiaTheme="minorEastAsia"/>
                <w:color w:val="auto"/>
                <w:spacing w:val="-3"/>
                <w:szCs w:val="21"/>
                <w:highlight w:val="none"/>
                <w:lang w:eastAsia="zh-CN"/>
              </w:rPr>
              <w:t>并</w:t>
            </w:r>
            <w:r>
              <w:rPr>
                <w:rFonts w:cs="宋体" w:asciiTheme="minorEastAsia" w:hAnsiTheme="minorEastAsia" w:eastAsiaTheme="minorEastAsia"/>
                <w:color w:val="auto"/>
                <w:szCs w:val="21"/>
                <w:highlight w:val="none"/>
                <w:lang w:eastAsia="zh-CN"/>
              </w:rPr>
              <w:t>有效</w:t>
            </w:r>
            <w:r>
              <w:rPr>
                <w:rFonts w:cs="宋体" w:asciiTheme="minorEastAsia" w:hAnsiTheme="minorEastAsia" w:eastAsiaTheme="minorEastAsia"/>
                <w:color w:val="auto"/>
                <w:spacing w:val="-3"/>
                <w:szCs w:val="21"/>
                <w:highlight w:val="none"/>
                <w:lang w:eastAsia="zh-CN"/>
              </w:rPr>
              <w:t>应对各种突发事件，有明确的应急组织机构，能落实到具体负责人；</w:t>
            </w:r>
            <w:r>
              <w:rPr>
                <w:rFonts w:cs="宋体" w:asciiTheme="minorEastAsia" w:hAnsiTheme="minorEastAsia" w:eastAsiaTheme="minorEastAsia"/>
                <w:color w:val="auto"/>
                <w:spacing w:val="-1"/>
                <w:szCs w:val="21"/>
                <w:highlight w:val="none"/>
                <w:lang w:eastAsia="zh-CN"/>
              </w:rPr>
              <w:t>措施科学合理，可行性强，得</w:t>
            </w:r>
            <w:r>
              <w:rPr>
                <w:rFonts w:hint="eastAsia" w:cs="宋体" w:asciiTheme="minorEastAsia" w:hAnsiTheme="minorEastAsia" w:eastAsiaTheme="minorEastAsia"/>
                <w:color w:val="auto"/>
                <w:spacing w:val="-1"/>
                <w:szCs w:val="21"/>
                <w:highlight w:val="none"/>
                <w:lang w:val="en-US" w:eastAsia="zh-CN"/>
              </w:rPr>
              <w:t>16</w:t>
            </w:r>
            <w:r>
              <w:rPr>
                <w:rFonts w:cs="宋体" w:asciiTheme="minorEastAsia" w:hAnsiTheme="minorEastAsia" w:eastAsiaTheme="minorEastAsia"/>
                <w:color w:val="auto"/>
                <w:spacing w:val="-2"/>
                <w:szCs w:val="21"/>
                <w:highlight w:val="none"/>
                <w:lang w:eastAsia="zh-CN"/>
              </w:rPr>
              <w:t>分；措施较科学、可行性较强，</w:t>
            </w:r>
            <w:r>
              <w:rPr>
                <w:rFonts w:cs="宋体" w:asciiTheme="minorEastAsia" w:hAnsiTheme="minorEastAsia" w:eastAsiaTheme="minorEastAsia"/>
                <w:color w:val="auto"/>
                <w:szCs w:val="21"/>
                <w:highlight w:val="none"/>
                <w:lang w:eastAsia="zh-CN"/>
              </w:rPr>
              <w:t>得</w:t>
            </w:r>
            <w:r>
              <w:rPr>
                <w:rFonts w:hint="eastAsia" w:cs="宋体" w:asciiTheme="minorEastAsia" w:hAnsiTheme="minorEastAsia" w:eastAsiaTheme="minorEastAsia"/>
                <w:color w:val="auto"/>
                <w:spacing w:val="-1"/>
                <w:szCs w:val="21"/>
                <w:highlight w:val="none"/>
                <w:lang w:val="en-US" w:eastAsia="zh-CN"/>
              </w:rPr>
              <w:t>10</w:t>
            </w:r>
            <w:r>
              <w:rPr>
                <w:rFonts w:cs="宋体" w:asciiTheme="minorEastAsia" w:hAnsiTheme="minorEastAsia" w:eastAsiaTheme="minorEastAsia"/>
                <w:color w:val="auto"/>
                <w:spacing w:val="-1"/>
                <w:szCs w:val="21"/>
                <w:highlight w:val="none"/>
                <w:lang w:eastAsia="zh-CN"/>
              </w:rPr>
              <w:t>分；措施相对科学，可行性一般，得</w:t>
            </w:r>
            <w:r>
              <w:rPr>
                <w:rFonts w:hint="eastAsia" w:cs="宋体" w:asciiTheme="minorEastAsia" w:hAnsiTheme="minorEastAsia" w:eastAsiaTheme="minorEastAsia"/>
                <w:color w:val="auto"/>
                <w:spacing w:val="-1"/>
                <w:szCs w:val="21"/>
                <w:highlight w:val="none"/>
                <w:lang w:val="en-US" w:eastAsia="zh-CN"/>
              </w:rPr>
              <w:t>5</w:t>
            </w:r>
            <w:r>
              <w:rPr>
                <w:rFonts w:cs="宋体" w:asciiTheme="minorEastAsia" w:hAnsiTheme="minorEastAsia" w:eastAsiaTheme="minorEastAsia"/>
                <w:color w:val="auto"/>
                <w:spacing w:val="-2"/>
                <w:szCs w:val="21"/>
                <w:highlight w:val="none"/>
                <w:lang w:eastAsia="zh-CN"/>
              </w:rPr>
              <w:t>分，没有不得分。</w:t>
            </w:r>
          </w:p>
        </w:tc>
      </w:tr>
      <w:tr w14:paraId="25AFC6E9">
        <w:tblPrEx>
          <w:tblCellMar>
            <w:top w:w="0" w:type="dxa"/>
            <w:left w:w="0" w:type="dxa"/>
            <w:bottom w:w="0" w:type="dxa"/>
            <w:right w:w="0" w:type="dxa"/>
          </w:tblCellMar>
        </w:tblPrEx>
        <w:trPr>
          <w:trHeight w:val="701" w:hRule="atLeast"/>
        </w:trPr>
        <w:tc>
          <w:tcPr>
            <w:tcW w:w="452" w:type="pct"/>
            <w:tcBorders>
              <w:top w:val="single" w:color="000000" w:sz="4" w:space="0"/>
              <w:left w:val="single" w:color="000000" w:sz="4" w:space="0"/>
              <w:bottom w:val="single" w:color="auto" w:sz="4" w:space="0"/>
              <w:right w:val="single" w:color="000000" w:sz="4" w:space="0"/>
            </w:tcBorders>
            <w:vAlign w:val="center"/>
          </w:tcPr>
          <w:p w14:paraId="18863981">
            <w:pPr>
              <w:spacing w:line="400" w:lineRule="exact"/>
              <w:ind w:left="102"/>
              <w:jc w:val="center"/>
              <w:rPr>
                <w:rFonts w:cs="宋体" w:asciiTheme="minorEastAsia" w:hAnsiTheme="minorEastAsia" w:eastAsiaTheme="minorEastAsia"/>
                <w:color w:val="auto"/>
                <w:szCs w:val="21"/>
                <w:highlight w:val="none"/>
                <w:lang w:eastAsia="en-US"/>
              </w:rPr>
            </w:pPr>
            <w:r>
              <w:rPr>
                <w:rFonts w:cs="宋体" w:asciiTheme="minorEastAsia" w:hAnsiTheme="minorEastAsia" w:eastAsiaTheme="minorEastAsia"/>
                <w:color w:val="auto"/>
                <w:szCs w:val="21"/>
                <w:highlight w:val="none"/>
                <w:lang w:eastAsia="en-US"/>
              </w:rPr>
              <w:t>合计</w:t>
            </w:r>
          </w:p>
        </w:tc>
        <w:tc>
          <w:tcPr>
            <w:tcW w:w="4547" w:type="pct"/>
            <w:gridSpan w:val="3"/>
            <w:tcBorders>
              <w:top w:val="single" w:color="000000" w:sz="4" w:space="0"/>
              <w:left w:val="single" w:color="000000" w:sz="4" w:space="0"/>
              <w:bottom w:val="single" w:color="auto" w:sz="4" w:space="0"/>
              <w:right w:val="single" w:color="000000" w:sz="4" w:space="0"/>
            </w:tcBorders>
            <w:vAlign w:val="center"/>
          </w:tcPr>
          <w:p w14:paraId="42DA46BD">
            <w:pPr>
              <w:spacing w:line="400" w:lineRule="exact"/>
              <w:jc w:val="center"/>
              <w:rPr>
                <w:rFonts w:cs="宋体" w:asciiTheme="minorEastAsia" w:hAnsiTheme="minorEastAsia" w:eastAsiaTheme="minorEastAsia"/>
                <w:color w:val="auto"/>
                <w:szCs w:val="21"/>
                <w:highlight w:val="none"/>
                <w:lang w:eastAsia="en-US"/>
              </w:rPr>
            </w:pPr>
            <w:r>
              <w:rPr>
                <w:rFonts w:hint="eastAsia" w:cs="宋体" w:asciiTheme="minorEastAsia" w:hAnsiTheme="minorEastAsia" w:eastAsiaTheme="minorEastAsia"/>
                <w:color w:val="auto"/>
                <w:szCs w:val="21"/>
                <w:highlight w:val="none"/>
                <w:lang w:eastAsia="en-US"/>
              </w:rPr>
              <w:t>100分</w:t>
            </w:r>
          </w:p>
        </w:tc>
      </w:tr>
    </w:tbl>
    <w:p w14:paraId="183D7CD7">
      <w:pPr>
        <w:spacing w:line="440" w:lineRule="exact"/>
        <w:jc w:val="both"/>
        <w:rPr>
          <w:rFonts w:hint="eastAsia" w:ascii="仿宋" w:hAnsi="仿宋" w:eastAsia="仿宋" w:cs="仿宋"/>
          <w:b/>
          <w:color w:val="auto"/>
          <w:sz w:val="28"/>
          <w:szCs w:val="28"/>
          <w:lang w:val="en-US" w:eastAsia="zh-CN"/>
        </w:rPr>
      </w:pPr>
    </w:p>
    <w:p w14:paraId="0C73603F">
      <w:pPr>
        <w:pStyle w:val="2"/>
        <w:rPr>
          <w:rFonts w:hint="eastAsia"/>
          <w:color w:val="auto"/>
        </w:rPr>
      </w:pPr>
    </w:p>
    <w:p w14:paraId="3E8C1BDA">
      <w:pPr>
        <w:spacing w:line="440" w:lineRule="exact"/>
        <w:jc w:val="both"/>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标项二：叶城县2025年依提木孔镇核桃蛀果害虫绿色防控项目（飞机防治监理服务采购）</w:t>
      </w:r>
    </w:p>
    <w:tbl>
      <w:tblPr>
        <w:tblStyle w:val="107"/>
        <w:tblW w:w="969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1385"/>
        <w:gridCol w:w="938"/>
        <w:gridCol w:w="6579"/>
      </w:tblGrid>
      <w:tr w14:paraId="6A0F3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96" w:type="dxa"/>
            <w:tcBorders>
              <w:top w:val="single" w:color="000000" w:sz="4" w:space="0"/>
              <w:left w:val="single" w:color="000000" w:sz="4" w:space="0"/>
              <w:right w:val="single" w:color="000000" w:sz="4" w:space="0"/>
            </w:tcBorders>
            <w:vAlign w:val="top"/>
          </w:tcPr>
          <w:p w14:paraId="71910DF5">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评分 项目</w:t>
            </w:r>
          </w:p>
        </w:tc>
        <w:tc>
          <w:tcPr>
            <w:tcW w:w="1385" w:type="dxa"/>
            <w:tcBorders>
              <w:top w:val="single" w:color="000000" w:sz="4" w:space="0"/>
              <w:left w:val="single" w:color="000000" w:sz="4" w:space="0"/>
              <w:right w:val="single" w:color="000000" w:sz="4" w:space="0"/>
            </w:tcBorders>
            <w:vAlign w:val="top"/>
          </w:tcPr>
          <w:p w14:paraId="1236ECF8">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A913084">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评审项目</w:t>
            </w:r>
          </w:p>
        </w:tc>
        <w:tc>
          <w:tcPr>
            <w:tcW w:w="938" w:type="dxa"/>
            <w:tcBorders>
              <w:top w:val="single" w:color="000000" w:sz="4" w:space="0"/>
              <w:left w:val="single" w:color="000000" w:sz="4" w:space="0"/>
              <w:right w:val="single" w:color="000000" w:sz="4" w:space="0"/>
            </w:tcBorders>
            <w:vAlign w:val="top"/>
          </w:tcPr>
          <w:p w14:paraId="7C38D9CA">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5D73B7E">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分值</w:t>
            </w:r>
          </w:p>
        </w:tc>
        <w:tc>
          <w:tcPr>
            <w:tcW w:w="6579" w:type="dxa"/>
            <w:tcBorders>
              <w:top w:val="single" w:color="000000" w:sz="4" w:space="0"/>
              <w:left w:val="single" w:color="000000" w:sz="4" w:space="0"/>
              <w:right w:val="single" w:color="000000" w:sz="4" w:space="0"/>
            </w:tcBorders>
            <w:vAlign w:val="top"/>
          </w:tcPr>
          <w:p w14:paraId="484E792A">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71E4341">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评  标  要  点  及  说  明</w:t>
            </w:r>
          </w:p>
        </w:tc>
      </w:tr>
      <w:tr w14:paraId="1CE87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796" w:type="dxa"/>
            <w:vAlign w:val="top"/>
          </w:tcPr>
          <w:p w14:paraId="0536024B">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FA91E18">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7F6FB25D">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3EE6CB14">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 xml:space="preserve">报价 部分 </w:t>
            </w:r>
          </w:p>
        </w:tc>
        <w:tc>
          <w:tcPr>
            <w:tcW w:w="1385" w:type="dxa"/>
            <w:vAlign w:val="top"/>
          </w:tcPr>
          <w:p w14:paraId="69549B9D">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7CA01088">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D0829AF">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3D362ACD">
            <w:pPr>
              <w:spacing w:line="400" w:lineRule="exact"/>
              <w:ind w:firstLine="210" w:firstLineChars="100"/>
              <w:jc w:val="both"/>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投标报价</w:t>
            </w:r>
          </w:p>
        </w:tc>
        <w:tc>
          <w:tcPr>
            <w:tcW w:w="938" w:type="dxa"/>
            <w:vAlign w:val="top"/>
          </w:tcPr>
          <w:p w14:paraId="3EDC1E52">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0843AF6E">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40A8AD4">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8220821">
            <w:pPr>
              <w:spacing w:line="400" w:lineRule="exact"/>
              <w:ind w:firstLine="210" w:firstLineChars="100"/>
              <w:jc w:val="both"/>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20 分</w:t>
            </w:r>
          </w:p>
        </w:tc>
        <w:tc>
          <w:tcPr>
            <w:tcW w:w="6579" w:type="dxa"/>
            <w:vAlign w:val="top"/>
          </w:tcPr>
          <w:p w14:paraId="47BE1514">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按照财政部《政府采购货物和服务招标投标管理办法》 （财政部令第 87 号） 的有关规定： 价格分采用低价优先法计算 ， 即满足招标文件 要求且投标价格最低的投标报价为评标基准价 ，其价格分为满分 。其 他投标人的价格分统一按照下列公式计算： 投标报价得分 =（评标基 准价/投标报价） ×价格权值 × 100（计算分值时 ，百分比按四舍五入 原则 ，保留小数点后二位数）</w:t>
            </w:r>
          </w:p>
          <w:p w14:paraId="082470DD">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（因落实政府采购政策进行价格调整的 ， 以调整后的价格计算评标基 准价和投标报价）</w:t>
            </w:r>
          </w:p>
        </w:tc>
      </w:tr>
      <w:tr w14:paraId="49E7F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5" w:hRule="atLeast"/>
        </w:trPr>
        <w:tc>
          <w:tcPr>
            <w:tcW w:w="796" w:type="dxa"/>
            <w:vMerge w:val="restart"/>
            <w:tcBorders>
              <w:bottom w:val="nil"/>
            </w:tcBorders>
            <w:vAlign w:val="top"/>
          </w:tcPr>
          <w:p w14:paraId="23318335">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0D623ECD">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3C33231">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509C6FF">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ECEB4CA">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6F1B5CD7">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77275DF3">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FD4C5BE">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5964AD3">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CFE9422">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AEB07EE">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37F78353">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07A66F00">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 xml:space="preserve">商务 部分 </w:t>
            </w:r>
          </w:p>
        </w:tc>
        <w:tc>
          <w:tcPr>
            <w:tcW w:w="1385" w:type="dxa"/>
            <w:vAlign w:val="top"/>
          </w:tcPr>
          <w:p w14:paraId="02BA869C">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799E66D">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3F18E65">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38319BE">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6BC3401B">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项目监理机 构人员</w:t>
            </w:r>
          </w:p>
        </w:tc>
        <w:tc>
          <w:tcPr>
            <w:tcW w:w="938" w:type="dxa"/>
            <w:vAlign w:val="top"/>
          </w:tcPr>
          <w:p w14:paraId="7F924DBE">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589CF42">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05F98878">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D3E3E29">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C5DC665">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7189F7D4">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10 分</w:t>
            </w:r>
          </w:p>
        </w:tc>
        <w:tc>
          <w:tcPr>
            <w:tcW w:w="6579" w:type="dxa"/>
            <w:vAlign w:val="top"/>
          </w:tcPr>
          <w:p w14:paraId="618F4A54">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 、 现场配置专业监理工程师人员承诺常驻、不更换且不缺勤的 ， 提 供2人得 2.5 分 ， 每少一人减少 0.5 分。</w:t>
            </w:r>
          </w:p>
          <w:p w14:paraId="09026A67">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 、 配备的专业理工程师中 ， 具有注册监理工程师资格的每一人得</w:t>
            </w:r>
          </w:p>
          <w:p w14:paraId="08DC4028">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1.5 分 ， 最多得 3 分。</w:t>
            </w:r>
          </w:p>
          <w:p w14:paraId="56F4A5F2">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3、专业监理工程承担的工作内容划分清晰的得 2.5 分 ，否则不得分。</w:t>
            </w:r>
          </w:p>
          <w:p w14:paraId="45B2B925">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4 、 投标单位需承诺项目监理工作人员未尽到监理职责做出处理方案 的承诺； 提供承诺得 2 分 ，不提供不得分。（格式自拟 ，承诺书扫描 件加盖公章上传至电子投标文件内）</w:t>
            </w:r>
          </w:p>
        </w:tc>
      </w:tr>
      <w:tr w14:paraId="62546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6" w:type="dxa"/>
            <w:vMerge w:val="continue"/>
            <w:tcBorders>
              <w:top w:val="nil"/>
              <w:bottom w:val="nil"/>
            </w:tcBorders>
            <w:vAlign w:val="top"/>
          </w:tcPr>
          <w:p w14:paraId="6893E6A4">
            <w:pPr>
              <w:spacing w:line="400" w:lineRule="exact"/>
              <w:ind w:left="131"/>
              <w:jc w:val="center"/>
              <w:rPr>
                <w:rFonts w:hint="eastAsia" w:cs="宋体" w:asciiTheme="minorEastAsia" w:hAnsiTheme="minorEastAsia" w:eastAsiaTheme="minorEastAsia"/>
                <w:color w:val="auto"/>
                <w:szCs w:val="21"/>
                <w:highlight w:val="none"/>
                <w:lang w:val="en-US" w:eastAsia="zh-CN"/>
              </w:rPr>
            </w:pPr>
          </w:p>
        </w:tc>
        <w:tc>
          <w:tcPr>
            <w:tcW w:w="1385" w:type="dxa"/>
            <w:vAlign w:val="top"/>
          </w:tcPr>
          <w:p w14:paraId="4D097139">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38263674">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CF14427">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69910905">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12B160E">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04A5DB7">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企业设备仪 器</w:t>
            </w:r>
          </w:p>
        </w:tc>
        <w:tc>
          <w:tcPr>
            <w:tcW w:w="938" w:type="dxa"/>
            <w:vAlign w:val="top"/>
          </w:tcPr>
          <w:p w14:paraId="6B80BA7A">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AE9525E">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1B04FA29">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08CE4A1F">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AF31E52">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16F3A86B">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10 分</w:t>
            </w:r>
          </w:p>
        </w:tc>
        <w:tc>
          <w:tcPr>
            <w:tcW w:w="6579" w:type="dxa"/>
            <w:vAlign w:val="top"/>
          </w:tcPr>
          <w:p w14:paraId="71857C80">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1、针对招标工程特点 ， 配备的监理设备、仪器切合实际需求 ， 满足招标工程要求且考虑全面 ， 得 10 分；</w:t>
            </w:r>
          </w:p>
          <w:p w14:paraId="41CF7A52">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2、针对招标工程特点 ， 配备的监理设备、仪器基本满足招标工程要 求 ，考虑全面 ，得 7 分；</w:t>
            </w:r>
          </w:p>
          <w:p w14:paraId="1F013B10">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3、针对招标工程特点 ， 配备的监理设备、仪器基本满足招标工程要 求 ，考虑不全面 ， 得 4 分；</w:t>
            </w:r>
          </w:p>
          <w:p w14:paraId="32CE81F9">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4、针对招标工程特点 ， 配备的监理设备、仪器不满足招标工程要求， 不得分；</w:t>
            </w:r>
          </w:p>
        </w:tc>
      </w:tr>
      <w:tr w14:paraId="0C3CF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6" w:type="dxa"/>
            <w:vMerge w:val="continue"/>
            <w:tcBorders>
              <w:top w:val="nil"/>
            </w:tcBorders>
            <w:vAlign w:val="top"/>
          </w:tcPr>
          <w:p w14:paraId="036239CE">
            <w:pPr>
              <w:spacing w:line="400" w:lineRule="exact"/>
              <w:ind w:left="131"/>
              <w:jc w:val="center"/>
              <w:rPr>
                <w:rFonts w:hint="eastAsia" w:cs="宋体" w:asciiTheme="minorEastAsia" w:hAnsiTheme="minorEastAsia" w:eastAsiaTheme="minorEastAsia"/>
                <w:color w:val="auto"/>
                <w:szCs w:val="21"/>
                <w:highlight w:val="none"/>
                <w:lang w:val="en-US" w:eastAsia="zh-CN"/>
              </w:rPr>
            </w:pPr>
          </w:p>
        </w:tc>
        <w:tc>
          <w:tcPr>
            <w:tcW w:w="1385" w:type="dxa"/>
            <w:vAlign w:val="top"/>
          </w:tcPr>
          <w:p w14:paraId="0A0472CB">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01126EB9">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51D493C">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业  绩</w:t>
            </w:r>
          </w:p>
        </w:tc>
        <w:tc>
          <w:tcPr>
            <w:tcW w:w="938" w:type="dxa"/>
            <w:vAlign w:val="top"/>
          </w:tcPr>
          <w:p w14:paraId="2D315B72">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71459F9B">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74397DF2">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5 分</w:t>
            </w:r>
          </w:p>
        </w:tc>
        <w:tc>
          <w:tcPr>
            <w:tcW w:w="6579" w:type="dxa"/>
            <w:vAlign w:val="top"/>
          </w:tcPr>
          <w:p w14:paraId="6AEE4293">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总监理工程师业绩：</w:t>
            </w:r>
          </w:p>
          <w:p w14:paraId="0BC63BFA">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提供近三年（ 2022 年1月-至今） 承担过类似或相近工程项目的总监理工程师业绩 ， 每一项得2.5分 ， 最多得 5 分 。 （业绩需提供合同协议书及中标通知书扫描件加盖公章 。）</w:t>
            </w:r>
          </w:p>
        </w:tc>
      </w:tr>
    </w:tbl>
    <w:p w14:paraId="1E01D3F2">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8C0DF0B">
      <w:pPr>
        <w:spacing w:line="400" w:lineRule="exact"/>
        <w:ind w:left="131"/>
        <w:jc w:val="center"/>
        <w:rPr>
          <w:rFonts w:hint="eastAsia" w:cs="宋体" w:asciiTheme="minorEastAsia" w:hAnsiTheme="minorEastAsia" w:eastAsiaTheme="minorEastAsia"/>
          <w:color w:val="auto"/>
          <w:szCs w:val="21"/>
          <w:highlight w:val="none"/>
          <w:lang w:val="en-US" w:eastAsia="zh-CN"/>
        </w:rPr>
        <w:sectPr>
          <w:footerReference r:id="rId18" w:type="default"/>
          <w:pgSz w:w="11900" w:h="16839"/>
          <w:pgMar w:top="1355" w:right="1078" w:bottom="1152" w:left="1062" w:header="0" w:footer="986" w:gutter="0"/>
          <w:pgNumType w:fmt="decimal"/>
          <w:cols w:space="720" w:num="1"/>
        </w:sectPr>
      </w:pPr>
    </w:p>
    <w:tbl>
      <w:tblPr>
        <w:tblStyle w:val="107"/>
        <w:tblW w:w="9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356"/>
        <w:gridCol w:w="919"/>
        <w:gridCol w:w="6492"/>
      </w:tblGrid>
      <w:tr w14:paraId="17BBD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1" w:hRule="atLeast"/>
        </w:trPr>
        <w:tc>
          <w:tcPr>
            <w:tcW w:w="771" w:type="dxa"/>
            <w:vMerge w:val="restart"/>
            <w:tcBorders>
              <w:bottom w:val="nil"/>
            </w:tcBorders>
            <w:vAlign w:val="top"/>
          </w:tcPr>
          <w:p w14:paraId="0EBF848A">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8A1808F">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6BEB006">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7502665C">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3C9C3F3">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FD56F2B">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5F47B25">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C31996F">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6EB0DE5">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13DDF0F4">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928E47C">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870A13E">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0D0E211B">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B434506">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40D7167">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32EA037A">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626336F7">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1F972185">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0418300F">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220DDDE">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A54701B">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1FB0DA98">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102567B0">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12D44E8">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77E400EB">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774FC1F1">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06EB6610">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 xml:space="preserve">技术 部分 </w:t>
            </w:r>
          </w:p>
        </w:tc>
        <w:tc>
          <w:tcPr>
            <w:tcW w:w="1356" w:type="dxa"/>
            <w:tcBorders>
              <w:top w:val="single" w:color="000000" w:sz="8" w:space="0"/>
            </w:tcBorders>
            <w:vAlign w:val="top"/>
          </w:tcPr>
          <w:p w14:paraId="21994734">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7426C20A">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644091F1">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6CF11133">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0EB1CF71">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F8549B2">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0CE225A8">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134357C1">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工程概况</w:t>
            </w:r>
          </w:p>
        </w:tc>
        <w:tc>
          <w:tcPr>
            <w:tcW w:w="919" w:type="dxa"/>
            <w:tcBorders>
              <w:top w:val="single" w:color="000000" w:sz="8" w:space="0"/>
            </w:tcBorders>
            <w:vAlign w:val="top"/>
          </w:tcPr>
          <w:p w14:paraId="457BC977">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6B2C6216">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106C407">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02AB2D9">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2B53451">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184211FC">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1DA027F5">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6208FF4B">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1AABF94D">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20 分</w:t>
            </w:r>
          </w:p>
        </w:tc>
        <w:tc>
          <w:tcPr>
            <w:tcW w:w="6492" w:type="dxa"/>
            <w:tcBorders>
              <w:top w:val="single" w:color="000000" w:sz="8" w:space="0"/>
            </w:tcBorders>
            <w:vAlign w:val="top"/>
          </w:tcPr>
          <w:p w14:paraId="4921AC1E">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1、工程的各项主要参数以及现场状况表述清晰、监理工程涉及专业阐 述全面、 准确监理范围 、 内容、 目标及监理依据准确全面、 监理工程  实施难点分析合理有针对性 ，得 20 分；</w:t>
            </w:r>
          </w:p>
          <w:p w14:paraId="6536E2B1">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2、工程的各项主要参数以及现场状况表述基本准确、 监理工程涉及专 业阐述满足招标需求、 准确监理范围 、 内容、 目标及监理依据准确全  面、监理工程实施难点分析合理 ，得  13 分；</w:t>
            </w:r>
          </w:p>
          <w:p w14:paraId="0E7E1B75">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3.工程的各项主要参数以及现场状况表述基本准确 、 监理工程涉及专 业阐述基本满足招标需求 、 准确监理范围 、 内容、 目标及监理依据准 确全面、监理工程实施难点分析基本合理 ，得 6 分；</w:t>
            </w:r>
          </w:p>
          <w:p w14:paraId="19BA2D58">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4、 工程的各项主要参数以及现场状况表述不明确、 监理工程涉及专业 阐述不全面、 准确监理范围、 内容、 目标及监理依据不够准确全面、监理工程实施难点分析不合理 ， 不得分。</w:t>
            </w:r>
          </w:p>
        </w:tc>
      </w:tr>
      <w:tr w14:paraId="3AAAD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6" w:hRule="atLeast"/>
        </w:trPr>
        <w:tc>
          <w:tcPr>
            <w:tcW w:w="771" w:type="dxa"/>
            <w:vMerge w:val="continue"/>
            <w:tcBorders>
              <w:top w:val="nil"/>
              <w:bottom w:val="nil"/>
            </w:tcBorders>
            <w:vAlign w:val="top"/>
          </w:tcPr>
          <w:p w14:paraId="0555EE83">
            <w:pPr>
              <w:spacing w:line="400" w:lineRule="exact"/>
              <w:ind w:left="131"/>
              <w:jc w:val="center"/>
              <w:rPr>
                <w:rFonts w:hint="eastAsia" w:cs="宋体" w:asciiTheme="minorEastAsia" w:hAnsiTheme="minorEastAsia" w:eastAsiaTheme="minorEastAsia"/>
                <w:color w:val="auto"/>
                <w:szCs w:val="21"/>
                <w:highlight w:val="none"/>
                <w:lang w:val="en-US" w:eastAsia="zh-CN"/>
              </w:rPr>
            </w:pPr>
          </w:p>
        </w:tc>
        <w:tc>
          <w:tcPr>
            <w:tcW w:w="1356" w:type="dxa"/>
            <w:vAlign w:val="top"/>
          </w:tcPr>
          <w:p w14:paraId="1A67A1B1">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6EBD14AF">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9878456">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5CB07F4">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质量控制</w:t>
            </w:r>
          </w:p>
        </w:tc>
        <w:tc>
          <w:tcPr>
            <w:tcW w:w="919" w:type="dxa"/>
            <w:vAlign w:val="top"/>
          </w:tcPr>
          <w:p w14:paraId="6D45DD21">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62549D9A">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964C368">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16DE096D">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03CBEA63">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10 分</w:t>
            </w:r>
          </w:p>
        </w:tc>
        <w:tc>
          <w:tcPr>
            <w:tcW w:w="6492" w:type="dxa"/>
            <w:vAlign w:val="top"/>
          </w:tcPr>
          <w:p w14:paraId="03E87042">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1、质量有总目标、质量控制内容 ，基本程序（包括质量事故的处理程 序） 及预控措施切实可行、质量控制方法先进 ，得 10 分；</w:t>
            </w:r>
          </w:p>
          <w:p w14:paraId="402D1FC3">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2、质量有总目标、质量控制内容 ，基本程序（包括质量事故的处理程 序） 及预控措施具有一定可行性、质量控制方法基本满足工程要求 ，  得 5 分；</w:t>
            </w:r>
          </w:p>
          <w:p w14:paraId="223AE9E9">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3、质量没有总目标、质量控制内容 ，基本程序（包括质量事故的处理 程序） 及预控措施不可行、质量控制方法无法满工程足要求 ，不得分。</w:t>
            </w:r>
          </w:p>
        </w:tc>
      </w:tr>
      <w:tr w14:paraId="24D4E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8" w:hRule="atLeast"/>
        </w:trPr>
        <w:tc>
          <w:tcPr>
            <w:tcW w:w="771" w:type="dxa"/>
            <w:vMerge w:val="continue"/>
            <w:tcBorders>
              <w:top w:val="nil"/>
              <w:bottom w:val="nil"/>
            </w:tcBorders>
            <w:vAlign w:val="top"/>
          </w:tcPr>
          <w:p w14:paraId="10B787BA">
            <w:pPr>
              <w:spacing w:line="400" w:lineRule="exact"/>
              <w:ind w:left="131"/>
              <w:jc w:val="center"/>
              <w:rPr>
                <w:rFonts w:hint="eastAsia" w:cs="宋体" w:asciiTheme="minorEastAsia" w:hAnsiTheme="minorEastAsia" w:eastAsiaTheme="minorEastAsia"/>
                <w:color w:val="auto"/>
                <w:szCs w:val="21"/>
                <w:highlight w:val="none"/>
                <w:lang w:val="en-US" w:eastAsia="zh-CN"/>
              </w:rPr>
            </w:pPr>
          </w:p>
        </w:tc>
        <w:tc>
          <w:tcPr>
            <w:tcW w:w="1356" w:type="dxa"/>
            <w:vAlign w:val="top"/>
          </w:tcPr>
          <w:p w14:paraId="55B6CD3A">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C25B95C">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64B89597">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1F1B6351">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质量控制措 施</w:t>
            </w:r>
          </w:p>
        </w:tc>
        <w:tc>
          <w:tcPr>
            <w:tcW w:w="919" w:type="dxa"/>
            <w:vAlign w:val="top"/>
          </w:tcPr>
          <w:p w14:paraId="4FFC37D4">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69BB9C47">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2D13770C">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34AA809D">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1305ED5A">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15 分</w:t>
            </w:r>
          </w:p>
        </w:tc>
        <w:tc>
          <w:tcPr>
            <w:tcW w:w="6492" w:type="dxa"/>
            <w:vAlign w:val="top"/>
          </w:tcPr>
          <w:p w14:paraId="1DED4F7E">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1.材料质量控制措施；</w:t>
            </w:r>
          </w:p>
          <w:p w14:paraId="2D5FF1A7">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2.设备质量控制措施；</w:t>
            </w:r>
          </w:p>
          <w:p w14:paraId="3F395DD4">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3.分部分项质量控制措施；</w:t>
            </w:r>
          </w:p>
          <w:p w14:paraId="6F1AC9FF">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 xml:space="preserve">4.关键部位、关键工序质量控制措施； </w:t>
            </w:r>
          </w:p>
          <w:p w14:paraId="3BFBA7E6">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5.技术难点质量控制措施；</w:t>
            </w:r>
          </w:p>
          <w:p w14:paraId="40DF68E3">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内容符合项目实际需求 ，每提供一项得 3 分 ，满分 15 分 ，不提供不得分。</w:t>
            </w:r>
          </w:p>
        </w:tc>
      </w:tr>
      <w:tr w14:paraId="6715A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9" w:hRule="atLeast"/>
        </w:trPr>
        <w:tc>
          <w:tcPr>
            <w:tcW w:w="771" w:type="dxa"/>
            <w:vMerge w:val="continue"/>
            <w:tcBorders>
              <w:top w:val="nil"/>
              <w:bottom w:val="nil"/>
            </w:tcBorders>
            <w:vAlign w:val="top"/>
          </w:tcPr>
          <w:p w14:paraId="23FAB567">
            <w:pPr>
              <w:spacing w:line="400" w:lineRule="exact"/>
              <w:ind w:left="131"/>
              <w:jc w:val="center"/>
              <w:rPr>
                <w:rFonts w:hint="eastAsia" w:cs="宋体" w:asciiTheme="minorEastAsia" w:hAnsiTheme="minorEastAsia" w:eastAsiaTheme="minorEastAsia"/>
                <w:color w:val="auto"/>
                <w:szCs w:val="21"/>
                <w:highlight w:val="none"/>
                <w:lang w:val="en-US" w:eastAsia="zh-CN"/>
              </w:rPr>
            </w:pPr>
          </w:p>
        </w:tc>
        <w:tc>
          <w:tcPr>
            <w:tcW w:w="1356" w:type="dxa"/>
            <w:vAlign w:val="top"/>
          </w:tcPr>
          <w:p w14:paraId="5DA437F3">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647AF225">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6C70D489">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6EF68431">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安全生产管 理</w:t>
            </w:r>
          </w:p>
        </w:tc>
        <w:tc>
          <w:tcPr>
            <w:tcW w:w="919" w:type="dxa"/>
            <w:vAlign w:val="top"/>
          </w:tcPr>
          <w:p w14:paraId="57C0AA6F">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4BB67885">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51EA86AC">
            <w:pPr>
              <w:spacing w:line="400" w:lineRule="exact"/>
              <w:ind w:left="131"/>
              <w:jc w:val="center"/>
              <w:rPr>
                <w:rFonts w:hint="eastAsia" w:cs="宋体" w:asciiTheme="minorEastAsia" w:hAnsiTheme="minorEastAsia" w:eastAsiaTheme="minorEastAsia"/>
                <w:color w:val="auto"/>
                <w:szCs w:val="21"/>
                <w:highlight w:val="none"/>
                <w:lang w:val="en-US" w:eastAsia="zh-CN"/>
              </w:rPr>
            </w:pPr>
          </w:p>
          <w:p w14:paraId="676A58C0">
            <w:pPr>
              <w:spacing w:line="400" w:lineRule="exact"/>
              <w:ind w:left="131"/>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10 分</w:t>
            </w:r>
          </w:p>
        </w:tc>
        <w:tc>
          <w:tcPr>
            <w:tcW w:w="6492" w:type="dxa"/>
            <w:vAlign w:val="top"/>
          </w:tcPr>
          <w:p w14:paraId="352CEB5A">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1、安全生产管理的监理工作目标明确 ，工作制度合理、安全生产管理 的监理工作责任明确 ， 管理方法合理切实可行； 得 10 分；</w:t>
            </w:r>
          </w:p>
          <w:p w14:paraId="0C4373AB">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2、安全生产管理的监理工作目标基本明确 ， 工作制度合理、安全生产 管理的监理工作责任基本明确 ， 管理方法合理基本可行； 得 5 分；</w:t>
            </w:r>
          </w:p>
          <w:p w14:paraId="4F009502">
            <w:pPr>
              <w:spacing w:line="400" w:lineRule="exact"/>
              <w:ind w:left="131"/>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3、安全生产管理的监理工作目标不明确 ，工作制度合理、安全生产管 理的监理工作责任不明确 ， 管理方法不可行； 不得分。</w:t>
            </w:r>
          </w:p>
        </w:tc>
      </w:tr>
    </w:tbl>
    <w:p w14:paraId="17ABB5FB">
      <w:pPr>
        <w:pStyle w:val="6"/>
        <w:rPr>
          <w:rFonts w:hint="eastAsia"/>
          <w:color w:val="auto"/>
          <w:lang w:val="en-US" w:eastAsia="zh-CN"/>
        </w:rPr>
      </w:pPr>
    </w:p>
    <w:p w14:paraId="42CDAC9F">
      <w:pPr>
        <w:spacing w:line="440" w:lineRule="exact"/>
        <w:jc w:val="both"/>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标项三：叶城县2025年依提木孔镇核桃蛀果害虫绿色防控项目（苹果蠹蛾和梨李小食心虫迷向散发器（高效））</w:t>
      </w:r>
    </w:p>
    <w:tbl>
      <w:tblPr>
        <w:tblStyle w:val="107"/>
        <w:tblW w:w="860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713"/>
        <w:gridCol w:w="604"/>
        <w:gridCol w:w="6656"/>
      </w:tblGrid>
      <w:tr w14:paraId="64943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342" w:type="dxa"/>
            <w:gridSpan w:val="2"/>
            <w:tcBorders>
              <w:top w:val="single" w:color="000000" w:sz="8" w:space="0"/>
              <w:left w:val="single" w:color="000000" w:sz="8" w:space="0"/>
              <w:bottom w:val="single" w:color="auto" w:sz="4" w:space="0"/>
            </w:tcBorders>
            <w:vAlign w:val="top"/>
          </w:tcPr>
          <w:p w14:paraId="5A44C817">
            <w:pPr>
              <w:pStyle w:val="124"/>
              <w:spacing w:before="90" w:line="230" w:lineRule="auto"/>
              <w:ind w:left="210"/>
              <w:rPr>
                <w:color w:val="auto"/>
                <w:sz w:val="18"/>
                <w:szCs w:val="18"/>
              </w:rPr>
            </w:pPr>
            <w:r>
              <w:rPr>
                <w:color w:val="auto"/>
                <w:spacing w:val="20"/>
                <w:sz w:val="18"/>
                <w:szCs w:val="18"/>
              </w:rPr>
              <w:t>评审项目</w:t>
            </w:r>
          </w:p>
        </w:tc>
        <w:tc>
          <w:tcPr>
            <w:tcW w:w="604" w:type="dxa"/>
            <w:tcBorders>
              <w:top w:val="single" w:color="000000" w:sz="8" w:space="0"/>
            </w:tcBorders>
            <w:vAlign w:val="top"/>
          </w:tcPr>
          <w:p w14:paraId="03B0F720">
            <w:pPr>
              <w:pStyle w:val="124"/>
              <w:spacing w:before="89" w:line="230" w:lineRule="auto"/>
              <w:ind w:left="156"/>
              <w:rPr>
                <w:color w:val="auto"/>
                <w:sz w:val="18"/>
                <w:szCs w:val="18"/>
              </w:rPr>
            </w:pPr>
            <w:r>
              <w:rPr>
                <w:color w:val="auto"/>
                <w:spacing w:val="9"/>
                <w:sz w:val="18"/>
                <w:szCs w:val="18"/>
              </w:rPr>
              <w:t>分值</w:t>
            </w:r>
          </w:p>
        </w:tc>
        <w:tc>
          <w:tcPr>
            <w:tcW w:w="6656" w:type="dxa"/>
            <w:tcBorders>
              <w:top w:val="single" w:color="000000" w:sz="8" w:space="0"/>
              <w:right w:val="single" w:color="000000" w:sz="8" w:space="0"/>
            </w:tcBorders>
            <w:vAlign w:val="top"/>
          </w:tcPr>
          <w:p w14:paraId="003C70CF">
            <w:pPr>
              <w:pStyle w:val="124"/>
              <w:spacing w:before="89" w:line="230" w:lineRule="auto"/>
              <w:ind w:left="3167"/>
              <w:rPr>
                <w:color w:val="auto"/>
                <w:sz w:val="18"/>
                <w:szCs w:val="18"/>
              </w:rPr>
            </w:pPr>
            <w:r>
              <w:rPr>
                <w:color w:val="auto"/>
                <w:spacing w:val="-11"/>
                <w:sz w:val="18"/>
                <w:szCs w:val="18"/>
              </w:rPr>
              <w:t>内容</w:t>
            </w:r>
          </w:p>
        </w:tc>
      </w:tr>
      <w:tr w14:paraId="6A935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342" w:type="dxa"/>
            <w:gridSpan w:val="2"/>
            <w:tcBorders>
              <w:top w:val="single" w:color="auto" w:sz="4" w:space="0"/>
              <w:left w:val="single" w:color="auto" w:sz="4" w:space="0"/>
              <w:bottom w:val="single" w:color="auto" w:sz="4" w:space="0"/>
              <w:right w:val="single" w:color="auto" w:sz="4" w:space="0"/>
            </w:tcBorders>
            <w:vAlign w:val="top"/>
          </w:tcPr>
          <w:p w14:paraId="0B15CB89">
            <w:pPr>
              <w:pStyle w:val="124"/>
              <w:spacing w:before="244" w:line="228" w:lineRule="auto"/>
              <w:ind w:left="214"/>
              <w:rPr>
                <w:color w:val="auto"/>
                <w:sz w:val="18"/>
                <w:szCs w:val="18"/>
              </w:rPr>
            </w:pPr>
            <w:r>
              <w:rPr>
                <w:color w:val="auto"/>
                <w:spacing w:val="7"/>
                <w:sz w:val="18"/>
                <w:szCs w:val="18"/>
              </w:rPr>
              <w:t>价格部分</w:t>
            </w:r>
          </w:p>
        </w:tc>
        <w:tc>
          <w:tcPr>
            <w:tcW w:w="604" w:type="dxa"/>
            <w:tcBorders>
              <w:left w:val="single" w:color="auto" w:sz="4" w:space="0"/>
            </w:tcBorders>
            <w:vAlign w:val="top"/>
          </w:tcPr>
          <w:p w14:paraId="4013372B">
            <w:pPr>
              <w:spacing w:line="268" w:lineRule="auto"/>
              <w:rPr>
                <w:rFonts w:ascii="Arial"/>
                <w:color w:val="auto"/>
                <w:sz w:val="21"/>
              </w:rPr>
            </w:pPr>
          </w:p>
          <w:p w14:paraId="7BE0D9DB">
            <w:pPr>
              <w:pStyle w:val="124"/>
              <w:spacing w:before="59" w:line="230" w:lineRule="auto"/>
              <w:ind w:left="160"/>
              <w:rPr>
                <w:color w:val="auto"/>
                <w:sz w:val="18"/>
                <w:szCs w:val="18"/>
              </w:rPr>
            </w:pPr>
            <w:r>
              <w:rPr>
                <w:color w:val="auto"/>
                <w:sz w:val="18"/>
                <w:szCs w:val="18"/>
              </w:rPr>
              <w:t>30</w:t>
            </w:r>
            <w:r>
              <w:rPr>
                <w:color w:val="auto"/>
                <w:spacing w:val="-30"/>
                <w:sz w:val="18"/>
                <w:szCs w:val="18"/>
              </w:rPr>
              <w:t xml:space="preserve"> </w:t>
            </w:r>
            <w:r>
              <w:rPr>
                <w:color w:val="auto"/>
                <w:sz w:val="18"/>
                <w:szCs w:val="18"/>
              </w:rPr>
              <w:t>分</w:t>
            </w:r>
          </w:p>
        </w:tc>
        <w:tc>
          <w:tcPr>
            <w:tcW w:w="6656" w:type="dxa"/>
            <w:tcBorders>
              <w:right w:val="single" w:color="000000" w:sz="8" w:space="0"/>
            </w:tcBorders>
            <w:vAlign w:val="top"/>
          </w:tcPr>
          <w:p w14:paraId="0595E53E">
            <w:pPr>
              <w:pStyle w:val="124"/>
              <w:spacing w:before="117"/>
              <w:ind w:left="109" w:right="72"/>
              <w:jc w:val="both"/>
              <w:rPr>
                <w:color w:val="auto"/>
                <w:sz w:val="18"/>
                <w:szCs w:val="18"/>
              </w:rPr>
            </w:pPr>
            <w:r>
              <w:rPr>
                <w:color w:val="auto"/>
                <w:spacing w:val="20"/>
                <w:sz w:val="18"/>
                <w:szCs w:val="18"/>
              </w:rPr>
              <w:t>完全满足招标文件参数</w:t>
            </w:r>
            <w:r>
              <w:rPr>
                <w:color w:val="auto"/>
                <w:spacing w:val="-33"/>
                <w:sz w:val="18"/>
                <w:szCs w:val="18"/>
              </w:rPr>
              <w:t xml:space="preserve"> </w:t>
            </w:r>
            <w:r>
              <w:rPr>
                <w:color w:val="auto"/>
                <w:spacing w:val="20"/>
                <w:sz w:val="18"/>
                <w:szCs w:val="18"/>
              </w:rPr>
              <w:t>的投标报价</w:t>
            </w:r>
            <w:r>
              <w:rPr>
                <w:color w:val="auto"/>
                <w:spacing w:val="-46"/>
                <w:sz w:val="18"/>
                <w:szCs w:val="18"/>
              </w:rPr>
              <w:t xml:space="preserve"> </w:t>
            </w:r>
            <w:r>
              <w:rPr>
                <w:color w:val="auto"/>
                <w:spacing w:val="20"/>
                <w:sz w:val="18"/>
                <w:szCs w:val="18"/>
              </w:rPr>
              <w:t>中</w:t>
            </w:r>
            <w:r>
              <w:rPr>
                <w:color w:val="auto"/>
                <w:spacing w:val="-48"/>
                <w:sz w:val="18"/>
                <w:szCs w:val="18"/>
              </w:rPr>
              <w:t xml:space="preserve"> </w:t>
            </w:r>
            <w:r>
              <w:rPr>
                <w:color w:val="auto"/>
                <w:spacing w:val="20"/>
                <w:sz w:val="18"/>
                <w:szCs w:val="18"/>
              </w:rPr>
              <w:t>的最低价为评标基准价</w:t>
            </w:r>
            <w:r>
              <w:rPr>
                <w:color w:val="auto"/>
                <w:spacing w:val="-49"/>
                <w:sz w:val="18"/>
                <w:szCs w:val="18"/>
              </w:rPr>
              <w:t xml:space="preserve"> </w:t>
            </w:r>
            <w:r>
              <w:rPr>
                <w:color w:val="auto"/>
                <w:spacing w:val="20"/>
                <w:sz w:val="18"/>
                <w:szCs w:val="18"/>
              </w:rPr>
              <w:t>，按照下列</w:t>
            </w:r>
            <w:r>
              <w:rPr>
                <w:color w:val="auto"/>
                <w:sz w:val="18"/>
                <w:szCs w:val="18"/>
              </w:rPr>
              <w:t xml:space="preserve">  </w:t>
            </w:r>
            <w:r>
              <w:rPr>
                <w:color w:val="auto"/>
                <w:spacing w:val="25"/>
                <w:sz w:val="18"/>
                <w:szCs w:val="18"/>
              </w:rPr>
              <w:t>公</w:t>
            </w:r>
            <w:r>
              <w:rPr>
                <w:color w:val="auto"/>
                <w:spacing w:val="71"/>
                <w:sz w:val="18"/>
                <w:szCs w:val="18"/>
              </w:rPr>
              <w:t xml:space="preserve"> </w:t>
            </w:r>
            <w:r>
              <w:rPr>
                <w:color w:val="auto"/>
                <w:spacing w:val="25"/>
                <w:sz w:val="18"/>
                <w:szCs w:val="18"/>
              </w:rPr>
              <w:t>式计算每个投标人的投标价格得分。投标报价得分</w:t>
            </w:r>
            <w:r>
              <w:rPr>
                <w:color w:val="auto"/>
                <w:spacing w:val="-45"/>
                <w:sz w:val="18"/>
                <w:szCs w:val="18"/>
              </w:rPr>
              <w:t xml:space="preserve"> </w:t>
            </w:r>
            <w:r>
              <w:rPr>
                <w:color w:val="auto"/>
                <w:spacing w:val="-17"/>
                <w:sz w:val="18"/>
                <w:szCs w:val="18"/>
              </w:rPr>
              <w:t>＝（</w:t>
            </w:r>
            <w:r>
              <w:rPr>
                <w:color w:val="auto"/>
                <w:spacing w:val="25"/>
                <w:sz w:val="18"/>
                <w:szCs w:val="18"/>
              </w:rPr>
              <w:t>基准价/投标</w:t>
            </w:r>
            <w:r>
              <w:rPr>
                <w:color w:val="auto"/>
                <w:sz w:val="18"/>
                <w:szCs w:val="18"/>
              </w:rPr>
              <w:t xml:space="preserve">  </w:t>
            </w:r>
            <w:r>
              <w:rPr>
                <w:color w:val="auto"/>
                <w:spacing w:val="16"/>
                <w:sz w:val="18"/>
                <w:szCs w:val="18"/>
              </w:rPr>
              <w:t>报价  ) ×价格权重×</w:t>
            </w:r>
            <w:r>
              <w:rPr>
                <w:color w:val="auto"/>
                <w:spacing w:val="-56"/>
                <w:sz w:val="18"/>
                <w:szCs w:val="18"/>
              </w:rPr>
              <w:t xml:space="preserve"> </w:t>
            </w:r>
            <w:r>
              <w:rPr>
                <w:color w:val="auto"/>
                <w:spacing w:val="16"/>
                <w:sz w:val="18"/>
                <w:szCs w:val="18"/>
              </w:rPr>
              <w:t>100。投标报价超过采购预算价的按无效投标处理。</w:t>
            </w:r>
          </w:p>
        </w:tc>
      </w:tr>
      <w:tr w14:paraId="0E95F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29" w:type="dxa"/>
            <w:tcBorders>
              <w:top w:val="single" w:color="auto" w:sz="4" w:space="0"/>
              <w:left w:val="single" w:color="auto" w:sz="4" w:space="0"/>
              <w:bottom w:val="single" w:color="auto" w:sz="4" w:space="0"/>
              <w:right w:val="single" w:color="auto" w:sz="4" w:space="0"/>
            </w:tcBorders>
            <w:textDirection w:val="tbRlV"/>
            <w:vAlign w:val="top"/>
          </w:tcPr>
          <w:p w14:paraId="7437CE8A">
            <w:pPr>
              <w:rPr>
                <w:rFonts w:hint="default" w:ascii="Arial" w:eastAsia="宋体"/>
                <w:color w:val="auto"/>
                <w:sz w:val="21"/>
                <w:lang w:val="en-US" w:eastAsia="zh-CN"/>
              </w:rPr>
            </w:pPr>
            <w:r>
              <w:rPr>
                <w:rFonts w:hint="eastAsia" w:ascii="Arial"/>
                <w:color w:val="auto"/>
                <w:sz w:val="21"/>
                <w:lang w:val="en-US" w:eastAsia="zh-CN"/>
              </w:rPr>
              <w:t>商务部分</w:t>
            </w:r>
          </w:p>
        </w:tc>
        <w:tc>
          <w:tcPr>
            <w:tcW w:w="713" w:type="dxa"/>
            <w:tcBorders>
              <w:top w:val="single" w:color="auto" w:sz="4" w:space="0"/>
              <w:left w:val="single" w:color="auto" w:sz="4" w:space="0"/>
              <w:bottom w:val="single" w:color="auto" w:sz="4" w:space="0"/>
              <w:right w:val="single" w:color="auto" w:sz="4" w:space="0"/>
            </w:tcBorders>
            <w:vAlign w:val="top"/>
          </w:tcPr>
          <w:p w14:paraId="00C0B695">
            <w:pPr>
              <w:pStyle w:val="124"/>
              <w:spacing w:before="164" w:line="271" w:lineRule="auto"/>
              <w:ind w:left="101" w:right="118"/>
              <w:rPr>
                <w:color w:val="auto"/>
                <w:sz w:val="18"/>
                <w:szCs w:val="18"/>
              </w:rPr>
            </w:pPr>
            <w:r>
              <w:rPr>
                <w:color w:val="auto"/>
                <w:spacing w:val="9"/>
                <w:sz w:val="18"/>
                <w:szCs w:val="18"/>
              </w:rPr>
              <w:t>标函</w:t>
            </w:r>
            <w:r>
              <w:rPr>
                <w:color w:val="auto"/>
                <w:sz w:val="18"/>
                <w:szCs w:val="18"/>
              </w:rPr>
              <w:t xml:space="preserve"> </w:t>
            </w:r>
            <w:r>
              <w:rPr>
                <w:color w:val="auto"/>
                <w:spacing w:val="9"/>
                <w:sz w:val="18"/>
                <w:szCs w:val="18"/>
              </w:rPr>
              <w:t>质量</w:t>
            </w:r>
          </w:p>
        </w:tc>
        <w:tc>
          <w:tcPr>
            <w:tcW w:w="604" w:type="dxa"/>
            <w:tcBorders>
              <w:left w:val="single" w:color="auto" w:sz="4" w:space="0"/>
            </w:tcBorders>
            <w:vAlign w:val="top"/>
          </w:tcPr>
          <w:p w14:paraId="794C8AF2">
            <w:pPr>
              <w:pStyle w:val="124"/>
              <w:spacing w:before="289" w:line="230" w:lineRule="auto"/>
              <w:ind w:left="189"/>
              <w:rPr>
                <w:color w:val="auto"/>
                <w:sz w:val="18"/>
                <w:szCs w:val="18"/>
              </w:rPr>
            </w:pPr>
            <w:r>
              <w:rPr>
                <w:color w:val="auto"/>
                <w:spacing w:val="-3"/>
                <w:sz w:val="18"/>
                <w:szCs w:val="18"/>
              </w:rPr>
              <w:t>3</w:t>
            </w:r>
            <w:r>
              <w:rPr>
                <w:color w:val="auto"/>
                <w:spacing w:val="-32"/>
                <w:sz w:val="18"/>
                <w:szCs w:val="18"/>
              </w:rPr>
              <w:t xml:space="preserve"> </w:t>
            </w:r>
            <w:r>
              <w:rPr>
                <w:color w:val="auto"/>
                <w:spacing w:val="-3"/>
                <w:sz w:val="18"/>
                <w:szCs w:val="18"/>
              </w:rPr>
              <w:t>分</w:t>
            </w:r>
          </w:p>
        </w:tc>
        <w:tc>
          <w:tcPr>
            <w:tcW w:w="6656" w:type="dxa"/>
            <w:tcBorders>
              <w:right w:val="single" w:color="000000" w:sz="8" w:space="0"/>
            </w:tcBorders>
            <w:vAlign w:val="top"/>
          </w:tcPr>
          <w:p w14:paraId="35EC28EA">
            <w:pPr>
              <w:pStyle w:val="124"/>
              <w:spacing w:before="140" w:line="238" w:lineRule="auto"/>
              <w:ind w:left="109" w:right="141"/>
              <w:rPr>
                <w:color w:val="auto"/>
                <w:sz w:val="18"/>
                <w:szCs w:val="18"/>
              </w:rPr>
            </w:pPr>
            <w:r>
              <w:rPr>
                <w:color w:val="auto"/>
                <w:spacing w:val="18"/>
                <w:sz w:val="18"/>
                <w:szCs w:val="18"/>
              </w:rPr>
              <w:t>标书制作</w:t>
            </w:r>
            <w:r>
              <w:rPr>
                <w:color w:val="auto"/>
                <w:spacing w:val="-35"/>
                <w:sz w:val="18"/>
                <w:szCs w:val="18"/>
              </w:rPr>
              <w:t xml:space="preserve"> </w:t>
            </w:r>
            <w:r>
              <w:rPr>
                <w:color w:val="auto"/>
                <w:spacing w:val="18"/>
                <w:sz w:val="18"/>
                <w:szCs w:val="18"/>
              </w:rPr>
              <w:t>：投标文件目录清晰、关联点对应准确，评审内容便于查找，没</w:t>
            </w:r>
            <w:r>
              <w:rPr>
                <w:color w:val="auto"/>
                <w:sz w:val="18"/>
                <w:szCs w:val="18"/>
              </w:rPr>
              <w:t xml:space="preserve"> </w:t>
            </w:r>
            <w:r>
              <w:rPr>
                <w:color w:val="auto"/>
                <w:spacing w:val="13"/>
                <w:sz w:val="18"/>
                <w:szCs w:val="18"/>
              </w:rPr>
              <w:t>有与评审内容无关的资料及文件得</w:t>
            </w:r>
            <w:r>
              <w:rPr>
                <w:color w:val="auto"/>
                <w:spacing w:val="-23"/>
                <w:sz w:val="18"/>
                <w:szCs w:val="18"/>
              </w:rPr>
              <w:t xml:space="preserve"> </w:t>
            </w:r>
            <w:r>
              <w:rPr>
                <w:color w:val="auto"/>
                <w:spacing w:val="13"/>
                <w:sz w:val="18"/>
                <w:szCs w:val="18"/>
              </w:rPr>
              <w:t>3</w:t>
            </w:r>
            <w:r>
              <w:rPr>
                <w:color w:val="auto"/>
                <w:spacing w:val="-27"/>
                <w:sz w:val="18"/>
                <w:szCs w:val="18"/>
              </w:rPr>
              <w:t xml:space="preserve"> </w:t>
            </w:r>
            <w:r>
              <w:rPr>
                <w:color w:val="auto"/>
                <w:spacing w:val="13"/>
                <w:sz w:val="18"/>
                <w:szCs w:val="18"/>
              </w:rPr>
              <w:t>分，</w:t>
            </w:r>
            <w:r>
              <w:rPr>
                <w:color w:val="auto"/>
                <w:spacing w:val="-50"/>
                <w:sz w:val="18"/>
                <w:szCs w:val="18"/>
              </w:rPr>
              <w:t xml:space="preserve"> </w:t>
            </w:r>
            <w:r>
              <w:rPr>
                <w:color w:val="auto"/>
                <w:spacing w:val="13"/>
                <w:sz w:val="18"/>
                <w:szCs w:val="18"/>
              </w:rPr>
              <w:t>否则不得分。</w:t>
            </w:r>
          </w:p>
        </w:tc>
      </w:tr>
      <w:tr w14:paraId="7E246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trPr>
        <w:tc>
          <w:tcPr>
            <w:tcW w:w="629" w:type="dxa"/>
            <w:vMerge w:val="restart"/>
            <w:tcBorders>
              <w:top w:val="single" w:color="auto" w:sz="4" w:space="0"/>
              <w:bottom w:val="nil"/>
            </w:tcBorders>
            <w:textDirection w:val="tbRlV"/>
            <w:vAlign w:val="top"/>
          </w:tcPr>
          <w:p w14:paraId="42FB5B94">
            <w:pPr>
              <w:spacing w:line="255" w:lineRule="auto"/>
              <w:rPr>
                <w:rFonts w:ascii="Arial"/>
                <w:color w:val="auto"/>
                <w:sz w:val="21"/>
              </w:rPr>
            </w:pPr>
          </w:p>
          <w:p w14:paraId="5BCF78BC">
            <w:pPr>
              <w:pStyle w:val="124"/>
              <w:spacing w:before="60" w:line="217" w:lineRule="auto"/>
              <w:ind w:left="4136"/>
              <w:rPr>
                <w:color w:val="auto"/>
                <w:sz w:val="18"/>
                <w:szCs w:val="18"/>
              </w:rPr>
            </w:pPr>
            <w:r>
              <w:rPr>
                <w:color w:val="auto"/>
                <w:spacing w:val="7"/>
                <w:sz w:val="18"/>
                <w:szCs w:val="18"/>
              </w:rPr>
              <w:t>技 术</w:t>
            </w:r>
            <w:r>
              <w:rPr>
                <w:color w:val="auto"/>
                <w:spacing w:val="-15"/>
                <w:sz w:val="18"/>
                <w:szCs w:val="18"/>
              </w:rPr>
              <w:t xml:space="preserve"> </w:t>
            </w:r>
            <w:r>
              <w:rPr>
                <w:color w:val="auto"/>
                <w:spacing w:val="7"/>
                <w:sz w:val="18"/>
                <w:szCs w:val="18"/>
              </w:rPr>
              <w:t>部</w:t>
            </w:r>
            <w:r>
              <w:rPr>
                <w:color w:val="auto"/>
                <w:spacing w:val="-15"/>
                <w:sz w:val="18"/>
                <w:szCs w:val="18"/>
              </w:rPr>
              <w:t xml:space="preserve"> </w:t>
            </w:r>
            <w:r>
              <w:rPr>
                <w:color w:val="auto"/>
                <w:spacing w:val="7"/>
                <w:sz w:val="18"/>
                <w:szCs w:val="18"/>
              </w:rPr>
              <w:t>分</w:t>
            </w:r>
          </w:p>
        </w:tc>
        <w:tc>
          <w:tcPr>
            <w:tcW w:w="713" w:type="dxa"/>
            <w:tcBorders>
              <w:top w:val="single" w:color="auto" w:sz="4" w:space="0"/>
            </w:tcBorders>
            <w:vAlign w:val="top"/>
          </w:tcPr>
          <w:p w14:paraId="3088268F">
            <w:pPr>
              <w:spacing w:line="455" w:lineRule="auto"/>
              <w:rPr>
                <w:rFonts w:ascii="Arial"/>
                <w:color w:val="auto"/>
                <w:sz w:val="21"/>
              </w:rPr>
            </w:pPr>
          </w:p>
          <w:p w14:paraId="5F54F722">
            <w:pPr>
              <w:pStyle w:val="124"/>
              <w:spacing w:before="59" w:line="259" w:lineRule="auto"/>
              <w:ind w:left="3" w:right="17" w:hanging="1"/>
              <w:rPr>
                <w:color w:val="auto"/>
                <w:sz w:val="18"/>
                <w:szCs w:val="18"/>
              </w:rPr>
            </w:pPr>
            <w:r>
              <w:rPr>
                <w:color w:val="auto"/>
                <w:spacing w:val="12"/>
                <w:sz w:val="18"/>
                <w:szCs w:val="18"/>
              </w:rPr>
              <w:t>产品技</w:t>
            </w:r>
            <w:r>
              <w:rPr>
                <w:color w:val="auto"/>
                <w:spacing w:val="1"/>
                <w:sz w:val="18"/>
                <w:szCs w:val="18"/>
              </w:rPr>
              <w:t xml:space="preserve"> </w:t>
            </w:r>
            <w:r>
              <w:rPr>
                <w:color w:val="auto"/>
                <w:spacing w:val="11"/>
                <w:sz w:val="18"/>
                <w:szCs w:val="18"/>
              </w:rPr>
              <w:t>术参数</w:t>
            </w:r>
          </w:p>
        </w:tc>
        <w:tc>
          <w:tcPr>
            <w:tcW w:w="604" w:type="dxa"/>
            <w:vAlign w:val="top"/>
          </w:tcPr>
          <w:p w14:paraId="5250F367">
            <w:pPr>
              <w:spacing w:line="248" w:lineRule="auto"/>
              <w:rPr>
                <w:rFonts w:ascii="Arial"/>
                <w:color w:val="auto"/>
                <w:sz w:val="21"/>
              </w:rPr>
            </w:pPr>
          </w:p>
          <w:p w14:paraId="071FD187">
            <w:pPr>
              <w:spacing w:line="249" w:lineRule="auto"/>
              <w:rPr>
                <w:rFonts w:ascii="Arial"/>
                <w:color w:val="auto"/>
                <w:sz w:val="21"/>
              </w:rPr>
            </w:pPr>
          </w:p>
          <w:p w14:paraId="386387C5">
            <w:pPr>
              <w:pStyle w:val="124"/>
              <w:spacing w:before="58" w:line="230" w:lineRule="auto"/>
              <w:ind w:left="158"/>
              <w:rPr>
                <w:rFonts w:hint="eastAsia" w:eastAsia="宋体"/>
                <w:color w:val="auto"/>
                <w:sz w:val="18"/>
                <w:szCs w:val="18"/>
                <w:lang w:val="en-US" w:eastAsia="zh-CN"/>
              </w:rPr>
            </w:pPr>
            <w:r>
              <w:rPr>
                <w:rFonts w:hint="eastAsia" w:eastAsia="宋体"/>
                <w:color w:val="auto"/>
                <w:spacing w:val="-5"/>
                <w:sz w:val="18"/>
                <w:szCs w:val="18"/>
                <w:lang w:val="en-US" w:eastAsia="zh-CN"/>
              </w:rPr>
              <w:t>5</w:t>
            </w:r>
            <w:r>
              <w:rPr>
                <w:color w:val="auto"/>
                <w:spacing w:val="-35"/>
                <w:sz w:val="18"/>
                <w:szCs w:val="18"/>
              </w:rPr>
              <w:t xml:space="preserve"> </w:t>
            </w:r>
            <w:r>
              <w:rPr>
                <w:color w:val="auto"/>
                <w:spacing w:val="-5"/>
                <w:sz w:val="18"/>
                <w:szCs w:val="18"/>
              </w:rPr>
              <w:t>分</w:t>
            </w:r>
          </w:p>
        </w:tc>
        <w:tc>
          <w:tcPr>
            <w:tcW w:w="6656" w:type="dxa"/>
            <w:tcBorders>
              <w:right w:val="single" w:color="000000" w:sz="8" w:space="0"/>
            </w:tcBorders>
            <w:vAlign w:val="top"/>
          </w:tcPr>
          <w:p w14:paraId="646C23AF">
            <w:pPr>
              <w:pStyle w:val="124"/>
              <w:spacing w:before="77" w:line="230" w:lineRule="auto"/>
              <w:rPr>
                <w:color w:val="auto"/>
                <w:sz w:val="18"/>
                <w:szCs w:val="18"/>
              </w:rPr>
            </w:pPr>
            <w:r>
              <w:rPr>
                <w:color w:val="auto"/>
                <w:spacing w:val="11"/>
                <w:sz w:val="18"/>
                <w:szCs w:val="18"/>
              </w:rPr>
              <w:t>完全满足招标要求的得</w:t>
            </w:r>
            <w:r>
              <w:rPr>
                <w:color w:val="auto"/>
                <w:spacing w:val="-14"/>
                <w:sz w:val="18"/>
                <w:szCs w:val="18"/>
              </w:rPr>
              <w:t xml:space="preserve"> </w:t>
            </w:r>
            <w:r>
              <w:rPr>
                <w:rFonts w:hint="eastAsia" w:eastAsia="宋体"/>
                <w:color w:val="auto"/>
                <w:spacing w:val="11"/>
                <w:sz w:val="18"/>
                <w:szCs w:val="18"/>
                <w:lang w:val="en-US" w:eastAsia="zh-CN"/>
              </w:rPr>
              <w:t>5</w:t>
            </w:r>
            <w:r>
              <w:rPr>
                <w:color w:val="auto"/>
                <w:spacing w:val="-27"/>
                <w:sz w:val="18"/>
                <w:szCs w:val="18"/>
              </w:rPr>
              <w:t xml:space="preserve"> </w:t>
            </w:r>
            <w:r>
              <w:rPr>
                <w:color w:val="auto"/>
                <w:spacing w:val="11"/>
                <w:sz w:val="18"/>
                <w:szCs w:val="18"/>
              </w:rPr>
              <w:t>分；每有一项参数负偏离扣</w:t>
            </w:r>
            <w:r>
              <w:rPr>
                <w:color w:val="auto"/>
                <w:spacing w:val="-15"/>
                <w:sz w:val="18"/>
                <w:szCs w:val="18"/>
              </w:rPr>
              <w:t xml:space="preserve"> </w:t>
            </w:r>
            <w:r>
              <w:rPr>
                <w:color w:val="auto"/>
                <w:spacing w:val="11"/>
                <w:sz w:val="18"/>
                <w:szCs w:val="18"/>
              </w:rPr>
              <w:t>1</w:t>
            </w:r>
            <w:r>
              <w:rPr>
                <w:color w:val="auto"/>
                <w:spacing w:val="-29"/>
                <w:sz w:val="18"/>
                <w:szCs w:val="18"/>
              </w:rPr>
              <w:t xml:space="preserve"> </w:t>
            </w:r>
            <w:r>
              <w:rPr>
                <w:color w:val="auto"/>
                <w:spacing w:val="11"/>
                <w:sz w:val="18"/>
                <w:szCs w:val="18"/>
              </w:rPr>
              <w:t>分</w:t>
            </w:r>
            <w:r>
              <w:rPr>
                <w:color w:val="auto"/>
                <w:spacing w:val="10"/>
                <w:sz w:val="18"/>
                <w:szCs w:val="18"/>
              </w:rPr>
              <w:t>，</w:t>
            </w:r>
            <w:r>
              <w:rPr>
                <w:color w:val="auto"/>
                <w:spacing w:val="43"/>
                <w:sz w:val="18"/>
                <w:szCs w:val="18"/>
              </w:rPr>
              <w:t xml:space="preserve"> </w:t>
            </w:r>
            <w:r>
              <w:rPr>
                <w:color w:val="auto"/>
                <w:spacing w:val="10"/>
                <w:sz w:val="18"/>
                <w:szCs w:val="18"/>
              </w:rPr>
              <w:t>直至扣完为止。</w:t>
            </w:r>
          </w:p>
          <w:p w14:paraId="74458165">
            <w:pPr>
              <w:pStyle w:val="124"/>
              <w:spacing w:before="16" w:line="229" w:lineRule="auto"/>
              <w:ind w:left="6"/>
              <w:rPr>
                <w:color w:val="auto"/>
                <w:sz w:val="18"/>
                <w:szCs w:val="18"/>
              </w:rPr>
            </w:pPr>
            <w:r>
              <w:rPr>
                <w:color w:val="auto"/>
                <w:spacing w:val="6"/>
                <w:sz w:val="18"/>
                <w:szCs w:val="18"/>
              </w:rPr>
              <w:t>本项最高得</w:t>
            </w:r>
            <w:r>
              <w:rPr>
                <w:color w:val="auto"/>
                <w:spacing w:val="-15"/>
                <w:sz w:val="18"/>
                <w:szCs w:val="18"/>
              </w:rPr>
              <w:t xml:space="preserve"> </w:t>
            </w:r>
            <w:r>
              <w:rPr>
                <w:rFonts w:hint="eastAsia" w:eastAsia="宋体"/>
                <w:color w:val="auto"/>
                <w:spacing w:val="6"/>
                <w:sz w:val="18"/>
                <w:szCs w:val="18"/>
                <w:lang w:val="en-US" w:eastAsia="zh-CN"/>
              </w:rPr>
              <w:t>5</w:t>
            </w:r>
            <w:r>
              <w:rPr>
                <w:color w:val="auto"/>
                <w:spacing w:val="-24"/>
                <w:sz w:val="18"/>
                <w:szCs w:val="18"/>
              </w:rPr>
              <w:t xml:space="preserve"> </w:t>
            </w:r>
            <w:r>
              <w:rPr>
                <w:color w:val="auto"/>
                <w:spacing w:val="6"/>
                <w:sz w:val="18"/>
                <w:szCs w:val="18"/>
              </w:rPr>
              <w:t>分。</w:t>
            </w:r>
          </w:p>
          <w:p w14:paraId="103E79D2">
            <w:pPr>
              <w:pStyle w:val="124"/>
              <w:spacing w:before="16" w:line="241" w:lineRule="auto"/>
              <w:ind w:left="3" w:right="19" w:firstLine="6"/>
              <w:jc w:val="both"/>
              <w:rPr>
                <w:color w:val="auto"/>
                <w:sz w:val="18"/>
                <w:szCs w:val="18"/>
              </w:rPr>
            </w:pPr>
            <w:r>
              <w:rPr>
                <w:color w:val="auto"/>
                <w:spacing w:val="23"/>
                <w:sz w:val="18"/>
                <w:szCs w:val="18"/>
              </w:rPr>
              <w:t>投标人</w:t>
            </w:r>
            <w:r>
              <w:rPr>
                <w:color w:val="auto"/>
                <w:spacing w:val="-54"/>
                <w:sz w:val="18"/>
                <w:szCs w:val="18"/>
              </w:rPr>
              <w:t xml:space="preserve"> </w:t>
            </w:r>
            <w:r>
              <w:rPr>
                <w:color w:val="auto"/>
                <w:spacing w:val="23"/>
                <w:sz w:val="18"/>
                <w:szCs w:val="18"/>
              </w:rPr>
              <w:t>需如实填写技术参数偏离表</w:t>
            </w:r>
            <w:r>
              <w:rPr>
                <w:color w:val="auto"/>
                <w:spacing w:val="-48"/>
                <w:sz w:val="18"/>
                <w:szCs w:val="18"/>
              </w:rPr>
              <w:t xml:space="preserve"> </w:t>
            </w:r>
            <w:r>
              <w:rPr>
                <w:color w:val="auto"/>
                <w:spacing w:val="23"/>
                <w:sz w:val="18"/>
                <w:szCs w:val="18"/>
              </w:rPr>
              <w:t>，如虚假响应或提供虚假证明</w:t>
            </w:r>
            <w:r>
              <w:rPr>
                <w:color w:val="auto"/>
                <w:spacing w:val="22"/>
                <w:sz w:val="18"/>
                <w:szCs w:val="18"/>
              </w:rPr>
              <w:t>资料</w:t>
            </w:r>
            <w:r>
              <w:rPr>
                <w:color w:val="auto"/>
                <w:spacing w:val="-49"/>
                <w:sz w:val="18"/>
                <w:szCs w:val="18"/>
              </w:rPr>
              <w:t xml:space="preserve"> </w:t>
            </w:r>
            <w:r>
              <w:rPr>
                <w:color w:val="auto"/>
                <w:spacing w:val="22"/>
                <w:sz w:val="18"/>
                <w:szCs w:val="18"/>
              </w:rPr>
              <w:t>，采</w:t>
            </w:r>
            <w:r>
              <w:rPr>
                <w:color w:val="auto"/>
                <w:sz w:val="18"/>
                <w:szCs w:val="18"/>
              </w:rPr>
              <w:t xml:space="preserve"> </w:t>
            </w:r>
            <w:r>
              <w:rPr>
                <w:color w:val="auto"/>
                <w:spacing w:val="30"/>
                <w:sz w:val="18"/>
                <w:szCs w:val="18"/>
              </w:rPr>
              <w:t>购人及评标委员会有权追究其法律责任</w:t>
            </w:r>
            <w:r>
              <w:rPr>
                <w:color w:val="auto"/>
                <w:spacing w:val="-20"/>
                <w:sz w:val="18"/>
                <w:szCs w:val="18"/>
              </w:rPr>
              <w:t xml:space="preserve"> </w:t>
            </w:r>
            <w:r>
              <w:rPr>
                <w:color w:val="auto"/>
                <w:spacing w:val="30"/>
                <w:sz w:val="18"/>
                <w:szCs w:val="18"/>
              </w:rPr>
              <w:t>。</w:t>
            </w:r>
            <w:r>
              <w:rPr>
                <w:color w:val="auto"/>
                <w:spacing w:val="-52"/>
                <w:sz w:val="18"/>
                <w:szCs w:val="18"/>
              </w:rPr>
              <w:t xml:space="preserve"> </w:t>
            </w:r>
            <w:r>
              <w:rPr>
                <w:color w:val="auto"/>
                <w:spacing w:val="30"/>
                <w:sz w:val="18"/>
                <w:szCs w:val="18"/>
              </w:rPr>
              <w:t>（根据需求提供必要的证明资</w:t>
            </w:r>
            <w:r>
              <w:rPr>
                <w:color w:val="auto"/>
                <w:spacing w:val="2"/>
                <w:sz w:val="18"/>
                <w:szCs w:val="18"/>
              </w:rPr>
              <w:t>料</w:t>
            </w:r>
            <w:r>
              <w:rPr>
                <w:color w:val="auto"/>
                <w:spacing w:val="30"/>
                <w:sz w:val="18"/>
                <w:szCs w:val="18"/>
              </w:rPr>
              <w:t xml:space="preserve"> </w:t>
            </w:r>
            <w:r>
              <w:rPr>
                <w:color w:val="auto"/>
                <w:spacing w:val="2"/>
                <w:sz w:val="18"/>
                <w:szCs w:val="18"/>
              </w:rPr>
              <w:t>)</w:t>
            </w:r>
          </w:p>
        </w:tc>
      </w:tr>
      <w:tr w14:paraId="63812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629" w:type="dxa"/>
            <w:vMerge w:val="continue"/>
            <w:tcBorders>
              <w:top w:val="nil"/>
              <w:bottom w:val="nil"/>
            </w:tcBorders>
            <w:textDirection w:val="tbRlV"/>
            <w:vAlign w:val="top"/>
          </w:tcPr>
          <w:p w14:paraId="7B5C21CC">
            <w:pPr>
              <w:rPr>
                <w:rFonts w:ascii="Arial"/>
                <w:color w:val="auto"/>
                <w:sz w:val="21"/>
              </w:rPr>
            </w:pPr>
          </w:p>
        </w:tc>
        <w:tc>
          <w:tcPr>
            <w:tcW w:w="713" w:type="dxa"/>
            <w:vMerge w:val="restart"/>
            <w:tcBorders>
              <w:bottom w:val="nil"/>
            </w:tcBorders>
            <w:vAlign w:val="top"/>
          </w:tcPr>
          <w:p w14:paraId="10713FB5">
            <w:pPr>
              <w:spacing w:line="263" w:lineRule="auto"/>
              <w:rPr>
                <w:rFonts w:ascii="Arial"/>
                <w:color w:val="auto"/>
                <w:sz w:val="21"/>
              </w:rPr>
            </w:pPr>
          </w:p>
          <w:p w14:paraId="2E8CDD2E">
            <w:pPr>
              <w:spacing w:line="263" w:lineRule="auto"/>
              <w:rPr>
                <w:rFonts w:ascii="Arial"/>
                <w:color w:val="auto"/>
                <w:sz w:val="21"/>
              </w:rPr>
            </w:pPr>
          </w:p>
          <w:p w14:paraId="054A4D26">
            <w:pPr>
              <w:spacing w:line="264" w:lineRule="auto"/>
              <w:rPr>
                <w:rFonts w:ascii="Arial"/>
                <w:color w:val="auto"/>
                <w:sz w:val="21"/>
              </w:rPr>
            </w:pPr>
          </w:p>
          <w:p w14:paraId="3FCC5820">
            <w:pPr>
              <w:spacing w:line="264" w:lineRule="auto"/>
              <w:rPr>
                <w:rFonts w:ascii="Arial"/>
                <w:color w:val="auto"/>
                <w:sz w:val="21"/>
              </w:rPr>
            </w:pPr>
          </w:p>
          <w:p w14:paraId="5E0A001E">
            <w:pPr>
              <w:spacing w:line="264" w:lineRule="auto"/>
              <w:rPr>
                <w:rFonts w:ascii="Arial"/>
                <w:color w:val="auto"/>
                <w:sz w:val="21"/>
              </w:rPr>
            </w:pPr>
          </w:p>
          <w:p w14:paraId="1970C0AB">
            <w:pPr>
              <w:spacing w:line="264" w:lineRule="auto"/>
              <w:rPr>
                <w:rFonts w:ascii="Arial"/>
                <w:color w:val="auto"/>
                <w:sz w:val="21"/>
              </w:rPr>
            </w:pPr>
          </w:p>
          <w:p w14:paraId="500FF86A">
            <w:pPr>
              <w:spacing w:line="264" w:lineRule="auto"/>
              <w:rPr>
                <w:rFonts w:ascii="Arial"/>
                <w:color w:val="auto"/>
                <w:sz w:val="21"/>
              </w:rPr>
            </w:pPr>
          </w:p>
          <w:p w14:paraId="54E8E02B">
            <w:pPr>
              <w:pStyle w:val="124"/>
              <w:spacing w:before="58" w:line="259" w:lineRule="auto"/>
              <w:ind w:left="1" w:right="13"/>
              <w:rPr>
                <w:color w:val="auto"/>
                <w:sz w:val="18"/>
                <w:szCs w:val="18"/>
              </w:rPr>
            </w:pPr>
            <w:r>
              <w:rPr>
                <w:color w:val="auto"/>
                <w:spacing w:val="14"/>
                <w:sz w:val="18"/>
                <w:szCs w:val="18"/>
              </w:rPr>
              <w:t>服务实</w:t>
            </w:r>
            <w:r>
              <w:rPr>
                <w:color w:val="auto"/>
                <w:sz w:val="18"/>
                <w:szCs w:val="18"/>
              </w:rPr>
              <w:t xml:space="preserve"> </w:t>
            </w:r>
            <w:r>
              <w:rPr>
                <w:color w:val="auto"/>
                <w:spacing w:val="11"/>
                <w:sz w:val="18"/>
                <w:szCs w:val="18"/>
              </w:rPr>
              <w:t>施方案</w:t>
            </w:r>
          </w:p>
        </w:tc>
        <w:tc>
          <w:tcPr>
            <w:tcW w:w="604" w:type="dxa"/>
            <w:vAlign w:val="top"/>
          </w:tcPr>
          <w:p w14:paraId="1033103F">
            <w:pPr>
              <w:spacing w:line="386" w:lineRule="auto"/>
              <w:rPr>
                <w:rFonts w:ascii="Arial"/>
                <w:color w:val="auto"/>
                <w:sz w:val="21"/>
              </w:rPr>
            </w:pPr>
          </w:p>
          <w:p w14:paraId="6813D918">
            <w:pPr>
              <w:pStyle w:val="124"/>
              <w:spacing w:before="58" w:line="230" w:lineRule="auto"/>
              <w:ind w:left="184"/>
              <w:rPr>
                <w:color w:val="auto"/>
                <w:sz w:val="18"/>
                <w:szCs w:val="18"/>
              </w:rPr>
            </w:pPr>
            <w:r>
              <w:rPr>
                <w:color w:val="auto"/>
                <w:spacing w:val="-2"/>
                <w:sz w:val="18"/>
                <w:szCs w:val="18"/>
              </w:rPr>
              <w:t>8</w:t>
            </w:r>
            <w:r>
              <w:rPr>
                <w:color w:val="auto"/>
                <w:spacing w:val="-29"/>
                <w:sz w:val="18"/>
                <w:szCs w:val="18"/>
              </w:rPr>
              <w:t xml:space="preserve"> </w:t>
            </w:r>
            <w:r>
              <w:rPr>
                <w:color w:val="auto"/>
                <w:spacing w:val="-2"/>
                <w:sz w:val="18"/>
                <w:szCs w:val="18"/>
              </w:rPr>
              <w:t>分</w:t>
            </w:r>
          </w:p>
        </w:tc>
        <w:tc>
          <w:tcPr>
            <w:tcW w:w="6656" w:type="dxa"/>
            <w:tcBorders>
              <w:right w:val="single" w:color="000000" w:sz="8" w:space="0"/>
            </w:tcBorders>
            <w:vAlign w:val="top"/>
          </w:tcPr>
          <w:p w14:paraId="29F87AC5">
            <w:pPr>
              <w:pStyle w:val="124"/>
              <w:spacing w:before="86" w:line="242" w:lineRule="auto"/>
              <w:ind w:left="5" w:right="8" w:hanging="1"/>
              <w:jc w:val="both"/>
              <w:rPr>
                <w:color w:val="auto"/>
                <w:sz w:val="18"/>
                <w:szCs w:val="18"/>
              </w:rPr>
            </w:pPr>
            <w:r>
              <w:rPr>
                <w:color w:val="auto"/>
                <w:spacing w:val="20"/>
                <w:sz w:val="18"/>
                <w:szCs w:val="18"/>
              </w:rPr>
              <w:t>评标委</w:t>
            </w:r>
            <w:r>
              <w:rPr>
                <w:color w:val="auto"/>
                <w:spacing w:val="-51"/>
                <w:sz w:val="18"/>
                <w:szCs w:val="18"/>
              </w:rPr>
              <w:t xml:space="preserve"> </w:t>
            </w:r>
            <w:r>
              <w:rPr>
                <w:color w:val="auto"/>
                <w:spacing w:val="20"/>
                <w:sz w:val="18"/>
                <w:szCs w:val="18"/>
              </w:rPr>
              <w:t>员会根据投标文件对项</w:t>
            </w:r>
            <w:r>
              <w:rPr>
                <w:color w:val="auto"/>
                <w:spacing w:val="-25"/>
                <w:sz w:val="18"/>
                <w:szCs w:val="18"/>
              </w:rPr>
              <w:t xml:space="preserve"> </w:t>
            </w:r>
            <w:r>
              <w:rPr>
                <w:color w:val="auto"/>
                <w:spacing w:val="20"/>
                <w:sz w:val="18"/>
                <w:szCs w:val="18"/>
              </w:rPr>
              <w:t>目监测</w:t>
            </w:r>
            <w:r>
              <w:rPr>
                <w:color w:val="auto"/>
                <w:spacing w:val="-51"/>
                <w:sz w:val="18"/>
                <w:szCs w:val="18"/>
              </w:rPr>
              <w:t xml:space="preserve"> </w:t>
            </w:r>
            <w:r>
              <w:rPr>
                <w:color w:val="auto"/>
                <w:spacing w:val="20"/>
                <w:sz w:val="18"/>
                <w:szCs w:val="18"/>
              </w:rPr>
              <w:t>、调查实施方案具体</w:t>
            </w:r>
            <w:r>
              <w:rPr>
                <w:color w:val="auto"/>
                <w:spacing w:val="-51"/>
                <w:sz w:val="18"/>
                <w:szCs w:val="18"/>
              </w:rPr>
              <w:t xml:space="preserve"> </w:t>
            </w:r>
            <w:r>
              <w:rPr>
                <w:color w:val="auto"/>
                <w:spacing w:val="20"/>
                <w:sz w:val="18"/>
                <w:szCs w:val="18"/>
              </w:rPr>
              <w:t>、详尽</w:t>
            </w:r>
            <w:r>
              <w:rPr>
                <w:color w:val="auto"/>
                <w:spacing w:val="-51"/>
                <w:sz w:val="18"/>
                <w:szCs w:val="18"/>
              </w:rPr>
              <w:t xml:space="preserve"> </w:t>
            </w:r>
            <w:r>
              <w:rPr>
                <w:color w:val="auto"/>
                <w:spacing w:val="20"/>
                <w:sz w:val="18"/>
                <w:szCs w:val="18"/>
              </w:rPr>
              <w:t>，实施方案的完整性、技术说明情况（含货物参数叙述</w:t>
            </w:r>
            <w:r>
              <w:rPr>
                <w:color w:val="auto"/>
                <w:spacing w:val="19"/>
                <w:sz w:val="18"/>
                <w:szCs w:val="18"/>
              </w:rPr>
              <w:t>）</w:t>
            </w:r>
            <w:r>
              <w:rPr>
                <w:color w:val="auto"/>
                <w:spacing w:val="-50"/>
                <w:sz w:val="18"/>
                <w:szCs w:val="18"/>
              </w:rPr>
              <w:t xml:space="preserve"> </w:t>
            </w:r>
            <w:r>
              <w:rPr>
                <w:color w:val="auto"/>
                <w:spacing w:val="19"/>
                <w:sz w:val="18"/>
                <w:szCs w:val="18"/>
              </w:rPr>
              <w:t>等符合规定和实际等方面情</w:t>
            </w:r>
            <w:r>
              <w:rPr>
                <w:color w:val="auto"/>
                <w:sz w:val="18"/>
                <w:szCs w:val="18"/>
              </w:rPr>
              <w:t xml:space="preserve"> </w:t>
            </w:r>
            <w:r>
              <w:rPr>
                <w:color w:val="auto"/>
                <w:spacing w:val="13"/>
                <w:sz w:val="18"/>
                <w:szCs w:val="18"/>
              </w:rPr>
              <w:t>况进行评议并打分；</w:t>
            </w:r>
            <w:r>
              <w:rPr>
                <w:color w:val="auto"/>
                <w:spacing w:val="-29"/>
                <w:sz w:val="18"/>
                <w:szCs w:val="18"/>
              </w:rPr>
              <w:t xml:space="preserve"> </w:t>
            </w:r>
            <w:r>
              <w:rPr>
                <w:color w:val="auto"/>
                <w:spacing w:val="13"/>
                <w:sz w:val="18"/>
                <w:szCs w:val="18"/>
              </w:rPr>
              <w:t>内容全面，方案具体、详尽得</w:t>
            </w:r>
            <w:r>
              <w:rPr>
                <w:color w:val="auto"/>
                <w:spacing w:val="-26"/>
                <w:sz w:val="18"/>
                <w:szCs w:val="18"/>
              </w:rPr>
              <w:t xml:space="preserve"> </w:t>
            </w:r>
            <w:r>
              <w:rPr>
                <w:color w:val="auto"/>
                <w:spacing w:val="13"/>
                <w:sz w:val="18"/>
                <w:szCs w:val="18"/>
              </w:rPr>
              <w:t>8</w:t>
            </w:r>
            <w:r>
              <w:rPr>
                <w:color w:val="auto"/>
                <w:spacing w:val="-27"/>
                <w:sz w:val="18"/>
                <w:szCs w:val="18"/>
              </w:rPr>
              <w:t xml:space="preserve"> </w:t>
            </w:r>
            <w:r>
              <w:rPr>
                <w:color w:val="auto"/>
                <w:spacing w:val="13"/>
                <w:sz w:val="18"/>
                <w:szCs w:val="18"/>
              </w:rPr>
              <w:t>分，</w:t>
            </w:r>
            <w:r>
              <w:rPr>
                <w:color w:val="auto"/>
                <w:spacing w:val="-33"/>
                <w:sz w:val="18"/>
                <w:szCs w:val="18"/>
              </w:rPr>
              <w:t xml:space="preserve"> </w:t>
            </w:r>
            <w:r>
              <w:rPr>
                <w:color w:val="auto"/>
                <w:spacing w:val="13"/>
                <w:sz w:val="18"/>
                <w:szCs w:val="18"/>
              </w:rPr>
              <w:t>内容一般,具有一定</w:t>
            </w:r>
            <w:r>
              <w:rPr>
                <w:color w:val="auto"/>
                <w:sz w:val="18"/>
                <w:szCs w:val="18"/>
              </w:rPr>
              <w:t xml:space="preserve"> </w:t>
            </w:r>
            <w:r>
              <w:rPr>
                <w:color w:val="auto"/>
                <w:spacing w:val="10"/>
                <w:sz w:val="18"/>
                <w:szCs w:val="18"/>
              </w:rPr>
              <w:t>合理性得</w:t>
            </w:r>
            <w:r>
              <w:rPr>
                <w:color w:val="auto"/>
                <w:spacing w:val="-12"/>
                <w:sz w:val="18"/>
                <w:szCs w:val="18"/>
              </w:rPr>
              <w:t xml:space="preserve"> </w:t>
            </w:r>
            <w:r>
              <w:rPr>
                <w:color w:val="auto"/>
                <w:spacing w:val="10"/>
                <w:sz w:val="18"/>
                <w:szCs w:val="18"/>
              </w:rPr>
              <w:t>5</w:t>
            </w:r>
            <w:r>
              <w:rPr>
                <w:color w:val="auto"/>
                <w:spacing w:val="-28"/>
                <w:sz w:val="18"/>
                <w:szCs w:val="18"/>
              </w:rPr>
              <w:t xml:space="preserve"> </w:t>
            </w:r>
            <w:r>
              <w:rPr>
                <w:color w:val="auto"/>
                <w:spacing w:val="10"/>
                <w:sz w:val="18"/>
                <w:szCs w:val="18"/>
              </w:rPr>
              <w:t>分，</w:t>
            </w:r>
            <w:r>
              <w:rPr>
                <w:color w:val="auto"/>
                <w:spacing w:val="-39"/>
                <w:sz w:val="18"/>
                <w:szCs w:val="18"/>
              </w:rPr>
              <w:t xml:space="preserve"> </w:t>
            </w:r>
            <w:r>
              <w:rPr>
                <w:color w:val="auto"/>
                <w:spacing w:val="10"/>
                <w:sz w:val="18"/>
                <w:szCs w:val="18"/>
              </w:rPr>
              <w:t>内容不全面，可行性差得</w:t>
            </w:r>
            <w:r>
              <w:rPr>
                <w:color w:val="auto"/>
                <w:spacing w:val="-26"/>
                <w:sz w:val="18"/>
                <w:szCs w:val="18"/>
              </w:rPr>
              <w:t xml:space="preserve"> </w:t>
            </w:r>
            <w:r>
              <w:rPr>
                <w:color w:val="auto"/>
                <w:spacing w:val="10"/>
                <w:sz w:val="18"/>
                <w:szCs w:val="18"/>
              </w:rPr>
              <w:t>2</w:t>
            </w:r>
            <w:r>
              <w:rPr>
                <w:color w:val="auto"/>
                <w:spacing w:val="-29"/>
                <w:sz w:val="18"/>
                <w:szCs w:val="18"/>
              </w:rPr>
              <w:t xml:space="preserve"> </w:t>
            </w:r>
            <w:r>
              <w:rPr>
                <w:color w:val="auto"/>
                <w:spacing w:val="10"/>
                <w:sz w:val="18"/>
                <w:szCs w:val="18"/>
              </w:rPr>
              <w:t>分，未提供不得分。</w:t>
            </w:r>
          </w:p>
        </w:tc>
      </w:tr>
      <w:tr w14:paraId="7FBB3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629" w:type="dxa"/>
            <w:vMerge w:val="continue"/>
            <w:tcBorders>
              <w:top w:val="nil"/>
              <w:bottom w:val="nil"/>
            </w:tcBorders>
            <w:textDirection w:val="tbRlV"/>
            <w:vAlign w:val="top"/>
          </w:tcPr>
          <w:p w14:paraId="4B762ED8">
            <w:pPr>
              <w:rPr>
                <w:rFonts w:ascii="Arial"/>
                <w:color w:val="auto"/>
                <w:sz w:val="21"/>
              </w:rPr>
            </w:pPr>
          </w:p>
        </w:tc>
        <w:tc>
          <w:tcPr>
            <w:tcW w:w="713" w:type="dxa"/>
            <w:vMerge w:val="continue"/>
            <w:tcBorders>
              <w:top w:val="nil"/>
              <w:bottom w:val="nil"/>
            </w:tcBorders>
            <w:vAlign w:val="top"/>
          </w:tcPr>
          <w:p w14:paraId="52BF5E09">
            <w:pPr>
              <w:rPr>
                <w:rFonts w:ascii="Arial"/>
                <w:color w:val="auto"/>
                <w:sz w:val="21"/>
              </w:rPr>
            </w:pPr>
          </w:p>
        </w:tc>
        <w:tc>
          <w:tcPr>
            <w:tcW w:w="604" w:type="dxa"/>
            <w:vAlign w:val="top"/>
          </w:tcPr>
          <w:p w14:paraId="508CD8B8">
            <w:pPr>
              <w:spacing w:line="371" w:lineRule="auto"/>
              <w:rPr>
                <w:rFonts w:ascii="Arial"/>
                <w:color w:val="auto"/>
                <w:sz w:val="21"/>
              </w:rPr>
            </w:pPr>
          </w:p>
          <w:p w14:paraId="0359B8CA">
            <w:pPr>
              <w:pStyle w:val="124"/>
              <w:spacing w:before="58" w:line="230" w:lineRule="auto"/>
              <w:ind w:left="184"/>
              <w:rPr>
                <w:color w:val="auto"/>
                <w:sz w:val="18"/>
                <w:szCs w:val="18"/>
              </w:rPr>
            </w:pPr>
            <w:r>
              <w:rPr>
                <w:color w:val="auto"/>
                <w:spacing w:val="-2"/>
                <w:sz w:val="18"/>
                <w:szCs w:val="18"/>
              </w:rPr>
              <w:t>8</w:t>
            </w:r>
            <w:r>
              <w:rPr>
                <w:color w:val="auto"/>
                <w:spacing w:val="-29"/>
                <w:sz w:val="18"/>
                <w:szCs w:val="18"/>
              </w:rPr>
              <w:t xml:space="preserve"> </w:t>
            </w:r>
            <w:r>
              <w:rPr>
                <w:color w:val="auto"/>
                <w:spacing w:val="-2"/>
                <w:sz w:val="18"/>
                <w:szCs w:val="18"/>
              </w:rPr>
              <w:t>分</w:t>
            </w:r>
          </w:p>
        </w:tc>
        <w:tc>
          <w:tcPr>
            <w:tcW w:w="6656" w:type="dxa"/>
            <w:tcBorders>
              <w:right w:val="single" w:color="000000" w:sz="8" w:space="0"/>
            </w:tcBorders>
            <w:vAlign w:val="top"/>
          </w:tcPr>
          <w:p w14:paraId="32193656">
            <w:pPr>
              <w:pStyle w:val="124"/>
              <w:spacing w:before="71" w:line="242" w:lineRule="auto"/>
              <w:ind w:left="4" w:right="9"/>
              <w:jc w:val="both"/>
              <w:rPr>
                <w:color w:val="auto"/>
                <w:sz w:val="18"/>
                <w:szCs w:val="18"/>
              </w:rPr>
            </w:pPr>
            <w:r>
              <w:rPr>
                <w:color w:val="auto"/>
                <w:spacing w:val="20"/>
                <w:sz w:val="18"/>
                <w:szCs w:val="18"/>
              </w:rPr>
              <w:t>根据本项</w:t>
            </w:r>
            <w:r>
              <w:rPr>
                <w:color w:val="auto"/>
                <w:spacing w:val="-27"/>
                <w:sz w:val="18"/>
                <w:szCs w:val="18"/>
              </w:rPr>
              <w:t xml:space="preserve"> </w:t>
            </w:r>
            <w:r>
              <w:rPr>
                <w:color w:val="auto"/>
                <w:spacing w:val="20"/>
                <w:sz w:val="18"/>
                <w:szCs w:val="18"/>
              </w:rPr>
              <w:t>目具体特点及实</w:t>
            </w:r>
            <w:r>
              <w:rPr>
                <w:color w:val="auto"/>
                <w:spacing w:val="-50"/>
                <w:sz w:val="18"/>
                <w:szCs w:val="18"/>
              </w:rPr>
              <w:t xml:space="preserve"> </w:t>
            </w:r>
            <w:r>
              <w:rPr>
                <w:color w:val="auto"/>
                <w:spacing w:val="20"/>
                <w:sz w:val="18"/>
                <w:szCs w:val="18"/>
              </w:rPr>
              <w:t>际要求</w:t>
            </w:r>
            <w:r>
              <w:rPr>
                <w:color w:val="auto"/>
                <w:spacing w:val="-54"/>
                <w:sz w:val="18"/>
                <w:szCs w:val="18"/>
              </w:rPr>
              <w:t xml:space="preserve"> </w:t>
            </w:r>
            <w:r>
              <w:rPr>
                <w:color w:val="auto"/>
                <w:spacing w:val="20"/>
                <w:sz w:val="18"/>
                <w:szCs w:val="18"/>
              </w:rPr>
              <w:t>、货物质量</w:t>
            </w:r>
            <w:r>
              <w:rPr>
                <w:color w:val="auto"/>
                <w:spacing w:val="-50"/>
                <w:sz w:val="18"/>
                <w:szCs w:val="18"/>
              </w:rPr>
              <w:t xml:space="preserve"> </w:t>
            </w:r>
            <w:r>
              <w:rPr>
                <w:color w:val="auto"/>
                <w:spacing w:val="20"/>
                <w:sz w:val="18"/>
                <w:szCs w:val="18"/>
              </w:rPr>
              <w:t>、各个阶段进度</w:t>
            </w:r>
            <w:r>
              <w:rPr>
                <w:color w:val="auto"/>
                <w:spacing w:val="-51"/>
                <w:sz w:val="18"/>
                <w:szCs w:val="18"/>
              </w:rPr>
              <w:t xml:space="preserve"> </w:t>
            </w:r>
            <w:r>
              <w:rPr>
                <w:color w:val="auto"/>
                <w:spacing w:val="20"/>
                <w:sz w:val="18"/>
                <w:szCs w:val="18"/>
              </w:rPr>
              <w:t>、紧急保障措</w:t>
            </w:r>
            <w:r>
              <w:rPr>
                <w:color w:val="auto"/>
                <w:sz w:val="18"/>
                <w:szCs w:val="18"/>
              </w:rPr>
              <w:t xml:space="preserve"> </w:t>
            </w:r>
            <w:r>
              <w:rPr>
                <w:color w:val="auto"/>
                <w:spacing w:val="21"/>
                <w:sz w:val="18"/>
                <w:szCs w:val="18"/>
              </w:rPr>
              <w:t>施及善后处理方案等方面情况进行评议并打分：方案完整，逻辑</w:t>
            </w:r>
            <w:r>
              <w:rPr>
                <w:color w:val="auto"/>
                <w:spacing w:val="20"/>
                <w:sz w:val="18"/>
                <w:szCs w:val="18"/>
              </w:rPr>
              <w:t>清晰，贴合</w:t>
            </w:r>
            <w:r>
              <w:rPr>
                <w:color w:val="auto"/>
                <w:sz w:val="18"/>
                <w:szCs w:val="18"/>
              </w:rPr>
              <w:t xml:space="preserve"> </w:t>
            </w:r>
            <w:r>
              <w:rPr>
                <w:color w:val="auto"/>
                <w:spacing w:val="14"/>
                <w:sz w:val="18"/>
                <w:szCs w:val="18"/>
              </w:rPr>
              <w:t>采购需求，可行性高的得</w:t>
            </w:r>
            <w:r>
              <w:rPr>
                <w:color w:val="auto"/>
                <w:spacing w:val="-20"/>
                <w:sz w:val="18"/>
                <w:szCs w:val="18"/>
              </w:rPr>
              <w:t xml:space="preserve"> </w:t>
            </w:r>
            <w:r>
              <w:rPr>
                <w:color w:val="auto"/>
                <w:spacing w:val="14"/>
                <w:sz w:val="18"/>
                <w:szCs w:val="18"/>
              </w:rPr>
              <w:t>8</w:t>
            </w:r>
            <w:r>
              <w:rPr>
                <w:color w:val="auto"/>
                <w:spacing w:val="-27"/>
                <w:sz w:val="18"/>
                <w:szCs w:val="18"/>
              </w:rPr>
              <w:t xml:space="preserve"> </w:t>
            </w:r>
            <w:r>
              <w:rPr>
                <w:color w:val="auto"/>
                <w:spacing w:val="14"/>
                <w:sz w:val="18"/>
                <w:szCs w:val="18"/>
              </w:rPr>
              <w:t>分；方案较为合理，可行性较高的得</w:t>
            </w:r>
            <w:r>
              <w:rPr>
                <w:color w:val="auto"/>
                <w:spacing w:val="-23"/>
                <w:sz w:val="18"/>
                <w:szCs w:val="18"/>
              </w:rPr>
              <w:t xml:space="preserve"> </w:t>
            </w:r>
            <w:r>
              <w:rPr>
                <w:color w:val="auto"/>
                <w:spacing w:val="14"/>
                <w:sz w:val="18"/>
                <w:szCs w:val="18"/>
              </w:rPr>
              <w:t>5</w:t>
            </w:r>
            <w:r>
              <w:rPr>
                <w:color w:val="auto"/>
                <w:spacing w:val="-26"/>
                <w:sz w:val="18"/>
                <w:szCs w:val="18"/>
              </w:rPr>
              <w:t xml:space="preserve"> </w:t>
            </w:r>
            <w:r>
              <w:rPr>
                <w:color w:val="auto"/>
                <w:spacing w:val="14"/>
                <w:sz w:val="18"/>
                <w:szCs w:val="18"/>
              </w:rPr>
              <w:t>分；</w:t>
            </w:r>
            <w:r>
              <w:rPr>
                <w:color w:val="auto"/>
                <w:spacing w:val="47"/>
                <w:sz w:val="18"/>
                <w:szCs w:val="18"/>
              </w:rPr>
              <w:t xml:space="preserve"> </w:t>
            </w:r>
            <w:r>
              <w:rPr>
                <w:color w:val="auto"/>
                <w:spacing w:val="14"/>
                <w:sz w:val="18"/>
                <w:szCs w:val="18"/>
              </w:rPr>
              <w:t>方案</w:t>
            </w:r>
            <w:r>
              <w:rPr>
                <w:color w:val="auto"/>
                <w:sz w:val="18"/>
                <w:szCs w:val="18"/>
              </w:rPr>
              <w:t xml:space="preserve"> </w:t>
            </w:r>
            <w:r>
              <w:rPr>
                <w:color w:val="auto"/>
                <w:spacing w:val="14"/>
                <w:sz w:val="18"/>
                <w:szCs w:val="18"/>
              </w:rPr>
              <w:t>结构混乱，</w:t>
            </w:r>
            <w:r>
              <w:rPr>
                <w:color w:val="auto"/>
                <w:spacing w:val="-49"/>
                <w:sz w:val="18"/>
                <w:szCs w:val="18"/>
              </w:rPr>
              <w:t xml:space="preserve"> </w:t>
            </w:r>
            <w:r>
              <w:rPr>
                <w:color w:val="auto"/>
                <w:spacing w:val="14"/>
                <w:sz w:val="18"/>
                <w:szCs w:val="18"/>
              </w:rPr>
              <w:t>不贴合本项目的采购需求得</w:t>
            </w:r>
            <w:r>
              <w:rPr>
                <w:color w:val="auto"/>
                <w:spacing w:val="-23"/>
                <w:sz w:val="18"/>
                <w:szCs w:val="18"/>
              </w:rPr>
              <w:t xml:space="preserve"> </w:t>
            </w:r>
            <w:r>
              <w:rPr>
                <w:color w:val="auto"/>
                <w:spacing w:val="14"/>
                <w:sz w:val="18"/>
                <w:szCs w:val="18"/>
              </w:rPr>
              <w:t>2</w:t>
            </w:r>
            <w:r>
              <w:rPr>
                <w:color w:val="auto"/>
                <w:spacing w:val="-24"/>
                <w:sz w:val="18"/>
                <w:szCs w:val="18"/>
              </w:rPr>
              <w:t xml:space="preserve"> </w:t>
            </w:r>
            <w:r>
              <w:rPr>
                <w:color w:val="auto"/>
                <w:spacing w:val="14"/>
                <w:sz w:val="18"/>
                <w:szCs w:val="18"/>
              </w:rPr>
              <w:t>分；</w:t>
            </w:r>
            <w:r>
              <w:rPr>
                <w:color w:val="auto"/>
                <w:spacing w:val="-48"/>
                <w:sz w:val="18"/>
                <w:szCs w:val="18"/>
              </w:rPr>
              <w:t xml:space="preserve"> </w:t>
            </w:r>
            <w:r>
              <w:rPr>
                <w:color w:val="auto"/>
                <w:spacing w:val="14"/>
                <w:sz w:val="18"/>
                <w:szCs w:val="18"/>
              </w:rPr>
              <w:t>未提供不得</w:t>
            </w:r>
            <w:r>
              <w:rPr>
                <w:color w:val="auto"/>
                <w:spacing w:val="13"/>
                <w:sz w:val="18"/>
                <w:szCs w:val="18"/>
              </w:rPr>
              <w:t>分。</w:t>
            </w:r>
          </w:p>
        </w:tc>
      </w:tr>
      <w:tr w14:paraId="10F11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629" w:type="dxa"/>
            <w:vMerge w:val="continue"/>
            <w:tcBorders>
              <w:top w:val="nil"/>
              <w:bottom w:val="nil"/>
            </w:tcBorders>
            <w:textDirection w:val="tbRlV"/>
            <w:vAlign w:val="top"/>
          </w:tcPr>
          <w:p w14:paraId="38D789AB">
            <w:pPr>
              <w:rPr>
                <w:rFonts w:ascii="Arial"/>
                <w:color w:val="auto"/>
                <w:sz w:val="21"/>
              </w:rPr>
            </w:pPr>
          </w:p>
        </w:tc>
        <w:tc>
          <w:tcPr>
            <w:tcW w:w="713" w:type="dxa"/>
            <w:vMerge w:val="continue"/>
            <w:tcBorders>
              <w:top w:val="nil"/>
              <w:bottom w:val="nil"/>
            </w:tcBorders>
            <w:vAlign w:val="top"/>
          </w:tcPr>
          <w:p w14:paraId="45770484">
            <w:pPr>
              <w:rPr>
                <w:rFonts w:ascii="Arial"/>
                <w:color w:val="auto"/>
                <w:sz w:val="21"/>
              </w:rPr>
            </w:pPr>
          </w:p>
        </w:tc>
        <w:tc>
          <w:tcPr>
            <w:tcW w:w="604" w:type="dxa"/>
            <w:vAlign w:val="top"/>
          </w:tcPr>
          <w:p w14:paraId="166FE00E">
            <w:pPr>
              <w:spacing w:line="373" w:lineRule="auto"/>
              <w:rPr>
                <w:rFonts w:ascii="Arial"/>
                <w:color w:val="auto"/>
                <w:sz w:val="21"/>
              </w:rPr>
            </w:pPr>
          </w:p>
          <w:p w14:paraId="3C9D4E46">
            <w:pPr>
              <w:pStyle w:val="124"/>
              <w:spacing w:before="59" w:line="230" w:lineRule="auto"/>
              <w:ind w:left="184"/>
              <w:rPr>
                <w:color w:val="auto"/>
                <w:sz w:val="18"/>
                <w:szCs w:val="18"/>
              </w:rPr>
            </w:pPr>
            <w:r>
              <w:rPr>
                <w:color w:val="auto"/>
                <w:spacing w:val="-2"/>
                <w:sz w:val="18"/>
                <w:szCs w:val="18"/>
              </w:rPr>
              <w:t>8</w:t>
            </w:r>
            <w:r>
              <w:rPr>
                <w:color w:val="auto"/>
                <w:spacing w:val="-29"/>
                <w:sz w:val="18"/>
                <w:szCs w:val="18"/>
              </w:rPr>
              <w:t xml:space="preserve"> </w:t>
            </w:r>
            <w:r>
              <w:rPr>
                <w:color w:val="auto"/>
                <w:spacing w:val="-2"/>
                <w:sz w:val="18"/>
                <w:szCs w:val="18"/>
              </w:rPr>
              <w:t>分</w:t>
            </w:r>
          </w:p>
        </w:tc>
        <w:tc>
          <w:tcPr>
            <w:tcW w:w="6656" w:type="dxa"/>
            <w:tcBorders>
              <w:right w:val="single" w:color="000000" w:sz="8" w:space="0"/>
            </w:tcBorders>
            <w:vAlign w:val="top"/>
          </w:tcPr>
          <w:p w14:paraId="621AB599">
            <w:pPr>
              <w:pStyle w:val="124"/>
              <w:spacing w:before="73" w:line="242" w:lineRule="auto"/>
              <w:ind w:left="5" w:right="7"/>
              <w:jc w:val="both"/>
              <w:rPr>
                <w:color w:val="auto"/>
                <w:sz w:val="18"/>
                <w:szCs w:val="18"/>
              </w:rPr>
            </w:pPr>
            <w:r>
              <w:rPr>
                <w:color w:val="auto"/>
                <w:spacing w:val="17"/>
                <w:sz w:val="18"/>
                <w:szCs w:val="18"/>
              </w:rPr>
              <w:t>根据本项目的实际情况，对运输方案、货物调</w:t>
            </w:r>
            <w:r>
              <w:rPr>
                <w:color w:val="auto"/>
                <w:spacing w:val="16"/>
                <w:sz w:val="18"/>
                <w:szCs w:val="18"/>
              </w:rPr>
              <w:t>配、货物交接、清单安排等</w:t>
            </w:r>
            <w:r>
              <w:rPr>
                <w:color w:val="auto"/>
                <w:spacing w:val="49"/>
                <w:sz w:val="18"/>
                <w:szCs w:val="18"/>
              </w:rPr>
              <w:t xml:space="preserve"> </w:t>
            </w:r>
            <w:r>
              <w:rPr>
                <w:color w:val="auto"/>
                <w:spacing w:val="16"/>
                <w:sz w:val="18"/>
                <w:szCs w:val="18"/>
              </w:rPr>
              <w:t>方</w:t>
            </w:r>
            <w:r>
              <w:rPr>
                <w:color w:val="auto"/>
                <w:sz w:val="18"/>
                <w:szCs w:val="18"/>
              </w:rPr>
              <w:t xml:space="preserve"> </w:t>
            </w:r>
            <w:r>
              <w:rPr>
                <w:color w:val="auto"/>
                <w:spacing w:val="14"/>
                <w:sz w:val="18"/>
                <w:szCs w:val="18"/>
              </w:rPr>
              <w:t>面情况进行评议并打分；</w:t>
            </w:r>
            <w:r>
              <w:rPr>
                <w:color w:val="auto"/>
                <w:spacing w:val="-35"/>
                <w:sz w:val="18"/>
                <w:szCs w:val="18"/>
              </w:rPr>
              <w:t xml:space="preserve"> </w:t>
            </w:r>
            <w:r>
              <w:rPr>
                <w:color w:val="auto"/>
                <w:spacing w:val="14"/>
                <w:sz w:val="18"/>
                <w:szCs w:val="18"/>
              </w:rPr>
              <w:t>方案完整，逻辑清晰，</w:t>
            </w:r>
            <w:r>
              <w:rPr>
                <w:color w:val="auto"/>
                <w:spacing w:val="-53"/>
                <w:sz w:val="18"/>
                <w:szCs w:val="18"/>
              </w:rPr>
              <w:t xml:space="preserve"> </w:t>
            </w:r>
            <w:r>
              <w:rPr>
                <w:color w:val="auto"/>
                <w:spacing w:val="14"/>
                <w:sz w:val="18"/>
                <w:szCs w:val="18"/>
              </w:rPr>
              <w:t>贴合采购需求，可行性高的</w:t>
            </w:r>
            <w:r>
              <w:rPr>
                <w:color w:val="auto"/>
                <w:sz w:val="18"/>
                <w:szCs w:val="18"/>
              </w:rPr>
              <w:t xml:space="preserve"> </w:t>
            </w:r>
            <w:r>
              <w:rPr>
                <w:color w:val="auto"/>
                <w:spacing w:val="13"/>
                <w:sz w:val="18"/>
                <w:szCs w:val="18"/>
              </w:rPr>
              <w:t>得</w:t>
            </w:r>
            <w:r>
              <w:rPr>
                <w:color w:val="auto"/>
                <w:spacing w:val="-27"/>
                <w:sz w:val="18"/>
                <w:szCs w:val="18"/>
              </w:rPr>
              <w:t xml:space="preserve"> </w:t>
            </w:r>
            <w:r>
              <w:rPr>
                <w:color w:val="auto"/>
                <w:spacing w:val="13"/>
                <w:sz w:val="18"/>
                <w:szCs w:val="18"/>
              </w:rPr>
              <w:t>8</w:t>
            </w:r>
            <w:r>
              <w:rPr>
                <w:color w:val="auto"/>
                <w:spacing w:val="-27"/>
                <w:sz w:val="18"/>
                <w:szCs w:val="18"/>
              </w:rPr>
              <w:t xml:space="preserve"> </w:t>
            </w:r>
            <w:r>
              <w:rPr>
                <w:color w:val="auto"/>
                <w:spacing w:val="13"/>
                <w:sz w:val="18"/>
                <w:szCs w:val="18"/>
              </w:rPr>
              <w:t>分；方案较为合理，可行性较高的得</w:t>
            </w:r>
            <w:r>
              <w:rPr>
                <w:color w:val="auto"/>
                <w:spacing w:val="-22"/>
                <w:sz w:val="18"/>
                <w:szCs w:val="18"/>
              </w:rPr>
              <w:t xml:space="preserve"> </w:t>
            </w:r>
            <w:r>
              <w:rPr>
                <w:color w:val="auto"/>
                <w:spacing w:val="13"/>
                <w:sz w:val="18"/>
                <w:szCs w:val="18"/>
              </w:rPr>
              <w:t>5</w:t>
            </w:r>
            <w:r>
              <w:rPr>
                <w:color w:val="auto"/>
                <w:spacing w:val="-27"/>
                <w:sz w:val="18"/>
                <w:szCs w:val="18"/>
              </w:rPr>
              <w:t xml:space="preserve"> </w:t>
            </w:r>
            <w:r>
              <w:rPr>
                <w:color w:val="auto"/>
                <w:spacing w:val="13"/>
                <w:sz w:val="18"/>
                <w:szCs w:val="18"/>
              </w:rPr>
              <w:t>分；方案结构混乱，</w:t>
            </w:r>
            <w:r>
              <w:rPr>
                <w:color w:val="auto"/>
                <w:spacing w:val="-53"/>
                <w:sz w:val="18"/>
                <w:szCs w:val="18"/>
              </w:rPr>
              <w:t xml:space="preserve"> </w:t>
            </w:r>
            <w:r>
              <w:rPr>
                <w:color w:val="auto"/>
                <w:spacing w:val="13"/>
                <w:sz w:val="18"/>
                <w:szCs w:val="18"/>
              </w:rPr>
              <w:t>不贴合</w:t>
            </w:r>
            <w:r>
              <w:rPr>
                <w:color w:val="auto"/>
                <w:spacing w:val="51"/>
                <w:sz w:val="18"/>
                <w:szCs w:val="18"/>
              </w:rPr>
              <w:t xml:space="preserve"> </w:t>
            </w:r>
            <w:r>
              <w:rPr>
                <w:color w:val="auto"/>
                <w:spacing w:val="13"/>
                <w:sz w:val="18"/>
                <w:szCs w:val="18"/>
              </w:rPr>
              <w:t>本项</w:t>
            </w:r>
            <w:r>
              <w:rPr>
                <w:color w:val="auto"/>
                <w:sz w:val="18"/>
                <w:szCs w:val="18"/>
              </w:rPr>
              <w:t xml:space="preserve"> </w:t>
            </w:r>
            <w:r>
              <w:rPr>
                <w:color w:val="auto"/>
                <w:spacing w:val="12"/>
                <w:sz w:val="18"/>
                <w:szCs w:val="18"/>
              </w:rPr>
              <w:t>目的采购需求得</w:t>
            </w:r>
            <w:r>
              <w:rPr>
                <w:color w:val="auto"/>
                <w:spacing w:val="-24"/>
                <w:sz w:val="18"/>
                <w:szCs w:val="18"/>
              </w:rPr>
              <w:t xml:space="preserve"> </w:t>
            </w:r>
            <w:r>
              <w:rPr>
                <w:color w:val="auto"/>
                <w:spacing w:val="12"/>
                <w:sz w:val="18"/>
                <w:szCs w:val="18"/>
              </w:rPr>
              <w:t>2</w:t>
            </w:r>
            <w:r>
              <w:rPr>
                <w:color w:val="auto"/>
                <w:spacing w:val="-29"/>
                <w:sz w:val="18"/>
                <w:szCs w:val="18"/>
              </w:rPr>
              <w:t xml:space="preserve"> </w:t>
            </w:r>
            <w:r>
              <w:rPr>
                <w:color w:val="auto"/>
                <w:spacing w:val="12"/>
                <w:sz w:val="18"/>
                <w:szCs w:val="18"/>
              </w:rPr>
              <w:t>分；未提供不得分。</w:t>
            </w:r>
          </w:p>
        </w:tc>
      </w:tr>
      <w:tr w14:paraId="382E9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629" w:type="dxa"/>
            <w:vMerge w:val="continue"/>
            <w:tcBorders>
              <w:top w:val="nil"/>
              <w:bottom w:val="nil"/>
            </w:tcBorders>
            <w:textDirection w:val="tbRlV"/>
            <w:vAlign w:val="top"/>
          </w:tcPr>
          <w:p w14:paraId="56353A5A">
            <w:pPr>
              <w:rPr>
                <w:rFonts w:ascii="Arial"/>
                <w:color w:val="auto"/>
                <w:sz w:val="21"/>
              </w:rPr>
            </w:pPr>
          </w:p>
        </w:tc>
        <w:tc>
          <w:tcPr>
            <w:tcW w:w="713" w:type="dxa"/>
            <w:vMerge w:val="continue"/>
            <w:tcBorders>
              <w:top w:val="nil"/>
            </w:tcBorders>
            <w:vAlign w:val="top"/>
          </w:tcPr>
          <w:p w14:paraId="42BE3246">
            <w:pPr>
              <w:rPr>
                <w:rFonts w:ascii="Arial"/>
                <w:color w:val="auto"/>
                <w:sz w:val="21"/>
              </w:rPr>
            </w:pPr>
          </w:p>
        </w:tc>
        <w:tc>
          <w:tcPr>
            <w:tcW w:w="604" w:type="dxa"/>
            <w:vAlign w:val="top"/>
          </w:tcPr>
          <w:p w14:paraId="4AF80437">
            <w:pPr>
              <w:spacing w:line="261" w:lineRule="auto"/>
              <w:rPr>
                <w:rFonts w:ascii="Arial"/>
                <w:color w:val="auto"/>
                <w:sz w:val="21"/>
              </w:rPr>
            </w:pPr>
          </w:p>
          <w:p w14:paraId="2B4C7871">
            <w:pPr>
              <w:spacing w:line="261" w:lineRule="auto"/>
              <w:rPr>
                <w:rFonts w:ascii="Arial"/>
                <w:color w:val="auto"/>
                <w:sz w:val="21"/>
              </w:rPr>
            </w:pPr>
          </w:p>
          <w:p w14:paraId="112A9544">
            <w:pPr>
              <w:pStyle w:val="124"/>
              <w:spacing w:before="58" w:line="230" w:lineRule="auto"/>
              <w:ind w:left="187"/>
              <w:rPr>
                <w:color w:val="auto"/>
                <w:sz w:val="18"/>
                <w:szCs w:val="18"/>
              </w:rPr>
            </w:pPr>
            <w:r>
              <w:rPr>
                <w:color w:val="auto"/>
                <w:spacing w:val="-3"/>
                <w:sz w:val="18"/>
                <w:szCs w:val="18"/>
              </w:rPr>
              <w:t>5</w:t>
            </w:r>
            <w:r>
              <w:rPr>
                <w:color w:val="auto"/>
                <w:spacing w:val="-29"/>
                <w:sz w:val="18"/>
                <w:szCs w:val="18"/>
              </w:rPr>
              <w:t xml:space="preserve"> </w:t>
            </w:r>
            <w:r>
              <w:rPr>
                <w:color w:val="auto"/>
                <w:spacing w:val="-3"/>
                <w:sz w:val="18"/>
                <w:szCs w:val="18"/>
              </w:rPr>
              <w:t>分</w:t>
            </w:r>
          </w:p>
        </w:tc>
        <w:tc>
          <w:tcPr>
            <w:tcW w:w="6656" w:type="dxa"/>
            <w:tcBorders>
              <w:right w:val="single" w:color="000000" w:sz="8" w:space="0"/>
            </w:tcBorders>
            <w:vAlign w:val="top"/>
          </w:tcPr>
          <w:p w14:paraId="5BEBBD26">
            <w:pPr>
              <w:pStyle w:val="124"/>
              <w:spacing w:before="101" w:line="243" w:lineRule="auto"/>
              <w:ind w:left="5"/>
              <w:rPr>
                <w:color w:val="auto"/>
                <w:sz w:val="18"/>
                <w:szCs w:val="18"/>
              </w:rPr>
            </w:pPr>
            <w:r>
              <w:rPr>
                <w:color w:val="auto"/>
                <w:spacing w:val="25"/>
                <w:sz w:val="18"/>
                <w:szCs w:val="18"/>
              </w:rPr>
              <w:t>供货期安排须详细阐述从货物发货时间、货物交接等各个</w:t>
            </w:r>
            <w:r>
              <w:rPr>
                <w:color w:val="auto"/>
                <w:spacing w:val="24"/>
                <w:sz w:val="18"/>
                <w:szCs w:val="18"/>
              </w:rPr>
              <w:t>阶段时间安排</w:t>
            </w:r>
            <w:r>
              <w:rPr>
                <w:color w:val="auto"/>
                <w:spacing w:val="-46"/>
                <w:sz w:val="18"/>
                <w:szCs w:val="18"/>
              </w:rPr>
              <w:t xml:space="preserve"> </w:t>
            </w:r>
            <w:r>
              <w:rPr>
                <w:color w:val="auto"/>
                <w:spacing w:val="24"/>
                <w:sz w:val="18"/>
                <w:szCs w:val="18"/>
              </w:rPr>
              <w:t>。</w:t>
            </w:r>
            <w:r>
              <w:rPr>
                <w:color w:val="auto"/>
                <w:spacing w:val="15"/>
                <w:sz w:val="18"/>
                <w:szCs w:val="18"/>
              </w:rPr>
              <w:t>不可预见突发处理时间，完工验收时间，供货期安排方案合理等方面情况进</w:t>
            </w:r>
            <w:r>
              <w:rPr>
                <w:color w:val="auto"/>
                <w:spacing w:val="11"/>
                <w:sz w:val="18"/>
                <w:szCs w:val="18"/>
              </w:rPr>
              <w:t>行评议并打分</w:t>
            </w:r>
            <w:r>
              <w:rPr>
                <w:color w:val="auto"/>
                <w:spacing w:val="-41"/>
                <w:sz w:val="18"/>
                <w:szCs w:val="18"/>
              </w:rPr>
              <w:t xml:space="preserve"> </w:t>
            </w:r>
            <w:r>
              <w:rPr>
                <w:color w:val="auto"/>
                <w:spacing w:val="11"/>
                <w:sz w:val="18"/>
                <w:szCs w:val="18"/>
              </w:rPr>
              <w:t>。方案完整</w:t>
            </w:r>
            <w:r>
              <w:rPr>
                <w:color w:val="auto"/>
                <w:spacing w:val="-48"/>
                <w:sz w:val="18"/>
                <w:szCs w:val="18"/>
              </w:rPr>
              <w:t xml:space="preserve"> </w:t>
            </w:r>
            <w:r>
              <w:rPr>
                <w:color w:val="auto"/>
                <w:spacing w:val="11"/>
                <w:sz w:val="18"/>
                <w:szCs w:val="18"/>
              </w:rPr>
              <w:t>，逻辑清晰</w:t>
            </w:r>
            <w:r>
              <w:rPr>
                <w:color w:val="auto"/>
                <w:spacing w:val="-49"/>
                <w:sz w:val="18"/>
                <w:szCs w:val="18"/>
              </w:rPr>
              <w:t xml:space="preserve"> </w:t>
            </w:r>
            <w:r>
              <w:rPr>
                <w:color w:val="auto"/>
                <w:spacing w:val="11"/>
                <w:sz w:val="18"/>
                <w:szCs w:val="18"/>
              </w:rPr>
              <w:t>，贴合采购</w:t>
            </w:r>
            <w:r>
              <w:rPr>
                <w:color w:val="auto"/>
                <w:spacing w:val="-53"/>
                <w:sz w:val="18"/>
                <w:szCs w:val="18"/>
              </w:rPr>
              <w:t xml:space="preserve"> </w:t>
            </w:r>
            <w:r>
              <w:rPr>
                <w:color w:val="auto"/>
                <w:spacing w:val="11"/>
                <w:sz w:val="18"/>
                <w:szCs w:val="18"/>
              </w:rPr>
              <w:t>需求</w:t>
            </w:r>
            <w:r>
              <w:rPr>
                <w:color w:val="auto"/>
                <w:spacing w:val="-49"/>
                <w:sz w:val="18"/>
                <w:szCs w:val="18"/>
              </w:rPr>
              <w:t xml:space="preserve"> </w:t>
            </w:r>
            <w:r>
              <w:rPr>
                <w:color w:val="auto"/>
                <w:spacing w:val="11"/>
                <w:sz w:val="18"/>
                <w:szCs w:val="18"/>
              </w:rPr>
              <w:t>，可行性高</w:t>
            </w:r>
            <w:r>
              <w:rPr>
                <w:color w:val="auto"/>
                <w:spacing w:val="-48"/>
                <w:sz w:val="18"/>
                <w:szCs w:val="18"/>
              </w:rPr>
              <w:t xml:space="preserve"> </w:t>
            </w:r>
            <w:r>
              <w:rPr>
                <w:color w:val="auto"/>
                <w:spacing w:val="11"/>
                <w:sz w:val="18"/>
                <w:szCs w:val="18"/>
              </w:rPr>
              <w:t>的得 5</w:t>
            </w:r>
            <w:r>
              <w:rPr>
                <w:color w:val="auto"/>
                <w:spacing w:val="-20"/>
                <w:sz w:val="18"/>
                <w:szCs w:val="18"/>
              </w:rPr>
              <w:t xml:space="preserve"> </w:t>
            </w:r>
            <w:r>
              <w:rPr>
                <w:color w:val="auto"/>
                <w:spacing w:val="11"/>
                <w:sz w:val="18"/>
                <w:szCs w:val="18"/>
              </w:rPr>
              <w:t>分；</w:t>
            </w:r>
            <w:r>
              <w:rPr>
                <w:color w:val="auto"/>
                <w:sz w:val="18"/>
                <w:szCs w:val="18"/>
              </w:rPr>
              <w:t xml:space="preserve"> </w:t>
            </w:r>
            <w:r>
              <w:rPr>
                <w:color w:val="auto"/>
                <w:spacing w:val="11"/>
                <w:sz w:val="18"/>
                <w:szCs w:val="18"/>
              </w:rPr>
              <w:t>方案较为合理，可行性较高的得</w:t>
            </w:r>
            <w:r>
              <w:rPr>
                <w:color w:val="auto"/>
                <w:spacing w:val="-20"/>
                <w:sz w:val="18"/>
                <w:szCs w:val="18"/>
              </w:rPr>
              <w:t xml:space="preserve"> </w:t>
            </w:r>
            <w:r>
              <w:rPr>
                <w:color w:val="auto"/>
                <w:spacing w:val="11"/>
                <w:sz w:val="18"/>
                <w:szCs w:val="18"/>
              </w:rPr>
              <w:t>3</w:t>
            </w:r>
            <w:r>
              <w:rPr>
                <w:color w:val="auto"/>
                <w:spacing w:val="-27"/>
                <w:sz w:val="18"/>
                <w:szCs w:val="18"/>
              </w:rPr>
              <w:t xml:space="preserve"> </w:t>
            </w:r>
            <w:r>
              <w:rPr>
                <w:color w:val="auto"/>
                <w:spacing w:val="11"/>
                <w:sz w:val="18"/>
                <w:szCs w:val="18"/>
              </w:rPr>
              <w:t>分；方案结构混乱，不贴合本项目的采购</w:t>
            </w:r>
            <w:r>
              <w:rPr>
                <w:color w:val="auto"/>
                <w:sz w:val="18"/>
                <w:szCs w:val="18"/>
              </w:rPr>
              <w:t xml:space="preserve"> </w:t>
            </w:r>
            <w:r>
              <w:rPr>
                <w:color w:val="auto"/>
                <w:spacing w:val="7"/>
                <w:sz w:val="18"/>
                <w:szCs w:val="18"/>
              </w:rPr>
              <w:t>需求得</w:t>
            </w:r>
            <w:r>
              <w:rPr>
                <w:color w:val="auto"/>
                <w:spacing w:val="-11"/>
                <w:sz w:val="18"/>
                <w:szCs w:val="18"/>
              </w:rPr>
              <w:t xml:space="preserve"> </w:t>
            </w:r>
            <w:r>
              <w:rPr>
                <w:color w:val="auto"/>
                <w:spacing w:val="7"/>
                <w:sz w:val="18"/>
                <w:szCs w:val="18"/>
              </w:rPr>
              <w:t>1</w:t>
            </w:r>
            <w:r>
              <w:rPr>
                <w:color w:val="auto"/>
                <w:spacing w:val="-29"/>
                <w:sz w:val="18"/>
                <w:szCs w:val="18"/>
              </w:rPr>
              <w:t xml:space="preserve"> </w:t>
            </w:r>
            <w:r>
              <w:rPr>
                <w:color w:val="auto"/>
                <w:spacing w:val="7"/>
                <w:sz w:val="18"/>
                <w:szCs w:val="18"/>
              </w:rPr>
              <w:t>分；未提供不得分。</w:t>
            </w:r>
          </w:p>
        </w:tc>
      </w:tr>
      <w:tr w14:paraId="3AE6B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629" w:type="dxa"/>
            <w:vMerge w:val="continue"/>
            <w:tcBorders>
              <w:top w:val="nil"/>
              <w:bottom w:val="nil"/>
            </w:tcBorders>
            <w:textDirection w:val="tbRlV"/>
            <w:vAlign w:val="top"/>
          </w:tcPr>
          <w:p w14:paraId="4D235A9A">
            <w:pPr>
              <w:rPr>
                <w:rFonts w:ascii="Arial"/>
                <w:color w:val="auto"/>
                <w:sz w:val="21"/>
              </w:rPr>
            </w:pPr>
          </w:p>
        </w:tc>
        <w:tc>
          <w:tcPr>
            <w:tcW w:w="713" w:type="dxa"/>
            <w:vAlign w:val="top"/>
          </w:tcPr>
          <w:p w14:paraId="07A0E02C">
            <w:pPr>
              <w:pStyle w:val="124"/>
              <w:spacing w:before="42" w:line="230" w:lineRule="auto"/>
              <w:ind w:left="98"/>
              <w:rPr>
                <w:color w:val="auto"/>
                <w:sz w:val="18"/>
                <w:szCs w:val="18"/>
              </w:rPr>
            </w:pPr>
            <w:r>
              <w:rPr>
                <w:color w:val="auto"/>
                <w:spacing w:val="10"/>
                <w:sz w:val="18"/>
                <w:szCs w:val="18"/>
              </w:rPr>
              <w:t>售后</w:t>
            </w:r>
          </w:p>
          <w:p w14:paraId="21A642CB">
            <w:pPr>
              <w:pStyle w:val="124"/>
              <w:spacing w:before="15" w:line="230" w:lineRule="auto"/>
              <w:ind w:left="98"/>
              <w:rPr>
                <w:color w:val="auto"/>
                <w:sz w:val="18"/>
                <w:szCs w:val="18"/>
              </w:rPr>
            </w:pPr>
            <w:r>
              <w:rPr>
                <w:color w:val="auto"/>
                <w:spacing w:val="10"/>
                <w:sz w:val="18"/>
                <w:szCs w:val="18"/>
              </w:rPr>
              <w:t>服务</w:t>
            </w:r>
          </w:p>
          <w:p w14:paraId="06C53647">
            <w:pPr>
              <w:pStyle w:val="124"/>
              <w:spacing w:before="16" w:line="230" w:lineRule="auto"/>
              <w:ind w:left="97"/>
              <w:rPr>
                <w:color w:val="auto"/>
                <w:sz w:val="18"/>
                <w:szCs w:val="18"/>
              </w:rPr>
            </w:pPr>
            <w:r>
              <w:rPr>
                <w:color w:val="auto"/>
                <w:spacing w:val="11"/>
                <w:sz w:val="18"/>
                <w:szCs w:val="18"/>
              </w:rPr>
              <w:t>及质</w:t>
            </w:r>
          </w:p>
          <w:p w14:paraId="2167940B">
            <w:pPr>
              <w:pStyle w:val="124"/>
              <w:spacing w:before="15" w:line="230" w:lineRule="auto"/>
              <w:ind w:left="98"/>
              <w:rPr>
                <w:color w:val="auto"/>
                <w:sz w:val="18"/>
                <w:szCs w:val="18"/>
              </w:rPr>
            </w:pPr>
            <w:r>
              <w:rPr>
                <w:color w:val="auto"/>
                <w:spacing w:val="10"/>
                <w:sz w:val="18"/>
                <w:szCs w:val="18"/>
              </w:rPr>
              <w:t>量保</w:t>
            </w:r>
          </w:p>
          <w:p w14:paraId="611992E4">
            <w:pPr>
              <w:pStyle w:val="124"/>
              <w:spacing w:before="15"/>
              <w:ind w:left="201"/>
              <w:rPr>
                <w:color w:val="auto"/>
                <w:sz w:val="18"/>
                <w:szCs w:val="18"/>
              </w:rPr>
            </w:pPr>
            <w:r>
              <w:rPr>
                <w:color w:val="auto"/>
                <w:spacing w:val="2"/>
                <w:sz w:val="18"/>
                <w:szCs w:val="18"/>
              </w:rPr>
              <w:t>证</w:t>
            </w:r>
          </w:p>
        </w:tc>
        <w:tc>
          <w:tcPr>
            <w:tcW w:w="604" w:type="dxa"/>
            <w:vAlign w:val="top"/>
          </w:tcPr>
          <w:p w14:paraId="7BBC7351">
            <w:pPr>
              <w:spacing w:line="461" w:lineRule="auto"/>
              <w:rPr>
                <w:rFonts w:ascii="Arial"/>
                <w:color w:val="auto"/>
                <w:sz w:val="21"/>
              </w:rPr>
            </w:pPr>
          </w:p>
          <w:p w14:paraId="412288B7">
            <w:pPr>
              <w:pStyle w:val="124"/>
              <w:spacing w:before="58" w:line="230" w:lineRule="auto"/>
              <w:ind w:left="195"/>
              <w:rPr>
                <w:color w:val="auto"/>
                <w:sz w:val="18"/>
                <w:szCs w:val="18"/>
              </w:rPr>
            </w:pPr>
            <w:r>
              <w:rPr>
                <w:color w:val="auto"/>
                <w:spacing w:val="-4"/>
                <w:sz w:val="18"/>
                <w:szCs w:val="18"/>
              </w:rPr>
              <w:t>7</w:t>
            </w:r>
            <w:r>
              <w:rPr>
                <w:color w:val="auto"/>
                <w:spacing w:val="-34"/>
                <w:sz w:val="18"/>
                <w:szCs w:val="18"/>
              </w:rPr>
              <w:t xml:space="preserve"> </w:t>
            </w:r>
            <w:r>
              <w:rPr>
                <w:color w:val="auto"/>
                <w:spacing w:val="-4"/>
                <w:sz w:val="18"/>
                <w:szCs w:val="18"/>
              </w:rPr>
              <w:t>分</w:t>
            </w:r>
          </w:p>
        </w:tc>
        <w:tc>
          <w:tcPr>
            <w:tcW w:w="6656" w:type="dxa"/>
            <w:tcBorders>
              <w:right w:val="single" w:color="000000" w:sz="8" w:space="0"/>
            </w:tcBorders>
            <w:vAlign w:val="top"/>
          </w:tcPr>
          <w:p w14:paraId="60331BCB">
            <w:pPr>
              <w:pStyle w:val="124"/>
              <w:spacing w:before="79" w:line="243" w:lineRule="auto"/>
              <w:ind w:left="5" w:firstLine="2"/>
              <w:jc w:val="both"/>
              <w:rPr>
                <w:color w:val="auto"/>
                <w:sz w:val="18"/>
                <w:szCs w:val="18"/>
              </w:rPr>
            </w:pPr>
            <w:r>
              <w:rPr>
                <w:color w:val="auto"/>
                <w:spacing w:val="21"/>
                <w:sz w:val="18"/>
                <w:szCs w:val="18"/>
              </w:rPr>
              <w:t>综合评定投标人的售后服务承诺及解决问题方案，根据售后服务的可行性、</w:t>
            </w:r>
            <w:r>
              <w:rPr>
                <w:color w:val="auto"/>
                <w:spacing w:val="1"/>
                <w:sz w:val="18"/>
                <w:szCs w:val="18"/>
              </w:rPr>
              <w:t xml:space="preserve"> </w:t>
            </w:r>
            <w:r>
              <w:rPr>
                <w:color w:val="auto"/>
                <w:spacing w:val="21"/>
                <w:sz w:val="18"/>
                <w:szCs w:val="18"/>
              </w:rPr>
              <w:t>供应能力</w:t>
            </w:r>
            <w:r>
              <w:rPr>
                <w:color w:val="auto"/>
                <w:spacing w:val="-53"/>
                <w:sz w:val="18"/>
                <w:szCs w:val="18"/>
              </w:rPr>
              <w:t xml:space="preserve"> </w:t>
            </w:r>
            <w:r>
              <w:rPr>
                <w:color w:val="auto"/>
                <w:spacing w:val="21"/>
                <w:sz w:val="18"/>
                <w:szCs w:val="18"/>
              </w:rPr>
              <w:t>、企业信誉以及产品质量的保障措施</w:t>
            </w:r>
            <w:r>
              <w:rPr>
                <w:color w:val="auto"/>
                <w:spacing w:val="20"/>
                <w:sz w:val="18"/>
                <w:szCs w:val="18"/>
              </w:rPr>
              <w:t>、可操作性等综合评分,方案</w:t>
            </w:r>
            <w:r>
              <w:rPr>
                <w:color w:val="auto"/>
                <w:sz w:val="18"/>
                <w:szCs w:val="18"/>
              </w:rPr>
              <w:t xml:space="preserve"> </w:t>
            </w:r>
            <w:r>
              <w:rPr>
                <w:color w:val="auto"/>
                <w:spacing w:val="16"/>
                <w:sz w:val="18"/>
                <w:szCs w:val="18"/>
              </w:rPr>
              <w:t>内容完整、</w:t>
            </w:r>
            <w:r>
              <w:rPr>
                <w:color w:val="auto"/>
                <w:spacing w:val="-40"/>
                <w:sz w:val="18"/>
                <w:szCs w:val="18"/>
              </w:rPr>
              <w:t xml:space="preserve"> </w:t>
            </w:r>
            <w:r>
              <w:rPr>
                <w:color w:val="auto"/>
                <w:spacing w:val="16"/>
                <w:sz w:val="18"/>
                <w:szCs w:val="18"/>
              </w:rPr>
              <w:t>考虑周全、描述具体、</w:t>
            </w:r>
            <w:r>
              <w:rPr>
                <w:color w:val="auto"/>
                <w:spacing w:val="-39"/>
                <w:sz w:val="18"/>
                <w:szCs w:val="18"/>
              </w:rPr>
              <w:t xml:space="preserve"> </w:t>
            </w:r>
            <w:r>
              <w:rPr>
                <w:color w:val="auto"/>
                <w:spacing w:val="16"/>
                <w:sz w:val="18"/>
                <w:szCs w:val="18"/>
              </w:rPr>
              <w:t>科学合理、</w:t>
            </w:r>
            <w:r>
              <w:rPr>
                <w:color w:val="auto"/>
                <w:spacing w:val="-39"/>
                <w:sz w:val="18"/>
                <w:szCs w:val="18"/>
              </w:rPr>
              <w:t xml:space="preserve"> </w:t>
            </w:r>
            <w:r>
              <w:rPr>
                <w:color w:val="auto"/>
                <w:spacing w:val="16"/>
                <w:sz w:val="18"/>
                <w:szCs w:val="18"/>
              </w:rPr>
              <w:t>针对性强</w:t>
            </w:r>
            <w:r>
              <w:rPr>
                <w:color w:val="auto"/>
                <w:spacing w:val="-49"/>
                <w:sz w:val="18"/>
                <w:szCs w:val="18"/>
              </w:rPr>
              <w:t xml:space="preserve"> </w:t>
            </w:r>
            <w:r>
              <w:rPr>
                <w:color w:val="auto"/>
                <w:spacing w:val="16"/>
                <w:sz w:val="18"/>
                <w:szCs w:val="18"/>
              </w:rPr>
              <w:t>，得</w:t>
            </w:r>
            <w:r>
              <w:rPr>
                <w:color w:val="auto"/>
                <w:spacing w:val="-11"/>
                <w:sz w:val="18"/>
                <w:szCs w:val="18"/>
              </w:rPr>
              <w:t xml:space="preserve"> </w:t>
            </w:r>
            <w:r>
              <w:rPr>
                <w:color w:val="auto"/>
                <w:spacing w:val="16"/>
                <w:sz w:val="18"/>
                <w:szCs w:val="18"/>
              </w:rPr>
              <w:t>7</w:t>
            </w:r>
            <w:r>
              <w:rPr>
                <w:color w:val="auto"/>
                <w:spacing w:val="-20"/>
                <w:sz w:val="18"/>
                <w:szCs w:val="18"/>
              </w:rPr>
              <w:t xml:space="preserve"> </w:t>
            </w:r>
            <w:r>
              <w:rPr>
                <w:color w:val="auto"/>
                <w:spacing w:val="16"/>
                <w:sz w:val="18"/>
                <w:szCs w:val="18"/>
              </w:rPr>
              <w:t>分</w:t>
            </w:r>
            <w:r>
              <w:rPr>
                <w:color w:val="auto"/>
                <w:spacing w:val="-47"/>
                <w:sz w:val="18"/>
                <w:szCs w:val="18"/>
              </w:rPr>
              <w:t xml:space="preserve"> </w:t>
            </w:r>
            <w:r>
              <w:rPr>
                <w:color w:val="auto"/>
                <w:spacing w:val="16"/>
                <w:sz w:val="18"/>
                <w:szCs w:val="18"/>
              </w:rPr>
              <w:t>；提供了</w:t>
            </w:r>
            <w:r>
              <w:rPr>
                <w:color w:val="auto"/>
                <w:sz w:val="18"/>
                <w:szCs w:val="18"/>
              </w:rPr>
              <w:t xml:space="preserve"> </w:t>
            </w:r>
            <w:r>
              <w:rPr>
                <w:color w:val="auto"/>
                <w:spacing w:val="16"/>
                <w:sz w:val="18"/>
                <w:szCs w:val="18"/>
              </w:rPr>
              <w:t>通用、</w:t>
            </w:r>
            <w:r>
              <w:rPr>
                <w:color w:val="auto"/>
                <w:spacing w:val="-29"/>
                <w:sz w:val="18"/>
                <w:szCs w:val="18"/>
              </w:rPr>
              <w:t xml:space="preserve"> </w:t>
            </w:r>
            <w:r>
              <w:rPr>
                <w:color w:val="auto"/>
                <w:spacing w:val="16"/>
                <w:sz w:val="18"/>
                <w:szCs w:val="18"/>
              </w:rPr>
              <w:t>简单</w:t>
            </w:r>
            <w:r>
              <w:rPr>
                <w:color w:val="auto"/>
                <w:spacing w:val="-48"/>
                <w:sz w:val="18"/>
                <w:szCs w:val="18"/>
              </w:rPr>
              <w:t xml:space="preserve"> </w:t>
            </w:r>
            <w:r>
              <w:rPr>
                <w:color w:val="auto"/>
                <w:spacing w:val="16"/>
                <w:sz w:val="18"/>
                <w:szCs w:val="18"/>
              </w:rPr>
              <w:t>的方案，</w:t>
            </w:r>
            <w:r>
              <w:rPr>
                <w:color w:val="auto"/>
                <w:spacing w:val="-36"/>
                <w:sz w:val="18"/>
                <w:szCs w:val="18"/>
              </w:rPr>
              <w:t xml:space="preserve"> </w:t>
            </w:r>
            <w:r>
              <w:rPr>
                <w:color w:val="auto"/>
                <w:spacing w:val="16"/>
                <w:sz w:val="18"/>
                <w:szCs w:val="18"/>
              </w:rPr>
              <w:t>具有一定合理性</w:t>
            </w:r>
            <w:r>
              <w:rPr>
                <w:color w:val="auto"/>
                <w:spacing w:val="-48"/>
                <w:sz w:val="18"/>
                <w:szCs w:val="18"/>
              </w:rPr>
              <w:t xml:space="preserve"> </w:t>
            </w:r>
            <w:r>
              <w:rPr>
                <w:color w:val="auto"/>
                <w:spacing w:val="16"/>
                <w:sz w:val="18"/>
                <w:szCs w:val="18"/>
              </w:rPr>
              <w:t>，得</w:t>
            </w:r>
            <w:r>
              <w:rPr>
                <w:color w:val="auto"/>
                <w:spacing w:val="-18"/>
                <w:sz w:val="18"/>
                <w:szCs w:val="18"/>
              </w:rPr>
              <w:t xml:space="preserve"> </w:t>
            </w:r>
            <w:r>
              <w:rPr>
                <w:color w:val="auto"/>
                <w:spacing w:val="16"/>
                <w:sz w:val="18"/>
                <w:szCs w:val="18"/>
              </w:rPr>
              <w:t>4</w:t>
            </w:r>
            <w:r>
              <w:rPr>
                <w:color w:val="auto"/>
                <w:spacing w:val="-20"/>
                <w:sz w:val="18"/>
                <w:szCs w:val="18"/>
              </w:rPr>
              <w:t xml:space="preserve"> </w:t>
            </w:r>
            <w:r>
              <w:rPr>
                <w:color w:val="auto"/>
                <w:spacing w:val="16"/>
                <w:sz w:val="18"/>
                <w:szCs w:val="18"/>
              </w:rPr>
              <w:t>分</w:t>
            </w:r>
            <w:r>
              <w:rPr>
                <w:color w:val="auto"/>
                <w:spacing w:val="-48"/>
                <w:sz w:val="18"/>
                <w:szCs w:val="18"/>
              </w:rPr>
              <w:t xml:space="preserve"> </w:t>
            </w:r>
            <w:r>
              <w:rPr>
                <w:color w:val="auto"/>
                <w:spacing w:val="16"/>
                <w:sz w:val="18"/>
                <w:szCs w:val="18"/>
              </w:rPr>
              <w:t>；方案内容不全或可行性欠</w:t>
            </w:r>
            <w:r>
              <w:rPr>
                <w:color w:val="auto"/>
                <w:spacing w:val="7"/>
                <w:sz w:val="18"/>
                <w:szCs w:val="18"/>
              </w:rPr>
              <w:t>佳，</w:t>
            </w:r>
            <w:r>
              <w:rPr>
                <w:color w:val="auto"/>
                <w:spacing w:val="-41"/>
                <w:sz w:val="18"/>
                <w:szCs w:val="18"/>
              </w:rPr>
              <w:t xml:space="preserve"> </w:t>
            </w:r>
            <w:r>
              <w:rPr>
                <w:color w:val="auto"/>
                <w:spacing w:val="7"/>
                <w:sz w:val="18"/>
                <w:szCs w:val="18"/>
              </w:rPr>
              <w:t>得 1</w:t>
            </w:r>
            <w:r>
              <w:rPr>
                <w:color w:val="auto"/>
                <w:spacing w:val="-20"/>
                <w:sz w:val="18"/>
                <w:szCs w:val="18"/>
              </w:rPr>
              <w:t xml:space="preserve"> </w:t>
            </w:r>
            <w:r>
              <w:rPr>
                <w:color w:val="auto"/>
                <w:spacing w:val="7"/>
                <w:sz w:val="18"/>
                <w:szCs w:val="18"/>
              </w:rPr>
              <w:t>分；</w:t>
            </w:r>
            <w:r>
              <w:rPr>
                <w:color w:val="auto"/>
                <w:spacing w:val="-39"/>
                <w:sz w:val="18"/>
                <w:szCs w:val="18"/>
              </w:rPr>
              <w:t xml:space="preserve"> </w:t>
            </w:r>
            <w:r>
              <w:rPr>
                <w:color w:val="auto"/>
                <w:spacing w:val="7"/>
                <w:sz w:val="18"/>
                <w:szCs w:val="18"/>
              </w:rPr>
              <w:t>未提供不得分；</w:t>
            </w:r>
          </w:p>
        </w:tc>
      </w:tr>
      <w:tr w14:paraId="2E546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629" w:type="dxa"/>
            <w:vMerge w:val="continue"/>
            <w:tcBorders>
              <w:top w:val="nil"/>
              <w:bottom w:val="nil"/>
            </w:tcBorders>
            <w:textDirection w:val="tbRlV"/>
            <w:vAlign w:val="top"/>
          </w:tcPr>
          <w:p w14:paraId="71A9B40B">
            <w:pPr>
              <w:rPr>
                <w:rFonts w:ascii="Arial"/>
                <w:color w:val="auto"/>
                <w:sz w:val="21"/>
              </w:rPr>
            </w:pPr>
          </w:p>
        </w:tc>
        <w:tc>
          <w:tcPr>
            <w:tcW w:w="713" w:type="dxa"/>
            <w:vAlign w:val="top"/>
          </w:tcPr>
          <w:p w14:paraId="38387B1E">
            <w:pPr>
              <w:pStyle w:val="124"/>
              <w:spacing w:before="79" w:line="243" w:lineRule="auto"/>
              <w:ind w:left="5" w:firstLine="2"/>
              <w:jc w:val="both"/>
              <w:rPr>
                <w:rFonts w:ascii="宋体" w:hAnsi="宋体" w:eastAsia="宋体" w:cs="宋体"/>
                <w:color w:val="auto"/>
                <w:spacing w:val="21"/>
                <w:sz w:val="18"/>
                <w:szCs w:val="18"/>
              </w:rPr>
            </w:pPr>
            <w:r>
              <w:rPr>
                <w:rFonts w:hint="eastAsia" w:ascii="宋体" w:hAnsi="宋体" w:eastAsia="宋体" w:cs="宋体"/>
                <w:color w:val="auto"/>
                <w:spacing w:val="21"/>
                <w:sz w:val="18"/>
                <w:szCs w:val="18"/>
              </w:rPr>
              <w:t>专业技术人员配备</w:t>
            </w:r>
          </w:p>
        </w:tc>
        <w:tc>
          <w:tcPr>
            <w:tcW w:w="604" w:type="dxa"/>
            <w:vAlign w:val="top"/>
          </w:tcPr>
          <w:p w14:paraId="7B9DABA1">
            <w:pPr>
              <w:pStyle w:val="124"/>
              <w:spacing w:before="79" w:line="243" w:lineRule="auto"/>
              <w:ind w:left="5" w:firstLine="2"/>
              <w:jc w:val="both"/>
              <w:rPr>
                <w:rFonts w:ascii="宋体" w:hAnsi="宋体" w:eastAsia="宋体" w:cs="宋体"/>
                <w:color w:val="auto"/>
                <w:spacing w:val="21"/>
                <w:sz w:val="18"/>
                <w:szCs w:val="18"/>
              </w:rPr>
            </w:pPr>
          </w:p>
          <w:p w14:paraId="5BA70CD2">
            <w:pPr>
              <w:pStyle w:val="124"/>
              <w:spacing w:before="79" w:line="243" w:lineRule="auto"/>
              <w:ind w:left="5" w:firstLine="2"/>
              <w:jc w:val="both"/>
              <w:rPr>
                <w:rFonts w:ascii="宋体" w:hAnsi="宋体" w:eastAsia="宋体" w:cs="宋体"/>
                <w:color w:val="auto"/>
                <w:spacing w:val="21"/>
                <w:sz w:val="18"/>
                <w:szCs w:val="18"/>
              </w:rPr>
            </w:pPr>
            <w:r>
              <w:rPr>
                <w:rFonts w:hint="eastAsia" w:ascii="宋体" w:hAnsi="宋体" w:eastAsia="宋体" w:cs="宋体"/>
                <w:color w:val="auto"/>
                <w:spacing w:val="21"/>
                <w:sz w:val="18"/>
                <w:szCs w:val="18"/>
                <w:lang w:val="en-US" w:eastAsia="zh-CN"/>
              </w:rPr>
              <w:t>18</w:t>
            </w:r>
            <w:r>
              <w:rPr>
                <w:rFonts w:ascii="宋体" w:hAnsi="宋体" w:eastAsia="宋体" w:cs="宋体"/>
                <w:color w:val="auto"/>
                <w:spacing w:val="21"/>
                <w:sz w:val="18"/>
                <w:szCs w:val="18"/>
              </w:rPr>
              <w:t>分</w:t>
            </w:r>
          </w:p>
        </w:tc>
        <w:tc>
          <w:tcPr>
            <w:tcW w:w="6656" w:type="dxa"/>
            <w:tcBorders>
              <w:right w:val="single" w:color="000000" w:sz="8" w:space="0"/>
            </w:tcBorders>
            <w:vAlign w:val="top"/>
          </w:tcPr>
          <w:p w14:paraId="5C8A59FD">
            <w:pPr>
              <w:pStyle w:val="124"/>
              <w:spacing w:before="79" w:line="243" w:lineRule="auto"/>
              <w:ind w:left="5" w:firstLine="2"/>
              <w:jc w:val="both"/>
              <w:rPr>
                <w:rFonts w:hint="eastAsia" w:ascii="宋体" w:hAnsi="宋体" w:eastAsia="宋体" w:cs="宋体"/>
                <w:color w:val="auto"/>
                <w:spacing w:val="21"/>
                <w:sz w:val="18"/>
                <w:szCs w:val="18"/>
              </w:rPr>
            </w:pPr>
            <w:r>
              <w:rPr>
                <w:rFonts w:hint="eastAsia" w:ascii="宋体" w:hAnsi="宋体" w:eastAsia="宋体" w:cs="宋体"/>
                <w:color w:val="auto"/>
                <w:spacing w:val="21"/>
                <w:sz w:val="18"/>
                <w:szCs w:val="18"/>
              </w:rPr>
              <w:t>专业技术人员配备:</w:t>
            </w:r>
          </w:p>
          <w:p w14:paraId="4F5D08AE">
            <w:pPr>
              <w:pStyle w:val="124"/>
              <w:spacing w:before="79" w:line="243" w:lineRule="auto"/>
              <w:ind w:left="5" w:firstLine="2"/>
              <w:jc w:val="both"/>
              <w:rPr>
                <w:rFonts w:hint="eastAsia" w:ascii="宋体" w:hAnsi="宋体" w:eastAsia="宋体" w:cs="宋体"/>
                <w:color w:val="auto"/>
                <w:spacing w:val="21"/>
                <w:sz w:val="18"/>
                <w:szCs w:val="18"/>
              </w:rPr>
            </w:pPr>
            <w:r>
              <w:rPr>
                <w:rFonts w:hint="eastAsia" w:ascii="宋体" w:hAnsi="宋体" w:eastAsia="宋体" w:cs="宋体"/>
                <w:color w:val="auto"/>
                <w:spacing w:val="21"/>
                <w:sz w:val="18"/>
                <w:szCs w:val="18"/>
              </w:rPr>
              <w:t>(1)供应商针对本项目拟派技术负责人具有</w:t>
            </w:r>
            <w:r>
              <w:rPr>
                <w:rFonts w:hint="eastAsia" w:ascii="宋体" w:hAnsi="宋体" w:eastAsia="宋体" w:cs="宋体"/>
                <w:color w:val="auto"/>
                <w:spacing w:val="21"/>
                <w:sz w:val="18"/>
                <w:szCs w:val="18"/>
                <w:lang w:val="en-US" w:eastAsia="zh-CN"/>
              </w:rPr>
              <w:t>化学类或农</w:t>
            </w:r>
            <w:r>
              <w:rPr>
                <w:rFonts w:hint="eastAsia" w:ascii="宋体" w:hAnsi="宋体" w:eastAsia="宋体" w:cs="宋体"/>
                <w:color w:val="auto"/>
                <w:spacing w:val="21"/>
                <w:sz w:val="18"/>
                <w:szCs w:val="18"/>
              </w:rPr>
              <w:t>艺类高级职</w:t>
            </w:r>
            <w:r>
              <w:rPr>
                <w:rFonts w:hint="eastAsia" w:ascii="宋体" w:hAnsi="宋体" w:eastAsia="宋体" w:cs="宋体"/>
                <w:color w:val="auto"/>
                <w:spacing w:val="21"/>
                <w:sz w:val="18"/>
                <w:szCs w:val="18"/>
                <w:lang w:val="en-US" w:eastAsia="zh-CN"/>
              </w:rPr>
              <w:t>称</w:t>
            </w:r>
            <w:r>
              <w:rPr>
                <w:rFonts w:hint="eastAsia" w:ascii="宋体" w:hAnsi="宋体" w:eastAsia="宋体" w:cs="宋体"/>
                <w:color w:val="auto"/>
                <w:spacing w:val="21"/>
                <w:sz w:val="18"/>
                <w:szCs w:val="18"/>
              </w:rPr>
              <w:t>的得</w:t>
            </w:r>
            <w:r>
              <w:rPr>
                <w:rFonts w:hint="eastAsia" w:ascii="宋体" w:hAnsi="宋体" w:eastAsia="宋体" w:cs="宋体"/>
                <w:color w:val="auto"/>
                <w:spacing w:val="21"/>
                <w:sz w:val="18"/>
                <w:szCs w:val="18"/>
                <w:lang w:val="en-US" w:eastAsia="zh-CN"/>
              </w:rPr>
              <w:t>8</w:t>
            </w:r>
            <w:r>
              <w:rPr>
                <w:rFonts w:hint="eastAsia" w:ascii="宋体" w:hAnsi="宋体" w:eastAsia="宋体" w:cs="宋体"/>
                <w:color w:val="auto"/>
                <w:spacing w:val="21"/>
                <w:sz w:val="18"/>
                <w:szCs w:val="18"/>
              </w:rPr>
              <w:t>分;中级职称得</w:t>
            </w:r>
            <w:r>
              <w:rPr>
                <w:rFonts w:hint="eastAsia" w:ascii="宋体" w:hAnsi="宋体" w:eastAsia="宋体" w:cs="宋体"/>
                <w:color w:val="auto"/>
                <w:spacing w:val="21"/>
                <w:sz w:val="18"/>
                <w:szCs w:val="18"/>
                <w:lang w:val="en-US" w:eastAsia="zh-CN"/>
              </w:rPr>
              <w:t>4</w:t>
            </w:r>
            <w:r>
              <w:rPr>
                <w:rFonts w:hint="eastAsia" w:ascii="宋体" w:hAnsi="宋体" w:eastAsia="宋体" w:cs="宋体"/>
                <w:color w:val="auto"/>
                <w:spacing w:val="21"/>
                <w:sz w:val="18"/>
                <w:szCs w:val="18"/>
              </w:rPr>
              <w:t>分(注:提供证书复印件及聘用合同复印件)</w:t>
            </w:r>
          </w:p>
          <w:p w14:paraId="4A74958C">
            <w:pPr>
              <w:pStyle w:val="124"/>
              <w:spacing w:before="79" w:line="243" w:lineRule="auto"/>
              <w:ind w:left="5" w:firstLine="2"/>
              <w:jc w:val="both"/>
              <w:rPr>
                <w:rFonts w:hint="eastAsia" w:ascii="宋体" w:hAnsi="宋体" w:eastAsia="宋体" w:cs="宋体"/>
                <w:color w:val="auto"/>
                <w:spacing w:val="21"/>
                <w:sz w:val="18"/>
                <w:szCs w:val="18"/>
                <w:lang w:eastAsia="zh-CN"/>
              </w:rPr>
            </w:pPr>
            <w:r>
              <w:rPr>
                <w:rFonts w:hint="eastAsia" w:ascii="宋体" w:hAnsi="宋体" w:eastAsia="宋体" w:cs="宋体"/>
                <w:color w:val="auto"/>
                <w:spacing w:val="21"/>
                <w:sz w:val="18"/>
                <w:szCs w:val="18"/>
              </w:rPr>
              <w:t>(2)团队其他人员具有</w:t>
            </w:r>
            <w:r>
              <w:rPr>
                <w:rFonts w:hint="eastAsia" w:ascii="宋体" w:hAnsi="宋体" w:eastAsia="宋体" w:cs="宋体"/>
                <w:color w:val="auto"/>
                <w:spacing w:val="21"/>
                <w:sz w:val="18"/>
                <w:szCs w:val="18"/>
                <w:lang w:val="en-US" w:eastAsia="zh-CN"/>
              </w:rPr>
              <w:t>林果业相关证书</w:t>
            </w:r>
            <w:r>
              <w:rPr>
                <w:rFonts w:hint="eastAsia" w:ascii="宋体" w:hAnsi="宋体" w:eastAsia="宋体" w:cs="宋体"/>
                <w:color w:val="auto"/>
                <w:spacing w:val="21"/>
                <w:sz w:val="18"/>
                <w:szCs w:val="18"/>
              </w:rPr>
              <w:t>，每提供一人得1分，本项最高得</w:t>
            </w:r>
            <w:r>
              <w:rPr>
                <w:rFonts w:hint="eastAsia" w:ascii="宋体" w:hAnsi="宋体" w:eastAsia="宋体" w:cs="宋体"/>
                <w:color w:val="auto"/>
                <w:spacing w:val="21"/>
                <w:sz w:val="18"/>
                <w:szCs w:val="18"/>
                <w:lang w:val="en-US" w:eastAsia="zh-CN"/>
              </w:rPr>
              <w:t>10</w:t>
            </w:r>
            <w:r>
              <w:rPr>
                <w:rFonts w:hint="eastAsia" w:ascii="宋体" w:hAnsi="宋体" w:eastAsia="宋体" w:cs="宋体"/>
                <w:color w:val="auto"/>
                <w:spacing w:val="21"/>
                <w:sz w:val="18"/>
                <w:szCs w:val="18"/>
              </w:rPr>
              <w:t>分;(注:提供证书复印件及聘用合同复印件</w:t>
            </w:r>
            <w:r>
              <w:rPr>
                <w:rFonts w:hint="eastAsia" w:ascii="宋体" w:hAnsi="宋体" w:eastAsia="宋体" w:cs="宋体"/>
                <w:color w:val="auto"/>
                <w:spacing w:val="21"/>
                <w:sz w:val="18"/>
                <w:szCs w:val="18"/>
                <w:lang w:eastAsia="zh-CN"/>
              </w:rPr>
              <w:t>）</w:t>
            </w:r>
          </w:p>
          <w:p w14:paraId="1D7EB63E">
            <w:pPr>
              <w:pStyle w:val="124"/>
              <w:spacing w:before="79" w:line="243" w:lineRule="auto"/>
              <w:jc w:val="both"/>
              <w:rPr>
                <w:rFonts w:ascii="宋体" w:hAnsi="宋体" w:eastAsia="宋体" w:cs="宋体"/>
                <w:color w:val="auto"/>
                <w:spacing w:val="21"/>
                <w:sz w:val="18"/>
                <w:szCs w:val="18"/>
              </w:rPr>
            </w:pPr>
          </w:p>
        </w:tc>
      </w:tr>
      <w:tr w14:paraId="18978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629" w:type="dxa"/>
            <w:vMerge w:val="continue"/>
            <w:tcBorders>
              <w:top w:val="nil"/>
              <w:bottom w:val="single" w:color="000000" w:sz="8" w:space="0"/>
            </w:tcBorders>
            <w:textDirection w:val="tbRlV"/>
            <w:vAlign w:val="top"/>
          </w:tcPr>
          <w:p w14:paraId="127222CC">
            <w:pPr>
              <w:rPr>
                <w:rFonts w:ascii="Arial"/>
                <w:color w:val="auto"/>
                <w:sz w:val="21"/>
              </w:rPr>
            </w:pPr>
          </w:p>
        </w:tc>
        <w:tc>
          <w:tcPr>
            <w:tcW w:w="713" w:type="dxa"/>
            <w:tcBorders>
              <w:bottom w:val="single" w:color="000000" w:sz="8" w:space="0"/>
            </w:tcBorders>
            <w:vAlign w:val="top"/>
          </w:tcPr>
          <w:p w14:paraId="69993A9D">
            <w:pPr>
              <w:pStyle w:val="124"/>
              <w:spacing w:before="132" w:line="257" w:lineRule="auto"/>
              <w:ind w:left="98" w:right="118"/>
              <w:jc w:val="both"/>
              <w:rPr>
                <w:color w:val="auto"/>
                <w:sz w:val="18"/>
                <w:szCs w:val="18"/>
              </w:rPr>
            </w:pPr>
            <w:r>
              <w:rPr>
                <w:color w:val="auto"/>
                <w:spacing w:val="10"/>
                <w:sz w:val="18"/>
                <w:szCs w:val="18"/>
              </w:rPr>
              <w:t>产品</w:t>
            </w:r>
            <w:r>
              <w:rPr>
                <w:color w:val="auto"/>
                <w:sz w:val="18"/>
                <w:szCs w:val="18"/>
              </w:rPr>
              <w:t xml:space="preserve"> </w:t>
            </w:r>
            <w:r>
              <w:rPr>
                <w:color w:val="auto"/>
                <w:spacing w:val="10"/>
                <w:sz w:val="18"/>
                <w:szCs w:val="18"/>
              </w:rPr>
              <w:t>应用</w:t>
            </w:r>
            <w:r>
              <w:rPr>
                <w:color w:val="auto"/>
                <w:sz w:val="18"/>
                <w:szCs w:val="18"/>
              </w:rPr>
              <w:t xml:space="preserve"> </w:t>
            </w:r>
            <w:r>
              <w:rPr>
                <w:color w:val="auto"/>
                <w:spacing w:val="10"/>
                <w:sz w:val="18"/>
                <w:szCs w:val="18"/>
              </w:rPr>
              <w:t>证明</w:t>
            </w:r>
          </w:p>
        </w:tc>
        <w:tc>
          <w:tcPr>
            <w:tcW w:w="604" w:type="dxa"/>
            <w:tcBorders>
              <w:bottom w:val="single" w:color="000000" w:sz="8" w:space="0"/>
            </w:tcBorders>
            <w:vAlign w:val="top"/>
          </w:tcPr>
          <w:p w14:paraId="5E4AAC15">
            <w:pPr>
              <w:spacing w:line="352" w:lineRule="auto"/>
              <w:rPr>
                <w:rFonts w:ascii="Arial"/>
                <w:color w:val="auto"/>
                <w:sz w:val="21"/>
              </w:rPr>
            </w:pPr>
          </w:p>
          <w:p w14:paraId="67175C90">
            <w:pPr>
              <w:pStyle w:val="124"/>
              <w:spacing w:before="58" w:line="230" w:lineRule="auto"/>
              <w:ind w:left="186"/>
              <w:rPr>
                <w:color w:val="auto"/>
                <w:sz w:val="18"/>
                <w:szCs w:val="18"/>
              </w:rPr>
            </w:pPr>
            <w:r>
              <w:rPr>
                <w:rFonts w:hint="eastAsia" w:eastAsia="宋体"/>
                <w:color w:val="auto"/>
                <w:spacing w:val="-2"/>
                <w:sz w:val="18"/>
                <w:szCs w:val="18"/>
                <w:lang w:val="en-US" w:eastAsia="zh-CN"/>
              </w:rPr>
              <w:t>8</w:t>
            </w:r>
            <w:r>
              <w:rPr>
                <w:color w:val="auto"/>
                <w:spacing w:val="-32"/>
                <w:sz w:val="18"/>
                <w:szCs w:val="18"/>
              </w:rPr>
              <w:t xml:space="preserve"> </w:t>
            </w:r>
            <w:r>
              <w:rPr>
                <w:color w:val="auto"/>
                <w:spacing w:val="-2"/>
                <w:sz w:val="18"/>
                <w:szCs w:val="18"/>
              </w:rPr>
              <w:t>分</w:t>
            </w:r>
          </w:p>
        </w:tc>
        <w:tc>
          <w:tcPr>
            <w:tcW w:w="6656" w:type="dxa"/>
            <w:tcBorders>
              <w:bottom w:val="single" w:color="000000" w:sz="8" w:space="0"/>
              <w:right w:val="single" w:color="000000" w:sz="8" w:space="0"/>
            </w:tcBorders>
            <w:vAlign w:val="top"/>
          </w:tcPr>
          <w:p w14:paraId="458C5334">
            <w:pPr>
              <w:pStyle w:val="124"/>
              <w:spacing w:before="292" w:line="229" w:lineRule="auto"/>
              <w:ind w:left="1"/>
              <w:rPr>
                <w:color w:val="auto"/>
                <w:sz w:val="18"/>
                <w:szCs w:val="18"/>
              </w:rPr>
            </w:pPr>
            <w:r>
              <w:rPr>
                <w:color w:val="auto"/>
                <w:spacing w:val="19"/>
                <w:sz w:val="18"/>
                <w:szCs w:val="18"/>
              </w:rPr>
              <w:t>提供生产厂家</w:t>
            </w:r>
            <w:r>
              <w:rPr>
                <w:color w:val="auto"/>
                <w:spacing w:val="-47"/>
                <w:sz w:val="18"/>
                <w:szCs w:val="18"/>
              </w:rPr>
              <w:t xml:space="preserve"> </w:t>
            </w:r>
            <w:r>
              <w:rPr>
                <w:color w:val="auto"/>
                <w:spacing w:val="19"/>
                <w:sz w:val="18"/>
                <w:szCs w:val="18"/>
              </w:rPr>
              <w:t>的产</w:t>
            </w:r>
            <w:r>
              <w:rPr>
                <w:color w:val="auto"/>
                <w:spacing w:val="-49"/>
                <w:sz w:val="18"/>
                <w:szCs w:val="18"/>
              </w:rPr>
              <w:t xml:space="preserve"> </w:t>
            </w:r>
            <w:r>
              <w:rPr>
                <w:color w:val="auto"/>
                <w:spacing w:val="19"/>
                <w:sz w:val="18"/>
                <w:szCs w:val="18"/>
              </w:rPr>
              <w:t>品使用方应用</w:t>
            </w:r>
            <w:r>
              <w:rPr>
                <w:color w:val="auto"/>
                <w:spacing w:val="-51"/>
                <w:sz w:val="18"/>
                <w:szCs w:val="18"/>
              </w:rPr>
              <w:t xml:space="preserve"> </w:t>
            </w:r>
            <w:r>
              <w:rPr>
                <w:color w:val="auto"/>
                <w:spacing w:val="19"/>
                <w:sz w:val="18"/>
                <w:szCs w:val="18"/>
              </w:rPr>
              <w:t>、试验证</w:t>
            </w:r>
            <w:r>
              <w:rPr>
                <w:color w:val="auto"/>
                <w:spacing w:val="-46"/>
                <w:sz w:val="18"/>
                <w:szCs w:val="18"/>
              </w:rPr>
              <w:t xml:space="preserve"> </w:t>
            </w:r>
            <w:r>
              <w:rPr>
                <w:color w:val="auto"/>
                <w:spacing w:val="19"/>
                <w:sz w:val="18"/>
                <w:szCs w:val="18"/>
              </w:rPr>
              <w:t>明（好评证</w:t>
            </w:r>
            <w:r>
              <w:rPr>
                <w:color w:val="auto"/>
                <w:spacing w:val="-46"/>
                <w:sz w:val="18"/>
                <w:szCs w:val="18"/>
              </w:rPr>
              <w:t xml:space="preserve"> </w:t>
            </w:r>
            <w:r>
              <w:rPr>
                <w:color w:val="auto"/>
                <w:spacing w:val="19"/>
                <w:sz w:val="18"/>
                <w:szCs w:val="18"/>
              </w:rPr>
              <w:t>明</w:t>
            </w:r>
            <w:r>
              <w:rPr>
                <w:color w:val="auto"/>
                <w:spacing w:val="5"/>
                <w:sz w:val="18"/>
                <w:szCs w:val="18"/>
              </w:rPr>
              <w:t>）</w:t>
            </w:r>
            <w:r>
              <w:rPr>
                <w:color w:val="auto"/>
                <w:spacing w:val="-22"/>
                <w:sz w:val="18"/>
                <w:szCs w:val="18"/>
              </w:rPr>
              <w:t xml:space="preserve"> </w:t>
            </w:r>
            <w:r>
              <w:rPr>
                <w:color w:val="auto"/>
                <w:spacing w:val="5"/>
                <w:sz w:val="18"/>
                <w:szCs w:val="18"/>
              </w:rPr>
              <w:t>，</w:t>
            </w:r>
            <w:r>
              <w:rPr>
                <w:color w:val="auto"/>
                <w:spacing w:val="19"/>
                <w:sz w:val="18"/>
                <w:szCs w:val="18"/>
              </w:rPr>
              <w:t>每提供一项加</w:t>
            </w:r>
            <w:r>
              <w:rPr>
                <w:color w:val="auto"/>
                <w:spacing w:val="16"/>
                <w:sz w:val="18"/>
                <w:szCs w:val="18"/>
              </w:rPr>
              <w:t>2</w:t>
            </w:r>
            <w:r>
              <w:rPr>
                <w:color w:val="auto"/>
                <w:spacing w:val="-6"/>
                <w:sz w:val="18"/>
                <w:szCs w:val="18"/>
              </w:rPr>
              <w:t xml:space="preserve"> </w:t>
            </w:r>
            <w:r>
              <w:rPr>
                <w:color w:val="auto"/>
                <w:spacing w:val="16"/>
                <w:sz w:val="18"/>
                <w:szCs w:val="18"/>
              </w:rPr>
              <w:t>分</w:t>
            </w:r>
            <w:r>
              <w:rPr>
                <w:color w:val="auto"/>
                <w:spacing w:val="-49"/>
                <w:sz w:val="18"/>
                <w:szCs w:val="18"/>
              </w:rPr>
              <w:t xml:space="preserve"> </w:t>
            </w:r>
            <w:r>
              <w:rPr>
                <w:color w:val="auto"/>
                <w:spacing w:val="16"/>
                <w:sz w:val="18"/>
                <w:szCs w:val="18"/>
              </w:rPr>
              <w:t>，</w:t>
            </w:r>
            <w:r>
              <w:rPr>
                <w:color w:val="auto"/>
                <w:spacing w:val="59"/>
                <w:sz w:val="18"/>
                <w:szCs w:val="18"/>
              </w:rPr>
              <w:t xml:space="preserve"> </w:t>
            </w:r>
            <w:r>
              <w:rPr>
                <w:color w:val="auto"/>
                <w:spacing w:val="16"/>
                <w:sz w:val="18"/>
                <w:szCs w:val="18"/>
              </w:rPr>
              <w:t>最多加</w:t>
            </w:r>
            <w:r>
              <w:rPr>
                <w:rFonts w:hint="eastAsia" w:eastAsia="宋体"/>
                <w:color w:val="auto"/>
                <w:spacing w:val="-10"/>
                <w:sz w:val="18"/>
                <w:szCs w:val="18"/>
                <w:lang w:val="en-US" w:eastAsia="zh-CN"/>
              </w:rPr>
              <w:t>8</w:t>
            </w:r>
            <w:r>
              <w:rPr>
                <w:color w:val="auto"/>
                <w:spacing w:val="16"/>
                <w:sz w:val="18"/>
                <w:szCs w:val="18"/>
              </w:rPr>
              <w:t>分。（加盖甲方单位公章）</w:t>
            </w:r>
          </w:p>
        </w:tc>
      </w:tr>
    </w:tbl>
    <w:p w14:paraId="71A73869">
      <w:pPr>
        <w:bidi w:val="0"/>
        <w:jc w:val="left"/>
        <w:rPr>
          <w:rFonts w:hint="eastAsia"/>
          <w:color w:val="auto"/>
        </w:rPr>
      </w:pPr>
    </w:p>
    <w:p w14:paraId="4183EB89">
      <w:pPr>
        <w:pStyle w:val="4"/>
        <w:tabs>
          <w:tab w:val="left" w:pos="0"/>
        </w:tabs>
        <w:spacing w:before="0" w:after="0" w:line="240" w:lineRule="atLeast"/>
        <w:ind w:left="-15"/>
        <w:outlineLvl w:val="9"/>
        <w:rPr>
          <w:rFonts w:hint="eastAsia" w:ascii="仿宋" w:hAnsi="仿宋" w:eastAsia="仿宋" w:cs="仿宋"/>
          <w:color w:val="auto"/>
        </w:rPr>
      </w:pPr>
      <w:bookmarkStart w:id="922" w:name="_Toc26999"/>
      <w:bookmarkStart w:id="923" w:name="_Toc4337"/>
    </w:p>
    <w:p w14:paraId="0E0E50D4">
      <w:pPr>
        <w:spacing w:line="440" w:lineRule="exact"/>
        <w:ind w:left="1124" w:hanging="1124" w:hangingChars="400"/>
        <w:jc w:val="both"/>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标项四：叶城县2025年依提木孔镇核桃蛀果害虫绿色防控项目（农用药剂采购）</w:t>
      </w:r>
    </w:p>
    <w:tbl>
      <w:tblPr>
        <w:tblStyle w:val="3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855"/>
        <w:gridCol w:w="7218"/>
        <w:gridCol w:w="14"/>
      </w:tblGrid>
      <w:tr w14:paraId="69CE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0" w:hRule="atLeast"/>
          <w:tblHeader/>
          <w:jc w:val="center"/>
        </w:trPr>
        <w:tc>
          <w:tcPr>
            <w:tcW w:w="1333" w:type="dxa"/>
            <w:tcBorders>
              <w:top w:val="single" w:color="auto" w:sz="4" w:space="0"/>
              <w:left w:val="single" w:color="auto" w:sz="4" w:space="0"/>
              <w:bottom w:val="single" w:color="auto" w:sz="4" w:space="0"/>
              <w:right w:val="single" w:color="auto" w:sz="4" w:space="0"/>
            </w:tcBorders>
            <w:vAlign w:val="center"/>
          </w:tcPr>
          <w:p w14:paraId="2B33998A">
            <w:pPr>
              <w:pStyle w:val="127"/>
              <w:spacing w:before="0" w:after="0" w:line="320" w:lineRule="exact"/>
              <w:ind w:firstLine="0"/>
              <w:jc w:val="center"/>
              <w:rPr>
                <w:rFonts w:ascii="宋体" w:hAnsi="宋体" w:cs="宋体"/>
                <w:b/>
                <w:bCs/>
                <w:color w:val="auto"/>
                <w:kern w:val="2"/>
                <w:sz w:val="21"/>
                <w:szCs w:val="21"/>
                <w:highlight w:val="none"/>
              </w:rPr>
            </w:pPr>
            <w:bookmarkStart w:id="924" w:name="_Toc32532"/>
            <w:r>
              <w:rPr>
                <w:rFonts w:hint="eastAsia" w:ascii="宋体" w:hAnsi="宋体" w:cs="宋体"/>
                <w:b/>
                <w:bCs/>
                <w:color w:val="auto"/>
                <w:kern w:val="2"/>
                <w:sz w:val="21"/>
                <w:szCs w:val="21"/>
                <w:highlight w:val="none"/>
              </w:rPr>
              <w:t>评审项目</w:t>
            </w:r>
          </w:p>
        </w:tc>
        <w:tc>
          <w:tcPr>
            <w:tcW w:w="855" w:type="dxa"/>
            <w:tcBorders>
              <w:top w:val="single" w:color="auto" w:sz="4" w:space="0"/>
              <w:left w:val="single" w:color="auto" w:sz="4" w:space="0"/>
              <w:bottom w:val="single" w:color="auto" w:sz="4" w:space="0"/>
              <w:right w:val="single" w:color="auto" w:sz="4" w:space="0"/>
            </w:tcBorders>
            <w:vAlign w:val="center"/>
          </w:tcPr>
          <w:p w14:paraId="4D4DD832">
            <w:pPr>
              <w:pStyle w:val="127"/>
              <w:spacing w:before="0" w:after="0" w:line="320" w:lineRule="exact"/>
              <w:ind w:firstLine="0"/>
              <w:jc w:val="center"/>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评分值</w:t>
            </w:r>
          </w:p>
        </w:tc>
        <w:tc>
          <w:tcPr>
            <w:tcW w:w="7218" w:type="dxa"/>
            <w:tcBorders>
              <w:top w:val="single" w:color="auto" w:sz="4" w:space="0"/>
              <w:left w:val="single" w:color="auto" w:sz="4" w:space="0"/>
              <w:bottom w:val="single" w:color="auto" w:sz="4" w:space="0"/>
              <w:right w:val="single" w:color="auto" w:sz="4" w:space="0"/>
            </w:tcBorders>
            <w:vAlign w:val="center"/>
          </w:tcPr>
          <w:p w14:paraId="6A064EA1">
            <w:pPr>
              <w:pStyle w:val="127"/>
              <w:spacing w:before="0" w:after="0" w:line="320" w:lineRule="exact"/>
              <w:ind w:firstLine="0"/>
              <w:jc w:val="center"/>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评分标准说明</w:t>
            </w:r>
          </w:p>
        </w:tc>
      </w:tr>
      <w:tr w14:paraId="2F7D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20" w:type="dxa"/>
            <w:gridSpan w:val="4"/>
            <w:tcBorders>
              <w:top w:val="single" w:color="auto" w:sz="4" w:space="0"/>
              <w:left w:val="single" w:color="auto" w:sz="4" w:space="0"/>
              <w:bottom w:val="single" w:color="auto" w:sz="4" w:space="0"/>
              <w:right w:val="single" w:color="auto" w:sz="4" w:space="0"/>
            </w:tcBorders>
            <w:vAlign w:val="center"/>
          </w:tcPr>
          <w:p w14:paraId="3B9B950B">
            <w:pPr>
              <w:pStyle w:val="127"/>
              <w:spacing w:before="0" w:after="0" w:line="320" w:lineRule="exact"/>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一、价格部分30分</w:t>
            </w:r>
          </w:p>
        </w:tc>
      </w:tr>
      <w:tr w14:paraId="77A7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08"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14:paraId="33EEFB03">
            <w:pPr>
              <w:pStyle w:val="127"/>
              <w:spacing w:before="0" w:after="0" w:line="320" w:lineRule="exact"/>
              <w:ind w:firstLine="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价格</w:t>
            </w:r>
          </w:p>
        </w:tc>
        <w:tc>
          <w:tcPr>
            <w:tcW w:w="855" w:type="dxa"/>
            <w:tcBorders>
              <w:top w:val="single" w:color="auto" w:sz="4" w:space="0"/>
              <w:left w:val="single" w:color="auto" w:sz="4" w:space="0"/>
              <w:bottom w:val="single" w:color="auto" w:sz="4" w:space="0"/>
              <w:right w:val="single" w:color="auto" w:sz="4" w:space="0"/>
            </w:tcBorders>
            <w:vAlign w:val="center"/>
          </w:tcPr>
          <w:p w14:paraId="5D8F7794">
            <w:pPr>
              <w:pStyle w:val="127"/>
              <w:spacing w:before="0" w:after="0" w:line="320" w:lineRule="exact"/>
              <w:ind w:firstLine="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30分</w:t>
            </w:r>
          </w:p>
        </w:tc>
        <w:tc>
          <w:tcPr>
            <w:tcW w:w="7218" w:type="dxa"/>
            <w:tcBorders>
              <w:top w:val="single" w:color="auto" w:sz="4" w:space="0"/>
              <w:left w:val="single" w:color="auto" w:sz="4" w:space="0"/>
              <w:bottom w:val="single" w:color="auto" w:sz="4" w:space="0"/>
              <w:right w:val="single" w:color="auto" w:sz="4" w:space="0"/>
            </w:tcBorders>
            <w:vAlign w:val="center"/>
          </w:tcPr>
          <w:p w14:paraId="69861BF7">
            <w:pPr>
              <w:pStyle w:val="127"/>
              <w:spacing w:before="0" w:after="0" w:line="320" w:lineRule="exact"/>
              <w:ind w:firstLine="420" w:firstLineChars="200"/>
              <w:jc w:val="left"/>
              <w:rPr>
                <w:rFonts w:ascii="宋体" w:hAnsi="宋体" w:cs="宋体"/>
                <w:color w:val="auto"/>
                <w:kern w:val="2"/>
                <w:sz w:val="21"/>
                <w:szCs w:val="21"/>
                <w:highlight w:val="none"/>
              </w:rPr>
            </w:pPr>
            <w:r>
              <w:rPr>
                <w:rFonts w:hint="eastAsia" w:ascii="宋体" w:hAnsi="宋体" w:cs="宋体"/>
                <w:color w:val="auto"/>
                <w:kern w:val="2"/>
                <w:sz w:val="21"/>
                <w:szCs w:val="21"/>
                <w:highlight w:val="none"/>
              </w:rPr>
              <w:t>价格分统一采用低价优先法计算，即满足招标文件要求且最后报价最低的投标人的价格为评标基准价，其价格分为满分。</w:t>
            </w:r>
          </w:p>
          <w:p w14:paraId="2DFDD4A6">
            <w:pPr>
              <w:pStyle w:val="127"/>
              <w:spacing w:before="0" w:after="0" w:line="320" w:lineRule="exact"/>
              <w:ind w:firstLine="420" w:firstLineChars="200"/>
              <w:jc w:val="left"/>
              <w:rPr>
                <w:rFonts w:ascii="宋体" w:hAnsi="宋体" w:cs="宋体"/>
                <w:color w:val="auto"/>
                <w:kern w:val="2"/>
                <w:sz w:val="21"/>
                <w:szCs w:val="21"/>
                <w:highlight w:val="none"/>
              </w:rPr>
            </w:pPr>
            <w:r>
              <w:rPr>
                <w:rFonts w:hint="eastAsia" w:ascii="宋体" w:hAnsi="宋体" w:cs="宋体"/>
                <w:color w:val="auto"/>
                <w:kern w:val="2"/>
                <w:sz w:val="21"/>
                <w:szCs w:val="21"/>
                <w:highlight w:val="none"/>
              </w:rPr>
              <w:t>投标人的价格分统一按照下列公式计算：</w:t>
            </w:r>
          </w:p>
          <w:p w14:paraId="6180D7A0">
            <w:pPr>
              <w:pStyle w:val="127"/>
              <w:spacing w:before="0" w:after="0" w:line="320" w:lineRule="exact"/>
              <w:ind w:firstLine="420" w:firstLineChars="200"/>
              <w:jc w:val="left"/>
              <w:rPr>
                <w:rFonts w:ascii="宋体" w:hAnsi="宋体" w:cs="宋体"/>
                <w:color w:val="auto"/>
                <w:kern w:val="2"/>
                <w:sz w:val="21"/>
                <w:szCs w:val="21"/>
                <w:highlight w:val="none"/>
              </w:rPr>
            </w:pPr>
            <w:r>
              <w:rPr>
                <w:rFonts w:hint="eastAsia" w:ascii="宋体" w:hAnsi="宋体" w:cs="宋体"/>
                <w:color w:val="auto"/>
                <w:kern w:val="2"/>
                <w:sz w:val="21"/>
                <w:szCs w:val="21"/>
                <w:highlight w:val="none"/>
              </w:rPr>
              <w:t>投标报价得分=（评标基准价/最后投标报价）X价格权值X100</w:t>
            </w:r>
          </w:p>
          <w:p w14:paraId="50C2573D">
            <w:pPr>
              <w:pStyle w:val="127"/>
              <w:spacing w:before="0" w:after="0" w:line="320" w:lineRule="exact"/>
              <w:ind w:firstLine="420" w:firstLineChars="200"/>
              <w:jc w:val="left"/>
              <w:rPr>
                <w:rFonts w:ascii="宋体" w:hAnsi="宋体" w:cs="宋体"/>
                <w:color w:val="auto"/>
                <w:kern w:val="2"/>
                <w:sz w:val="21"/>
                <w:szCs w:val="21"/>
                <w:highlight w:val="none"/>
              </w:rPr>
            </w:pPr>
            <w:r>
              <w:rPr>
                <w:rFonts w:hint="eastAsia" w:ascii="宋体" w:hAnsi="宋体" w:cs="宋体"/>
                <w:color w:val="auto"/>
                <w:kern w:val="2"/>
                <w:sz w:val="21"/>
                <w:szCs w:val="21"/>
                <w:highlight w:val="none"/>
              </w:rPr>
              <w:t>供应商的价格分统一按照下列公式计算：</w:t>
            </w:r>
          </w:p>
          <w:p w14:paraId="02589DF5">
            <w:pPr>
              <w:pStyle w:val="127"/>
              <w:spacing w:before="0" w:after="0" w:line="320" w:lineRule="exact"/>
              <w:ind w:firstLine="420" w:firstLineChars="200"/>
              <w:jc w:val="left"/>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项目评审过程中，不得去掉最后报价中的最高报价和最低报价。</w:t>
            </w:r>
          </w:p>
          <w:p w14:paraId="38F54A26">
            <w:pPr>
              <w:pStyle w:val="127"/>
              <w:spacing w:before="0" w:after="0" w:line="320" w:lineRule="exact"/>
              <w:ind w:firstLine="420" w:firstLineChars="200"/>
              <w:jc w:val="left"/>
              <w:rPr>
                <w:rFonts w:ascii="宋体" w:hAnsi="宋体" w:cs="宋体"/>
                <w:color w:val="auto"/>
                <w:kern w:val="2"/>
                <w:sz w:val="21"/>
                <w:szCs w:val="21"/>
                <w:highlight w:val="none"/>
              </w:rPr>
            </w:pPr>
            <w:r>
              <w:rPr>
                <w:rFonts w:hint="eastAsia" w:ascii="宋体" w:hAnsi="宋体" w:cs="宋体"/>
                <w:color w:val="auto"/>
                <w:kern w:val="2"/>
                <w:sz w:val="21"/>
                <w:szCs w:val="21"/>
                <w:highlight w:val="none"/>
              </w:rPr>
              <w:t>价格评审得分保留小数点后两位，第三位四舍五入。综合得分最高者优先推荐。</w:t>
            </w:r>
          </w:p>
        </w:tc>
      </w:tr>
      <w:tr w14:paraId="3171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20" w:type="dxa"/>
            <w:gridSpan w:val="4"/>
            <w:tcBorders>
              <w:top w:val="single" w:color="auto" w:sz="4" w:space="0"/>
              <w:left w:val="single" w:color="auto" w:sz="4" w:space="0"/>
              <w:bottom w:val="single" w:color="auto" w:sz="4" w:space="0"/>
              <w:right w:val="single" w:color="auto" w:sz="4" w:space="0"/>
            </w:tcBorders>
            <w:vAlign w:val="center"/>
          </w:tcPr>
          <w:p w14:paraId="3DA93A0D">
            <w:pPr>
              <w:pStyle w:val="127"/>
              <w:spacing w:before="0" w:after="0" w:line="320" w:lineRule="exact"/>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二、商务、技术部分70分</w:t>
            </w:r>
          </w:p>
        </w:tc>
      </w:tr>
      <w:tr w14:paraId="6DDE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08"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14:paraId="5FA613CC">
            <w:pPr>
              <w:pStyle w:val="127"/>
              <w:spacing w:before="0" w:after="0" w:line="320" w:lineRule="exact"/>
              <w:ind w:firstLine="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类似业绩</w:t>
            </w:r>
          </w:p>
        </w:tc>
        <w:tc>
          <w:tcPr>
            <w:tcW w:w="855" w:type="dxa"/>
            <w:tcBorders>
              <w:top w:val="single" w:color="auto" w:sz="4" w:space="0"/>
              <w:left w:val="single" w:color="auto" w:sz="4" w:space="0"/>
              <w:bottom w:val="single" w:color="auto" w:sz="4" w:space="0"/>
              <w:right w:val="single" w:color="auto" w:sz="4" w:space="0"/>
            </w:tcBorders>
            <w:vAlign w:val="center"/>
          </w:tcPr>
          <w:p w14:paraId="07FEE36E">
            <w:pPr>
              <w:pStyle w:val="127"/>
              <w:spacing w:before="0" w:after="0" w:line="320" w:lineRule="exact"/>
              <w:ind w:firstLine="0"/>
              <w:jc w:val="center"/>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5</w:t>
            </w:r>
          </w:p>
        </w:tc>
        <w:tc>
          <w:tcPr>
            <w:tcW w:w="7218" w:type="dxa"/>
            <w:tcBorders>
              <w:top w:val="single" w:color="auto" w:sz="4" w:space="0"/>
              <w:left w:val="single" w:color="auto" w:sz="4" w:space="0"/>
              <w:bottom w:val="single" w:color="auto" w:sz="4" w:space="0"/>
              <w:right w:val="single" w:color="auto" w:sz="4" w:space="0"/>
            </w:tcBorders>
            <w:vAlign w:val="center"/>
          </w:tcPr>
          <w:p w14:paraId="0C2B9096">
            <w:pPr>
              <w:pStyle w:val="127"/>
              <w:spacing w:before="0" w:after="0" w:line="320" w:lineRule="exact"/>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供应商须提供近3年内（2022年1月1日-至今）的类似业绩（合同或成交通知书或中标通知书），每提供一项有效业绩得2</w:t>
            </w:r>
            <w:r>
              <w:rPr>
                <w:rFonts w:hint="eastAsia" w:ascii="宋体" w:hAnsi="宋体" w:cs="宋体"/>
                <w:color w:val="auto"/>
                <w:kern w:val="2"/>
                <w:sz w:val="21"/>
                <w:szCs w:val="21"/>
                <w:highlight w:val="none"/>
                <w:lang w:val="en-US" w:eastAsia="zh-CN"/>
              </w:rPr>
              <w:t>.5</w:t>
            </w:r>
            <w:r>
              <w:rPr>
                <w:rFonts w:hint="eastAsia" w:ascii="宋体" w:hAnsi="宋体" w:cs="宋体"/>
                <w:color w:val="auto"/>
                <w:kern w:val="2"/>
                <w:sz w:val="21"/>
                <w:szCs w:val="21"/>
                <w:highlight w:val="none"/>
              </w:rPr>
              <w:t>分，满分</w:t>
            </w:r>
            <w:r>
              <w:rPr>
                <w:rFonts w:hint="eastAsia" w:ascii="宋体" w:hAnsi="宋体" w:cs="宋体"/>
                <w:color w:val="auto"/>
                <w:kern w:val="2"/>
                <w:sz w:val="21"/>
                <w:szCs w:val="21"/>
                <w:highlight w:val="none"/>
                <w:lang w:val="en-US" w:eastAsia="zh-CN"/>
              </w:rPr>
              <w:t>5</w:t>
            </w:r>
            <w:r>
              <w:rPr>
                <w:rFonts w:hint="eastAsia" w:ascii="宋体" w:hAnsi="宋体" w:cs="宋体"/>
                <w:color w:val="auto"/>
                <w:kern w:val="2"/>
                <w:sz w:val="21"/>
                <w:szCs w:val="21"/>
                <w:highlight w:val="none"/>
              </w:rPr>
              <w:t>分。（业绩如提供合同，要求必须提供与最终用户签订的合同首页、合同金额所在页、签字盖章页。）</w:t>
            </w:r>
          </w:p>
        </w:tc>
      </w:tr>
      <w:tr w14:paraId="17D9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757"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14:paraId="64329501">
            <w:pPr>
              <w:pStyle w:val="127"/>
              <w:spacing w:before="0" w:after="0" w:line="320" w:lineRule="exact"/>
              <w:ind w:firstLine="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供货计划方案</w:t>
            </w:r>
          </w:p>
        </w:tc>
        <w:tc>
          <w:tcPr>
            <w:tcW w:w="855" w:type="dxa"/>
            <w:tcBorders>
              <w:top w:val="single" w:color="auto" w:sz="4" w:space="0"/>
              <w:left w:val="single" w:color="auto" w:sz="4" w:space="0"/>
              <w:bottom w:val="single" w:color="auto" w:sz="4" w:space="0"/>
              <w:right w:val="single" w:color="auto" w:sz="4" w:space="0"/>
            </w:tcBorders>
            <w:vAlign w:val="center"/>
          </w:tcPr>
          <w:p w14:paraId="48B3BCB2">
            <w:pPr>
              <w:pStyle w:val="127"/>
              <w:spacing w:before="0" w:after="0" w:line="320" w:lineRule="exact"/>
              <w:ind w:firstLine="0"/>
              <w:jc w:val="center"/>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rPr>
              <w:t>1</w:t>
            </w:r>
            <w:r>
              <w:rPr>
                <w:rFonts w:hint="eastAsia" w:ascii="宋体" w:hAnsi="宋体" w:cs="宋体"/>
                <w:color w:val="auto"/>
                <w:kern w:val="2"/>
                <w:sz w:val="21"/>
                <w:szCs w:val="21"/>
                <w:highlight w:val="none"/>
                <w:lang w:val="en-US" w:eastAsia="zh-CN"/>
              </w:rPr>
              <w:t>6</w:t>
            </w:r>
          </w:p>
        </w:tc>
        <w:tc>
          <w:tcPr>
            <w:tcW w:w="7218" w:type="dxa"/>
            <w:tcBorders>
              <w:top w:val="single" w:color="auto" w:sz="4" w:space="0"/>
              <w:left w:val="single" w:color="auto" w:sz="4" w:space="0"/>
              <w:bottom w:val="single" w:color="auto" w:sz="4" w:space="0"/>
              <w:right w:val="single" w:color="auto" w:sz="4" w:space="0"/>
            </w:tcBorders>
            <w:vAlign w:val="center"/>
          </w:tcPr>
          <w:p w14:paraId="38D9928B">
            <w:pPr>
              <w:pStyle w:val="127"/>
              <w:spacing w:before="0" w:after="0" w:line="320" w:lineRule="exact"/>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根据投标企业生产或供货能力、配送计划及保障措施等方面进行综合评定，供货方案全面、科学，可行性强得1</w:t>
            </w:r>
            <w:r>
              <w:rPr>
                <w:rFonts w:hint="eastAsia" w:ascii="宋体" w:hAnsi="宋体" w:cs="宋体"/>
                <w:color w:val="auto"/>
                <w:kern w:val="2"/>
                <w:sz w:val="21"/>
                <w:szCs w:val="21"/>
                <w:highlight w:val="none"/>
                <w:lang w:val="en-US" w:eastAsia="zh-CN"/>
              </w:rPr>
              <w:t>6</w:t>
            </w:r>
            <w:r>
              <w:rPr>
                <w:rFonts w:hint="eastAsia" w:ascii="宋体" w:hAnsi="宋体" w:cs="宋体"/>
                <w:color w:val="auto"/>
                <w:kern w:val="2"/>
                <w:sz w:val="21"/>
                <w:szCs w:val="21"/>
                <w:highlight w:val="none"/>
              </w:rPr>
              <w:t>分；供货方案全面，可行性较强，得10分；供货方案较全面，可行性一般，得5分，不提供不得分。</w:t>
            </w:r>
          </w:p>
          <w:p w14:paraId="673B041C">
            <w:pPr>
              <w:pStyle w:val="127"/>
              <w:spacing w:before="0" w:after="0" w:line="320" w:lineRule="exact"/>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注：供货期限大于业主要求期限视为不响应招标文件,供货期限少于招标文件的、结合其他上述方面视具体情况给分。</w:t>
            </w:r>
          </w:p>
        </w:tc>
      </w:tr>
      <w:tr w14:paraId="6E68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89"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14:paraId="36EE7F80">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企业综合实力</w:t>
            </w:r>
          </w:p>
        </w:tc>
        <w:tc>
          <w:tcPr>
            <w:tcW w:w="855" w:type="dxa"/>
            <w:tcBorders>
              <w:top w:val="single" w:color="auto" w:sz="4" w:space="0"/>
              <w:left w:val="single" w:color="auto" w:sz="4" w:space="0"/>
              <w:bottom w:val="single" w:color="auto" w:sz="4" w:space="0"/>
              <w:right w:val="single" w:color="auto" w:sz="4" w:space="0"/>
            </w:tcBorders>
            <w:vAlign w:val="center"/>
          </w:tcPr>
          <w:p w14:paraId="1F5EB072">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7218" w:type="dxa"/>
            <w:tcBorders>
              <w:top w:val="single" w:color="auto" w:sz="4" w:space="0"/>
              <w:left w:val="single" w:color="auto" w:sz="4" w:space="0"/>
              <w:bottom w:val="single" w:color="auto" w:sz="4" w:space="0"/>
              <w:right w:val="single" w:color="auto" w:sz="4" w:space="0"/>
            </w:tcBorders>
            <w:vAlign w:val="center"/>
          </w:tcPr>
          <w:p w14:paraId="59490117">
            <w:pPr>
              <w:widowControl/>
              <w:spacing w:line="320" w:lineRule="exac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综合衡量各投标企业仓储管理情况、备货仓库图片，</w:t>
            </w:r>
            <w:r>
              <w:rPr>
                <w:rFonts w:hint="eastAsia" w:ascii="宋体" w:hAnsi="宋体" w:cs="宋体"/>
                <w:color w:val="auto"/>
                <w:kern w:val="0"/>
                <w:szCs w:val="21"/>
                <w:highlight w:val="none"/>
                <w:lang w:val="en-US" w:eastAsia="zh-CN"/>
              </w:rPr>
              <w:t>提供</w:t>
            </w:r>
            <w:r>
              <w:rPr>
                <w:rFonts w:hint="eastAsia" w:ascii="宋体" w:hAnsi="宋体" w:cs="宋体"/>
                <w:color w:val="auto"/>
                <w:kern w:val="0"/>
                <w:szCs w:val="21"/>
                <w:highlight w:val="none"/>
                <w:lang w:val="zh-CN"/>
              </w:rPr>
              <w:t>上述资料</w:t>
            </w:r>
            <w:r>
              <w:rPr>
                <w:rFonts w:hint="eastAsia" w:ascii="宋体" w:hAnsi="宋体" w:cs="宋体"/>
                <w:color w:val="auto"/>
                <w:kern w:val="0"/>
                <w:szCs w:val="21"/>
                <w:highlight w:val="none"/>
                <w:lang w:val="en-US" w:eastAsia="zh-CN"/>
              </w:rPr>
              <w:t>情况及说明</w:t>
            </w:r>
            <w:r>
              <w:rPr>
                <w:rFonts w:hint="eastAsia" w:ascii="宋体" w:hAnsi="宋体" w:cs="宋体"/>
                <w:color w:val="auto"/>
                <w:kern w:val="0"/>
                <w:szCs w:val="21"/>
                <w:highlight w:val="none"/>
                <w:lang w:val="zh-CN"/>
              </w:rPr>
              <w:t>齐全的得</w:t>
            </w: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zh-CN"/>
              </w:rPr>
              <w:t>分，每有一份资料提供不齐全的扣</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val="zh-CN"/>
              </w:rPr>
              <w:t>分，扣完为止；</w:t>
            </w:r>
          </w:p>
          <w:p w14:paraId="35487A74">
            <w:pPr>
              <w:widowControl/>
              <w:spacing w:line="320" w:lineRule="exac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zh-CN"/>
              </w:rPr>
              <w:t>货物配送制度及售后方案制定情况，提供</w:t>
            </w:r>
            <w:r>
              <w:rPr>
                <w:rFonts w:hint="eastAsia" w:ascii="宋体" w:hAnsi="宋体" w:cs="宋体"/>
                <w:color w:val="auto"/>
                <w:kern w:val="0"/>
                <w:szCs w:val="21"/>
                <w:highlight w:val="none"/>
                <w:lang w:val="en-US" w:eastAsia="zh-CN"/>
              </w:rPr>
              <w:t>制度及方案科学合理、切实可行得10分，提供制度方案简单、可行性一般得7分，提供制度方案不完整、可行性低得3分</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lang w:val="en-US" w:eastAsia="zh-CN"/>
              </w:rPr>
              <w:t>不提供不得分。</w:t>
            </w:r>
          </w:p>
        </w:tc>
      </w:tr>
      <w:tr w14:paraId="4138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30"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14:paraId="1F9BA940">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检测报告</w:t>
            </w:r>
          </w:p>
        </w:tc>
        <w:tc>
          <w:tcPr>
            <w:tcW w:w="855" w:type="dxa"/>
            <w:tcBorders>
              <w:top w:val="single" w:color="auto" w:sz="4" w:space="0"/>
              <w:left w:val="single" w:color="auto" w:sz="4" w:space="0"/>
              <w:bottom w:val="single" w:color="auto" w:sz="4" w:space="0"/>
              <w:right w:val="single" w:color="auto" w:sz="4" w:space="0"/>
            </w:tcBorders>
            <w:vAlign w:val="center"/>
          </w:tcPr>
          <w:p w14:paraId="5AAC7372">
            <w:pPr>
              <w:widowControl/>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7218" w:type="dxa"/>
            <w:tcBorders>
              <w:top w:val="single" w:color="auto" w:sz="4" w:space="0"/>
              <w:left w:val="single" w:color="auto" w:sz="4" w:space="0"/>
              <w:bottom w:val="single" w:color="auto" w:sz="4" w:space="0"/>
              <w:right w:val="single" w:color="auto" w:sz="4" w:space="0"/>
            </w:tcBorders>
            <w:vAlign w:val="center"/>
          </w:tcPr>
          <w:p w14:paraId="633C8B90">
            <w:pPr>
              <w:widowControl/>
              <w:spacing w:line="32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提供有资质机构出具的相应批次产品的质量检验检测报告，报告齐全得</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lang w:val="zh-CN"/>
              </w:rPr>
              <w:t>分，每一种报告提供不齐全的扣</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val="zh-CN"/>
              </w:rPr>
              <w:t>分，扣完为止，检验不合格及未提供的不得分。</w:t>
            </w:r>
          </w:p>
        </w:tc>
      </w:tr>
      <w:tr w14:paraId="3D3F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08"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14:paraId="690A552E">
            <w:pPr>
              <w:pStyle w:val="127"/>
              <w:spacing w:before="0" w:after="0" w:line="320" w:lineRule="exact"/>
              <w:ind w:firstLine="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应急预案</w:t>
            </w:r>
          </w:p>
        </w:tc>
        <w:tc>
          <w:tcPr>
            <w:tcW w:w="855" w:type="dxa"/>
            <w:tcBorders>
              <w:top w:val="single" w:color="auto" w:sz="4" w:space="0"/>
              <w:left w:val="single" w:color="auto" w:sz="4" w:space="0"/>
              <w:bottom w:val="single" w:color="auto" w:sz="4" w:space="0"/>
              <w:right w:val="single" w:color="auto" w:sz="4" w:space="0"/>
            </w:tcBorders>
            <w:vAlign w:val="center"/>
          </w:tcPr>
          <w:p w14:paraId="1D387185">
            <w:pPr>
              <w:pStyle w:val="127"/>
              <w:spacing w:before="0" w:after="0" w:line="320" w:lineRule="exact"/>
              <w:ind w:firstLine="0"/>
              <w:jc w:val="center"/>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rPr>
              <w:t>1</w:t>
            </w:r>
            <w:r>
              <w:rPr>
                <w:rFonts w:hint="eastAsia" w:ascii="宋体" w:hAnsi="宋体" w:cs="宋体"/>
                <w:color w:val="auto"/>
                <w:kern w:val="2"/>
                <w:sz w:val="21"/>
                <w:szCs w:val="21"/>
                <w:highlight w:val="none"/>
                <w:lang w:val="en-US" w:eastAsia="zh-CN"/>
              </w:rPr>
              <w:t>6</w:t>
            </w:r>
          </w:p>
        </w:tc>
        <w:tc>
          <w:tcPr>
            <w:tcW w:w="7218" w:type="dxa"/>
            <w:tcBorders>
              <w:top w:val="single" w:color="auto" w:sz="4" w:space="0"/>
              <w:left w:val="single" w:color="auto" w:sz="4" w:space="0"/>
              <w:bottom w:val="single" w:color="auto" w:sz="4" w:space="0"/>
              <w:right w:val="single" w:color="auto" w:sz="4" w:space="0"/>
            </w:tcBorders>
            <w:vAlign w:val="center"/>
          </w:tcPr>
          <w:p w14:paraId="40E6C602">
            <w:pPr>
              <w:pStyle w:val="127"/>
              <w:spacing w:before="0" w:after="0" w:line="320" w:lineRule="exact"/>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投标人须针对在生产、运输、供货等全部环节可能产生的突发情况分 </w:t>
            </w:r>
          </w:p>
          <w:p w14:paraId="417AA43B">
            <w:pPr>
              <w:pStyle w:val="127"/>
              <w:spacing w:before="0" w:after="0" w:line="320" w:lineRule="exact"/>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别制定应急预案，预案全面、科学，措施到位、可行性强得1</w:t>
            </w:r>
            <w:r>
              <w:rPr>
                <w:rFonts w:hint="eastAsia" w:ascii="宋体" w:hAnsi="宋体" w:cs="宋体"/>
                <w:color w:val="auto"/>
                <w:kern w:val="2"/>
                <w:sz w:val="21"/>
                <w:szCs w:val="21"/>
                <w:highlight w:val="none"/>
                <w:lang w:val="en-US" w:eastAsia="zh-CN"/>
              </w:rPr>
              <w:t>6</w:t>
            </w:r>
            <w:r>
              <w:rPr>
                <w:rFonts w:hint="eastAsia" w:ascii="宋体" w:hAnsi="宋体" w:cs="宋体"/>
                <w:color w:val="auto"/>
                <w:kern w:val="2"/>
                <w:sz w:val="21"/>
                <w:szCs w:val="21"/>
                <w:highlight w:val="none"/>
              </w:rPr>
              <w:t>分；预案全面，可实施性较强得1</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分；预案较全面，可实施性一般得</w:t>
            </w:r>
            <w:r>
              <w:rPr>
                <w:rFonts w:hint="eastAsia" w:ascii="宋体" w:hAnsi="宋体" w:cs="宋体"/>
                <w:color w:val="auto"/>
                <w:kern w:val="2"/>
                <w:sz w:val="21"/>
                <w:szCs w:val="21"/>
                <w:highlight w:val="none"/>
                <w:lang w:val="en-US" w:eastAsia="zh-CN"/>
              </w:rPr>
              <w:t>6</w:t>
            </w:r>
            <w:r>
              <w:rPr>
                <w:rFonts w:hint="eastAsia" w:ascii="宋体" w:hAnsi="宋体" w:cs="宋体"/>
                <w:color w:val="auto"/>
                <w:kern w:val="2"/>
                <w:sz w:val="21"/>
                <w:szCs w:val="21"/>
                <w:highlight w:val="none"/>
              </w:rPr>
              <w:t>分；不提供预案不得分。</w:t>
            </w:r>
          </w:p>
        </w:tc>
      </w:tr>
      <w:tr w14:paraId="1F53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164"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14:paraId="3FF6164C">
            <w:pPr>
              <w:pStyle w:val="127"/>
              <w:spacing w:before="0" w:after="0" w:line="320" w:lineRule="exact"/>
              <w:ind w:firstLine="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标函质量</w:t>
            </w:r>
          </w:p>
        </w:tc>
        <w:tc>
          <w:tcPr>
            <w:tcW w:w="855" w:type="dxa"/>
            <w:tcBorders>
              <w:top w:val="single" w:color="auto" w:sz="4" w:space="0"/>
              <w:left w:val="single" w:color="auto" w:sz="4" w:space="0"/>
              <w:bottom w:val="single" w:color="auto" w:sz="4" w:space="0"/>
              <w:right w:val="single" w:color="auto" w:sz="4" w:space="0"/>
            </w:tcBorders>
            <w:vAlign w:val="center"/>
          </w:tcPr>
          <w:p w14:paraId="558DCE08">
            <w:pPr>
              <w:pStyle w:val="127"/>
              <w:spacing w:before="0" w:after="0" w:line="320" w:lineRule="exact"/>
              <w:ind w:firstLine="0"/>
              <w:jc w:val="center"/>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2</w:t>
            </w:r>
          </w:p>
        </w:tc>
        <w:tc>
          <w:tcPr>
            <w:tcW w:w="7218" w:type="dxa"/>
            <w:tcBorders>
              <w:top w:val="single" w:color="auto" w:sz="4" w:space="0"/>
              <w:left w:val="single" w:color="auto" w:sz="4" w:space="0"/>
              <w:bottom w:val="single" w:color="auto" w:sz="4" w:space="0"/>
              <w:right w:val="single" w:color="auto" w:sz="4" w:space="0"/>
            </w:tcBorders>
            <w:vAlign w:val="center"/>
          </w:tcPr>
          <w:p w14:paraId="0C071475">
            <w:pPr>
              <w:pStyle w:val="127"/>
              <w:spacing w:before="0" w:after="0" w:line="32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根据投标文件标函编制内容完整、齐全、叙述严谨，无涂改、错页、漏页现象，内容不重复性、反复性出现资料得</w:t>
            </w: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rPr>
              <w:t>分，</w:t>
            </w:r>
            <w:r>
              <w:rPr>
                <w:rFonts w:hint="eastAsia" w:ascii="宋体" w:hAnsi="宋体" w:cs="宋体"/>
                <w:color w:val="auto"/>
                <w:kern w:val="2"/>
                <w:sz w:val="21"/>
                <w:szCs w:val="21"/>
                <w:highlight w:val="none"/>
                <w:lang w:val="en-US" w:eastAsia="zh-CN"/>
              </w:rPr>
              <w:t>否则不得分。</w:t>
            </w:r>
          </w:p>
        </w:tc>
      </w:tr>
    </w:tbl>
    <w:p w14:paraId="074CFA01">
      <w:pPr>
        <w:rPr>
          <w:rFonts w:hint="eastAsia" w:ascii="仿宋" w:hAnsi="仿宋" w:eastAsia="仿宋" w:cs="仿宋"/>
          <w:color w:val="auto"/>
        </w:rPr>
      </w:pPr>
      <w:bookmarkStart w:id="925" w:name="_Toc20515"/>
    </w:p>
    <w:p w14:paraId="2C55C10C">
      <w:pPr>
        <w:rPr>
          <w:rFonts w:hint="eastAsia"/>
          <w:color w:val="auto"/>
        </w:rPr>
      </w:pPr>
    </w:p>
    <w:p w14:paraId="3232788C">
      <w:pPr>
        <w:pStyle w:val="4"/>
        <w:tabs>
          <w:tab w:val="left" w:pos="0"/>
        </w:tabs>
        <w:spacing w:before="0" w:after="0" w:line="240" w:lineRule="atLeast"/>
        <w:ind w:left="-15"/>
        <w:rPr>
          <w:rFonts w:hint="eastAsia" w:ascii="仿宋" w:hAnsi="仿宋" w:eastAsia="仿宋" w:cs="仿宋"/>
          <w:color w:val="auto"/>
        </w:rPr>
      </w:pPr>
    </w:p>
    <w:p w14:paraId="510AC84C">
      <w:pPr>
        <w:pStyle w:val="4"/>
        <w:tabs>
          <w:tab w:val="left" w:pos="0"/>
        </w:tabs>
        <w:spacing w:before="0" w:after="0" w:line="240" w:lineRule="atLeast"/>
        <w:ind w:left="-15"/>
        <w:rPr>
          <w:rFonts w:hint="eastAsia" w:ascii="仿宋" w:hAnsi="仿宋" w:eastAsia="仿宋" w:cs="仿宋"/>
          <w:color w:val="auto"/>
        </w:rPr>
      </w:pPr>
    </w:p>
    <w:p w14:paraId="0C044789">
      <w:pPr>
        <w:rPr>
          <w:rFonts w:hint="eastAsia" w:ascii="仿宋" w:hAnsi="仿宋" w:eastAsia="仿宋" w:cs="仿宋"/>
          <w:color w:val="auto"/>
        </w:rPr>
      </w:pPr>
      <w:r>
        <w:rPr>
          <w:rFonts w:hint="eastAsia" w:ascii="仿宋" w:hAnsi="仿宋" w:eastAsia="仿宋" w:cs="仿宋"/>
          <w:color w:val="auto"/>
        </w:rPr>
        <w:br w:type="page"/>
      </w:r>
    </w:p>
    <w:p w14:paraId="34B56220">
      <w:pPr>
        <w:pStyle w:val="4"/>
        <w:tabs>
          <w:tab w:val="left" w:pos="0"/>
        </w:tabs>
        <w:spacing w:before="0" w:after="0" w:line="240" w:lineRule="atLeast"/>
        <w:ind w:left="-15"/>
        <w:rPr>
          <w:rFonts w:hint="eastAsia" w:ascii="仿宋" w:hAnsi="仿宋" w:eastAsia="仿宋" w:cs="仿宋"/>
          <w:color w:val="auto"/>
        </w:rPr>
      </w:pPr>
      <w:r>
        <w:rPr>
          <w:rFonts w:hint="eastAsia" w:ascii="仿宋" w:hAnsi="仿宋" w:eastAsia="仿宋" w:cs="仿宋"/>
          <w:color w:val="auto"/>
        </w:rPr>
        <w:t>第</w:t>
      </w:r>
      <w:r>
        <w:rPr>
          <w:rFonts w:hint="eastAsia" w:ascii="仿宋" w:hAnsi="仿宋" w:eastAsia="仿宋" w:cs="仿宋"/>
          <w:color w:val="auto"/>
          <w:lang w:val="en-US" w:eastAsia="zh-CN"/>
        </w:rPr>
        <w:t>七</w:t>
      </w:r>
      <w:r>
        <w:rPr>
          <w:rFonts w:hint="eastAsia" w:ascii="仿宋" w:hAnsi="仿宋" w:eastAsia="仿宋" w:cs="仿宋"/>
          <w:color w:val="auto"/>
        </w:rPr>
        <w:t>章 政府采购合同</w:t>
      </w:r>
      <w:bookmarkEnd w:id="922"/>
      <w:bookmarkEnd w:id="923"/>
      <w:bookmarkEnd w:id="924"/>
      <w:bookmarkEnd w:id="925"/>
      <w:bookmarkStart w:id="926" w:name="_Hlt487972895"/>
      <w:bookmarkEnd w:id="926"/>
      <w:bookmarkStart w:id="927" w:name="_Toc487900382"/>
      <w:bookmarkStart w:id="928" w:name="_Toc216513788"/>
    </w:p>
    <w:bookmarkEnd w:id="927"/>
    <w:bookmarkEnd w:id="928"/>
    <w:p w14:paraId="738F667D">
      <w:pPr>
        <w:spacing w:line="240" w:lineRule="atLeast"/>
        <w:rPr>
          <w:rFonts w:hint="eastAsia" w:ascii="仿宋" w:hAnsi="仿宋" w:eastAsia="仿宋" w:cs="仿宋"/>
          <w:b/>
          <w:color w:val="auto"/>
          <w:kern w:val="44"/>
          <w:sz w:val="32"/>
          <w:szCs w:val="20"/>
        </w:rPr>
      </w:pPr>
    </w:p>
    <w:p w14:paraId="06A59ECD">
      <w:pPr>
        <w:rPr>
          <w:rFonts w:hint="eastAsia" w:ascii="仿宋" w:hAnsi="仿宋" w:eastAsia="仿宋" w:cs="仿宋"/>
          <w:color w:val="auto"/>
          <w:sz w:val="32"/>
          <w:szCs w:val="32"/>
          <w:u w:val="single"/>
        </w:rPr>
      </w:pPr>
      <w:r>
        <w:rPr>
          <w:rFonts w:hint="eastAsia" w:ascii="仿宋" w:hAnsi="仿宋" w:eastAsia="仿宋" w:cs="仿宋"/>
          <w:color w:val="auto"/>
          <w:sz w:val="32"/>
          <w:szCs w:val="32"/>
        </w:rPr>
        <w:t>合同编号：</w:t>
      </w:r>
      <w:r>
        <w:rPr>
          <w:rFonts w:hint="eastAsia" w:ascii="仿宋" w:hAnsi="仿宋" w:eastAsia="仿宋" w:cs="仿宋"/>
          <w:color w:val="auto"/>
          <w:sz w:val="32"/>
          <w:szCs w:val="32"/>
          <w:u w:val="single"/>
        </w:rPr>
        <w:t xml:space="preserve">         </w:t>
      </w:r>
    </w:p>
    <w:p w14:paraId="6016A79E">
      <w:pPr>
        <w:jc w:val="center"/>
        <w:rPr>
          <w:rFonts w:hint="eastAsia" w:ascii="仿宋" w:hAnsi="仿宋" w:eastAsia="仿宋" w:cs="仿宋"/>
          <w:color w:val="auto"/>
          <w:sz w:val="32"/>
          <w:szCs w:val="32"/>
        </w:rPr>
      </w:pPr>
    </w:p>
    <w:p w14:paraId="65344ECF">
      <w:pPr>
        <w:jc w:val="center"/>
        <w:rPr>
          <w:rFonts w:hint="eastAsia" w:ascii="仿宋" w:hAnsi="仿宋" w:eastAsia="仿宋" w:cs="仿宋"/>
          <w:color w:val="auto"/>
          <w:sz w:val="32"/>
          <w:szCs w:val="32"/>
        </w:rPr>
      </w:pPr>
    </w:p>
    <w:p w14:paraId="68C2454E">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标项名称</w:t>
      </w:r>
      <w:r>
        <w:rPr>
          <w:rFonts w:hint="eastAsia" w:ascii="仿宋" w:hAnsi="仿宋" w:eastAsia="仿宋" w:cs="仿宋"/>
          <w:color w:val="auto"/>
          <w:sz w:val="32"/>
          <w:szCs w:val="32"/>
          <w:lang w:eastAsia="zh-CN"/>
        </w:rPr>
        <w:t>）</w:t>
      </w:r>
    </w:p>
    <w:p w14:paraId="304364FB">
      <w:pPr>
        <w:jc w:val="center"/>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合同</w:t>
      </w:r>
    </w:p>
    <w:p w14:paraId="391EFFC3">
      <w:pPr>
        <w:rPr>
          <w:rFonts w:hint="eastAsia" w:ascii="仿宋" w:hAnsi="仿宋" w:eastAsia="仿宋" w:cs="仿宋"/>
          <w:color w:val="auto"/>
          <w:sz w:val="32"/>
          <w:szCs w:val="32"/>
        </w:rPr>
      </w:pPr>
    </w:p>
    <w:p w14:paraId="414B1865">
      <w:pPr>
        <w:rPr>
          <w:rFonts w:hint="eastAsia" w:ascii="仿宋" w:hAnsi="仿宋" w:eastAsia="仿宋" w:cs="仿宋"/>
          <w:color w:val="auto"/>
          <w:sz w:val="32"/>
          <w:szCs w:val="32"/>
        </w:rPr>
      </w:pPr>
    </w:p>
    <w:p w14:paraId="0B92F276">
      <w:pPr>
        <w:rPr>
          <w:rFonts w:hint="eastAsia" w:ascii="仿宋" w:hAnsi="仿宋" w:eastAsia="仿宋" w:cs="仿宋"/>
          <w:color w:val="auto"/>
          <w:sz w:val="32"/>
          <w:szCs w:val="32"/>
        </w:rPr>
      </w:pPr>
      <w:r>
        <w:rPr>
          <w:rFonts w:hint="eastAsia" w:ascii="仿宋" w:hAnsi="仿宋" w:eastAsia="仿宋" w:cs="仿宋"/>
          <w:color w:val="auto"/>
          <w:sz w:val="32"/>
          <w:szCs w:val="32"/>
        </w:rPr>
        <w:t>项目名称：</w:t>
      </w:r>
    </w:p>
    <w:p w14:paraId="5B163224">
      <w:pPr>
        <w:rPr>
          <w:rFonts w:hint="eastAsia" w:ascii="仿宋" w:hAnsi="仿宋" w:eastAsia="仿宋" w:cs="仿宋"/>
          <w:color w:val="auto"/>
          <w:sz w:val="32"/>
          <w:szCs w:val="32"/>
        </w:rPr>
      </w:pPr>
    </w:p>
    <w:p w14:paraId="3CF55782">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甲方:</w:t>
      </w:r>
      <w:r>
        <w:rPr>
          <w:rFonts w:hint="eastAsia" w:ascii="仿宋" w:hAnsi="仿宋" w:eastAsia="仿宋" w:cs="仿宋"/>
          <w:color w:val="auto"/>
          <w:sz w:val="32"/>
          <w:szCs w:val="32"/>
          <w:lang w:val="en-US" w:eastAsia="zh-CN"/>
        </w:rPr>
        <w:t xml:space="preserve">                      </w:t>
      </w:r>
    </w:p>
    <w:p w14:paraId="74DA641D">
      <w:pPr>
        <w:rPr>
          <w:rFonts w:hint="eastAsia" w:ascii="仿宋" w:hAnsi="仿宋" w:eastAsia="仿宋" w:cs="仿宋"/>
          <w:color w:val="auto"/>
          <w:sz w:val="32"/>
          <w:szCs w:val="32"/>
        </w:rPr>
      </w:pPr>
    </w:p>
    <w:p w14:paraId="1EA5D7E0">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乙方:                         </w:t>
      </w:r>
    </w:p>
    <w:p w14:paraId="47452818">
      <w:pPr>
        <w:rPr>
          <w:rFonts w:hint="eastAsia" w:ascii="仿宋" w:hAnsi="仿宋" w:eastAsia="仿宋" w:cs="仿宋"/>
          <w:color w:val="auto"/>
          <w:sz w:val="32"/>
          <w:szCs w:val="32"/>
        </w:rPr>
      </w:pPr>
    </w:p>
    <w:p w14:paraId="4BC6D8A5">
      <w:pPr>
        <w:rPr>
          <w:rFonts w:hint="eastAsia" w:ascii="仿宋" w:hAnsi="仿宋" w:eastAsia="仿宋" w:cs="仿宋"/>
          <w:color w:val="auto"/>
          <w:sz w:val="32"/>
          <w:szCs w:val="32"/>
          <w:u w:val="single"/>
        </w:rPr>
      </w:pPr>
      <w:r>
        <w:rPr>
          <w:rFonts w:hint="eastAsia" w:ascii="仿宋" w:hAnsi="仿宋" w:eastAsia="仿宋" w:cs="仿宋"/>
          <w:color w:val="auto"/>
          <w:sz w:val="32"/>
          <w:szCs w:val="32"/>
        </w:rPr>
        <w:t>签订地：</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14:paraId="5582E63F">
      <w:pPr>
        <w:rPr>
          <w:rFonts w:hint="eastAsia" w:ascii="仿宋" w:hAnsi="仿宋" w:eastAsia="仿宋" w:cs="仿宋"/>
          <w:color w:val="auto"/>
          <w:sz w:val="32"/>
          <w:szCs w:val="32"/>
          <w:u w:val="single"/>
        </w:rPr>
      </w:pPr>
    </w:p>
    <w:p w14:paraId="1D8DBD1F">
      <w:pPr>
        <w:rPr>
          <w:rFonts w:hint="eastAsia" w:ascii="仿宋" w:hAnsi="仿宋" w:eastAsia="仿宋" w:cs="仿宋"/>
          <w:color w:val="auto"/>
          <w:sz w:val="32"/>
          <w:szCs w:val="32"/>
        </w:rPr>
      </w:pPr>
      <w:r>
        <w:rPr>
          <w:rFonts w:hint="eastAsia" w:ascii="仿宋" w:hAnsi="仿宋" w:eastAsia="仿宋" w:cs="仿宋"/>
          <w:color w:val="auto"/>
          <w:sz w:val="32"/>
          <w:szCs w:val="32"/>
        </w:rPr>
        <w:t>签订日期：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14:paraId="74CDE0F2">
      <w:pPr>
        <w:jc w:val="center"/>
        <w:rPr>
          <w:rFonts w:hint="eastAsia" w:ascii="仿宋" w:hAnsi="仿宋" w:eastAsia="仿宋" w:cs="仿宋"/>
          <w:color w:val="auto"/>
          <w:sz w:val="32"/>
          <w:szCs w:val="32"/>
        </w:rPr>
      </w:pPr>
    </w:p>
    <w:p w14:paraId="4BDE6723">
      <w:pPr>
        <w:jc w:val="center"/>
        <w:rPr>
          <w:rFonts w:hint="eastAsia" w:ascii="仿宋" w:hAnsi="仿宋" w:eastAsia="仿宋" w:cs="仿宋"/>
          <w:color w:val="auto"/>
          <w:sz w:val="30"/>
          <w:szCs w:val="30"/>
        </w:rPr>
      </w:pPr>
    </w:p>
    <w:p w14:paraId="0768C44E">
      <w:pPr>
        <w:jc w:val="center"/>
        <w:rPr>
          <w:rFonts w:hint="eastAsia" w:ascii="仿宋" w:hAnsi="仿宋" w:eastAsia="仿宋" w:cs="仿宋"/>
          <w:color w:val="auto"/>
          <w:sz w:val="30"/>
          <w:szCs w:val="30"/>
        </w:rPr>
      </w:pPr>
    </w:p>
    <w:p w14:paraId="37E392AD">
      <w:pPr>
        <w:jc w:val="center"/>
        <w:rPr>
          <w:rFonts w:hint="eastAsia" w:ascii="仿宋" w:hAnsi="仿宋" w:eastAsia="仿宋" w:cs="仿宋"/>
          <w:color w:val="auto"/>
          <w:sz w:val="30"/>
          <w:szCs w:val="30"/>
        </w:rPr>
      </w:pPr>
    </w:p>
    <w:p w14:paraId="3CBBB6DD">
      <w:pPr>
        <w:jc w:val="center"/>
        <w:rPr>
          <w:rFonts w:hint="eastAsia" w:ascii="仿宋" w:hAnsi="仿宋" w:eastAsia="仿宋" w:cs="仿宋"/>
          <w:color w:val="auto"/>
          <w:sz w:val="30"/>
          <w:szCs w:val="30"/>
        </w:rPr>
      </w:pPr>
    </w:p>
    <w:p w14:paraId="350F1A21">
      <w:pPr>
        <w:pStyle w:val="13"/>
        <w:rPr>
          <w:rFonts w:hint="eastAsia" w:ascii="仿宋" w:hAnsi="仿宋" w:eastAsia="仿宋" w:cs="仿宋"/>
          <w:color w:val="auto"/>
          <w:sz w:val="30"/>
          <w:szCs w:val="30"/>
        </w:rPr>
      </w:pPr>
    </w:p>
    <w:p w14:paraId="38E0FB2E">
      <w:pPr>
        <w:rPr>
          <w:rFonts w:hint="eastAsia" w:ascii="仿宋" w:hAnsi="仿宋" w:eastAsia="仿宋" w:cs="仿宋"/>
          <w:color w:val="auto"/>
          <w:sz w:val="30"/>
          <w:szCs w:val="30"/>
        </w:rPr>
      </w:pPr>
    </w:p>
    <w:p w14:paraId="3AA3D782">
      <w:pPr>
        <w:pStyle w:val="26"/>
        <w:rPr>
          <w:rFonts w:hint="eastAsia" w:ascii="仿宋" w:hAnsi="仿宋" w:eastAsia="仿宋" w:cs="仿宋"/>
          <w:color w:val="auto"/>
          <w:sz w:val="30"/>
          <w:szCs w:val="30"/>
        </w:rPr>
      </w:pPr>
    </w:p>
    <w:p w14:paraId="0A0D108B">
      <w:pPr>
        <w:pStyle w:val="13"/>
        <w:rPr>
          <w:rFonts w:hint="eastAsia" w:ascii="仿宋" w:hAnsi="仿宋" w:eastAsia="仿宋" w:cs="仿宋"/>
          <w:color w:val="auto"/>
          <w:sz w:val="30"/>
          <w:szCs w:val="30"/>
        </w:rPr>
      </w:pPr>
    </w:p>
    <w:p w14:paraId="3D64D7AC">
      <w:pPr>
        <w:rPr>
          <w:rFonts w:hint="eastAsia" w:ascii="仿宋" w:hAnsi="仿宋" w:eastAsia="仿宋" w:cs="仿宋"/>
          <w:color w:val="auto"/>
          <w:sz w:val="30"/>
          <w:szCs w:val="30"/>
        </w:rPr>
      </w:pPr>
    </w:p>
    <w:p w14:paraId="0233F975">
      <w:pPr>
        <w:pStyle w:val="5"/>
        <w:outlineLvl w:val="9"/>
        <w:rPr>
          <w:rFonts w:hint="eastAsia" w:ascii="仿宋" w:hAnsi="仿宋" w:eastAsia="仿宋" w:cs="仿宋"/>
          <w:color w:val="auto"/>
          <w:sz w:val="30"/>
          <w:szCs w:val="30"/>
        </w:rPr>
      </w:pPr>
    </w:p>
    <w:p w14:paraId="11321AFB">
      <w:pPr>
        <w:rPr>
          <w:rFonts w:hint="eastAsia" w:ascii="仿宋" w:hAnsi="仿宋" w:eastAsia="仿宋" w:cs="仿宋"/>
          <w:color w:val="auto"/>
          <w:sz w:val="30"/>
          <w:szCs w:val="30"/>
        </w:rPr>
      </w:pPr>
    </w:p>
    <w:p w14:paraId="60F5F438">
      <w:pPr>
        <w:spacing w:line="480" w:lineRule="auto"/>
        <w:jc w:val="center"/>
        <w:outlineLvl w:val="0"/>
        <w:rPr>
          <w:rFonts w:hint="eastAsia" w:ascii="仿宋" w:hAnsi="仿宋" w:eastAsia="仿宋" w:cs="仿宋"/>
          <w:b/>
          <w:color w:val="auto"/>
          <w:sz w:val="44"/>
          <w:szCs w:val="44"/>
        </w:rPr>
      </w:pPr>
      <w:bookmarkStart w:id="929" w:name="_Toc18977"/>
      <w:bookmarkStart w:id="930" w:name="_Toc32025"/>
      <w:bookmarkStart w:id="931" w:name="_Toc7032"/>
      <w:bookmarkStart w:id="932" w:name="_Toc4376"/>
      <w:bookmarkStart w:id="933" w:name="_Toc8971"/>
      <w:r>
        <w:rPr>
          <w:rFonts w:hint="eastAsia" w:ascii="仿宋" w:hAnsi="仿宋" w:eastAsia="仿宋" w:cs="仿宋"/>
          <w:b/>
          <w:color w:val="auto"/>
          <w:sz w:val="44"/>
          <w:szCs w:val="44"/>
        </w:rPr>
        <w:t>政府采购合同参考范本</w:t>
      </w:r>
      <w:bookmarkEnd w:id="929"/>
      <w:bookmarkEnd w:id="930"/>
      <w:bookmarkEnd w:id="931"/>
      <w:bookmarkEnd w:id="932"/>
      <w:bookmarkEnd w:id="933"/>
    </w:p>
    <w:p w14:paraId="3D5AD77E">
      <w:pPr>
        <w:spacing w:line="480" w:lineRule="auto"/>
        <w:jc w:val="center"/>
        <w:outlineLvl w:val="0"/>
        <w:rPr>
          <w:rFonts w:hint="eastAsia" w:ascii="仿宋" w:hAnsi="仿宋" w:eastAsia="仿宋" w:cs="仿宋"/>
          <w:b/>
          <w:color w:val="auto"/>
          <w:sz w:val="24"/>
        </w:rPr>
      </w:pPr>
      <w:bookmarkStart w:id="934" w:name="_Toc31037"/>
      <w:bookmarkStart w:id="935" w:name="_Toc13680"/>
      <w:bookmarkStart w:id="936" w:name="_Toc6083"/>
      <w:bookmarkStart w:id="937" w:name="_Toc17043"/>
      <w:bookmarkStart w:id="938" w:name="_Toc14258"/>
      <w:r>
        <w:rPr>
          <w:rFonts w:hint="eastAsia" w:ascii="仿宋" w:hAnsi="仿宋" w:eastAsia="仿宋" w:cs="仿宋"/>
          <w:b/>
          <w:color w:val="auto"/>
          <w:sz w:val="24"/>
        </w:rPr>
        <w:t>（</w:t>
      </w:r>
      <w:r>
        <w:rPr>
          <w:rFonts w:hint="eastAsia" w:ascii="仿宋" w:hAnsi="仿宋" w:eastAsia="仿宋" w:cs="仿宋"/>
          <w:b/>
          <w:color w:val="auto"/>
          <w:sz w:val="24"/>
          <w:lang w:eastAsia="zh-CN"/>
        </w:rPr>
        <w:t>服务和货物</w:t>
      </w:r>
      <w:r>
        <w:rPr>
          <w:rFonts w:hint="eastAsia" w:ascii="仿宋" w:hAnsi="仿宋" w:eastAsia="仿宋" w:cs="仿宋"/>
          <w:b/>
          <w:color w:val="auto"/>
          <w:sz w:val="24"/>
        </w:rPr>
        <w:t>类）</w:t>
      </w:r>
      <w:bookmarkEnd w:id="934"/>
      <w:bookmarkEnd w:id="935"/>
      <w:bookmarkEnd w:id="936"/>
      <w:bookmarkEnd w:id="937"/>
      <w:bookmarkEnd w:id="938"/>
    </w:p>
    <w:p w14:paraId="5951C1EA">
      <w:pPr>
        <w:pStyle w:val="76"/>
        <w:ind w:firstLine="0"/>
        <w:rPr>
          <w:rFonts w:hint="eastAsia" w:ascii="仿宋" w:hAnsi="仿宋" w:eastAsia="仿宋" w:cs="仿宋"/>
          <w:color w:val="auto"/>
          <w:szCs w:val="24"/>
        </w:rPr>
      </w:pPr>
    </w:p>
    <w:p w14:paraId="7E959594">
      <w:pPr>
        <w:pStyle w:val="76"/>
        <w:ind w:firstLine="0"/>
        <w:rPr>
          <w:rFonts w:hint="eastAsia" w:ascii="仿宋" w:hAnsi="仿宋" w:eastAsia="仿宋" w:cs="仿宋"/>
          <w:color w:val="auto"/>
          <w:szCs w:val="24"/>
        </w:rPr>
      </w:pPr>
    </w:p>
    <w:p w14:paraId="7C445356">
      <w:pPr>
        <w:pStyle w:val="76"/>
        <w:ind w:firstLine="0"/>
        <w:rPr>
          <w:rFonts w:hint="eastAsia" w:ascii="仿宋" w:hAnsi="仿宋" w:eastAsia="仿宋" w:cs="仿宋"/>
          <w:color w:val="auto"/>
          <w:szCs w:val="24"/>
        </w:rPr>
      </w:pPr>
    </w:p>
    <w:p w14:paraId="55E556D9">
      <w:pPr>
        <w:pStyle w:val="76"/>
        <w:ind w:firstLine="0"/>
        <w:jc w:val="center"/>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3236942A">
      <w:pPr>
        <w:pStyle w:val="26"/>
        <w:rPr>
          <w:rFonts w:hint="eastAsia" w:ascii="仿宋" w:hAnsi="仿宋" w:eastAsia="仿宋" w:cs="仿宋"/>
          <w:color w:val="auto"/>
        </w:rPr>
      </w:pPr>
    </w:p>
    <w:p w14:paraId="5130DC46">
      <w:pPr>
        <w:pStyle w:val="26"/>
        <w:rPr>
          <w:rFonts w:hint="eastAsia" w:ascii="仿宋" w:hAnsi="仿宋" w:eastAsia="仿宋" w:cs="仿宋"/>
          <w:color w:val="auto"/>
        </w:rPr>
      </w:pPr>
    </w:p>
    <w:p w14:paraId="7FC03CBC">
      <w:pPr>
        <w:pStyle w:val="26"/>
        <w:rPr>
          <w:rFonts w:hint="eastAsia" w:ascii="仿宋" w:hAnsi="仿宋" w:eastAsia="仿宋" w:cs="仿宋"/>
          <w:color w:val="auto"/>
        </w:rPr>
      </w:pPr>
    </w:p>
    <w:p w14:paraId="694DD1EA">
      <w:pPr>
        <w:pStyle w:val="26"/>
        <w:rPr>
          <w:rFonts w:hint="eastAsia" w:ascii="仿宋" w:hAnsi="仿宋" w:eastAsia="仿宋" w:cs="仿宋"/>
          <w:color w:val="auto"/>
        </w:rPr>
      </w:pPr>
    </w:p>
    <w:p w14:paraId="3293D26E">
      <w:pPr>
        <w:spacing w:before="120" w:line="22" w:lineRule="atLeast"/>
        <w:rPr>
          <w:rFonts w:hint="eastAsia" w:ascii="仿宋" w:hAnsi="仿宋" w:eastAsia="仿宋" w:cs="仿宋"/>
          <w:color w:val="auto"/>
          <w:sz w:val="24"/>
        </w:rPr>
      </w:pPr>
    </w:p>
    <w:p w14:paraId="4A4620F5">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p>
    <w:p w14:paraId="4E5EE36A">
      <w:pPr>
        <w:spacing w:before="120" w:line="22" w:lineRule="atLeast"/>
        <w:ind w:left="960"/>
        <w:rPr>
          <w:rFonts w:hint="eastAsia" w:ascii="仿宋" w:hAnsi="仿宋" w:eastAsia="仿宋" w:cs="仿宋"/>
          <w:color w:val="auto"/>
        </w:rPr>
      </w:pPr>
    </w:p>
    <w:p w14:paraId="058BDA74">
      <w:pPr>
        <w:pStyle w:val="105"/>
        <w:spacing w:before="120" w:line="22" w:lineRule="atLeast"/>
        <w:rPr>
          <w:rFonts w:hint="eastAsia" w:ascii="仿宋" w:hAnsi="仿宋" w:eastAsia="仿宋" w:cs="仿宋"/>
          <w:color w:val="auto"/>
          <w:szCs w:val="24"/>
        </w:rPr>
      </w:pPr>
    </w:p>
    <w:p w14:paraId="0B45AAC8">
      <w:pPr>
        <w:rPr>
          <w:rFonts w:hint="eastAsia" w:ascii="仿宋" w:hAnsi="仿宋" w:eastAsia="仿宋" w:cs="仿宋"/>
          <w:color w:val="auto"/>
        </w:rPr>
      </w:pPr>
    </w:p>
    <w:p w14:paraId="45F2C003">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38D4471E">
      <w:pPr>
        <w:spacing w:before="120" w:line="22" w:lineRule="atLeast"/>
        <w:rPr>
          <w:rFonts w:hint="eastAsia" w:ascii="仿宋" w:hAnsi="仿宋" w:eastAsia="仿宋" w:cs="仿宋"/>
          <w:color w:val="auto"/>
          <w:sz w:val="24"/>
        </w:rPr>
      </w:pPr>
    </w:p>
    <w:p w14:paraId="35548328">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535D1345">
      <w:pPr>
        <w:spacing w:before="120" w:line="22" w:lineRule="atLeast"/>
        <w:rPr>
          <w:rFonts w:hint="eastAsia" w:ascii="仿宋" w:hAnsi="仿宋" w:eastAsia="仿宋" w:cs="仿宋"/>
          <w:color w:val="auto"/>
          <w:sz w:val="24"/>
        </w:rPr>
      </w:pPr>
    </w:p>
    <w:p w14:paraId="6316581F">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0C328722">
      <w:pPr>
        <w:spacing w:before="120" w:line="22" w:lineRule="atLeast"/>
        <w:rPr>
          <w:rFonts w:hint="eastAsia" w:ascii="仿宋" w:hAnsi="仿宋" w:eastAsia="仿宋" w:cs="仿宋"/>
          <w:color w:val="auto"/>
          <w:sz w:val="24"/>
        </w:rPr>
      </w:pPr>
    </w:p>
    <w:p w14:paraId="71B29EFB">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7B96F7D0">
      <w:pPr>
        <w:pStyle w:val="26"/>
        <w:rPr>
          <w:rFonts w:hint="eastAsia" w:ascii="仿宋" w:hAnsi="仿宋" w:eastAsia="仿宋" w:cs="仿宋"/>
          <w:color w:val="auto"/>
        </w:rPr>
        <w:sectPr>
          <w:footerReference r:id="rId19" w:type="default"/>
          <w:pgSz w:w="11907" w:h="16840"/>
          <w:pgMar w:top="1474" w:right="1814" w:bottom="1474" w:left="1814" w:header="851" w:footer="851" w:gutter="0"/>
          <w:pgNumType w:fmt="decimal"/>
          <w:cols w:space="720" w:num="1"/>
          <w:docGrid w:linePitch="462" w:charSpace="0"/>
        </w:sectPr>
      </w:pPr>
    </w:p>
    <w:p w14:paraId="4E0E62D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（采购人名称）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rPr>
        <w:t>为该项目中标供应商。现于中标通知书发出之日起三十日内，按照采购文件确定的事项签订本合同。</w:t>
      </w:r>
    </w:p>
    <w:p w14:paraId="6A8BA93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（采购人名称）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65E1F932">
      <w:pPr>
        <w:spacing w:line="560" w:lineRule="exact"/>
        <w:ind w:firstLine="482" w:firstLineChars="200"/>
        <w:outlineLvl w:val="0"/>
        <w:rPr>
          <w:rFonts w:hint="eastAsia" w:ascii="仿宋" w:hAnsi="仿宋" w:eastAsia="仿宋" w:cs="仿宋"/>
          <w:color w:val="auto"/>
          <w:sz w:val="24"/>
        </w:rPr>
      </w:pPr>
      <w:bookmarkStart w:id="939" w:name="_Toc30859"/>
      <w:bookmarkStart w:id="940" w:name="_Toc36838370"/>
      <w:bookmarkStart w:id="941" w:name="_Toc25076"/>
      <w:bookmarkStart w:id="942" w:name="_Toc21236"/>
      <w:bookmarkStart w:id="943" w:name="_Toc37247723"/>
      <w:r>
        <w:rPr>
          <w:rFonts w:hint="eastAsia" w:ascii="仿宋" w:hAnsi="仿宋" w:eastAsia="仿宋" w:cs="仿宋"/>
          <w:b/>
          <w:color w:val="auto"/>
          <w:sz w:val="24"/>
        </w:rPr>
        <w:t>1.1 合同组成部分</w:t>
      </w:r>
      <w:bookmarkEnd w:id="939"/>
      <w:bookmarkEnd w:id="940"/>
      <w:bookmarkEnd w:id="941"/>
      <w:bookmarkEnd w:id="942"/>
      <w:bookmarkEnd w:id="943"/>
    </w:p>
    <w:p w14:paraId="1916007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AE79B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49DFE55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中标通知书；</w:t>
      </w:r>
    </w:p>
    <w:p w14:paraId="24914BA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投标文件（含澄清或者说明文件）；</w:t>
      </w:r>
    </w:p>
    <w:p w14:paraId="287A301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招标文件（含澄清或者修改文件）；</w:t>
      </w:r>
    </w:p>
    <w:p w14:paraId="2925F6D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7B8E2ADE">
      <w:pPr>
        <w:spacing w:line="560" w:lineRule="exact"/>
        <w:ind w:firstLine="482" w:firstLineChars="200"/>
        <w:outlineLvl w:val="0"/>
        <w:rPr>
          <w:rFonts w:hint="eastAsia" w:ascii="仿宋" w:hAnsi="仿宋" w:eastAsia="仿宋" w:cs="仿宋"/>
          <w:b/>
          <w:color w:val="auto"/>
          <w:sz w:val="24"/>
        </w:rPr>
      </w:pPr>
      <w:bookmarkStart w:id="944" w:name="_Toc7624"/>
      <w:bookmarkStart w:id="945" w:name="_Toc36838371"/>
      <w:bookmarkStart w:id="946" w:name="_Toc37247724"/>
      <w:bookmarkStart w:id="947" w:name="_Toc8423"/>
      <w:bookmarkStart w:id="948" w:name="_Toc27192"/>
      <w:r>
        <w:rPr>
          <w:rFonts w:hint="eastAsia" w:ascii="仿宋" w:hAnsi="仿宋" w:eastAsia="仿宋" w:cs="仿宋"/>
          <w:b/>
          <w:color w:val="auto"/>
          <w:sz w:val="24"/>
        </w:rPr>
        <w:t>1.2 标的</w:t>
      </w:r>
      <w:bookmarkEnd w:id="944"/>
      <w:bookmarkEnd w:id="945"/>
      <w:bookmarkEnd w:id="946"/>
      <w:bookmarkEnd w:id="947"/>
      <w:bookmarkEnd w:id="948"/>
    </w:p>
    <w:p w14:paraId="4CCD8A48">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标的名称：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2417149">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标的数量：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61E1600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1.2.3 标的质量：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5665F640">
      <w:pPr>
        <w:spacing w:line="560" w:lineRule="exact"/>
        <w:ind w:firstLine="482" w:firstLineChars="200"/>
        <w:outlineLvl w:val="0"/>
        <w:rPr>
          <w:rFonts w:hint="eastAsia" w:ascii="仿宋" w:hAnsi="仿宋" w:eastAsia="仿宋" w:cs="仿宋"/>
          <w:b/>
          <w:color w:val="auto"/>
          <w:sz w:val="24"/>
        </w:rPr>
      </w:pPr>
      <w:bookmarkStart w:id="949" w:name="_Toc36838372"/>
      <w:bookmarkStart w:id="950" w:name="_Toc37247725"/>
      <w:bookmarkStart w:id="951" w:name="_Toc15376"/>
      <w:bookmarkStart w:id="952" w:name="_Toc19137"/>
      <w:bookmarkStart w:id="953" w:name="_Toc9408"/>
      <w:r>
        <w:rPr>
          <w:rFonts w:hint="eastAsia" w:ascii="仿宋" w:hAnsi="仿宋" w:eastAsia="仿宋" w:cs="仿宋"/>
          <w:b/>
          <w:color w:val="auto"/>
          <w:sz w:val="24"/>
        </w:rPr>
        <w:t>1.3 价款</w:t>
      </w:r>
      <w:bookmarkEnd w:id="949"/>
      <w:bookmarkEnd w:id="950"/>
      <w:bookmarkEnd w:id="951"/>
      <w:bookmarkEnd w:id="952"/>
      <w:bookmarkEnd w:id="953"/>
    </w:p>
    <w:p w14:paraId="4D36444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1DFB577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该费用为</w:t>
      </w:r>
      <w:r>
        <w:rPr>
          <w:rFonts w:hint="eastAsia" w:ascii="仿宋" w:hAnsi="仿宋" w:eastAsia="仿宋" w:cs="仿宋"/>
          <w:color w:val="auto"/>
          <w:sz w:val="24"/>
          <w:lang w:val="en-US" w:eastAsia="zh-Hans"/>
        </w:rPr>
        <w:t>乙方</w:t>
      </w:r>
      <w:r>
        <w:rPr>
          <w:rFonts w:hint="eastAsia" w:ascii="仿宋" w:hAnsi="仿宋" w:eastAsia="仿宋" w:cs="仿宋"/>
          <w:color w:val="auto"/>
          <w:sz w:val="24"/>
        </w:rPr>
        <w:t>履行本合同项下所有义务的全部费用，除本费用外为本合同的履行</w:t>
      </w:r>
      <w:r>
        <w:rPr>
          <w:rFonts w:hint="eastAsia" w:ascii="仿宋" w:hAnsi="仿宋" w:eastAsia="仿宋" w:cs="仿宋"/>
          <w:color w:val="auto"/>
          <w:sz w:val="24"/>
          <w:lang w:val="en-US" w:eastAsia="zh-Hans"/>
        </w:rPr>
        <w:t>甲方</w:t>
      </w:r>
      <w:r>
        <w:rPr>
          <w:rFonts w:hint="eastAsia" w:ascii="仿宋" w:hAnsi="仿宋" w:eastAsia="仿宋" w:cs="仿宋"/>
          <w:color w:val="auto"/>
          <w:sz w:val="24"/>
        </w:rPr>
        <w:t>无需另行再向</w:t>
      </w:r>
      <w:r>
        <w:rPr>
          <w:rFonts w:hint="eastAsia" w:ascii="仿宋" w:hAnsi="仿宋" w:eastAsia="仿宋" w:cs="仿宋"/>
          <w:color w:val="auto"/>
          <w:sz w:val="24"/>
          <w:lang w:val="en-US" w:eastAsia="zh-Hans"/>
        </w:rPr>
        <w:t>乙方</w:t>
      </w:r>
      <w:r>
        <w:rPr>
          <w:rFonts w:hint="eastAsia" w:ascii="仿宋" w:hAnsi="仿宋" w:eastAsia="仿宋" w:cs="仿宋"/>
          <w:color w:val="auto"/>
          <w:sz w:val="24"/>
        </w:rPr>
        <w:t>支付任何其他费用。</w:t>
      </w:r>
    </w:p>
    <w:p w14:paraId="2E1083CF">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568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4ECF6AC">
            <w:pPr>
              <w:pStyle w:val="66"/>
              <w:spacing w:line="56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序号</w:t>
            </w:r>
          </w:p>
        </w:tc>
        <w:tc>
          <w:tcPr>
            <w:tcW w:w="3402" w:type="dxa"/>
            <w:noWrap w:val="0"/>
            <w:vAlign w:val="center"/>
          </w:tcPr>
          <w:p w14:paraId="5E9CBD0F">
            <w:pPr>
              <w:pStyle w:val="66"/>
              <w:spacing w:line="560" w:lineRule="exact"/>
              <w:ind w:firstLine="20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分项名称</w:t>
            </w:r>
          </w:p>
        </w:tc>
        <w:tc>
          <w:tcPr>
            <w:tcW w:w="2552" w:type="dxa"/>
            <w:noWrap w:val="0"/>
            <w:vAlign w:val="center"/>
          </w:tcPr>
          <w:p w14:paraId="3F6E72D9">
            <w:pPr>
              <w:pStyle w:val="66"/>
              <w:spacing w:line="56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分项价格</w:t>
            </w:r>
          </w:p>
        </w:tc>
      </w:tr>
      <w:tr w14:paraId="7F2F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4B7B8BC">
            <w:pPr>
              <w:pStyle w:val="66"/>
              <w:spacing w:line="560" w:lineRule="exact"/>
              <w:ind w:firstLine="200"/>
              <w:jc w:val="center"/>
              <w:rPr>
                <w:rFonts w:hint="eastAsia" w:ascii="仿宋" w:hAnsi="仿宋" w:eastAsia="仿宋" w:cs="仿宋"/>
                <w:color w:val="auto"/>
                <w:kern w:val="2"/>
                <w:sz w:val="24"/>
                <w:szCs w:val="24"/>
              </w:rPr>
            </w:pPr>
          </w:p>
        </w:tc>
        <w:tc>
          <w:tcPr>
            <w:tcW w:w="3402" w:type="dxa"/>
            <w:noWrap w:val="0"/>
            <w:vAlign w:val="center"/>
          </w:tcPr>
          <w:p w14:paraId="77760D83">
            <w:pPr>
              <w:pStyle w:val="66"/>
              <w:spacing w:line="560" w:lineRule="exact"/>
              <w:ind w:firstLine="200"/>
              <w:jc w:val="center"/>
              <w:rPr>
                <w:rFonts w:hint="eastAsia" w:ascii="仿宋" w:hAnsi="仿宋" w:eastAsia="仿宋" w:cs="仿宋"/>
                <w:color w:val="auto"/>
                <w:kern w:val="2"/>
                <w:sz w:val="24"/>
                <w:szCs w:val="24"/>
              </w:rPr>
            </w:pPr>
          </w:p>
        </w:tc>
        <w:tc>
          <w:tcPr>
            <w:tcW w:w="2552" w:type="dxa"/>
            <w:noWrap w:val="0"/>
            <w:vAlign w:val="center"/>
          </w:tcPr>
          <w:p w14:paraId="4EE6147A">
            <w:pPr>
              <w:pStyle w:val="66"/>
              <w:spacing w:line="560" w:lineRule="exact"/>
              <w:ind w:firstLine="200"/>
              <w:jc w:val="center"/>
              <w:rPr>
                <w:rFonts w:hint="eastAsia" w:ascii="仿宋" w:hAnsi="仿宋" w:eastAsia="仿宋" w:cs="仿宋"/>
                <w:color w:val="auto"/>
                <w:kern w:val="2"/>
                <w:sz w:val="24"/>
                <w:szCs w:val="24"/>
              </w:rPr>
            </w:pPr>
          </w:p>
        </w:tc>
      </w:tr>
      <w:tr w14:paraId="293F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2303207">
            <w:pPr>
              <w:pStyle w:val="66"/>
              <w:spacing w:line="560" w:lineRule="exact"/>
              <w:ind w:firstLine="200"/>
              <w:jc w:val="center"/>
              <w:rPr>
                <w:rFonts w:hint="eastAsia" w:ascii="仿宋" w:hAnsi="仿宋" w:eastAsia="仿宋" w:cs="仿宋"/>
                <w:color w:val="auto"/>
                <w:kern w:val="2"/>
                <w:sz w:val="24"/>
                <w:szCs w:val="24"/>
              </w:rPr>
            </w:pPr>
          </w:p>
        </w:tc>
        <w:tc>
          <w:tcPr>
            <w:tcW w:w="3402" w:type="dxa"/>
            <w:noWrap w:val="0"/>
            <w:vAlign w:val="center"/>
          </w:tcPr>
          <w:p w14:paraId="6C38A4F6">
            <w:pPr>
              <w:pStyle w:val="66"/>
              <w:spacing w:line="560" w:lineRule="exact"/>
              <w:ind w:firstLine="200"/>
              <w:jc w:val="center"/>
              <w:rPr>
                <w:rFonts w:hint="eastAsia" w:ascii="仿宋" w:hAnsi="仿宋" w:eastAsia="仿宋" w:cs="仿宋"/>
                <w:color w:val="auto"/>
                <w:kern w:val="2"/>
                <w:sz w:val="24"/>
                <w:szCs w:val="24"/>
              </w:rPr>
            </w:pPr>
          </w:p>
        </w:tc>
        <w:tc>
          <w:tcPr>
            <w:tcW w:w="2552" w:type="dxa"/>
            <w:noWrap w:val="0"/>
            <w:vAlign w:val="center"/>
          </w:tcPr>
          <w:p w14:paraId="797E0F35">
            <w:pPr>
              <w:pStyle w:val="66"/>
              <w:spacing w:line="560" w:lineRule="exact"/>
              <w:ind w:firstLine="200"/>
              <w:jc w:val="center"/>
              <w:rPr>
                <w:rFonts w:hint="eastAsia" w:ascii="仿宋" w:hAnsi="仿宋" w:eastAsia="仿宋" w:cs="仿宋"/>
                <w:color w:val="auto"/>
                <w:kern w:val="2"/>
                <w:sz w:val="24"/>
                <w:szCs w:val="24"/>
              </w:rPr>
            </w:pPr>
          </w:p>
        </w:tc>
      </w:tr>
      <w:tr w14:paraId="6799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562FD6A">
            <w:pPr>
              <w:pStyle w:val="66"/>
              <w:spacing w:line="560" w:lineRule="exact"/>
              <w:ind w:firstLine="200"/>
              <w:jc w:val="center"/>
              <w:rPr>
                <w:rFonts w:hint="eastAsia" w:ascii="仿宋" w:hAnsi="仿宋" w:eastAsia="仿宋" w:cs="仿宋"/>
                <w:color w:val="auto"/>
                <w:kern w:val="2"/>
                <w:sz w:val="24"/>
                <w:szCs w:val="24"/>
              </w:rPr>
            </w:pPr>
          </w:p>
        </w:tc>
        <w:tc>
          <w:tcPr>
            <w:tcW w:w="3402" w:type="dxa"/>
            <w:noWrap w:val="0"/>
            <w:vAlign w:val="center"/>
          </w:tcPr>
          <w:p w14:paraId="31C25B0C">
            <w:pPr>
              <w:pStyle w:val="66"/>
              <w:spacing w:line="560" w:lineRule="exact"/>
              <w:ind w:firstLine="200"/>
              <w:jc w:val="center"/>
              <w:rPr>
                <w:rFonts w:hint="eastAsia" w:ascii="仿宋" w:hAnsi="仿宋" w:eastAsia="仿宋" w:cs="仿宋"/>
                <w:color w:val="auto"/>
                <w:kern w:val="2"/>
                <w:sz w:val="24"/>
                <w:szCs w:val="24"/>
              </w:rPr>
            </w:pPr>
          </w:p>
        </w:tc>
        <w:tc>
          <w:tcPr>
            <w:tcW w:w="2552" w:type="dxa"/>
            <w:noWrap w:val="0"/>
            <w:vAlign w:val="center"/>
          </w:tcPr>
          <w:p w14:paraId="3DFAD49A">
            <w:pPr>
              <w:pStyle w:val="66"/>
              <w:spacing w:line="560" w:lineRule="exact"/>
              <w:ind w:firstLine="200"/>
              <w:jc w:val="center"/>
              <w:rPr>
                <w:rFonts w:hint="eastAsia" w:ascii="仿宋" w:hAnsi="仿宋" w:eastAsia="仿宋" w:cs="仿宋"/>
                <w:color w:val="auto"/>
                <w:kern w:val="2"/>
                <w:sz w:val="24"/>
                <w:szCs w:val="24"/>
              </w:rPr>
            </w:pPr>
          </w:p>
        </w:tc>
      </w:tr>
      <w:tr w14:paraId="7C7B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BF8AB69">
            <w:pPr>
              <w:pStyle w:val="66"/>
              <w:spacing w:line="560" w:lineRule="exact"/>
              <w:ind w:firstLine="200"/>
              <w:jc w:val="center"/>
              <w:rPr>
                <w:rFonts w:hint="eastAsia" w:ascii="仿宋" w:hAnsi="仿宋" w:eastAsia="仿宋" w:cs="仿宋"/>
                <w:color w:val="auto"/>
                <w:kern w:val="2"/>
                <w:sz w:val="24"/>
                <w:szCs w:val="24"/>
              </w:rPr>
            </w:pPr>
          </w:p>
        </w:tc>
        <w:tc>
          <w:tcPr>
            <w:tcW w:w="3402" w:type="dxa"/>
            <w:noWrap w:val="0"/>
            <w:vAlign w:val="center"/>
          </w:tcPr>
          <w:p w14:paraId="2BFD7170">
            <w:pPr>
              <w:pStyle w:val="66"/>
              <w:spacing w:line="560" w:lineRule="exact"/>
              <w:ind w:firstLine="200"/>
              <w:jc w:val="center"/>
              <w:rPr>
                <w:rFonts w:hint="eastAsia" w:ascii="仿宋" w:hAnsi="仿宋" w:eastAsia="仿宋" w:cs="仿宋"/>
                <w:color w:val="auto"/>
                <w:kern w:val="2"/>
                <w:sz w:val="24"/>
                <w:szCs w:val="24"/>
              </w:rPr>
            </w:pPr>
          </w:p>
        </w:tc>
        <w:tc>
          <w:tcPr>
            <w:tcW w:w="2552" w:type="dxa"/>
            <w:noWrap w:val="0"/>
            <w:vAlign w:val="center"/>
          </w:tcPr>
          <w:p w14:paraId="1964B379">
            <w:pPr>
              <w:pStyle w:val="66"/>
              <w:spacing w:line="560" w:lineRule="exact"/>
              <w:ind w:firstLine="200"/>
              <w:jc w:val="center"/>
              <w:rPr>
                <w:rFonts w:hint="eastAsia" w:ascii="仿宋" w:hAnsi="仿宋" w:eastAsia="仿宋" w:cs="仿宋"/>
                <w:color w:val="auto"/>
                <w:kern w:val="2"/>
                <w:sz w:val="24"/>
                <w:szCs w:val="24"/>
              </w:rPr>
            </w:pPr>
          </w:p>
        </w:tc>
      </w:tr>
      <w:tr w14:paraId="1108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1CC0E1A">
            <w:pPr>
              <w:pStyle w:val="66"/>
              <w:spacing w:line="560" w:lineRule="exact"/>
              <w:ind w:firstLine="20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总价</w:t>
            </w:r>
          </w:p>
        </w:tc>
        <w:tc>
          <w:tcPr>
            <w:tcW w:w="2552" w:type="dxa"/>
            <w:noWrap w:val="0"/>
            <w:vAlign w:val="center"/>
          </w:tcPr>
          <w:p w14:paraId="0B751C40">
            <w:pPr>
              <w:pStyle w:val="66"/>
              <w:spacing w:line="560" w:lineRule="exact"/>
              <w:ind w:firstLine="200"/>
              <w:jc w:val="center"/>
              <w:rPr>
                <w:rFonts w:hint="eastAsia" w:ascii="仿宋" w:hAnsi="仿宋" w:eastAsia="仿宋" w:cs="仿宋"/>
                <w:color w:val="auto"/>
                <w:kern w:val="2"/>
                <w:sz w:val="24"/>
                <w:szCs w:val="24"/>
              </w:rPr>
            </w:pPr>
          </w:p>
        </w:tc>
      </w:tr>
    </w:tbl>
    <w:p w14:paraId="7E7F3D8D">
      <w:pPr>
        <w:spacing w:line="560" w:lineRule="exact"/>
        <w:ind w:firstLine="482" w:firstLineChars="200"/>
        <w:outlineLvl w:val="0"/>
        <w:rPr>
          <w:rFonts w:hint="eastAsia" w:ascii="仿宋" w:hAnsi="仿宋" w:eastAsia="仿宋" w:cs="仿宋"/>
          <w:b/>
          <w:color w:val="auto"/>
          <w:sz w:val="24"/>
        </w:rPr>
      </w:pPr>
      <w:bookmarkStart w:id="954" w:name="_Toc20955"/>
      <w:bookmarkStart w:id="955" w:name="_Toc37247726"/>
      <w:bookmarkStart w:id="956" w:name="_Toc4316"/>
      <w:bookmarkStart w:id="957" w:name="_Toc36838373"/>
      <w:bookmarkStart w:id="958" w:name="_Toc27806"/>
      <w:r>
        <w:rPr>
          <w:rFonts w:hint="eastAsia" w:ascii="仿宋" w:hAnsi="仿宋" w:eastAsia="仿宋" w:cs="仿宋"/>
          <w:b/>
          <w:color w:val="auto"/>
          <w:sz w:val="24"/>
        </w:rPr>
        <w:t>1.4 付款方式和发票开具方式</w:t>
      </w:r>
      <w:bookmarkEnd w:id="954"/>
      <w:bookmarkEnd w:id="955"/>
      <w:bookmarkEnd w:id="956"/>
      <w:bookmarkEnd w:id="957"/>
      <w:bookmarkEnd w:id="958"/>
    </w:p>
    <w:p w14:paraId="08C28D6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1.4.1付款方式：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22804E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 发票开具方式：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A0BB2EA">
      <w:pPr>
        <w:spacing w:line="560" w:lineRule="exact"/>
        <w:ind w:firstLine="482" w:firstLineChars="200"/>
        <w:outlineLvl w:val="0"/>
        <w:rPr>
          <w:rFonts w:hint="eastAsia" w:ascii="仿宋" w:hAnsi="仿宋" w:eastAsia="仿宋" w:cs="仿宋"/>
          <w:b/>
          <w:color w:val="auto"/>
          <w:sz w:val="24"/>
        </w:rPr>
      </w:pPr>
      <w:bookmarkStart w:id="959" w:name="_Toc21697"/>
      <w:bookmarkStart w:id="960" w:name="_Toc36838374"/>
      <w:bookmarkStart w:id="961" w:name="_Toc37247727"/>
      <w:bookmarkStart w:id="962" w:name="_Toc31799"/>
      <w:r>
        <w:rPr>
          <w:rFonts w:hint="eastAsia" w:ascii="仿宋" w:hAnsi="仿宋" w:eastAsia="仿宋" w:cs="仿宋"/>
          <w:b/>
          <w:color w:val="auto"/>
          <w:sz w:val="24"/>
        </w:rPr>
        <w:t>1.5 履行期限、地点和方式</w:t>
      </w:r>
      <w:bookmarkEnd w:id="959"/>
      <w:bookmarkEnd w:id="960"/>
      <w:bookmarkEnd w:id="961"/>
      <w:bookmarkEnd w:id="962"/>
    </w:p>
    <w:p w14:paraId="5074EDFA">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1.5.1 履行期限：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830473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 履行地点：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90259D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1.5.3 履行方式：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D6058C1">
      <w:pPr>
        <w:spacing w:line="560" w:lineRule="exact"/>
        <w:ind w:firstLine="482" w:firstLineChars="200"/>
        <w:outlineLvl w:val="0"/>
        <w:rPr>
          <w:rFonts w:hint="eastAsia" w:ascii="仿宋" w:hAnsi="仿宋" w:eastAsia="仿宋" w:cs="仿宋"/>
          <w:color w:val="auto"/>
          <w:sz w:val="24"/>
          <w:u w:val="single"/>
        </w:rPr>
      </w:pPr>
      <w:bookmarkStart w:id="963" w:name="_Toc14251"/>
      <w:bookmarkStart w:id="964" w:name="_Toc36838375"/>
      <w:bookmarkStart w:id="965" w:name="_Toc37247728"/>
      <w:bookmarkStart w:id="966" w:name="_Toc13186"/>
      <w:bookmarkStart w:id="967" w:name="_Toc3753"/>
      <w:r>
        <w:rPr>
          <w:rFonts w:hint="eastAsia" w:ascii="仿宋" w:hAnsi="仿宋" w:eastAsia="仿宋" w:cs="仿宋"/>
          <w:b/>
          <w:color w:val="auto"/>
          <w:sz w:val="24"/>
        </w:rPr>
        <w:t>1.6 违约责任</w:t>
      </w:r>
      <w:bookmarkEnd w:id="963"/>
      <w:bookmarkEnd w:id="964"/>
      <w:bookmarkEnd w:id="965"/>
      <w:bookmarkEnd w:id="966"/>
      <w:bookmarkEnd w:id="967"/>
    </w:p>
    <w:p w14:paraId="1E602A6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79BD929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1323593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4620D3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5D2E20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FE48D5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395F276C">
      <w:pPr>
        <w:spacing w:line="560" w:lineRule="exact"/>
        <w:ind w:firstLine="482" w:firstLineChars="200"/>
        <w:outlineLvl w:val="0"/>
        <w:rPr>
          <w:rFonts w:hint="eastAsia" w:ascii="仿宋" w:hAnsi="仿宋" w:eastAsia="仿宋" w:cs="仿宋"/>
          <w:b/>
          <w:color w:val="auto"/>
          <w:sz w:val="24"/>
        </w:rPr>
      </w:pPr>
      <w:bookmarkStart w:id="968" w:name="_Toc18510"/>
      <w:bookmarkStart w:id="969" w:name="_Toc10970"/>
      <w:bookmarkStart w:id="970" w:name="_Toc37247729"/>
      <w:bookmarkStart w:id="971" w:name="_Toc36838376"/>
      <w:bookmarkStart w:id="972" w:name="_Toc4295"/>
      <w:r>
        <w:rPr>
          <w:rFonts w:hint="eastAsia" w:ascii="仿宋" w:hAnsi="仿宋" w:eastAsia="仿宋" w:cs="仿宋"/>
          <w:b/>
          <w:color w:val="auto"/>
          <w:sz w:val="24"/>
        </w:rPr>
        <w:t>1.7 合同争议的解决</w:t>
      </w:r>
      <w:bookmarkEnd w:id="968"/>
      <w:bookmarkEnd w:id="969"/>
      <w:bookmarkEnd w:id="970"/>
      <w:bookmarkEnd w:id="971"/>
      <w:bookmarkEnd w:id="972"/>
    </w:p>
    <w:p w14:paraId="3A535B8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u w:val="single"/>
        </w:rPr>
        <w:t xml:space="preserve">    </w:t>
      </w:r>
      <w:r>
        <w:rPr>
          <w:rFonts w:hint="eastAsia" w:ascii="仿宋" w:hAnsi="仿宋" w:eastAsia="仿宋" w:cs="仿宋"/>
          <w:color w:val="auto"/>
          <w:sz w:val="24"/>
        </w:rPr>
        <w:t>种方式解决：</w:t>
      </w:r>
    </w:p>
    <w:p w14:paraId="1724CA1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rPr>
        <w:t>仲裁委员会依申请仲裁时其现行有效的仲裁规则裁决；</w:t>
      </w:r>
    </w:p>
    <w:p w14:paraId="34BA821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color w:val="auto"/>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rPr>
        <w:t>人民法院起诉。</w:t>
      </w:r>
    </w:p>
    <w:p w14:paraId="05381062">
      <w:pPr>
        <w:spacing w:line="560" w:lineRule="exact"/>
        <w:ind w:firstLine="482" w:firstLineChars="200"/>
        <w:outlineLvl w:val="0"/>
        <w:rPr>
          <w:rFonts w:hint="eastAsia" w:ascii="仿宋" w:hAnsi="仿宋" w:eastAsia="仿宋" w:cs="仿宋"/>
          <w:b/>
          <w:color w:val="auto"/>
          <w:sz w:val="24"/>
        </w:rPr>
      </w:pPr>
      <w:bookmarkStart w:id="973" w:name="_Toc36838377"/>
      <w:bookmarkStart w:id="974" w:name="_Toc29168"/>
      <w:bookmarkStart w:id="975" w:name="_Toc21268"/>
      <w:bookmarkStart w:id="976" w:name="_Toc10357"/>
      <w:bookmarkStart w:id="977" w:name="_Toc37247730"/>
      <w:r>
        <w:rPr>
          <w:rFonts w:hint="eastAsia" w:ascii="仿宋" w:hAnsi="仿宋" w:eastAsia="仿宋" w:cs="仿宋"/>
          <w:b/>
          <w:color w:val="auto"/>
          <w:sz w:val="24"/>
        </w:rPr>
        <w:t>1.8 合同生效</w:t>
      </w:r>
      <w:bookmarkEnd w:id="973"/>
      <w:bookmarkEnd w:id="974"/>
      <w:bookmarkEnd w:id="975"/>
      <w:bookmarkEnd w:id="976"/>
      <w:bookmarkEnd w:id="977"/>
    </w:p>
    <w:p w14:paraId="5EE7CE4E">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本合同自双方当事人盖章或者签字时生效。</w:t>
      </w:r>
    </w:p>
    <w:p w14:paraId="24735634">
      <w:pPr>
        <w:autoSpaceDE w:val="0"/>
        <w:autoSpaceDN w:val="0"/>
        <w:adjustRightInd w:val="0"/>
        <w:spacing w:line="560" w:lineRule="exact"/>
        <w:rPr>
          <w:rFonts w:hint="eastAsia" w:ascii="仿宋" w:hAnsi="仿宋" w:eastAsia="仿宋" w:cs="仿宋"/>
          <w:color w:val="auto"/>
          <w:sz w:val="24"/>
          <w:lang w:val="zh-CN"/>
        </w:rPr>
      </w:pPr>
    </w:p>
    <w:p w14:paraId="6582BDD2">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1EFE9CE8">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58430374">
      <w:pPr>
        <w:autoSpaceDE w:val="0"/>
        <w:autoSpaceDN w:val="0"/>
        <w:adjustRightInd w:val="0"/>
        <w:spacing w:line="560" w:lineRule="exact"/>
        <w:rPr>
          <w:rFonts w:hint="eastAsia" w:ascii="仿宋" w:hAnsi="仿宋" w:eastAsia="仿宋" w:cs="仿宋"/>
          <w:color w:val="auto"/>
          <w:sz w:val="24"/>
          <w:lang w:val="zh-CN"/>
        </w:rPr>
      </w:pPr>
    </w:p>
    <w:p w14:paraId="308A1749">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54E3522F">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14:paraId="4EE0DE89">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14:paraId="08C0241D">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72EAFA62">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7A01038F">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369118B9">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1C284175">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5B6E03EA">
      <w:pPr>
        <w:autoSpaceDE w:val="0"/>
        <w:autoSpaceDN w:val="0"/>
        <w:adjustRightInd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63D03301">
      <w:pPr>
        <w:autoSpaceDE w:val="0"/>
        <w:autoSpaceDN w:val="0"/>
        <w:adjustRightInd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7472C02B">
      <w:pPr>
        <w:autoSpaceDE w:val="0"/>
        <w:autoSpaceDN w:val="0"/>
        <w:adjustRightInd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4C709BB3">
      <w:pPr>
        <w:autoSpaceDE w:val="0"/>
        <w:autoSpaceDN w:val="0"/>
        <w:adjustRightInd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47F607E5">
      <w:pPr>
        <w:pStyle w:val="76"/>
        <w:spacing w:line="560" w:lineRule="exact"/>
        <w:ind w:firstLine="200"/>
        <w:jc w:val="center"/>
        <w:rPr>
          <w:rFonts w:hint="eastAsia" w:ascii="仿宋" w:hAnsi="仿宋" w:eastAsia="仿宋" w:cs="仿宋"/>
          <w:b/>
          <w:color w:val="auto"/>
          <w:szCs w:val="24"/>
        </w:rPr>
      </w:pPr>
    </w:p>
    <w:p w14:paraId="21018AC9">
      <w:pPr>
        <w:pStyle w:val="76"/>
        <w:spacing w:line="560" w:lineRule="exact"/>
        <w:ind w:firstLine="200"/>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14:paraId="48D94D29">
      <w:pPr>
        <w:spacing w:line="560" w:lineRule="exact"/>
        <w:ind w:firstLine="482" w:firstLineChars="200"/>
        <w:outlineLvl w:val="0"/>
        <w:rPr>
          <w:rFonts w:hint="eastAsia" w:ascii="仿宋" w:hAnsi="仿宋" w:eastAsia="仿宋" w:cs="仿宋"/>
          <w:b/>
          <w:color w:val="auto"/>
          <w:sz w:val="24"/>
        </w:rPr>
      </w:pPr>
      <w:bookmarkStart w:id="978" w:name="_Ref467378463"/>
      <w:bookmarkStart w:id="979" w:name="_Toc31297"/>
      <w:bookmarkStart w:id="980" w:name="_Ref467379205"/>
      <w:bookmarkStart w:id="981" w:name="_Ref467379195"/>
      <w:bookmarkStart w:id="982" w:name="_Toc26954"/>
      <w:bookmarkStart w:id="983" w:name="_Ref467379225"/>
      <w:bookmarkStart w:id="984" w:name="_Toc15818"/>
      <w:bookmarkStart w:id="985" w:name="_Ref467378404"/>
      <w:bookmarkStart w:id="986" w:name="_Toc5228"/>
      <w:bookmarkStart w:id="987" w:name="_Ref467378499"/>
      <w:bookmarkStart w:id="988" w:name="_Toc1956"/>
      <w:bookmarkStart w:id="989" w:name="_Ref467379214"/>
      <w:bookmarkStart w:id="990" w:name="_Toc279701240"/>
      <w:bookmarkStart w:id="991" w:name="_Toc11187"/>
      <w:bookmarkStart w:id="992" w:name="_Toc8424"/>
      <w:bookmarkStart w:id="993" w:name="_Toc5323"/>
      <w:bookmarkStart w:id="994" w:name="_Toc259093669"/>
      <w:bookmarkStart w:id="995" w:name="_Toc487900349"/>
      <w:bookmarkStart w:id="996" w:name="_Toc19680"/>
      <w:bookmarkStart w:id="997" w:name="_Toc14021"/>
      <w:bookmarkStart w:id="998" w:name="_Ref467379094"/>
      <w:bookmarkStart w:id="999" w:name="_Ref467379109"/>
      <w:bookmarkStart w:id="1000" w:name="_Toc25079"/>
      <w:bookmarkStart w:id="1001" w:name="_Ref467379101"/>
      <w:r>
        <w:rPr>
          <w:rFonts w:hint="eastAsia" w:ascii="仿宋" w:hAnsi="仿宋" w:eastAsia="仿宋" w:cs="仿宋"/>
          <w:b/>
          <w:color w:val="auto"/>
          <w:sz w:val="24"/>
        </w:rPr>
        <w:t>2.1 定义</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63D9C74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3EC4D98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14:paraId="1A7FC82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14:paraId="323CBE7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“服务”系指中标供应商根据合同约定应向采购人履行的除货物和工程以外的其他政府采购对象，包括采购人自身需要的服务和向社会公众提供的公共服务。</w:t>
      </w:r>
    </w:p>
    <w:p w14:paraId="732A6CDD">
      <w:pPr>
        <w:spacing w:line="560" w:lineRule="exact"/>
        <w:ind w:firstLine="480" w:firstLineChars="200"/>
        <w:rPr>
          <w:rFonts w:hint="eastAsia" w:ascii="仿宋" w:hAnsi="仿宋" w:eastAsia="仿宋" w:cs="仿宋"/>
          <w:color w:val="auto"/>
          <w:sz w:val="24"/>
        </w:rPr>
      </w:pPr>
      <w:bookmarkStart w:id="1002" w:name="_Ref467378840"/>
      <w:r>
        <w:rPr>
          <w:rFonts w:hint="eastAsia" w:ascii="仿宋" w:hAnsi="仿宋" w:eastAsia="仿宋" w:cs="仿宋"/>
          <w:color w:val="auto"/>
          <w:sz w:val="24"/>
        </w:rPr>
        <w:t>2.1.4 “甲方”系指与中标供应商签署合同的采购人</w:t>
      </w:r>
      <w:bookmarkEnd w:id="1002"/>
      <w:r>
        <w:rPr>
          <w:rFonts w:hint="eastAsia" w:ascii="仿宋" w:hAnsi="仿宋" w:eastAsia="仿宋" w:cs="仿宋"/>
          <w:color w:val="auto"/>
          <w:sz w:val="24"/>
        </w:rPr>
        <w:t>；采购人委托采购代理机构代表其与乙方签订合同的，采购人的授权委托书作为合同附件。</w:t>
      </w:r>
    </w:p>
    <w:p w14:paraId="469E4614">
      <w:pPr>
        <w:spacing w:line="560" w:lineRule="exact"/>
        <w:ind w:firstLine="480" w:firstLineChars="200"/>
        <w:rPr>
          <w:rFonts w:hint="eastAsia" w:ascii="仿宋" w:hAnsi="仿宋" w:eastAsia="仿宋" w:cs="仿宋"/>
          <w:color w:val="auto"/>
          <w:sz w:val="24"/>
        </w:rPr>
      </w:pPr>
      <w:bookmarkStart w:id="1003" w:name="_Ref467379400"/>
      <w:r>
        <w:rPr>
          <w:rFonts w:hint="eastAsia" w:ascii="仿宋" w:hAnsi="仿宋" w:eastAsia="仿宋" w:cs="仿宋"/>
          <w:color w:val="auto"/>
          <w:sz w:val="24"/>
        </w:rPr>
        <w:t>2.1.5 “乙方”系指根据合同约定提供服务的中标供应商</w:t>
      </w:r>
      <w:bookmarkEnd w:id="1003"/>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1110385">
      <w:pPr>
        <w:spacing w:line="560" w:lineRule="exact"/>
        <w:ind w:firstLine="480" w:firstLineChars="200"/>
        <w:rPr>
          <w:rFonts w:hint="eastAsia" w:ascii="仿宋" w:hAnsi="仿宋" w:eastAsia="仿宋" w:cs="仿宋"/>
          <w:color w:val="auto"/>
          <w:sz w:val="24"/>
        </w:rPr>
      </w:pPr>
      <w:bookmarkStart w:id="1004" w:name="_Ref467379436"/>
      <w:r>
        <w:rPr>
          <w:rFonts w:hint="eastAsia" w:ascii="仿宋" w:hAnsi="仿宋" w:eastAsia="仿宋" w:cs="仿宋"/>
          <w:color w:val="auto"/>
          <w:sz w:val="24"/>
        </w:rPr>
        <w:t>2.1.6 “现场”系指合同约定提供服务的地点。</w:t>
      </w:r>
      <w:bookmarkEnd w:id="1004"/>
    </w:p>
    <w:p w14:paraId="16A31E63">
      <w:pPr>
        <w:spacing w:line="560" w:lineRule="exact"/>
        <w:ind w:firstLine="482" w:firstLineChars="200"/>
        <w:outlineLvl w:val="0"/>
        <w:rPr>
          <w:rFonts w:hint="eastAsia" w:ascii="仿宋" w:hAnsi="仿宋" w:eastAsia="仿宋" w:cs="仿宋"/>
          <w:b/>
          <w:color w:val="auto"/>
          <w:sz w:val="24"/>
        </w:rPr>
      </w:pPr>
      <w:bookmarkStart w:id="1005" w:name="_Toc17575"/>
      <w:bookmarkStart w:id="1006" w:name="_Toc279701241"/>
      <w:bookmarkStart w:id="1007" w:name="_Toc23979"/>
      <w:bookmarkStart w:id="1008" w:name="_Toc23289"/>
      <w:bookmarkStart w:id="1009" w:name="_Toc16752"/>
      <w:bookmarkStart w:id="1010" w:name="_Toc19539"/>
      <w:bookmarkStart w:id="1011" w:name="_Toc10571"/>
      <w:bookmarkStart w:id="1012" w:name="_Toc14943"/>
      <w:bookmarkStart w:id="1013" w:name="_Toc9079"/>
      <w:bookmarkStart w:id="1014" w:name="_Toc3769"/>
      <w:bookmarkStart w:id="1015" w:name="_Toc487900350"/>
      <w:bookmarkStart w:id="1016" w:name="_Toc259093670"/>
      <w:bookmarkStart w:id="1017" w:name="_Toc31154"/>
      <w:bookmarkStart w:id="1018" w:name="_Toc31402"/>
      <w:r>
        <w:rPr>
          <w:rFonts w:hint="eastAsia" w:ascii="仿宋" w:hAnsi="仿宋" w:eastAsia="仿宋" w:cs="仿宋"/>
          <w:b/>
          <w:color w:val="auto"/>
          <w:sz w:val="24"/>
        </w:rPr>
        <w:t>2.2 技术规范</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22D6E3E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CD86E6C">
      <w:pPr>
        <w:spacing w:line="560" w:lineRule="exact"/>
        <w:ind w:firstLine="482" w:firstLineChars="200"/>
        <w:outlineLvl w:val="0"/>
        <w:rPr>
          <w:rFonts w:hint="eastAsia" w:ascii="仿宋" w:hAnsi="仿宋" w:eastAsia="仿宋" w:cs="仿宋"/>
          <w:b/>
          <w:color w:val="auto"/>
          <w:sz w:val="24"/>
        </w:rPr>
      </w:pPr>
      <w:bookmarkStart w:id="1019" w:name="_Toc14"/>
      <w:bookmarkStart w:id="1020" w:name="_Toc12412"/>
      <w:bookmarkStart w:id="1021" w:name="_Toc14932"/>
      <w:bookmarkStart w:id="1022" w:name="_Toc27945"/>
      <w:bookmarkStart w:id="1023" w:name="_Toc9161"/>
      <w:bookmarkStart w:id="1024" w:name="_Toc259093671"/>
      <w:bookmarkStart w:id="1025" w:name="_Toc696"/>
      <w:bookmarkStart w:id="1026" w:name="_Toc279701242"/>
      <w:bookmarkStart w:id="1027" w:name="_Toc4984"/>
      <w:bookmarkStart w:id="1028" w:name="_Toc10900"/>
      <w:bookmarkStart w:id="1029" w:name="_Toc4133"/>
      <w:bookmarkStart w:id="1030" w:name="_Toc13673"/>
      <w:bookmarkStart w:id="1031" w:name="_Toc487900351"/>
      <w:bookmarkStart w:id="1032" w:name="_Toc8693"/>
      <w:r>
        <w:rPr>
          <w:rFonts w:hint="eastAsia" w:ascii="仿宋" w:hAnsi="仿宋" w:eastAsia="仿宋" w:cs="仿宋"/>
          <w:b/>
          <w:color w:val="auto"/>
          <w:sz w:val="24"/>
        </w:rPr>
        <w:t>2.3 知识产权</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7B4D5A5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FBE370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CAA0E2C">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0D2AA568">
      <w:pPr>
        <w:spacing w:line="560" w:lineRule="exact"/>
        <w:ind w:firstLine="480" w:firstLineChars="200"/>
        <w:rPr>
          <w:rFonts w:hint="eastAsia" w:ascii="仿宋" w:hAnsi="仿宋" w:eastAsia="仿宋" w:cs="仿宋"/>
          <w:color w:val="auto"/>
          <w:sz w:val="24"/>
        </w:rPr>
      </w:pPr>
      <w:bookmarkStart w:id="1033" w:name="_Ref467379657"/>
      <w:r>
        <w:rPr>
          <w:rFonts w:hint="eastAsia" w:ascii="仿宋" w:hAnsi="仿宋" w:eastAsia="仿宋" w:cs="仿宋"/>
          <w:color w:val="auto"/>
          <w:sz w:val="24"/>
        </w:rPr>
        <w:t>2.4.1</w:t>
      </w:r>
      <w:bookmarkEnd w:id="1033"/>
      <w:bookmarkStart w:id="1034" w:name="_Toc186431854"/>
      <w:bookmarkStart w:id="1035" w:name="_Ref467379793"/>
      <w:bookmarkStart w:id="1036" w:name="_Toc279701247"/>
      <w:bookmarkStart w:id="1037" w:name="_Toc259093676"/>
      <w:bookmarkStart w:id="1038" w:name="_Ref467379807"/>
      <w:bookmarkStart w:id="1039" w:name="_Toc487900357"/>
      <w:r>
        <w:rPr>
          <w:rFonts w:hint="eastAsia" w:ascii="仿宋" w:hAnsi="仿宋" w:eastAsia="仿宋" w:cs="仿宋"/>
          <w:color w:val="auto"/>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302919C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bookmarkEnd w:id="1034"/>
      <w:bookmarkStart w:id="1040" w:name="_Toc186431855"/>
      <w:r>
        <w:rPr>
          <w:rFonts w:hint="eastAsia" w:ascii="仿宋" w:hAnsi="仿宋" w:eastAsia="仿宋" w:cs="仿宋"/>
          <w:color w:val="auto"/>
          <w:sz w:val="24"/>
        </w:rPr>
        <w:t>。</w:t>
      </w:r>
    </w:p>
    <w:bookmarkEnd w:id="1040"/>
    <w:p w14:paraId="3DEE9063">
      <w:pPr>
        <w:spacing w:line="560" w:lineRule="exact"/>
        <w:ind w:firstLine="482" w:firstLineChars="200"/>
        <w:outlineLvl w:val="0"/>
        <w:rPr>
          <w:rFonts w:hint="eastAsia" w:ascii="仿宋" w:hAnsi="仿宋" w:eastAsia="仿宋" w:cs="仿宋"/>
          <w:b/>
          <w:color w:val="auto"/>
          <w:sz w:val="24"/>
        </w:rPr>
      </w:pPr>
      <w:bookmarkStart w:id="1041" w:name="_Toc15447"/>
      <w:bookmarkStart w:id="1042" w:name="_Toc16883"/>
      <w:bookmarkStart w:id="1043" w:name="_Toc21550"/>
      <w:bookmarkStart w:id="1044" w:name="_Toc5289"/>
      <w:bookmarkStart w:id="1045" w:name="_Toc22011"/>
      <w:bookmarkStart w:id="1046" w:name="_Toc26555"/>
      <w:bookmarkStart w:id="1047" w:name="_Toc343"/>
      <w:bookmarkStart w:id="1048" w:name="_Toc31233"/>
      <w:bookmarkStart w:id="1049" w:name="_Toc29729"/>
      <w:bookmarkStart w:id="1050" w:name="_Toc22388"/>
      <w:r>
        <w:rPr>
          <w:rFonts w:hint="eastAsia" w:ascii="仿宋" w:hAnsi="仿宋" w:eastAsia="仿宋" w:cs="仿宋"/>
          <w:b/>
          <w:color w:val="auto"/>
          <w:sz w:val="24"/>
        </w:rPr>
        <w:t>2.5 结算方式和付款条件</w:t>
      </w:r>
      <w:bookmarkEnd w:id="1035"/>
      <w:bookmarkEnd w:id="1036"/>
      <w:bookmarkEnd w:id="1037"/>
      <w:bookmarkEnd w:id="1038"/>
      <w:bookmarkEnd w:id="1039"/>
      <w:bookmarkEnd w:id="1041"/>
      <w:bookmarkEnd w:id="1042"/>
      <w:bookmarkEnd w:id="1043"/>
      <w:bookmarkEnd w:id="1044"/>
      <w:bookmarkEnd w:id="1045"/>
      <w:bookmarkEnd w:id="1046"/>
      <w:bookmarkEnd w:id="1047"/>
      <w:bookmarkEnd w:id="1048"/>
      <w:bookmarkEnd w:id="1049"/>
      <w:bookmarkEnd w:id="1050"/>
    </w:p>
    <w:p w14:paraId="31650DE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1AA8E304">
      <w:pPr>
        <w:spacing w:line="560" w:lineRule="exact"/>
        <w:ind w:firstLine="482" w:firstLineChars="200"/>
        <w:outlineLvl w:val="0"/>
        <w:rPr>
          <w:rFonts w:hint="eastAsia" w:ascii="仿宋" w:hAnsi="仿宋" w:eastAsia="仿宋" w:cs="仿宋"/>
          <w:b/>
          <w:color w:val="auto"/>
          <w:sz w:val="24"/>
        </w:rPr>
      </w:pPr>
      <w:bookmarkStart w:id="1051" w:name="_Ref467379923"/>
      <w:bookmarkStart w:id="1052" w:name="_Toc487900358"/>
      <w:bookmarkStart w:id="1053" w:name="_Ref467379863"/>
      <w:bookmarkStart w:id="1054" w:name="_Toc259093677"/>
      <w:bookmarkStart w:id="1055" w:name="_Ref467379852"/>
      <w:bookmarkStart w:id="1056" w:name="_Toc279701248"/>
      <w:bookmarkStart w:id="1057" w:name="_Toc14819"/>
      <w:bookmarkStart w:id="1058" w:name="_Toc19900"/>
      <w:bookmarkStart w:id="1059" w:name="_Toc13253"/>
      <w:bookmarkStart w:id="1060" w:name="_Toc18990"/>
      <w:bookmarkStart w:id="1061" w:name="_Toc30507"/>
      <w:bookmarkStart w:id="1062" w:name="_Toc29111"/>
      <w:bookmarkStart w:id="1063" w:name="_Toc19887"/>
      <w:bookmarkStart w:id="1064" w:name="_Toc13154"/>
      <w:bookmarkStart w:id="1065" w:name="_Toc28362"/>
      <w:bookmarkStart w:id="1066" w:name="_Toc16163"/>
      <w:bookmarkStart w:id="1067" w:name="_Toc13467"/>
      <w:r>
        <w:rPr>
          <w:rFonts w:hint="eastAsia" w:ascii="仿宋" w:hAnsi="仿宋" w:eastAsia="仿宋" w:cs="仿宋"/>
          <w:b/>
          <w:color w:val="auto"/>
          <w:sz w:val="24"/>
        </w:rPr>
        <w:t>2.6 技术资料</w:t>
      </w:r>
      <w:bookmarkEnd w:id="1051"/>
      <w:bookmarkEnd w:id="1052"/>
      <w:bookmarkEnd w:id="1053"/>
      <w:bookmarkEnd w:id="1054"/>
      <w:bookmarkEnd w:id="1055"/>
      <w:bookmarkEnd w:id="1056"/>
      <w:r>
        <w:rPr>
          <w:rFonts w:hint="eastAsia" w:ascii="仿宋" w:hAnsi="仿宋" w:eastAsia="仿宋" w:cs="仿宋"/>
          <w:b/>
          <w:color w:val="auto"/>
          <w:sz w:val="24"/>
        </w:rPr>
        <w:t>和保密义务</w:t>
      </w:r>
      <w:bookmarkEnd w:id="1057"/>
      <w:bookmarkEnd w:id="1058"/>
      <w:bookmarkEnd w:id="1059"/>
      <w:bookmarkEnd w:id="1060"/>
      <w:bookmarkEnd w:id="1061"/>
      <w:bookmarkEnd w:id="1062"/>
      <w:bookmarkEnd w:id="1063"/>
      <w:bookmarkEnd w:id="1064"/>
      <w:bookmarkEnd w:id="1065"/>
      <w:bookmarkEnd w:id="1066"/>
      <w:bookmarkEnd w:id="1067"/>
    </w:p>
    <w:p w14:paraId="3DC41E4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44F3A1C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53302C7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A931CF8">
      <w:pPr>
        <w:spacing w:line="560" w:lineRule="exact"/>
        <w:ind w:firstLine="482" w:firstLineChars="200"/>
        <w:outlineLvl w:val="0"/>
        <w:rPr>
          <w:rFonts w:hint="eastAsia" w:ascii="仿宋" w:hAnsi="仿宋" w:eastAsia="仿宋" w:cs="仿宋"/>
          <w:b/>
          <w:color w:val="auto"/>
          <w:sz w:val="24"/>
        </w:rPr>
      </w:pPr>
      <w:bookmarkStart w:id="1068" w:name="_Toc19069"/>
      <w:bookmarkStart w:id="1069" w:name="_Toc16321"/>
      <w:bookmarkStart w:id="1070" w:name="_Toc7262"/>
      <w:bookmarkStart w:id="1071" w:name="_Toc29966"/>
      <w:bookmarkStart w:id="1072" w:name="_Toc24853"/>
      <w:bookmarkStart w:id="1073" w:name="_Toc24239"/>
      <w:bookmarkStart w:id="1074" w:name="_Toc27817"/>
      <w:bookmarkStart w:id="1075" w:name="_Toc279701252"/>
      <w:bookmarkStart w:id="1076" w:name="_Toc259093681"/>
      <w:bookmarkStart w:id="1077" w:name="_Toc487900362"/>
      <w:r>
        <w:rPr>
          <w:rFonts w:hint="eastAsia" w:ascii="仿宋" w:hAnsi="仿宋" w:eastAsia="仿宋" w:cs="仿宋"/>
          <w:b/>
          <w:color w:val="auto"/>
          <w:sz w:val="24"/>
        </w:rPr>
        <w:t>2.7 质量保证</w:t>
      </w:r>
      <w:bookmarkEnd w:id="1068"/>
      <w:bookmarkEnd w:id="1069"/>
      <w:bookmarkEnd w:id="1070"/>
      <w:bookmarkEnd w:id="1071"/>
      <w:bookmarkEnd w:id="1072"/>
      <w:bookmarkEnd w:id="1073"/>
      <w:bookmarkEnd w:id="1074"/>
    </w:p>
    <w:p w14:paraId="6B03B23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1BA4B20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1EDC2947">
      <w:pPr>
        <w:spacing w:line="560" w:lineRule="exact"/>
        <w:ind w:firstLine="482" w:firstLineChars="200"/>
        <w:outlineLvl w:val="0"/>
        <w:rPr>
          <w:rFonts w:hint="eastAsia" w:ascii="仿宋" w:hAnsi="仿宋" w:eastAsia="仿宋" w:cs="仿宋"/>
          <w:b/>
          <w:color w:val="auto"/>
          <w:sz w:val="24"/>
        </w:rPr>
      </w:pPr>
      <w:bookmarkStart w:id="1078" w:name="_Toc22267"/>
      <w:bookmarkStart w:id="1079" w:name="_Toc15251"/>
      <w:bookmarkStart w:id="1080" w:name="_Toc5117"/>
      <w:bookmarkStart w:id="1081" w:name="_Toc19612"/>
      <w:bookmarkStart w:id="1082" w:name="_Toc18767"/>
      <w:bookmarkStart w:id="1083" w:name="_Toc9815"/>
      <w:bookmarkStart w:id="1084" w:name="_Toc11513"/>
      <w:r>
        <w:rPr>
          <w:rFonts w:hint="eastAsia" w:ascii="仿宋" w:hAnsi="仿宋" w:eastAsia="仿宋" w:cs="仿宋"/>
          <w:b/>
          <w:color w:val="auto"/>
          <w:sz w:val="24"/>
        </w:rPr>
        <w:t>2.8 延迟</w:t>
      </w:r>
      <w:bookmarkEnd w:id="1075"/>
      <w:bookmarkEnd w:id="1076"/>
      <w:bookmarkEnd w:id="1077"/>
      <w:r>
        <w:rPr>
          <w:rFonts w:hint="eastAsia" w:ascii="仿宋" w:hAnsi="仿宋" w:eastAsia="仿宋" w:cs="仿宋"/>
          <w:b/>
          <w:color w:val="auto"/>
          <w:sz w:val="24"/>
        </w:rPr>
        <w:t>履行</w:t>
      </w:r>
      <w:bookmarkEnd w:id="1078"/>
      <w:bookmarkEnd w:id="1079"/>
      <w:bookmarkEnd w:id="1080"/>
      <w:bookmarkEnd w:id="1081"/>
      <w:bookmarkEnd w:id="1082"/>
      <w:bookmarkEnd w:id="1083"/>
      <w:bookmarkEnd w:id="1084"/>
    </w:p>
    <w:p w14:paraId="40BBAC7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A4E471F">
      <w:pPr>
        <w:spacing w:line="560" w:lineRule="exact"/>
        <w:ind w:firstLine="482" w:firstLineChars="200"/>
        <w:outlineLvl w:val="0"/>
        <w:rPr>
          <w:rFonts w:hint="eastAsia" w:ascii="仿宋" w:hAnsi="仿宋" w:eastAsia="仿宋" w:cs="仿宋"/>
          <w:b/>
          <w:color w:val="auto"/>
          <w:sz w:val="24"/>
        </w:rPr>
      </w:pPr>
      <w:bookmarkStart w:id="1085" w:name="_Toc30341"/>
      <w:bookmarkStart w:id="1086" w:name="_Toc10186"/>
      <w:bookmarkStart w:id="1087" w:name="_Toc10482"/>
      <w:bookmarkStart w:id="1088" w:name="_Toc10611"/>
      <w:bookmarkStart w:id="1089" w:name="_Toc1497"/>
      <w:bookmarkStart w:id="1090" w:name="_Toc7169"/>
      <w:bookmarkStart w:id="1091" w:name="_Toc7148"/>
      <w:bookmarkStart w:id="1092" w:name="_Toc279701254"/>
      <w:bookmarkStart w:id="1093" w:name="_Toc259093683"/>
      <w:bookmarkStart w:id="1094" w:name="_Ref467378121"/>
      <w:bookmarkStart w:id="1095" w:name="_Toc487900364"/>
      <w:r>
        <w:rPr>
          <w:rFonts w:hint="eastAsia" w:ascii="仿宋" w:hAnsi="仿宋" w:eastAsia="仿宋" w:cs="仿宋"/>
          <w:b/>
          <w:color w:val="auto"/>
          <w:sz w:val="24"/>
        </w:rPr>
        <w:t>2.9 合同变更</w:t>
      </w:r>
      <w:bookmarkEnd w:id="1085"/>
      <w:bookmarkEnd w:id="1086"/>
      <w:bookmarkEnd w:id="1087"/>
      <w:bookmarkEnd w:id="1088"/>
      <w:bookmarkEnd w:id="1089"/>
      <w:bookmarkEnd w:id="1090"/>
      <w:bookmarkEnd w:id="1091"/>
    </w:p>
    <w:p w14:paraId="2153045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41F7E31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2.9.2 合同继续履行将损害国家利益和社会公共利益的，双方当事人应当以书面形式变更合同。有过错的一方应当承担赔偿责任，双方当事人都有过错的，各自承担相应的责任。</w:t>
      </w:r>
      <w:bookmarkStart w:id="1096" w:name="_Toc279701259"/>
      <w:bookmarkStart w:id="1097" w:name="_Toc259093688"/>
      <w:bookmarkStart w:id="1098" w:name="_Toc487900369"/>
    </w:p>
    <w:p w14:paraId="56213B16">
      <w:pPr>
        <w:spacing w:line="560" w:lineRule="exact"/>
        <w:ind w:firstLine="482" w:firstLineChars="200"/>
        <w:outlineLvl w:val="0"/>
        <w:rPr>
          <w:rFonts w:hint="eastAsia" w:ascii="仿宋" w:hAnsi="仿宋" w:eastAsia="仿宋" w:cs="仿宋"/>
          <w:b/>
          <w:color w:val="auto"/>
          <w:sz w:val="24"/>
        </w:rPr>
      </w:pPr>
      <w:bookmarkStart w:id="1099" w:name="_Toc1722"/>
      <w:bookmarkStart w:id="1100" w:name="_Toc23368"/>
      <w:bookmarkStart w:id="1101" w:name="_Toc21830"/>
      <w:bookmarkStart w:id="1102" w:name="_Toc42"/>
      <w:bookmarkStart w:id="1103" w:name="_Toc442"/>
      <w:bookmarkStart w:id="1104" w:name="_Toc9728"/>
      <w:bookmarkStart w:id="1105" w:name="_Toc22540"/>
      <w:bookmarkStart w:id="1106" w:name="_Toc2971"/>
      <w:bookmarkStart w:id="1107" w:name="_Toc10663"/>
      <w:bookmarkStart w:id="1108" w:name="_Toc26689"/>
      <w:bookmarkStart w:id="1109" w:name="_Toc22713"/>
      <w:r>
        <w:rPr>
          <w:rFonts w:hint="eastAsia" w:ascii="仿宋" w:hAnsi="仿宋" w:eastAsia="仿宋" w:cs="仿宋"/>
          <w:b/>
          <w:color w:val="auto"/>
          <w:sz w:val="24"/>
        </w:rPr>
        <w:t>2.10 合同转让</w:t>
      </w:r>
      <w:bookmarkEnd w:id="1096"/>
      <w:bookmarkEnd w:id="1097"/>
      <w:bookmarkEnd w:id="1098"/>
      <w:r>
        <w:rPr>
          <w:rFonts w:hint="eastAsia" w:ascii="仿宋" w:hAnsi="仿宋" w:eastAsia="仿宋" w:cs="仿宋"/>
          <w:b/>
          <w:color w:val="auto"/>
          <w:sz w:val="24"/>
        </w:rPr>
        <w:t>和分包</w:t>
      </w:r>
      <w:bookmarkEnd w:id="1099"/>
      <w:bookmarkEnd w:id="1100"/>
      <w:bookmarkEnd w:id="1101"/>
      <w:bookmarkEnd w:id="1102"/>
      <w:bookmarkEnd w:id="1103"/>
      <w:bookmarkEnd w:id="1104"/>
      <w:bookmarkEnd w:id="1105"/>
      <w:bookmarkEnd w:id="1106"/>
      <w:bookmarkEnd w:id="1107"/>
      <w:bookmarkEnd w:id="1108"/>
      <w:bookmarkEnd w:id="1109"/>
    </w:p>
    <w:p w14:paraId="5A85098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3E19C18">
      <w:pPr>
        <w:spacing w:line="560" w:lineRule="exact"/>
        <w:ind w:firstLine="482" w:firstLineChars="200"/>
        <w:outlineLvl w:val="0"/>
        <w:rPr>
          <w:rFonts w:hint="eastAsia" w:ascii="仿宋" w:hAnsi="仿宋" w:eastAsia="仿宋" w:cs="仿宋"/>
          <w:b/>
          <w:color w:val="auto"/>
          <w:sz w:val="24"/>
        </w:rPr>
      </w:pPr>
      <w:bookmarkStart w:id="1110" w:name="_Toc28842"/>
      <w:bookmarkStart w:id="1111" w:name="_Toc20017"/>
      <w:bookmarkStart w:id="1112" w:name="_Toc689"/>
      <w:bookmarkStart w:id="1113" w:name="_Toc18171"/>
      <w:bookmarkStart w:id="1114" w:name="_Toc26633"/>
      <w:bookmarkStart w:id="1115" w:name="_Toc4720"/>
      <w:bookmarkStart w:id="1116" w:name="_Toc25571"/>
      <w:bookmarkStart w:id="1117" w:name="_Toc32494"/>
      <w:bookmarkStart w:id="1118" w:name="_Toc14371"/>
      <w:bookmarkStart w:id="1119" w:name="_Toc5598"/>
      <w:bookmarkStart w:id="1120" w:name="_Toc20559"/>
      <w:r>
        <w:rPr>
          <w:rFonts w:hint="eastAsia" w:ascii="仿宋" w:hAnsi="仿宋" w:eastAsia="仿宋" w:cs="仿宋"/>
          <w:b/>
          <w:color w:val="auto"/>
          <w:sz w:val="24"/>
        </w:rPr>
        <w:t>2.11 不可抗力</w:t>
      </w:r>
      <w:bookmarkEnd w:id="1110"/>
      <w:bookmarkEnd w:id="1111"/>
      <w:bookmarkEnd w:id="1112"/>
      <w:bookmarkEnd w:id="1113"/>
      <w:bookmarkEnd w:id="1114"/>
      <w:bookmarkEnd w:id="1115"/>
      <w:bookmarkEnd w:id="1116"/>
      <w:bookmarkEnd w:id="1117"/>
      <w:bookmarkEnd w:id="1118"/>
      <w:bookmarkEnd w:id="1119"/>
      <w:bookmarkEnd w:id="1120"/>
    </w:p>
    <w:p w14:paraId="486D8AC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0E0BB66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0368DAE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798AF55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1CC368B3">
      <w:pPr>
        <w:spacing w:line="560" w:lineRule="exact"/>
        <w:ind w:firstLine="482" w:firstLineChars="200"/>
        <w:outlineLvl w:val="0"/>
        <w:rPr>
          <w:rFonts w:hint="eastAsia" w:ascii="仿宋" w:hAnsi="仿宋" w:eastAsia="仿宋" w:cs="仿宋"/>
          <w:b/>
          <w:color w:val="auto"/>
          <w:sz w:val="24"/>
        </w:rPr>
      </w:pPr>
      <w:bookmarkStart w:id="1121" w:name="_Toc1224"/>
      <w:bookmarkStart w:id="1122" w:name="_Toc11689"/>
      <w:bookmarkStart w:id="1123" w:name="_Toc10072"/>
      <w:bookmarkStart w:id="1124" w:name="_Toc259093684"/>
      <w:bookmarkStart w:id="1125" w:name="_Toc279701255"/>
      <w:bookmarkStart w:id="1126" w:name="_Toc25783"/>
      <w:bookmarkStart w:id="1127" w:name="_Toc11571"/>
      <w:bookmarkStart w:id="1128" w:name="_Toc3638"/>
      <w:bookmarkStart w:id="1129" w:name="_Toc11156"/>
      <w:bookmarkStart w:id="1130" w:name="_Toc23854"/>
      <w:bookmarkStart w:id="1131" w:name="_Toc24465"/>
      <w:bookmarkStart w:id="1132" w:name="_Toc10221"/>
      <w:bookmarkStart w:id="1133" w:name="_Toc487900365"/>
      <w:bookmarkStart w:id="1134" w:name="_Toc14115"/>
      <w:r>
        <w:rPr>
          <w:rFonts w:hint="eastAsia" w:ascii="仿宋" w:hAnsi="仿宋" w:eastAsia="仿宋" w:cs="仿宋"/>
          <w:b/>
          <w:color w:val="auto"/>
          <w:sz w:val="24"/>
        </w:rPr>
        <w:t>2.12 税费</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14:paraId="26596CA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4941FC75">
      <w:pPr>
        <w:spacing w:line="560" w:lineRule="exact"/>
        <w:ind w:firstLine="482" w:firstLineChars="200"/>
        <w:outlineLvl w:val="0"/>
        <w:rPr>
          <w:rFonts w:hint="eastAsia" w:ascii="仿宋" w:hAnsi="仿宋" w:eastAsia="仿宋" w:cs="仿宋"/>
          <w:b/>
          <w:color w:val="auto"/>
          <w:sz w:val="24"/>
        </w:rPr>
      </w:pPr>
      <w:bookmarkStart w:id="1135" w:name="_Toc30105"/>
      <w:bookmarkStart w:id="1136" w:name="_Toc15110"/>
      <w:bookmarkStart w:id="1137" w:name="_Toc7315"/>
      <w:bookmarkStart w:id="1138" w:name="_Toc29913"/>
      <w:bookmarkStart w:id="1139" w:name="_Toc25525"/>
      <w:bookmarkStart w:id="1140" w:name="_Toc3416"/>
      <w:bookmarkStart w:id="1141" w:name="_Toc279701258"/>
      <w:bookmarkStart w:id="1142" w:name="_Toc487900368"/>
      <w:bookmarkStart w:id="1143" w:name="_Toc259093687"/>
      <w:bookmarkStart w:id="1144" w:name="_Toc26690"/>
      <w:bookmarkStart w:id="1145" w:name="_Toc21182"/>
      <w:bookmarkStart w:id="1146" w:name="_Toc22803"/>
      <w:bookmarkStart w:id="1147" w:name="_Toc14814"/>
      <w:bookmarkStart w:id="1148" w:name="_Toc26883"/>
      <w:r>
        <w:rPr>
          <w:rFonts w:hint="eastAsia" w:ascii="仿宋" w:hAnsi="仿宋" w:eastAsia="仿宋" w:cs="仿宋"/>
          <w:b/>
          <w:color w:val="auto"/>
          <w:sz w:val="24"/>
        </w:rPr>
        <w:t>2.13 乙方破产</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14:paraId="24DA13D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0BD017">
      <w:pPr>
        <w:spacing w:line="560" w:lineRule="exact"/>
        <w:ind w:firstLine="482" w:firstLineChars="200"/>
        <w:outlineLvl w:val="0"/>
        <w:rPr>
          <w:rFonts w:hint="eastAsia" w:ascii="仿宋" w:hAnsi="仿宋" w:eastAsia="仿宋" w:cs="仿宋"/>
          <w:b/>
          <w:color w:val="auto"/>
          <w:sz w:val="24"/>
        </w:rPr>
      </w:pPr>
      <w:bookmarkStart w:id="1149" w:name="_Toc18197"/>
      <w:bookmarkStart w:id="1150" w:name="_Toc16371"/>
      <w:bookmarkStart w:id="1151" w:name="_Toc24088"/>
      <w:bookmarkStart w:id="1152" w:name="_Toc25051"/>
      <w:bookmarkStart w:id="1153" w:name="_Toc1123"/>
      <w:bookmarkStart w:id="1154" w:name="_Toc23323"/>
      <w:bookmarkStart w:id="1155" w:name="_Toc31651"/>
      <w:bookmarkStart w:id="1156" w:name="_Toc13285"/>
      <w:bookmarkStart w:id="1157" w:name="_Toc2016"/>
      <w:r>
        <w:rPr>
          <w:rFonts w:hint="eastAsia" w:ascii="仿宋" w:hAnsi="仿宋" w:eastAsia="仿宋" w:cs="仿宋"/>
          <w:b/>
          <w:color w:val="auto"/>
          <w:sz w:val="24"/>
        </w:rPr>
        <w:t>2.14 合同中止、终止</w:t>
      </w:r>
      <w:bookmarkEnd w:id="1149"/>
      <w:bookmarkEnd w:id="1150"/>
      <w:bookmarkEnd w:id="1151"/>
      <w:bookmarkEnd w:id="1152"/>
      <w:bookmarkEnd w:id="1153"/>
      <w:bookmarkEnd w:id="1154"/>
      <w:bookmarkEnd w:id="1155"/>
      <w:bookmarkEnd w:id="1156"/>
      <w:bookmarkEnd w:id="1157"/>
    </w:p>
    <w:p w14:paraId="6159DC7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12D7EBC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0DD2ECB1">
      <w:pPr>
        <w:spacing w:line="560" w:lineRule="exact"/>
        <w:ind w:firstLine="482" w:firstLineChars="200"/>
        <w:outlineLvl w:val="0"/>
        <w:rPr>
          <w:rFonts w:hint="eastAsia" w:ascii="仿宋" w:hAnsi="仿宋" w:eastAsia="仿宋" w:cs="仿宋"/>
          <w:b/>
          <w:color w:val="auto"/>
          <w:sz w:val="24"/>
        </w:rPr>
      </w:pPr>
      <w:bookmarkStart w:id="1158" w:name="_Toc18644"/>
      <w:bookmarkStart w:id="1159" w:name="_Toc3917"/>
      <w:bookmarkStart w:id="1160" w:name="_Toc15098"/>
      <w:bookmarkStart w:id="1161" w:name="_Toc31668"/>
      <w:bookmarkStart w:id="1162" w:name="_Toc17363"/>
      <w:bookmarkStart w:id="1163" w:name="_Toc14525"/>
      <w:bookmarkStart w:id="1164" w:name="_Toc27212"/>
      <w:bookmarkStart w:id="1165" w:name="_Toc1969"/>
      <w:r>
        <w:rPr>
          <w:rFonts w:hint="eastAsia" w:ascii="仿宋" w:hAnsi="仿宋" w:eastAsia="仿宋" w:cs="仿宋"/>
          <w:b/>
          <w:color w:val="auto"/>
          <w:sz w:val="24"/>
        </w:rPr>
        <w:t>2.15 检验和验收</w:t>
      </w:r>
      <w:bookmarkEnd w:id="1158"/>
      <w:bookmarkEnd w:id="1159"/>
      <w:bookmarkEnd w:id="1160"/>
      <w:bookmarkEnd w:id="1161"/>
      <w:bookmarkEnd w:id="1162"/>
      <w:bookmarkEnd w:id="1163"/>
      <w:bookmarkEnd w:id="1164"/>
      <w:bookmarkEnd w:id="1165"/>
    </w:p>
    <w:p w14:paraId="27FE196F">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5517A05F">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AD3EFF1">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1092"/>
    <w:bookmarkEnd w:id="1093"/>
    <w:bookmarkEnd w:id="1094"/>
    <w:bookmarkEnd w:id="1095"/>
    <w:p w14:paraId="1BCC45FB">
      <w:pPr>
        <w:spacing w:line="560" w:lineRule="exact"/>
        <w:ind w:firstLine="482" w:firstLineChars="200"/>
        <w:outlineLvl w:val="0"/>
        <w:rPr>
          <w:rFonts w:hint="eastAsia" w:ascii="仿宋" w:hAnsi="仿宋" w:eastAsia="仿宋" w:cs="仿宋"/>
          <w:b/>
          <w:color w:val="auto"/>
          <w:sz w:val="24"/>
        </w:rPr>
      </w:pPr>
      <w:bookmarkStart w:id="1166" w:name="_Toc487900371"/>
      <w:bookmarkStart w:id="1167" w:name="_Toc279701261"/>
      <w:bookmarkStart w:id="1168" w:name="_Toc259093690"/>
      <w:bookmarkStart w:id="1169" w:name="_Toc20308"/>
      <w:bookmarkStart w:id="1170" w:name="_Toc9808"/>
      <w:bookmarkStart w:id="1171" w:name="_Toc2703"/>
      <w:bookmarkStart w:id="1172" w:name="_Toc24951"/>
      <w:bookmarkStart w:id="1173" w:name="_Toc12940"/>
      <w:bookmarkStart w:id="1174" w:name="_Toc12666"/>
      <w:bookmarkStart w:id="1175" w:name="_Toc25198"/>
      <w:bookmarkStart w:id="1176" w:name="_Toc31892"/>
      <w:bookmarkStart w:id="1177" w:name="_Toc2308"/>
      <w:bookmarkStart w:id="1178" w:name="_Toc13066"/>
      <w:bookmarkStart w:id="1179" w:name="_Toc9228"/>
      <w:r>
        <w:rPr>
          <w:rFonts w:hint="eastAsia" w:ascii="仿宋" w:hAnsi="仿宋" w:eastAsia="仿宋" w:cs="仿宋"/>
          <w:b/>
          <w:color w:val="auto"/>
          <w:sz w:val="24"/>
        </w:rPr>
        <w:t>2.16 通知</w:t>
      </w:r>
      <w:bookmarkEnd w:id="1166"/>
      <w:bookmarkEnd w:id="1167"/>
      <w:bookmarkEnd w:id="1168"/>
      <w:r>
        <w:rPr>
          <w:rFonts w:hint="eastAsia" w:ascii="仿宋" w:hAnsi="仿宋" w:eastAsia="仿宋" w:cs="仿宋"/>
          <w:b/>
          <w:color w:val="auto"/>
          <w:sz w:val="24"/>
        </w:rPr>
        <w:t>和送达</w:t>
      </w:r>
      <w:bookmarkEnd w:id="1169"/>
      <w:bookmarkEnd w:id="1170"/>
      <w:bookmarkEnd w:id="1171"/>
      <w:bookmarkEnd w:id="1172"/>
      <w:bookmarkEnd w:id="1173"/>
      <w:bookmarkEnd w:id="1174"/>
      <w:bookmarkEnd w:id="1175"/>
      <w:bookmarkEnd w:id="1176"/>
      <w:bookmarkEnd w:id="1177"/>
      <w:bookmarkEnd w:id="1178"/>
      <w:bookmarkEnd w:id="1179"/>
    </w:p>
    <w:p w14:paraId="2B4AED8E">
      <w:pPr>
        <w:spacing w:line="560" w:lineRule="exact"/>
        <w:ind w:firstLine="480" w:firstLineChars="200"/>
        <w:rPr>
          <w:rFonts w:hint="eastAsia" w:ascii="仿宋" w:hAnsi="仿宋" w:eastAsia="仿宋" w:cs="仿宋"/>
          <w:color w:val="auto"/>
          <w:sz w:val="24"/>
        </w:rPr>
      </w:pPr>
      <w:bookmarkStart w:id="1180" w:name="_Toc7073"/>
      <w:bookmarkStart w:id="1181" w:name="_Toc487900372"/>
      <w:bookmarkStart w:id="1182" w:name="_Toc279701262"/>
      <w:bookmarkStart w:id="1183" w:name="_Toc259093691"/>
      <w:r>
        <w:rPr>
          <w:rFonts w:hint="eastAsia" w:ascii="仿宋" w:hAnsi="仿宋" w:eastAsia="仿宋" w:cs="仿宋"/>
          <w:color w:val="auto"/>
          <w:sz w:val="24"/>
        </w:rPr>
        <w:t>2.16.1 任何一方因履行合同而以合同第一部分尾部所列明的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 xml:space="preserve">   </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1180"/>
    </w:p>
    <w:p w14:paraId="697B0C3E">
      <w:pPr>
        <w:spacing w:line="560" w:lineRule="exact"/>
        <w:ind w:firstLine="480" w:firstLineChars="200"/>
        <w:rPr>
          <w:rFonts w:hint="eastAsia" w:ascii="仿宋" w:hAnsi="仿宋" w:eastAsia="仿宋" w:cs="仿宋"/>
          <w:color w:val="auto"/>
          <w:sz w:val="24"/>
        </w:rPr>
      </w:pPr>
      <w:bookmarkStart w:id="1184" w:name="_Toc27674"/>
      <w:bookmarkStart w:id="1185" w:name="_Toc18401"/>
      <w:r>
        <w:rPr>
          <w:rFonts w:hint="eastAsia" w:ascii="仿宋" w:hAnsi="仿宋" w:eastAsia="仿宋" w:cs="仿宋"/>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184"/>
      <w:bookmarkEnd w:id="1185"/>
    </w:p>
    <w:bookmarkEnd w:id="1181"/>
    <w:bookmarkEnd w:id="1182"/>
    <w:bookmarkEnd w:id="1183"/>
    <w:p w14:paraId="2A696201">
      <w:pPr>
        <w:spacing w:line="560" w:lineRule="exact"/>
        <w:ind w:firstLine="482" w:firstLineChars="200"/>
        <w:outlineLvl w:val="0"/>
        <w:rPr>
          <w:rFonts w:hint="eastAsia" w:ascii="仿宋" w:hAnsi="仿宋" w:eastAsia="仿宋" w:cs="仿宋"/>
          <w:b/>
          <w:color w:val="auto"/>
          <w:sz w:val="24"/>
        </w:rPr>
      </w:pPr>
      <w:bookmarkStart w:id="1186" w:name="_Toc487900373"/>
      <w:bookmarkStart w:id="1187" w:name="_Toc259093692"/>
      <w:bookmarkStart w:id="1188" w:name="_Toc5063"/>
      <w:bookmarkStart w:id="1189" w:name="_Toc20808"/>
      <w:bookmarkStart w:id="1190" w:name="_Toc12254"/>
      <w:bookmarkStart w:id="1191" w:name="_Toc14918"/>
      <w:bookmarkStart w:id="1192" w:name="_Toc11000"/>
      <w:bookmarkStart w:id="1193" w:name="_Toc279701263"/>
      <w:bookmarkStart w:id="1194" w:name="_Toc5955"/>
      <w:bookmarkStart w:id="1195" w:name="_Toc156"/>
      <w:bookmarkStart w:id="1196" w:name="_Toc22999"/>
      <w:bookmarkStart w:id="1197" w:name="_Toc27644"/>
      <w:bookmarkStart w:id="1198" w:name="_Toc30546"/>
      <w:bookmarkStart w:id="1199" w:name="_Toc28906"/>
      <w:r>
        <w:rPr>
          <w:rFonts w:hint="eastAsia" w:ascii="仿宋" w:hAnsi="仿宋" w:eastAsia="仿宋" w:cs="仿宋"/>
          <w:b/>
          <w:color w:val="auto"/>
          <w:sz w:val="24"/>
        </w:rPr>
        <w:t>2.17 合同使用的文字和适用的法律</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14:paraId="2D0801E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6FE3E3A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1A319ACF">
      <w:pPr>
        <w:spacing w:line="560" w:lineRule="exact"/>
        <w:ind w:firstLine="482" w:firstLineChars="200"/>
        <w:outlineLvl w:val="0"/>
        <w:rPr>
          <w:rFonts w:hint="eastAsia" w:ascii="仿宋" w:hAnsi="仿宋" w:eastAsia="仿宋" w:cs="仿宋"/>
          <w:b/>
          <w:color w:val="auto"/>
          <w:sz w:val="24"/>
        </w:rPr>
      </w:pPr>
      <w:bookmarkStart w:id="1200" w:name="_Toc18984"/>
      <w:bookmarkStart w:id="1201" w:name="_Toc24100"/>
      <w:bookmarkStart w:id="1202" w:name="_Toc259093693"/>
      <w:bookmarkStart w:id="1203" w:name="_Toc27403"/>
      <w:bookmarkStart w:id="1204" w:name="_Toc27127"/>
      <w:bookmarkStart w:id="1205" w:name="_Toc22266"/>
      <w:bookmarkStart w:id="1206" w:name="_Toc11599"/>
      <w:bookmarkStart w:id="1207" w:name="_Toc19789"/>
      <w:bookmarkStart w:id="1208" w:name="_Toc30096"/>
      <w:bookmarkStart w:id="1209" w:name="_Toc26509"/>
      <w:bookmarkStart w:id="1210" w:name="_Toc1492"/>
      <w:bookmarkStart w:id="1211" w:name="_Toc10590"/>
      <w:bookmarkStart w:id="1212" w:name="_Toc279701264"/>
      <w:bookmarkStart w:id="1213" w:name="_Toc487900374"/>
      <w:r>
        <w:rPr>
          <w:rFonts w:hint="eastAsia" w:ascii="仿宋" w:hAnsi="仿宋" w:eastAsia="仿宋" w:cs="仿宋"/>
          <w:b/>
          <w:color w:val="auto"/>
          <w:sz w:val="24"/>
        </w:rPr>
        <w:t>2.18 履约保证金</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14:paraId="0031758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2.18.1 采购文件要求乙方提交履约保证金的，乙方应按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约定的方式，以支票、汇票、本票或者金融机构、担保机构出具的保函等非现金形式，提交不超过合同价</w:t>
      </w:r>
      <w:r>
        <w:rPr>
          <w:rFonts w:hint="eastAsia" w:ascii="仿宋" w:hAnsi="仿宋" w:eastAsia="仿宋" w:cs="仿宋"/>
          <w:color w:val="auto"/>
          <w:sz w:val="24"/>
          <w:lang w:val="en-US" w:eastAsia="zh-CN"/>
        </w:rPr>
        <w:t>5</w:t>
      </w:r>
      <w:r>
        <w:rPr>
          <w:rFonts w:hint="eastAsia" w:ascii="仿宋" w:hAnsi="仿宋" w:eastAsia="仿宋" w:cs="仿宋"/>
          <w:color w:val="auto"/>
          <w:sz w:val="24"/>
        </w:rPr>
        <w:t>%的履约保证金；</w:t>
      </w:r>
    </w:p>
    <w:p w14:paraId="3F0A1C0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2.18.2 履约保证金在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约定期间内不予退还或者应完全有效，前述约定期间届满之日起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个工作日内，甲方应将履约保证金退还乙方；</w:t>
      </w:r>
    </w:p>
    <w:p w14:paraId="25BAD11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213"/>
    <w:p w14:paraId="61E942DB">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 合同份数</w:t>
      </w:r>
    </w:p>
    <w:p w14:paraId="097DD4C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317207EA">
      <w:pPr>
        <w:pStyle w:val="76"/>
        <w:spacing w:line="560" w:lineRule="exact"/>
        <w:ind w:firstLine="0"/>
        <w:jc w:val="center"/>
        <w:rPr>
          <w:rFonts w:hint="eastAsia" w:ascii="仿宋" w:hAnsi="仿宋" w:eastAsia="仿宋" w:cs="仿宋"/>
          <w:b/>
          <w:color w:val="auto"/>
          <w:szCs w:val="24"/>
        </w:rPr>
      </w:pPr>
      <w:r>
        <w:rPr>
          <w:rFonts w:hint="eastAsia" w:ascii="仿宋" w:hAnsi="仿宋" w:eastAsia="仿宋" w:cs="仿宋"/>
          <w:color w:val="auto"/>
          <w:szCs w:val="24"/>
        </w:rPr>
        <w:br w:type="page"/>
      </w:r>
      <w:bookmarkStart w:id="1214" w:name="_Toc331685784"/>
      <w:r>
        <w:rPr>
          <w:rFonts w:hint="eastAsia" w:ascii="仿宋" w:hAnsi="仿宋" w:eastAsia="仿宋" w:cs="仿宋"/>
          <w:b/>
          <w:color w:val="auto"/>
          <w:szCs w:val="24"/>
        </w:rPr>
        <w:t>第三部分  合同专用条款</w:t>
      </w:r>
      <w:bookmarkEnd w:id="1214"/>
    </w:p>
    <w:p w14:paraId="201630A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34CC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65DFAA4B">
            <w:pPr>
              <w:spacing w:line="560" w:lineRule="exact"/>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7633" w:type="dxa"/>
            <w:noWrap w:val="0"/>
            <w:vAlign w:val="center"/>
          </w:tcPr>
          <w:p w14:paraId="02A3ADE9">
            <w:pPr>
              <w:spacing w:line="560" w:lineRule="exact"/>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171AB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05695BA0">
            <w:pPr>
              <w:spacing w:line="560" w:lineRule="exact"/>
              <w:rPr>
                <w:rFonts w:hint="eastAsia" w:ascii="仿宋" w:hAnsi="仿宋" w:eastAsia="仿宋" w:cs="仿宋"/>
                <w:color w:val="auto"/>
                <w:sz w:val="24"/>
              </w:rPr>
            </w:pPr>
          </w:p>
        </w:tc>
        <w:tc>
          <w:tcPr>
            <w:tcW w:w="7633" w:type="dxa"/>
            <w:noWrap w:val="0"/>
            <w:vAlign w:val="center"/>
          </w:tcPr>
          <w:p w14:paraId="55E1F0AA">
            <w:pPr>
              <w:spacing w:line="560" w:lineRule="exact"/>
              <w:rPr>
                <w:rFonts w:hint="eastAsia" w:ascii="仿宋" w:hAnsi="仿宋" w:eastAsia="仿宋" w:cs="仿宋"/>
                <w:color w:val="auto"/>
                <w:sz w:val="24"/>
              </w:rPr>
            </w:pPr>
          </w:p>
        </w:tc>
      </w:tr>
      <w:tr w14:paraId="405DB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C647A90">
            <w:pPr>
              <w:spacing w:line="560" w:lineRule="exact"/>
              <w:rPr>
                <w:rFonts w:hint="eastAsia" w:ascii="仿宋" w:hAnsi="仿宋" w:eastAsia="仿宋" w:cs="仿宋"/>
                <w:color w:val="auto"/>
                <w:sz w:val="24"/>
              </w:rPr>
            </w:pPr>
          </w:p>
        </w:tc>
        <w:tc>
          <w:tcPr>
            <w:tcW w:w="7633" w:type="dxa"/>
            <w:noWrap w:val="0"/>
            <w:vAlign w:val="center"/>
          </w:tcPr>
          <w:p w14:paraId="6576133E">
            <w:pPr>
              <w:spacing w:line="560" w:lineRule="exact"/>
              <w:rPr>
                <w:rFonts w:hint="eastAsia" w:ascii="仿宋" w:hAnsi="仿宋" w:eastAsia="仿宋" w:cs="仿宋"/>
                <w:color w:val="auto"/>
                <w:sz w:val="24"/>
              </w:rPr>
            </w:pPr>
          </w:p>
        </w:tc>
      </w:tr>
      <w:tr w14:paraId="08497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3C17ACF">
            <w:pPr>
              <w:spacing w:line="560" w:lineRule="exact"/>
              <w:rPr>
                <w:rFonts w:hint="eastAsia" w:ascii="仿宋" w:hAnsi="仿宋" w:eastAsia="仿宋" w:cs="仿宋"/>
                <w:color w:val="auto"/>
                <w:sz w:val="24"/>
              </w:rPr>
            </w:pPr>
          </w:p>
        </w:tc>
        <w:tc>
          <w:tcPr>
            <w:tcW w:w="7633" w:type="dxa"/>
            <w:noWrap w:val="0"/>
            <w:vAlign w:val="center"/>
          </w:tcPr>
          <w:p w14:paraId="4427594B">
            <w:pPr>
              <w:spacing w:line="560" w:lineRule="exact"/>
              <w:rPr>
                <w:rFonts w:hint="eastAsia" w:ascii="仿宋" w:hAnsi="仿宋" w:eastAsia="仿宋" w:cs="仿宋"/>
                <w:color w:val="auto"/>
                <w:sz w:val="24"/>
              </w:rPr>
            </w:pPr>
          </w:p>
        </w:tc>
      </w:tr>
      <w:tr w14:paraId="3D1D1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644C45A">
            <w:pPr>
              <w:spacing w:line="560" w:lineRule="exact"/>
              <w:rPr>
                <w:rFonts w:hint="eastAsia" w:ascii="仿宋" w:hAnsi="仿宋" w:eastAsia="仿宋" w:cs="仿宋"/>
                <w:color w:val="auto"/>
                <w:sz w:val="24"/>
              </w:rPr>
            </w:pPr>
          </w:p>
        </w:tc>
        <w:tc>
          <w:tcPr>
            <w:tcW w:w="7633" w:type="dxa"/>
            <w:noWrap w:val="0"/>
            <w:vAlign w:val="center"/>
          </w:tcPr>
          <w:p w14:paraId="13D146D2">
            <w:pPr>
              <w:spacing w:line="560" w:lineRule="exact"/>
              <w:rPr>
                <w:rFonts w:hint="eastAsia" w:ascii="仿宋" w:hAnsi="仿宋" w:eastAsia="仿宋" w:cs="仿宋"/>
                <w:color w:val="auto"/>
                <w:sz w:val="24"/>
              </w:rPr>
            </w:pPr>
          </w:p>
        </w:tc>
      </w:tr>
      <w:tr w14:paraId="44E59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63A08D8">
            <w:pPr>
              <w:spacing w:line="560" w:lineRule="exact"/>
              <w:rPr>
                <w:rFonts w:hint="eastAsia" w:ascii="仿宋" w:hAnsi="仿宋" w:eastAsia="仿宋" w:cs="仿宋"/>
                <w:color w:val="auto"/>
                <w:sz w:val="24"/>
              </w:rPr>
            </w:pPr>
          </w:p>
        </w:tc>
        <w:tc>
          <w:tcPr>
            <w:tcW w:w="7633" w:type="dxa"/>
            <w:noWrap w:val="0"/>
            <w:vAlign w:val="center"/>
          </w:tcPr>
          <w:p w14:paraId="23D3A483">
            <w:pPr>
              <w:spacing w:line="560" w:lineRule="exact"/>
              <w:rPr>
                <w:rFonts w:hint="eastAsia" w:ascii="仿宋" w:hAnsi="仿宋" w:eastAsia="仿宋" w:cs="仿宋"/>
                <w:color w:val="auto"/>
                <w:sz w:val="24"/>
                <w:u w:val="single"/>
              </w:rPr>
            </w:pPr>
          </w:p>
        </w:tc>
      </w:tr>
      <w:tr w14:paraId="0DC5C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C35699D">
            <w:pPr>
              <w:spacing w:line="560" w:lineRule="exact"/>
              <w:rPr>
                <w:rFonts w:hint="eastAsia" w:ascii="仿宋" w:hAnsi="仿宋" w:eastAsia="仿宋" w:cs="仿宋"/>
                <w:color w:val="auto"/>
                <w:sz w:val="24"/>
              </w:rPr>
            </w:pPr>
          </w:p>
        </w:tc>
        <w:tc>
          <w:tcPr>
            <w:tcW w:w="7633" w:type="dxa"/>
            <w:noWrap w:val="0"/>
            <w:vAlign w:val="center"/>
          </w:tcPr>
          <w:p w14:paraId="30DAC797">
            <w:pPr>
              <w:spacing w:line="560" w:lineRule="exact"/>
              <w:rPr>
                <w:rFonts w:hint="eastAsia" w:ascii="仿宋" w:hAnsi="仿宋" w:eastAsia="仿宋" w:cs="仿宋"/>
                <w:color w:val="auto"/>
                <w:sz w:val="24"/>
              </w:rPr>
            </w:pPr>
          </w:p>
        </w:tc>
      </w:tr>
      <w:tr w14:paraId="7AE1D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1FEC950">
            <w:pPr>
              <w:spacing w:line="560" w:lineRule="exact"/>
              <w:rPr>
                <w:rFonts w:hint="eastAsia" w:ascii="仿宋" w:hAnsi="仿宋" w:eastAsia="仿宋" w:cs="仿宋"/>
                <w:color w:val="auto"/>
                <w:sz w:val="24"/>
              </w:rPr>
            </w:pPr>
          </w:p>
        </w:tc>
        <w:tc>
          <w:tcPr>
            <w:tcW w:w="7633" w:type="dxa"/>
            <w:noWrap w:val="0"/>
            <w:vAlign w:val="center"/>
          </w:tcPr>
          <w:p w14:paraId="712BBA06">
            <w:pPr>
              <w:spacing w:line="560" w:lineRule="exact"/>
              <w:rPr>
                <w:rFonts w:hint="eastAsia" w:ascii="仿宋" w:hAnsi="仿宋" w:eastAsia="仿宋" w:cs="仿宋"/>
                <w:color w:val="auto"/>
                <w:sz w:val="24"/>
                <w:u w:val="single"/>
              </w:rPr>
            </w:pPr>
          </w:p>
        </w:tc>
      </w:tr>
      <w:tr w14:paraId="48DAF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2637647">
            <w:pPr>
              <w:spacing w:line="560" w:lineRule="exact"/>
              <w:rPr>
                <w:rFonts w:hint="eastAsia" w:ascii="仿宋" w:hAnsi="仿宋" w:eastAsia="仿宋" w:cs="仿宋"/>
                <w:color w:val="auto"/>
                <w:sz w:val="24"/>
              </w:rPr>
            </w:pPr>
          </w:p>
        </w:tc>
        <w:tc>
          <w:tcPr>
            <w:tcW w:w="7633" w:type="dxa"/>
            <w:noWrap w:val="0"/>
            <w:vAlign w:val="center"/>
          </w:tcPr>
          <w:p w14:paraId="42D30F02">
            <w:pPr>
              <w:spacing w:line="560" w:lineRule="exact"/>
              <w:rPr>
                <w:rFonts w:hint="eastAsia" w:ascii="仿宋" w:hAnsi="仿宋" w:eastAsia="仿宋" w:cs="仿宋"/>
                <w:color w:val="auto"/>
                <w:sz w:val="24"/>
              </w:rPr>
            </w:pPr>
          </w:p>
        </w:tc>
      </w:tr>
      <w:tr w14:paraId="41154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0A68222">
            <w:pPr>
              <w:spacing w:line="560" w:lineRule="exact"/>
              <w:rPr>
                <w:rFonts w:hint="eastAsia" w:ascii="仿宋" w:hAnsi="仿宋" w:eastAsia="仿宋" w:cs="仿宋"/>
                <w:color w:val="auto"/>
                <w:sz w:val="24"/>
              </w:rPr>
            </w:pPr>
          </w:p>
        </w:tc>
        <w:tc>
          <w:tcPr>
            <w:tcW w:w="7633" w:type="dxa"/>
            <w:noWrap w:val="0"/>
            <w:vAlign w:val="center"/>
          </w:tcPr>
          <w:p w14:paraId="5085A16D">
            <w:pPr>
              <w:spacing w:line="560" w:lineRule="exact"/>
              <w:rPr>
                <w:rFonts w:hint="eastAsia" w:ascii="仿宋" w:hAnsi="仿宋" w:eastAsia="仿宋" w:cs="仿宋"/>
                <w:color w:val="auto"/>
                <w:sz w:val="24"/>
              </w:rPr>
            </w:pPr>
          </w:p>
        </w:tc>
      </w:tr>
      <w:tr w14:paraId="2BF7A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73B4F29">
            <w:pPr>
              <w:spacing w:line="560" w:lineRule="exact"/>
              <w:rPr>
                <w:rFonts w:hint="eastAsia" w:ascii="仿宋" w:hAnsi="仿宋" w:eastAsia="仿宋" w:cs="仿宋"/>
                <w:color w:val="auto"/>
                <w:sz w:val="24"/>
              </w:rPr>
            </w:pPr>
          </w:p>
        </w:tc>
        <w:tc>
          <w:tcPr>
            <w:tcW w:w="7633" w:type="dxa"/>
            <w:noWrap w:val="0"/>
            <w:vAlign w:val="center"/>
          </w:tcPr>
          <w:p w14:paraId="704882AD">
            <w:pPr>
              <w:spacing w:line="560" w:lineRule="exact"/>
              <w:rPr>
                <w:rFonts w:hint="eastAsia" w:ascii="仿宋" w:hAnsi="仿宋" w:eastAsia="仿宋" w:cs="仿宋"/>
                <w:color w:val="auto"/>
                <w:sz w:val="24"/>
              </w:rPr>
            </w:pPr>
          </w:p>
        </w:tc>
      </w:tr>
      <w:tr w14:paraId="1D018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15A0318">
            <w:pPr>
              <w:spacing w:line="560" w:lineRule="exact"/>
              <w:rPr>
                <w:rFonts w:hint="eastAsia" w:ascii="仿宋" w:hAnsi="仿宋" w:eastAsia="仿宋" w:cs="仿宋"/>
                <w:color w:val="auto"/>
                <w:sz w:val="24"/>
              </w:rPr>
            </w:pPr>
          </w:p>
        </w:tc>
        <w:tc>
          <w:tcPr>
            <w:tcW w:w="7633" w:type="dxa"/>
            <w:noWrap w:val="0"/>
            <w:vAlign w:val="center"/>
          </w:tcPr>
          <w:p w14:paraId="376BA057">
            <w:pPr>
              <w:spacing w:line="560" w:lineRule="exact"/>
              <w:rPr>
                <w:rFonts w:hint="eastAsia" w:ascii="仿宋" w:hAnsi="仿宋" w:eastAsia="仿宋" w:cs="仿宋"/>
                <w:color w:val="auto"/>
                <w:sz w:val="24"/>
              </w:rPr>
            </w:pPr>
          </w:p>
        </w:tc>
      </w:tr>
      <w:tr w14:paraId="203D5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88D3190">
            <w:pPr>
              <w:spacing w:line="560" w:lineRule="exact"/>
              <w:rPr>
                <w:rFonts w:hint="eastAsia" w:ascii="仿宋" w:hAnsi="仿宋" w:eastAsia="仿宋" w:cs="仿宋"/>
                <w:color w:val="auto"/>
                <w:sz w:val="24"/>
              </w:rPr>
            </w:pPr>
          </w:p>
        </w:tc>
        <w:tc>
          <w:tcPr>
            <w:tcW w:w="7633" w:type="dxa"/>
            <w:noWrap w:val="0"/>
            <w:vAlign w:val="center"/>
          </w:tcPr>
          <w:p w14:paraId="1B46A48F">
            <w:pPr>
              <w:spacing w:line="560" w:lineRule="exact"/>
              <w:rPr>
                <w:rFonts w:hint="eastAsia" w:ascii="仿宋" w:hAnsi="仿宋" w:eastAsia="仿宋" w:cs="仿宋"/>
                <w:color w:val="auto"/>
                <w:sz w:val="24"/>
              </w:rPr>
            </w:pPr>
          </w:p>
        </w:tc>
      </w:tr>
    </w:tbl>
    <w:p w14:paraId="517B8781">
      <w:pPr>
        <w:pStyle w:val="6"/>
        <w:outlineLvl w:val="9"/>
        <w:rPr>
          <w:rFonts w:hint="eastAsia" w:ascii="仿宋" w:hAnsi="仿宋" w:eastAsia="仿宋" w:cs="仿宋"/>
          <w:color w:val="auto"/>
          <w:sz w:val="30"/>
          <w:szCs w:val="30"/>
        </w:rPr>
      </w:pPr>
    </w:p>
    <w:p w14:paraId="1CDBFCCE">
      <w:pPr>
        <w:pStyle w:val="9"/>
        <w:rPr>
          <w:rFonts w:hint="eastAsia" w:ascii="仿宋" w:hAnsi="仿宋" w:eastAsia="仿宋" w:cs="仿宋"/>
          <w:color w:val="auto"/>
          <w:sz w:val="30"/>
          <w:szCs w:val="30"/>
        </w:rPr>
      </w:pPr>
    </w:p>
    <w:p w14:paraId="4235CC90">
      <w:pPr>
        <w:pStyle w:val="10"/>
        <w:rPr>
          <w:rFonts w:hint="eastAsia" w:ascii="仿宋" w:hAnsi="仿宋" w:eastAsia="仿宋" w:cs="仿宋"/>
          <w:color w:val="auto"/>
          <w:sz w:val="30"/>
          <w:szCs w:val="30"/>
        </w:rPr>
      </w:pPr>
    </w:p>
    <w:p w14:paraId="147EFEB1">
      <w:pPr>
        <w:pStyle w:val="6"/>
        <w:outlineLvl w:val="9"/>
        <w:rPr>
          <w:rFonts w:hint="eastAsia" w:ascii="仿宋" w:hAnsi="仿宋" w:eastAsia="仿宋" w:cs="仿宋"/>
          <w:color w:val="auto"/>
          <w:sz w:val="30"/>
          <w:szCs w:val="30"/>
        </w:rPr>
      </w:pPr>
    </w:p>
    <w:p w14:paraId="4DB5D49E">
      <w:pPr>
        <w:rPr>
          <w:rFonts w:hint="eastAsia" w:ascii="仿宋" w:hAnsi="仿宋" w:eastAsia="仿宋" w:cs="仿宋"/>
          <w:color w:val="auto"/>
        </w:rPr>
      </w:pPr>
    </w:p>
    <w:p w14:paraId="76C19506">
      <w:pPr>
        <w:pStyle w:val="9"/>
        <w:rPr>
          <w:rFonts w:hint="eastAsia" w:ascii="仿宋" w:hAnsi="仿宋" w:eastAsia="仿宋" w:cs="仿宋"/>
          <w:color w:val="auto"/>
          <w:sz w:val="30"/>
          <w:szCs w:val="30"/>
        </w:rPr>
      </w:pPr>
    </w:p>
    <w:p w14:paraId="3C75A92B">
      <w:pPr>
        <w:pStyle w:val="10"/>
        <w:rPr>
          <w:rFonts w:hint="eastAsia" w:ascii="仿宋" w:hAnsi="仿宋" w:eastAsia="仿宋" w:cs="仿宋"/>
          <w:color w:val="auto"/>
        </w:rPr>
      </w:pPr>
    </w:p>
    <w:p w14:paraId="130B5D17">
      <w:pPr>
        <w:pStyle w:val="26"/>
        <w:rPr>
          <w:rFonts w:hint="eastAsia" w:ascii="仿宋" w:hAnsi="仿宋" w:eastAsia="仿宋" w:cs="仿宋"/>
          <w:color w:val="auto"/>
        </w:rPr>
      </w:pPr>
    </w:p>
    <w:sectPr>
      <w:headerReference r:id="rId20" w:type="default"/>
      <w:footerReference r:id="rId21"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58957">
    <w:pPr>
      <w:pStyle w:val="22"/>
      <w:ind w:right="360" w:firstLine="360"/>
      <w:jc w:val="both"/>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46A84">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246A84">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85749">
    <w:pPr>
      <w:pStyle w:val="2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0C574">
                          <w:pPr>
                            <w:pStyle w:val="2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A90C574">
                    <w:pPr>
                      <w:pStyle w:val="22"/>
                    </w:pPr>
                    <w:r>
                      <w:fldChar w:fldCharType="begin"/>
                    </w:r>
                    <w:r>
                      <w:instrText xml:space="preserve"> PAGE  \* MERGEFORMAT </w:instrText>
                    </w:r>
                    <w:r>
                      <w:fldChar w:fldCharType="separate"/>
                    </w:r>
                    <w:r>
                      <w:t>55</w:t>
                    </w:r>
                    <w:r>
                      <w:fldChar w:fldCharType="end"/>
                    </w:r>
                  </w:p>
                </w:txbxContent>
              </v:textbox>
            </v:shape>
          </w:pict>
        </mc:Fallback>
      </mc:AlternateContent>
    </w:r>
  </w:p>
  <w:p w14:paraId="637657AD">
    <w:pPr>
      <w:pStyle w:val="22"/>
      <w:ind w:right="360"/>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D654">
    <w:pPr>
      <w:pStyle w:val="22"/>
      <w:framePr w:wrap="around" w:vAnchor="text" w:hAnchor="margin" w:xAlign="center" w:y="1"/>
      <w:rPr>
        <w:rStyle w:val="42"/>
      </w:rPr>
    </w:pPr>
    <w:r>
      <w:fldChar w:fldCharType="begin"/>
    </w:r>
    <w:r>
      <w:rPr>
        <w:rStyle w:val="42"/>
      </w:rPr>
      <w:instrText xml:space="preserve">PAGE  </w:instrText>
    </w:r>
    <w:r>
      <w:fldChar w:fldCharType="end"/>
    </w:r>
  </w:p>
  <w:p w14:paraId="3D5A5527">
    <w:pPr>
      <w:pStyle w:val="2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FFD89">
    <w:pPr>
      <w:spacing w:line="180" w:lineRule="auto"/>
      <w:ind w:left="4812"/>
      <w:rPr>
        <w:rFonts w:ascii="宋体" w:hAnsi="宋体" w:eastAsia="宋体" w:cs="宋体"/>
        <w:sz w:val="16"/>
        <w:szCs w:val="16"/>
      </w:rPr>
    </w:pPr>
    <w:r>
      <w:rPr>
        <w:sz w:val="16"/>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59B2F">
                          <w:pPr>
                            <w:pStyle w:val="2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A759B2F">
                    <w:pPr>
                      <w:pStyle w:val="22"/>
                    </w:pPr>
                    <w:r>
                      <w:fldChar w:fldCharType="begin"/>
                    </w:r>
                    <w:r>
                      <w:instrText xml:space="preserve"> PAGE  \* MERGEFORMAT </w:instrText>
                    </w:r>
                    <w:r>
                      <w:fldChar w:fldCharType="separate"/>
                    </w:r>
                    <w:r>
                      <w:t>65</w:t>
                    </w:r>
                    <w:r>
                      <w:fldChar w:fldCharType="end"/>
                    </w:r>
                  </w:p>
                </w:txbxContent>
              </v:textbox>
            </v:shape>
          </w:pict>
        </mc:Fallback>
      </mc:AlternateContent>
    </w:r>
    <w:r>
      <w:rPr>
        <w:rFonts w:ascii="宋体" w:hAnsi="宋体" w:eastAsia="宋体" w:cs="宋体"/>
        <w:spacing w:val="2"/>
        <w:sz w:val="16"/>
        <w:szCs w:val="16"/>
      </w:rPr>
      <w:t>81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4F200">
    <w:pPr>
      <w:spacing w:line="180" w:lineRule="auto"/>
      <w:ind w:left="4812"/>
      <w:rPr>
        <w:rFonts w:ascii="宋体" w:hAnsi="宋体" w:eastAsia="宋体" w:cs="宋体"/>
        <w:sz w:val="16"/>
        <w:szCs w:val="16"/>
      </w:rPr>
    </w:pPr>
    <w:r>
      <w:rPr>
        <w:sz w:val="16"/>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A68C6">
                          <w:pPr>
                            <w:pStyle w:val="2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8A68C6">
                    <w:pPr>
                      <w:pStyle w:val="22"/>
                    </w:pPr>
                    <w:r>
                      <w:fldChar w:fldCharType="begin"/>
                    </w:r>
                    <w:r>
                      <w:instrText xml:space="preserve"> PAGE  \* MERGEFORMAT </w:instrText>
                    </w:r>
                    <w:r>
                      <w:fldChar w:fldCharType="separate"/>
                    </w:r>
                    <w:r>
                      <w:t>62</w:t>
                    </w:r>
                    <w:r>
                      <w:fldChar w:fldCharType="end"/>
                    </w:r>
                  </w:p>
                </w:txbxContent>
              </v:textbox>
            </v:shape>
          </w:pict>
        </mc:Fallback>
      </mc:AlternateContent>
    </w:r>
    <w:r>
      <w:rPr>
        <w:rFonts w:ascii="宋体" w:hAnsi="宋体" w:eastAsia="宋体" w:cs="宋体"/>
        <w:spacing w:val="2"/>
        <w:sz w:val="16"/>
        <w:szCs w:val="16"/>
      </w:rPr>
      <w:t>81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653B3">
    <w:pPr>
      <w:pStyle w:val="2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AF190">
                          <w:pPr>
                            <w:pStyle w:val="2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38AF190">
                    <w:pPr>
                      <w:pStyle w:val="22"/>
                    </w:pPr>
                    <w:r>
                      <w:fldChar w:fldCharType="begin"/>
                    </w:r>
                    <w:r>
                      <w:instrText xml:space="preserve"> PAGE  \* MERGEFORMAT </w:instrText>
                    </w:r>
                    <w:r>
                      <w:fldChar w:fldCharType="separate"/>
                    </w:r>
                    <w:r>
                      <w:t>81</w:t>
                    </w:r>
                    <w:r>
                      <w:fldChar w:fldCharType="end"/>
                    </w:r>
                  </w:p>
                </w:txbxContent>
              </v:textbox>
            </v:shape>
          </w:pict>
        </mc:Fallback>
      </mc:AlternateContent>
    </w:r>
  </w:p>
  <w:p w14:paraId="4B41DEBA">
    <w:pPr>
      <w:pStyle w:val="22"/>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BA437">
    <w:pPr>
      <w:pStyle w:val="22"/>
      <w:ind w:right="360" w:firstLine="360"/>
      <w:jc w:val="both"/>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0FC02">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30FC02">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A295">
    <w:pPr>
      <w:pStyle w:val="22"/>
      <w:ind w:right="360" w:firstLine="360"/>
      <w:jc w:val="right"/>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1E3E0">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F1E3E0">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30CA1C59">
    <w:pPr>
      <w:pStyle w:val="22"/>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C686">
    <w:pPr>
      <w:pStyle w:val="22"/>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985F3">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EE985F3">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25D6CEDD">
    <w:pPr>
      <w:pStyle w:val="22"/>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082B0">
    <w:pPr>
      <w:spacing w:line="173" w:lineRule="auto"/>
      <w:ind w:left="4082"/>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23182">
                          <w:pPr>
                            <w:pStyle w:val="2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4623182">
                    <w:pPr>
                      <w:pStyle w:val="22"/>
                    </w:pPr>
                    <w:r>
                      <w:fldChar w:fldCharType="begin"/>
                    </w:r>
                    <w:r>
                      <w:instrText xml:space="preserve"> PAGE  \* MERGEFORMAT </w:instrText>
                    </w:r>
                    <w:r>
                      <w:fldChar w:fldCharType="separate"/>
                    </w:r>
                    <w:r>
                      <w:t>34</w:t>
                    </w:r>
                    <w:r>
                      <w:fldChar w:fldCharType="end"/>
                    </w:r>
                  </w:p>
                </w:txbxContent>
              </v:textbox>
            </v:shape>
          </w:pict>
        </mc:Fallback>
      </mc:AlternateContent>
    </w:r>
    <w:r>
      <w:rPr>
        <w:rFonts w:ascii="宋体" w:hAnsi="宋体" w:eastAsia="宋体" w:cs="宋体"/>
        <w:spacing w:val="2"/>
        <w:sz w:val="17"/>
        <w:szCs w:val="17"/>
      </w:rPr>
      <w:t>86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20BE">
    <w:pPr>
      <w:spacing w:line="169" w:lineRule="auto"/>
      <w:ind w:left="4100"/>
      <w:rPr>
        <w:rFonts w:ascii="宋体" w:hAnsi="宋体" w:eastAsia="宋体" w:cs="宋体"/>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A6674">
                          <w:pPr>
                            <w:pStyle w:val="2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A0A6674">
                    <w:pPr>
                      <w:pStyle w:val="22"/>
                    </w:pPr>
                    <w:r>
                      <w:fldChar w:fldCharType="begin"/>
                    </w:r>
                    <w:r>
                      <w:instrText xml:space="preserve"> PAGE  \* MERGEFORMAT </w:instrText>
                    </w:r>
                    <w:r>
                      <w:fldChar w:fldCharType="separate"/>
                    </w:r>
                    <w:r>
                      <w:t>36</w:t>
                    </w:r>
                    <w:r>
                      <w:fldChar w:fldCharType="end"/>
                    </w:r>
                  </w:p>
                </w:txbxContent>
              </v:textbox>
            </v:shape>
          </w:pict>
        </mc:Fallback>
      </mc:AlternateContent>
    </w:r>
    <w:r>
      <w:rPr>
        <w:rFonts w:ascii="宋体" w:hAnsi="宋体" w:eastAsia="宋体" w:cs="宋体"/>
        <w:spacing w:val="-3"/>
        <w:sz w:val="14"/>
        <w:szCs w:val="14"/>
      </w:rPr>
      <w:t>39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B70E5">
    <w:pPr>
      <w:pStyle w:val="2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69111">
                          <w:pPr>
                            <w:pStyle w:val="2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F369111">
                    <w:pPr>
                      <w:pStyle w:val="22"/>
                    </w:pPr>
                    <w:r>
                      <w:fldChar w:fldCharType="begin"/>
                    </w:r>
                    <w:r>
                      <w:instrText xml:space="preserve"> PAGE  \* MERGEFORMAT </w:instrText>
                    </w:r>
                    <w:r>
                      <w:fldChar w:fldCharType="separate"/>
                    </w:r>
                    <w:r>
                      <w:t>40</w:t>
                    </w:r>
                    <w:r>
                      <w:fldChar w:fldCharType="end"/>
                    </w:r>
                  </w:p>
                </w:txbxContent>
              </v:textbox>
            </v:shape>
          </w:pict>
        </mc:Fallback>
      </mc:AlternateContent>
    </w:r>
  </w:p>
  <w:p w14:paraId="7A64E5E4">
    <w:pPr>
      <w:pStyle w:val="22"/>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D196C">
    <w:pPr>
      <w:spacing w:line="169" w:lineRule="auto"/>
      <w:rPr>
        <w:rFonts w:ascii="宋体" w:hAnsi="宋体" w:eastAsia="宋体" w:cs="宋体"/>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D68BF">
                          <w:pPr>
                            <w:pStyle w:val="2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E6D68BF">
                    <w:pPr>
                      <w:pStyle w:val="2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50A43">
    <w:pPr>
      <w:spacing w:line="169" w:lineRule="auto"/>
      <w:rPr>
        <w:rFonts w:ascii="宋体" w:hAnsi="宋体" w:eastAsia="宋体" w:cs="宋体"/>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D811E">
                          <w:pPr>
                            <w:pStyle w:val="2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62D811E">
                    <w:pPr>
                      <w:pStyle w:val="2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9B9F9">
    <w:pPr>
      <w:pStyle w:val="23"/>
      <w:pBdr>
        <w:bottom w:val="none" w:color="auto" w:sz="0" w:space="1"/>
      </w:pBdr>
      <w:jc w:val="left"/>
      <w:rPr>
        <w:rFonts w:hint="eastAsia" w:ascii="仿宋" w:hAnsi="仿宋" w:eastAsia="仿宋" w:cs="仿宋"/>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C1A78">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4184D">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5BA9C">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8398">
    <w:pPr>
      <w:pStyle w:val="23"/>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2EF4D"/>
    <w:multiLevelType w:val="singleLevel"/>
    <w:tmpl w:val="B0B2EF4D"/>
    <w:lvl w:ilvl="0" w:tentative="0">
      <w:start w:val="1"/>
      <w:numFmt w:val="decimal"/>
      <w:suff w:val="nothing"/>
      <w:lvlText w:val="（%1）"/>
      <w:lvlJc w:val="left"/>
    </w:lvl>
  </w:abstractNum>
  <w:abstractNum w:abstractNumId="1">
    <w:nsid w:val="B4F3119C"/>
    <w:multiLevelType w:val="singleLevel"/>
    <w:tmpl w:val="B4F3119C"/>
    <w:lvl w:ilvl="0" w:tentative="0">
      <w:start w:val="1"/>
      <w:numFmt w:val="decimal"/>
      <w:suff w:val="space"/>
      <w:lvlText w:val="%1."/>
      <w:lvlJc w:val="left"/>
    </w:lvl>
  </w:abstractNum>
  <w:abstractNum w:abstractNumId="2">
    <w:nsid w:val="F3D411B5"/>
    <w:multiLevelType w:val="singleLevel"/>
    <w:tmpl w:val="F3D411B5"/>
    <w:lvl w:ilvl="0" w:tentative="0">
      <w:start w:val="2"/>
      <w:numFmt w:val="chineseCounting"/>
      <w:suff w:val="nothing"/>
      <w:lvlText w:val="%1、"/>
      <w:lvlJc w:val="left"/>
      <w:rPr>
        <w:rFonts w:hint="eastAsia"/>
      </w:rPr>
    </w:lvl>
  </w:abstractNum>
  <w:abstractNum w:abstractNumId="3">
    <w:nsid w:val="00000000"/>
    <w:multiLevelType w:val="multilevel"/>
    <w:tmpl w:val="00000000"/>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00000002"/>
    <w:multiLevelType w:val="multilevel"/>
    <w:tmpl w:val="00000002"/>
    <w:lvl w:ilvl="0" w:tentative="0">
      <w:start w:val="1"/>
      <w:numFmt w:val="decimal"/>
      <w:lvlText w:val="（%1）"/>
      <w:lvlJc w:val="left"/>
      <w:pPr>
        <w:tabs>
          <w:tab w:val="left" w:pos="1571"/>
        </w:tabs>
        <w:ind w:left="1511" w:hanging="720"/>
      </w:pPr>
      <w:rPr>
        <w:rFonts w:ascii="仿宋_GB2312" w:hAnsi="宋体" w:eastAsia="仿宋_GB2312" w:cs="Times New Roman"/>
      </w:rPr>
    </w:lvl>
    <w:lvl w:ilvl="1" w:tentative="0">
      <w:start w:val="1"/>
      <w:numFmt w:val="lowerLetter"/>
      <w:lvlText w:val="%2)"/>
      <w:lvlJc w:val="left"/>
      <w:pPr>
        <w:tabs>
          <w:tab w:val="left" w:pos="1739"/>
        </w:tabs>
        <w:ind w:left="1679" w:hanging="420"/>
      </w:pPr>
    </w:lvl>
    <w:lvl w:ilvl="2" w:tentative="0">
      <w:start w:val="1"/>
      <w:numFmt w:val="lowerRoman"/>
      <w:lvlText w:val="%3."/>
      <w:lvlJc w:val="right"/>
      <w:pPr>
        <w:tabs>
          <w:tab w:val="left" w:pos="2159"/>
        </w:tabs>
        <w:ind w:left="2099" w:hanging="420"/>
      </w:pPr>
    </w:lvl>
    <w:lvl w:ilvl="3" w:tentative="0">
      <w:start w:val="1"/>
      <w:numFmt w:val="decimal"/>
      <w:lvlText w:val="%4."/>
      <w:lvlJc w:val="left"/>
      <w:pPr>
        <w:tabs>
          <w:tab w:val="left" w:pos="2579"/>
        </w:tabs>
        <w:ind w:left="2519" w:hanging="420"/>
      </w:pPr>
    </w:lvl>
    <w:lvl w:ilvl="4" w:tentative="0">
      <w:start w:val="1"/>
      <w:numFmt w:val="lowerLetter"/>
      <w:lvlText w:val="%5)"/>
      <w:lvlJc w:val="left"/>
      <w:pPr>
        <w:tabs>
          <w:tab w:val="left" w:pos="2999"/>
        </w:tabs>
        <w:ind w:left="2939" w:hanging="420"/>
      </w:pPr>
    </w:lvl>
    <w:lvl w:ilvl="5" w:tentative="0">
      <w:start w:val="1"/>
      <w:numFmt w:val="lowerRoman"/>
      <w:lvlText w:val="%6."/>
      <w:lvlJc w:val="right"/>
      <w:pPr>
        <w:tabs>
          <w:tab w:val="left" w:pos="3419"/>
        </w:tabs>
        <w:ind w:left="3359" w:hanging="420"/>
      </w:pPr>
    </w:lvl>
    <w:lvl w:ilvl="6" w:tentative="0">
      <w:start w:val="1"/>
      <w:numFmt w:val="decimal"/>
      <w:lvlText w:val="%7."/>
      <w:lvlJc w:val="left"/>
      <w:pPr>
        <w:tabs>
          <w:tab w:val="left" w:pos="3839"/>
        </w:tabs>
        <w:ind w:left="3779" w:hanging="420"/>
      </w:pPr>
    </w:lvl>
    <w:lvl w:ilvl="7" w:tentative="0">
      <w:start w:val="1"/>
      <w:numFmt w:val="lowerLetter"/>
      <w:lvlText w:val="%8)"/>
      <w:lvlJc w:val="left"/>
      <w:pPr>
        <w:tabs>
          <w:tab w:val="left" w:pos="4259"/>
        </w:tabs>
        <w:ind w:left="4199" w:hanging="420"/>
      </w:pPr>
    </w:lvl>
    <w:lvl w:ilvl="8" w:tentative="0">
      <w:start w:val="1"/>
      <w:numFmt w:val="lowerRoman"/>
      <w:lvlText w:val="%9."/>
      <w:lvlJc w:val="right"/>
      <w:pPr>
        <w:tabs>
          <w:tab w:val="left" w:pos="4679"/>
        </w:tabs>
        <w:ind w:left="4619" w:hanging="420"/>
      </w:pPr>
    </w:lvl>
  </w:abstractNum>
  <w:abstractNum w:abstractNumId="5">
    <w:nsid w:val="00000003"/>
    <w:multiLevelType w:val="multilevel"/>
    <w:tmpl w:val="00000003"/>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5"/>
    <w:multiLevelType w:val="multilevel"/>
    <w:tmpl w:val="00000005"/>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7">
    <w:nsid w:val="00139330"/>
    <w:multiLevelType w:val="singleLevel"/>
    <w:tmpl w:val="00139330"/>
    <w:lvl w:ilvl="0" w:tentative="0">
      <w:start w:val="1"/>
      <w:numFmt w:val="decimal"/>
      <w:suff w:val="nothing"/>
      <w:lvlText w:val="%1、"/>
      <w:lvlJc w:val="left"/>
    </w:lvl>
  </w:abstractNum>
  <w:abstractNum w:abstractNumId="8">
    <w:nsid w:val="697087A0"/>
    <w:multiLevelType w:val="singleLevel"/>
    <w:tmpl w:val="697087A0"/>
    <w:lvl w:ilvl="0" w:tentative="0">
      <w:start w:val="4"/>
      <w:numFmt w:val="chineseCounting"/>
      <w:suff w:val="nothing"/>
      <w:lvlText w:val="（%1）"/>
      <w:lvlJc w:val="left"/>
      <w:rPr>
        <w:rFonts w:hint="eastAsia"/>
      </w:rPr>
    </w:lvl>
  </w:abstractNum>
  <w:num w:numId="1">
    <w:abstractNumId w:val="5"/>
  </w:num>
  <w:num w:numId="2">
    <w:abstractNumId w:val="1"/>
  </w:num>
  <w:num w:numId="3">
    <w:abstractNumId w:val="6"/>
  </w:num>
  <w:num w:numId="4">
    <w:abstractNumId w:val="3"/>
  </w:num>
  <w:num w:numId="5">
    <w:abstractNumId w:val="8"/>
  </w:num>
  <w:num w:numId="6">
    <w:abstractNumId w:val="4"/>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ZmM2NTgwZjY5ZGZiNDAwODMyMDM4YTAxMWFkZDYifQ=="/>
  </w:docVars>
  <w:rsids>
    <w:rsidRoot w:val="00000000"/>
    <w:rsid w:val="024776EC"/>
    <w:rsid w:val="032C566A"/>
    <w:rsid w:val="03BD3D36"/>
    <w:rsid w:val="07675A5B"/>
    <w:rsid w:val="0BC26FA9"/>
    <w:rsid w:val="0F225395"/>
    <w:rsid w:val="10BB15FD"/>
    <w:rsid w:val="10CB4D84"/>
    <w:rsid w:val="11AB2BE9"/>
    <w:rsid w:val="11F70F68"/>
    <w:rsid w:val="131D602E"/>
    <w:rsid w:val="13832D09"/>
    <w:rsid w:val="13A95C6D"/>
    <w:rsid w:val="14105D0C"/>
    <w:rsid w:val="152B1C42"/>
    <w:rsid w:val="1543632C"/>
    <w:rsid w:val="1A015676"/>
    <w:rsid w:val="1B936653"/>
    <w:rsid w:val="1B96794F"/>
    <w:rsid w:val="1DFD7CCF"/>
    <w:rsid w:val="1F941A2B"/>
    <w:rsid w:val="20971E2F"/>
    <w:rsid w:val="212575CE"/>
    <w:rsid w:val="247274F2"/>
    <w:rsid w:val="25F5301E"/>
    <w:rsid w:val="26F735B2"/>
    <w:rsid w:val="270C7848"/>
    <w:rsid w:val="2AE33EDD"/>
    <w:rsid w:val="2BBD275E"/>
    <w:rsid w:val="2C135956"/>
    <w:rsid w:val="2CC808CC"/>
    <w:rsid w:val="2CD23CA8"/>
    <w:rsid w:val="2D5F5663"/>
    <w:rsid w:val="2E0B549C"/>
    <w:rsid w:val="2F29413F"/>
    <w:rsid w:val="2F5E594F"/>
    <w:rsid w:val="2F7F53A5"/>
    <w:rsid w:val="2FE87881"/>
    <w:rsid w:val="31936CB6"/>
    <w:rsid w:val="31CE17DC"/>
    <w:rsid w:val="35C16041"/>
    <w:rsid w:val="36FE3154"/>
    <w:rsid w:val="39301121"/>
    <w:rsid w:val="39A95BE7"/>
    <w:rsid w:val="3A7A1C30"/>
    <w:rsid w:val="3AA469A1"/>
    <w:rsid w:val="3B36794F"/>
    <w:rsid w:val="3BF07477"/>
    <w:rsid w:val="3D2C4F6F"/>
    <w:rsid w:val="42CA5C72"/>
    <w:rsid w:val="45FE1811"/>
    <w:rsid w:val="47D50A36"/>
    <w:rsid w:val="4A2937EA"/>
    <w:rsid w:val="4D2C043F"/>
    <w:rsid w:val="4EE2134D"/>
    <w:rsid w:val="4F6721BA"/>
    <w:rsid w:val="50F96FFC"/>
    <w:rsid w:val="53AE73D6"/>
    <w:rsid w:val="53D05A7E"/>
    <w:rsid w:val="553A0D45"/>
    <w:rsid w:val="569B0417"/>
    <w:rsid w:val="573D2029"/>
    <w:rsid w:val="57B327E2"/>
    <w:rsid w:val="588C0A3D"/>
    <w:rsid w:val="5ABF4138"/>
    <w:rsid w:val="5AF85867"/>
    <w:rsid w:val="5BCB1931"/>
    <w:rsid w:val="5BDD592E"/>
    <w:rsid w:val="5C0D7989"/>
    <w:rsid w:val="5DF72B16"/>
    <w:rsid w:val="5EF845B6"/>
    <w:rsid w:val="5F162888"/>
    <w:rsid w:val="62626F8C"/>
    <w:rsid w:val="63B51343"/>
    <w:rsid w:val="640726C3"/>
    <w:rsid w:val="641B2539"/>
    <w:rsid w:val="669F734D"/>
    <w:rsid w:val="68714B01"/>
    <w:rsid w:val="68FB3CC8"/>
    <w:rsid w:val="6A116D0D"/>
    <w:rsid w:val="6EBC6648"/>
    <w:rsid w:val="73327F50"/>
    <w:rsid w:val="73FC7733"/>
    <w:rsid w:val="752D2C71"/>
    <w:rsid w:val="75382F95"/>
    <w:rsid w:val="78E310B5"/>
    <w:rsid w:val="7A240FAA"/>
    <w:rsid w:val="7D6538E9"/>
    <w:rsid w:val="7DD108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49"/>
    <w:qFormat/>
    <w:uiPriority w:val="0"/>
    <w:pPr>
      <w:spacing w:before="120"/>
      <w:outlineLvl w:val="1"/>
    </w:pPr>
    <w:rPr>
      <w:rFonts w:ascii="Arial" w:hAnsi="Arial" w:eastAsia="黑体"/>
      <w:kern w:val="0"/>
      <w:sz w:val="30"/>
    </w:rPr>
  </w:style>
  <w:style w:type="paragraph" w:styleId="6">
    <w:name w:val="heading 3"/>
    <w:basedOn w:val="1"/>
    <w:next w:val="1"/>
    <w:link w:val="5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qFormat/>
    <w:uiPriority w:val="0"/>
    <w:pPr>
      <w:keepNext/>
      <w:keepLines/>
      <w:widowControl/>
      <w:spacing w:before="280" w:after="290"/>
      <w:ind w:left="510" w:leftChars="100" w:right="100" w:rightChars="100"/>
      <w:outlineLvl w:val="3"/>
    </w:pPr>
    <w:rPr>
      <w:b/>
      <w:kern w:val="0"/>
      <w:szCs w:val="16"/>
    </w:rPr>
  </w:style>
  <w:style w:type="character" w:default="1" w:styleId="40">
    <w:name w:val="Default Paragraph Font"/>
    <w:qFormat/>
    <w:uiPriority w:val="1"/>
  </w:style>
  <w:style w:type="table" w:default="1" w:styleId="38">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567"/>
      </w:tabs>
      <w:ind w:firstLine="420" w:firstLineChars="200"/>
    </w:pPr>
  </w:style>
  <w:style w:type="paragraph" w:styleId="3">
    <w:name w:val="Body Text Indent"/>
    <w:basedOn w:val="1"/>
    <w:qFormat/>
    <w:uiPriority w:val="0"/>
    <w:pPr>
      <w:spacing w:line="360" w:lineRule="auto"/>
      <w:ind w:firstLine="570"/>
    </w:pPr>
    <w:rPr>
      <w:sz w:val="24"/>
    </w:rPr>
  </w:style>
  <w:style w:type="paragraph" w:styleId="8">
    <w:name w:val="toc 7"/>
    <w:basedOn w:val="1"/>
    <w:next w:val="1"/>
    <w:qFormat/>
    <w:uiPriority w:val="39"/>
    <w:pPr>
      <w:ind w:left="2520" w:leftChars="1200"/>
    </w:pPr>
  </w:style>
  <w:style w:type="paragraph" w:styleId="9">
    <w:name w:val="Normal Indent"/>
    <w:basedOn w:val="1"/>
    <w:qFormat/>
    <w:uiPriority w:val="99"/>
    <w:pPr>
      <w:autoSpaceDE w:val="0"/>
      <w:autoSpaceDN w:val="0"/>
      <w:adjustRightInd w:val="0"/>
      <w:ind w:firstLine="420"/>
      <w:jc w:val="left"/>
    </w:pPr>
    <w:rPr>
      <w:rFonts w:ascii="宋体"/>
      <w:kern w:val="0"/>
      <w:sz w:val="24"/>
      <w:szCs w:val="20"/>
    </w:rPr>
  </w:style>
  <w:style w:type="paragraph" w:styleId="10">
    <w:name w:val="toa heading"/>
    <w:basedOn w:val="1"/>
    <w:next w:val="1"/>
    <w:qFormat/>
    <w:uiPriority w:val="0"/>
    <w:pPr>
      <w:widowControl/>
      <w:spacing w:before="120"/>
      <w:ind w:firstLine="3584"/>
    </w:pPr>
  </w:style>
  <w:style w:type="paragraph" w:styleId="11">
    <w:name w:val="annotation text"/>
    <w:basedOn w:val="1"/>
    <w:link w:val="51"/>
    <w:qFormat/>
    <w:uiPriority w:val="99"/>
    <w:pPr>
      <w:jc w:val="left"/>
    </w:pPr>
  </w:style>
  <w:style w:type="paragraph" w:styleId="12">
    <w:name w:val="index 6"/>
    <w:basedOn w:val="1"/>
    <w:next w:val="1"/>
    <w:qFormat/>
    <w:uiPriority w:val="99"/>
    <w:pPr>
      <w:ind w:left="2100"/>
    </w:pPr>
  </w:style>
  <w:style w:type="paragraph" w:styleId="13">
    <w:name w:val="Body Text"/>
    <w:basedOn w:val="1"/>
    <w:link w:val="47"/>
    <w:qFormat/>
    <w:uiPriority w:val="0"/>
    <w:pPr>
      <w:tabs>
        <w:tab w:val="left" w:pos="567"/>
      </w:tabs>
      <w:spacing w:before="120" w:line="22" w:lineRule="atLeast"/>
    </w:pPr>
    <w:rPr>
      <w:rFonts w:ascii="宋体" w:hAnsi="宋体"/>
      <w:sz w:val="24"/>
    </w:rPr>
  </w:style>
  <w:style w:type="paragraph" w:styleId="14">
    <w:name w:val="toc 5"/>
    <w:basedOn w:val="1"/>
    <w:next w:val="1"/>
    <w:qFormat/>
    <w:uiPriority w:val="39"/>
    <w:pPr>
      <w:ind w:left="1680" w:leftChars="800"/>
    </w:p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next w:val="17"/>
    <w:link w:val="52"/>
    <w:qFormat/>
    <w:uiPriority w:val="0"/>
    <w:rPr>
      <w:rFonts w:ascii="宋体" w:hAnsi="Courier New"/>
      <w:szCs w:val="20"/>
    </w:rPr>
  </w:style>
  <w:style w:type="paragraph" w:styleId="17">
    <w:name w:val="index 7"/>
    <w:basedOn w:val="1"/>
    <w:next w:val="1"/>
    <w:qFormat/>
    <w:uiPriority w:val="0"/>
    <w:pPr>
      <w:autoSpaceDE/>
      <w:autoSpaceDN/>
      <w:adjustRightInd/>
      <w:ind w:left="1200" w:leftChars="1200"/>
    </w:pPr>
    <w:rPr>
      <w:color w:val="auto"/>
      <w:kern w:val="2"/>
      <w:szCs w:val="24"/>
    </w:rPr>
  </w:style>
  <w:style w:type="paragraph" w:styleId="18">
    <w:name w:val="toc 8"/>
    <w:basedOn w:val="1"/>
    <w:next w:val="1"/>
    <w:qFormat/>
    <w:uiPriority w:val="39"/>
    <w:pPr>
      <w:ind w:left="2940" w:leftChars="1400"/>
    </w:pPr>
  </w:style>
  <w:style w:type="paragraph" w:styleId="19">
    <w:name w:val="Date"/>
    <w:basedOn w:val="1"/>
    <w:next w:val="1"/>
    <w:link w:val="53"/>
    <w:qFormat/>
    <w:uiPriority w:val="0"/>
    <w:pPr>
      <w:ind w:left="100" w:leftChars="2500"/>
    </w:pPr>
    <w:rPr>
      <w:rFonts w:ascii="仿宋_GB2312" w:hAnsi="宋体" w:eastAsia="仿宋_GB2312"/>
      <w:color w:val="000000"/>
      <w:sz w:val="24"/>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link w:val="54"/>
    <w:qFormat/>
    <w:uiPriority w:val="0"/>
    <w:rPr>
      <w:sz w:val="18"/>
      <w:szCs w:val="18"/>
    </w:rPr>
  </w:style>
  <w:style w:type="paragraph" w:styleId="22">
    <w:name w:val="footer"/>
    <w:basedOn w:val="1"/>
    <w:link w:val="5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qFormat/>
    <w:uiPriority w:val="39"/>
    <w:pPr>
      <w:ind w:left="1260" w:leftChars="600"/>
    </w:pPr>
  </w:style>
  <w:style w:type="paragraph" w:styleId="26">
    <w:name w:val="footnote text"/>
    <w:basedOn w:val="1"/>
    <w:link w:val="57"/>
    <w:qFormat/>
    <w:uiPriority w:val="99"/>
    <w:pPr>
      <w:snapToGrid w:val="0"/>
      <w:jc w:val="left"/>
    </w:pPr>
    <w:rPr>
      <w:sz w:val="18"/>
    </w:rPr>
  </w:style>
  <w:style w:type="paragraph" w:styleId="27">
    <w:name w:val="toc 6"/>
    <w:basedOn w:val="1"/>
    <w:next w:val="1"/>
    <w:qFormat/>
    <w:uiPriority w:val="39"/>
    <w:pPr>
      <w:ind w:left="2100" w:leftChars="1000"/>
    </w:pPr>
  </w:style>
  <w:style w:type="paragraph" w:styleId="28">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9">
    <w:name w:val="table of figures"/>
    <w:basedOn w:val="1"/>
    <w:next w:val="1"/>
    <w:qFormat/>
    <w:uiPriority w:val="0"/>
    <w:pPr>
      <w:ind w:left="200" w:leftChars="200" w:hanging="200" w:hangingChars="200"/>
    </w:pPr>
    <w:rPr>
      <w:rFonts w:hint="default" w:ascii="Times New Roman" w:hAnsi="Times New Roman" w:eastAsia="宋体" w:cs="Times New Roman"/>
      <w:sz w:val="21"/>
    </w:rPr>
  </w:style>
  <w:style w:type="paragraph" w:styleId="30">
    <w:name w:val="toc 2"/>
    <w:basedOn w:val="1"/>
    <w:next w:val="1"/>
    <w:qFormat/>
    <w:uiPriority w:val="39"/>
    <w:pPr>
      <w:ind w:left="420" w:leftChars="200"/>
    </w:pPr>
  </w:style>
  <w:style w:type="paragraph" w:styleId="31">
    <w:name w:val="toc 9"/>
    <w:basedOn w:val="1"/>
    <w:next w:val="1"/>
    <w:qFormat/>
    <w:uiPriority w:val="39"/>
    <w:pPr>
      <w:ind w:left="3360" w:leftChars="1600"/>
    </w:p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3">
    <w:name w:val="Normal (Web)"/>
    <w:basedOn w:val="1"/>
    <w:qFormat/>
    <w:uiPriority w:val="0"/>
    <w:pPr>
      <w:spacing w:before="100" w:beforeAutospacing="1" w:after="100" w:afterAutospacing="1"/>
      <w:jc w:val="left"/>
    </w:pPr>
    <w:rPr>
      <w:kern w:val="0"/>
      <w:sz w:val="24"/>
    </w:rPr>
  </w:style>
  <w:style w:type="paragraph" w:styleId="34">
    <w:name w:val="index 1"/>
    <w:basedOn w:val="1"/>
    <w:next w:val="1"/>
    <w:qFormat/>
    <w:uiPriority w:val="0"/>
    <w:rPr>
      <w:szCs w:val="20"/>
    </w:rPr>
  </w:style>
  <w:style w:type="paragraph" w:styleId="35">
    <w:name w:val="Title"/>
    <w:basedOn w:val="1"/>
    <w:next w:val="1"/>
    <w:qFormat/>
    <w:uiPriority w:val="10"/>
    <w:pPr>
      <w:spacing w:before="240" w:after="60"/>
      <w:jc w:val="center"/>
      <w:outlineLvl w:val="0"/>
    </w:pPr>
    <w:rPr>
      <w:rFonts w:ascii="Cambria" w:hAnsi="Cambria"/>
      <w:b/>
      <w:bCs/>
      <w:sz w:val="32"/>
      <w:szCs w:val="32"/>
    </w:rPr>
  </w:style>
  <w:style w:type="paragraph" w:styleId="36">
    <w:name w:val="annotation subject"/>
    <w:basedOn w:val="11"/>
    <w:next w:val="11"/>
    <w:link w:val="58"/>
    <w:qFormat/>
    <w:uiPriority w:val="0"/>
    <w:rPr>
      <w:b/>
      <w:bCs/>
    </w:rPr>
  </w:style>
  <w:style w:type="paragraph" w:styleId="37">
    <w:name w:val="Body Text First Indent"/>
    <w:basedOn w:val="13"/>
    <w:next w:val="1"/>
    <w:qFormat/>
    <w:uiPriority w:val="0"/>
    <w:pPr>
      <w:ind w:firstLine="420" w:firstLineChars="1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rPr>
  </w:style>
  <w:style w:type="character" w:styleId="42">
    <w:name w:val="page number"/>
    <w:basedOn w:val="40"/>
    <w:qFormat/>
    <w:uiPriority w:val="0"/>
  </w:style>
  <w:style w:type="character" w:styleId="43">
    <w:name w:val="FollowedHyperlink"/>
    <w:qFormat/>
    <w:uiPriority w:val="0"/>
    <w:rPr>
      <w:rFonts w:ascii="微软雅黑" w:hAnsi="微软雅黑" w:eastAsia="微软雅黑" w:cs="微软雅黑"/>
      <w:color w:val="02396F"/>
      <w:sz w:val="24"/>
      <w:szCs w:val="20"/>
      <w:u w:val="single"/>
    </w:rPr>
  </w:style>
  <w:style w:type="character" w:styleId="44">
    <w:name w:val="Emphasis"/>
    <w:basedOn w:val="40"/>
    <w:qFormat/>
    <w:uiPriority w:val="0"/>
    <w:rPr>
      <w:i/>
    </w:rPr>
  </w:style>
  <w:style w:type="character" w:styleId="45">
    <w:name w:val="Hyperlink"/>
    <w:basedOn w:val="40"/>
    <w:qFormat/>
    <w:uiPriority w:val="99"/>
    <w:rPr>
      <w:rFonts w:hint="eastAsia" w:ascii="微软雅黑" w:hAnsi="微软雅黑" w:eastAsia="微软雅黑" w:cs="微软雅黑"/>
      <w:color w:val="02396F"/>
      <w:sz w:val="24"/>
      <w:szCs w:val="20"/>
      <w:u w:val="single"/>
    </w:rPr>
  </w:style>
  <w:style w:type="character" w:styleId="46">
    <w:name w:val="annotation reference"/>
    <w:qFormat/>
    <w:uiPriority w:val="99"/>
    <w:rPr>
      <w:sz w:val="21"/>
      <w:szCs w:val="21"/>
    </w:rPr>
  </w:style>
  <w:style w:type="character" w:customStyle="1" w:styleId="47">
    <w:name w:val="正文文本 字符"/>
    <w:link w:val="13"/>
    <w:qFormat/>
    <w:uiPriority w:val="0"/>
    <w:rPr>
      <w:rFonts w:ascii="宋体" w:hAnsi="宋体"/>
      <w:kern w:val="2"/>
      <w:sz w:val="24"/>
      <w:szCs w:val="24"/>
    </w:rPr>
  </w:style>
  <w:style w:type="character" w:customStyle="1" w:styleId="48">
    <w:name w:val="标题 1 字符"/>
    <w:link w:val="4"/>
    <w:qFormat/>
    <w:uiPriority w:val="0"/>
    <w:rPr>
      <w:rFonts w:ascii="宋体"/>
      <w:b/>
      <w:kern w:val="44"/>
      <w:sz w:val="32"/>
    </w:rPr>
  </w:style>
  <w:style w:type="character" w:customStyle="1" w:styleId="49">
    <w:name w:val="标题 2 字符"/>
    <w:link w:val="5"/>
    <w:qFormat/>
    <w:uiPriority w:val="99"/>
    <w:rPr>
      <w:rFonts w:ascii="Arial" w:hAnsi="Arial" w:eastAsia="黑体"/>
      <w:b/>
      <w:sz w:val="30"/>
    </w:rPr>
  </w:style>
  <w:style w:type="character" w:customStyle="1" w:styleId="50">
    <w:name w:val="标题 3 字符"/>
    <w:link w:val="6"/>
    <w:qFormat/>
    <w:uiPriority w:val="0"/>
    <w:rPr>
      <w:rFonts w:ascii="宋体"/>
      <w:b/>
      <w:sz w:val="24"/>
      <w:u w:val="single"/>
    </w:rPr>
  </w:style>
  <w:style w:type="character" w:customStyle="1" w:styleId="51">
    <w:name w:val="批注文字 字符"/>
    <w:link w:val="11"/>
    <w:qFormat/>
    <w:uiPriority w:val="99"/>
    <w:rPr>
      <w:kern w:val="2"/>
      <w:sz w:val="21"/>
      <w:szCs w:val="24"/>
    </w:rPr>
  </w:style>
  <w:style w:type="character" w:customStyle="1" w:styleId="52">
    <w:name w:val="纯文本 字符"/>
    <w:link w:val="16"/>
    <w:qFormat/>
    <w:uiPriority w:val="0"/>
    <w:rPr>
      <w:rFonts w:ascii="宋体" w:hAnsi="Courier New"/>
      <w:kern w:val="2"/>
      <w:sz w:val="21"/>
    </w:rPr>
  </w:style>
  <w:style w:type="character" w:customStyle="1" w:styleId="53">
    <w:name w:val="日期 字符"/>
    <w:link w:val="19"/>
    <w:qFormat/>
    <w:uiPriority w:val="0"/>
    <w:rPr>
      <w:rFonts w:ascii="仿宋_GB2312" w:hAnsi="宋体" w:eastAsia="仿宋_GB2312"/>
      <w:color w:val="000000"/>
      <w:kern w:val="2"/>
      <w:sz w:val="24"/>
      <w:szCs w:val="24"/>
    </w:rPr>
  </w:style>
  <w:style w:type="character" w:customStyle="1" w:styleId="54">
    <w:name w:val="批注框文本 字符"/>
    <w:link w:val="21"/>
    <w:qFormat/>
    <w:uiPriority w:val="0"/>
    <w:rPr>
      <w:kern w:val="2"/>
      <w:sz w:val="18"/>
      <w:szCs w:val="18"/>
    </w:rPr>
  </w:style>
  <w:style w:type="character" w:customStyle="1" w:styleId="55">
    <w:name w:val="页脚 字符"/>
    <w:link w:val="22"/>
    <w:qFormat/>
    <w:uiPriority w:val="99"/>
    <w:rPr>
      <w:rFonts w:ascii="宋体"/>
      <w:sz w:val="18"/>
    </w:rPr>
  </w:style>
  <w:style w:type="character" w:customStyle="1" w:styleId="56">
    <w:name w:val="页眉 字符"/>
    <w:link w:val="23"/>
    <w:qFormat/>
    <w:uiPriority w:val="0"/>
    <w:rPr>
      <w:kern w:val="2"/>
      <w:sz w:val="18"/>
      <w:szCs w:val="18"/>
    </w:rPr>
  </w:style>
  <w:style w:type="character" w:customStyle="1" w:styleId="57">
    <w:name w:val="脚注文本 字符"/>
    <w:basedOn w:val="40"/>
    <w:link w:val="26"/>
    <w:qFormat/>
    <w:uiPriority w:val="99"/>
    <w:rPr>
      <w:kern w:val="2"/>
      <w:sz w:val="18"/>
      <w:szCs w:val="24"/>
    </w:rPr>
  </w:style>
  <w:style w:type="character" w:customStyle="1" w:styleId="58">
    <w:name w:val="批注主题 字符"/>
    <w:link w:val="36"/>
    <w:qFormat/>
    <w:uiPriority w:val="0"/>
    <w:rPr>
      <w:b/>
      <w:bCs/>
      <w:kern w:val="2"/>
      <w:sz w:val="21"/>
      <w:szCs w:val="24"/>
    </w:rPr>
  </w:style>
  <w:style w:type="character" w:customStyle="1" w:styleId="59">
    <w:name w:val="redfilenumber"/>
    <w:qFormat/>
    <w:uiPriority w:val="0"/>
    <w:rPr>
      <w:rFonts w:ascii="Tahoma" w:hAnsi="Tahoma"/>
      <w:color w:val="BA2636"/>
      <w:sz w:val="14"/>
      <w:szCs w:val="14"/>
    </w:rPr>
  </w:style>
  <w:style w:type="character" w:customStyle="1" w:styleId="60">
    <w:name w:val="font41"/>
    <w:basedOn w:val="40"/>
    <w:qFormat/>
    <w:uiPriority w:val="0"/>
    <w:rPr>
      <w:rFonts w:hint="eastAsia" w:ascii="宋体" w:hAnsi="宋体" w:eastAsia="宋体" w:cs="宋体"/>
      <w:color w:val="000000"/>
      <w:sz w:val="22"/>
      <w:szCs w:val="22"/>
      <w:u w:val="none"/>
    </w:rPr>
  </w:style>
  <w:style w:type="character" w:customStyle="1" w:styleId="61">
    <w:name w:val="批注框文本 Char1"/>
    <w:qFormat/>
    <w:uiPriority w:val="99"/>
    <w:rPr>
      <w:kern w:val="2"/>
      <w:sz w:val="18"/>
      <w:szCs w:val="18"/>
    </w:rPr>
  </w:style>
  <w:style w:type="character" w:customStyle="1" w:styleId="62">
    <w:name w:val="redfilefwwh"/>
    <w:qFormat/>
    <w:uiPriority w:val="0"/>
    <w:rPr>
      <w:rFonts w:ascii="Tahoma" w:hAnsi="Tahoma"/>
      <w:color w:val="BA2636"/>
      <w:sz w:val="14"/>
      <w:szCs w:val="14"/>
    </w:rPr>
  </w:style>
  <w:style w:type="character" w:customStyle="1" w:styleId="63">
    <w:name w:val="批注文字 Char1"/>
    <w:qFormat/>
    <w:uiPriority w:val="99"/>
    <w:rPr>
      <w:kern w:val="2"/>
      <w:sz w:val="21"/>
      <w:szCs w:val="24"/>
    </w:rPr>
  </w:style>
  <w:style w:type="character" w:customStyle="1" w:styleId="64">
    <w:name w:val="页眉 Char1"/>
    <w:qFormat/>
    <w:uiPriority w:val="99"/>
    <w:rPr>
      <w:kern w:val="2"/>
      <w:sz w:val="18"/>
      <w:szCs w:val="18"/>
    </w:rPr>
  </w:style>
  <w:style w:type="character" w:customStyle="1" w:styleId="65">
    <w:name w:val="纯文本 Char1"/>
    <w:link w:val="66"/>
    <w:qFormat/>
    <w:uiPriority w:val="0"/>
    <w:rPr>
      <w:rFonts w:ascii="宋体" w:hAnsi="Courier New"/>
    </w:rPr>
  </w:style>
  <w:style w:type="paragraph" w:customStyle="1" w:styleId="66">
    <w:name w:val="纯文本1"/>
    <w:basedOn w:val="1"/>
    <w:link w:val="65"/>
    <w:qFormat/>
    <w:uiPriority w:val="0"/>
    <w:rPr>
      <w:rFonts w:ascii="宋体" w:hAnsi="Courier New"/>
      <w:kern w:val="0"/>
      <w:sz w:val="20"/>
      <w:szCs w:val="20"/>
    </w:rPr>
  </w:style>
  <w:style w:type="character" w:customStyle="1" w:styleId="67">
    <w:name w:val="NormalCharacter"/>
    <w:qFormat/>
    <w:uiPriority w:val="99"/>
    <w:rPr>
      <w:color w:val="auto"/>
    </w:rPr>
  </w:style>
  <w:style w:type="character" w:customStyle="1" w:styleId="68">
    <w:name w:val="font01"/>
    <w:basedOn w:val="40"/>
    <w:qFormat/>
    <w:uiPriority w:val="0"/>
    <w:rPr>
      <w:rFonts w:hint="default" w:ascii="华文细黑" w:hAnsi="华文细黑" w:eastAsia="华文细黑" w:cs="华文细黑"/>
      <w:b/>
      <w:color w:val="000000"/>
      <w:sz w:val="22"/>
      <w:szCs w:val="22"/>
      <w:u w:val="none"/>
    </w:rPr>
  </w:style>
  <w:style w:type="character" w:customStyle="1" w:styleId="69">
    <w:name w:val="gjfg"/>
    <w:basedOn w:val="40"/>
    <w:qFormat/>
    <w:uiPriority w:val="0"/>
  </w:style>
  <w:style w:type="character" w:customStyle="1" w:styleId="70">
    <w:name w:val="qxdate"/>
    <w:qFormat/>
    <w:uiPriority w:val="0"/>
    <w:rPr>
      <w:rFonts w:ascii="Tahoma" w:hAnsi="Tahoma"/>
      <w:color w:val="333333"/>
      <w:sz w:val="14"/>
      <w:szCs w:val="14"/>
    </w:rPr>
  </w:style>
  <w:style w:type="character" w:customStyle="1" w:styleId="71">
    <w:name w:val="font131"/>
    <w:basedOn w:val="40"/>
    <w:qFormat/>
    <w:uiPriority w:val="0"/>
    <w:rPr>
      <w:rFonts w:hint="default" w:ascii="华文细黑" w:hAnsi="华文细黑" w:eastAsia="华文细黑" w:cs="华文细黑"/>
      <w:color w:val="000000"/>
      <w:sz w:val="20"/>
      <w:szCs w:val="20"/>
      <w:u w:val="none"/>
    </w:rPr>
  </w:style>
  <w:style w:type="character" w:customStyle="1" w:styleId="72">
    <w:name w:val="font101"/>
    <w:basedOn w:val="40"/>
    <w:qFormat/>
    <w:uiPriority w:val="0"/>
    <w:rPr>
      <w:rFonts w:hint="default" w:ascii="Times New Roman" w:hAnsi="Times New Roman" w:cs="Times New Roman"/>
      <w:color w:val="000000"/>
      <w:sz w:val="20"/>
      <w:szCs w:val="20"/>
      <w:u w:val="none"/>
    </w:rPr>
  </w:style>
  <w:style w:type="character" w:customStyle="1" w:styleId="73">
    <w:name w:val="font81"/>
    <w:basedOn w:val="40"/>
    <w:qFormat/>
    <w:uiPriority w:val="0"/>
    <w:rPr>
      <w:rFonts w:hint="default" w:ascii="Times New Roman" w:hAnsi="Times New Roman" w:cs="Times New Roman"/>
      <w:color w:val="000000"/>
      <w:sz w:val="24"/>
      <w:szCs w:val="24"/>
      <w:u w:val="none"/>
    </w:rPr>
  </w:style>
  <w:style w:type="character" w:customStyle="1" w:styleId="74">
    <w:name w:val="font51"/>
    <w:basedOn w:val="40"/>
    <w:qFormat/>
    <w:uiPriority w:val="0"/>
    <w:rPr>
      <w:rFonts w:hint="default" w:ascii="华文细黑" w:hAnsi="华文细黑" w:eastAsia="华文细黑" w:cs="华文细黑"/>
      <w:color w:val="000000"/>
      <w:sz w:val="20"/>
      <w:szCs w:val="20"/>
      <w:u w:val="none"/>
    </w:rPr>
  </w:style>
  <w:style w:type="character" w:customStyle="1" w:styleId="75">
    <w:name w:val="正文缩进 Char1"/>
    <w:link w:val="76"/>
    <w:qFormat/>
    <w:uiPriority w:val="0"/>
    <w:rPr>
      <w:rFonts w:ascii="宋体"/>
      <w:sz w:val="24"/>
    </w:rPr>
  </w:style>
  <w:style w:type="paragraph" w:customStyle="1" w:styleId="76">
    <w:name w:val="正文缩进1"/>
    <w:basedOn w:val="1"/>
    <w:link w:val="75"/>
    <w:qFormat/>
    <w:uiPriority w:val="0"/>
    <w:pPr>
      <w:autoSpaceDE w:val="0"/>
      <w:autoSpaceDN w:val="0"/>
      <w:adjustRightInd w:val="0"/>
      <w:ind w:firstLine="420"/>
      <w:jc w:val="left"/>
    </w:pPr>
    <w:rPr>
      <w:rFonts w:ascii="宋体"/>
      <w:kern w:val="0"/>
      <w:sz w:val="24"/>
      <w:szCs w:val="20"/>
    </w:rPr>
  </w:style>
  <w:style w:type="character" w:customStyle="1" w:styleId="77">
    <w:name w:val="批注主题 Char1"/>
    <w:qFormat/>
    <w:uiPriority w:val="99"/>
    <w:rPr>
      <w:b/>
      <w:bCs/>
      <w:kern w:val="2"/>
      <w:sz w:val="21"/>
      <w:szCs w:val="24"/>
    </w:rPr>
  </w:style>
  <w:style w:type="character" w:customStyle="1" w:styleId="78">
    <w:name w:val="displayarti"/>
    <w:qFormat/>
    <w:uiPriority w:val="0"/>
    <w:rPr>
      <w:rFonts w:ascii="Tahoma" w:hAnsi="Tahoma"/>
      <w:color w:val="FFFFFF"/>
      <w:sz w:val="24"/>
      <w:szCs w:val="20"/>
      <w:shd w:val="clear" w:color="auto" w:fill="A00000"/>
    </w:rPr>
  </w:style>
  <w:style w:type="character" w:customStyle="1" w:styleId="79">
    <w:name w:val="font21"/>
    <w:basedOn w:val="40"/>
    <w:qFormat/>
    <w:uiPriority w:val="0"/>
    <w:rPr>
      <w:rFonts w:hint="eastAsia" w:ascii="宋体" w:hAnsi="宋体" w:eastAsia="宋体" w:cs="宋体"/>
      <w:color w:val="000000"/>
      <w:sz w:val="18"/>
      <w:szCs w:val="18"/>
      <w:u w:val="none"/>
    </w:rPr>
  </w:style>
  <w:style w:type="character" w:customStyle="1" w:styleId="80">
    <w:name w:val="p4"/>
    <w:basedOn w:val="40"/>
    <w:qFormat/>
    <w:uiPriority w:val="0"/>
  </w:style>
  <w:style w:type="character" w:customStyle="1" w:styleId="81">
    <w:name w:val="cfdate"/>
    <w:qFormat/>
    <w:uiPriority w:val="0"/>
    <w:rPr>
      <w:rFonts w:ascii="Tahoma" w:hAnsi="Tahoma"/>
      <w:color w:val="333333"/>
      <w:sz w:val="14"/>
      <w:szCs w:val="14"/>
    </w:rPr>
  </w:style>
  <w:style w:type="character" w:customStyle="1" w:styleId="82">
    <w:name w:val="font141"/>
    <w:basedOn w:val="40"/>
    <w:qFormat/>
    <w:uiPriority w:val="0"/>
    <w:rPr>
      <w:rFonts w:hint="default" w:ascii="华文细黑" w:hAnsi="华文细黑" w:eastAsia="华文细黑" w:cs="华文细黑"/>
      <w:color w:val="000000"/>
      <w:sz w:val="20"/>
      <w:szCs w:val="20"/>
      <w:u w:val="none"/>
    </w:rPr>
  </w:style>
  <w:style w:type="character" w:customStyle="1" w:styleId="83">
    <w:name w:val="font11"/>
    <w:basedOn w:val="40"/>
    <w:qFormat/>
    <w:uiPriority w:val="0"/>
    <w:rPr>
      <w:rFonts w:hint="default" w:ascii="Times New Roman" w:hAnsi="Times New Roman" w:cs="Times New Roman"/>
      <w:color w:val="000000"/>
      <w:sz w:val="20"/>
      <w:szCs w:val="20"/>
      <w:u w:val="none"/>
    </w:rPr>
  </w:style>
  <w:style w:type="character" w:customStyle="1" w:styleId="84">
    <w:name w:val="font31"/>
    <w:basedOn w:val="40"/>
    <w:qFormat/>
    <w:uiPriority w:val="0"/>
    <w:rPr>
      <w:rFonts w:hint="default" w:ascii="Times New Roman" w:hAnsi="Times New Roman" w:cs="Times New Roman"/>
      <w:color w:val="000000"/>
      <w:sz w:val="20"/>
      <w:szCs w:val="20"/>
      <w:u w:val="none"/>
    </w:rPr>
  </w:style>
  <w:style w:type="paragraph" w:customStyle="1" w:styleId="85">
    <w:name w:val="表格文字"/>
    <w:basedOn w:val="1"/>
    <w:qFormat/>
    <w:uiPriority w:val="0"/>
    <w:pPr>
      <w:spacing w:before="25" w:after="25"/>
      <w:jc w:val="left"/>
    </w:pPr>
    <w:rPr>
      <w:bCs/>
      <w:spacing w:val="10"/>
      <w:kern w:val="0"/>
      <w:sz w:val="24"/>
      <w:szCs w:val="20"/>
    </w:rPr>
  </w:style>
  <w:style w:type="paragraph" w:customStyle="1" w:styleId="86">
    <w:name w:val="Char"/>
    <w:basedOn w:val="1"/>
    <w:qFormat/>
    <w:uiPriority w:val="0"/>
    <w:pPr>
      <w:autoSpaceDE w:val="0"/>
      <w:autoSpaceDN w:val="0"/>
    </w:pPr>
    <w:rPr>
      <w:rFonts w:ascii="Tahoma" w:hAnsi="Tahoma"/>
      <w:sz w:val="24"/>
      <w:szCs w:val="20"/>
    </w:rPr>
  </w:style>
  <w:style w:type="paragraph" w:customStyle="1" w:styleId="87">
    <w:name w:val="List Paragraph1"/>
    <w:basedOn w:val="1"/>
    <w:qFormat/>
    <w:uiPriority w:val="34"/>
    <w:pPr>
      <w:ind w:firstLine="420" w:firstLineChars="200"/>
    </w:pPr>
  </w:style>
  <w:style w:type="paragraph" w:customStyle="1" w:styleId="88">
    <w:name w:val="Table Paragraph"/>
    <w:basedOn w:val="1"/>
    <w:qFormat/>
    <w:uiPriority w:val="1"/>
    <w:rPr>
      <w:rFonts w:ascii="宋体" w:hAnsi="宋体" w:cs="宋体"/>
      <w:lang w:val="zh-CN" w:bidi="zh-CN"/>
    </w:rPr>
  </w:style>
  <w:style w:type="paragraph" w:customStyle="1" w:styleId="8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90">
    <w:name w:val="Preistext2"/>
    <w:basedOn w:val="1"/>
    <w:qFormat/>
    <w:uiPriority w:val="0"/>
    <w:pPr>
      <w:tabs>
        <w:tab w:val="left" w:pos="709"/>
        <w:tab w:val="left" w:pos="1701"/>
        <w:tab w:val="left" w:pos="3119"/>
      </w:tabs>
      <w:ind w:left="1843" w:right="1701"/>
    </w:pPr>
    <w:rPr>
      <w:sz w:val="18"/>
      <w:szCs w:val="20"/>
      <w:lang w:val="en-GB" w:eastAsia="de-DE"/>
    </w:rPr>
  </w:style>
  <w:style w:type="paragraph" w:customStyle="1" w:styleId="91">
    <w:name w:val="_Style 38"/>
    <w:basedOn w:val="1"/>
    <w:next w:val="92"/>
    <w:qFormat/>
    <w:uiPriority w:val="0"/>
    <w:pPr>
      <w:ind w:firstLine="420" w:firstLineChars="200"/>
    </w:pPr>
    <w:rPr>
      <w:szCs w:val="21"/>
    </w:rPr>
  </w:style>
  <w:style w:type="paragraph" w:styleId="92">
    <w:name w:val="List Paragraph"/>
    <w:basedOn w:val="1"/>
    <w:qFormat/>
    <w:uiPriority w:val="34"/>
    <w:pPr>
      <w:widowControl/>
      <w:ind w:firstLine="420" w:firstLineChars="200"/>
      <w:jc w:val="left"/>
    </w:pPr>
    <w:rPr>
      <w:kern w:val="0"/>
      <w:sz w:val="24"/>
    </w:rPr>
  </w:style>
  <w:style w:type="paragraph" w:customStyle="1" w:styleId="93">
    <w:name w:val="p0"/>
    <w:basedOn w:val="1"/>
    <w:qFormat/>
    <w:uiPriority w:val="0"/>
    <w:pPr>
      <w:widowControl/>
    </w:pPr>
    <w:rPr>
      <w:kern w:val="0"/>
      <w:szCs w:val="21"/>
    </w:rPr>
  </w:style>
  <w:style w:type="paragraph" w:customStyle="1" w:styleId="94">
    <w:name w:val="Char1"/>
    <w:basedOn w:val="1"/>
    <w:qFormat/>
    <w:uiPriority w:val="0"/>
    <w:pPr>
      <w:tabs>
        <w:tab w:val="left" w:pos="360"/>
      </w:tabs>
    </w:pPr>
    <w:rPr>
      <w:sz w:val="24"/>
    </w:rPr>
  </w:style>
  <w:style w:type="paragraph" w:customStyle="1" w:styleId="95">
    <w:name w:val="11111"/>
    <w:basedOn w:val="5"/>
    <w:qFormat/>
    <w:uiPriority w:val="0"/>
    <w:pPr>
      <w:spacing w:before="260" w:after="260" w:line="416" w:lineRule="atLeast"/>
    </w:pPr>
    <w:rPr>
      <w:rFonts w:ascii="黑体" w:hAnsi="黑体"/>
      <w:bCs/>
      <w:sz w:val="32"/>
      <w:szCs w:val="32"/>
    </w:rPr>
  </w:style>
  <w:style w:type="paragraph" w:customStyle="1" w:styleId="9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
    <w:name w:val="图例"/>
    <w:basedOn w:val="1"/>
    <w:qFormat/>
    <w:uiPriority w:val="0"/>
    <w:pPr>
      <w:spacing w:line="360" w:lineRule="auto"/>
      <w:jc w:val="center"/>
    </w:pPr>
    <w:rPr>
      <w:rFonts w:eastAsia="仿宋_GB2312"/>
      <w:b/>
      <w:bCs/>
      <w:sz w:val="24"/>
    </w:rPr>
  </w:style>
  <w:style w:type="paragraph" w:customStyle="1" w:styleId="98">
    <w:name w:val="样式 正文缩进 + 首行缩进:  2 字符"/>
    <w:basedOn w:val="9"/>
    <w:qFormat/>
    <w:uiPriority w:val="0"/>
    <w:pPr>
      <w:spacing w:line="360" w:lineRule="auto"/>
      <w:ind w:firstLine="200"/>
    </w:pPr>
    <w:rPr>
      <w:rFonts w:cs="宋体"/>
    </w:rPr>
  </w:style>
  <w:style w:type="paragraph" w:customStyle="1" w:styleId="99">
    <w:name w:val="_Style 1"/>
    <w:basedOn w:val="1"/>
    <w:qFormat/>
    <w:uiPriority w:val="34"/>
    <w:pPr>
      <w:ind w:firstLine="420" w:firstLineChars="200"/>
    </w:pPr>
  </w:style>
  <w:style w:type="paragraph" w:customStyle="1" w:styleId="100">
    <w:name w:val="p16"/>
    <w:basedOn w:val="1"/>
    <w:qFormat/>
    <w:uiPriority w:val="0"/>
    <w:pPr>
      <w:widowControl/>
    </w:pPr>
    <w:rPr>
      <w:kern w:val="0"/>
      <w:szCs w:val="21"/>
    </w:rPr>
  </w:style>
  <w:style w:type="paragraph" w:customStyle="1" w:styleId="101">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102">
    <w:name w:val="列出段落1"/>
    <w:basedOn w:val="1"/>
    <w:qFormat/>
    <w:uiPriority w:val="34"/>
    <w:pPr>
      <w:widowControl/>
      <w:ind w:left="720"/>
      <w:contextualSpacing/>
      <w:jc w:val="left"/>
    </w:pPr>
    <w:rPr>
      <w:rFonts w:ascii="Calibri" w:hAnsi="Calibri"/>
      <w:kern w:val="0"/>
      <w:sz w:val="22"/>
    </w:rPr>
  </w:style>
  <w:style w:type="paragraph" w:customStyle="1" w:styleId="103">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0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105">
    <w:name w:val="索引 11"/>
    <w:basedOn w:val="1"/>
    <w:next w:val="1"/>
    <w:qFormat/>
    <w:uiPriority w:val="0"/>
    <w:pPr>
      <w:spacing w:line="360" w:lineRule="auto"/>
    </w:pPr>
    <w:rPr>
      <w:rFonts w:ascii="仿宋_GB2312" w:eastAsia="仿宋_GB2312"/>
      <w:sz w:val="24"/>
      <w:szCs w:val="20"/>
    </w:rPr>
  </w:style>
  <w:style w:type="paragraph" w:customStyle="1" w:styleId="106">
    <w:name w:val="列表段落1"/>
    <w:basedOn w:val="1"/>
    <w:qFormat/>
    <w:uiPriority w:val="34"/>
    <w:pPr>
      <w:ind w:firstLine="420" w:firstLineChars="200"/>
    </w:pPr>
  </w:style>
  <w:style w:type="table" w:customStyle="1" w:styleId="107">
    <w:name w:val="Table Normal"/>
    <w:qFormat/>
    <w:uiPriority w:val="0"/>
    <w:tblPr>
      <w:tblCellMar>
        <w:top w:w="0" w:type="dxa"/>
        <w:left w:w="0" w:type="dxa"/>
        <w:bottom w:w="0" w:type="dxa"/>
        <w:right w:w="0" w:type="dxa"/>
      </w:tblCellMar>
    </w:tblPr>
  </w:style>
  <w:style w:type="table" w:customStyle="1" w:styleId="108">
    <w:name w:val="网格型1"/>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2"/>
    <w:basedOn w:val="38"/>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Heading #1|1"/>
    <w:basedOn w:val="1"/>
    <w:qFormat/>
    <w:uiPriority w:val="0"/>
    <w:pPr>
      <w:outlineLvl w:val="0"/>
    </w:pPr>
    <w:rPr>
      <w:b/>
      <w:bCs/>
      <w:color w:val="9B4265"/>
      <w:sz w:val="116"/>
      <w:szCs w:val="116"/>
    </w:rPr>
  </w:style>
  <w:style w:type="paragraph" w:customStyle="1" w:styleId="111">
    <w:name w:val="Heading #3|1"/>
    <w:basedOn w:val="1"/>
    <w:qFormat/>
    <w:uiPriority w:val="0"/>
    <w:pPr>
      <w:spacing w:after="70"/>
      <w:ind w:firstLine="460"/>
      <w:outlineLvl w:val="2"/>
    </w:pPr>
    <w:rPr>
      <w:rFonts w:ascii="宋体" w:hAnsi="宋体" w:cs="宋体"/>
      <w:color w:val="18437D"/>
      <w:sz w:val="22"/>
      <w:szCs w:val="22"/>
      <w:lang w:val="zh-TW" w:eastAsia="zh-TW" w:bidi="zh-TW"/>
    </w:rPr>
  </w:style>
  <w:style w:type="paragraph" w:customStyle="1" w:styleId="112">
    <w:name w:val="Body text|1"/>
    <w:basedOn w:val="1"/>
    <w:qFormat/>
    <w:uiPriority w:val="0"/>
    <w:pPr>
      <w:spacing w:line="480" w:lineRule="auto"/>
    </w:pPr>
    <w:rPr>
      <w:rFonts w:ascii="宋体" w:hAnsi="宋体" w:cs="宋体"/>
      <w:sz w:val="17"/>
      <w:szCs w:val="17"/>
      <w:lang w:val="zh-TW" w:eastAsia="zh-TW" w:bidi="zh-TW"/>
    </w:rPr>
  </w:style>
  <w:style w:type="paragraph" w:customStyle="1" w:styleId="113">
    <w:name w:val="Other|1"/>
    <w:basedOn w:val="1"/>
    <w:qFormat/>
    <w:uiPriority w:val="0"/>
    <w:pPr>
      <w:spacing w:line="480" w:lineRule="auto"/>
    </w:pPr>
    <w:rPr>
      <w:rFonts w:ascii="宋体" w:hAnsi="宋体" w:cs="宋体"/>
      <w:sz w:val="17"/>
      <w:szCs w:val="17"/>
      <w:lang w:val="zh-TW" w:eastAsia="zh-TW" w:bidi="zh-TW"/>
    </w:rPr>
  </w:style>
  <w:style w:type="paragraph" w:customStyle="1" w:styleId="114">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115">
    <w:name w:val="Style1"/>
    <w:basedOn w:val="1"/>
    <w:qFormat/>
    <w:uiPriority w:val="0"/>
    <w:pPr>
      <w:widowControl/>
      <w:tabs>
        <w:tab w:val="left" w:pos="-720"/>
      </w:tabs>
      <w:spacing w:after="120"/>
    </w:pPr>
    <w:rPr>
      <w:spacing w:val="-3"/>
      <w:kern w:val="0"/>
      <w:sz w:val="24"/>
      <w:szCs w:val="20"/>
      <w:lang w:val="en-AU" w:eastAsia="en-US"/>
    </w:rPr>
  </w:style>
  <w:style w:type="paragraph" w:customStyle="1" w:styleId="116">
    <w:name w:val="标题 5（有编号）（绿盟科技）"/>
    <w:basedOn w:val="1"/>
    <w:next w:val="117"/>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17">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18">
    <w:name w:val="font61"/>
    <w:basedOn w:val="40"/>
    <w:qFormat/>
    <w:uiPriority w:val="0"/>
    <w:rPr>
      <w:rFonts w:hint="eastAsia" w:ascii="宋体" w:hAnsi="宋体" w:eastAsia="宋体" w:cs="宋体"/>
      <w:color w:val="000000"/>
      <w:sz w:val="20"/>
      <w:szCs w:val="20"/>
      <w:u w:val="none"/>
    </w:rPr>
  </w:style>
  <w:style w:type="character" w:customStyle="1" w:styleId="119">
    <w:name w:val="font112"/>
    <w:basedOn w:val="40"/>
    <w:qFormat/>
    <w:uiPriority w:val="0"/>
    <w:rPr>
      <w:rFonts w:hint="eastAsia" w:ascii="宋体" w:hAnsi="宋体" w:eastAsia="宋体" w:cs="宋体"/>
      <w:b/>
      <w:bCs/>
      <w:color w:val="000000"/>
      <w:sz w:val="18"/>
      <w:szCs w:val="18"/>
      <w:u w:val="none"/>
    </w:rPr>
  </w:style>
  <w:style w:type="character" w:customStyle="1" w:styleId="120">
    <w:name w:val="font122"/>
    <w:basedOn w:val="40"/>
    <w:qFormat/>
    <w:uiPriority w:val="0"/>
    <w:rPr>
      <w:rFonts w:hint="eastAsia" w:ascii="宋体" w:hAnsi="宋体" w:eastAsia="宋体" w:cs="宋体"/>
      <w:b/>
      <w:bCs/>
      <w:color w:val="000000"/>
      <w:sz w:val="18"/>
      <w:szCs w:val="18"/>
      <w:u w:val="none"/>
    </w:rPr>
  </w:style>
  <w:style w:type="character" w:customStyle="1" w:styleId="121">
    <w:name w:val="font91"/>
    <w:basedOn w:val="40"/>
    <w:qFormat/>
    <w:uiPriority w:val="0"/>
    <w:rPr>
      <w:rFonts w:hint="eastAsia" w:ascii="宋体" w:hAnsi="宋体" w:eastAsia="宋体" w:cs="宋体"/>
      <w:b/>
      <w:bCs/>
      <w:color w:val="000000"/>
      <w:sz w:val="18"/>
      <w:szCs w:val="18"/>
      <w:u w:val="none"/>
    </w:rPr>
  </w:style>
  <w:style w:type="character" w:customStyle="1" w:styleId="122">
    <w:name w:val="font71"/>
    <w:basedOn w:val="40"/>
    <w:qFormat/>
    <w:uiPriority w:val="0"/>
    <w:rPr>
      <w:rFonts w:hint="eastAsia" w:ascii="宋体" w:hAnsi="宋体" w:eastAsia="宋体" w:cs="宋体"/>
      <w:color w:val="000000"/>
      <w:sz w:val="20"/>
      <w:szCs w:val="20"/>
    </w:rPr>
  </w:style>
  <w:style w:type="character" w:customStyle="1" w:styleId="123">
    <w:name w:val="font121"/>
    <w:basedOn w:val="40"/>
    <w:qFormat/>
    <w:uiPriority w:val="0"/>
    <w:rPr>
      <w:rFonts w:hint="eastAsia" w:ascii="宋体" w:hAnsi="宋体" w:eastAsia="宋体" w:cs="宋体"/>
      <w:b/>
      <w:bCs/>
      <w:color w:val="000000"/>
      <w:sz w:val="18"/>
      <w:szCs w:val="18"/>
      <w:u w:val="none"/>
    </w:rPr>
  </w:style>
  <w:style w:type="paragraph" w:customStyle="1" w:styleId="124">
    <w:name w:val="Table Text"/>
    <w:basedOn w:val="1"/>
    <w:semiHidden/>
    <w:qFormat/>
    <w:uiPriority w:val="0"/>
    <w:rPr>
      <w:rFonts w:ascii="宋体" w:hAnsi="宋体" w:eastAsia="宋体" w:cs="宋体"/>
      <w:sz w:val="18"/>
      <w:szCs w:val="18"/>
      <w:lang w:val="en-US" w:eastAsia="en-US" w:bidi="ar-SA"/>
    </w:rPr>
  </w:style>
  <w:style w:type="paragraph" w:customStyle="1" w:styleId="125">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126">
    <w:name w:val="WPSOffice手动目录 1"/>
    <w:qFormat/>
    <w:uiPriority w:val="0"/>
    <w:pPr>
      <w:ind w:leftChars="0"/>
    </w:pPr>
    <w:rPr>
      <w:rFonts w:ascii="Times New Roman" w:hAnsi="Times New Roman" w:eastAsia="宋体" w:cs="Times New Roman"/>
      <w:sz w:val="20"/>
      <w:szCs w:val="20"/>
    </w:rPr>
  </w:style>
  <w:style w:type="paragraph" w:customStyle="1" w:styleId="12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Company>
  <Pages>97</Pages>
  <Words>17787</Words>
  <Characters>19122</Characters>
  <Paragraphs>3783</Paragraphs>
  <TotalTime>48</TotalTime>
  <ScaleCrop>false</ScaleCrop>
  <LinksUpToDate>false</LinksUpToDate>
  <CharactersWithSpaces>21439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2018-11-27T07:38:00Z</dcterms:created>
  <dc:creator>USER-</dc:creator>
  <cp:lastModifiedBy>猫七大人</cp:lastModifiedBy>
  <cp:lastPrinted>2023-07-04T03:21:00Z</cp:lastPrinted>
  <dcterms:modified xsi:type="dcterms:W3CDTF">2025-02-21T13:34:19Z</dcterms:modified>
  <dc:title>02年杜范本稿</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D7E7E0687770454387E5588D3A040268_13</vt:lpwstr>
  </property>
  <property fmtid="{D5CDD505-2E9C-101B-9397-08002B2CF9AE}" pid="4" name="KSOTemplateDocerSaveRecord">
    <vt:lpwstr>eyJoZGlkIjoiMGY0MjcyNDZlMDM5YzRiZGU2Njg4Yjk4NDEwOTE5ZDciLCJ1c2VySWQiOiI0NjQ3NjA2MDUifQ==</vt:lpwstr>
  </property>
</Properties>
</file>