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ACDB89">
      <w:pPr>
        <w:pStyle w:val="6"/>
        <w:jc w:val="center"/>
        <w:rPr>
          <w:rFonts w:hint="eastAsia" w:ascii="华文中宋" w:hAnsi="华文中宋" w:eastAsia="华文中宋" w:cs="Times New Roman"/>
          <w:b/>
          <w:bCs/>
          <w:color w:val="auto"/>
          <w:kern w:val="44"/>
          <w:sz w:val="44"/>
          <w:szCs w:val="44"/>
          <w:highlight w:val="none"/>
          <w:lang w:val="en-US" w:eastAsia="zh-CN" w:bidi="ar-SA"/>
        </w:rPr>
      </w:pPr>
      <w:r>
        <w:rPr>
          <w:rFonts w:hint="eastAsia" w:ascii="华文中宋" w:hAnsi="华文中宋" w:eastAsia="华文中宋" w:cs="Times New Roman"/>
          <w:b/>
          <w:bCs/>
          <w:color w:val="auto"/>
          <w:kern w:val="44"/>
          <w:sz w:val="44"/>
          <w:szCs w:val="44"/>
          <w:highlight w:val="none"/>
          <w:lang w:val="en-US" w:eastAsia="zh-CN" w:bidi="ar-SA"/>
        </w:rPr>
        <w:t>阔克阿尕什乡卓勒吐斯坎村新建晒场建设项目</w:t>
      </w:r>
    </w:p>
    <w:p w14:paraId="2B11F2DB">
      <w:pPr>
        <w:pStyle w:val="6"/>
        <w:jc w:val="center"/>
        <w:rPr>
          <w:rFonts w:ascii="华文中宋" w:hAnsi="华文中宋" w:eastAsia="华文中宋"/>
          <w:color w:val="auto"/>
          <w:highlight w:val="none"/>
        </w:rPr>
      </w:pPr>
      <w:r>
        <w:rPr>
          <w:rFonts w:hint="eastAsia" w:ascii="华文中宋" w:hAnsi="华文中宋" w:eastAsia="华文中宋" w:cs="Times New Roman"/>
          <w:b/>
          <w:bCs/>
          <w:color w:val="auto"/>
          <w:kern w:val="44"/>
          <w:sz w:val="44"/>
          <w:szCs w:val="44"/>
          <w:highlight w:val="none"/>
          <w:lang w:val="en-US" w:eastAsia="zh-CN" w:bidi="ar-SA"/>
        </w:rPr>
        <w:t>竞争性磋商公告</w:t>
      </w:r>
    </w:p>
    <w:p w14:paraId="7E2C1049">
      <w:pPr>
        <w:rPr>
          <w:color w:val="auto"/>
          <w:highlight w:val="none"/>
        </w:rPr>
      </w:pPr>
    </w:p>
    <w:p w14:paraId="1D19AC42">
      <w:pPr>
        <w:pBdr>
          <w:top w:val="single" w:color="auto" w:sz="4" w:space="1"/>
          <w:left w:val="single" w:color="auto" w:sz="4" w:space="4"/>
          <w:bottom w:val="single" w:color="auto" w:sz="4" w:space="1"/>
          <w:right w:val="single" w:color="auto" w:sz="4" w:space="4"/>
        </w:pBd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项目概况</w:t>
      </w:r>
    </w:p>
    <w:p w14:paraId="78EBAE55">
      <w:pPr>
        <w:pBdr>
          <w:top w:val="single" w:color="auto" w:sz="4" w:space="1"/>
          <w:left w:val="single" w:color="auto" w:sz="4" w:space="4"/>
          <w:bottom w:val="single" w:color="auto" w:sz="4" w:space="1"/>
          <w:right w:val="single" w:color="auto" w:sz="4" w:space="4"/>
        </w:pBd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u w:val="single"/>
          <w:lang w:val="en-US" w:eastAsia="zh-CN"/>
        </w:rPr>
        <w:t>阔克阿尕什乡卓勒吐斯坎村新建晒场建设项目</w:t>
      </w:r>
      <w:r>
        <w:rPr>
          <w:rFonts w:hint="eastAsia" w:ascii="仿宋" w:hAnsi="仿宋" w:eastAsia="仿宋"/>
          <w:color w:val="auto"/>
          <w:sz w:val="28"/>
          <w:szCs w:val="28"/>
          <w:highlight w:val="none"/>
        </w:rPr>
        <w:t>的潜在供应商应在政采云平台https://www.zcygov.cn/在线申请获取采购文件（进入“项目采购”应用，在获取采购文件菜单中选择项目，申请获取采购文件），并于</w:t>
      </w:r>
      <w:r>
        <w:rPr>
          <w:rFonts w:hint="eastAsia" w:ascii="仿宋" w:hAnsi="仿宋" w:eastAsia="仿宋"/>
          <w:bCs/>
          <w:color w:val="auto"/>
          <w:sz w:val="28"/>
          <w:szCs w:val="28"/>
          <w:highlight w:val="none"/>
          <w:u w:val="single"/>
          <w:lang w:val="en-US" w:eastAsia="zh-CN"/>
        </w:rPr>
        <w:t>2025年4月3日16点30分</w:t>
      </w:r>
      <w:r>
        <w:rPr>
          <w:rFonts w:hint="eastAsia" w:ascii="仿宋" w:hAnsi="仿宋" w:eastAsia="仿宋"/>
          <w:bCs/>
          <w:color w:val="auto"/>
          <w:sz w:val="28"/>
          <w:szCs w:val="28"/>
          <w:highlight w:val="none"/>
        </w:rPr>
        <w:t>前提交响应</w:t>
      </w:r>
      <w:r>
        <w:rPr>
          <w:rFonts w:ascii="仿宋" w:hAnsi="仿宋" w:eastAsia="仿宋"/>
          <w:bCs/>
          <w:color w:val="auto"/>
          <w:sz w:val="28"/>
          <w:szCs w:val="28"/>
          <w:highlight w:val="none"/>
        </w:rPr>
        <w:t>文件</w:t>
      </w:r>
      <w:r>
        <w:rPr>
          <w:rFonts w:hint="eastAsia" w:ascii="仿宋" w:hAnsi="仿宋" w:eastAsia="仿宋"/>
          <w:color w:val="auto"/>
          <w:sz w:val="28"/>
          <w:szCs w:val="28"/>
          <w:highlight w:val="none"/>
        </w:rPr>
        <w:t>。</w:t>
      </w:r>
    </w:p>
    <w:p w14:paraId="0C0BF246">
      <w:pPr>
        <w:spacing w:line="360" w:lineRule="auto"/>
        <w:rPr>
          <w:color w:val="auto"/>
          <w:highlight w:val="none"/>
        </w:rPr>
      </w:pPr>
    </w:p>
    <w:p w14:paraId="7DFEAC8E">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rPr>
      </w:pPr>
      <w:bookmarkStart w:id="0" w:name="_Toc28359012"/>
      <w:bookmarkStart w:id="1" w:name="_Toc35393798"/>
      <w:bookmarkStart w:id="2" w:name="_Toc35393629"/>
      <w:bookmarkStart w:id="3" w:name="_Toc28359089"/>
      <w:r>
        <w:rPr>
          <w:rFonts w:hint="eastAsia" w:ascii="黑体" w:hAnsi="黑体" w:cs="宋体"/>
          <w:b w:val="0"/>
          <w:color w:val="auto"/>
          <w:sz w:val="28"/>
          <w:szCs w:val="28"/>
          <w:highlight w:val="none"/>
        </w:rPr>
        <w:t>一、项目基本情况</w:t>
      </w:r>
      <w:bookmarkEnd w:id="0"/>
      <w:bookmarkEnd w:id="1"/>
      <w:bookmarkEnd w:id="2"/>
      <w:bookmarkEnd w:id="3"/>
    </w:p>
    <w:p w14:paraId="18C56571">
      <w:pPr>
        <w:pageBreakBefore w:val="0"/>
        <w:widowControl w:val="0"/>
        <w:kinsoku/>
        <w:wordWrap/>
        <w:overflowPunct/>
        <w:topLinePunct w:val="0"/>
        <w:bidi w:val="0"/>
        <w:spacing w:line="360" w:lineRule="auto"/>
        <w:ind w:left="1959" w:leftChars="266" w:hanging="1400" w:hangingChars="500"/>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项目编号：</w:t>
      </w:r>
      <w:r>
        <w:rPr>
          <w:rFonts w:hint="eastAsia" w:ascii="仿宋" w:hAnsi="仿宋" w:eastAsia="仿宋"/>
          <w:color w:val="auto"/>
          <w:sz w:val="28"/>
          <w:szCs w:val="28"/>
          <w:highlight w:val="none"/>
          <w:lang w:eastAsia="zh-CN"/>
        </w:rPr>
        <w:t>ZFCGCZX2025006</w:t>
      </w:r>
    </w:p>
    <w:p w14:paraId="540531BC">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olor w:val="auto"/>
          <w:sz w:val="28"/>
          <w:szCs w:val="28"/>
          <w:highlight w:val="none"/>
          <w:lang w:eastAsia="zh-CN"/>
        </w:rPr>
      </w:pPr>
      <w:r>
        <w:rPr>
          <w:rFonts w:hint="eastAsia" w:ascii="仿宋" w:hAnsi="仿宋" w:eastAsia="仿宋"/>
          <w:color w:val="auto"/>
          <w:sz w:val="28"/>
          <w:szCs w:val="28"/>
          <w:highlight w:val="none"/>
        </w:rPr>
        <w:t>项目名称：</w:t>
      </w:r>
      <w:r>
        <w:rPr>
          <w:rFonts w:hint="eastAsia" w:ascii="仿宋" w:hAnsi="仿宋" w:eastAsia="仿宋"/>
          <w:color w:val="auto"/>
          <w:sz w:val="28"/>
          <w:szCs w:val="28"/>
          <w:highlight w:val="none"/>
          <w:lang w:eastAsia="zh-CN"/>
        </w:rPr>
        <w:t>阔克阿尕什乡卓勒吐斯坎村新建晒场建设项目</w:t>
      </w:r>
    </w:p>
    <w:p w14:paraId="5F1D3A63">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olor w:val="auto"/>
          <w:sz w:val="28"/>
          <w:szCs w:val="28"/>
          <w:highlight w:val="none"/>
        </w:rPr>
      </w:pPr>
      <w:r>
        <w:rPr>
          <w:rFonts w:hint="eastAsia" w:ascii="仿宋" w:hAnsi="仿宋" w:eastAsia="仿宋"/>
          <w:color w:val="auto"/>
          <w:sz w:val="28"/>
          <w:szCs w:val="28"/>
          <w:highlight w:val="none"/>
        </w:rPr>
        <w:t>采购方式：竞争性磋商</w:t>
      </w:r>
    </w:p>
    <w:p w14:paraId="6C703427">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预算金额：</w:t>
      </w:r>
      <w:r>
        <w:rPr>
          <w:rFonts w:hint="eastAsia" w:ascii="仿宋" w:hAnsi="仿宋" w:eastAsia="仿宋"/>
          <w:color w:val="auto"/>
          <w:sz w:val="28"/>
          <w:szCs w:val="28"/>
          <w:highlight w:val="none"/>
          <w:lang w:val="en-US" w:eastAsia="zh-CN"/>
        </w:rPr>
        <w:t>1128830.71元</w:t>
      </w:r>
    </w:p>
    <w:p w14:paraId="170D89FF">
      <w:pPr>
        <w:pageBreakBefore w:val="0"/>
        <w:widowControl w:val="0"/>
        <w:kinsoku/>
        <w:wordWrap/>
        <w:overflowPunct/>
        <w:topLinePunct w:val="0"/>
        <w:bidi w:val="0"/>
        <w:spacing w:line="360" w:lineRule="auto"/>
        <w:ind w:firstLine="560" w:firstLineChars="200"/>
        <w:textAlignment w:val="auto"/>
        <w:rPr>
          <w:rFonts w:hint="default"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最高限价：</w:t>
      </w:r>
      <w:r>
        <w:rPr>
          <w:rFonts w:hint="eastAsia" w:ascii="仿宋" w:hAnsi="仿宋" w:eastAsia="仿宋"/>
          <w:color w:val="auto"/>
          <w:sz w:val="28"/>
          <w:szCs w:val="28"/>
          <w:highlight w:val="none"/>
          <w:lang w:val="en-US" w:eastAsia="zh-CN"/>
        </w:rPr>
        <w:t>1128830.71元</w:t>
      </w:r>
    </w:p>
    <w:p w14:paraId="34C8C24B">
      <w:pPr>
        <w:pageBreakBefore w:val="0"/>
        <w:widowControl w:val="0"/>
        <w:kinsoku/>
        <w:wordWrap/>
        <w:overflowPunct/>
        <w:topLinePunct w:val="0"/>
        <w:bidi w:val="0"/>
        <w:spacing w:line="360" w:lineRule="auto"/>
        <w:ind w:left="1959" w:leftChars="266" w:hanging="1400" w:hangingChars="500"/>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lang w:val="en-US" w:eastAsia="zh-CN"/>
        </w:rPr>
        <w:t>服务内容：新建村内晾晒场1座，总面积8000平方米及配套附属设施。（详见工程量清单）</w:t>
      </w:r>
    </w:p>
    <w:p w14:paraId="06BD56B1">
      <w:pPr>
        <w:pageBreakBefore w:val="0"/>
        <w:widowControl w:val="0"/>
        <w:kinsoku/>
        <w:wordWrap/>
        <w:overflowPunct/>
        <w:topLinePunct w:val="0"/>
        <w:bidi w:val="0"/>
        <w:spacing w:line="360" w:lineRule="auto"/>
        <w:ind w:firstLine="560" w:firstLineChars="200"/>
        <w:textAlignment w:val="auto"/>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合同履行期限：</w:t>
      </w:r>
      <w:r>
        <w:rPr>
          <w:rFonts w:hint="eastAsia" w:ascii="仿宋" w:hAnsi="仿宋" w:eastAsia="仿宋"/>
          <w:color w:val="auto"/>
          <w:sz w:val="28"/>
          <w:szCs w:val="28"/>
          <w:highlight w:val="none"/>
          <w:lang w:val="en-US" w:eastAsia="zh-CN"/>
        </w:rPr>
        <w:t>详见磋商文件。</w:t>
      </w:r>
    </w:p>
    <w:p w14:paraId="20AE2238">
      <w:pPr>
        <w:pageBreakBefore w:val="0"/>
        <w:widowControl w:val="0"/>
        <w:kinsoku/>
        <w:wordWrap/>
        <w:overflowPunct/>
        <w:topLinePunct w:val="0"/>
        <w:bidi w:val="0"/>
        <w:spacing w:line="360" w:lineRule="auto"/>
        <w:ind w:firstLine="560" w:firstLineChars="200"/>
        <w:textAlignment w:val="auto"/>
        <w:rPr>
          <w:rFonts w:ascii="仿宋" w:hAnsi="仿宋" w:eastAsia="仿宋"/>
          <w:color w:val="auto"/>
          <w:sz w:val="28"/>
          <w:szCs w:val="28"/>
          <w:highlight w:val="none"/>
        </w:rPr>
      </w:pPr>
      <w:r>
        <w:rPr>
          <w:rFonts w:hint="eastAsia" w:ascii="仿宋" w:hAnsi="仿宋" w:eastAsia="仿宋"/>
          <w:color w:val="auto"/>
          <w:sz w:val="28"/>
          <w:szCs w:val="28"/>
          <w:highlight w:val="none"/>
        </w:rPr>
        <w:t>本项目</w:t>
      </w:r>
      <w:r>
        <w:rPr>
          <w:rFonts w:hint="eastAsia" w:ascii="仿宋" w:hAnsi="仿宋" w:eastAsia="仿宋"/>
          <w:color w:val="auto"/>
          <w:sz w:val="28"/>
          <w:szCs w:val="28"/>
          <w:highlight w:val="none"/>
          <w:lang w:eastAsia="zh-CN"/>
        </w:rPr>
        <w:t>不</w:t>
      </w:r>
      <w:r>
        <w:rPr>
          <w:rFonts w:hint="eastAsia" w:ascii="仿宋" w:hAnsi="仿宋" w:eastAsia="仿宋"/>
          <w:color w:val="auto"/>
          <w:sz w:val="28"/>
          <w:szCs w:val="28"/>
          <w:highlight w:val="none"/>
        </w:rPr>
        <w:t>接受联合体。</w:t>
      </w:r>
    </w:p>
    <w:p w14:paraId="6A0F24B0">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u w:val="none"/>
        </w:rPr>
      </w:pPr>
      <w:bookmarkStart w:id="4" w:name="_Toc35393630"/>
      <w:bookmarkStart w:id="5" w:name="_Toc28359090"/>
      <w:bookmarkStart w:id="6" w:name="_Toc28359013"/>
      <w:bookmarkStart w:id="7" w:name="_Toc35393799"/>
      <w:bookmarkStart w:id="8" w:name="_Toc35393631"/>
      <w:bookmarkStart w:id="9" w:name="_Toc28359091"/>
      <w:bookmarkStart w:id="10" w:name="_Toc28359014"/>
      <w:bookmarkStart w:id="11" w:name="_Toc35393800"/>
      <w:r>
        <w:rPr>
          <w:rFonts w:hint="eastAsia" w:ascii="黑体" w:hAnsi="黑体" w:cs="宋体"/>
          <w:b w:val="0"/>
          <w:color w:val="auto"/>
          <w:sz w:val="28"/>
          <w:szCs w:val="28"/>
          <w:highlight w:val="none"/>
          <w:u w:val="none"/>
        </w:rPr>
        <w:t>二、申请人的资格要求：</w:t>
      </w:r>
      <w:bookmarkEnd w:id="4"/>
      <w:bookmarkEnd w:id="5"/>
      <w:bookmarkEnd w:id="6"/>
      <w:bookmarkEnd w:id="7"/>
    </w:p>
    <w:p w14:paraId="59243AA8">
      <w:pPr>
        <w:pageBreakBefore w:val="0"/>
        <w:widowControl w:val="0"/>
        <w:kinsoku/>
        <w:wordWrap/>
        <w:overflowPunct/>
        <w:topLinePunct w:val="0"/>
        <w:bidi w:val="0"/>
        <w:spacing w:line="360" w:lineRule="auto"/>
        <w:ind w:firstLine="560" w:firstLineChars="200"/>
        <w:textAlignment w:val="auto"/>
        <w:rPr>
          <w:rFonts w:ascii="仿宋" w:hAnsi="仿宋" w:eastAsia="仿宋"/>
          <w:color w:val="auto"/>
          <w:sz w:val="28"/>
          <w:szCs w:val="28"/>
          <w:highlight w:val="none"/>
          <w:u w:val="none"/>
        </w:rPr>
      </w:pPr>
      <w:r>
        <w:rPr>
          <w:rFonts w:hint="eastAsia" w:ascii="仿宋" w:hAnsi="仿宋" w:eastAsia="仿宋"/>
          <w:color w:val="auto"/>
          <w:sz w:val="28"/>
          <w:szCs w:val="28"/>
          <w:highlight w:val="none"/>
          <w:u w:val="none"/>
        </w:rPr>
        <w:t>1.满足《中华人民共和国政府采购法》第二十二条规定；</w:t>
      </w:r>
    </w:p>
    <w:p w14:paraId="59971FC6">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olor w:val="auto"/>
          <w:sz w:val="28"/>
          <w:szCs w:val="28"/>
          <w:highlight w:val="none"/>
          <w:u w:val="none"/>
        </w:rPr>
      </w:pPr>
      <w:r>
        <w:rPr>
          <w:rFonts w:ascii="仿宋" w:hAnsi="仿宋" w:eastAsia="仿宋"/>
          <w:color w:val="auto"/>
          <w:sz w:val="28"/>
          <w:szCs w:val="28"/>
          <w:highlight w:val="none"/>
          <w:u w:val="none"/>
        </w:rPr>
        <w:t>2</w:t>
      </w:r>
      <w:r>
        <w:rPr>
          <w:rFonts w:hint="eastAsia" w:ascii="仿宋" w:hAnsi="仿宋" w:eastAsia="仿宋"/>
          <w:color w:val="auto"/>
          <w:sz w:val="28"/>
          <w:szCs w:val="28"/>
          <w:highlight w:val="none"/>
          <w:u w:val="none"/>
        </w:rPr>
        <w:t>.落实政府采购政策需满足的资格要求：标项1：供应商为中小企业</w:t>
      </w:r>
      <w:r>
        <w:rPr>
          <w:rFonts w:hint="eastAsia" w:ascii="仿宋" w:hAnsi="仿宋" w:eastAsia="仿宋"/>
          <w:color w:val="auto"/>
          <w:sz w:val="28"/>
          <w:szCs w:val="28"/>
          <w:highlight w:val="none"/>
          <w:u w:val="none"/>
          <w:lang w:val="en-US" w:eastAsia="zh-CN"/>
        </w:rPr>
        <w:t>。符合（1）《政府采购促进中小企业发展管理办法》（财库〔2020〕46号）；（2）《关于促进残疾人就业政府采购政策的通知》（财库〔2017〕141号）；（3）《关于政府采购支持jianyu企业发展有关问题的通知》（财库〔2014〕68号）（注：1、以上政策不重复享受；2、如属于上述企业需按招标文件要求提供相关资料）。</w:t>
      </w:r>
    </w:p>
    <w:p w14:paraId="2909F321">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3.本项目的特定资格要求：（1）资质条件：投标人应具建筑工程施工总承包三级 (含三级)以上的施工企业资质，有安全生产许可证，外省企业已办理进疆备案推送手续。项目经理须具备建筑工程专业二级 (含二级)以上注册建造师执业资格，具备有效的安全生产考核合格证书，且未担任其他在施建设工程。有依法缴纳税收和社会保障资金的良好记录。</w:t>
      </w:r>
    </w:p>
    <w:p w14:paraId="272D7C84">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 xml:space="preserve">    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r>
        <w:rPr>
          <w:rFonts w:hint="eastAsia" w:ascii="仿宋" w:hAnsi="仿宋" w:eastAsia="仿宋" w:cs="Times New Roman"/>
          <w:color w:val="auto"/>
          <w:sz w:val="28"/>
          <w:szCs w:val="28"/>
          <w:highlight w:val="none"/>
          <w:u w:val="none"/>
          <w:lang w:val="en-US" w:eastAsia="zh-CN"/>
        </w:rPr>
        <w:br w:type="textWrapping"/>
      </w:r>
      <w:r>
        <w:rPr>
          <w:rFonts w:hint="eastAsia" w:ascii="仿宋" w:hAnsi="仿宋" w:eastAsia="仿宋" w:cs="Times New Roman"/>
          <w:color w:val="auto"/>
          <w:sz w:val="28"/>
          <w:szCs w:val="28"/>
          <w:highlight w:val="none"/>
          <w:u w:val="none"/>
          <w:lang w:val="en-US" w:eastAsia="zh-CN"/>
        </w:rPr>
        <w:t xml:space="preserve">     5、本招标项目不接受联合体投标。    </w:t>
      </w:r>
    </w:p>
    <w:p w14:paraId="6075EB64">
      <w:pPr>
        <w:pStyle w:val="4"/>
        <w:pageBreakBefore w:val="0"/>
        <w:widowControl w:val="0"/>
        <w:numPr>
          <w:ilvl w:val="0"/>
          <w:numId w:val="0"/>
        </w:numPr>
        <w:kinsoku/>
        <w:wordWrap/>
        <w:overflowPunct/>
        <w:topLinePunct w:val="0"/>
        <w:bidi w:val="0"/>
        <w:spacing w:line="360" w:lineRule="auto"/>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三、获取采购文件</w:t>
      </w:r>
      <w:bookmarkEnd w:id="8"/>
      <w:bookmarkEnd w:id="9"/>
      <w:bookmarkEnd w:id="10"/>
      <w:bookmarkEnd w:id="11"/>
    </w:p>
    <w:p w14:paraId="04DEBF0D">
      <w:pPr>
        <w:pageBreakBefore w:val="0"/>
        <w:widowControl w:val="0"/>
        <w:kinsoku/>
        <w:wordWrap/>
        <w:overflowPunct/>
        <w:topLinePunct w:val="0"/>
        <w:bidi w:val="0"/>
        <w:spacing w:line="360" w:lineRule="auto"/>
        <w:ind w:firstLine="540"/>
        <w:textAlignment w:val="auto"/>
        <w:rPr>
          <w:rFonts w:ascii="仿宋" w:hAnsi="仿宋" w:eastAsia="仿宋" w:cs="宋体"/>
          <w:color w:val="auto"/>
          <w:sz w:val="28"/>
          <w:szCs w:val="28"/>
          <w:highlight w:val="none"/>
        </w:rPr>
      </w:pPr>
      <w:bookmarkStart w:id="12" w:name="_Toc28359092"/>
      <w:bookmarkStart w:id="13" w:name="_Toc35393801"/>
      <w:bookmarkStart w:id="14" w:name="_Toc35393632"/>
      <w:bookmarkStart w:id="15" w:name="_Toc28359015"/>
      <w:r>
        <w:rPr>
          <w:rFonts w:hint="eastAsia" w:ascii="仿宋" w:hAnsi="仿宋" w:eastAsia="仿宋" w:cs="宋体"/>
          <w:color w:val="auto"/>
          <w:sz w:val="28"/>
          <w:szCs w:val="28"/>
          <w:highlight w:val="none"/>
        </w:rPr>
        <w:t>时间：</w:t>
      </w:r>
      <w:r>
        <w:rPr>
          <w:rFonts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3</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24</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3</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28</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，每天上午</w:t>
      </w:r>
      <w:r>
        <w:rPr>
          <w:rFonts w:hint="eastAsia" w:ascii="仿宋" w:hAnsi="仿宋" w:eastAsia="仿宋" w:cs="宋体"/>
          <w:color w:val="auto"/>
          <w:sz w:val="28"/>
          <w:szCs w:val="28"/>
          <w:highlight w:val="none"/>
          <w:u w:val="single"/>
          <w:lang w:val="en-US" w:eastAsia="zh-CN"/>
        </w:rPr>
        <w:t>10:00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14:00</w:t>
      </w:r>
      <w:r>
        <w:rPr>
          <w:rFonts w:hint="eastAsia" w:ascii="仿宋" w:hAnsi="仿宋" w:eastAsia="仿宋" w:cs="宋体"/>
          <w:color w:val="auto"/>
          <w:sz w:val="28"/>
          <w:szCs w:val="28"/>
          <w:highlight w:val="none"/>
        </w:rPr>
        <w:t>，下午</w:t>
      </w:r>
      <w:r>
        <w:rPr>
          <w:rFonts w:hint="eastAsia" w:ascii="仿宋" w:hAnsi="仿宋" w:eastAsia="仿宋" w:cs="宋体"/>
          <w:color w:val="auto"/>
          <w:sz w:val="28"/>
          <w:szCs w:val="28"/>
          <w:highlight w:val="none"/>
          <w:u w:val="single"/>
          <w:lang w:val="en-US" w:eastAsia="zh-CN"/>
        </w:rPr>
        <w:t>16:00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19:00</w:t>
      </w:r>
      <w:r>
        <w:rPr>
          <w:rFonts w:hint="eastAsia" w:ascii="仿宋" w:hAnsi="仿宋" w:eastAsia="仿宋" w:cs="宋体"/>
          <w:color w:val="auto"/>
          <w:sz w:val="28"/>
          <w:szCs w:val="28"/>
          <w:highlight w:val="none"/>
        </w:rPr>
        <w:t>（北京时间，</w:t>
      </w:r>
      <w:r>
        <w:rPr>
          <w:rFonts w:ascii="仿宋" w:hAnsi="仿宋" w:eastAsia="仿宋" w:cs="宋体"/>
          <w:color w:val="auto"/>
          <w:sz w:val="28"/>
          <w:szCs w:val="28"/>
          <w:highlight w:val="none"/>
        </w:rPr>
        <w:t>法定节假日</w:t>
      </w:r>
      <w:r>
        <w:rPr>
          <w:rFonts w:hint="eastAsia" w:ascii="仿宋" w:hAnsi="仿宋" w:eastAsia="仿宋" w:cs="宋体"/>
          <w:color w:val="auto"/>
          <w:sz w:val="28"/>
          <w:szCs w:val="28"/>
          <w:highlight w:val="none"/>
        </w:rPr>
        <w:t>除外）</w:t>
      </w:r>
    </w:p>
    <w:p w14:paraId="491E3ECE">
      <w:pPr>
        <w:pageBreakBefore w:val="0"/>
        <w:widowControl w:val="0"/>
        <w:kinsoku/>
        <w:wordWrap/>
        <w:overflowPunct/>
        <w:topLinePunct w:val="0"/>
        <w:bidi w:val="0"/>
        <w:spacing w:line="360" w:lineRule="auto"/>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lang w:eastAsia="zh-CN"/>
        </w:rPr>
        <w:t>方式</w:t>
      </w:r>
      <w:r>
        <w:rPr>
          <w:rFonts w:hint="eastAsia" w:ascii="仿宋" w:hAnsi="仿宋" w:eastAsia="仿宋" w:cs="宋体"/>
          <w:color w:val="auto"/>
          <w:sz w:val="28"/>
          <w:szCs w:val="28"/>
          <w:highlight w:val="none"/>
        </w:rPr>
        <w:t>：线上获取或线下获取</w:t>
      </w:r>
      <w:r>
        <w:rPr>
          <w:rFonts w:hint="eastAsia" w:ascii="仿宋" w:hAnsi="仿宋" w:eastAsia="仿宋" w:cs="宋体"/>
          <w:color w:val="auto"/>
          <w:sz w:val="28"/>
          <w:szCs w:val="28"/>
          <w:highlight w:val="none"/>
          <w:lang w:eastAsia="zh-CN"/>
        </w:rPr>
        <w:t>，</w:t>
      </w:r>
      <w:r>
        <w:rPr>
          <w:rFonts w:hint="eastAsia" w:ascii="仿宋" w:hAnsi="仿宋" w:eastAsia="仿宋" w:cs="宋体"/>
          <w:color w:val="auto"/>
          <w:sz w:val="28"/>
          <w:szCs w:val="28"/>
          <w:highlight w:val="none"/>
          <w:lang w:val="en-US" w:eastAsia="zh-CN"/>
        </w:rPr>
        <w:t>线上获取请</w:t>
      </w:r>
      <w:r>
        <w:rPr>
          <w:rFonts w:hint="eastAsia" w:ascii="仿宋" w:hAnsi="仿宋" w:eastAsia="仿宋" w:cs="宋体"/>
          <w:color w:val="auto"/>
          <w:sz w:val="28"/>
          <w:szCs w:val="28"/>
          <w:highlight w:val="none"/>
        </w:rPr>
        <w:t>供应商登录政采云平台https://www.zcygov.cn/在线申请获取采购文件（进入“项目采购”应用，在获取采购文件菜单中选择项目，申请获取采购文件） </w:t>
      </w:r>
    </w:p>
    <w:p w14:paraId="24EE36EA">
      <w:pPr>
        <w:pageBreakBefore w:val="0"/>
        <w:widowControl w:val="0"/>
        <w:kinsoku/>
        <w:wordWrap/>
        <w:overflowPunct/>
        <w:topLinePunct w:val="0"/>
        <w:bidi w:val="0"/>
        <w:spacing w:line="360" w:lineRule="auto"/>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地点：政采云平台https://www.zcygov.cn</w:t>
      </w:r>
    </w:p>
    <w:p w14:paraId="27BE04BD">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rPr>
        <w:t>售价：</w:t>
      </w:r>
      <w:r>
        <w:rPr>
          <w:rFonts w:hint="eastAsia" w:ascii="仿宋" w:hAnsi="仿宋" w:eastAsia="仿宋" w:cs="宋体"/>
          <w:color w:val="auto"/>
          <w:sz w:val="28"/>
          <w:szCs w:val="28"/>
          <w:highlight w:val="none"/>
          <w:lang w:val="en-US" w:eastAsia="zh-CN"/>
        </w:rPr>
        <w:t>0</w:t>
      </w:r>
      <w:r>
        <w:rPr>
          <w:rFonts w:hint="eastAsia" w:ascii="仿宋" w:hAnsi="仿宋" w:eastAsia="仿宋" w:cs="宋体"/>
          <w:color w:val="auto"/>
          <w:sz w:val="28"/>
          <w:szCs w:val="28"/>
          <w:highlight w:val="none"/>
        </w:rPr>
        <w:t>元/份。</w:t>
      </w:r>
    </w:p>
    <w:p w14:paraId="31028DBA">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四、响应文件提交</w:t>
      </w:r>
      <w:bookmarkEnd w:id="12"/>
      <w:bookmarkEnd w:id="13"/>
      <w:bookmarkEnd w:id="14"/>
      <w:bookmarkEnd w:id="15"/>
    </w:p>
    <w:p w14:paraId="19F487FF">
      <w:pPr>
        <w:pageBreakBefore w:val="0"/>
        <w:widowControl w:val="0"/>
        <w:kinsoku/>
        <w:wordWrap/>
        <w:overflowPunct/>
        <w:topLinePunct w:val="0"/>
        <w:bidi w:val="0"/>
        <w:spacing w:line="360" w:lineRule="auto"/>
        <w:ind w:firstLine="560" w:firstLineChars="2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截止时间：</w:t>
      </w:r>
      <w:r>
        <w:rPr>
          <w:rFonts w:hint="eastAsia" w:ascii="仿宋" w:hAnsi="仿宋" w:eastAsia="仿宋"/>
          <w:bCs/>
          <w:color w:val="auto"/>
          <w:sz w:val="28"/>
          <w:szCs w:val="28"/>
          <w:highlight w:val="none"/>
          <w:u w:val="single"/>
          <w:lang w:val="en-US" w:eastAsia="zh-CN"/>
        </w:rPr>
        <w:t>2025年4月3日16点30分</w:t>
      </w:r>
      <w:r>
        <w:rPr>
          <w:rFonts w:hint="eastAsia" w:ascii="仿宋" w:hAnsi="仿宋" w:eastAsia="仿宋"/>
          <w:bCs/>
          <w:color w:val="auto"/>
          <w:sz w:val="28"/>
          <w:szCs w:val="28"/>
          <w:highlight w:val="none"/>
        </w:rPr>
        <w:t>（北京时间）</w:t>
      </w:r>
    </w:p>
    <w:p w14:paraId="5C47B2C3">
      <w:pPr>
        <w:pStyle w:val="9"/>
        <w:pageBreakBefore w:val="0"/>
        <w:widowControl w:val="0"/>
        <w:kinsoku/>
        <w:wordWrap/>
        <w:overflowPunct/>
        <w:topLinePunct w:val="0"/>
        <w:bidi w:val="0"/>
        <w:spacing w:line="360" w:lineRule="auto"/>
        <w:ind w:left="1399" w:leftChars="266" w:hanging="840" w:hangingChars="300"/>
        <w:textAlignment w:val="auto"/>
        <w:rPr>
          <w:rFonts w:hint="eastAsia" w:ascii="仿宋" w:hAnsi="仿宋" w:eastAsia="仿宋"/>
          <w:bCs/>
          <w:color w:val="auto"/>
          <w:sz w:val="28"/>
          <w:szCs w:val="28"/>
          <w:highlight w:val="none"/>
          <w:u w:val="single"/>
          <w:lang w:eastAsia="zh-CN"/>
        </w:rPr>
      </w:pPr>
      <w:r>
        <w:rPr>
          <w:rFonts w:hint="eastAsia" w:ascii="仿宋" w:hAnsi="仿宋" w:eastAsia="仿宋"/>
          <w:color w:val="auto"/>
          <w:sz w:val="28"/>
          <w:szCs w:val="28"/>
          <w:highlight w:val="none"/>
        </w:rPr>
        <w:t>地</w:t>
      </w:r>
      <w:r>
        <w:rPr>
          <w:rFonts w:hint="eastAsia" w:ascii="仿宋" w:hAnsi="仿宋" w:eastAsia="仿宋"/>
          <w:color w:val="auto"/>
          <w:sz w:val="28"/>
          <w:szCs w:val="28"/>
          <w:highlight w:val="none"/>
          <w:lang w:val="en-US" w:eastAsia="zh-CN"/>
        </w:rPr>
        <w:t xml:space="preserve">    </w:t>
      </w:r>
      <w:r>
        <w:rPr>
          <w:rFonts w:hint="eastAsia" w:ascii="仿宋" w:hAnsi="仿宋" w:eastAsia="仿宋"/>
          <w:color w:val="auto"/>
          <w:sz w:val="28"/>
          <w:szCs w:val="28"/>
          <w:highlight w:val="none"/>
        </w:rPr>
        <w:t>点：政采云平台https://www.zcygov.cn</w:t>
      </w:r>
    </w:p>
    <w:p w14:paraId="71104B09">
      <w:pPr>
        <w:pStyle w:val="4"/>
        <w:pageBreakBefore w:val="0"/>
        <w:widowControl w:val="0"/>
        <w:kinsoku/>
        <w:wordWrap/>
        <w:overflowPunct/>
        <w:topLinePunct w:val="0"/>
        <w:bidi w:val="0"/>
        <w:spacing w:line="360" w:lineRule="auto"/>
        <w:textAlignment w:val="auto"/>
        <w:rPr>
          <w:rFonts w:hint="eastAsia" w:ascii="黑体" w:hAnsi="黑体" w:eastAsia="黑体" w:cs="宋体"/>
          <w:b w:val="0"/>
          <w:color w:val="auto"/>
          <w:sz w:val="28"/>
          <w:szCs w:val="28"/>
          <w:highlight w:val="none"/>
          <w:lang w:eastAsia="zh-CN"/>
        </w:rPr>
      </w:pPr>
      <w:bookmarkStart w:id="16" w:name="_Toc35393633"/>
      <w:bookmarkStart w:id="17" w:name="_Toc28359093"/>
      <w:bookmarkStart w:id="18" w:name="_Toc35393802"/>
      <w:bookmarkStart w:id="19" w:name="_Toc28359016"/>
      <w:r>
        <w:rPr>
          <w:rFonts w:hint="eastAsia" w:ascii="黑体" w:hAnsi="黑体" w:cs="宋体"/>
          <w:b w:val="0"/>
          <w:color w:val="auto"/>
          <w:sz w:val="28"/>
          <w:szCs w:val="28"/>
          <w:highlight w:val="none"/>
        </w:rPr>
        <w:t>五、开</w:t>
      </w:r>
      <w:bookmarkEnd w:id="16"/>
      <w:bookmarkEnd w:id="17"/>
      <w:bookmarkEnd w:id="18"/>
      <w:bookmarkEnd w:id="19"/>
      <w:r>
        <w:rPr>
          <w:rFonts w:hint="eastAsia" w:ascii="黑体" w:hAnsi="黑体" w:cs="宋体"/>
          <w:b w:val="0"/>
          <w:color w:val="auto"/>
          <w:sz w:val="28"/>
          <w:szCs w:val="28"/>
          <w:highlight w:val="none"/>
          <w:lang w:eastAsia="zh-CN"/>
        </w:rPr>
        <w:t>标</w:t>
      </w:r>
    </w:p>
    <w:p w14:paraId="6E999A5E">
      <w:pPr>
        <w:pageBreakBefore w:val="0"/>
        <w:widowControl w:val="0"/>
        <w:kinsoku/>
        <w:wordWrap/>
        <w:overflowPunct/>
        <w:topLinePunct w:val="0"/>
        <w:bidi w:val="0"/>
        <w:spacing w:line="360" w:lineRule="auto"/>
        <w:ind w:firstLine="560" w:firstLineChars="200"/>
        <w:textAlignment w:val="auto"/>
        <w:rPr>
          <w:rFonts w:hint="eastAsia" w:ascii="仿宋" w:hAnsi="仿宋" w:eastAsia="仿宋"/>
          <w:bCs/>
          <w:color w:val="auto"/>
          <w:sz w:val="28"/>
          <w:szCs w:val="28"/>
          <w:highlight w:val="none"/>
          <w:u w:val="single"/>
          <w:lang w:eastAsia="zh-CN"/>
        </w:rPr>
      </w:pPr>
      <w:r>
        <w:rPr>
          <w:rFonts w:hint="eastAsia" w:ascii="仿宋" w:hAnsi="仿宋" w:eastAsia="仿宋"/>
          <w:color w:val="auto"/>
          <w:sz w:val="28"/>
          <w:szCs w:val="28"/>
          <w:highlight w:val="none"/>
        </w:rPr>
        <w:t>时间：</w:t>
      </w:r>
      <w:r>
        <w:rPr>
          <w:rFonts w:hint="eastAsia" w:ascii="仿宋" w:hAnsi="仿宋" w:eastAsia="仿宋"/>
          <w:bCs/>
          <w:color w:val="auto"/>
          <w:sz w:val="28"/>
          <w:szCs w:val="28"/>
          <w:highlight w:val="none"/>
          <w:u w:val="single"/>
          <w:lang w:val="en-US" w:eastAsia="zh-CN"/>
        </w:rPr>
        <w:t>2025年4月3日16点30分</w:t>
      </w:r>
    </w:p>
    <w:p w14:paraId="6A8E4F94">
      <w:pPr>
        <w:pStyle w:val="9"/>
        <w:pageBreakBefore w:val="0"/>
        <w:widowControl w:val="0"/>
        <w:kinsoku/>
        <w:wordWrap/>
        <w:overflowPunct/>
        <w:topLinePunct w:val="0"/>
        <w:bidi w:val="0"/>
        <w:spacing w:line="360" w:lineRule="auto"/>
        <w:ind w:left="1399" w:leftChars="266" w:hanging="840" w:hangingChars="3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地点：政采云平台https://www.zcygov.cn</w:t>
      </w:r>
    </w:p>
    <w:p w14:paraId="21F5A7C7">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rPr>
      </w:pPr>
      <w:bookmarkStart w:id="20" w:name="_Toc35393634"/>
      <w:bookmarkStart w:id="21" w:name="_Toc35393803"/>
      <w:bookmarkStart w:id="22" w:name="_Toc28359094"/>
      <w:bookmarkStart w:id="23" w:name="_Toc28359017"/>
      <w:r>
        <w:rPr>
          <w:rFonts w:hint="eastAsia" w:ascii="黑体" w:hAnsi="黑体" w:cs="宋体"/>
          <w:b w:val="0"/>
          <w:color w:val="auto"/>
          <w:sz w:val="28"/>
          <w:szCs w:val="28"/>
          <w:highlight w:val="none"/>
        </w:rPr>
        <w:t>六、公告期限</w:t>
      </w:r>
      <w:bookmarkEnd w:id="20"/>
      <w:bookmarkEnd w:id="21"/>
      <w:bookmarkEnd w:id="22"/>
      <w:bookmarkEnd w:id="23"/>
    </w:p>
    <w:p w14:paraId="18D0947D">
      <w:pPr>
        <w:pageBreakBefore w:val="0"/>
        <w:widowControl w:val="0"/>
        <w:kinsoku/>
        <w:wordWrap/>
        <w:overflowPunct/>
        <w:topLinePunct w:val="0"/>
        <w:bidi w:val="0"/>
        <w:spacing w:line="360" w:lineRule="auto"/>
        <w:ind w:firstLine="560" w:firstLineChars="200"/>
        <w:textAlignment w:val="auto"/>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自本公告发布之日起</w:t>
      </w:r>
      <w:r>
        <w:rPr>
          <w:rFonts w:hint="eastAsia" w:ascii="仿宋" w:hAnsi="仿宋" w:eastAsia="仿宋" w:cs="宋体"/>
          <w:color w:val="auto"/>
          <w:kern w:val="0"/>
          <w:sz w:val="28"/>
          <w:szCs w:val="28"/>
          <w:highlight w:val="none"/>
          <w:lang w:val="en-US" w:eastAsia="zh-CN"/>
        </w:rPr>
        <w:t>5</w:t>
      </w:r>
      <w:r>
        <w:rPr>
          <w:rFonts w:hint="eastAsia" w:ascii="仿宋" w:hAnsi="仿宋" w:eastAsia="仿宋" w:cs="宋体"/>
          <w:color w:val="auto"/>
          <w:kern w:val="0"/>
          <w:sz w:val="28"/>
          <w:szCs w:val="28"/>
          <w:highlight w:val="none"/>
        </w:rPr>
        <w:t>个工作日。</w:t>
      </w:r>
    </w:p>
    <w:p w14:paraId="3654406C">
      <w:pPr>
        <w:pStyle w:val="4"/>
        <w:pageBreakBefore w:val="0"/>
        <w:widowControl w:val="0"/>
        <w:numPr>
          <w:ilvl w:val="0"/>
          <w:numId w:val="1"/>
        </w:numPr>
        <w:kinsoku/>
        <w:wordWrap/>
        <w:overflowPunct/>
        <w:topLinePunct w:val="0"/>
        <w:bidi w:val="0"/>
        <w:spacing w:line="360" w:lineRule="auto"/>
        <w:textAlignment w:val="auto"/>
        <w:rPr>
          <w:rFonts w:hint="eastAsia" w:ascii="黑体" w:hAnsi="黑体" w:cs="宋体"/>
          <w:b w:val="0"/>
          <w:color w:val="auto"/>
          <w:sz w:val="28"/>
          <w:szCs w:val="28"/>
          <w:highlight w:val="none"/>
        </w:rPr>
      </w:pPr>
      <w:bookmarkStart w:id="24" w:name="_Toc35393635"/>
      <w:bookmarkStart w:id="25" w:name="_Toc35393804"/>
      <w:r>
        <w:rPr>
          <w:rFonts w:hint="eastAsia" w:ascii="黑体" w:hAnsi="黑体" w:cs="宋体"/>
          <w:b w:val="0"/>
          <w:color w:val="auto"/>
          <w:sz w:val="28"/>
          <w:szCs w:val="28"/>
          <w:highlight w:val="none"/>
        </w:rPr>
        <w:t>其他补充事宜</w:t>
      </w:r>
      <w:bookmarkEnd w:id="24"/>
      <w:bookmarkEnd w:id="25"/>
    </w:p>
    <w:p w14:paraId="32FB3F5C">
      <w:pPr>
        <w:pageBreakBefore w:val="0"/>
        <w:widowControl w:val="0"/>
        <w:numPr>
          <w:ilvl w:val="0"/>
          <w:numId w:val="2"/>
        </w:numPr>
        <w:kinsoku/>
        <w:wordWrap/>
        <w:overflowPunct/>
        <w:topLinePunct w:val="0"/>
        <w:bidi w:val="0"/>
        <w:spacing w:line="360" w:lineRule="auto"/>
        <w:ind w:left="-20" w:leftChars="0" w:firstLine="440" w:firstLineChars="0"/>
        <w:textAlignment w:val="auto"/>
        <w:rPr>
          <w:rFonts w:hint="eastAsia"/>
          <w:color w:val="auto"/>
        </w:rPr>
      </w:pPr>
      <w:bookmarkStart w:id="26" w:name="_Toc28359018"/>
      <w:bookmarkStart w:id="27" w:name="_Toc28359095"/>
      <w:bookmarkStart w:id="28" w:name="_Toc35393636"/>
      <w:bookmarkStart w:id="29" w:name="_Toc35393805"/>
      <w:r>
        <w:rPr>
          <w:rFonts w:ascii="仿宋" w:hAnsi="仿宋" w:eastAsia="仿宋" w:cs="仿宋"/>
          <w:i w:val="0"/>
          <w:iCs w:val="0"/>
          <w:caps w:val="0"/>
          <w:color w:val="auto"/>
          <w:spacing w:val="0"/>
          <w:sz w:val="22"/>
          <w:szCs w:val="22"/>
        </w:rPr>
        <w:t>本项目实行电子招投标，供应商须登录政采云平台申请获取采购文件，并通过政采云电子投标客户端制作响应文件，同时自行承担与投标有关的一切费用。</w:t>
      </w:r>
      <w:r>
        <w:rPr>
          <w:rFonts w:hint="eastAsia" w:ascii="仿宋" w:hAnsi="仿宋" w:eastAsia="仿宋" w:cs="仿宋"/>
          <w:i w:val="0"/>
          <w:iCs w:val="0"/>
          <w:caps w:val="0"/>
          <w:color w:val="auto"/>
          <w:spacing w:val="0"/>
          <w:sz w:val="22"/>
          <w:szCs w:val="22"/>
        </w:rPr>
        <w:br w:type="textWrapping"/>
      </w:r>
      <w:r>
        <w:rPr>
          <w:rFonts w:hint="eastAsia" w:ascii="仿宋" w:hAnsi="仿宋" w:eastAsia="仿宋" w:cs="仿宋"/>
          <w:i w:val="0"/>
          <w:iCs w:val="0"/>
          <w:caps w:val="0"/>
          <w:color w:val="auto"/>
          <w:spacing w:val="0"/>
          <w:sz w:val="22"/>
          <w:szCs w:val="22"/>
          <w:lang w:val="en-US" w:eastAsia="zh-CN"/>
        </w:rPr>
        <w:t xml:space="preserve">    </w:t>
      </w:r>
      <w:r>
        <w:rPr>
          <w:rFonts w:hint="eastAsia" w:ascii="仿宋" w:hAnsi="仿宋" w:eastAsia="仿宋" w:cs="仿宋"/>
          <w:i w:val="0"/>
          <w:iCs w:val="0"/>
          <w:caps w:val="0"/>
          <w:color w:val="auto"/>
          <w:spacing w:val="0"/>
          <w:sz w:val="22"/>
          <w:szCs w:val="22"/>
        </w:rPr>
        <w:t>2、各供应商应在开标前确保成为新疆维吾尔自治区政府采购网正式注册入库供应商，并完成CA数字证书申领。因未注册入库、未办理CA数字证书等原因造成无法投标或投标失败等后果由供应商自行承担。</w:t>
      </w:r>
      <w:r>
        <w:rPr>
          <w:rFonts w:hint="eastAsia" w:ascii="仿宋" w:hAnsi="仿宋" w:eastAsia="仿宋" w:cs="仿宋"/>
          <w:i w:val="0"/>
          <w:iCs w:val="0"/>
          <w:caps w:val="0"/>
          <w:color w:val="auto"/>
          <w:spacing w:val="0"/>
          <w:sz w:val="22"/>
          <w:szCs w:val="22"/>
        </w:rPr>
        <w:br w:type="textWrapping"/>
      </w:r>
      <w:r>
        <w:rPr>
          <w:rFonts w:hint="eastAsia" w:ascii="仿宋" w:hAnsi="仿宋" w:eastAsia="仿宋" w:cs="仿宋"/>
          <w:i w:val="0"/>
          <w:iCs w:val="0"/>
          <w:caps w:val="0"/>
          <w:color w:val="auto"/>
          <w:spacing w:val="0"/>
          <w:sz w:val="22"/>
          <w:szCs w:val="22"/>
          <w:lang w:val="en-US" w:eastAsia="zh-CN"/>
        </w:rPr>
        <w:t xml:space="preserve">    </w:t>
      </w:r>
      <w:r>
        <w:rPr>
          <w:rFonts w:hint="eastAsia" w:ascii="仿宋" w:hAnsi="仿宋" w:eastAsia="仿宋" w:cs="仿宋"/>
          <w:i w:val="0"/>
          <w:iCs w:val="0"/>
          <w:caps w:val="0"/>
          <w:color w:val="auto"/>
          <w:spacing w:val="0"/>
          <w:sz w:val="22"/>
          <w:szCs w:val="22"/>
        </w:rPr>
        <w:t>3、有意向参与新疆区域电子开评标的供应商，可访问新疆数字证书认证中心官方网站（https://www.xjca.com.cn/）或下载“新疆政务通”APP自行进行申领。如需咨询，请联系新疆CA服务热线0991-2819290。</w:t>
      </w:r>
      <w:r>
        <w:rPr>
          <w:rFonts w:hint="eastAsia" w:ascii="仿宋" w:hAnsi="仿宋" w:eastAsia="仿宋" w:cs="仿宋"/>
          <w:i w:val="0"/>
          <w:iCs w:val="0"/>
          <w:caps w:val="0"/>
          <w:color w:val="auto"/>
          <w:spacing w:val="0"/>
          <w:sz w:val="22"/>
          <w:szCs w:val="22"/>
        </w:rPr>
        <w:br w:type="textWrapping"/>
      </w:r>
      <w:r>
        <w:rPr>
          <w:rFonts w:hint="eastAsia" w:ascii="仿宋" w:hAnsi="仿宋" w:eastAsia="仿宋" w:cs="仿宋"/>
          <w:i w:val="0"/>
          <w:iCs w:val="0"/>
          <w:caps w:val="0"/>
          <w:color w:val="auto"/>
          <w:spacing w:val="0"/>
          <w:sz w:val="22"/>
          <w:szCs w:val="22"/>
          <w:lang w:val="en-US" w:eastAsia="zh-CN"/>
        </w:rPr>
        <w:t xml:space="preserve">    </w:t>
      </w:r>
      <w:r>
        <w:rPr>
          <w:rFonts w:hint="eastAsia" w:ascii="仿宋" w:hAnsi="仿宋" w:eastAsia="仿宋" w:cs="仿宋"/>
          <w:i w:val="0"/>
          <w:iCs w:val="0"/>
          <w:caps w:val="0"/>
          <w:color w:val="auto"/>
          <w:spacing w:val="0"/>
          <w:sz w:val="22"/>
          <w:szCs w:val="22"/>
        </w:rPr>
        <w:t>4、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r>
        <w:rPr>
          <w:rFonts w:hint="eastAsia" w:ascii="仿宋" w:hAnsi="仿宋" w:eastAsia="仿宋" w:cs="仿宋"/>
          <w:i w:val="0"/>
          <w:iCs w:val="0"/>
          <w:caps w:val="0"/>
          <w:color w:val="auto"/>
          <w:spacing w:val="0"/>
          <w:sz w:val="22"/>
          <w:szCs w:val="22"/>
        </w:rPr>
        <w:br w:type="textWrapping"/>
      </w:r>
      <w:r>
        <w:rPr>
          <w:rFonts w:hint="eastAsia" w:ascii="仿宋" w:hAnsi="仿宋" w:eastAsia="仿宋" w:cs="仿宋"/>
          <w:i w:val="0"/>
          <w:iCs w:val="0"/>
          <w:caps w:val="0"/>
          <w:color w:val="auto"/>
          <w:spacing w:val="0"/>
          <w:sz w:val="22"/>
          <w:szCs w:val="22"/>
          <w:lang w:val="en-US" w:eastAsia="zh-CN"/>
        </w:rPr>
        <w:t xml:space="preserve">    </w:t>
      </w:r>
      <w:r>
        <w:rPr>
          <w:rFonts w:hint="eastAsia" w:ascii="仿宋" w:hAnsi="仿宋" w:eastAsia="仿宋" w:cs="仿宋"/>
          <w:i w:val="0"/>
          <w:iCs w:val="0"/>
          <w:caps w:val="0"/>
          <w:color w:val="auto"/>
          <w:spacing w:val="0"/>
          <w:sz w:val="22"/>
          <w:szCs w:val="22"/>
        </w:rPr>
        <w:t>5、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r>
        <w:rPr>
          <w:rFonts w:hint="eastAsia" w:ascii="仿宋" w:hAnsi="仿宋" w:eastAsia="仿宋" w:cs="仿宋"/>
          <w:i w:val="0"/>
          <w:iCs w:val="0"/>
          <w:caps w:val="0"/>
          <w:color w:val="auto"/>
          <w:spacing w:val="0"/>
          <w:sz w:val="22"/>
          <w:szCs w:val="22"/>
        </w:rPr>
        <w:br w:type="textWrapping"/>
      </w:r>
      <w:r>
        <w:rPr>
          <w:rFonts w:hint="eastAsia" w:ascii="仿宋" w:hAnsi="仿宋" w:eastAsia="仿宋" w:cs="仿宋"/>
          <w:i w:val="0"/>
          <w:iCs w:val="0"/>
          <w:caps w:val="0"/>
          <w:color w:val="auto"/>
          <w:spacing w:val="0"/>
          <w:sz w:val="22"/>
          <w:szCs w:val="22"/>
          <w:lang w:val="en-US" w:eastAsia="zh-CN"/>
        </w:rPr>
        <w:t xml:space="preserve">    </w:t>
      </w:r>
      <w:r>
        <w:rPr>
          <w:rFonts w:hint="eastAsia" w:ascii="仿宋" w:hAnsi="仿宋" w:eastAsia="仿宋" w:cs="仿宋"/>
          <w:i w:val="0"/>
          <w:iCs w:val="0"/>
          <w:caps w:val="0"/>
          <w:color w:val="auto"/>
          <w:spacing w:val="0"/>
          <w:sz w:val="22"/>
          <w:szCs w:val="22"/>
        </w:rPr>
        <w:t>6、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r>
        <w:rPr>
          <w:rFonts w:hint="eastAsia" w:ascii="仿宋" w:hAnsi="仿宋" w:eastAsia="仿宋" w:cs="仿宋"/>
          <w:i w:val="0"/>
          <w:iCs w:val="0"/>
          <w:caps w:val="0"/>
          <w:color w:val="auto"/>
          <w:spacing w:val="0"/>
          <w:sz w:val="22"/>
          <w:szCs w:val="22"/>
        </w:rPr>
        <w:br w:type="textWrapping"/>
      </w:r>
      <w:r>
        <w:rPr>
          <w:rFonts w:hint="eastAsia" w:ascii="仿宋" w:hAnsi="仿宋" w:eastAsia="仿宋" w:cs="仿宋"/>
          <w:i w:val="0"/>
          <w:iCs w:val="0"/>
          <w:caps w:val="0"/>
          <w:color w:val="auto"/>
          <w:spacing w:val="0"/>
          <w:sz w:val="22"/>
          <w:szCs w:val="22"/>
          <w:lang w:val="en-US" w:eastAsia="zh-CN"/>
        </w:rPr>
        <w:t xml:space="preserve">    </w:t>
      </w:r>
      <w:r>
        <w:rPr>
          <w:rFonts w:hint="eastAsia" w:ascii="仿宋" w:hAnsi="仿宋" w:eastAsia="仿宋" w:cs="仿宋"/>
          <w:i w:val="0"/>
          <w:iCs w:val="0"/>
          <w:caps w:val="0"/>
          <w:color w:val="auto"/>
          <w:spacing w:val="0"/>
          <w:sz w:val="22"/>
          <w:szCs w:val="22"/>
        </w:rPr>
        <w:t>7、响应文件开启当日，供应商无需到达开标现场，仅需通过政采云平台“不见面”开标大厅完成远程解密、开标唱标、询标澄清、在线多轮报价、结果公布等交互环节。供应商必须使用能正确解密响应文件的“CA锁”在规定的时间内完成远程解密，因供应商因未能解密、解密失败或解密超时，视为供应商撤销其响应文件。</w:t>
      </w:r>
      <w:r>
        <w:rPr>
          <w:rFonts w:hint="eastAsia" w:ascii="仿宋" w:hAnsi="仿宋" w:eastAsia="仿宋" w:cs="仿宋"/>
          <w:i w:val="0"/>
          <w:iCs w:val="0"/>
          <w:caps w:val="0"/>
          <w:color w:val="auto"/>
          <w:spacing w:val="0"/>
          <w:sz w:val="22"/>
          <w:szCs w:val="22"/>
        </w:rPr>
        <w:br w:type="textWrapping"/>
      </w:r>
      <w:r>
        <w:rPr>
          <w:rFonts w:hint="eastAsia" w:ascii="仿宋" w:hAnsi="仿宋" w:eastAsia="仿宋" w:cs="仿宋"/>
          <w:i w:val="0"/>
          <w:iCs w:val="0"/>
          <w:caps w:val="0"/>
          <w:color w:val="auto"/>
          <w:spacing w:val="0"/>
          <w:sz w:val="22"/>
          <w:szCs w:val="22"/>
          <w:lang w:val="en-US" w:eastAsia="zh-CN"/>
        </w:rPr>
        <w:t xml:space="preserve">    </w:t>
      </w:r>
      <w:r>
        <w:rPr>
          <w:rFonts w:hint="eastAsia" w:ascii="仿宋" w:hAnsi="仿宋" w:eastAsia="仿宋" w:cs="仿宋"/>
          <w:i w:val="0"/>
          <w:iCs w:val="0"/>
          <w:caps w:val="0"/>
          <w:color w:val="auto"/>
          <w:spacing w:val="0"/>
          <w:sz w:val="22"/>
          <w:szCs w:val="22"/>
        </w:rPr>
        <w:t>8、逾期上传或者未上传指定地点的响应文件，采购人不予受理。 </w:t>
      </w:r>
      <w:r>
        <w:rPr>
          <w:rFonts w:hint="eastAsia" w:ascii="仿宋" w:hAnsi="仿宋" w:eastAsia="仿宋" w:cs="仿宋"/>
          <w:i w:val="0"/>
          <w:iCs w:val="0"/>
          <w:caps w:val="0"/>
          <w:color w:val="auto"/>
          <w:spacing w:val="0"/>
          <w:sz w:val="27"/>
          <w:szCs w:val="27"/>
        </w:rPr>
        <w:t> </w:t>
      </w:r>
    </w:p>
    <w:p w14:paraId="6BEABE3B">
      <w:pPr>
        <w:pageBreakBefore w:val="0"/>
        <w:widowControl w:val="0"/>
        <w:numPr>
          <w:ilvl w:val="0"/>
          <w:numId w:val="0"/>
        </w:numPr>
        <w:kinsoku/>
        <w:wordWrap/>
        <w:overflowPunct/>
        <w:topLinePunct w:val="0"/>
        <w:bidi w:val="0"/>
        <w:spacing w:line="360" w:lineRule="auto"/>
        <w:textAlignment w:val="auto"/>
        <w:rPr>
          <w:rFonts w:hint="eastAsia"/>
          <w:color w:val="auto"/>
          <w:sz w:val="16"/>
          <w:szCs w:val="20"/>
        </w:rPr>
      </w:pPr>
      <w:r>
        <w:rPr>
          <w:rFonts w:ascii="微软雅黑" w:hAnsi="微软雅黑" w:eastAsia="微软雅黑" w:cs="微软雅黑"/>
          <w:i w:val="0"/>
          <w:iCs w:val="0"/>
          <w:caps w:val="0"/>
          <w:color w:val="auto"/>
          <w:spacing w:val="0"/>
          <w:sz w:val="21"/>
          <w:szCs w:val="21"/>
        </w:rPr>
        <w:t>特别提示：</w:t>
      </w:r>
      <w:r>
        <w:rPr>
          <w:rFonts w:hint="eastAsia" w:ascii="微软雅黑" w:hAnsi="微软雅黑" w:eastAsia="微软雅黑" w:cs="微软雅黑"/>
          <w:i w:val="0"/>
          <w:iCs w:val="0"/>
          <w:caps w:val="0"/>
          <w:color w:val="auto"/>
          <w:spacing w:val="0"/>
          <w:sz w:val="21"/>
          <w:szCs w:val="21"/>
        </w:rPr>
        <w:br w:type="textWrapping"/>
      </w:r>
      <w:r>
        <w:rPr>
          <w:rFonts w:hint="eastAsia" w:ascii="微软雅黑" w:hAnsi="微软雅黑" w:eastAsia="微软雅黑" w:cs="微软雅黑"/>
          <w:i w:val="0"/>
          <w:iCs w:val="0"/>
          <w:caps w:val="0"/>
          <w:color w:val="auto"/>
          <w:spacing w:val="0"/>
          <w:sz w:val="21"/>
          <w:szCs w:val="21"/>
        </w:rPr>
        <w:t>1、采购限额标准以上，200万元以下的货物和服务采购项目、400万元以下的工程采购项目，适宜由中小企业提供的，采购人应当专门面向中小企业采购。</w:t>
      </w:r>
      <w:r>
        <w:rPr>
          <w:rFonts w:hint="eastAsia" w:ascii="微软雅黑" w:hAnsi="微软雅黑" w:eastAsia="微软雅黑" w:cs="微软雅黑"/>
          <w:i w:val="0"/>
          <w:iCs w:val="0"/>
          <w:caps w:val="0"/>
          <w:color w:val="auto"/>
          <w:spacing w:val="0"/>
          <w:sz w:val="21"/>
          <w:szCs w:val="21"/>
        </w:rPr>
        <w:br w:type="textWrapping"/>
      </w:r>
      <w:r>
        <w:rPr>
          <w:rFonts w:hint="eastAsia" w:ascii="微软雅黑" w:hAnsi="微软雅黑" w:eastAsia="微软雅黑" w:cs="微软雅黑"/>
          <w:i w:val="0"/>
          <w:iCs w:val="0"/>
          <w:caps w:val="0"/>
          <w:color w:val="auto"/>
          <w:spacing w:val="0"/>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r>
        <w:rPr>
          <w:rFonts w:hint="eastAsia" w:ascii="微软雅黑" w:hAnsi="微软雅黑" w:eastAsia="微软雅黑" w:cs="微软雅黑"/>
          <w:i w:val="0"/>
          <w:iCs w:val="0"/>
          <w:caps w:val="0"/>
          <w:color w:val="auto"/>
          <w:spacing w:val="0"/>
          <w:sz w:val="21"/>
          <w:szCs w:val="21"/>
        </w:rPr>
        <w:br w:type="textWrapping"/>
      </w:r>
      <w:r>
        <w:rPr>
          <w:rFonts w:hint="eastAsia" w:ascii="微软雅黑" w:hAnsi="微软雅黑" w:eastAsia="微软雅黑" w:cs="微软雅黑"/>
          <w:i w:val="0"/>
          <w:iCs w:val="0"/>
          <w:caps w:val="0"/>
          <w:color w:val="auto"/>
          <w:spacing w:val="0"/>
          <w:sz w:val="21"/>
          <w:szCs w:val="21"/>
        </w:rPr>
        <w:t>3、对于未预留份额专门面向中小企业的采购项目，以及预留份额项目中的非预留部分采购包，采购人、采购代理机构应当对符合规定的小微企业报价给予10%（工程项目为3%）的扣除，用扣除后的价格参加评审。适用招标投标法的政府采购工程建设项目，采用综合评估法但未采用低价优先法计算价格分的，评标时应当在采用原报价进行评分的基础上增加其价格得分的3%作为其价格分。</w:t>
      </w:r>
    </w:p>
    <w:p w14:paraId="569D815C">
      <w:pPr>
        <w:pageBreakBefore w:val="0"/>
        <w:widowControl w:val="0"/>
        <w:numPr>
          <w:ilvl w:val="0"/>
          <w:numId w:val="1"/>
        </w:numPr>
        <w:kinsoku/>
        <w:wordWrap/>
        <w:overflowPunct/>
        <w:topLinePunct w:val="0"/>
        <w:bidi w:val="0"/>
        <w:spacing w:line="360" w:lineRule="auto"/>
        <w:ind w:left="0" w:leftChars="0" w:firstLine="0" w:firstLineChars="0"/>
        <w:textAlignment w:val="auto"/>
        <w:rPr>
          <w:rFonts w:hint="eastAsia" w:ascii="黑体" w:hAnsi="黑体" w:cs="宋体"/>
          <w:b w:val="0"/>
          <w:color w:val="auto"/>
          <w:sz w:val="28"/>
          <w:szCs w:val="28"/>
          <w:highlight w:val="none"/>
        </w:rPr>
      </w:pPr>
      <w:r>
        <w:rPr>
          <w:rFonts w:hint="eastAsia" w:ascii="黑体" w:hAnsi="黑体" w:cs="宋体"/>
          <w:b w:val="0"/>
          <w:color w:val="auto"/>
          <w:sz w:val="28"/>
          <w:szCs w:val="28"/>
          <w:highlight w:val="none"/>
        </w:rPr>
        <w:t>凡对本次采购提出询问，请按</w:t>
      </w:r>
      <w:r>
        <w:rPr>
          <w:rFonts w:ascii="黑体" w:hAnsi="黑体" w:cs="宋体"/>
          <w:b w:val="0"/>
          <w:color w:val="auto"/>
          <w:sz w:val="28"/>
          <w:szCs w:val="28"/>
          <w:highlight w:val="none"/>
        </w:rPr>
        <w:t>以下方式</w:t>
      </w:r>
      <w:r>
        <w:rPr>
          <w:rFonts w:hint="eastAsia" w:ascii="黑体" w:hAnsi="黑体" w:cs="宋体"/>
          <w:b w:val="0"/>
          <w:color w:val="auto"/>
          <w:sz w:val="28"/>
          <w:szCs w:val="28"/>
          <w:highlight w:val="none"/>
        </w:rPr>
        <w:t>联系。</w:t>
      </w:r>
      <w:bookmarkEnd w:id="26"/>
      <w:bookmarkEnd w:id="27"/>
      <w:bookmarkEnd w:id="28"/>
      <w:bookmarkEnd w:id="29"/>
      <w:bookmarkStart w:id="30" w:name="_Toc28359096"/>
      <w:bookmarkStart w:id="31" w:name="_Toc35393806"/>
      <w:bookmarkStart w:id="32" w:name="_Toc35393637"/>
      <w:bookmarkStart w:id="33" w:name="_Toc28359019"/>
    </w:p>
    <w:p w14:paraId="1928190F">
      <w:pPr>
        <w:pageBreakBefore w:val="0"/>
        <w:widowControl w:val="0"/>
        <w:numPr>
          <w:ilvl w:val="0"/>
          <w:numId w:val="0"/>
        </w:numPr>
        <w:kinsoku/>
        <w:wordWrap/>
        <w:overflowPunct/>
        <w:topLinePunct w:val="0"/>
        <w:autoSpaceDE/>
        <w:autoSpaceDN/>
        <w:bidi w:val="0"/>
        <w:adjustRightInd/>
        <w:spacing w:line="360" w:lineRule="auto"/>
        <w:ind w:leftChars="0" w:firstLine="560" w:firstLineChars="200"/>
        <w:textAlignment w:val="auto"/>
        <w:rPr>
          <w:rFonts w:ascii="仿宋" w:hAnsi="仿宋" w:eastAsia="仿宋" w:cs="宋体"/>
          <w:b w:val="0"/>
          <w:color w:val="auto"/>
          <w:sz w:val="28"/>
          <w:szCs w:val="28"/>
          <w:highlight w:val="none"/>
        </w:rPr>
      </w:pPr>
      <w:r>
        <w:rPr>
          <w:rFonts w:hint="eastAsia" w:ascii="仿宋" w:hAnsi="仿宋" w:eastAsia="仿宋" w:cs="宋体"/>
          <w:b w:val="0"/>
          <w:color w:val="auto"/>
          <w:sz w:val="28"/>
          <w:szCs w:val="28"/>
          <w:highlight w:val="none"/>
        </w:rPr>
        <w:t>1.采购人信息</w:t>
      </w:r>
      <w:bookmarkEnd w:id="30"/>
      <w:bookmarkEnd w:id="31"/>
      <w:bookmarkEnd w:id="32"/>
      <w:bookmarkEnd w:id="33"/>
    </w:p>
    <w:p w14:paraId="13F0E9E0">
      <w:pPr>
        <w:pageBreakBefore w:val="0"/>
        <w:widowControl w:val="0"/>
        <w:kinsoku/>
        <w:wordWrap/>
        <w:overflowPunct/>
        <w:topLinePunct w:val="0"/>
        <w:autoSpaceDE/>
        <w:autoSpaceDN/>
        <w:bidi w:val="0"/>
        <w:adjustRightInd/>
        <w:spacing w:line="360" w:lineRule="auto"/>
        <w:ind w:firstLine="840" w:firstLineChars="300"/>
        <w:jc w:val="left"/>
        <w:textAlignment w:val="auto"/>
        <w:rPr>
          <w:rFonts w:hint="eastAsia" w:ascii="仿宋" w:hAnsi="仿宋" w:eastAsia="仿宋"/>
          <w:color w:val="auto"/>
          <w:sz w:val="28"/>
          <w:szCs w:val="28"/>
          <w:highlight w:val="none"/>
          <w:u w:val="single"/>
          <w:lang w:eastAsia="zh-CN"/>
        </w:rPr>
      </w:pPr>
      <w:r>
        <w:rPr>
          <w:rFonts w:hint="eastAsia" w:ascii="仿宋" w:hAnsi="仿宋" w:eastAsia="仿宋"/>
          <w:color w:val="auto"/>
          <w:sz w:val="28"/>
          <w:szCs w:val="28"/>
          <w:highlight w:val="none"/>
        </w:rPr>
        <w:t>名    称：</w:t>
      </w:r>
      <w:r>
        <w:rPr>
          <w:rFonts w:hint="eastAsia" w:ascii="仿宋" w:hAnsi="仿宋" w:eastAsia="仿宋"/>
          <w:color w:val="auto"/>
          <w:sz w:val="28"/>
          <w:szCs w:val="28"/>
          <w:highlight w:val="none"/>
          <w:u w:val="single"/>
          <w:lang w:eastAsia="zh-CN"/>
        </w:rPr>
        <w:t>福海县阔克阿尕什乡人民政府</w:t>
      </w:r>
    </w:p>
    <w:p w14:paraId="55248776">
      <w:pPr>
        <w:pageBreakBefore w:val="0"/>
        <w:widowControl w:val="0"/>
        <w:kinsoku/>
        <w:wordWrap/>
        <w:overflowPunct/>
        <w:topLinePunct w:val="0"/>
        <w:autoSpaceDE/>
        <w:autoSpaceDN/>
        <w:bidi w:val="0"/>
        <w:adjustRightInd/>
        <w:spacing w:line="360" w:lineRule="auto"/>
        <w:ind w:left="1129" w:leftChars="371" w:hanging="350" w:hangingChars="125"/>
        <w:jc w:val="left"/>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地    址：</w:t>
      </w:r>
      <w:r>
        <w:rPr>
          <w:rFonts w:hint="eastAsia" w:ascii="仿宋" w:hAnsi="仿宋" w:eastAsia="仿宋"/>
          <w:color w:val="auto"/>
          <w:sz w:val="28"/>
          <w:szCs w:val="28"/>
          <w:highlight w:val="none"/>
          <w:u w:val="single"/>
          <w:lang w:eastAsia="zh-CN"/>
        </w:rPr>
        <w:t>福海县</w:t>
      </w:r>
      <w:r>
        <w:rPr>
          <w:rFonts w:hint="eastAsia" w:ascii="仿宋" w:hAnsi="仿宋" w:eastAsia="仿宋"/>
          <w:color w:val="auto"/>
          <w:sz w:val="28"/>
          <w:szCs w:val="28"/>
          <w:highlight w:val="none"/>
          <w:u w:val="single"/>
        </w:rPr>
        <w:t>　　　　　</w:t>
      </w:r>
      <w:r>
        <w:rPr>
          <w:rFonts w:hint="eastAsia" w:ascii="仿宋" w:hAnsi="仿宋" w:eastAsia="仿宋"/>
          <w:color w:val="auto"/>
          <w:sz w:val="28"/>
          <w:szCs w:val="28"/>
          <w:highlight w:val="none"/>
          <w:u w:val="single"/>
          <w:lang w:val="en-US" w:eastAsia="zh-CN"/>
        </w:rPr>
        <w:t xml:space="preserve"> </w:t>
      </w:r>
    </w:p>
    <w:p w14:paraId="53DB2EB2">
      <w:pPr>
        <w:pageBreakBefore w:val="0"/>
        <w:widowControl w:val="0"/>
        <w:kinsoku/>
        <w:wordWrap/>
        <w:overflowPunct/>
        <w:topLinePunct w:val="0"/>
        <w:autoSpaceDE/>
        <w:autoSpaceDN/>
        <w:bidi w:val="0"/>
        <w:adjustRightInd/>
        <w:spacing w:line="360" w:lineRule="auto"/>
        <w:ind w:left="1129" w:leftChars="371" w:hanging="350" w:hangingChars="125"/>
        <w:jc w:val="left"/>
        <w:textAlignment w:val="auto"/>
        <w:rPr>
          <w:rFonts w:hint="eastAsia"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联系</w:t>
      </w:r>
      <w:r>
        <w:rPr>
          <w:rFonts w:hint="eastAsia" w:ascii="仿宋" w:hAnsi="仿宋" w:eastAsia="仿宋"/>
          <w:color w:val="auto"/>
          <w:sz w:val="28"/>
          <w:szCs w:val="28"/>
          <w:highlight w:val="none"/>
          <w:lang w:val="en-US" w:eastAsia="zh-CN"/>
        </w:rPr>
        <w:t xml:space="preserve">  </w:t>
      </w:r>
      <w:r>
        <w:rPr>
          <w:rFonts w:hint="eastAsia" w:ascii="仿宋" w:hAnsi="仿宋" w:eastAsia="仿宋"/>
          <w:color w:val="auto"/>
          <w:sz w:val="28"/>
          <w:szCs w:val="28"/>
          <w:highlight w:val="none"/>
          <w:lang w:eastAsia="zh-CN"/>
        </w:rPr>
        <w:t>人</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lang w:val="en-US" w:eastAsia="zh-CN"/>
        </w:rPr>
        <w:t xml:space="preserve">赵靖霖           </w:t>
      </w:r>
    </w:p>
    <w:p w14:paraId="5C4DCEA2">
      <w:pPr>
        <w:pageBreakBefore w:val="0"/>
        <w:widowControl w:val="0"/>
        <w:kinsoku/>
        <w:wordWrap/>
        <w:overflowPunct/>
        <w:topLinePunct w:val="0"/>
        <w:autoSpaceDE/>
        <w:autoSpaceDN/>
        <w:bidi w:val="0"/>
        <w:adjustRightInd/>
        <w:spacing w:line="360" w:lineRule="auto"/>
        <w:ind w:left="1129" w:leftChars="371" w:hanging="350" w:hangingChars="125"/>
        <w:jc w:val="left"/>
        <w:textAlignment w:val="auto"/>
        <w:rPr>
          <w:rFonts w:ascii="仿宋" w:hAnsi="仿宋" w:eastAsia="仿宋"/>
          <w:color w:val="auto"/>
          <w:sz w:val="28"/>
          <w:szCs w:val="28"/>
          <w:highlight w:val="none"/>
        </w:rPr>
      </w:pPr>
      <w:r>
        <w:rPr>
          <w:rFonts w:hint="eastAsia" w:ascii="仿宋" w:hAnsi="仿宋" w:eastAsia="仿宋"/>
          <w:color w:val="auto"/>
          <w:sz w:val="28"/>
          <w:szCs w:val="28"/>
          <w:highlight w:val="none"/>
        </w:rPr>
        <w:t>联系方式：</w:t>
      </w:r>
      <w:r>
        <w:rPr>
          <w:rFonts w:hint="eastAsia" w:ascii="仿宋" w:hAnsi="仿宋" w:eastAsia="仿宋"/>
          <w:color w:val="auto"/>
          <w:sz w:val="28"/>
          <w:szCs w:val="28"/>
          <w:highlight w:val="none"/>
          <w:u w:val="single"/>
          <w:lang w:val="en-US" w:eastAsia="zh-CN"/>
        </w:rPr>
        <w:t xml:space="preserve">17699703121 </w:t>
      </w:r>
    </w:p>
    <w:p w14:paraId="2D56CD02">
      <w:pPr>
        <w:pStyle w:val="4"/>
        <w:pageBreakBefore w:val="0"/>
        <w:widowControl w:val="0"/>
        <w:kinsoku/>
        <w:wordWrap/>
        <w:overflowPunct/>
        <w:topLinePunct w:val="0"/>
        <w:autoSpaceDE/>
        <w:autoSpaceDN/>
        <w:bidi w:val="0"/>
        <w:adjustRightInd/>
        <w:spacing w:line="360" w:lineRule="auto"/>
        <w:ind w:firstLine="840" w:firstLineChars="300"/>
        <w:textAlignment w:val="auto"/>
        <w:rPr>
          <w:rFonts w:ascii="仿宋" w:hAnsi="仿宋" w:eastAsia="仿宋" w:cs="宋体"/>
          <w:b w:val="0"/>
          <w:color w:val="auto"/>
          <w:sz w:val="28"/>
          <w:szCs w:val="28"/>
          <w:highlight w:val="none"/>
        </w:rPr>
      </w:pPr>
      <w:bookmarkStart w:id="34" w:name="_Toc35393807"/>
      <w:bookmarkStart w:id="35" w:name="_Toc28359097"/>
      <w:bookmarkStart w:id="36" w:name="_Toc35393638"/>
      <w:bookmarkStart w:id="37" w:name="_Toc28359020"/>
      <w:r>
        <w:rPr>
          <w:rFonts w:hint="eastAsia" w:ascii="仿宋" w:hAnsi="仿宋" w:eastAsia="仿宋" w:cs="宋体"/>
          <w:b w:val="0"/>
          <w:color w:val="auto"/>
          <w:sz w:val="28"/>
          <w:szCs w:val="28"/>
          <w:highlight w:val="none"/>
        </w:rPr>
        <w:t>2.采购代理机构信息</w:t>
      </w:r>
      <w:bookmarkEnd w:id="34"/>
      <w:bookmarkEnd w:id="35"/>
      <w:bookmarkEnd w:id="36"/>
      <w:bookmarkEnd w:id="37"/>
    </w:p>
    <w:p w14:paraId="77943A46">
      <w:pPr>
        <w:pageBreakBefore w:val="0"/>
        <w:widowControl w:val="0"/>
        <w:kinsoku/>
        <w:wordWrap/>
        <w:overflowPunct/>
        <w:topLinePunct w:val="0"/>
        <w:autoSpaceDE/>
        <w:autoSpaceDN/>
        <w:bidi w:val="0"/>
        <w:adjustRightInd/>
        <w:snapToGrid w:val="0"/>
        <w:spacing w:line="360" w:lineRule="auto"/>
        <w:ind w:left="1129" w:leftChars="371" w:hanging="350" w:hangingChars="125"/>
        <w:jc w:val="left"/>
        <w:textAlignment w:val="auto"/>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名    称：</w:t>
      </w:r>
      <w:r>
        <w:rPr>
          <w:rFonts w:hint="eastAsia" w:ascii="仿宋" w:hAnsi="仿宋" w:eastAsia="仿宋"/>
          <w:color w:val="auto"/>
          <w:sz w:val="28"/>
          <w:szCs w:val="28"/>
          <w:highlight w:val="none"/>
          <w:u w:val="single"/>
          <w:lang w:val="en-US" w:eastAsia="zh-CN"/>
        </w:rPr>
        <w:t>新疆晨之星工程项目管理有限公司</w:t>
      </w:r>
    </w:p>
    <w:p w14:paraId="2CEDC34D">
      <w:pPr>
        <w:pageBreakBefore w:val="0"/>
        <w:widowControl w:val="0"/>
        <w:kinsoku/>
        <w:wordWrap/>
        <w:overflowPunct/>
        <w:topLinePunct w:val="0"/>
        <w:autoSpaceDE/>
        <w:autoSpaceDN/>
        <w:bidi w:val="0"/>
        <w:adjustRightInd/>
        <w:snapToGrid w:val="0"/>
        <w:spacing w:line="360" w:lineRule="auto"/>
        <w:ind w:left="1129" w:leftChars="371" w:hanging="350" w:hangingChars="125"/>
        <w:jc w:val="left"/>
        <w:textAlignment w:val="auto"/>
        <w:rPr>
          <w:rFonts w:hint="eastAsia" w:ascii="仿宋" w:hAnsi="仿宋" w:eastAsia="仿宋" w:cs="Times New Roman"/>
          <w:color w:val="auto"/>
          <w:sz w:val="28"/>
          <w:szCs w:val="28"/>
          <w:highlight w:val="none"/>
          <w:u w:val="single"/>
          <w:lang w:val="en-US" w:eastAsia="zh-CN"/>
        </w:rPr>
      </w:pPr>
      <w:r>
        <w:rPr>
          <w:rFonts w:hint="eastAsia" w:ascii="仿宋" w:hAnsi="仿宋" w:eastAsia="仿宋" w:cs="Times New Roman"/>
          <w:color w:val="auto"/>
          <w:sz w:val="28"/>
          <w:szCs w:val="28"/>
          <w:highlight w:val="none"/>
          <w:u w:val="none"/>
          <w:lang w:val="en-US" w:eastAsia="zh-CN"/>
        </w:rPr>
        <w:t xml:space="preserve">联 系 人: </w:t>
      </w:r>
      <w:r>
        <w:rPr>
          <w:rFonts w:hint="eastAsia" w:ascii="仿宋" w:hAnsi="仿宋" w:eastAsia="仿宋" w:cs="Times New Roman"/>
          <w:color w:val="auto"/>
          <w:sz w:val="28"/>
          <w:szCs w:val="28"/>
          <w:highlight w:val="none"/>
          <w:u w:val="single"/>
          <w:lang w:val="en-US" w:eastAsia="zh-CN"/>
        </w:rPr>
        <w:t>包梦婷　　　　　　　　</w:t>
      </w:r>
    </w:p>
    <w:p w14:paraId="4B94CA8D">
      <w:pPr>
        <w:ind w:firstLine="840" w:firstLineChars="300"/>
      </w:pPr>
      <w:bookmarkStart w:id="38" w:name="_GoBack"/>
      <w:bookmarkEnd w:id="38"/>
      <w:r>
        <w:rPr>
          <w:rFonts w:hint="eastAsia" w:ascii="仿宋" w:hAnsi="仿宋" w:eastAsia="仿宋" w:cs="Times New Roman"/>
          <w:color w:val="auto"/>
          <w:sz w:val="28"/>
          <w:szCs w:val="28"/>
          <w:highlight w:val="none"/>
          <w:u w:val="none"/>
          <w:lang w:val="en-US" w:eastAsia="zh-CN"/>
        </w:rPr>
        <w:t>联系方式：</w:t>
      </w:r>
      <w:r>
        <w:rPr>
          <w:rFonts w:hint="eastAsia" w:ascii="仿宋" w:hAnsi="仿宋" w:eastAsia="仿宋" w:cs="Times New Roman"/>
          <w:color w:val="auto"/>
          <w:sz w:val="28"/>
          <w:szCs w:val="28"/>
          <w:highlight w:val="none"/>
          <w:u w:val="single"/>
          <w:lang w:val="en-US" w:eastAsia="zh-CN"/>
        </w:rPr>
        <w:t>13119051011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5B5C0"/>
    <w:multiLevelType w:val="singleLevel"/>
    <w:tmpl w:val="8E85B5C0"/>
    <w:lvl w:ilvl="0" w:tentative="0">
      <w:start w:val="7"/>
      <w:numFmt w:val="chineseCounting"/>
      <w:suff w:val="nothing"/>
      <w:lvlText w:val="%1、"/>
      <w:lvlJc w:val="left"/>
      <w:rPr>
        <w:rFonts w:hint="eastAsia"/>
      </w:rPr>
    </w:lvl>
  </w:abstractNum>
  <w:abstractNum w:abstractNumId="1">
    <w:nsid w:val="106536C5"/>
    <w:multiLevelType w:val="singleLevel"/>
    <w:tmpl w:val="106536C5"/>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A1MTE1MjgzZDllZDk0MWFhZDdmOTJhNWUyOWIwOTcifQ=="/>
  </w:docVars>
  <w:rsids>
    <w:rsidRoot w:val="00000000"/>
    <w:rsid w:val="20253126"/>
    <w:rsid w:val="335D4974"/>
    <w:rsid w:val="3D881C30"/>
    <w:rsid w:val="4AB951BA"/>
    <w:rsid w:val="4B7E4BF0"/>
    <w:rsid w:val="54433E2B"/>
    <w:rsid w:val="7A9277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qFormat="1"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2"/>
    <w:basedOn w:val="1"/>
    <w:next w:val="1"/>
    <w:qFormat/>
    <w:uiPriority w:val="0"/>
    <w:pPr>
      <w:keepNext/>
      <w:keepLines/>
      <w:widowControl w:val="0"/>
      <w:spacing w:before="260" w:beforeLines="0" w:after="260" w:afterLines="0" w:line="415" w:lineRule="auto"/>
      <w:outlineLvl w:val="1"/>
    </w:pPr>
    <w:rPr>
      <w:rFonts w:ascii="Arial" w:hAnsi="Arial" w:eastAsia="黑体"/>
      <w:b/>
      <w:bCs/>
      <w:kern w:val="2"/>
      <w:sz w:val="32"/>
      <w:szCs w:val="32"/>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after="120" w:line="240" w:lineRule="auto"/>
      <w:ind w:left="420" w:leftChars="200" w:firstLine="200" w:firstLineChars="200"/>
      <w:jc w:val="left"/>
    </w:pPr>
    <w:rPr>
      <w:rFonts w:hAnsi="宋体"/>
      <w:szCs w:val="24"/>
    </w:rPr>
  </w:style>
  <w:style w:type="paragraph" w:styleId="3">
    <w:name w:val="Body Text Indent"/>
    <w:basedOn w:val="1"/>
    <w:qFormat/>
    <w:uiPriority w:val="0"/>
    <w:pPr>
      <w:spacing w:after="120" w:afterLines="0"/>
      <w:ind w:left="200" w:leftChars="200"/>
    </w:pPr>
  </w:style>
  <w:style w:type="paragraph" w:styleId="5">
    <w:name w:val="toc 7"/>
    <w:basedOn w:val="1"/>
    <w:next w:val="1"/>
    <w:qFormat/>
    <w:uiPriority w:val="0"/>
    <w:pPr>
      <w:ind w:left="1260"/>
      <w:jc w:val="left"/>
    </w:pPr>
    <w:rPr>
      <w:sz w:val="18"/>
      <w:szCs w:val="18"/>
    </w:rPr>
  </w:style>
  <w:style w:type="paragraph" w:styleId="6">
    <w:name w:val="Normal Indent"/>
    <w:basedOn w:val="1"/>
    <w:next w:val="1"/>
    <w:qFormat/>
    <w:uiPriority w:val="0"/>
    <w:pPr>
      <w:ind w:firstLine="200" w:firstLineChars="200"/>
    </w:pPr>
  </w:style>
  <w:style w:type="paragraph" w:customStyle="1" w:styleId="9">
    <w:name w:val="Default"/>
    <w:next w:val="1"/>
    <w:qFormat/>
    <w:uiPriority w:val="0"/>
    <w:pPr>
      <w:widowControl w:val="0"/>
      <w:autoSpaceDE w:val="0"/>
      <w:autoSpaceDN w:val="0"/>
      <w:adjustRightInd w:val="0"/>
    </w:pPr>
    <w:rPr>
      <w:rFonts w:ascii="黑体" w:hAnsi="Times New Roman" w:eastAsia="黑体" w:cs="Times New Roman"/>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2277</Words>
  <Characters>2696</Characters>
  <Lines>0</Lines>
  <Paragraphs>0</Paragraphs>
  <TotalTime>0</TotalTime>
  <ScaleCrop>false</ScaleCrop>
  <LinksUpToDate>false</LinksUpToDate>
  <CharactersWithSpaces>2794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2024-08-24T06:36:00Z</dcterms:created>
  <dc:creator>pc2</dc:creator>
  <cp:lastModifiedBy>阳阳阳丶</cp:lastModifiedBy>
  <dcterms:modified xsi:type="dcterms:W3CDTF">2025-03-21T11:42:36Z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4D8A0EC4F0CE422B8E24BA874AFC85AB_12</vt:lpwstr>
  </property>
  <property fmtid="{D5CDD505-2E9C-101B-9397-08002B2CF9AE}" pid="4" name="KSOTemplateDocerSaveRecord">
    <vt:lpwstr>eyJoZGlkIjoiZmJlNmY1YWUxOWVlMjc2YzAxOTJmNDA1MWY1NjliNDciLCJ1c2VySWQiOiIzMTU2MDA4NzcifQ==</vt:lpwstr>
  </property>
</Properties>
</file>