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7C38F7">
      <w:pPr>
        <w:jc w:val="center"/>
        <w:rPr>
          <w:rFonts w:hint="eastAsia" w:ascii="仿宋" w:hAnsi="仿宋" w:eastAsia="仿宋"/>
          <w:b/>
          <w:bCs/>
          <w:color w:val="auto"/>
          <w:sz w:val="36"/>
          <w:szCs w:val="36"/>
          <w:highlight w:val="none"/>
          <w:u w:val="none"/>
          <w:lang w:eastAsia="zh-CN"/>
        </w:rPr>
      </w:pPr>
      <w:r>
        <w:rPr>
          <w:rFonts w:hint="eastAsia" w:ascii="仿宋" w:hAnsi="仿宋" w:eastAsia="仿宋"/>
          <w:b/>
          <w:bCs/>
          <w:color w:val="auto"/>
          <w:sz w:val="36"/>
          <w:szCs w:val="36"/>
          <w:highlight w:val="none"/>
          <w:u w:val="none"/>
          <w:lang w:eastAsia="zh-CN"/>
        </w:rPr>
        <w:t>吉木乃县喀尔交镇饲草料种植提升建设项目</w:t>
      </w:r>
    </w:p>
    <w:p w14:paraId="475A8371">
      <w:pPr>
        <w:jc w:val="center"/>
        <w:rPr>
          <w:color w:val="auto"/>
          <w:sz w:val="36"/>
          <w:szCs w:val="36"/>
          <w:highlight w:val="none"/>
        </w:rPr>
      </w:pPr>
      <w:r>
        <w:rPr>
          <w:rFonts w:hint="eastAsia" w:ascii="华文中宋" w:hAnsi="华文中宋" w:eastAsia="华文中宋"/>
          <w:color w:val="auto"/>
          <w:sz w:val="36"/>
          <w:szCs w:val="36"/>
          <w:highlight w:val="none"/>
        </w:rPr>
        <w:t>竞争性</w:t>
      </w:r>
      <w:r>
        <w:rPr>
          <w:rFonts w:hint="eastAsia" w:ascii="华文中宋" w:hAnsi="华文中宋" w:eastAsia="华文中宋"/>
          <w:color w:val="auto"/>
          <w:sz w:val="36"/>
          <w:szCs w:val="36"/>
          <w:highlight w:val="none"/>
          <w:lang w:val="en-US" w:eastAsia="zh-CN"/>
        </w:rPr>
        <w:t>磋商</w:t>
      </w:r>
      <w:r>
        <w:rPr>
          <w:rFonts w:hint="eastAsia" w:ascii="华文中宋" w:hAnsi="华文中宋" w:eastAsia="华文中宋"/>
          <w:color w:val="auto"/>
          <w:sz w:val="36"/>
          <w:szCs w:val="36"/>
          <w:highlight w:val="none"/>
        </w:rPr>
        <w:t>公告</w:t>
      </w:r>
    </w:p>
    <w:p w14:paraId="01BE65EC">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669C5A9E">
      <w:pPr>
        <w:pBdr>
          <w:top w:val="single" w:color="auto" w:sz="4" w:space="1"/>
          <w:left w:val="single" w:color="auto" w:sz="4" w:space="4"/>
          <w:bottom w:val="single" w:color="auto" w:sz="4" w:space="1"/>
          <w:right w:val="single" w:color="auto" w:sz="4" w:space="4"/>
        </w:pBdr>
        <w:spacing w:line="24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eastAsia="zh-CN"/>
        </w:rPr>
        <w:t>吉木乃县喀尔交镇饲草料种植提升建设项目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en-US" w:eastAsia="zh-CN"/>
        </w:rPr>
        <w:t>2025</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9</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7B6BAF37">
      <w:pPr>
        <w:rPr>
          <w:color w:val="auto"/>
          <w:highlight w:val="none"/>
        </w:rPr>
      </w:pPr>
    </w:p>
    <w:p w14:paraId="4655526B">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0" w:name="_Toc28359012"/>
      <w:bookmarkStart w:id="1" w:name="_Toc35393629"/>
      <w:bookmarkStart w:id="2" w:name="_Toc28359089"/>
      <w:bookmarkStart w:id="3" w:name="_Toc35393798"/>
      <w:r>
        <w:rPr>
          <w:rFonts w:hint="eastAsia" w:ascii="黑体" w:hAnsi="黑体" w:cs="宋体"/>
          <w:b w:val="0"/>
          <w:color w:val="auto"/>
          <w:sz w:val="28"/>
          <w:szCs w:val="28"/>
          <w:highlight w:val="none"/>
        </w:rPr>
        <w:t>一、项目基本情况</w:t>
      </w:r>
      <w:bookmarkEnd w:id="0"/>
      <w:bookmarkEnd w:id="1"/>
      <w:bookmarkEnd w:id="2"/>
      <w:bookmarkEnd w:id="3"/>
    </w:p>
    <w:p w14:paraId="2AF73FAF">
      <w:pPr>
        <w:pageBreakBefore w:val="0"/>
        <w:widowControl w:val="0"/>
        <w:kinsoku/>
        <w:wordWrap/>
        <w:overflowPunct/>
        <w:topLinePunct w:val="0"/>
        <w:bidi w:val="0"/>
        <w:spacing w:line="320" w:lineRule="exact"/>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ZFCGJHZY202506</w:t>
      </w:r>
    </w:p>
    <w:p w14:paraId="2E9644DA">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吉木乃县喀尔交镇饲草料种植提升建设项目</w:t>
      </w:r>
    </w:p>
    <w:p w14:paraId="0F2455FE">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231D8CDA">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s="Times New Roman"/>
          <w:color w:val="auto"/>
          <w:sz w:val="28"/>
          <w:szCs w:val="28"/>
          <w:highlight w:val="none"/>
          <w:lang w:val="en-US" w:eastAsia="zh-CN"/>
        </w:rPr>
        <w:t>3714576.93</w:t>
      </w:r>
      <w:bookmarkStart w:id="38" w:name="_GoBack"/>
      <w:bookmarkEnd w:id="38"/>
      <w:r>
        <w:rPr>
          <w:rFonts w:hint="eastAsia" w:ascii="仿宋" w:hAnsi="仿宋" w:eastAsia="仿宋"/>
          <w:color w:val="auto"/>
          <w:sz w:val="28"/>
          <w:szCs w:val="28"/>
          <w:highlight w:val="none"/>
          <w:lang w:val="en-US" w:eastAsia="zh-CN"/>
        </w:rPr>
        <w:t>元</w:t>
      </w:r>
    </w:p>
    <w:p w14:paraId="4DB81148">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最高限价：3714576.93元</w:t>
      </w:r>
    </w:p>
    <w:p w14:paraId="6EAC6906">
      <w:pPr>
        <w:pageBreakBefore w:val="0"/>
        <w:widowControl w:val="0"/>
        <w:kinsoku/>
        <w:wordWrap/>
        <w:overflowPunct/>
        <w:topLinePunct w:val="0"/>
        <w:bidi w:val="0"/>
        <w:spacing w:line="320" w:lineRule="exact"/>
        <w:ind w:left="1959" w:leftChars="266" w:hanging="1400" w:hangingChars="500"/>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服务内容：在萨尔布拉克村赛特尔片区种植2000亩饲草料和喀尔交村阿克巴斯陶种植600亩饲草料，新建自压打井，对现有水井、电力设施、围栏、管段设施进行维修改造。（详见工程量清单）</w:t>
      </w:r>
    </w:p>
    <w:p w14:paraId="6660BB5B">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olor w:val="auto"/>
          <w:sz w:val="28"/>
          <w:szCs w:val="28"/>
          <w:highlight w:val="none"/>
          <w:lang w:val="en-US" w:eastAsia="zh-CN"/>
        </w:rPr>
        <w:t>详见磋商文件。</w:t>
      </w:r>
    </w:p>
    <w:p w14:paraId="7D37C603">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6937265B">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u w:val="none"/>
        </w:rPr>
      </w:pPr>
      <w:bookmarkStart w:id="4" w:name="_Toc28359013"/>
      <w:bookmarkStart w:id="5" w:name="_Toc35393630"/>
      <w:bookmarkStart w:id="6" w:name="_Toc35393799"/>
      <w:bookmarkStart w:id="7" w:name="_Toc28359090"/>
      <w:bookmarkStart w:id="8" w:name="_Toc35393800"/>
      <w:bookmarkStart w:id="9" w:name="_Toc28359091"/>
      <w:bookmarkStart w:id="10" w:name="_Toc35393631"/>
      <w:bookmarkStart w:id="11" w:name="_Toc28359014"/>
      <w:r>
        <w:rPr>
          <w:rFonts w:hint="eastAsia" w:ascii="黑体" w:hAnsi="黑体" w:cs="宋体"/>
          <w:b w:val="0"/>
          <w:color w:val="auto"/>
          <w:sz w:val="28"/>
          <w:szCs w:val="28"/>
          <w:highlight w:val="none"/>
          <w:u w:val="none"/>
        </w:rPr>
        <w:t>二、申请人的资格要求：</w:t>
      </w:r>
      <w:bookmarkEnd w:id="4"/>
      <w:bookmarkEnd w:id="5"/>
      <w:bookmarkEnd w:id="6"/>
      <w:bookmarkEnd w:id="7"/>
    </w:p>
    <w:p w14:paraId="570FBA22">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5A6909E8">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.落实政府采购政策需满足的资格要求：供应商为中小企业</w:t>
      </w:r>
    </w:p>
    <w:p w14:paraId="22C6F489">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1）</w:t>
      </w:r>
      <w:r>
        <w:rPr>
          <w:rFonts w:hint="eastAsia" w:ascii="仿宋" w:hAnsi="仿宋" w:eastAsia="仿宋"/>
          <w:color w:val="auto"/>
          <w:sz w:val="28"/>
          <w:szCs w:val="28"/>
          <w:highlight w:val="none"/>
          <w:u w:val="none"/>
        </w:rPr>
        <w:t>《政府采购促进中小企业发展管理办法》（财库〔2020〕46号）；</w:t>
      </w: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2）</w:t>
      </w:r>
      <w:r>
        <w:rPr>
          <w:rFonts w:hint="eastAsia" w:ascii="仿宋" w:hAnsi="仿宋" w:eastAsia="仿宋"/>
          <w:color w:val="auto"/>
          <w:sz w:val="28"/>
          <w:szCs w:val="28"/>
          <w:highlight w:val="none"/>
          <w:u w:val="none"/>
        </w:rPr>
        <w:t>《关于促进残疾人就业政府采购政策的通知》（财库〔2017〕141号）；</w:t>
      </w: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3）</w:t>
      </w:r>
      <w:r>
        <w:rPr>
          <w:rFonts w:hint="eastAsia" w:ascii="仿宋" w:hAnsi="仿宋" w:eastAsia="仿宋"/>
          <w:color w:val="auto"/>
          <w:sz w:val="28"/>
          <w:szCs w:val="28"/>
          <w:highlight w:val="none"/>
          <w:u w:val="none"/>
        </w:rPr>
        <w:t>《关于政府采购支持jianyu企业发展有关问题的通知》（财库〔2014〕68号）（注：1、以上政策不重复享受；2、如属于上述企业需按招标文件要求提供相关资料）。</w:t>
      </w:r>
    </w:p>
    <w:p w14:paraId="60A6B990">
      <w:pPr>
        <w:pageBreakBefore w:val="0"/>
        <w:widowControl w:val="0"/>
        <w:kinsoku/>
        <w:wordWrap/>
        <w:overflowPunct/>
        <w:topLinePunct w:val="0"/>
        <w:bidi w:val="0"/>
        <w:spacing w:line="320" w:lineRule="exact"/>
        <w:ind w:firstLine="540" w:firstLineChars="200"/>
        <w:textAlignment w:val="auto"/>
        <w:rPr>
          <w:rFonts w:ascii="仿宋" w:hAnsi="仿宋" w:eastAsia="仿宋" w:cs="仿宋"/>
          <w:i w:val="0"/>
          <w:iCs w:val="0"/>
          <w:caps w:val="0"/>
          <w:color w:val="auto"/>
          <w:spacing w:val="0"/>
          <w:sz w:val="27"/>
          <w:szCs w:val="27"/>
        </w:rPr>
      </w:pPr>
      <w:r>
        <w:rPr>
          <w:rFonts w:ascii="仿宋" w:hAnsi="仿宋" w:eastAsia="仿宋" w:cs="仿宋"/>
          <w:i w:val="0"/>
          <w:iCs w:val="0"/>
          <w:caps w:val="0"/>
          <w:color w:val="auto"/>
          <w:spacing w:val="0"/>
          <w:sz w:val="27"/>
          <w:szCs w:val="27"/>
        </w:rPr>
        <w:t>3.本项目的特定资格要求：</w:t>
      </w:r>
    </w:p>
    <w:p w14:paraId="25D27F3A">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（1）资质条件：市政公用工程施工总承包叁级(含)以上资质，类似工程规模业绩，在人员、设备、资金等方面具有相应的施工能力，有安全生产许可证。外省企业还需提供进疆企业信息报送手续。</w:t>
      </w:r>
    </w:p>
    <w:p w14:paraId="0088A5D4">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Times New Roman"/>
          <w:color w:val="auto"/>
          <w:sz w:val="28"/>
          <w:szCs w:val="28"/>
          <w:lang w:val="en-US" w:eastAsia="zh-CN"/>
        </w:rPr>
        <w:t>（2）项目经理须具备市政工程专业贰级(含)以上注册建造师执业资格，具备有效的安全生产考核合格证书，且未担任其他建设工程项目的项目经理。</w:t>
      </w:r>
      <w:r>
        <w:rPr>
          <w:rFonts w:hint="eastAsia" w:ascii="仿宋" w:hAnsi="仿宋" w:eastAsia="仿宋" w:cs="仿宋"/>
          <w:i w:val="0"/>
          <w:iCs w:val="0"/>
          <w:caps w:val="0"/>
          <w:color w:val="auto"/>
          <w:spacing w:val="0"/>
          <w:sz w:val="27"/>
          <w:szCs w:val="27"/>
          <w:lang w:val="en-US" w:eastAsia="zh-CN"/>
        </w:rPr>
        <w:t xml:space="preserve">     </w:t>
      </w:r>
    </w:p>
    <w:p w14:paraId="1471C170">
      <w:pPr>
        <w:pageBreakBefore w:val="0"/>
        <w:widowControl w:val="0"/>
        <w:kinsoku/>
        <w:wordWrap/>
        <w:overflowPunct/>
        <w:topLinePunct w:val="0"/>
        <w:bidi w:val="0"/>
        <w:spacing w:line="320" w:lineRule="exact"/>
        <w:ind w:firstLine="540" w:firstLineChars="200"/>
        <w:textAlignment w:val="auto"/>
        <w:rPr>
          <w:rFonts w:hint="eastAsia" w:ascii="仿宋" w:hAnsi="仿宋" w:eastAsia="仿宋" w:cs="仿宋"/>
          <w:color w:val="auto"/>
          <w:kern w:val="0"/>
          <w:sz w:val="27"/>
          <w:szCs w:val="27"/>
          <w:highlight w:val="none"/>
          <w:lang w:val="en-US" w:eastAsia="zh-CN" w:bidi="ar"/>
        </w:rPr>
      </w:pPr>
      <w:r>
        <w:rPr>
          <w:rFonts w:hint="eastAsia" w:ascii="仿宋" w:hAnsi="仿宋" w:eastAsia="仿宋" w:cs="仿宋"/>
          <w:i w:val="0"/>
          <w:iCs w:val="0"/>
          <w:caps w:val="0"/>
          <w:color w:val="auto"/>
          <w:spacing w:val="0"/>
          <w:sz w:val="27"/>
          <w:szCs w:val="27"/>
          <w:lang w:val="en-US" w:eastAsia="zh-CN"/>
        </w:rPr>
        <w:t>4</w:t>
      </w:r>
      <w:r>
        <w:rPr>
          <w:rFonts w:hint="eastAsia" w:ascii="仿宋" w:hAnsi="仿宋" w:eastAsia="仿宋" w:cs="仿宋"/>
          <w:i w:val="0"/>
          <w:iCs w:val="0"/>
          <w:caps w:val="0"/>
          <w:color w:val="auto"/>
          <w:spacing w:val="0"/>
          <w:sz w:val="27"/>
          <w:szCs w:val="27"/>
        </w:rPr>
        <w:t>、本招标项目不接受联合体投标。 </w:t>
      </w:r>
      <w:r>
        <w:rPr>
          <w:rFonts w:hint="eastAsia" w:ascii="仿宋" w:hAnsi="仿宋" w:eastAsia="仿宋" w:cs="仿宋"/>
          <w:color w:val="auto"/>
          <w:kern w:val="0"/>
          <w:sz w:val="27"/>
          <w:szCs w:val="27"/>
          <w:highlight w:val="none"/>
          <w:lang w:val="en-US" w:eastAsia="zh-CN" w:bidi="ar"/>
        </w:rPr>
        <w:t xml:space="preserve">   </w:t>
      </w:r>
    </w:p>
    <w:p w14:paraId="353B7549">
      <w:pPr>
        <w:pStyle w:val="2"/>
        <w:pageBreakBefore w:val="0"/>
        <w:widowControl w:val="0"/>
        <w:numPr>
          <w:ilvl w:val="0"/>
          <w:numId w:val="0"/>
        </w:numPr>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19BB2E07">
      <w:pPr>
        <w:pageBreakBefore w:val="0"/>
        <w:widowControl w:val="0"/>
        <w:kinsoku/>
        <w:wordWrap/>
        <w:overflowPunct/>
        <w:topLinePunct w:val="0"/>
        <w:bidi w:val="0"/>
        <w:spacing w:line="320" w:lineRule="exact"/>
        <w:ind w:firstLine="540"/>
        <w:textAlignment w:val="auto"/>
        <w:rPr>
          <w:rFonts w:ascii="仿宋" w:hAnsi="仿宋" w:eastAsia="仿宋" w:cs="宋体"/>
          <w:color w:val="auto"/>
          <w:sz w:val="28"/>
          <w:szCs w:val="28"/>
          <w:highlight w:val="none"/>
        </w:rPr>
      </w:pPr>
      <w:bookmarkStart w:id="12" w:name="_Toc35393632"/>
      <w:bookmarkStart w:id="13" w:name="_Toc28359092"/>
      <w:bookmarkStart w:id="14" w:name="_Toc28359015"/>
      <w:bookmarkStart w:id="15" w:name="_Toc35393801"/>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3</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25</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6FF835BD">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：线上获取或线下获取</w:t>
      </w:r>
      <w:r>
        <w:rPr>
          <w:rFonts w:hint="eastAsia" w:ascii="仿宋" w:hAnsi="仿宋" w:eastAsia="仿宋" w:cs="宋体"/>
          <w:color w:val="auto"/>
          <w:sz w:val="28"/>
          <w:szCs w:val="28"/>
          <w:highlight w:val="none"/>
          <w:lang w:eastAsia="zh-CN"/>
        </w:rPr>
        <w:t>，</w:t>
      </w:r>
      <w:r>
        <w:rPr>
          <w:rFonts w:hint="eastAsia" w:ascii="仿宋" w:hAnsi="仿宋" w:eastAsia="仿宋" w:cs="宋体"/>
          <w:color w:val="auto"/>
          <w:sz w:val="28"/>
          <w:szCs w:val="28"/>
          <w:highlight w:val="none"/>
          <w:lang w:val="en-US" w:eastAsia="zh-CN"/>
        </w:rPr>
        <w:t>线上获取请</w:t>
      </w:r>
      <w:r>
        <w:rPr>
          <w:rFonts w:hint="eastAsia" w:ascii="仿宋" w:hAnsi="仿宋" w:eastAsia="仿宋" w:cs="宋体"/>
          <w:color w:val="auto"/>
          <w:sz w:val="28"/>
          <w:szCs w:val="28"/>
          <w:highlight w:val="none"/>
        </w:rPr>
        <w:t>供应商登录政采云平台https://www.zcygov.cn/在线申请获取采购文件（进入“项目采购”应用，在获取采购文件菜单中选择项目，申请获取采购文件） </w:t>
      </w:r>
    </w:p>
    <w:p w14:paraId="019836BE">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地点：政采云平台https://www.zcygov.cn</w:t>
      </w:r>
    </w:p>
    <w:p w14:paraId="5F82DC2F">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190A2D3B">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734DEA18">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rPr>
        <w:t xml:space="preserve"> </w:t>
      </w:r>
      <w:r>
        <w:rPr>
          <w:rFonts w:hint="eastAsia" w:ascii="仿宋" w:hAnsi="仿宋" w:eastAsia="仿宋"/>
          <w:bCs/>
          <w:color w:val="auto"/>
          <w:sz w:val="28"/>
          <w:szCs w:val="28"/>
          <w:highlight w:val="none"/>
          <w:u w:val="single"/>
          <w:lang w:val="en-US" w:eastAsia="zh-CN"/>
        </w:rPr>
        <w:t>2025</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9</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w:t>
      </w:r>
    </w:p>
    <w:p w14:paraId="77FF6760">
      <w:pPr>
        <w:pStyle w:val="6"/>
        <w:pageBreakBefore w:val="0"/>
        <w:widowControl w:val="0"/>
        <w:kinsoku/>
        <w:wordWrap/>
        <w:overflowPunct/>
        <w:topLinePunct w:val="0"/>
        <w:bidi w:val="0"/>
        <w:spacing w:line="320" w:lineRule="exact"/>
        <w:ind w:left="1399" w:leftChars="266" w:hanging="840" w:hangingChars="300"/>
        <w:jc w:val="both"/>
        <w:textAlignment w:val="auto"/>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地    点：政采云平台https://www.zcygov.cn</w:t>
      </w:r>
    </w:p>
    <w:p w14:paraId="2F4495BD">
      <w:pPr>
        <w:pStyle w:val="2"/>
        <w:pageBreakBefore w:val="0"/>
        <w:widowControl w:val="0"/>
        <w:kinsoku/>
        <w:wordWrap/>
        <w:overflowPunct/>
        <w:topLinePunct w:val="0"/>
        <w:bidi w:val="0"/>
        <w:spacing w:line="320" w:lineRule="exact"/>
        <w:textAlignment w:val="auto"/>
        <w:rPr>
          <w:rFonts w:hint="eastAsia" w:ascii="黑体" w:hAnsi="黑体" w:eastAsia="黑体" w:cs="宋体"/>
          <w:b w:val="0"/>
          <w:color w:val="auto"/>
          <w:sz w:val="28"/>
          <w:szCs w:val="28"/>
          <w:highlight w:val="none"/>
          <w:lang w:eastAsia="zh-CN"/>
        </w:rPr>
      </w:pPr>
      <w:bookmarkStart w:id="16" w:name="_Toc28359093"/>
      <w:bookmarkStart w:id="17" w:name="_Toc35393802"/>
      <w:bookmarkStart w:id="18" w:name="_Toc35393633"/>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6EF66116">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时间：</w:t>
      </w:r>
      <w:r>
        <w:rPr>
          <w:rFonts w:ascii="仿宋" w:hAnsi="仿宋" w:eastAsia="仿宋"/>
          <w:color w:val="auto"/>
          <w:sz w:val="28"/>
          <w:szCs w:val="28"/>
          <w:highlight w:val="none"/>
          <w:u w:val="single"/>
        </w:rPr>
        <w:t xml:space="preserve"> </w:t>
      </w:r>
      <w:r>
        <w:rPr>
          <w:rFonts w:hint="eastAsia" w:ascii="仿宋" w:hAnsi="仿宋" w:eastAsia="仿宋"/>
          <w:bCs/>
          <w:color w:val="auto"/>
          <w:sz w:val="28"/>
          <w:szCs w:val="28"/>
          <w:highlight w:val="none"/>
          <w:u w:val="single"/>
          <w:lang w:val="en-US" w:eastAsia="zh-CN"/>
        </w:rPr>
        <w:t>2025</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4</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9</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w:t>
      </w:r>
    </w:p>
    <w:p w14:paraId="531362A5">
      <w:pPr>
        <w:pStyle w:val="6"/>
        <w:pageBreakBefore w:val="0"/>
        <w:widowControl w:val="0"/>
        <w:kinsoku/>
        <w:wordWrap/>
        <w:overflowPunct/>
        <w:topLinePunct w:val="0"/>
        <w:bidi w:val="0"/>
        <w:spacing w:line="320" w:lineRule="exact"/>
        <w:ind w:left="1399" w:leftChars="266" w:hanging="840" w:hangingChars="300"/>
        <w:jc w:val="both"/>
        <w:textAlignment w:val="auto"/>
        <w:rPr>
          <w:rFonts w:hint="eastAsia" w:ascii="宋体" w:hAnsi="宋体" w:eastAsia="宋体" w:cs="宋体"/>
          <w:b w:val="0"/>
          <w:bCs/>
          <w:color w:val="auto"/>
          <w:sz w:val="28"/>
          <w:szCs w:val="28"/>
          <w:highlight w:val="none"/>
          <w:u w:val="single"/>
        </w:rPr>
      </w:pPr>
      <w:r>
        <w:rPr>
          <w:rFonts w:hint="eastAsia" w:ascii="宋体" w:hAnsi="宋体" w:eastAsia="宋体" w:cs="宋体"/>
          <w:b w:val="0"/>
          <w:bCs/>
          <w:color w:val="auto"/>
          <w:sz w:val="28"/>
          <w:szCs w:val="28"/>
          <w:highlight w:val="none"/>
        </w:rPr>
        <w:t>地点：政采云平台https://www.zcygov.cn</w:t>
      </w:r>
    </w:p>
    <w:p w14:paraId="4CA2AAB2">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20" w:name="_Toc28359017"/>
      <w:bookmarkStart w:id="21" w:name="_Toc35393803"/>
      <w:bookmarkStart w:id="22" w:name="_Toc35393634"/>
      <w:bookmarkStart w:id="23" w:name="_Toc28359094"/>
      <w:r>
        <w:rPr>
          <w:rFonts w:hint="eastAsia" w:ascii="黑体" w:hAnsi="黑体" w:cs="宋体"/>
          <w:b w:val="0"/>
          <w:color w:val="auto"/>
          <w:sz w:val="28"/>
          <w:szCs w:val="28"/>
          <w:highlight w:val="none"/>
        </w:rPr>
        <w:t>六、公告期限</w:t>
      </w:r>
      <w:bookmarkEnd w:id="20"/>
      <w:bookmarkEnd w:id="21"/>
      <w:bookmarkEnd w:id="22"/>
      <w:bookmarkEnd w:id="23"/>
    </w:p>
    <w:p w14:paraId="7DF42532">
      <w:pPr>
        <w:pageBreakBefore w:val="0"/>
        <w:widowControl w:val="0"/>
        <w:kinsoku/>
        <w:wordWrap/>
        <w:overflowPunct/>
        <w:topLinePunct w:val="0"/>
        <w:bidi w:val="0"/>
        <w:spacing w:line="320" w:lineRule="exact"/>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2CB3104E">
      <w:pPr>
        <w:pStyle w:val="2"/>
        <w:pageBreakBefore w:val="0"/>
        <w:widowControl w:val="0"/>
        <w:numPr>
          <w:ilvl w:val="0"/>
          <w:numId w:val="1"/>
        </w:numPr>
        <w:kinsoku/>
        <w:wordWrap/>
        <w:overflowPunct/>
        <w:topLinePunct w:val="0"/>
        <w:bidi w:val="0"/>
        <w:spacing w:line="320" w:lineRule="exact"/>
        <w:textAlignment w:val="auto"/>
        <w:rPr>
          <w:rFonts w:hint="eastAsia" w:ascii="黑体" w:hAnsi="黑体" w:cs="宋体"/>
          <w:b w:val="0"/>
          <w:color w:val="auto"/>
          <w:sz w:val="28"/>
          <w:szCs w:val="28"/>
          <w:highlight w:val="none"/>
        </w:rPr>
      </w:pPr>
      <w:bookmarkStart w:id="24" w:name="_Toc35393635"/>
      <w:bookmarkStart w:id="25" w:name="_Toc35393804"/>
      <w:r>
        <w:rPr>
          <w:rFonts w:hint="eastAsia" w:ascii="黑体" w:hAnsi="黑体" w:cs="宋体"/>
          <w:b w:val="0"/>
          <w:color w:val="auto"/>
          <w:sz w:val="28"/>
          <w:szCs w:val="28"/>
          <w:highlight w:val="none"/>
        </w:rPr>
        <w:t>其他补充事宜</w:t>
      </w:r>
      <w:bookmarkEnd w:id="24"/>
      <w:bookmarkEnd w:id="25"/>
    </w:p>
    <w:p w14:paraId="0FE195E6">
      <w:pPr>
        <w:pageBreakBefore w:val="0"/>
        <w:widowControl w:val="0"/>
        <w:numPr>
          <w:ilvl w:val="0"/>
          <w:numId w:val="0"/>
        </w:numPr>
        <w:kinsoku/>
        <w:wordWrap/>
        <w:overflowPunct/>
        <w:topLinePunct w:val="0"/>
        <w:bidi w:val="0"/>
        <w:spacing w:line="320" w:lineRule="exact"/>
        <w:ind w:leftChars="200" w:firstLine="540" w:firstLineChars="200"/>
        <w:textAlignment w:val="auto"/>
        <w:rPr>
          <w:rFonts w:hint="eastAsia"/>
          <w:color w:val="auto"/>
        </w:rPr>
      </w:pPr>
      <w:bookmarkStart w:id="26" w:name="_Toc35393636"/>
      <w:bookmarkStart w:id="27" w:name="_Toc28359095"/>
      <w:bookmarkStart w:id="28" w:name="_Toc35393805"/>
      <w:bookmarkStart w:id="29" w:name="_Toc28359018"/>
      <w:r>
        <w:rPr>
          <w:rFonts w:hint="eastAsia" w:ascii="仿宋" w:hAnsi="仿宋" w:eastAsia="仿宋" w:cs="仿宋"/>
          <w:i w:val="0"/>
          <w:iCs w:val="0"/>
          <w:caps w:val="0"/>
          <w:color w:val="auto"/>
          <w:spacing w:val="0"/>
          <w:sz w:val="27"/>
          <w:szCs w:val="27"/>
          <w:lang w:val="en-US" w:eastAsia="zh-CN"/>
        </w:rPr>
        <w:t>1、</w:t>
      </w:r>
      <w:r>
        <w:rPr>
          <w:rFonts w:ascii="仿宋" w:hAnsi="仿宋" w:eastAsia="仿宋" w:cs="仿宋"/>
          <w:i w:val="0"/>
          <w:iCs w:val="0"/>
          <w:caps w:val="0"/>
          <w:color w:val="auto"/>
          <w:spacing w:val="0"/>
          <w:sz w:val="27"/>
          <w:szCs w:val="27"/>
        </w:rPr>
        <w:t>本项目实行电子招投标，供应商须登录政采云平台申请获取采购文件，并通过政采云电子投标客户端制作响应文件，同时自行承担与投标有关的一切费用。</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2、各供应商应在开标前确保成为新疆维吾尔自治区政府采购网正式注册入库供应商，并完成CA数字证书申领。因未注册入库、未办理CA数字证书等原因造成无法投标或投标失败等后果由供应商自行承担。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3、有意向参与新疆区域电子开评标的供应商，可访问新疆数字证书认证中心官方网站（https://www.xjca.com.cn/）或下载“新疆政务通”APP自行进行申领。如需咨询，请联系新疆CA服务热线0991-2819290。</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5、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6、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7、响应文件开启当日，供应商无需到达开标现场，仅需通过政采云平台“不见面”开标大厅完成远程解密、开标唱标、询标澄清、在线多轮报价、结果公布等交互环节。供应商必须使用能正确解密响应文件的“CA锁”在规定的时间内完成远程解密，因供应商因未能解密、解密失败或解密超时，视为供应商撤销其响应文件。</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8、逾期上传或者未上传指定地点的响应文件，采购人不予受理。  </w:t>
      </w:r>
    </w:p>
    <w:p w14:paraId="17BEBAC0">
      <w:pPr>
        <w:pStyle w:val="6"/>
        <w:rPr>
          <w:rFonts w:hint="eastAsia"/>
          <w:color w:val="auto"/>
        </w:rPr>
      </w:pPr>
    </w:p>
    <w:p w14:paraId="2C9D7A2B">
      <w:pPr>
        <w:pageBreakBefore w:val="0"/>
        <w:widowControl w:val="0"/>
        <w:numPr>
          <w:ilvl w:val="0"/>
          <w:numId w:val="1"/>
        </w:numPr>
        <w:kinsoku/>
        <w:wordWrap/>
        <w:overflowPunct/>
        <w:topLinePunct w:val="0"/>
        <w:bidi w:val="0"/>
        <w:spacing w:line="360" w:lineRule="auto"/>
        <w:ind w:left="0" w:leftChars="0" w:firstLine="0" w:firstLineChars="0"/>
        <w:textAlignment w:val="auto"/>
        <w:rPr>
          <w:rFonts w:hint="eastAsia" w:ascii="黑体" w:hAnsi="黑体" w:cs="宋体"/>
          <w:b/>
          <w:bCs/>
          <w:color w:val="auto"/>
          <w:sz w:val="28"/>
          <w:szCs w:val="28"/>
          <w:highlight w:val="none"/>
        </w:rPr>
      </w:pPr>
      <w:r>
        <w:rPr>
          <w:rFonts w:hint="eastAsia" w:ascii="黑体" w:hAnsi="黑体" w:cs="宋体"/>
          <w:b/>
          <w:bCs/>
          <w:color w:val="auto"/>
          <w:sz w:val="28"/>
          <w:szCs w:val="28"/>
          <w:highlight w:val="none"/>
        </w:rPr>
        <w:t>凡对本次采购提出询问，请按</w:t>
      </w:r>
      <w:r>
        <w:rPr>
          <w:rFonts w:ascii="黑体" w:hAnsi="黑体" w:cs="宋体"/>
          <w:b/>
          <w:bCs/>
          <w:color w:val="auto"/>
          <w:sz w:val="28"/>
          <w:szCs w:val="28"/>
          <w:highlight w:val="none"/>
        </w:rPr>
        <w:t>以下方式</w:t>
      </w:r>
      <w:r>
        <w:rPr>
          <w:rFonts w:hint="eastAsia" w:ascii="黑体" w:hAnsi="黑体" w:cs="宋体"/>
          <w:b/>
          <w:bCs/>
          <w:color w:val="auto"/>
          <w:sz w:val="28"/>
          <w:szCs w:val="28"/>
          <w:highlight w:val="none"/>
        </w:rPr>
        <w:t>联系。</w:t>
      </w:r>
      <w:bookmarkEnd w:id="26"/>
      <w:bookmarkEnd w:id="27"/>
      <w:bookmarkEnd w:id="28"/>
      <w:bookmarkEnd w:id="29"/>
      <w:bookmarkStart w:id="30" w:name="_Toc35393806"/>
      <w:bookmarkStart w:id="31" w:name="_Toc28359019"/>
      <w:bookmarkStart w:id="32" w:name="_Toc35393637"/>
      <w:bookmarkStart w:id="33" w:name="_Toc28359096"/>
    </w:p>
    <w:p w14:paraId="2F5A2D70">
      <w:pPr>
        <w:pageBreakBefore w:val="0"/>
        <w:widowControl w:val="0"/>
        <w:numPr>
          <w:ilvl w:val="0"/>
          <w:numId w:val="0"/>
        </w:numPr>
        <w:kinsoku/>
        <w:wordWrap/>
        <w:overflowPunct/>
        <w:topLinePunct w:val="0"/>
        <w:autoSpaceDE/>
        <w:autoSpaceDN/>
        <w:bidi w:val="0"/>
        <w:adjustRightInd/>
        <w:spacing w:line="360" w:lineRule="auto"/>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114E614B">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r>
        <w:rPr>
          <w:rFonts w:hint="eastAsia" w:ascii="仿宋" w:hAnsi="仿宋" w:eastAsia="仿宋" w:cs="Times New Roman"/>
          <w:color w:val="auto"/>
          <w:sz w:val="28"/>
          <w:szCs w:val="28"/>
          <w:highlight w:val="none"/>
        </w:rPr>
        <w:t>名    称：</w:t>
      </w:r>
      <w:r>
        <w:rPr>
          <w:rFonts w:hint="eastAsia" w:ascii="仿宋" w:hAnsi="仿宋" w:eastAsia="仿宋" w:cs="Times New Roman"/>
          <w:color w:val="auto"/>
          <w:sz w:val="28"/>
          <w:szCs w:val="28"/>
          <w:highlight w:val="none"/>
          <w:lang w:val="en-US" w:eastAsia="zh-CN"/>
        </w:rPr>
        <w:t>吉木乃县喀尔交镇人民政府</w:t>
      </w:r>
    </w:p>
    <w:p w14:paraId="4419974D">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地    址：</w:t>
      </w:r>
      <w:r>
        <w:rPr>
          <w:rFonts w:hint="eastAsia" w:ascii="仿宋" w:hAnsi="仿宋" w:eastAsia="仿宋" w:cs="Times New Roman"/>
          <w:color w:val="auto"/>
          <w:sz w:val="28"/>
          <w:szCs w:val="28"/>
          <w:highlight w:val="none"/>
          <w:lang w:val="en-US" w:eastAsia="zh-CN"/>
        </w:rPr>
        <w:t>吉木乃县</w:t>
      </w:r>
      <w:r>
        <w:rPr>
          <w:rFonts w:hint="eastAsia" w:ascii="仿宋" w:hAnsi="仿宋" w:eastAsia="仿宋" w:cs="Times New Roman"/>
          <w:color w:val="auto"/>
          <w:sz w:val="28"/>
          <w:szCs w:val="28"/>
          <w:highlight w:val="none"/>
        </w:rPr>
        <w:t>　　　</w:t>
      </w:r>
      <w:r>
        <w:rPr>
          <w:rFonts w:hint="eastAsia" w:ascii="仿宋" w:hAnsi="仿宋" w:eastAsia="仿宋" w:cs="Times New Roman"/>
          <w:color w:val="auto"/>
          <w:sz w:val="28"/>
          <w:szCs w:val="28"/>
          <w:highlight w:val="none"/>
          <w:lang w:val="en-US" w:eastAsia="zh-CN"/>
        </w:rPr>
        <w:t xml:space="preserve"> </w:t>
      </w:r>
    </w:p>
    <w:p w14:paraId="3F8554F3">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r>
        <w:rPr>
          <w:rFonts w:hint="eastAsia" w:ascii="仿宋" w:hAnsi="仿宋" w:eastAsia="仿宋" w:cs="Times New Roman"/>
          <w:color w:val="auto"/>
          <w:sz w:val="28"/>
          <w:szCs w:val="28"/>
          <w:highlight w:val="none"/>
        </w:rPr>
        <w:t>联</w:t>
      </w:r>
      <w:r>
        <w:rPr>
          <w:rFonts w:hint="eastAsia" w:ascii="仿宋" w:hAnsi="仿宋" w:eastAsia="仿宋" w:cs="Times New Roman"/>
          <w:color w:val="auto"/>
          <w:sz w:val="28"/>
          <w:szCs w:val="28"/>
          <w:highlight w:val="none"/>
          <w:lang w:val="en-US" w:eastAsia="zh-CN"/>
        </w:rPr>
        <w:t xml:space="preserve"> </w:t>
      </w:r>
      <w:r>
        <w:rPr>
          <w:rFonts w:hint="eastAsia" w:ascii="仿宋" w:hAnsi="仿宋" w:eastAsia="仿宋" w:cs="Times New Roman"/>
          <w:color w:val="auto"/>
          <w:sz w:val="28"/>
          <w:szCs w:val="28"/>
          <w:highlight w:val="none"/>
        </w:rPr>
        <w:t>系</w:t>
      </w:r>
      <w:r>
        <w:rPr>
          <w:rFonts w:hint="eastAsia" w:ascii="仿宋" w:hAnsi="仿宋" w:eastAsia="仿宋" w:cs="Times New Roman"/>
          <w:color w:val="auto"/>
          <w:sz w:val="28"/>
          <w:szCs w:val="28"/>
          <w:highlight w:val="none"/>
          <w:lang w:val="en-US" w:eastAsia="zh-CN"/>
        </w:rPr>
        <w:t xml:space="preserve"> </w:t>
      </w:r>
      <w:r>
        <w:rPr>
          <w:rFonts w:hint="eastAsia" w:ascii="仿宋" w:hAnsi="仿宋" w:eastAsia="仿宋" w:cs="Times New Roman"/>
          <w:color w:val="auto"/>
          <w:sz w:val="28"/>
          <w:szCs w:val="28"/>
          <w:highlight w:val="none"/>
          <w:lang w:eastAsia="zh-CN"/>
        </w:rPr>
        <w:t>人</w:t>
      </w:r>
      <w:r>
        <w:rPr>
          <w:rFonts w:hint="eastAsia" w:ascii="仿宋" w:hAnsi="仿宋" w:eastAsia="仿宋" w:cs="Times New Roman"/>
          <w:color w:val="auto"/>
          <w:sz w:val="28"/>
          <w:szCs w:val="28"/>
          <w:highlight w:val="none"/>
        </w:rPr>
        <w:t>：</w:t>
      </w:r>
      <w:r>
        <w:rPr>
          <w:rFonts w:hint="eastAsia" w:ascii="仿宋" w:hAnsi="仿宋" w:eastAsia="仿宋" w:cs="Times New Roman"/>
          <w:color w:val="auto"/>
          <w:sz w:val="28"/>
          <w:szCs w:val="28"/>
          <w:highlight w:val="none"/>
          <w:lang w:val="en-US" w:eastAsia="zh-CN"/>
        </w:rPr>
        <w:t>哈斯尔</w:t>
      </w:r>
    </w:p>
    <w:p w14:paraId="13E78AB1">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r>
        <w:rPr>
          <w:rFonts w:hint="eastAsia" w:ascii="仿宋" w:hAnsi="仿宋" w:eastAsia="仿宋" w:cs="Times New Roman"/>
          <w:color w:val="auto"/>
          <w:sz w:val="28"/>
          <w:szCs w:val="28"/>
          <w:highlight w:val="none"/>
        </w:rPr>
        <w:t>联系方式：</w:t>
      </w:r>
      <w:r>
        <w:rPr>
          <w:rFonts w:hint="eastAsia" w:ascii="仿宋" w:hAnsi="仿宋" w:eastAsia="仿宋" w:cs="Times New Roman"/>
          <w:color w:val="auto"/>
          <w:sz w:val="28"/>
          <w:szCs w:val="28"/>
          <w:highlight w:val="none"/>
          <w:lang w:val="en-US" w:eastAsia="zh-CN"/>
        </w:rPr>
        <w:t>17735640124</w:t>
      </w:r>
    </w:p>
    <w:p w14:paraId="39EE4ADB">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bookmarkStart w:id="34" w:name="_Toc28359097"/>
      <w:bookmarkStart w:id="35" w:name="_Toc35393807"/>
      <w:bookmarkStart w:id="36" w:name="_Toc28359020"/>
      <w:bookmarkStart w:id="37" w:name="_Toc35393638"/>
      <w:r>
        <w:rPr>
          <w:rFonts w:hint="eastAsia" w:ascii="仿宋" w:hAnsi="仿宋" w:eastAsia="仿宋" w:cs="Times New Roman"/>
          <w:color w:val="auto"/>
          <w:sz w:val="28"/>
          <w:szCs w:val="28"/>
          <w:highlight w:val="none"/>
        </w:rPr>
        <w:t>2.采购代理机构信息</w:t>
      </w:r>
      <w:bookmarkEnd w:id="34"/>
      <w:bookmarkEnd w:id="35"/>
      <w:bookmarkEnd w:id="36"/>
      <w:bookmarkEnd w:id="37"/>
    </w:p>
    <w:p w14:paraId="78F08D0F">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名    称：</w:t>
      </w:r>
      <w:r>
        <w:rPr>
          <w:rFonts w:hint="eastAsia" w:ascii="仿宋" w:hAnsi="仿宋" w:eastAsia="仿宋" w:cs="Times New Roman"/>
          <w:color w:val="auto"/>
          <w:sz w:val="28"/>
          <w:szCs w:val="28"/>
          <w:highlight w:val="none"/>
          <w:lang w:val="en-US" w:eastAsia="zh-CN"/>
        </w:rPr>
        <w:t>新疆捷恒正宇项目管理有限公司</w:t>
      </w:r>
    </w:p>
    <w:p w14:paraId="66A21A05">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联 系 人: 冯丽　　　　　　　　   　　</w:t>
      </w:r>
    </w:p>
    <w:p w14:paraId="1B95B27E">
      <w:pPr>
        <w:rPr>
          <w:color w:val="auto"/>
        </w:rPr>
      </w:pPr>
      <w:r>
        <w:rPr>
          <w:rFonts w:hint="eastAsia" w:ascii="仿宋" w:hAnsi="仿宋" w:eastAsia="仿宋" w:cs="Times New Roman"/>
          <w:color w:val="auto"/>
          <w:sz w:val="28"/>
          <w:szCs w:val="28"/>
          <w:highlight w:val="none"/>
          <w:lang w:val="en-US" w:eastAsia="zh-CN"/>
        </w:rPr>
        <w:t>联系方式：18809067677</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CB5E86"/>
    <w:rsid w:val="40DC0D3C"/>
    <w:rsid w:val="4C7578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customStyle="1" w:styleId="6">
    <w:name w:val="Default"/>
    <w:basedOn w:val="3"/>
    <w:next w:val="1"/>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1861</Words>
  <Characters>2243</Characters>
  <Lines>0</Lines>
  <Paragraphs>0</Paragraphs>
  <TotalTime>0</TotalTime>
  <ScaleCrop>false</ScaleCrop>
  <LinksUpToDate>false</LinksUpToDate>
  <CharactersWithSpaces>2326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2025-03-24T10:12:00Z</dcterms:created>
  <dc:creator>招标部</dc:creator>
  <cp:lastModifiedBy>.D .</cp:lastModifiedBy>
  <dcterms:modified xsi:type="dcterms:W3CDTF">2025-03-24T12:20:00Z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eyJoZGlkIjoiNWI4MmY0NGQ3NWIxOWUwZmE1NTdkMTg5ODU4YTNkMTQiLCJ1c2VySWQiOiIxNDE4MjM1MzA4In0=</vt:lpwstr>
  </property>
  <property fmtid="{D5CDD505-2E9C-101B-9397-08002B2CF9AE}" pid="4" name="ICV">
    <vt:lpwstr>D09C3833872C4B31A8CFE2F02366D9D0_12</vt:lpwstr>
  </property>
</Properties>
</file>